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19" w:rsidRDefault="008E1A19" w:rsidP="003E10C5">
      <w:pPr>
        <w:jc w:val="center"/>
        <w:rPr>
          <w:rFonts w:ascii="Times New Roman" w:hAnsi="Times New Roman"/>
          <w:b/>
          <w:sz w:val="24"/>
          <w:szCs w:val="24"/>
        </w:rPr>
      </w:pPr>
      <w:r>
        <w:rPr>
          <w:rFonts w:ascii="Times New Roman" w:hAnsi="Times New Roman"/>
          <w:b/>
          <w:sz w:val="24"/>
          <w:szCs w:val="24"/>
        </w:rPr>
        <w:t>Billing Code 4210-67</w:t>
      </w:r>
    </w:p>
    <w:p w:rsidR="00D53676" w:rsidRPr="003E10C5" w:rsidRDefault="00D53676" w:rsidP="003E10C5">
      <w:pPr>
        <w:jc w:val="center"/>
        <w:rPr>
          <w:rFonts w:ascii="Times New Roman" w:hAnsi="Times New Roman"/>
          <w:b/>
          <w:sz w:val="24"/>
          <w:szCs w:val="24"/>
        </w:rPr>
      </w:pPr>
      <w:r w:rsidRPr="003E10C5">
        <w:rPr>
          <w:rFonts w:ascii="Times New Roman" w:hAnsi="Times New Roman"/>
          <w:b/>
          <w:sz w:val="24"/>
          <w:szCs w:val="24"/>
        </w:rPr>
        <w:t>DEPARTMENT OF HOUSING AND URBAN DEVELOPMENT</w:t>
      </w:r>
    </w:p>
    <w:p w:rsidR="00D53676" w:rsidRPr="003E10C5" w:rsidRDefault="00D53676" w:rsidP="003E10C5">
      <w:pPr>
        <w:jc w:val="center"/>
        <w:rPr>
          <w:rFonts w:ascii="Times New Roman" w:hAnsi="Times New Roman"/>
          <w:b/>
          <w:sz w:val="24"/>
          <w:szCs w:val="24"/>
        </w:rPr>
      </w:pPr>
    </w:p>
    <w:p w:rsidR="00D53676" w:rsidRPr="003E10C5" w:rsidRDefault="00D53676" w:rsidP="003E10C5">
      <w:pPr>
        <w:jc w:val="center"/>
        <w:rPr>
          <w:rFonts w:ascii="Times New Roman" w:hAnsi="Times New Roman"/>
          <w:b/>
          <w:sz w:val="24"/>
          <w:szCs w:val="24"/>
        </w:rPr>
      </w:pPr>
      <w:r w:rsidRPr="003E10C5">
        <w:rPr>
          <w:rFonts w:ascii="Times New Roman" w:hAnsi="Times New Roman"/>
          <w:b/>
          <w:sz w:val="24"/>
          <w:szCs w:val="24"/>
        </w:rPr>
        <w:t>[Docket No.  FR-</w:t>
      </w:r>
      <w:r w:rsidR="003E10C5">
        <w:rPr>
          <w:rFonts w:ascii="Times New Roman" w:hAnsi="Times New Roman"/>
          <w:b/>
          <w:sz w:val="24"/>
          <w:szCs w:val="24"/>
        </w:rPr>
        <w:t>5876</w:t>
      </w:r>
      <w:r w:rsidRPr="003E10C5">
        <w:rPr>
          <w:rFonts w:ascii="Times New Roman" w:hAnsi="Times New Roman"/>
          <w:b/>
          <w:sz w:val="24"/>
          <w:szCs w:val="24"/>
        </w:rPr>
        <w:t>-N-</w:t>
      </w:r>
      <w:r w:rsidR="003E10C5">
        <w:rPr>
          <w:rFonts w:ascii="Times New Roman" w:hAnsi="Times New Roman"/>
          <w:b/>
          <w:sz w:val="24"/>
          <w:szCs w:val="24"/>
        </w:rPr>
        <w:t>0</w:t>
      </w:r>
      <w:r w:rsidR="00F9044D">
        <w:rPr>
          <w:rFonts w:ascii="Times New Roman" w:hAnsi="Times New Roman"/>
          <w:b/>
          <w:sz w:val="24"/>
          <w:szCs w:val="24"/>
        </w:rPr>
        <w:t>2</w:t>
      </w:r>
      <w:r w:rsidRPr="003E10C5">
        <w:rPr>
          <w:rFonts w:ascii="Times New Roman" w:hAnsi="Times New Roman"/>
          <w:b/>
          <w:sz w:val="24"/>
          <w:szCs w:val="24"/>
        </w:rPr>
        <w:t>]</w:t>
      </w:r>
    </w:p>
    <w:p w:rsidR="00D53676" w:rsidRPr="003E10C5" w:rsidRDefault="00D53676" w:rsidP="003E10C5">
      <w:pPr>
        <w:jc w:val="center"/>
        <w:rPr>
          <w:rFonts w:ascii="Times New Roman" w:hAnsi="Times New Roman"/>
          <w:b/>
          <w:sz w:val="24"/>
          <w:szCs w:val="24"/>
        </w:rPr>
      </w:pPr>
    </w:p>
    <w:p w:rsidR="00D53676" w:rsidRPr="003E10C5" w:rsidRDefault="00D53676" w:rsidP="003E10C5">
      <w:pPr>
        <w:jc w:val="center"/>
        <w:rPr>
          <w:rFonts w:ascii="Times New Roman" w:hAnsi="Times New Roman"/>
          <w:b/>
          <w:sz w:val="24"/>
          <w:szCs w:val="24"/>
        </w:rPr>
      </w:pPr>
      <w:r w:rsidRPr="003E10C5">
        <w:rPr>
          <w:rFonts w:ascii="Times New Roman" w:hAnsi="Times New Roman"/>
          <w:b/>
          <w:sz w:val="24"/>
          <w:szCs w:val="24"/>
        </w:rPr>
        <w:t>Changes in Certain Multifamily Mortgage Insurance Premiums</w:t>
      </w:r>
    </w:p>
    <w:p w:rsidR="00652E8D" w:rsidRPr="003E10C5" w:rsidRDefault="00652E8D" w:rsidP="00D53676">
      <w:pPr>
        <w:rPr>
          <w:rFonts w:ascii="Times New Roman" w:hAnsi="Times New Roman"/>
          <w:sz w:val="24"/>
          <w:szCs w:val="24"/>
        </w:rPr>
      </w:pPr>
    </w:p>
    <w:p w:rsidR="00D53676" w:rsidRPr="003E10C5" w:rsidRDefault="00D53676" w:rsidP="003E10C5">
      <w:pPr>
        <w:spacing w:line="480" w:lineRule="auto"/>
        <w:rPr>
          <w:rFonts w:ascii="Times New Roman" w:hAnsi="Times New Roman"/>
          <w:sz w:val="24"/>
          <w:szCs w:val="24"/>
        </w:rPr>
      </w:pPr>
      <w:r w:rsidRPr="003E10C5">
        <w:rPr>
          <w:rFonts w:ascii="Times New Roman" w:hAnsi="Times New Roman"/>
          <w:b/>
          <w:sz w:val="24"/>
          <w:szCs w:val="24"/>
        </w:rPr>
        <w:t>AGENCY</w:t>
      </w:r>
      <w:r w:rsidRPr="003E10C5">
        <w:rPr>
          <w:rFonts w:ascii="Times New Roman" w:hAnsi="Times New Roman"/>
          <w:sz w:val="24"/>
          <w:szCs w:val="24"/>
        </w:rPr>
        <w:t>:  Office of the Assistant Secretary for Housing–Federal Housing Commissioner, HUD.</w:t>
      </w:r>
    </w:p>
    <w:p w:rsidR="00D53676" w:rsidRPr="003E10C5" w:rsidRDefault="00D53676" w:rsidP="003E10C5">
      <w:pPr>
        <w:spacing w:line="480" w:lineRule="auto"/>
        <w:rPr>
          <w:rFonts w:ascii="Times New Roman" w:hAnsi="Times New Roman"/>
          <w:sz w:val="24"/>
          <w:szCs w:val="24"/>
        </w:rPr>
      </w:pPr>
      <w:r w:rsidRPr="003E10C5">
        <w:rPr>
          <w:rFonts w:ascii="Times New Roman" w:hAnsi="Times New Roman"/>
          <w:b/>
          <w:sz w:val="24"/>
          <w:szCs w:val="24"/>
        </w:rPr>
        <w:t>ACTION</w:t>
      </w:r>
      <w:r w:rsidRPr="003E10C5">
        <w:rPr>
          <w:rFonts w:ascii="Times New Roman" w:hAnsi="Times New Roman"/>
          <w:sz w:val="24"/>
          <w:szCs w:val="24"/>
        </w:rPr>
        <w:t>:  Notice.</w:t>
      </w:r>
    </w:p>
    <w:p w:rsidR="00D53676" w:rsidRPr="00F9044D" w:rsidRDefault="00D53676" w:rsidP="007532A4">
      <w:pPr>
        <w:autoSpaceDE w:val="0"/>
        <w:autoSpaceDN w:val="0"/>
        <w:adjustRightInd w:val="0"/>
        <w:spacing w:line="480" w:lineRule="auto"/>
        <w:rPr>
          <w:rFonts w:ascii="Times New Roman" w:eastAsiaTheme="minorHAnsi" w:hAnsi="Times New Roman"/>
          <w:sz w:val="24"/>
          <w:szCs w:val="24"/>
        </w:rPr>
      </w:pPr>
      <w:r w:rsidRPr="003E10C5">
        <w:rPr>
          <w:rFonts w:ascii="Times New Roman" w:hAnsi="Times New Roman"/>
          <w:b/>
          <w:sz w:val="24"/>
          <w:szCs w:val="24"/>
        </w:rPr>
        <w:t>SUMMARY</w:t>
      </w:r>
      <w:r w:rsidR="003E10C5">
        <w:rPr>
          <w:rFonts w:ascii="Times New Roman" w:hAnsi="Times New Roman"/>
          <w:sz w:val="24"/>
          <w:szCs w:val="24"/>
        </w:rPr>
        <w:t xml:space="preserve">:  </w:t>
      </w:r>
      <w:r w:rsidR="00F56EF7">
        <w:rPr>
          <w:rFonts w:ascii="Times New Roman" w:hAnsi="Times New Roman"/>
          <w:sz w:val="24"/>
          <w:szCs w:val="24"/>
        </w:rPr>
        <w:t xml:space="preserve">On January 28, 2016, HUD published a notice </w:t>
      </w:r>
      <w:r w:rsidR="00D677CC" w:rsidRPr="003E10C5">
        <w:rPr>
          <w:rFonts w:ascii="Times New Roman" w:hAnsi="Times New Roman"/>
          <w:sz w:val="24"/>
          <w:szCs w:val="24"/>
        </w:rPr>
        <w:t>announc</w:t>
      </w:r>
      <w:r w:rsidR="00F56EF7">
        <w:rPr>
          <w:rFonts w:ascii="Times New Roman" w:hAnsi="Times New Roman"/>
          <w:sz w:val="24"/>
          <w:szCs w:val="24"/>
        </w:rPr>
        <w:t>ing</w:t>
      </w:r>
      <w:r w:rsidR="00D677CC" w:rsidRPr="003E10C5">
        <w:rPr>
          <w:rFonts w:ascii="Times New Roman" w:hAnsi="Times New Roman"/>
          <w:sz w:val="24"/>
          <w:szCs w:val="24"/>
        </w:rPr>
        <w:t xml:space="preserve"> proposed changes </w:t>
      </w:r>
      <w:r w:rsidR="00D677CC">
        <w:rPr>
          <w:rFonts w:ascii="Times New Roman" w:hAnsi="Times New Roman"/>
          <w:sz w:val="24"/>
          <w:szCs w:val="24"/>
        </w:rPr>
        <w:t>to the F</w:t>
      </w:r>
      <w:r w:rsidR="009441CE">
        <w:rPr>
          <w:rFonts w:ascii="Times New Roman" w:hAnsi="Times New Roman"/>
          <w:sz w:val="24"/>
          <w:szCs w:val="24"/>
        </w:rPr>
        <w:t xml:space="preserve">iscal </w:t>
      </w:r>
      <w:r w:rsidR="00D677CC">
        <w:rPr>
          <w:rFonts w:ascii="Times New Roman" w:hAnsi="Times New Roman"/>
          <w:sz w:val="24"/>
          <w:szCs w:val="24"/>
        </w:rPr>
        <w:t>Y</w:t>
      </w:r>
      <w:r w:rsidR="009441CE">
        <w:rPr>
          <w:rFonts w:ascii="Times New Roman" w:hAnsi="Times New Roman"/>
          <w:sz w:val="24"/>
          <w:szCs w:val="24"/>
        </w:rPr>
        <w:t>ear (FY)</w:t>
      </w:r>
      <w:r w:rsidR="00D677CC">
        <w:rPr>
          <w:rFonts w:ascii="Times New Roman" w:hAnsi="Times New Roman"/>
          <w:sz w:val="24"/>
          <w:szCs w:val="24"/>
        </w:rPr>
        <w:t xml:space="preserve"> 201</w:t>
      </w:r>
      <w:r w:rsidR="008A0AC8">
        <w:rPr>
          <w:rFonts w:ascii="Times New Roman" w:hAnsi="Times New Roman"/>
          <w:sz w:val="24"/>
          <w:szCs w:val="24"/>
        </w:rPr>
        <w:t>6</w:t>
      </w:r>
      <w:r w:rsidR="00D677CC">
        <w:rPr>
          <w:rFonts w:ascii="Times New Roman" w:hAnsi="Times New Roman"/>
          <w:sz w:val="24"/>
          <w:szCs w:val="24"/>
        </w:rPr>
        <w:t xml:space="preserve"> </w:t>
      </w:r>
      <w:r w:rsidR="00D677CC" w:rsidRPr="003E10C5">
        <w:rPr>
          <w:rFonts w:ascii="Times New Roman" w:hAnsi="Times New Roman"/>
          <w:sz w:val="24"/>
          <w:szCs w:val="24"/>
        </w:rPr>
        <w:t>M</w:t>
      </w:r>
      <w:r w:rsidR="009441CE">
        <w:rPr>
          <w:rFonts w:ascii="Times New Roman" w:hAnsi="Times New Roman"/>
          <w:sz w:val="24"/>
          <w:szCs w:val="24"/>
        </w:rPr>
        <w:t xml:space="preserve">ortgage </w:t>
      </w:r>
      <w:r w:rsidR="00D677CC" w:rsidRPr="003E10C5">
        <w:rPr>
          <w:rFonts w:ascii="Times New Roman" w:hAnsi="Times New Roman"/>
          <w:sz w:val="24"/>
          <w:szCs w:val="24"/>
        </w:rPr>
        <w:t>I</w:t>
      </w:r>
      <w:r w:rsidR="009441CE">
        <w:rPr>
          <w:rFonts w:ascii="Times New Roman" w:hAnsi="Times New Roman"/>
          <w:sz w:val="24"/>
          <w:szCs w:val="24"/>
        </w:rPr>
        <w:t xml:space="preserve">nsurance </w:t>
      </w:r>
      <w:r w:rsidR="00D677CC" w:rsidRPr="003E10C5">
        <w:rPr>
          <w:rFonts w:ascii="Times New Roman" w:hAnsi="Times New Roman"/>
          <w:sz w:val="24"/>
          <w:szCs w:val="24"/>
        </w:rPr>
        <w:t>P</w:t>
      </w:r>
      <w:r w:rsidR="009441CE">
        <w:rPr>
          <w:rFonts w:ascii="Times New Roman" w:hAnsi="Times New Roman"/>
          <w:sz w:val="24"/>
          <w:szCs w:val="24"/>
        </w:rPr>
        <w:t>remiums</w:t>
      </w:r>
      <w:r w:rsidR="00D677CC" w:rsidRPr="003E10C5">
        <w:rPr>
          <w:rFonts w:ascii="Times New Roman" w:hAnsi="Times New Roman"/>
          <w:sz w:val="24"/>
          <w:szCs w:val="24"/>
        </w:rPr>
        <w:t xml:space="preserve"> </w:t>
      </w:r>
      <w:r w:rsidR="009441CE">
        <w:rPr>
          <w:rFonts w:ascii="Times New Roman" w:hAnsi="Times New Roman"/>
          <w:sz w:val="24"/>
          <w:szCs w:val="24"/>
        </w:rPr>
        <w:t xml:space="preserve">(MIPs) </w:t>
      </w:r>
      <w:r w:rsidR="00D677CC" w:rsidRPr="003E10C5">
        <w:rPr>
          <w:rFonts w:ascii="Times New Roman" w:hAnsi="Times New Roman"/>
          <w:sz w:val="24"/>
          <w:szCs w:val="24"/>
        </w:rPr>
        <w:t xml:space="preserve">for certain FHA Multifamily Housing Insurance programs for commitments issued or reissued beginning </w:t>
      </w:r>
      <w:r w:rsidR="00D677CC">
        <w:rPr>
          <w:rFonts w:ascii="Times New Roman" w:hAnsi="Times New Roman"/>
          <w:sz w:val="24"/>
          <w:szCs w:val="24"/>
        </w:rPr>
        <w:t>April 1, 2016</w:t>
      </w:r>
      <w:r w:rsidR="00807826">
        <w:rPr>
          <w:rFonts w:ascii="Times New Roman" w:hAnsi="Times New Roman"/>
          <w:sz w:val="24"/>
          <w:szCs w:val="24"/>
        </w:rPr>
        <w:t>, and solicited public comments on the announce</w:t>
      </w:r>
      <w:r w:rsidR="007532A4">
        <w:rPr>
          <w:rFonts w:ascii="Times New Roman" w:hAnsi="Times New Roman"/>
          <w:sz w:val="24"/>
          <w:szCs w:val="24"/>
        </w:rPr>
        <w:t>d</w:t>
      </w:r>
      <w:r w:rsidR="00807826">
        <w:rPr>
          <w:rFonts w:ascii="Times New Roman" w:hAnsi="Times New Roman"/>
          <w:sz w:val="24"/>
          <w:szCs w:val="24"/>
        </w:rPr>
        <w:t xml:space="preserve"> increases.  In the January 28, 2016, notice,</w:t>
      </w:r>
      <w:r w:rsidR="007532A4">
        <w:rPr>
          <w:rFonts w:ascii="Times New Roman" w:hAnsi="Times New Roman"/>
          <w:sz w:val="24"/>
          <w:szCs w:val="24"/>
        </w:rPr>
        <w:t xml:space="preserve"> HUDs’ </w:t>
      </w:r>
      <w:r w:rsidR="00807826">
        <w:rPr>
          <w:rFonts w:ascii="Times New Roman" w:hAnsi="Times New Roman"/>
          <w:sz w:val="24"/>
          <w:szCs w:val="24"/>
        </w:rPr>
        <w:t xml:space="preserve">proposed </w:t>
      </w:r>
      <w:r w:rsidR="007532A4">
        <w:rPr>
          <w:rFonts w:ascii="Times New Roman" w:hAnsi="Times New Roman"/>
          <w:sz w:val="24"/>
          <w:szCs w:val="24"/>
        </w:rPr>
        <w:t xml:space="preserve">MIP changes </w:t>
      </w:r>
      <w:r w:rsidR="00807826" w:rsidRPr="003E10C5">
        <w:rPr>
          <w:rFonts w:ascii="Times New Roman" w:hAnsi="Times New Roman"/>
          <w:sz w:val="24"/>
          <w:szCs w:val="24"/>
        </w:rPr>
        <w:t>reflect the health of</w:t>
      </w:r>
      <w:r w:rsidR="007532A4">
        <w:rPr>
          <w:rFonts w:ascii="Times New Roman" w:hAnsi="Times New Roman"/>
          <w:sz w:val="24"/>
          <w:szCs w:val="24"/>
        </w:rPr>
        <w:t xml:space="preserve"> the FHA Multifamily portfolio,</w:t>
      </w:r>
      <w:r w:rsidR="00807826" w:rsidRPr="003E10C5">
        <w:rPr>
          <w:rFonts w:ascii="Times New Roman" w:hAnsi="Times New Roman"/>
          <w:sz w:val="24"/>
          <w:szCs w:val="24"/>
        </w:rPr>
        <w:t xml:space="preserve"> simplify the rate structure, and </w:t>
      </w:r>
      <w:r w:rsidR="00807826">
        <w:rPr>
          <w:rFonts w:ascii="Times New Roman" w:hAnsi="Times New Roman"/>
          <w:sz w:val="24"/>
          <w:szCs w:val="24"/>
        </w:rPr>
        <w:t xml:space="preserve">demonstrate </w:t>
      </w:r>
      <w:r w:rsidR="00807826" w:rsidRPr="003E10C5">
        <w:rPr>
          <w:rFonts w:ascii="Times New Roman" w:hAnsi="Times New Roman"/>
          <w:sz w:val="24"/>
          <w:szCs w:val="24"/>
        </w:rPr>
        <w:t>HUD’s commitment to promote its mission initiatives</w:t>
      </w:r>
      <w:r w:rsidR="00807826">
        <w:rPr>
          <w:rFonts w:ascii="Times New Roman" w:hAnsi="Times New Roman"/>
          <w:sz w:val="24"/>
          <w:szCs w:val="24"/>
        </w:rPr>
        <w:t xml:space="preserve">. </w:t>
      </w:r>
      <w:r w:rsidR="009441CE">
        <w:rPr>
          <w:rFonts w:ascii="Times New Roman" w:hAnsi="Times New Roman"/>
          <w:sz w:val="24"/>
          <w:szCs w:val="24"/>
        </w:rPr>
        <w:t xml:space="preserve"> </w:t>
      </w:r>
      <w:r w:rsidR="00807826">
        <w:rPr>
          <w:rFonts w:ascii="Times New Roman" w:hAnsi="Times New Roman"/>
          <w:sz w:val="24"/>
          <w:szCs w:val="24"/>
        </w:rPr>
        <w:t xml:space="preserve">The </w:t>
      </w:r>
      <w:r w:rsidR="00807826" w:rsidRPr="003E10C5">
        <w:rPr>
          <w:rFonts w:ascii="Times New Roman" w:hAnsi="Times New Roman"/>
          <w:sz w:val="24"/>
          <w:szCs w:val="24"/>
        </w:rPr>
        <w:t>MIP rates for mortgage insurance programs under FHA’s Office of Healthcare Programs, including health care facilities a</w:t>
      </w:r>
      <w:r w:rsidR="007532A4">
        <w:rPr>
          <w:rFonts w:ascii="Times New Roman" w:hAnsi="Times New Roman"/>
          <w:sz w:val="24"/>
          <w:szCs w:val="24"/>
        </w:rPr>
        <w:t>nd hospital insurance programs, a</w:t>
      </w:r>
      <w:r w:rsidR="00807826">
        <w:rPr>
          <w:rFonts w:ascii="Times New Roman" w:hAnsi="Times New Roman"/>
          <w:sz w:val="24"/>
          <w:szCs w:val="24"/>
        </w:rPr>
        <w:t>re not</w:t>
      </w:r>
      <w:r w:rsidR="00807826" w:rsidRPr="003E10C5">
        <w:rPr>
          <w:rFonts w:ascii="Times New Roman" w:hAnsi="Times New Roman"/>
          <w:sz w:val="24"/>
          <w:szCs w:val="24"/>
        </w:rPr>
        <w:t xml:space="preserve"> change</w:t>
      </w:r>
      <w:r w:rsidR="00807826">
        <w:rPr>
          <w:rFonts w:ascii="Times New Roman" w:hAnsi="Times New Roman"/>
          <w:sz w:val="24"/>
          <w:szCs w:val="24"/>
        </w:rPr>
        <w:t>d</w:t>
      </w:r>
      <w:r w:rsidR="00807826" w:rsidRPr="003E10C5">
        <w:rPr>
          <w:rFonts w:ascii="Times New Roman" w:hAnsi="Times New Roman"/>
          <w:sz w:val="24"/>
          <w:szCs w:val="24"/>
        </w:rPr>
        <w:t>.</w:t>
      </w:r>
      <w:r w:rsidR="00807826">
        <w:rPr>
          <w:rFonts w:ascii="Times New Roman" w:hAnsi="Times New Roman"/>
          <w:sz w:val="24"/>
          <w:szCs w:val="24"/>
        </w:rPr>
        <w:t xml:space="preserve">  </w:t>
      </w:r>
      <w:r w:rsidR="007532A4">
        <w:rPr>
          <w:rFonts w:ascii="Times New Roman" w:hAnsi="Times New Roman"/>
          <w:sz w:val="24"/>
          <w:szCs w:val="24"/>
        </w:rPr>
        <w:t>This notice announces that the proposed</w:t>
      </w:r>
      <w:r w:rsidR="007532A4" w:rsidRPr="007532A4">
        <w:rPr>
          <w:rFonts w:ascii="Times New Roman" w:hAnsi="Times New Roman"/>
          <w:sz w:val="24"/>
          <w:szCs w:val="24"/>
        </w:rPr>
        <w:t xml:space="preserve"> </w:t>
      </w:r>
      <w:r w:rsidR="007532A4">
        <w:rPr>
          <w:rFonts w:ascii="Times New Roman" w:hAnsi="Times New Roman"/>
          <w:sz w:val="24"/>
          <w:szCs w:val="24"/>
        </w:rPr>
        <w:t xml:space="preserve">FY 2016 MIP increases </w:t>
      </w:r>
      <w:r w:rsidR="007532A4" w:rsidRPr="003E10C5">
        <w:rPr>
          <w:rFonts w:ascii="Times New Roman" w:hAnsi="Times New Roman"/>
          <w:sz w:val="24"/>
          <w:szCs w:val="24"/>
        </w:rPr>
        <w:t xml:space="preserve">for commitments issued or reissued beginning </w:t>
      </w:r>
      <w:r w:rsidR="007532A4">
        <w:rPr>
          <w:rFonts w:ascii="Times New Roman" w:hAnsi="Times New Roman"/>
          <w:sz w:val="24"/>
          <w:szCs w:val="24"/>
        </w:rPr>
        <w:t xml:space="preserve">April 1, 2016 is being implemented.  This notice also addresses the public comments received in response to the </w:t>
      </w:r>
      <w:r w:rsidR="009441CE">
        <w:rPr>
          <w:rFonts w:ascii="Times New Roman" w:hAnsi="Times New Roman"/>
          <w:sz w:val="24"/>
          <w:szCs w:val="24"/>
        </w:rPr>
        <w:t xml:space="preserve">proposed </w:t>
      </w:r>
      <w:r w:rsidR="007532A4">
        <w:rPr>
          <w:rFonts w:ascii="Times New Roman" w:hAnsi="Times New Roman"/>
          <w:sz w:val="24"/>
          <w:szCs w:val="24"/>
        </w:rPr>
        <w:t>MIP increases.</w:t>
      </w:r>
    </w:p>
    <w:p w:rsidR="00CF5B71" w:rsidRPr="00CF5B71" w:rsidRDefault="00CF5B71" w:rsidP="00CF5B71">
      <w:pPr>
        <w:spacing w:line="480" w:lineRule="auto"/>
        <w:rPr>
          <w:rFonts w:ascii="Times New Roman" w:hAnsi="Times New Roman"/>
          <w:sz w:val="24"/>
          <w:szCs w:val="24"/>
        </w:rPr>
      </w:pPr>
      <w:r w:rsidRPr="00CF5B71">
        <w:rPr>
          <w:rFonts w:ascii="Times New Roman" w:hAnsi="Times New Roman"/>
          <w:b/>
          <w:bCs/>
          <w:color w:val="000000"/>
          <w:sz w:val="24"/>
          <w:szCs w:val="24"/>
        </w:rPr>
        <w:t xml:space="preserve">DATES:  </w:t>
      </w:r>
      <w:r w:rsidRPr="00CF5B71">
        <w:rPr>
          <w:rFonts w:ascii="Times New Roman" w:hAnsi="Times New Roman"/>
          <w:bCs/>
          <w:color w:val="000000"/>
          <w:sz w:val="24"/>
          <w:szCs w:val="24"/>
          <w:u w:val="single"/>
        </w:rPr>
        <w:t>Effective Date</w:t>
      </w:r>
      <w:r w:rsidRPr="00CF5B71">
        <w:rPr>
          <w:rFonts w:ascii="Times New Roman" w:hAnsi="Times New Roman"/>
          <w:bCs/>
          <w:color w:val="000000"/>
          <w:sz w:val="24"/>
          <w:szCs w:val="24"/>
        </w:rPr>
        <w:t xml:space="preserve">: </w:t>
      </w:r>
      <w:r w:rsidR="009441CE">
        <w:rPr>
          <w:rFonts w:ascii="Times New Roman" w:hAnsi="Times New Roman"/>
          <w:bCs/>
          <w:color w:val="000000"/>
          <w:sz w:val="24"/>
          <w:szCs w:val="24"/>
        </w:rPr>
        <w:t xml:space="preserve"> </w:t>
      </w:r>
      <w:r w:rsidRPr="00CF5B71">
        <w:rPr>
          <w:rFonts w:ascii="Times New Roman" w:hAnsi="Times New Roman"/>
          <w:bCs/>
          <w:color w:val="000000"/>
          <w:sz w:val="24"/>
          <w:szCs w:val="24"/>
        </w:rPr>
        <w:t xml:space="preserve">The revised MIP will be effective for any firm commitments issued or reissued on or after </w:t>
      </w:r>
      <w:r>
        <w:rPr>
          <w:rFonts w:ascii="Times New Roman" w:hAnsi="Times New Roman"/>
          <w:bCs/>
          <w:color w:val="000000"/>
          <w:sz w:val="24"/>
          <w:szCs w:val="24"/>
        </w:rPr>
        <w:t xml:space="preserve">April 1, 2016. </w:t>
      </w:r>
      <w:r w:rsidR="009441CE">
        <w:rPr>
          <w:rFonts w:ascii="Times New Roman" w:hAnsi="Times New Roman"/>
          <w:bCs/>
          <w:color w:val="000000"/>
          <w:sz w:val="24"/>
          <w:szCs w:val="24"/>
        </w:rPr>
        <w:t xml:space="preserve"> </w:t>
      </w:r>
      <w:r w:rsidRPr="003E10C5">
        <w:rPr>
          <w:rFonts w:ascii="Times New Roman" w:hAnsi="Times New Roman"/>
          <w:sz w:val="24"/>
          <w:szCs w:val="24"/>
        </w:rPr>
        <w:t xml:space="preserve">MIP rates will not be modified for any loans that close </w:t>
      </w:r>
      <w:r>
        <w:rPr>
          <w:rFonts w:ascii="Times New Roman" w:hAnsi="Times New Roman"/>
          <w:sz w:val="24"/>
          <w:szCs w:val="24"/>
        </w:rPr>
        <w:t>or</w:t>
      </w:r>
      <w:r w:rsidRPr="003E10C5">
        <w:rPr>
          <w:rFonts w:ascii="Times New Roman" w:hAnsi="Times New Roman"/>
          <w:sz w:val="24"/>
          <w:szCs w:val="24"/>
        </w:rPr>
        <w:t xml:space="preserve"> reach initial endorsement prior to </w:t>
      </w:r>
      <w:r>
        <w:rPr>
          <w:rFonts w:ascii="Times New Roman" w:hAnsi="Times New Roman"/>
          <w:sz w:val="24"/>
          <w:szCs w:val="24"/>
        </w:rPr>
        <w:t>March 31, 2016</w:t>
      </w:r>
      <w:r w:rsidRPr="003E10C5">
        <w:rPr>
          <w:rFonts w:ascii="Times New Roman" w:hAnsi="Times New Roman"/>
          <w:sz w:val="24"/>
          <w:szCs w:val="24"/>
        </w:rPr>
        <w:t>.</w:t>
      </w:r>
      <w:r>
        <w:rPr>
          <w:rFonts w:ascii="Times New Roman" w:hAnsi="Times New Roman"/>
          <w:sz w:val="24"/>
          <w:szCs w:val="24"/>
        </w:rPr>
        <w:t xml:space="preserve">  MIP rates will not be modified on FHA-insured loans initially or finally endorsed, in conjunction with Interest Rate Reductions, or in conjunction with Loan Modifications.</w:t>
      </w:r>
    </w:p>
    <w:p w:rsidR="00D53676" w:rsidRPr="003E10C5" w:rsidRDefault="000E392B" w:rsidP="003E10C5">
      <w:pPr>
        <w:spacing w:line="480" w:lineRule="auto"/>
        <w:rPr>
          <w:rFonts w:ascii="Times New Roman" w:hAnsi="Times New Roman"/>
          <w:sz w:val="24"/>
          <w:szCs w:val="24"/>
        </w:rPr>
      </w:pPr>
      <w:r w:rsidRPr="000E392B">
        <w:rPr>
          <w:rFonts w:ascii="Times New Roman" w:hAnsi="Times New Roman"/>
          <w:b/>
          <w:bCs/>
          <w:color w:val="000000"/>
          <w:sz w:val="24"/>
          <w:szCs w:val="24"/>
        </w:rPr>
        <w:lastRenderedPageBreak/>
        <w:t>FOR FURTHER INFORMATION CONTACT:</w:t>
      </w:r>
      <w:r w:rsidRPr="000E392B">
        <w:rPr>
          <w:rFonts w:ascii="Times New Roman" w:hAnsi="Times New Roman"/>
          <w:bCs/>
          <w:color w:val="000000"/>
          <w:sz w:val="24"/>
          <w:szCs w:val="24"/>
        </w:rPr>
        <w:t xml:space="preserve">  </w:t>
      </w:r>
      <w:r w:rsidR="00D53676" w:rsidRPr="003E10C5">
        <w:rPr>
          <w:rFonts w:ascii="Times New Roman" w:hAnsi="Times New Roman"/>
          <w:sz w:val="24"/>
          <w:szCs w:val="24"/>
        </w:rPr>
        <w:t xml:space="preserve">Theodore Toon, Director, Office of Multifamily Production, </w:t>
      </w:r>
      <w:r>
        <w:rPr>
          <w:rFonts w:ascii="Times New Roman" w:hAnsi="Times New Roman"/>
          <w:sz w:val="24"/>
          <w:szCs w:val="24"/>
        </w:rPr>
        <w:t xml:space="preserve">Office of Housing, </w:t>
      </w:r>
      <w:r w:rsidR="00D53676" w:rsidRPr="003E10C5">
        <w:rPr>
          <w:rFonts w:ascii="Times New Roman" w:hAnsi="Times New Roman"/>
          <w:sz w:val="24"/>
          <w:szCs w:val="24"/>
        </w:rPr>
        <w:t>Department of Housing and Urban Development, 451 7</w:t>
      </w:r>
      <w:r>
        <w:rPr>
          <w:rFonts w:ascii="Times New Roman" w:hAnsi="Times New Roman"/>
          <w:sz w:val="24"/>
          <w:szCs w:val="24"/>
        </w:rPr>
        <w:t xml:space="preserve">th </w:t>
      </w:r>
      <w:r w:rsidR="00D53676" w:rsidRPr="003E10C5">
        <w:rPr>
          <w:rFonts w:ascii="Times New Roman" w:hAnsi="Times New Roman"/>
          <w:sz w:val="24"/>
          <w:szCs w:val="24"/>
        </w:rPr>
        <w:t>Street, SW, Washington, DC 20410-8000; telephone: 202-402-</w:t>
      </w:r>
      <w:r w:rsidR="00C057C4" w:rsidRPr="003E10C5">
        <w:rPr>
          <w:rFonts w:ascii="Times New Roman" w:hAnsi="Times New Roman"/>
          <w:sz w:val="24"/>
          <w:szCs w:val="24"/>
        </w:rPr>
        <w:t>8386</w:t>
      </w:r>
      <w:r w:rsidR="00FB51DD" w:rsidRPr="003E10C5">
        <w:rPr>
          <w:rFonts w:ascii="Times New Roman" w:hAnsi="Times New Roman"/>
          <w:sz w:val="24"/>
          <w:szCs w:val="24"/>
        </w:rPr>
        <w:t xml:space="preserve"> </w:t>
      </w:r>
      <w:r w:rsidR="00D53676" w:rsidRPr="003E10C5">
        <w:rPr>
          <w:rFonts w:ascii="Times New Roman" w:hAnsi="Times New Roman"/>
          <w:sz w:val="24"/>
          <w:szCs w:val="24"/>
        </w:rPr>
        <w:t>(this is not a toll-free number).  Hearing- or speech-impaired individuals may access these numbers through TTY by calling the Federal Relay Service at 800-877-8339 (this is a toll-free number).</w:t>
      </w:r>
    </w:p>
    <w:p w:rsidR="00D53676" w:rsidRPr="000E392B" w:rsidRDefault="00D53676" w:rsidP="00942584">
      <w:pPr>
        <w:spacing w:line="480" w:lineRule="auto"/>
        <w:rPr>
          <w:rFonts w:ascii="Times New Roman" w:hAnsi="Times New Roman"/>
          <w:sz w:val="24"/>
          <w:szCs w:val="24"/>
        </w:rPr>
      </w:pPr>
      <w:r w:rsidRPr="00942584">
        <w:rPr>
          <w:rFonts w:ascii="Times New Roman" w:hAnsi="Times New Roman"/>
          <w:b/>
          <w:sz w:val="24"/>
          <w:szCs w:val="24"/>
        </w:rPr>
        <w:t>SUPPLEMENTARY INFORMATION:</w:t>
      </w:r>
    </w:p>
    <w:p w:rsidR="00D53676" w:rsidRPr="00942584" w:rsidRDefault="00942584" w:rsidP="00942584">
      <w:pPr>
        <w:spacing w:line="480" w:lineRule="auto"/>
        <w:rPr>
          <w:rFonts w:ascii="Times New Roman" w:hAnsi="Times New Roman"/>
          <w:b/>
          <w:sz w:val="24"/>
          <w:szCs w:val="24"/>
        </w:rPr>
      </w:pPr>
      <w:r w:rsidRPr="00942584">
        <w:rPr>
          <w:rFonts w:ascii="Times New Roman" w:hAnsi="Times New Roman"/>
          <w:b/>
          <w:sz w:val="24"/>
          <w:szCs w:val="24"/>
        </w:rPr>
        <w:t xml:space="preserve">I. </w:t>
      </w:r>
      <w:r>
        <w:rPr>
          <w:rFonts w:ascii="Times New Roman" w:hAnsi="Times New Roman"/>
          <w:b/>
          <w:sz w:val="24"/>
          <w:szCs w:val="24"/>
        </w:rPr>
        <w:t xml:space="preserve"> </w:t>
      </w:r>
      <w:r w:rsidR="00D53676" w:rsidRPr="00942584">
        <w:rPr>
          <w:rFonts w:ascii="Times New Roman" w:hAnsi="Times New Roman"/>
          <w:b/>
          <w:sz w:val="24"/>
          <w:szCs w:val="24"/>
        </w:rPr>
        <w:t>Background</w:t>
      </w:r>
    </w:p>
    <w:p w:rsidR="007532A4" w:rsidRDefault="00696825" w:rsidP="007532A4">
      <w:pPr>
        <w:spacing w:line="480" w:lineRule="auto"/>
        <w:ind w:firstLine="720"/>
        <w:rPr>
          <w:rFonts w:ascii="Times New Roman" w:hAnsi="Times New Roman"/>
          <w:sz w:val="24"/>
          <w:szCs w:val="24"/>
        </w:rPr>
      </w:pPr>
      <w:r w:rsidRPr="00664135">
        <w:rPr>
          <w:rFonts w:ascii="Times New Roman" w:hAnsi="Times New Roman"/>
          <w:sz w:val="24"/>
          <w:szCs w:val="24"/>
        </w:rPr>
        <w:t>Section 203(c)(1) of the National Housing Act authorizes the Secretary to set the premium charge for insurance of mortgages under the various programs in Title II of the National Housing Act</w:t>
      </w:r>
      <w:r>
        <w:rPr>
          <w:rFonts w:ascii="Times New Roman" w:hAnsi="Times New Roman"/>
          <w:sz w:val="24"/>
          <w:szCs w:val="24"/>
        </w:rPr>
        <w:t xml:space="preserve">.  </w:t>
      </w:r>
      <w:r w:rsidRPr="00664135">
        <w:rPr>
          <w:rFonts w:ascii="Times New Roman" w:hAnsi="Times New Roman"/>
          <w:sz w:val="24"/>
          <w:szCs w:val="24"/>
        </w:rPr>
        <w:t>The range within which the Secretary may set such charges must be between one-fourth of one percent per annum and one percent per annum of the amount of the principal obligation of the mortgage outstanding at any time.</w:t>
      </w:r>
      <w:r w:rsidR="009441CE">
        <w:rPr>
          <w:rFonts w:ascii="Times New Roman" w:hAnsi="Times New Roman"/>
          <w:sz w:val="24"/>
          <w:szCs w:val="24"/>
        </w:rPr>
        <w:t xml:space="preserve"> </w:t>
      </w:r>
      <w:r w:rsidRPr="00664135">
        <w:rPr>
          <w:rFonts w:ascii="Times New Roman" w:hAnsi="Times New Roman"/>
          <w:sz w:val="24"/>
          <w:szCs w:val="24"/>
        </w:rPr>
        <w:t xml:space="preserve"> (See 12 U.S.C. 1709(c)(1))</w:t>
      </w:r>
      <w:r>
        <w:rPr>
          <w:rFonts w:ascii="Times New Roman" w:hAnsi="Times New Roman"/>
          <w:sz w:val="24"/>
          <w:szCs w:val="24"/>
        </w:rPr>
        <w:t xml:space="preserve">.  </w:t>
      </w:r>
      <w:r w:rsidR="007532A4" w:rsidRPr="000E392B">
        <w:rPr>
          <w:rFonts w:ascii="Times New Roman" w:hAnsi="Times New Roman"/>
          <w:sz w:val="24"/>
          <w:szCs w:val="24"/>
        </w:rPr>
        <w:t xml:space="preserve">HUD’s Multifamily Housing Mortgage Insurance regulation at 24 CFR 207.254 provides </w:t>
      </w:r>
      <w:r w:rsidR="007532A4">
        <w:rPr>
          <w:rFonts w:ascii="Times New Roman" w:hAnsi="Times New Roman"/>
          <w:sz w:val="24"/>
          <w:szCs w:val="24"/>
        </w:rPr>
        <w:t xml:space="preserve">that HUD must publish a notice of future premium changes  in </w:t>
      </w:r>
      <w:r w:rsidR="007532A4" w:rsidRPr="000E392B">
        <w:rPr>
          <w:rFonts w:ascii="Times New Roman" w:hAnsi="Times New Roman"/>
          <w:sz w:val="24"/>
          <w:szCs w:val="24"/>
        </w:rPr>
        <w:t xml:space="preserve">the </w:t>
      </w:r>
      <w:r w:rsidR="007532A4" w:rsidRPr="00652E8D">
        <w:rPr>
          <w:rFonts w:ascii="Times New Roman" w:hAnsi="Times New Roman"/>
          <w:sz w:val="24"/>
          <w:szCs w:val="24"/>
          <w:u w:val="words"/>
        </w:rPr>
        <w:t>Federal Register</w:t>
      </w:r>
      <w:r w:rsidR="007532A4">
        <w:rPr>
          <w:rFonts w:ascii="Times New Roman" w:hAnsi="Times New Roman"/>
          <w:sz w:val="24"/>
          <w:szCs w:val="24"/>
        </w:rPr>
        <w:t xml:space="preserve">, and </w:t>
      </w:r>
      <w:r w:rsidR="007532A4" w:rsidRPr="000E392B">
        <w:rPr>
          <w:rFonts w:ascii="Times New Roman" w:hAnsi="Times New Roman"/>
          <w:sz w:val="24"/>
          <w:szCs w:val="24"/>
        </w:rPr>
        <w:t xml:space="preserve"> provide a 30-day public comment period for the purpose of accepting comments on whether the proposed changes are appropriate.  </w:t>
      </w:r>
    </w:p>
    <w:p w:rsidR="004E73B9" w:rsidRPr="000E392B" w:rsidRDefault="007532A4" w:rsidP="004E73B9">
      <w:pPr>
        <w:spacing w:line="480" w:lineRule="auto"/>
        <w:rPr>
          <w:rFonts w:ascii="Times New Roman" w:hAnsi="Times New Roman"/>
          <w:sz w:val="24"/>
          <w:szCs w:val="24"/>
        </w:rPr>
      </w:pPr>
      <w:r>
        <w:rPr>
          <w:rFonts w:ascii="Times New Roman" w:hAnsi="Times New Roman"/>
          <w:sz w:val="24"/>
          <w:szCs w:val="24"/>
        </w:rPr>
        <w:tab/>
      </w:r>
      <w:r w:rsidR="0099697C">
        <w:rPr>
          <w:rFonts w:ascii="Times New Roman" w:hAnsi="Times New Roman"/>
          <w:sz w:val="24"/>
          <w:szCs w:val="24"/>
        </w:rPr>
        <w:t xml:space="preserve">On October 2, 2015, HUD published a notice in the </w:t>
      </w:r>
      <w:r w:rsidR="0099697C" w:rsidRPr="0099697C">
        <w:rPr>
          <w:rFonts w:ascii="Times New Roman" w:hAnsi="Times New Roman"/>
          <w:sz w:val="24"/>
          <w:szCs w:val="24"/>
          <w:u w:val="words"/>
        </w:rPr>
        <w:t>Federal Register</w:t>
      </w:r>
      <w:r w:rsidR="0099697C">
        <w:rPr>
          <w:rFonts w:ascii="Times New Roman" w:hAnsi="Times New Roman"/>
          <w:sz w:val="24"/>
          <w:szCs w:val="24"/>
        </w:rPr>
        <w:t xml:space="preserve"> (80 FR 59809)</w:t>
      </w:r>
      <w:r w:rsidR="0099697C" w:rsidRPr="00F9044D">
        <w:rPr>
          <w:rFonts w:ascii="Times New Roman" w:eastAsiaTheme="minorHAnsi" w:hAnsi="Times New Roman"/>
          <w:sz w:val="24"/>
          <w:szCs w:val="24"/>
        </w:rPr>
        <w:t xml:space="preserve"> </w:t>
      </w:r>
      <w:r w:rsidR="0099697C">
        <w:rPr>
          <w:rFonts w:ascii="Times New Roman" w:eastAsiaTheme="minorHAnsi" w:hAnsi="Times New Roman"/>
          <w:sz w:val="24"/>
          <w:szCs w:val="24"/>
        </w:rPr>
        <w:t xml:space="preserve">announcing </w:t>
      </w:r>
      <w:r w:rsidR="0099697C" w:rsidRPr="00641E77">
        <w:rPr>
          <w:rFonts w:ascii="Times New Roman" w:eastAsiaTheme="minorHAnsi" w:hAnsi="Times New Roman"/>
          <w:sz w:val="24"/>
          <w:szCs w:val="24"/>
        </w:rPr>
        <w:t>the</w:t>
      </w:r>
      <w:r w:rsidR="0099697C">
        <w:rPr>
          <w:rFonts w:ascii="Times New Roman" w:eastAsiaTheme="minorHAnsi" w:hAnsi="Times New Roman"/>
          <w:sz w:val="24"/>
          <w:szCs w:val="24"/>
        </w:rPr>
        <w:t xml:space="preserve"> </w:t>
      </w:r>
      <w:r w:rsidR="0099697C" w:rsidRPr="00641E77">
        <w:rPr>
          <w:rFonts w:ascii="Times New Roman" w:eastAsiaTheme="minorHAnsi" w:hAnsi="Times New Roman"/>
          <w:sz w:val="24"/>
          <w:szCs w:val="24"/>
        </w:rPr>
        <w:t>MIPs</w:t>
      </w:r>
      <w:r w:rsidR="0099697C">
        <w:rPr>
          <w:rFonts w:ascii="Times New Roman" w:eastAsiaTheme="minorHAnsi" w:hAnsi="Times New Roman"/>
          <w:sz w:val="24"/>
          <w:szCs w:val="24"/>
        </w:rPr>
        <w:t xml:space="preserve"> </w:t>
      </w:r>
      <w:r w:rsidR="0099697C" w:rsidRPr="00641E77">
        <w:rPr>
          <w:rFonts w:ascii="Times New Roman" w:eastAsiaTheme="minorHAnsi" w:hAnsi="Times New Roman"/>
          <w:sz w:val="24"/>
          <w:szCs w:val="24"/>
        </w:rPr>
        <w:t>for FHA Multifamily, Health Care</w:t>
      </w:r>
      <w:r w:rsidR="0099697C">
        <w:rPr>
          <w:rFonts w:ascii="Times New Roman" w:eastAsiaTheme="minorHAnsi" w:hAnsi="Times New Roman"/>
          <w:sz w:val="24"/>
          <w:szCs w:val="24"/>
        </w:rPr>
        <w:t xml:space="preserve"> </w:t>
      </w:r>
      <w:r w:rsidR="0099697C" w:rsidRPr="00F9044D">
        <w:rPr>
          <w:rFonts w:ascii="Times New Roman" w:eastAsiaTheme="minorHAnsi" w:hAnsi="Times New Roman"/>
          <w:sz w:val="24"/>
          <w:szCs w:val="24"/>
        </w:rPr>
        <w:t>Fa</w:t>
      </w:r>
      <w:r w:rsidR="0099697C" w:rsidRPr="00641E77">
        <w:rPr>
          <w:rFonts w:ascii="Times New Roman" w:eastAsiaTheme="minorHAnsi" w:hAnsi="Times New Roman"/>
          <w:sz w:val="24"/>
          <w:szCs w:val="24"/>
        </w:rPr>
        <w:t>cilities, and Hospital mortgage</w:t>
      </w:r>
      <w:r w:rsidR="0099697C">
        <w:rPr>
          <w:rFonts w:ascii="Times New Roman" w:eastAsiaTheme="minorHAnsi" w:hAnsi="Times New Roman"/>
          <w:sz w:val="24"/>
          <w:szCs w:val="24"/>
        </w:rPr>
        <w:t xml:space="preserve"> </w:t>
      </w:r>
      <w:r w:rsidR="0099697C" w:rsidRPr="00641E77">
        <w:rPr>
          <w:rFonts w:ascii="Times New Roman" w:eastAsiaTheme="minorHAnsi" w:hAnsi="Times New Roman"/>
          <w:sz w:val="24"/>
          <w:szCs w:val="24"/>
        </w:rPr>
        <w:t>insurance programs that have</w:t>
      </w:r>
      <w:r w:rsidR="0099697C">
        <w:rPr>
          <w:rFonts w:ascii="Times New Roman" w:eastAsiaTheme="minorHAnsi" w:hAnsi="Times New Roman"/>
          <w:sz w:val="24"/>
          <w:szCs w:val="24"/>
        </w:rPr>
        <w:t xml:space="preserve"> </w:t>
      </w:r>
      <w:r w:rsidR="0099697C" w:rsidRPr="00F9044D">
        <w:rPr>
          <w:rFonts w:ascii="Times New Roman" w:eastAsiaTheme="minorHAnsi" w:hAnsi="Times New Roman"/>
          <w:sz w:val="24"/>
          <w:szCs w:val="24"/>
        </w:rPr>
        <w:t>commitme</w:t>
      </w:r>
      <w:r w:rsidR="0099697C" w:rsidRPr="00641E77">
        <w:rPr>
          <w:rFonts w:ascii="Times New Roman" w:eastAsiaTheme="minorHAnsi" w:hAnsi="Times New Roman"/>
          <w:sz w:val="24"/>
          <w:szCs w:val="24"/>
        </w:rPr>
        <w:t>nts to be issued or reissued in</w:t>
      </w:r>
      <w:r w:rsidR="0099697C">
        <w:rPr>
          <w:rFonts w:ascii="Times New Roman" w:eastAsiaTheme="minorHAnsi" w:hAnsi="Times New Roman"/>
          <w:sz w:val="24"/>
          <w:szCs w:val="24"/>
        </w:rPr>
        <w:t xml:space="preserve"> FY</w:t>
      </w:r>
      <w:r w:rsidR="0099697C" w:rsidRPr="00F9044D">
        <w:rPr>
          <w:rFonts w:ascii="Times New Roman" w:eastAsiaTheme="minorHAnsi" w:hAnsi="Times New Roman"/>
          <w:sz w:val="24"/>
          <w:szCs w:val="24"/>
        </w:rPr>
        <w:t xml:space="preserve"> 2016</w:t>
      </w:r>
      <w:r>
        <w:rPr>
          <w:rFonts w:ascii="Times New Roman" w:eastAsiaTheme="minorHAnsi" w:hAnsi="Times New Roman"/>
          <w:sz w:val="24"/>
          <w:szCs w:val="24"/>
        </w:rPr>
        <w:t xml:space="preserve"> would be the same as those published for FY 2015</w:t>
      </w:r>
      <w:r w:rsidR="0099697C" w:rsidRPr="0099697C">
        <w:rPr>
          <w:rFonts w:ascii="Times New Roman" w:eastAsiaTheme="minorHAnsi" w:hAnsi="Times New Roman"/>
          <w:sz w:val="24"/>
          <w:szCs w:val="24"/>
        </w:rPr>
        <w:t>.</w:t>
      </w:r>
      <w:r>
        <w:rPr>
          <w:rFonts w:ascii="Times New Roman" w:hAnsi="Times New Roman"/>
          <w:sz w:val="24"/>
          <w:szCs w:val="24"/>
        </w:rPr>
        <w:t xml:space="preserve">  HUD then </w:t>
      </w:r>
      <w:r w:rsidR="009441CE">
        <w:rPr>
          <w:rFonts w:ascii="Times New Roman" w:hAnsi="Times New Roman"/>
          <w:sz w:val="24"/>
          <w:szCs w:val="24"/>
        </w:rPr>
        <w:t>published</w:t>
      </w:r>
      <w:r>
        <w:rPr>
          <w:rFonts w:ascii="Times New Roman" w:hAnsi="Times New Roman"/>
          <w:sz w:val="24"/>
          <w:szCs w:val="24"/>
        </w:rPr>
        <w:t xml:space="preserve"> a notice o</w:t>
      </w:r>
      <w:r w:rsidR="00F56EF7">
        <w:rPr>
          <w:rFonts w:ascii="Times New Roman" w:hAnsi="Times New Roman"/>
          <w:sz w:val="24"/>
          <w:szCs w:val="24"/>
        </w:rPr>
        <w:t xml:space="preserve">n January 28, 2016, </w:t>
      </w:r>
      <w:r>
        <w:rPr>
          <w:rFonts w:ascii="Times New Roman" w:hAnsi="Times New Roman"/>
          <w:sz w:val="24"/>
          <w:szCs w:val="24"/>
        </w:rPr>
        <w:t>at 81 FR 4926</w:t>
      </w:r>
      <w:r w:rsidR="004E73B9">
        <w:rPr>
          <w:rFonts w:ascii="Times New Roman" w:hAnsi="Times New Roman"/>
          <w:sz w:val="24"/>
          <w:szCs w:val="24"/>
        </w:rPr>
        <w:t>,</w:t>
      </w:r>
      <w:r w:rsidRPr="00F9044D">
        <w:rPr>
          <w:rFonts w:ascii="Times New Roman" w:eastAsiaTheme="minorHAnsi" w:hAnsi="Times New Roman"/>
          <w:sz w:val="24"/>
          <w:szCs w:val="24"/>
        </w:rPr>
        <w:t xml:space="preserve"> </w:t>
      </w:r>
      <w:r>
        <w:rPr>
          <w:rFonts w:ascii="Times New Roman" w:hAnsi="Times New Roman"/>
          <w:sz w:val="24"/>
          <w:szCs w:val="24"/>
        </w:rPr>
        <w:t>announcing</w:t>
      </w:r>
      <w:r w:rsidRPr="000E392B">
        <w:rPr>
          <w:rFonts w:ascii="Times New Roman" w:hAnsi="Times New Roman"/>
          <w:sz w:val="24"/>
          <w:szCs w:val="24"/>
        </w:rPr>
        <w:t xml:space="preserve"> </w:t>
      </w:r>
      <w:r>
        <w:rPr>
          <w:rFonts w:ascii="Times New Roman" w:hAnsi="Times New Roman"/>
          <w:sz w:val="24"/>
          <w:szCs w:val="24"/>
        </w:rPr>
        <w:t xml:space="preserve">proposed MIP </w:t>
      </w:r>
      <w:r w:rsidRPr="000E392B">
        <w:rPr>
          <w:rFonts w:ascii="Times New Roman" w:hAnsi="Times New Roman"/>
          <w:sz w:val="24"/>
          <w:szCs w:val="24"/>
        </w:rPr>
        <w:t xml:space="preserve">changes </w:t>
      </w:r>
      <w:r>
        <w:rPr>
          <w:rFonts w:ascii="Times New Roman" w:hAnsi="Times New Roman"/>
          <w:sz w:val="24"/>
          <w:szCs w:val="24"/>
        </w:rPr>
        <w:t xml:space="preserve">for FY </w:t>
      </w:r>
      <w:r w:rsidRPr="000E392B">
        <w:rPr>
          <w:rFonts w:ascii="Times New Roman" w:hAnsi="Times New Roman"/>
          <w:sz w:val="24"/>
          <w:szCs w:val="24"/>
        </w:rPr>
        <w:t>201</w:t>
      </w:r>
      <w:r>
        <w:rPr>
          <w:rFonts w:ascii="Times New Roman" w:hAnsi="Times New Roman"/>
          <w:sz w:val="24"/>
          <w:szCs w:val="24"/>
        </w:rPr>
        <w:t>6</w:t>
      </w:r>
      <w:r w:rsidRPr="000E392B">
        <w:rPr>
          <w:rFonts w:ascii="Times New Roman" w:hAnsi="Times New Roman"/>
          <w:sz w:val="24"/>
          <w:szCs w:val="24"/>
        </w:rPr>
        <w:t xml:space="preserve"> in </w:t>
      </w:r>
      <w:r>
        <w:rPr>
          <w:rFonts w:ascii="Times New Roman" w:hAnsi="Times New Roman"/>
          <w:sz w:val="24"/>
          <w:szCs w:val="24"/>
        </w:rPr>
        <w:t xml:space="preserve">certain </w:t>
      </w:r>
      <w:r w:rsidRPr="000E392B">
        <w:rPr>
          <w:rFonts w:ascii="Times New Roman" w:hAnsi="Times New Roman"/>
          <w:sz w:val="24"/>
          <w:szCs w:val="24"/>
        </w:rPr>
        <w:t xml:space="preserve">programs authorized under the National Housing Act (the Act) (12 U.S.C. 1709(c)(1)), and certain other multifamily </w:t>
      </w:r>
      <w:r w:rsidRPr="000E392B">
        <w:rPr>
          <w:rFonts w:ascii="Times New Roman" w:hAnsi="Times New Roman"/>
          <w:sz w:val="24"/>
          <w:szCs w:val="24"/>
        </w:rPr>
        <w:lastRenderedPageBreak/>
        <w:t>programs</w:t>
      </w:r>
      <w:r>
        <w:rPr>
          <w:rFonts w:ascii="Times New Roman" w:hAnsi="Times New Roman"/>
          <w:sz w:val="24"/>
          <w:szCs w:val="24"/>
        </w:rPr>
        <w:t xml:space="preserve">. </w:t>
      </w:r>
      <w:r w:rsidR="004E73B9">
        <w:rPr>
          <w:rFonts w:ascii="Times New Roman" w:hAnsi="Times New Roman"/>
          <w:sz w:val="24"/>
          <w:szCs w:val="24"/>
        </w:rPr>
        <w:t xml:space="preserve">The January 28, 2016 notice was proposed to promote two of HUD’s mission priorities: affordable housing, and energy efficiency.  </w:t>
      </w:r>
      <w:r>
        <w:rPr>
          <w:rFonts w:ascii="Times New Roman" w:hAnsi="Times New Roman"/>
          <w:sz w:val="24"/>
          <w:szCs w:val="24"/>
        </w:rPr>
        <w:t xml:space="preserve"> </w:t>
      </w:r>
      <w:r w:rsidR="004E73B9">
        <w:rPr>
          <w:rFonts w:ascii="Times New Roman" w:hAnsi="Times New Roman"/>
          <w:sz w:val="24"/>
          <w:szCs w:val="24"/>
        </w:rPr>
        <w:t xml:space="preserve">HUD also sought public comment on the proposed changes, as required by 24 CFR 207.254.  </w:t>
      </w:r>
    </w:p>
    <w:p w:rsidR="009441CE" w:rsidRDefault="009441CE" w:rsidP="009441CE">
      <w:pPr>
        <w:kinsoku w:val="0"/>
        <w:overflowPunct w:val="0"/>
        <w:spacing w:line="480" w:lineRule="auto"/>
        <w:textAlignment w:val="baseline"/>
        <w:rPr>
          <w:rFonts w:ascii="Times New Roman" w:hAnsi="Times New Roman"/>
          <w:b/>
          <w:sz w:val="24"/>
          <w:szCs w:val="24"/>
        </w:rPr>
      </w:pPr>
      <w:r>
        <w:rPr>
          <w:rFonts w:ascii="Times New Roman" w:hAnsi="Times New Roman"/>
          <w:b/>
          <w:sz w:val="24"/>
          <w:szCs w:val="24"/>
        </w:rPr>
        <w:t>III. Public Comments</w:t>
      </w:r>
    </w:p>
    <w:p w:rsidR="009441CE" w:rsidRDefault="009441CE" w:rsidP="009441CE">
      <w:pPr>
        <w:kinsoku w:val="0"/>
        <w:overflowPunct w:val="0"/>
        <w:spacing w:line="480" w:lineRule="auto"/>
        <w:textAlignment w:val="baseline"/>
        <w:rPr>
          <w:rFonts w:ascii="Times New Roman" w:hAnsi="Times New Roman"/>
          <w:sz w:val="24"/>
          <w:szCs w:val="24"/>
        </w:rPr>
      </w:pPr>
      <w:r>
        <w:rPr>
          <w:rFonts w:ascii="Times New Roman" w:hAnsi="Times New Roman"/>
          <w:sz w:val="24"/>
          <w:szCs w:val="24"/>
        </w:rPr>
        <w:tab/>
      </w:r>
      <w:r w:rsidRPr="00F61EE6">
        <w:rPr>
          <w:rFonts w:ascii="Times New Roman" w:hAnsi="Times New Roman"/>
          <w:sz w:val="24"/>
          <w:szCs w:val="24"/>
        </w:rPr>
        <w:t xml:space="preserve">The public comment period on </w:t>
      </w:r>
      <w:r>
        <w:rPr>
          <w:rFonts w:ascii="Times New Roman" w:hAnsi="Times New Roman"/>
          <w:sz w:val="24"/>
          <w:szCs w:val="24"/>
        </w:rPr>
        <w:t>the January 28, 2016</w:t>
      </w:r>
      <w:r w:rsidRPr="00F61EE6">
        <w:rPr>
          <w:rFonts w:ascii="Times New Roman" w:hAnsi="Times New Roman"/>
          <w:sz w:val="24"/>
          <w:szCs w:val="24"/>
        </w:rPr>
        <w:t xml:space="preserve">, notice closed on </w:t>
      </w:r>
      <w:r>
        <w:rPr>
          <w:rFonts w:ascii="Times New Roman" w:hAnsi="Times New Roman"/>
          <w:sz w:val="24"/>
          <w:szCs w:val="24"/>
        </w:rPr>
        <w:t>February 17, 2016</w:t>
      </w:r>
      <w:r w:rsidRPr="00F61EE6">
        <w:rPr>
          <w:rFonts w:ascii="Times New Roman" w:hAnsi="Times New Roman"/>
          <w:sz w:val="24"/>
          <w:szCs w:val="24"/>
        </w:rPr>
        <w:t xml:space="preserve">, and HUD received </w:t>
      </w:r>
      <w:r>
        <w:rPr>
          <w:rFonts w:ascii="Times New Roman" w:hAnsi="Times New Roman"/>
          <w:sz w:val="24"/>
          <w:szCs w:val="24"/>
        </w:rPr>
        <w:t>19</w:t>
      </w:r>
      <w:r w:rsidRPr="00F61EE6">
        <w:rPr>
          <w:rFonts w:ascii="Times New Roman" w:hAnsi="Times New Roman"/>
          <w:sz w:val="24"/>
          <w:szCs w:val="24"/>
        </w:rPr>
        <w:t xml:space="preserve"> public comments by the close of the public comment period.  Comments were submitted by mortgage lenders, organizations representative of the health care industry and of the home building industry, private citizens, and other interested parties.  All public comments can be found on </w:t>
      </w:r>
      <w:hyperlink r:id="rId9" w:history="1">
        <w:r w:rsidRPr="00F61EE6">
          <w:rPr>
            <w:rStyle w:val="Hyperlink"/>
            <w:rFonts w:ascii="Times New Roman" w:hAnsi="Times New Roman"/>
            <w:sz w:val="24"/>
            <w:szCs w:val="24"/>
          </w:rPr>
          <w:t>www.regulations.gov</w:t>
        </w:r>
      </w:hyperlink>
      <w:r w:rsidRPr="00F61EE6">
        <w:rPr>
          <w:rFonts w:ascii="Times New Roman" w:hAnsi="Times New Roman"/>
          <w:sz w:val="24"/>
          <w:szCs w:val="24"/>
        </w:rPr>
        <w:t xml:space="preserve"> under the docket number FR-5</w:t>
      </w:r>
      <w:r>
        <w:rPr>
          <w:rFonts w:ascii="Times New Roman" w:hAnsi="Times New Roman"/>
          <w:sz w:val="24"/>
          <w:szCs w:val="24"/>
        </w:rPr>
        <w:t>876</w:t>
      </w:r>
      <w:r w:rsidRPr="00F61EE6">
        <w:rPr>
          <w:rFonts w:ascii="Times New Roman" w:hAnsi="Times New Roman"/>
          <w:sz w:val="24"/>
          <w:szCs w:val="24"/>
        </w:rPr>
        <w:t>-N-01.  The following presents the key issues raised by commenters and HUD’s response to these issues.</w:t>
      </w:r>
    </w:p>
    <w:p w:rsidR="009441CE" w:rsidRPr="009441CE" w:rsidRDefault="009441CE" w:rsidP="009441CE">
      <w:pPr>
        <w:spacing w:line="480" w:lineRule="auto"/>
        <w:rPr>
          <w:rFonts w:ascii="Times New Roman" w:hAnsi="Times New Roman"/>
          <w:b/>
          <w:sz w:val="24"/>
          <w:szCs w:val="24"/>
        </w:rPr>
      </w:pPr>
      <w:r w:rsidRPr="009441CE">
        <w:rPr>
          <w:rFonts w:ascii="Times New Roman" w:hAnsi="Times New Roman"/>
          <w:b/>
          <w:sz w:val="24"/>
          <w:szCs w:val="24"/>
        </w:rPr>
        <w:t>Authority</w:t>
      </w:r>
    </w:p>
    <w:p w:rsidR="009441CE" w:rsidRPr="00AF2F9F" w:rsidRDefault="009441CE" w:rsidP="009441CE">
      <w:pPr>
        <w:spacing w:line="480" w:lineRule="auto"/>
        <w:rPr>
          <w:rFonts w:ascii="Times New Roman" w:eastAsia="Arial" w:hAnsi="Times New Roman"/>
          <w:color w:val="000000"/>
          <w:sz w:val="24"/>
          <w:szCs w:val="24"/>
        </w:rPr>
      </w:pPr>
      <w:r w:rsidRPr="00AF2F9F">
        <w:rPr>
          <w:rFonts w:ascii="Times New Roman" w:hAnsi="Times New Roman"/>
          <w:i/>
          <w:sz w:val="24"/>
          <w:szCs w:val="24"/>
        </w:rPr>
        <w:tab/>
        <w:t>Comment</w:t>
      </w:r>
      <w:r w:rsidRPr="00AF2F9F">
        <w:rPr>
          <w:rFonts w:ascii="Times New Roman" w:hAnsi="Times New Roman"/>
          <w:sz w:val="24"/>
          <w:szCs w:val="24"/>
        </w:rPr>
        <w:t xml:space="preserve">: </w:t>
      </w:r>
      <w:r>
        <w:rPr>
          <w:rFonts w:ascii="Times New Roman" w:hAnsi="Times New Roman"/>
          <w:sz w:val="24"/>
          <w:szCs w:val="24"/>
        </w:rPr>
        <w:t xml:space="preserve"> </w:t>
      </w:r>
      <w:r w:rsidRPr="00AF2F9F">
        <w:rPr>
          <w:rFonts w:ascii="Times New Roman" w:hAnsi="Times New Roman"/>
          <w:sz w:val="24"/>
          <w:szCs w:val="24"/>
        </w:rPr>
        <w:t xml:space="preserve">One commenter stated that </w:t>
      </w:r>
      <w:r w:rsidRPr="00AF2F9F">
        <w:rPr>
          <w:rFonts w:ascii="Times New Roman" w:eastAsia="Arial" w:hAnsi="Times New Roman"/>
          <w:color w:val="000000"/>
          <w:sz w:val="24"/>
          <w:szCs w:val="24"/>
        </w:rPr>
        <w:t>HUD had not demonstrated its authority</w:t>
      </w:r>
      <w:r>
        <w:rPr>
          <w:rFonts w:ascii="Times New Roman" w:eastAsia="Arial" w:hAnsi="Times New Roman"/>
          <w:color w:val="000000"/>
          <w:sz w:val="24"/>
          <w:szCs w:val="24"/>
        </w:rPr>
        <w:t xml:space="preserve"> to implement these MIP changes, and another commenter asked if HUD would be issuing additional regulations to confirm the appropriate MIP.</w:t>
      </w:r>
    </w:p>
    <w:p w:rsidR="009441CE" w:rsidRPr="002306B2" w:rsidRDefault="009441CE" w:rsidP="009441CE">
      <w:pPr>
        <w:spacing w:line="480" w:lineRule="auto"/>
        <w:rPr>
          <w:rFonts w:ascii="Times New Roman" w:hAnsi="Times New Roman"/>
          <w:sz w:val="24"/>
          <w:szCs w:val="24"/>
        </w:rPr>
      </w:pPr>
      <w:r w:rsidRPr="00AF2F9F">
        <w:rPr>
          <w:rFonts w:ascii="Times New Roman" w:eastAsia="Arial" w:hAnsi="Times New Roman"/>
          <w:i/>
          <w:color w:val="000000"/>
          <w:sz w:val="24"/>
          <w:szCs w:val="24"/>
        </w:rPr>
        <w:tab/>
        <w:t>HUD Response</w:t>
      </w:r>
      <w:r w:rsidRPr="00AF2F9F">
        <w:rPr>
          <w:rFonts w:ascii="Times New Roman" w:eastAsia="Arial" w:hAnsi="Times New Roman"/>
          <w:color w:val="000000"/>
          <w:sz w:val="24"/>
          <w:szCs w:val="24"/>
        </w:rPr>
        <w:t xml:space="preserve">: We disagree; </w:t>
      </w:r>
      <w:r w:rsidRPr="00AF2F9F">
        <w:rPr>
          <w:rFonts w:ascii="Times New Roman" w:hAnsi="Times New Roman"/>
          <w:sz w:val="24"/>
          <w:szCs w:val="24"/>
        </w:rPr>
        <w:t xml:space="preserve">Section 203(c)(1) of the Act authorizes the Secretary to set the premium charge for insurance of mortgages under the various programs in </w:t>
      </w:r>
      <w:r>
        <w:rPr>
          <w:rFonts w:ascii="Times New Roman" w:hAnsi="Times New Roman"/>
          <w:sz w:val="24"/>
          <w:szCs w:val="24"/>
        </w:rPr>
        <w:t>the</w:t>
      </w:r>
      <w:r w:rsidRPr="00AF2F9F">
        <w:rPr>
          <w:rFonts w:ascii="Times New Roman" w:hAnsi="Times New Roman"/>
          <w:sz w:val="24"/>
          <w:szCs w:val="24"/>
        </w:rPr>
        <w:t xml:space="preserve"> Act</w:t>
      </w:r>
      <w:r>
        <w:rPr>
          <w:rFonts w:ascii="Times New Roman" w:hAnsi="Times New Roman"/>
          <w:sz w:val="24"/>
          <w:szCs w:val="24"/>
        </w:rPr>
        <w:t xml:space="preserve">, and 24 CFR 207.254 provides that HUD will implement future multifamily premium changes by publishing a notice in the </w:t>
      </w:r>
      <w:r>
        <w:rPr>
          <w:rFonts w:ascii="Times New Roman" w:hAnsi="Times New Roman"/>
          <w:sz w:val="24"/>
          <w:szCs w:val="24"/>
          <w:u w:val="single"/>
        </w:rPr>
        <w:t>Federal</w:t>
      </w:r>
      <w:r>
        <w:rPr>
          <w:rFonts w:ascii="Times New Roman" w:hAnsi="Times New Roman"/>
          <w:sz w:val="24"/>
          <w:szCs w:val="24"/>
        </w:rPr>
        <w:t xml:space="preserve"> </w:t>
      </w:r>
      <w:r>
        <w:rPr>
          <w:rFonts w:ascii="Times New Roman" w:hAnsi="Times New Roman"/>
          <w:sz w:val="24"/>
          <w:szCs w:val="24"/>
          <w:u w:val="single"/>
        </w:rPr>
        <w:t>Register</w:t>
      </w:r>
      <w:r>
        <w:rPr>
          <w:rFonts w:ascii="Times New Roman" w:hAnsi="Times New Roman"/>
          <w:sz w:val="24"/>
          <w:szCs w:val="24"/>
        </w:rPr>
        <w:t xml:space="preserve"> and soliciting public comment for 30-days.  HUD has complied with those requirements and no additional regulations must be issued to implement these changes.  </w:t>
      </w:r>
    </w:p>
    <w:p w:rsidR="009441CE" w:rsidRPr="00AF2F9F" w:rsidRDefault="009441CE" w:rsidP="009441CE">
      <w:pPr>
        <w:autoSpaceDE w:val="0"/>
        <w:autoSpaceDN w:val="0"/>
        <w:spacing w:line="480" w:lineRule="auto"/>
        <w:rPr>
          <w:rFonts w:ascii="Times New Roman" w:hAnsi="Times New Roman"/>
          <w:sz w:val="24"/>
          <w:szCs w:val="24"/>
        </w:rPr>
      </w:pPr>
      <w:r w:rsidRPr="00AF2F9F">
        <w:rPr>
          <w:rFonts w:ascii="Times New Roman" w:hAnsi="Times New Roman"/>
          <w:i/>
          <w:sz w:val="24"/>
          <w:szCs w:val="24"/>
        </w:rPr>
        <w:tab/>
        <w:t>Comment:</w:t>
      </w:r>
      <w:r w:rsidRPr="00AF2F9F">
        <w:rPr>
          <w:rFonts w:ascii="Times New Roman" w:hAnsi="Times New Roman"/>
          <w:sz w:val="24"/>
          <w:szCs w:val="24"/>
        </w:rPr>
        <w:t xml:space="preserve"> One commenter observed that MIPs “must be determined based </w:t>
      </w:r>
      <w:r w:rsidRPr="00AF2F9F">
        <w:rPr>
          <w:rFonts w:ascii="Times New Roman" w:hAnsi="Times New Roman"/>
          <w:iCs/>
          <w:sz w:val="24"/>
          <w:szCs w:val="24"/>
        </w:rPr>
        <w:t>on the prudent management of risk to the government of the potential and severity of mortgage losses</w:t>
      </w:r>
      <w:r w:rsidRPr="00AF2F9F">
        <w:rPr>
          <w:rFonts w:ascii="Times New Roman" w:hAnsi="Times New Roman"/>
          <w:sz w:val="24"/>
          <w:szCs w:val="24"/>
        </w:rPr>
        <w:t xml:space="preserve">.” In other </w:t>
      </w:r>
      <w:r w:rsidRPr="00AF2F9F">
        <w:rPr>
          <w:rFonts w:ascii="Times New Roman" w:hAnsi="Times New Roman"/>
          <w:sz w:val="24"/>
          <w:szCs w:val="24"/>
        </w:rPr>
        <w:lastRenderedPageBreak/>
        <w:t xml:space="preserve">words, the MIPs should be set at levels that are actuarially sufficient to cover expected credit losses and other costs. </w:t>
      </w:r>
    </w:p>
    <w:p w:rsidR="009441CE" w:rsidRPr="00C350D4" w:rsidRDefault="009441CE" w:rsidP="009441CE">
      <w:pPr>
        <w:autoSpaceDE w:val="0"/>
        <w:autoSpaceDN w:val="0"/>
        <w:spacing w:line="480" w:lineRule="auto"/>
        <w:rPr>
          <w:rFonts w:ascii="Times New Roman" w:hAnsi="Times New Roman"/>
          <w:bCs/>
          <w:color w:val="262626"/>
          <w:sz w:val="24"/>
          <w:szCs w:val="24"/>
        </w:rPr>
      </w:pPr>
      <w:r w:rsidRPr="00AF2F9F">
        <w:rPr>
          <w:rFonts w:ascii="Times New Roman" w:hAnsi="Times New Roman"/>
          <w:i/>
          <w:sz w:val="24"/>
          <w:szCs w:val="24"/>
        </w:rPr>
        <w:tab/>
        <w:t>HUD Response</w:t>
      </w:r>
      <w:r w:rsidRPr="00AF2F9F">
        <w:rPr>
          <w:rFonts w:ascii="Times New Roman" w:hAnsi="Times New Roman"/>
          <w:sz w:val="24"/>
          <w:szCs w:val="24"/>
        </w:rPr>
        <w:t>:  HUD agrees; portfolio and actuarial analysis of the new rate structure demonstrated that premium revenues will exceed losses for the foreseeable future</w:t>
      </w:r>
      <w:r w:rsidRPr="00AF2F9F">
        <w:rPr>
          <w:rFonts w:ascii="Times New Roman" w:hAnsi="Times New Roman"/>
          <w:bCs/>
          <w:sz w:val="24"/>
          <w:szCs w:val="24"/>
        </w:rPr>
        <w:t xml:space="preserve">. </w:t>
      </w:r>
    </w:p>
    <w:p w:rsidR="009441CE" w:rsidRPr="00F61EE6" w:rsidRDefault="009441CE" w:rsidP="009441CE">
      <w:pPr>
        <w:spacing w:line="480" w:lineRule="auto"/>
        <w:rPr>
          <w:rFonts w:ascii="Times New Roman" w:hAnsi="Times New Roman"/>
          <w:b/>
          <w:sz w:val="24"/>
          <w:szCs w:val="24"/>
          <w:u w:val="single"/>
        </w:rPr>
      </w:pPr>
      <w:r w:rsidRPr="00AF2F9F">
        <w:rPr>
          <w:rFonts w:ascii="Times New Roman" w:hAnsi="Times New Roman"/>
          <w:b/>
          <w:sz w:val="24"/>
          <w:szCs w:val="24"/>
          <w:u w:val="single"/>
        </w:rPr>
        <w:t>Applicability of New Rates</w:t>
      </w:r>
    </w:p>
    <w:p w:rsidR="009441CE" w:rsidRPr="00AF2F9F" w:rsidRDefault="009441CE" w:rsidP="009441CE">
      <w:pPr>
        <w:spacing w:line="480" w:lineRule="auto"/>
        <w:textAlignment w:val="baseline"/>
        <w:rPr>
          <w:rFonts w:ascii="Times New Roman" w:hAnsi="Times New Roman"/>
          <w:color w:val="000000"/>
          <w:spacing w:val="-2"/>
          <w:sz w:val="24"/>
          <w:szCs w:val="24"/>
        </w:rPr>
      </w:pPr>
      <w:r>
        <w:rPr>
          <w:rFonts w:ascii="Times New Roman" w:hAnsi="Times New Roman"/>
          <w:i/>
          <w:sz w:val="24"/>
          <w:szCs w:val="24"/>
        </w:rPr>
        <w:tab/>
      </w:r>
      <w:r w:rsidRPr="00AF2F9F">
        <w:rPr>
          <w:rFonts w:ascii="Times New Roman" w:hAnsi="Times New Roman"/>
          <w:i/>
          <w:sz w:val="24"/>
          <w:szCs w:val="24"/>
        </w:rPr>
        <w:t>Comment</w:t>
      </w:r>
      <w:r w:rsidRPr="00AF2F9F">
        <w:rPr>
          <w:rFonts w:ascii="Times New Roman" w:hAnsi="Times New Roman"/>
          <w:sz w:val="24"/>
          <w:szCs w:val="24"/>
        </w:rPr>
        <w:t xml:space="preserve">: Commenters urged HUD to extend MIP changes to programs under FHA’s Office of Healthcare Programs, including health care facilities and the hospital insurance programs, in order to further promote these programs.  </w:t>
      </w:r>
      <w:r>
        <w:rPr>
          <w:rFonts w:ascii="Times New Roman" w:hAnsi="Times New Roman"/>
          <w:sz w:val="24"/>
          <w:szCs w:val="24"/>
        </w:rPr>
        <w:t>T</w:t>
      </w:r>
      <w:r w:rsidRPr="00AF2F9F">
        <w:rPr>
          <w:rFonts w:ascii="Times New Roman" w:hAnsi="Times New Roman"/>
          <w:sz w:val="24"/>
          <w:szCs w:val="24"/>
        </w:rPr>
        <w:t xml:space="preserve">hese commenters suggested that by </w:t>
      </w:r>
      <w:r w:rsidRPr="00AF2F9F">
        <w:rPr>
          <w:rFonts w:ascii="Times New Roman" w:hAnsi="Times New Roman"/>
          <w:color w:val="000000"/>
          <w:spacing w:val="-2"/>
          <w:sz w:val="24"/>
          <w:szCs w:val="24"/>
        </w:rPr>
        <w:t>excluding properties financed under Section 232 and Section 242 programs, HUD misses the opportunity to further the Administration’s healthcare objectives.</w:t>
      </w:r>
    </w:p>
    <w:p w:rsidR="009441CE" w:rsidRPr="00AF2F9F" w:rsidRDefault="009441CE" w:rsidP="009441CE">
      <w:pPr>
        <w:spacing w:line="480" w:lineRule="auto"/>
        <w:textAlignment w:val="baseline"/>
        <w:rPr>
          <w:rFonts w:ascii="Times New Roman" w:hAnsi="Times New Roman"/>
          <w:color w:val="000000"/>
          <w:spacing w:val="-2"/>
          <w:sz w:val="24"/>
          <w:szCs w:val="24"/>
        </w:rPr>
      </w:pPr>
      <w:r>
        <w:rPr>
          <w:rFonts w:ascii="Times New Roman" w:hAnsi="Times New Roman"/>
          <w:i/>
          <w:color w:val="000000"/>
          <w:spacing w:val="-2"/>
          <w:sz w:val="24"/>
          <w:szCs w:val="24"/>
        </w:rPr>
        <w:tab/>
      </w:r>
      <w:r w:rsidRPr="00AF2F9F">
        <w:rPr>
          <w:rFonts w:ascii="Times New Roman" w:hAnsi="Times New Roman"/>
          <w:i/>
          <w:color w:val="000000"/>
          <w:spacing w:val="-2"/>
          <w:sz w:val="24"/>
          <w:szCs w:val="24"/>
        </w:rPr>
        <w:t>HUD Response:</w:t>
      </w:r>
      <w:r w:rsidRPr="00AF2F9F">
        <w:rPr>
          <w:rFonts w:ascii="Times New Roman" w:hAnsi="Times New Roman"/>
          <w:color w:val="000000"/>
          <w:spacing w:val="-2"/>
          <w:sz w:val="24"/>
          <w:szCs w:val="24"/>
        </w:rPr>
        <w:t xml:space="preserve">  HUD will continue to evaluate MIP rates, but </w:t>
      </w:r>
      <w:r>
        <w:rPr>
          <w:rFonts w:ascii="Times New Roman" w:hAnsi="Times New Roman"/>
          <w:color w:val="000000"/>
          <w:spacing w:val="-2"/>
          <w:sz w:val="24"/>
          <w:szCs w:val="24"/>
        </w:rPr>
        <w:t>is</w:t>
      </w:r>
      <w:r w:rsidRPr="00AF2F9F">
        <w:rPr>
          <w:rFonts w:ascii="Times New Roman" w:hAnsi="Times New Roman"/>
          <w:color w:val="000000"/>
          <w:spacing w:val="-2"/>
          <w:sz w:val="24"/>
          <w:szCs w:val="24"/>
        </w:rPr>
        <w:t xml:space="preserve"> not </w:t>
      </w:r>
      <w:r w:rsidRPr="00AF2F9F">
        <w:rPr>
          <w:rFonts w:ascii="Times New Roman" w:hAnsi="Times New Roman"/>
          <w:sz w:val="24"/>
          <w:szCs w:val="24"/>
        </w:rPr>
        <w:t>at this time extend</w:t>
      </w:r>
      <w:r>
        <w:rPr>
          <w:rFonts w:ascii="Times New Roman" w:hAnsi="Times New Roman"/>
          <w:sz w:val="24"/>
          <w:szCs w:val="24"/>
        </w:rPr>
        <w:t>ing</w:t>
      </w:r>
      <w:r w:rsidRPr="00AF2F9F">
        <w:rPr>
          <w:rFonts w:ascii="Times New Roman" w:hAnsi="Times New Roman"/>
          <w:sz w:val="24"/>
          <w:szCs w:val="24"/>
        </w:rPr>
        <w:t xml:space="preserve"> MIP changes to programs under FHA’s Office of Healthcare Programs, including health care facilities and the hospital insurance programs under sections 232 and 242, respectively.</w:t>
      </w:r>
    </w:p>
    <w:p w:rsidR="009441CE" w:rsidRPr="00AF2F9F" w:rsidRDefault="009441CE" w:rsidP="009441CE">
      <w:pPr>
        <w:spacing w:line="480" w:lineRule="auto"/>
        <w:rPr>
          <w:rFonts w:ascii="Times New Roman" w:hAnsi="Times New Roman"/>
          <w:sz w:val="24"/>
          <w:szCs w:val="24"/>
        </w:rPr>
      </w:pPr>
      <w:r>
        <w:rPr>
          <w:rFonts w:ascii="Times New Roman" w:hAnsi="Times New Roman"/>
          <w:sz w:val="24"/>
          <w:szCs w:val="24"/>
        </w:rPr>
        <w:tab/>
      </w:r>
      <w:r w:rsidRPr="00AF2F9F">
        <w:rPr>
          <w:rFonts w:ascii="Times New Roman" w:hAnsi="Times New Roman"/>
          <w:i/>
          <w:sz w:val="24"/>
          <w:szCs w:val="24"/>
        </w:rPr>
        <w:t>Comment:</w:t>
      </w:r>
      <w:r w:rsidRPr="00AF2F9F">
        <w:rPr>
          <w:rFonts w:ascii="Times New Roman" w:hAnsi="Times New Roman"/>
          <w:sz w:val="24"/>
          <w:szCs w:val="24"/>
        </w:rPr>
        <w:t xml:space="preserve">  Commenters asked that the new MIP rates be made available to existing FHA-insured loans on properties that meet or will meet the required standards, to loans undergoing Interest Rate Reductions through HUD’s Multifamily Office of Asset Management and Portfolio Oversight (OAMPO), to loan Modifications through OAMPO, to loans initially endorsed (closed) but not finally endorsed, and to loans on recently built housing (within the past five years) that have or could obtain EnergyStar building certification.</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lastRenderedPageBreak/>
        <w:tab/>
      </w:r>
      <w:r w:rsidRPr="00AF2F9F">
        <w:rPr>
          <w:rFonts w:ascii="Times New Roman" w:hAnsi="Times New Roman"/>
          <w:i/>
          <w:sz w:val="24"/>
          <w:szCs w:val="24"/>
        </w:rPr>
        <w:t>HUD Response</w:t>
      </w:r>
      <w:r w:rsidRPr="00AF2F9F">
        <w:rPr>
          <w:rFonts w:ascii="Times New Roman" w:hAnsi="Times New Roman"/>
          <w:sz w:val="24"/>
          <w:szCs w:val="24"/>
        </w:rPr>
        <w:t xml:space="preserve">: New MIP rates cannot be applied retroactively; each of these scenarios represents already-closed loans.  Therefore, the MIP new rates will become effective only </w:t>
      </w:r>
      <w:r w:rsidRPr="00AF2F9F">
        <w:rPr>
          <w:rFonts w:ascii="Times New Roman" w:hAnsi="Times New Roman"/>
          <w:spacing w:val="4"/>
          <w:sz w:val="24"/>
          <w:szCs w:val="24"/>
        </w:rPr>
        <w:t xml:space="preserve">for FHA firm commitments issued or reissued, and closed, on or after </w:t>
      </w:r>
      <w:r w:rsidRPr="00AF2F9F">
        <w:rPr>
          <w:rFonts w:ascii="Times New Roman" w:hAnsi="Times New Roman"/>
          <w:sz w:val="24"/>
          <w:szCs w:val="24"/>
        </w:rPr>
        <w:t>April 1, 2016.</w:t>
      </w:r>
    </w:p>
    <w:p w:rsidR="009441CE" w:rsidRPr="00AF2F9F" w:rsidRDefault="009441CE" w:rsidP="009441CE">
      <w:pPr>
        <w:spacing w:line="480" w:lineRule="auto"/>
        <w:rPr>
          <w:rFonts w:ascii="Times New Roman" w:hAnsi="Times New Roman"/>
          <w:b/>
          <w:sz w:val="24"/>
          <w:szCs w:val="24"/>
          <w:u w:val="single"/>
        </w:rPr>
      </w:pPr>
      <w:r w:rsidRPr="00AF2F9F">
        <w:rPr>
          <w:rFonts w:ascii="Times New Roman" w:hAnsi="Times New Roman"/>
          <w:b/>
          <w:sz w:val="24"/>
          <w:szCs w:val="24"/>
          <w:u w:val="single"/>
        </w:rPr>
        <w:t>Affordability</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Comment:</w:t>
      </w:r>
      <w:r w:rsidRPr="00AF2F9F">
        <w:rPr>
          <w:rFonts w:ascii="Times New Roman" w:hAnsi="Times New Roman"/>
          <w:sz w:val="24"/>
          <w:szCs w:val="24"/>
        </w:rPr>
        <w:t xml:space="preserve"> Commenters asked for a change to the requirements to qualify for the MIP rate for Broadly Affordable Housing:  properties must have “achievable and underwritten tax credit rents at least 10 percent below comparable market rents.”  Commenters recommended that “achievable and” be deleted because of the confusion it could cause. </w:t>
      </w:r>
    </w:p>
    <w:p w:rsidR="009441CE" w:rsidRPr="00AF2F9F" w:rsidRDefault="009441CE" w:rsidP="009441CE">
      <w:pPr>
        <w:spacing w:line="480" w:lineRule="auto"/>
        <w:rPr>
          <w:rFonts w:ascii="Times New Roman" w:hAnsi="Times New Roman"/>
          <w:bCs/>
          <w:sz w:val="24"/>
          <w:szCs w:val="24"/>
        </w:rPr>
      </w:pPr>
      <w:r>
        <w:rPr>
          <w:rFonts w:ascii="Times New Roman" w:hAnsi="Times New Roman"/>
          <w:i/>
          <w:sz w:val="24"/>
          <w:szCs w:val="24"/>
        </w:rPr>
        <w:tab/>
      </w:r>
      <w:r w:rsidRPr="00AF2F9F">
        <w:rPr>
          <w:rFonts w:ascii="Times New Roman" w:hAnsi="Times New Roman"/>
          <w:i/>
          <w:sz w:val="24"/>
          <w:szCs w:val="24"/>
        </w:rPr>
        <w:t xml:space="preserve">HUD Response: </w:t>
      </w:r>
      <w:r w:rsidRPr="00AF2F9F">
        <w:rPr>
          <w:rFonts w:ascii="Times New Roman" w:hAnsi="Times New Roman"/>
          <w:sz w:val="24"/>
          <w:szCs w:val="24"/>
        </w:rPr>
        <w:t xml:space="preserve"> HUD disagrees.  </w:t>
      </w:r>
      <w:r w:rsidRPr="00AF2F9F">
        <w:rPr>
          <w:rFonts w:ascii="Times New Roman" w:hAnsi="Times New Roman"/>
          <w:bCs/>
          <w:color w:val="000000"/>
          <w:sz w:val="24"/>
          <w:szCs w:val="24"/>
        </w:rPr>
        <w:t>The phrase (“achievable and underwritten tax credit rents at least 10 percent below comparable market rents”) is necessary in order to differentiate from the maximum or ceiling Tax Credit rents, and is widely understood in the industry.</w:t>
      </w:r>
    </w:p>
    <w:p w:rsidR="009441CE" w:rsidRPr="00245AE1" w:rsidRDefault="009441CE" w:rsidP="009441CE">
      <w:pPr>
        <w:spacing w:line="480" w:lineRule="auto"/>
        <w:rPr>
          <w:rFonts w:ascii="Times New Roman" w:hAnsi="Times New Roman"/>
          <w:color w:val="262626"/>
          <w:sz w:val="24"/>
          <w:szCs w:val="24"/>
        </w:rPr>
      </w:pPr>
      <w:r>
        <w:rPr>
          <w:rFonts w:ascii="Times New Roman" w:hAnsi="Times New Roman"/>
          <w:i/>
          <w:sz w:val="24"/>
          <w:szCs w:val="24"/>
        </w:rPr>
        <w:tab/>
      </w:r>
      <w:r w:rsidRPr="00245AE1">
        <w:rPr>
          <w:rFonts w:ascii="Times New Roman" w:hAnsi="Times New Roman"/>
          <w:i/>
          <w:sz w:val="24"/>
          <w:szCs w:val="24"/>
        </w:rPr>
        <w:t>Comment:</w:t>
      </w:r>
      <w:r w:rsidRPr="00245AE1">
        <w:rPr>
          <w:rFonts w:ascii="Times New Roman" w:hAnsi="Times New Roman"/>
          <w:sz w:val="24"/>
          <w:szCs w:val="24"/>
        </w:rPr>
        <w:t xml:space="preserve"> Commenters recommended that properties with greater than 90 percent affordable units, but without a 10 percent underwritten market rent advantage necessary to qualify as Broadly Affordable, should qualify for the Affordable mixed-income MIP rate of 35 basis points</w:t>
      </w:r>
      <w:r w:rsidRPr="00245AE1">
        <w:rPr>
          <w:rFonts w:ascii="Times New Roman" w:hAnsi="Times New Roman"/>
          <w:color w:val="262626"/>
          <w:sz w:val="24"/>
          <w:szCs w:val="24"/>
        </w:rPr>
        <w:t>.</w:t>
      </w:r>
    </w:p>
    <w:p w:rsidR="009441CE" w:rsidRPr="00AF2F9F" w:rsidRDefault="009441CE" w:rsidP="009441CE">
      <w:pPr>
        <w:spacing w:line="480" w:lineRule="auto"/>
        <w:rPr>
          <w:rFonts w:ascii="Times New Roman" w:hAnsi="Times New Roman"/>
          <w:color w:val="262626"/>
          <w:sz w:val="24"/>
          <w:szCs w:val="24"/>
        </w:rPr>
      </w:pPr>
      <w:r w:rsidRPr="00245AE1">
        <w:rPr>
          <w:rFonts w:ascii="Times New Roman" w:hAnsi="Times New Roman"/>
          <w:i/>
          <w:color w:val="262626"/>
          <w:sz w:val="24"/>
          <w:szCs w:val="24"/>
        </w:rPr>
        <w:tab/>
        <w:t>HUD Response:</w:t>
      </w:r>
      <w:r w:rsidRPr="00245AE1">
        <w:rPr>
          <w:rFonts w:ascii="Times New Roman" w:hAnsi="Times New Roman"/>
          <w:color w:val="262626"/>
          <w:sz w:val="24"/>
          <w:szCs w:val="24"/>
        </w:rPr>
        <w:t xml:space="preserve">  HUD agrees, and has made the change in the final notice.</w:t>
      </w:r>
    </w:p>
    <w:p w:rsidR="009441CE" w:rsidRPr="00AF2F9F" w:rsidRDefault="009441CE" w:rsidP="009441CE">
      <w:pPr>
        <w:spacing w:line="480" w:lineRule="auto"/>
        <w:rPr>
          <w:rFonts w:ascii="Times New Roman" w:hAnsi="Times New Roman"/>
          <w:sz w:val="24"/>
          <w:szCs w:val="24"/>
        </w:rPr>
      </w:pPr>
      <w:r>
        <w:rPr>
          <w:rFonts w:ascii="Times New Roman" w:hAnsi="Times New Roman"/>
          <w:color w:val="262626"/>
          <w:sz w:val="24"/>
          <w:szCs w:val="24"/>
        </w:rPr>
        <w:tab/>
      </w:r>
      <w:r w:rsidRPr="00AF2F9F">
        <w:rPr>
          <w:rFonts w:ascii="Times New Roman" w:hAnsi="Times New Roman"/>
          <w:i/>
          <w:color w:val="262626"/>
          <w:sz w:val="24"/>
          <w:szCs w:val="24"/>
        </w:rPr>
        <w:t>Comment</w:t>
      </w:r>
      <w:r w:rsidRPr="00AF2F9F">
        <w:rPr>
          <w:rFonts w:ascii="Times New Roman" w:hAnsi="Times New Roman"/>
          <w:color w:val="262626"/>
          <w:sz w:val="24"/>
          <w:szCs w:val="24"/>
        </w:rPr>
        <w:t xml:space="preserve">: Commenters asked </w:t>
      </w:r>
      <w:r>
        <w:rPr>
          <w:rFonts w:ascii="Times New Roman" w:hAnsi="Times New Roman"/>
          <w:color w:val="262626"/>
          <w:sz w:val="24"/>
          <w:szCs w:val="24"/>
        </w:rPr>
        <w:t>if</w:t>
      </w:r>
      <w:r w:rsidRPr="00AF2F9F">
        <w:rPr>
          <w:rFonts w:ascii="Times New Roman" w:hAnsi="Times New Roman"/>
          <w:sz w:val="24"/>
          <w:szCs w:val="24"/>
        </w:rPr>
        <w:t xml:space="preserve"> a property will qualify for the MIP reduction if it has </w:t>
      </w:r>
      <w:r>
        <w:rPr>
          <w:rFonts w:ascii="Times New Roman" w:hAnsi="Times New Roman"/>
          <w:sz w:val="24"/>
          <w:szCs w:val="24"/>
        </w:rPr>
        <w:t xml:space="preserve">a </w:t>
      </w:r>
      <w:r w:rsidRPr="00AF2F9F">
        <w:rPr>
          <w:rFonts w:ascii="Times New Roman" w:hAnsi="Times New Roman"/>
          <w:sz w:val="24"/>
          <w:szCs w:val="24"/>
        </w:rPr>
        <w:t xml:space="preserve">project-based Section 8 that runs less than 15 years or is not renewed but the owner </w:t>
      </w:r>
      <w:r>
        <w:rPr>
          <w:rFonts w:ascii="Times New Roman" w:hAnsi="Times New Roman"/>
          <w:sz w:val="24"/>
          <w:szCs w:val="24"/>
        </w:rPr>
        <w:t xml:space="preserve">honors </w:t>
      </w:r>
      <w:r w:rsidRPr="00AF2F9F">
        <w:rPr>
          <w:rFonts w:ascii="Times New Roman" w:hAnsi="Times New Roman"/>
          <w:sz w:val="24"/>
          <w:szCs w:val="24"/>
        </w:rPr>
        <w:t>the full 15 year use restriction.</w:t>
      </w:r>
    </w:p>
    <w:p w:rsidR="009441CE"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HUD Response</w:t>
      </w:r>
      <w:r w:rsidRPr="00AF2F9F">
        <w:rPr>
          <w:rFonts w:ascii="Times New Roman" w:hAnsi="Times New Roman"/>
          <w:sz w:val="24"/>
          <w:szCs w:val="24"/>
        </w:rPr>
        <w:t xml:space="preserve">: </w:t>
      </w:r>
      <w:r>
        <w:rPr>
          <w:rFonts w:ascii="Times New Roman" w:hAnsi="Times New Roman"/>
          <w:sz w:val="24"/>
          <w:szCs w:val="24"/>
        </w:rPr>
        <w:t xml:space="preserve"> HUD will be providing the MIP reduction onto to properties that have a </w:t>
      </w:r>
      <w:r w:rsidRPr="00AF2F9F">
        <w:rPr>
          <w:rFonts w:ascii="Times New Roman" w:hAnsi="Times New Roman"/>
          <w:sz w:val="24"/>
          <w:szCs w:val="24"/>
        </w:rPr>
        <w:t xml:space="preserve">Section 8 contract and use restriction </w:t>
      </w:r>
      <w:r>
        <w:rPr>
          <w:rFonts w:ascii="Times New Roman" w:hAnsi="Times New Roman"/>
          <w:sz w:val="24"/>
          <w:szCs w:val="24"/>
        </w:rPr>
        <w:t xml:space="preserve">that </w:t>
      </w:r>
      <w:r w:rsidRPr="00AF2F9F">
        <w:rPr>
          <w:rFonts w:ascii="Times New Roman" w:hAnsi="Times New Roman"/>
          <w:sz w:val="24"/>
          <w:szCs w:val="24"/>
        </w:rPr>
        <w:t>run a minimum of 15 years after final endorsement</w:t>
      </w:r>
      <w:r>
        <w:rPr>
          <w:rFonts w:ascii="Times New Roman" w:hAnsi="Times New Roman"/>
          <w:sz w:val="24"/>
          <w:szCs w:val="24"/>
        </w:rPr>
        <w:t xml:space="preserve">. </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lastRenderedPageBreak/>
        <w:tab/>
      </w:r>
      <w:r w:rsidRPr="00AF2F9F">
        <w:rPr>
          <w:rFonts w:ascii="Times New Roman" w:hAnsi="Times New Roman"/>
          <w:i/>
          <w:sz w:val="24"/>
          <w:szCs w:val="24"/>
        </w:rPr>
        <w:t>Comment:</w:t>
      </w:r>
      <w:r w:rsidRPr="00AF2F9F">
        <w:rPr>
          <w:rFonts w:ascii="Times New Roman" w:hAnsi="Times New Roman"/>
          <w:sz w:val="24"/>
          <w:szCs w:val="24"/>
        </w:rPr>
        <w:t xml:space="preserve"> Commenters recommended that the new MIP rates be available in situations where the property owner accepts Section 8 voucher holders for just the affordable units, rather than an unlimited requirement for the entire property, due to potential property owner concerns about potentially converting an entire property to Section 8 over time in what is intended as a mixed income property.</w:t>
      </w:r>
      <w:r w:rsidR="000843FC">
        <w:rPr>
          <w:rFonts w:ascii="Times New Roman" w:hAnsi="Times New Roman"/>
          <w:sz w:val="24"/>
          <w:szCs w:val="24"/>
        </w:rPr>
        <w:t xml:space="preserve"> </w:t>
      </w:r>
      <w:r w:rsidRPr="00B70BEC">
        <w:rPr>
          <w:rFonts w:ascii="Times New Roman" w:hAnsi="Times New Roman"/>
          <w:bCs/>
          <w:color w:val="262626"/>
          <w:sz w:val="24"/>
          <w:szCs w:val="24"/>
        </w:rPr>
        <w:t xml:space="preserve"> </w:t>
      </w:r>
      <w:r>
        <w:rPr>
          <w:rFonts w:ascii="Times New Roman" w:hAnsi="Times New Roman"/>
          <w:bCs/>
          <w:color w:val="262626"/>
          <w:sz w:val="24"/>
          <w:szCs w:val="24"/>
        </w:rPr>
        <w:t>Another c</w:t>
      </w:r>
      <w:r w:rsidRPr="00AF2F9F">
        <w:rPr>
          <w:rFonts w:ascii="Times New Roman" w:hAnsi="Times New Roman"/>
          <w:bCs/>
          <w:color w:val="262626"/>
          <w:sz w:val="24"/>
          <w:szCs w:val="24"/>
        </w:rPr>
        <w:t xml:space="preserve">ommenter </w:t>
      </w:r>
      <w:r w:rsidR="000843FC">
        <w:rPr>
          <w:rFonts w:ascii="Times New Roman" w:hAnsi="Times New Roman"/>
          <w:bCs/>
          <w:color w:val="262626"/>
          <w:sz w:val="24"/>
          <w:szCs w:val="24"/>
        </w:rPr>
        <w:t>sta</w:t>
      </w:r>
      <w:r w:rsidRPr="00AF2F9F">
        <w:rPr>
          <w:rFonts w:ascii="Times New Roman" w:hAnsi="Times New Roman"/>
          <w:bCs/>
          <w:color w:val="262626"/>
          <w:sz w:val="24"/>
          <w:szCs w:val="24"/>
        </w:rPr>
        <w:t xml:space="preserve">ted that </w:t>
      </w:r>
      <w:r w:rsidRPr="00AF2F9F">
        <w:rPr>
          <w:rFonts w:ascii="Times New Roman" w:hAnsi="Times New Roman"/>
          <w:color w:val="262626"/>
          <w:sz w:val="24"/>
          <w:szCs w:val="24"/>
        </w:rPr>
        <w:t xml:space="preserve">in the definition of </w:t>
      </w:r>
      <w:r w:rsidRPr="00AF2F9F">
        <w:rPr>
          <w:rFonts w:ascii="Times New Roman" w:hAnsi="Times New Roman"/>
          <w:color w:val="383838"/>
          <w:sz w:val="24"/>
          <w:szCs w:val="24"/>
        </w:rPr>
        <w:t xml:space="preserve">Affordable, there </w:t>
      </w:r>
      <w:r w:rsidRPr="00AF2F9F">
        <w:rPr>
          <w:rFonts w:ascii="Times New Roman" w:hAnsi="Times New Roman"/>
          <w:color w:val="262626"/>
          <w:sz w:val="24"/>
          <w:szCs w:val="24"/>
        </w:rPr>
        <w:t xml:space="preserve">is a </w:t>
      </w:r>
      <w:r w:rsidRPr="00AF2F9F">
        <w:rPr>
          <w:rFonts w:ascii="Times New Roman" w:hAnsi="Times New Roman"/>
          <w:color w:val="383838"/>
          <w:sz w:val="24"/>
          <w:szCs w:val="24"/>
        </w:rPr>
        <w:t xml:space="preserve">requirement </w:t>
      </w:r>
      <w:r w:rsidRPr="00AF2F9F">
        <w:rPr>
          <w:rFonts w:ascii="Times New Roman" w:hAnsi="Times New Roman"/>
          <w:color w:val="262626"/>
          <w:sz w:val="24"/>
          <w:szCs w:val="24"/>
        </w:rPr>
        <w:t xml:space="preserve">that the property owner </w:t>
      </w:r>
      <w:r w:rsidRPr="00AF2F9F">
        <w:rPr>
          <w:rFonts w:ascii="Times New Roman" w:hAnsi="Times New Roman"/>
          <w:color w:val="383838"/>
          <w:sz w:val="24"/>
          <w:szCs w:val="24"/>
        </w:rPr>
        <w:t xml:space="preserve">agree </w:t>
      </w:r>
      <w:r w:rsidRPr="00AF2F9F">
        <w:rPr>
          <w:rFonts w:ascii="Times New Roman" w:hAnsi="Times New Roman"/>
          <w:color w:val="262626"/>
          <w:sz w:val="24"/>
          <w:szCs w:val="24"/>
        </w:rPr>
        <w:t xml:space="preserve">to </w:t>
      </w:r>
      <w:r w:rsidRPr="00AF2F9F">
        <w:rPr>
          <w:rFonts w:ascii="Times New Roman" w:hAnsi="Times New Roman"/>
          <w:color w:val="383838"/>
          <w:sz w:val="24"/>
          <w:szCs w:val="24"/>
        </w:rPr>
        <w:t xml:space="preserve">accept </w:t>
      </w:r>
      <w:r w:rsidRPr="00AF2F9F">
        <w:rPr>
          <w:rFonts w:ascii="Times New Roman" w:hAnsi="Times New Roman"/>
          <w:color w:val="262626"/>
          <w:sz w:val="24"/>
          <w:szCs w:val="24"/>
        </w:rPr>
        <w:t xml:space="preserve">Section 8 voucher holders for the life of the </w:t>
      </w:r>
      <w:r w:rsidRPr="00AF2F9F">
        <w:rPr>
          <w:rFonts w:ascii="Times New Roman" w:hAnsi="Times New Roman"/>
          <w:color w:val="121212"/>
          <w:sz w:val="24"/>
          <w:szCs w:val="24"/>
        </w:rPr>
        <w:t xml:space="preserve">loan, and requested that </w:t>
      </w:r>
      <w:r w:rsidRPr="00AF2F9F">
        <w:rPr>
          <w:rFonts w:ascii="Times New Roman" w:hAnsi="Times New Roman"/>
          <w:color w:val="262626"/>
          <w:sz w:val="24"/>
          <w:szCs w:val="24"/>
        </w:rPr>
        <w:t>th</w:t>
      </w:r>
      <w:r w:rsidRPr="00AF2F9F">
        <w:rPr>
          <w:rFonts w:ascii="Times New Roman" w:hAnsi="Times New Roman"/>
          <w:color w:val="5C5A5B"/>
          <w:sz w:val="24"/>
          <w:szCs w:val="24"/>
        </w:rPr>
        <w:t xml:space="preserve">is </w:t>
      </w:r>
      <w:r w:rsidRPr="00AF2F9F">
        <w:rPr>
          <w:rFonts w:ascii="Times New Roman" w:hAnsi="Times New Roman"/>
          <w:color w:val="383838"/>
          <w:sz w:val="24"/>
          <w:szCs w:val="24"/>
        </w:rPr>
        <w:t xml:space="preserve">should </w:t>
      </w:r>
      <w:r w:rsidRPr="00AF2F9F">
        <w:rPr>
          <w:rFonts w:ascii="Times New Roman" w:hAnsi="Times New Roman"/>
          <w:color w:val="262626"/>
          <w:sz w:val="24"/>
          <w:szCs w:val="24"/>
        </w:rPr>
        <w:t xml:space="preserve">be </w:t>
      </w:r>
      <w:r w:rsidRPr="00AF2F9F">
        <w:rPr>
          <w:rFonts w:ascii="Times New Roman" w:hAnsi="Times New Roman"/>
          <w:color w:val="121212"/>
          <w:sz w:val="24"/>
          <w:szCs w:val="24"/>
        </w:rPr>
        <w:t>l</w:t>
      </w:r>
      <w:r w:rsidRPr="00AF2F9F">
        <w:rPr>
          <w:rFonts w:ascii="Times New Roman" w:hAnsi="Times New Roman"/>
          <w:color w:val="383838"/>
          <w:sz w:val="24"/>
          <w:szCs w:val="24"/>
        </w:rPr>
        <w:t xml:space="preserve">imited </w:t>
      </w:r>
      <w:r w:rsidRPr="00AF2F9F">
        <w:rPr>
          <w:rFonts w:ascii="Times New Roman" w:hAnsi="Times New Roman"/>
          <w:color w:val="262626"/>
          <w:sz w:val="24"/>
          <w:szCs w:val="24"/>
        </w:rPr>
        <w:t xml:space="preserve">to the 15 </w:t>
      </w:r>
      <w:r w:rsidRPr="00AF2F9F">
        <w:rPr>
          <w:rFonts w:ascii="Times New Roman" w:hAnsi="Times New Roman"/>
          <w:color w:val="383838"/>
          <w:sz w:val="24"/>
          <w:szCs w:val="24"/>
        </w:rPr>
        <w:t>yea</w:t>
      </w:r>
      <w:r w:rsidRPr="00AF2F9F">
        <w:rPr>
          <w:rFonts w:ascii="Times New Roman" w:hAnsi="Times New Roman"/>
          <w:color w:val="121212"/>
          <w:sz w:val="24"/>
          <w:szCs w:val="24"/>
        </w:rPr>
        <w:t xml:space="preserve">r </w:t>
      </w:r>
      <w:r w:rsidRPr="00AF2F9F">
        <w:rPr>
          <w:rFonts w:ascii="Times New Roman" w:hAnsi="Times New Roman"/>
          <w:color w:val="262626"/>
          <w:sz w:val="24"/>
          <w:szCs w:val="24"/>
        </w:rPr>
        <w:t xml:space="preserve">affordability period rather than </w:t>
      </w:r>
      <w:r w:rsidRPr="00AF2F9F">
        <w:rPr>
          <w:rFonts w:ascii="Times New Roman" w:hAnsi="Times New Roman"/>
          <w:color w:val="121212"/>
          <w:sz w:val="24"/>
          <w:szCs w:val="24"/>
        </w:rPr>
        <w:t>lif</w:t>
      </w:r>
      <w:r w:rsidRPr="00AF2F9F">
        <w:rPr>
          <w:rFonts w:ascii="Times New Roman" w:hAnsi="Times New Roman"/>
          <w:color w:val="383838"/>
          <w:sz w:val="24"/>
          <w:szCs w:val="24"/>
        </w:rPr>
        <w:t xml:space="preserve">e of </w:t>
      </w:r>
      <w:r w:rsidRPr="00AF2F9F">
        <w:rPr>
          <w:rFonts w:ascii="Times New Roman" w:hAnsi="Times New Roman"/>
          <w:color w:val="4A4949"/>
          <w:sz w:val="24"/>
          <w:szCs w:val="24"/>
        </w:rPr>
        <w:t>l</w:t>
      </w:r>
      <w:r w:rsidRPr="00AF2F9F">
        <w:rPr>
          <w:rFonts w:ascii="Times New Roman" w:hAnsi="Times New Roman"/>
          <w:color w:val="262626"/>
          <w:sz w:val="24"/>
          <w:szCs w:val="24"/>
        </w:rPr>
        <w:t>oan.</w:t>
      </w:r>
    </w:p>
    <w:p w:rsidR="009441CE" w:rsidRPr="00AF2F9F" w:rsidRDefault="009441CE" w:rsidP="009441CE">
      <w:pPr>
        <w:spacing w:line="480" w:lineRule="auto"/>
        <w:rPr>
          <w:rFonts w:ascii="Times New Roman" w:hAnsi="Times New Roman"/>
          <w:color w:val="262626"/>
          <w:sz w:val="24"/>
          <w:szCs w:val="24"/>
        </w:rPr>
      </w:pPr>
      <w:r>
        <w:rPr>
          <w:rFonts w:ascii="Times New Roman" w:hAnsi="Times New Roman"/>
          <w:i/>
          <w:sz w:val="24"/>
          <w:szCs w:val="24"/>
        </w:rPr>
        <w:tab/>
      </w:r>
      <w:r w:rsidRPr="00AF2F9F">
        <w:rPr>
          <w:rFonts w:ascii="Times New Roman" w:hAnsi="Times New Roman"/>
          <w:i/>
          <w:sz w:val="24"/>
          <w:szCs w:val="24"/>
        </w:rPr>
        <w:t>HUD Response</w:t>
      </w:r>
      <w:r w:rsidRPr="00AF2F9F">
        <w:rPr>
          <w:rFonts w:ascii="Times New Roman" w:hAnsi="Times New Roman"/>
          <w:sz w:val="24"/>
          <w:szCs w:val="24"/>
        </w:rPr>
        <w:t xml:space="preserve">: </w:t>
      </w:r>
      <w:r>
        <w:rPr>
          <w:rFonts w:ascii="Times New Roman" w:hAnsi="Times New Roman"/>
          <w:sz w:val="24"/>
          <w:szCs w:val="24"/>
        </w:rPr>
        <w:t xml:space="preserve"> </w:t>
      </w:r>
      <w:r w:rsidRPr="00AF2F9F">
        <w:rPr>
          <w:rFonts w:ascii="Times New Roman" w:hAnsi="Times New Roman"/>
          <w:sz w:val="24"/>
          <w:szCs w:val="24"/>
        </w:rPr>
        <w:t>HUD disagrees</w:t>
      </w:r>
      <w:r>
        <w:rPr>
          <w:rFonts w:ascii="Times New Roman" w:hAnsi="Times New Roman"/>
          <w:sz w:val="24"/>
          <w:szCs w:val="24"/>
        </w:rPr>
        <w:t>, and continues to require that for a</w:t>
      </w:r>
      <w:r w:rsidRPr="00AF2F9F">
        <w:rPr>
          <w:rFonts w:ascii="Times New Roman" w:hAnsi="Times New Roman"/>
          <w:sz w:val="24"/>
          <w:szCs w:val="24"/>
        </w:rPr>
        <w:t xml:space="preserve"> property owner </w:t>
      </w:r>
      <w:r>
        <w:rPr>
          <w:rFonts w:ascii="Times New Roman" w:hAnsi="Times New Roman"/>
          <w:sz w:val="24"/>
          <w:szCs w:val="24"/>
        </w:rPr>
        <w:t>to access</w:t>
      </w:r>
      <w:r w:rsidRPr="00AF2F9F">
        <w:rPr>
          <w:rFonts w:ascii="Times New Roman" w:hAnsi="Times New Roman"/>
          <w:sz w:val="24"/>
          <w:szCs w:val="24"/>
        </w:rPr>
        <w:t xml:space="preserve"> the MIP rate under the Affordable rate category</w:t>
      </w:r>
      <w:r>
        <w:rPr>
          <w:rFonts w:ascii="Times New Roman" w:hAnsi="Times New Roman"/>
          <w:sz w:val="24"/>
          <w:szCs w:val="24"/>
        </w:rPr>
        <w:t xml:space="preserve"> the property owner</w:t>
      </w:r>
      <w:r w:rsidRPr="00AF2F9F">
        <w:rPr>
          <w:rFonts w:ascii="Times New Roman" w:hAnsi="Times New Roman"/>
          <w:sz w:val="24"/>
          <w:szCs w:val="24"/>
        </w:rPr>
        <w:t xml:space="preserve"> must agree to accept voucher holders as residents for </w:t>
      </w:r>
      <w:r>
        <w:rPr>
          <w:rFonts w:ascii="Times New Roman" w:hAnsi="Times New Roman"/>
          <w:sz w:val="24"/>
          <w:szCs w:val="24"/>
        </w:rPr>
        <w:t xml:space="preserve">all </w:t>
      </w:r>
      <w:r w:rsidRPr="00AF2F9F">
        <w:rPr>
          <w:rFonts w:ascii="Times New Roman" w:hAnsi="Times New Roman"/>
          <w:sz w:val="24"/>
          <w:szCs w:val="24"/>
        </w:rPr>
        <w:t>vacancies</w:t>
      </w:r>
      <w:r>
        <w:rPr>
          <w:rFonts w:ascii="Times New Roman" w:hAnsi="Times New Roman"/>
          <w:sz w:val="24"/>
          <w:szCs w:val="24"/>
        </w:rPr>
        <w:t xml:space="preserve"> and for the life of the </w:t>
      </w:r>
      <w:r w:rsidRPr="00AF2F9F">
        <w:rPr>
          <w:rFonts w:ascii="Times New Roman" w:hAnsi="Times New Roman"/>
          <w:sz w:val="24"/>
          <w:szCs w:val="24"/>
        </w:rPr>
        <w:t>regulatory agreement.</w:t>
      </w:r>
    </w:p>
    <w:p w:rsidR="009441CE" w:rsidRPr="00AF2F9F" w:rsidRDefault="009441CE" w:rsidP="009441CE">
      <w:pPr>
        <w:spacing w:line="480" w:lineRule="auto"/>
        <w:rPr>
          <w:rFonts w:ascii="Times New Roman" w:hAnsi="Times New Roman"/>
          <w:b/>
          <w:sz w:val="24"/>
          <w:szCs w:val="24"/>
          <w:u w:val="single"/>
        </w:rPr>
      </w:pPr>
      <w:r w:rsidRPr="00AF2F9F">
        <w:rPr>
          <w:rFonts w:ascii="Times New Roman" w:hAnsi="Times New Roman"/>
          <w:b/>
          <w:sz w:val="24"/>
          <w:szCs w:val="24"/>
          <w:u w:val="single"/>
        </w:rPr>
        <w:t>Lender Fee Restrictions for Certain MIP Rate Categories (Broadly Affordable, and Green/Energy Efficient)</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Comment:</w:t>
      </w:r>
      <w:r w:rsidRPr="00AF2F9F">
        <w:rPr>
          <w:rFonts w:ascii="Times New Roman" w:hAnsi="Times New Roman"/>
          <w:sz w:val="24"/>
          <w:szCs w:val="24"/>
        </w:rPr>
        <w:t xml:space="preserve">  Commenters requested that the </w:t>
      </w:r>
      <w:r w:rsidRPr="00AF2F9F">
        <w:rPr>
          <w:rFonts w:ascii="Times New Roman" w:hAnsi="Times New Roman"/>
          <w:color w:val="000000"/>
          <w:sz w:val="24"/>
          <w:szCs w:val="24"/>
        </w:rPr>
        <w:t>5</w:t>
      </w:r>
      <w:r>
        <w:rPr>
          <w:rFonts w:ascii="Times New Roman" w:hAnsi="Times New Roman"/>
          <w:color w:val="000000"/>
          <w:sz w:val="24"/>
          <w:szCs w:val="24"/>
        </w:rPr>
        <w:t xml:space="preserve"> percent</w:t>
      </w:r>
      <w:r w:rsidRPr="00AF2F9F">
        <w:rPr>
          <w:rFonts w:ascii="Times New Roman" w:hAnsi="Times New Roman"/>
          <w:color w:val="000000"/>
          <w:sz w:val="24"/>
          <w:szCs w:val="24"/>
        </w:rPr>
        <w:t xml:space="preserve"> cap on total loan fees be removed, or the threshold significantly increased</w:t>
      </w:r>
      <w:r w:rsidRPr="00AF2F9F">
        <w:rPr>
          <w:rFonts w:ascii="Times New Roman" w:hAnsi="Times New Roman"/>
          <w:sz w:val="24"/>
          <w:szCs w:val="24"/>
        </w:rPr>
        <w:t xml:space="preserve">.  They </w:t>
      </w:r>
      <w:r>
        <w:rPr>
          <w:rFonts w:ascii="Times New Roman" w:hAnsi="Times New Roman"/>
          <w:sz w:val="24"/>
          <w:szCs w:val="24"/>
        </w:rPr>
        <w:t>sta</w:t>
      </w:r>
      <w:r w:rsidRPr="00AF2F9F">
        <w:rPr>
          <w:rFonts w:ascii="Times New Roman" w:hAnsi="Times New Roman"/>
          <w:sz w:val="24"/>
          <w:szCs w:val="24"/>
        </w:rPr>
        <w:t xml:space="preserve">ted that small loans are challenging to originate, underwrite, and service, due to certain fixed lender costs and time requirements, and asked HUD to assess the impact </w:t>
      </w:r>
      <w:r w:rsidRPr="00AF2F9F">
        <w:rPr>
          <w:rFonts w:ascii="Times New Roman" w:eastAsia="Georgia" w:hAnsi="Times New Roman"/>
          <w:color w:val="000000"/>
          <w:spacing w:val="-1"/>
          <w:sz w:val="24"/>
          <w:szCs w:val="24"/>
        </w:rPr>
        <w:t>for loans that fall into the $</w:t>
      </w:r>
      <w:r>
        <w:rPr>
          <w:rFonts w:ascii="Times New Roman" w:eastAsia="Georgia" w:hAnsi="Times New Roman"/>
          <w:color w:val="000000"/>
          <w:spacing w:val="-1"/>
          <w:sz w:val="24"/>
          <w:szCs w:val="24"/>
        </w:rPr>
        <w:t xml:space="preserve"> </w:t>
      </w:r>
      <w:r w:rsidRPr="00AF2F9F">
        <w:rPr>
          <w:rFonts w:ascii="Times New Roman" w:eastAsia="Georgia" w:hAnsi="Times New Roman"/>
          <w:color w:val="000000"/>
          <w:spacing w:val="-1"/>
          <w:sz w:val="24"/>
          <w:szCs w:val="24"/>
        </w:rPr>
        <w:t>2-5</w:t>
      </w:r>
      <w:r>
        <w:rPr>
          <w:rFonts w:ascii="Times New Roman" w:eastAsia="Georgia" w:hAnsi="Times New Roman"/>
          <w:color w:val="000000"/>
          <w:spacing w:val="-1"/>
          <w:sz w:val="24"/>
          <w:szCs w:val="24"/>
        </w:rPr>
        <w:t xml:space="preserve"> </w:t>
      </w:r>
      <w:r w:rsidRPr="00AF2F9F">
        <w:rPr>
          <w:rFonts w:ascii="Times New Roman" w:eastAsia="Georgia" w:hAnsi="Times New Roman"/>
          <w:color w:val="000000"/>
          <w:spacing w:val="-1"/>
          <w:sz w:val="24"/>
          <w:szCs w:val="24"/>
        </w:rPr>
        <w:t>million range</w:t>
      </w:r>
      <w:r w:rsidRPr="00AF2F9F">
        <w:rPr>
          <w:rFonts w:ascii="Times New Roman" w:hAnsi="Times New Roman"/>
          <w:sz w:val="24"/>
          <w:szCs w:val="24"/>
        </w:rPr>
        <w:t xml:space="preserve">. </w:t>
      </w:r>
      <w:r>
        <w:rPr>
          <w:rFonts w:ascii="Times New Roman" w:hAnsi="Times New Roman"/>
          <w:sz w:val="24"/>
          <w:szCs w:val="24"/>
        </w:rPr>
        <w:t xml:space="preserve"> </w:t>
      </w:r>
      <w:r w:rsidRPr="00AF2F9F">
        <w:rPr>
          <w:rFonts w:ascii="Times New Roman" w:hAnsi="Times New Roman"/>
          <w:sz w:val="24"/>
          <w:szCs w:val="24"/>
        </w:rPr>
        <w:t xml:space="preserve">They comment that the market is familiar with the $5 million small loan limit set by the Federal Housing Finance Agency for the Fannie Mae and Freddie Mac small loan programs.  One commenter asked that HUD provide underlying information on the need for such a broad limitation. </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HUD Response:</w:t>
      </w:r>
      <w:r w:rsidRPr="00AF2F9F">
        <w:rPr>
          <w:rFonts w:ascii="Times New Roman" w:hAnsi="Times New Roman"/>
          <w:sz w:val="24"/>
          <w:szCs w:val="24"/>
        </w:rPr>
        <w:t xml:space="preserve">  The intent is to ensure that the benefits of these MIP rates directly benefit the properties and residents. </w:t>
      </w:r>
      <w:r>
        <w:rPr>
          <w:rFonts w:ascii="Times New Roman" w:hAnsi="Times New Roman"/>
          <w:sz w:val="24"/>
          <w:szCs w:val="24"/>
        </w:rPr>
        <w:t xml:space="preserve"> </w:t>
      </w:r>
      <w:r w:rsidRPr="00AF2F9F">
        <w:rPr>
          <w:rFonts w:ascii="Times New Roman" w:hAnsi="Times New Roman"/>
          <w:sz w:val="24"/>
          <w:szCs w:val="24"/>
        </w:rPr>
        <w:t xml:space="preserve">In FHA’s experience, </w:t>
      </w:r>
      <w:r>
        <w:rPr>
          <w:rFonts w:ascii="Times New Roman" w:hAnsi="Times New Roman"/>
          <w:sz w:val="24"/>
          <w:szCs w:val="24"/>
        </w:rPr>
        <w:t xml:space="preserve">Multifamily Accelerated Processing </w:t>
      </w:r>
      <w:r>
        <w:rPr>
          <w:rFonts w:ascii="Times New Roman" w:hAnsi="Times New Roman"/>
          <w:sz w:val="24"/>
          <w:szCs w:val="24"/>
        </w:rPr>
        <w:lastRenderedPageBreak/>
        <w:t>(</w:t>
      </w:r>
      <w:r w:rsidRPr="00AF2F9F">
        <w:rPr>
          <w:rFonts w:ascii="Times New Roman" w:hAnsi="Times New Roman"/>
          <w:sz w:val="24"/>
          <w:szCs w:val="24"/>
        </w:rPr>
        <w:t>MAP</w:t>
      </w:r>
      <w:r>
        <w:rPr>
          <w:rFonts w:ascii="Times New Roman" w:hAnsi="Times New Roman"/>
          <w:sz w:val="24"/>
          <w:szCs w:val="24"/>
        </w:rPr>
        <w:t>)</w:t>
      </w:r>
      <w:r w:rsidRPr="00AF2F9F">
        <w:rPr>
          <w:rFonts w:ascii="Times New Roman" w:hAnsi="Times New Roman"/>
          <w:sz w:val="24"/>
          <w:szCs w:val="24"/>
        </w:rPr>
        <w:t xml:space="preserve"> lenders today are generally not charging fees in excess of 5</w:t>
      </w:r>
      <w:r>
        <w:rPr>
          <w:rFonts w:ascii="Times New Roman" w:hAnsi="Times New Roman"/>
          <w:sz w:val="24"/>
          <w:szCs w:val="24"/>
        </w:rPr>
        <w:t>percent</w:t>
      </w:r>
      <w:r w:rsidRPr="00AF2F9F">
        <w:rPr>
          <w:rFonts w:ascii="Times New Roman" w:hAnsi="Times New Roman"/>
          <w:sz w:val="24"/>
          <w:szCs w:val="24"/>
        </w:rPr>
        <w:t xml:space="preserve"> on loans under $5 million, even though they may do so</w:t>
      </w:r>
      <w:r>
        <w:rPr>
          <w:rFonts w:ascii="Times New Roman" w:hAnsi="Times New Roman"/>
          <w:sz w:val="24"/>
          <w:szCs w:val="24"/>
        </w:rPr>
        <w:t>.  A</w:t>
      </w:r>
      <w:r w:rsidRPr="00AF2F9F">
        <w:rPr>
          <w:rFonts w:ascii="Times New Roman" w:hAnsi="Times New Roman"/>
          <w:sz w:val="24"/>
          <w:szCs w:val="24"/>
        </w:rPr>
        <w:t>ccording to aggregated lender disclosures, just 6</w:t>
      </w:r>
      <w:r>
        <w:rPr>
          <w:rFonts w:ascii="Times New Roman" w:hAnsi="Times New Roman"/>
          <w:sz w:val="24"/>
          <w:szCs w:val="24"/>
        </w:rPr>
        <w:t xml:space="preserve"> percent</w:t>
      </w:r>
      <w:r w:rsidRPr="00AF2F9F">
        <w:rPr>
          <w:rFonts w:ascii="Times New Roman" w:hAnsi="Times New Roman"/>
          <w:sz w:val="24"/>
          <w:szCs w:val="24"/>
        </w:rPr>
        <w:t xml:space="preserve"> of FHA-insured loans under $5 million, originated between FY 2013 and FY 2016 </w:t>
      </w:r>
      <w:r>
        <w:rPr>
          <w:rFonts w:ascii="Times New Roman" w:hAnsi="Times New Roman"/>
          <w:sz w:val="24"/>
          <w:szCs w:val="24"/>
        </w:rPr>
        <w:t>year-to-date</w:t>
      </w:r>
      <w:r w:rsidRPr="00AF2F9F">
        <w:rPr>
          <w:rFonts w:ascii="Times New Roman" w:hAnsi="Times New Roman"/>
          <w:sz w:val="24"/>
          <w:szCs w:val="24"/>
        </w:rPr>
        <w:t>, charged fees in excess of 5</w:t>
      </w:r>
      <w:r>
        <w:rPr>
          <w:rFonts w:ascii="Times New Roman" w:hAnsi="Times New Roman"/>
          <w:sz w:val="24"/>
          <w:szCs w:val="24"/>
        </w:rPr>
        <w:t xml:space="preserve"> percent</w:t>
      </w:r>
      <w:r w:rsidRPr="00AF2F9F">
        <w:rPr>
          <w:rFonts w:ascii="Times New Roman" w:hAnsi="Times New Roman"/>
          <w:sz w:val="24"/>
          <w:szCs w:val="24"/>
        </w:rPr>
        <w:t xml:space="preserve">, and most of these were concentrated in loans under $2 million.  </w:t>
      </w:r>
      <w:r w:rsidRPr="00AF2F9F">
        <w:rPr>
          <w:rFonts w:ascii="Times New Roman" w:hAnsi="Times New Roman"/>
          <w:bCs/>
          <w:sz w:val="24"/>
          <w:szCs w:val="24"/>
        </w:rPr>
        <w:t xml:space="preserve">Accordingly, HUD does not believe that this limitation will present a burden to MAP lenders.  </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Comment:</w:t>
      </w:r>
      <w:r w:rsidRPr="00AF2F9F">
        <w:rPr>
          <w:rFonts w:ascii="Times New Roman" w:hAnsi="Times New Roman"/>
          <w:sz w:val="24"/>
          <w:szCs w:val="24"/>
        </w:rPr>
        <w:t xml:space="preserve"> One commenter said that it may be counterproductive to have a loan fee limit on loans over $2 million at precisely the time HUD is encouraging MAP lenders to participate in its Small Building Risk Share Initiative (SBRS).  </w:t>
      </w:r>
    </w:p>
    <w:p w:rsidR="009441CE" w:rsidRPr="00AF2F9F" w:rsidRDefault="009441CE" w:rsidP="009441CE">
      <w:pPr>
        <w:spacing w:line="480" w:lineRule="auto"/>
        <w:rPr>
          <w:rFonts w:ascii="Times New Roman" w:hAnsi="Times New Roman"/>
          <w:bCs/>
          <w:sz w:val="24"/>
          <w:szCs w:val="24"/>
        </w:rPr>
      </w:pPr>
      <w:r>
        <w:rPr>
          <w:rFonts w:ascii="Times New Roman" w:hAnsi="Times New Roman"/>
          <w:i/>
          <w:sz w:val="24"/>
          <w:szCs w:val="24"/>
        </w:rPr>
        <w:tab/>
      </w:r>
      <w:r w:rsidRPr="00AF2F9F">
        <w:rPr>
          <w:rFonts w:ascii="Times New Roman" w:hAnsi="Times New Roman"/>
          <w:i/>
          <w:sz w:val="24"/>
          <w:szCs w:val="24"/>
        </w:rPr>
        <w:t>HUD Response:</w:t>
      </w:r>
      <w:r w:rsidRPr="00AF2F9F">
        <w:rPr>
          <w:rFonts w:ascii="Times New Roman" w:hAnsi="Times New Roman"/>
          <w:sz w:val="24"/>
          <w:szCs w:val="24"/>
        </w:rPr>
        <w:t xml:space="preserve">  Loans originated under </w:t>
      </w:r>
      <w:r w:rsidRPr="00AF2F9F">
        <w:rPr>
          <w:rFonts w:ascii="Times New Roman" w:hAnsi="Times New Roman"/>
          <w:bCs/>
          <w:sz w:val="24"/>
          <w:szCs w:val="24"/>
        </w:rPr>
        <w:t>Risk Share programs, including SBRS, are exempt from the fee limitations.</w:t>
      </w:r>
    </w:p>
    <w:p w:rsidR="009441CE" w:rsidRPr="00AF2F9F" w:rsidRDefault="009441CE" w:rsidP="009441CE">
      <w:pPr>
        <w:spacing w:line="480" w:lineRule="auto"/>
        <w:rPr>
          <w:rFonts w:ascii="Times New Roman" w:hAnsi="Times New Roman"/>
          <w:sz w:val="24"/>
          <w:szCs w:val="24"/>
        </w:rPr>
      </w:pPr>
      <w:r>
        <w:rPr>
          <w:rFonts w:ascii="Times New Roman" w:hAnsi="Times New Roman"/>
          <w:bCs/>
          <w:i/>
          <w:sz w:val="24"/>
          <w:szCs w:val="24"/>
        </w:rPr>
        <w:tab/>
      </w:r>
      <w:r w:rsidRPr="00AF2F9F">
        <w:rPr>
          <w:rFonts w:ascii="Times New Roman" w:hAnsi="Times New Roman"/>
          <w:bCs/>
          <w:i/>
          <w:sz w:val="24"/>
          <w:szCs w:val="24"/>
        </w:rPr>
        <w:t xml:space="preserve">Comment: </w:t>
      </w:r>
      <w:r>
        <w:rPr>
          <w:rFonts w:ascii="Times New Roman" w:hAnsi="Times New Roman"/>
          <w:bCs/>
          <w:i/>
          <w:sz w:val="24"/>
          <w:szCs w:val="24"/>
        </w:rPr>
        <w:t xml:space="preserve"> </w:t>
      </w:r>
      <w:r w:rsidRPr="00AF2F9F">
        <w:rPr>
          <w:rFonts w:ascii="Times New Roman" w:hAnsi="Times New Roman"/>
          <w:sz w:val="24"/>
          <w:szCs w:val="24"/>
        </w:rPr>
        <w:t xml:space="preserve">One commenter asked that loans with firm commitments issued </w:t>
      </w:r>
      <w:r w:rsidRPr="00AF2F9F">
        <w:rPr>
          <w:rFonts w:ascii="Times New Roman" w:hAnsi="Times New Roman"/>
          <w:color w:val="000000"/>
          <w:sz w:val="24"/>
          <w:szCs w:val="24"/>
        </w:rPr>
        <w:t>prior to the January 28, 2016</w:t>
      </w:r>
      <w:r>
        <w:rPr>
          <w:rFonts w:ascii="Times New Roman" w:hAnsi="Times New Roman"/>
          <w:color w:val="000000"/>
          <w:sz w:val="24"/>
          <w:szCs w:val="24"/>
        </w:rPr>
        <w:t>,</w:t>
      </w:r>
      <w:r w:rsidRPr="00AF2F9F">
        <w:rPr>
          <w:rFonts w:ascii="Times New Roman" w:hAnsi="Times New Roman"/>
          <w:color w:val="000000"/>
          <w:sz w:val="24"/>
          <w:szCs w:val="24"/>
        </w:rPr>
        <w:t xml:space="preserve"> publication of the proposed MIP rates be excluded from the fee limitations</w:t>
      </w:r>
      <w:r w:rsidRPr="00AF2F9F">
        <w:rPr>
          <w:rFonts w:ascii="Times New Roman" w:hAnsi="Times New Roman"/>
          <w:sz w:val="24"/>
          <w:szCs w:val="24"/>
        </w:rPr>
        <w:t>.</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HUD Response:</w:t>
      </w:r>
      <w:r w:rsidRPr="00AF2F9F">
        <w:rPr>
          <w:rFonts w:ascii="Times New Roman" w:hAnsi="Times New Roman"/>
          <w:sz w:val="24"/>
          <w:szCs w:val="24"/>
        </w:rPr>
        <w:t xml:space="preserve"> </w:t>
      </w:r>
      <w:r>
        <w:rPr>
          <w:rFonts w:ascii="Times New Roman" w:hAnsi="Times New Roman"/>
          <w:sz w:val="24"/>
          <w:szCs w:val="24"/>
        </w:rPr>
        <w:t xml:space="preserve"> </w:t>
      </w:r>
      <w:r w:rsidRPr="00AF2F9F">
        <w:rPr>
          <w:rFonts w:ascii="Times New Roman" w:hAnsi="Times New Roman"/>
          <w:bCs/>
          <w:sz w:val="24"/>
          <w:szCs w:val="24"/>
        </w:rPr>
        <w:t xml:space="preserve">The loan fee limitations only apply to loans with </w:t>
      </w:r>
      <w:r w:rsidRPr="00AF2F9F">
        <w:rPr>
          <w:rFonts w:ascii="Times New Roman" w:hAnsi="Times New Roman"/>
          <w:spacing w:val="4"/>
          <w:sz w:val="24"/>
          <w:szCs w:val="24"/>
        </w:rPr>
        <w:t xml:space="preserve">FHA firm commitments issued or reissued on or after </w:t>
      </w:r>
      <w:r w:rsidRPr="00AF2F9F">
        <w:rPr>
          <w:rFonts w:ascii="Times New Roman" w:hAnsi="Times New Roman"/>
          <w:sz w:val="24"/>
          <w:szCs w:val="24"/>
        </w:rPr>
        <w:t xml:space="preserve">April 1, 2016.  Firm commitments issued prior to that date are exempt from the loan fee limitation (though still subject to disclosure), unless requesting reissuance or modification to utilize the new rates. </w:t>
      </w:r>
      <w:r>
        <w:rPr>
          <w:rFonts w:ascii="Times New Roman" w:hAnsi="Times New Roman"/>
          <w:sz w:val="24"/>
          <w:szCs w:val="24"/>
        </w:rPr>
        <w:t xml:space="preserve"> </w:t>
      </w:r>
      <w:r w:rsidRPr="00AF2F9F">
        <w:rPr>
          <w:rFonts w:ascii="Times New Roman" w:hAnsi="Times New Roman"/>
          <w:bCs/>
          <w:color w:val="000000"/>
          <w:sz w:val="24"/>
          <w:szCs w:val="24"/>
        </w:rPr>
        <w:t>Any loan accessing the lower rates will also be subject to the loan fee limitation.</w:t>
      </w:r>
    </w:p>
    <w:p w:rsidR="009441CE" w:rsidRPr="009441CE" w:rsidRDefault="009441CE" w:rsidP="009441CE">
      <w:pPr>
        <w:autoSpaceDE w:val="0"/>
        <w:autoSpaceDN w:val="0"/>
        <w:spacing w:line="480" w:lineRule="auto"/>
        <w:rPr>
          <w:rFonts w:ascii="Times New Roman" w:hAnsi="Times New Roman"/>
          <w:b/>
          <w:color w:val="000000"/>
          <w:sz w:val="24"/>
          <w:szCs w:val="24"/>
        </w:rPr>
      </w:pPr>
      <w:r w:rsidRPr="009441CE">
        <w:rPr>
          <w:rFonts w:ascii="Times New Roman" w:hAnsi="Times New Roman"/>
          <w:b/>
          <w:color w:val="000000"/>
          <w:sz w:val="24"/>
          <w:szCs w:val="24"/>
        </w:rPr>
        <w:t>Inclusionary Zoning</w:t>
      </w:r>
    </w:p>
    <w:p w:rsidR="009441CE" w:rsidRPr="00AF2F9F" w:rsidRDefault="009441CE" w:rsidP="009441CE">
      <w:pPr>
        <w:autoSpaceDE w:val="0"/>
        <w:autoSpaceDN w:val="0"/>
        <w:spacing w:line="480" w:lineRule="auto"/>
        <w:rPr>
          <w:rFonts w:ascii="Times New Roman" w:hAnsi="Times New Roman"/>
          <w:color w:val="000000"/>
          <w:sz w:val="24"/>
          <w:szCs w:val="24"/>
        </w:rPr>
      </w:pPr>
      <w:r>
        <w:rPr>
          <w:rFonts w:ascii="Times New Roman" w:hAnsi="Times New Roman"/>
          <w:i/>
          <w:color w:val="000000"/>
          <w:sz w:val="24"/>
          <w:szCs w:val="24"/>
        </w:rPr>
        <w:tab/>
      </w:r>
      <w:r w:rsidRPr="00AF2F9F">
        <w:rPr>
          <w:rFonts w:ascii="Times New Roman" w:hAnsi="Times New Roman"/>
          <w:i/>
          <w:color w:val="000000"/>
          <w:sz w:val="24"/>
          <w:szCs w:val="24"/>
        </w:rPr>
        <w:t>Comment</w:t>
      </w:r>
      <w:r w:rsidRPr="00AF2F9F">
        <w:rPr>
          <w:rFonts w:ascii="Times New Roman" w:hAnsi="Times New Roman"/>
          <w:color w:val="000000"/>
          <w:sz w:val="24"/>
          <w:szCs w:val="24"/>
        </w:rPr>
        <w:t xml:space="preserve">: Commenters </w:t>
      </w:r>
      <w:r>
        <w:rPr>
          <w:rFonts w:ascii="Times New Roman" w:hAnsi="Times New Roman"/>
          <w:color w:val="000000"/>
          <w:sz w:val="24"/>
          <w:szCs w:val="24"/>
        </w:rPr>
        <w:t>wrote</w:t>
      </w:r>
      <w:r w:rsidRPr="00AF2F9F">
        <w:rPr>
          <w:rFonts w:ascii="Times New Roman" w:hAnsi="Times New Roman"/>
          <w:color w:val="000000"/>
          <w:sz w:val="24"/>
          <w:szCs w:val="24"/>
        </w:rPr>
        <w:t xml:space="preserve"> that </w:t>
      </w:r>
      <w:r w:rsidRPr="00AF2F9F">
        <w:rPr>
          <w:rFonts w:ascii="Times New Roman" w:hAnsi="Times New Roman"/>
          <w:sz w:val="24"/>
          <w:szCs w:val="24"/>
        </w:rPr>
        <w:t xml:space="preserve">properties subject to inclusionary zoning agreements are only eligible for the reduced MIP rate if the term of the affordability agreement is 30 years or longer, compared to LIHTC or PBRA properties in this same rate category, which have </w:t>
      </w:r>
      <w:r w:rsidRPr="00AF2F9F">
        <w:rPr>
          <w:rFonts w:ascii="Times New Roman" w:hAnsi="Times New Roman"/>
          <w:sz w:val="24"/>
          <w:szCs w:val="24"/>
        </w:rPr>
        <w:lastRenderedPageBreak/>
        <w:t xml:space="preserve">minimum compliance periods of 15 years. </w:t>
      </w:r>
      <w:r>
        <w:rPr>
          <w:rFonts w:ascii="Times New Roman" w:hAnsi="Times New Roman"/>
          <w:sz w:val="24"/>
          <w:szCs w:val="24"/>
        </w:rPr>
        <w:t xml:space="preserve"> </w:t>
      </w:r>
      <w:r w:rsidRPr="00AF2F9F">
        <w:rPr>
          <w:rFonts w:ascii="Times New Roman" w:hAnsi="Times New Roman"/>
          <w:sz w:val="24"/>
          <w:szCs w:val="24"/>
        </w:rPr>
        <w:t xml:space="preserve">They asked that the inclusionary zoning compliance period be reduced from 30 years, to 15 years.  </w:t>
      </w:r>
    </w:p>
    <w:p w:rsidR="009441CE" w:rsidRPr="00AF2F9F" w:rsidRDefault="009441CE" w:rsidP="009441CE">
      <w:pPr>
        <w:autoSpaceDE w:val="0"/>
        <w:autoSpaceDN w:val="0"/>
        <w:spacing w:line="480" w:lineRule="auto"/>
        <w:rPr>
          <w:rFonts w:ascii="Times New Roman" w:hAnsi="Times New Roman"/>
          <w:bCs/>
          <w:sz w:val="24"/>
          <w:szCs w:val="24"/>
        </w:rPr>
      </w:pPr>
      <w:r>
        <w:rPr>
          <w:rFonts w:ascii="Times New Roman" w:hAnsi="Times New Roman"/>
          <w:i/>
          <w:color w:val="000000"/>
          <w:sz w:val="24"/>
          <w:szCs w:val="24"/>
        </w:rPr>
        <w:tab/>
      </w:r>
      <w:r w:rsidRPr="00AF2F9F">
        <w:rPr>
          <w:rFonts w:ascii="Times New Roman" w:hAnsi="Times New Roman"/>
          <w:i/>
          <w:color w:val="000000"/>
          <w:sz w:val="24"/>
          <w:szCs w:val="24"/>
        </w:rPr>
        <w:t>HUD Response:</w:t>
      </w:r>
      <w:r w:rsidRPr="00AF2F9F">
        <w:rPr>
          <w:rFonts w:ascii="Times New Roman" w:hAnsi="Times New Roman"/>
          <w:bCs/>
          <w:sz w:val="24"/>
          <w:szCs w:val="24"/>
        </w:rPr>
        <w:t xml:space="preserve">  The affordability requirements under LIHTC or PBRA/Section 8 are much deeper than those generally required under inclusionary zoning laws.  </w:t>
      </w:r>
      <w:r>
        <w:rPr>
          <w:rFonts w:ascii="Times New Roman" w:hAnsi="Times New Roman"/>
          <w:bCs/>
          <w:sz w:val="24"/>
          <w:szCs w:val="24"/>
        </w:rPr>
        <w:t>HUD believes, therefore, that</w:t>
      </w:r>
      <w:r w:rsidRPr="00AF2F9F">
        <w:rPr>
          <w:rFonts w:ascii="Times New Roman" w:hAnsi="Times New Roman"/>
          <w:bCs/>
          <w:sz w:val="24"/>
          <w:szCs w:val="24"/>
        </w:rPr>
        <w:t xml:space="preserve"> the longer affordability requirement (30 years) is reasonable.</w:t>
      </w:r>
    </w:p>
    <w:p w:rsidR="009441CE" w:rsidRPr="00AF2F9F" w:rsidRDefault="009441CE" w:rsidP="009441CE">
      <w:pPr>
        <w:autoSpaceDE w:val="0"/>
        <w:autoSpaceDN w:val="0"/>
        <w:spacing w:line="480" w:lineRule="auto"/>
        <w:rPr>
          <w:rFonts w:ascii="Times New Roman" w:hAnsi="Times New Roman"/>
          <w:bCs/>
          <w:sz w:val="24"/>
          <w:szCs w:val="24"/>
        </w:rPr>
      </w:pPr>
      <w:r>
        <w:rPr>
          <w:rFonts w:ascii="Times New Roman" w:hAnsi="Times New Roman"/>
          <w:bCs/>
          <w:i/>
          <w:sz w:val="24"/>
          <w:szCs w:val="24"/>
        </w:rPr>
        <w:tab/>
      </w:r>
      <w:r w:rsidRPr="00AF2F9F">
        <w:rPr>
          <w:rFonts w:ascii="Times New Roman" w:hAnsi="Times New Roman"/>
          <w:bCs/>
          <w:i/>
          <w:sz w:val="24"/>
          <w:szCs w:val="24"/>
        </w:rPr>
        <w:t>Comment:</w:t>
      </w:r>
      <w:r w:rsidRPr="00AF2F9F">
        <w:rPr>
          <w:rFonts w:ascii="Times New Roman" w:hAnsi="Times New Roman"/>
          <w:bCs/>
          <w:sz w:val="24"/>
          <w:szCs w:val="24"/>
        </w:rPr>
        <w:t xml:space="preserve"> </w:t>
      </w:r>
      <w:r>
        <w:rPr>
          <w:rFonts w:ascii="Times New Roman" w:hAnsi="Times New Roman"/>
          <w:bCs/>
          <w:sz w:val="24"/>
          <w:szCs w:val="24"/>
        </w:rPr>
        <w:t xml:space="preserve"> </w:t>
      </w:r>
      <w:r w:rsidRPr="00AF2F9F">
        <w:rPr>
          <w:rFonts w:ascii="Times New Roman" w:hAnsi="Times New Roman"/>
          <w:sz w:val="24"/>
          <w:szCs w:val="24"/>
        </w:rPr>
        <w:t>One industry association</w:t>
      </w:r>
      <w:r w:rsidRPr="00AF2F9F">
        <w:rPr>
          <w:rFonts w:ascii="Times New Roman" w:hAnsi="Times New Roman"/>
          <w:bCs/>
          <w:sz w:val="24"/>
          <w:szCs w:val="24"/>
        </w:rPr>
        <w:t xml:space="preserve"> </w:t>
      </w:r>
      <w:r w:rsidRPr="00AF2F9F">
        <w:rPr>
          <w:rFonts w:ascii="Times New Roman" w:hAnsi="Times New Roman"/>
          <w:sz w:val="24"/>
          <w:szCs w:val="24"/>
        </w:rPr>
        <w:t>opposed using the FHA multifamily insurance programs “to incentivize complicated and controversial</w:t>
      </w:r>
      <w:r>
        <w:rPr>
          <w:rFonts w:ascii="Times New Roman" w:hAnsi="Times New Roman"/>
          <w:sz w:val="24"/>
          <w:szCs w:val="24"/>
        </w:rPr>
        <w:t xml:space="preserve"> </w:t>
      </w:r>
      <w:r w:rsidRPr="00AF2F9F">
        <w:rPr>
          <w:rFonts w:ascii="Times New Roman" w:hAnsi="Times New Roman"/>
          <w:sz w:val="24"/>
          <w:szCs w:val="24"/>
        </w:rPr>
        <w:t>inclusionary zoning laws at the local level.”</w:t>
      </w:r>
      <w:r w:rsidRPr="00AF2F9F">
        <w:rPr>
          <w:rFonts w:ascii="Times New Roman" w:hAnsi="Times New Roman"/>
          <w:color w:val="000000"/>
          <w:sz w:val="24"/>
          <w:szCs w:val="24"/>
        </w:rPr>
        <w:t xml:space="preserve"> </w:t>
      </w:r>
      <w:r>
        <w:rPr>
          <w:rFonts w:ascii="Times New Roman" w:hAnsi="Times New Roman"/>
          <w:color w:val="000000"/>
          <w:sz w:val="24"/>
          <w:szCs w:val="24"/>
        </w:rPr>
        <w:t xml:space="preserve"> </w:t>
      </w:r>
      <w:r w:rsidR="00A55006">
        <w:rPr>
          <w:rFonts w:ascii="Times New Roman" w:hAnsi="Times New Roman"/>
          <w:color w:val="000000"/>
          <w:sz w:val="24"/>
          <w:szCs w:val="24"/>
        </w:rPr>
        <w:t>One commenter sta</w:t>
      </w:r>
      <w:r w:rsidRPr="00AF2F9F">
        <w:rPr>
          <w:rFonts w:ascii="Times New Roman" w:hAnsi="Times New Roman"/>
          <w:color w:val="000000"/>
          <w:sz w:val="24"/>
          <w:szCs w:val="24"/>
        </w:rPr>
        <w:t xml:space="preserve">ted that some </w:t>
      </w:r>
      <w:r w:rsidRPr="00AF2F9F">
        <w:rPr>
          <w:rFonts w:ascii="Times New Roman" w:hAnsi="Times New Roman"/>
          <w:sz w:val="24"/>
          <w:szCs w:val="24"/>
        </w:rPr>
        <w:t xml:space="preserve">studies have shown inclusionary zoning may not be the most cost effective way to address affordability, and can actually lead to fewer units being delivered.  </w:t>
      </w:r>
    </w:p>
    <w:p w:rsidR="009441CE" w:rsidRPr="00AF2F9F" w:rsidRDefault="009441CE" w:rsidP="009441CE">
      <w:pPr>
        <w:autoSpaceDE w:val="0"/>
        <w:autoSpaceDN w:val="0"/>
        <w:spacing w:line="480" w:lineRule="auto"/>
        <w:rPr>
          <w:rFonts w:ascii="Times New Roman" w:hAnsi="Times New Roman"/>
          <w:i/>
          <w:color w:val="000000"/>
          <w:sz w:val="24"/>
          <w:szCs w:val="24"/>
        </w:rPr>
      </w:pPr>
      <w:r>
        <w:rPr>
          <w:rFonts w:ascii="Times New Roman" w:hAnsi="Times New Roman"/>
          <w:bCs/>
          <w:i/>
          <w:sz w:val="24"/>
          <w:szCs w:val="24"/>
        </w:rPr>
        <w:tab/>
      </w:r>
      <w:r w:rsidRPr="00AF2F9F">
        <w:rPr>
          <w:rFonts w:ascii="Times New Roman" w:hAnsi="Times New Roman"/>
          <w:bCs/>
          <w:i/>
          <w:sz w:val="24"/>
          <w:szCs w:val="24"/>
        </w:rPr>
        <w:t>HUD Response:</w:t>
      </w:r>
      <w:r w:rsidRPr="00AF2F9F">
        <w:rPr>
          <w:rFonts w:ascii="Times New Roman" w:hAnsi="Times New Roman"/>
          <w:bCs/>
          <w:sz w:val="24"/>
          <w:szCs w:val="24"/>
        </w:rPr>
        <w:t xml:space="preserve"> </w:t>
      </w:r>
      <w:r>
        <w:rPr>
          <w:rFonts w:ascii="Times New Roman" w:hAnsi="Times New Roman"/>
          <w:bCs/>
          <w:sz w:val="24"/>
          <w:szCs w:val="24"/>
        </w:rPr>
        <w:t xml:space="preserve"> </w:t>
      </w:r>
      <w:r w:rsidRPr="00AF2F9F">
        <w:rPr>
          <w:rFonts w:ascii="Times New Roman" w:hAnsi="Times New Roman"/>
          <w:bCs/>
          <w:sz w:val="24"/>
          <w:szCs w:val="24"/>
        </w:rPr>
        <w:t>HUD is not incentivizing inclusionary zoning, density bonus, or other set-</w:t>
      </w:r>
      <w:r>
        <w:rPr>
          <w:rFonts w:ascii="Times New Roman" w:hAnsi="Times New Roman"/>
          <w:bCs/>
          <w:sz w:val="24"/>
          <w:szCs w:val="24"/>
        </w:rPr>
        <w:t xml:space="preserve">aside laws through these rates. </w:t>
      </w:r>
      <w:r w:rsidRPr="00AF2F9F">
        <w:rPr>
          <w:rFonts w:ascii="Times New Roman" w:hAnsi="Times New Roman"/>
          <w:bCs/>
          <w:sz w:val="24"/>
          <w:szCs w:val="24"/>
        </w:rPr>
        <w:t xml:space="preserve"> Rather, the new structure recognizes affordability in its many forms.</w:t>
      </w:r>
      <w:r w:rsidRPr="00AF2F9F">
        <w:rPr>
          <w:rFonts w:ascii="Times New Roman" w:hAnsi="Times New Roman"/>
          <w:sz w:val="24"/>
          <w:szCs w:val="24"/>
        </w:rPr>
        <w:t> HUD will study the effects of these rates for future rate considerations.</w:t>
      </w:r>
    </w:p>
    <w:p w:rsidR="009441CE" w:rsidRPr="009441CE" w:rsidRDefault="009441CE" w:rsidP="009441CE">
      <w:pPr>
        <w:spacing w:line="480" w:lineRule="auto"/>
        <w:rPr>
          <w:rFonts w:ascii="Times New Roman" w:hAnsi="Times New Roman"/>
          <w:b/>
          <w:sz w:val="24"/>
          <w:szCs w:val="24"/>
        </w:rPr>
      </w:pPr>
      <w:r w:rsidRPr="009441CE">
        <w:rPr>
          <w:rFonts w:ascii="Times New Roman" w:hAnsi="Times New Roman"/>
          <w:b/>
          <w:sz w:val="24"/>
          <w:szCs w:val="24"/>
        </w:rPr>
        <w:t>Green/Energy Efficient</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Comment</w:t>
      </w:r>
      <w:r w:rsidRPr="00AF2F9F">
        <w:rPr>
          <w:rFonts w:ascii="Times New Roman" w:hAnsi="Times New Roman"/>
          <w:sz w:val="24"/>
          <w:szCs w:val="24"/>
        </w:rPr>
        <w:t xml:space="preserve">: </w:t>
      </w:r>
      <w:r>
        <w:rPr>
          <w:rFonts w:ascii="Times New Roman" w:hAnsi="Times New Roman"/>
          <w:sz w:val="24"/>
          <w:szCs w:val="24"/>
        </w:rPr>
        <w:t xml:space="preserve"> </w:t>
      </w:r>
      <w:r w:rsidRPr="00AF2F9F">
        <w:rPr>
          <w:rFonts w:ascii="Times New Roman" w:hAnsi="Times New Roman"/>
          <w:sz w:val="24"/>
          <w:szCs w:val="24"/>
        </w:rPr>
        <w:t xml:space="preserve">A number of commenters pointed out that the requirement for a property owner to report building performance 12 months after new construction/substantial rehabilitation is unreasonable, as the property must be occupied, operate for a full 12 months, </w:t>
      </w:r>
      <w:r>
        <w:rPr>
          <w:rFonts w:ascii="Times New Roman" w:hAnsi="Times New Roman"/>
          <w:sz w:val="24"/>
          <w:szCs w:val="24"/>
        </w:rPr>
        <w:t>before</w:t>
      </w:r>
      <w:r w:rsidRPr="00AF2F9F">
        <w:rPr>
          <w:rFonts w:ascii="Times New Roman" w:hAnsi="Times New Roman"/>
          <w:sz w:val="24"/>
          <w:szCs w:val="24"/>
        </w:rPr>
        <w:t xml:space="preserve"> collect</w:t>
      </w:r>
      <w:r>
        <w:rPr>
          <w:rFonts w:ascii="Times New Roman" w:hAnsi="Times New Roman"/>
          <w:sz w:val="24"/>
          <w:szCs w:val="24"/>
        </w:rPr>
        <w:t>ing</w:t>
      </w:r>
      <w:r w:rsidRPr="00AF2F9F">
        <w:rPr>
          <w:rFonts w:ascii="Times New Roman" w:hAnsi="Times New Roman"/>
          <w:sz w:val="24"/>
          <w:szCs w:val="24"/>
        </w:rPr>
        <w:t xml:space="preserve"> and report</w:t>
      </w:r>
      <w:r>
        <w:rPr>
          <w:rFonts w:ascii="Times New Roman" w:hAnsi="Times New Roman"/>
          <w:sz w:val="24"/>
          <w:szCs w:val="24"/>
        </w:rPr>
        <w:t>ing</w:t>
      </w:r>
      <w:r w:rsidRPr="00AF2F9F">
        <w:rPr>
          <w:rFonts w:ascii="Times New Roman" w:hAnsi="Times New Roman"/>
          <w:sz w:val="24"/>
          <w:szCs w:val="24"/>
        </w:rPr>
        <w:t xml:space="preserve"> the data.  Further, the requirement may preclude properties from </w:t>
      </w:r>
      <w:r w:rsidRPr="00AF2F9F">
        <w:rPr>
          <w:rFonts w:ascii="Times New Roman" w:eastAsia="Calibri" w:hAnsi="Times New Roman"/>
          <w:color w:val="000000"/>
          <w:spacing w:val="-1"/>
          <w:sz w:val="24"/>
          <w:szCs w:val="24"/>
        </w:rPr>
        <w:t>one or more of the performance-based green building certifications required for</w:t>
      </w:r>
      <w:r>
        <w:rPr>
          <w:rFonts w:ascii="Times New Roman" w:eastAsia="Calibri" w:hAnsi="Times New Roman"/>
          <w:color w:val="000000"/>
          <w:spacing w:val="-1"/>
          <w:sz w:val="24"/>
          <w:szCs w:val="24"/>
        </w:rPr>
        <w:t xml:space="preserve"> the</w:t>
      </w:r>
      <w:r w:rsidRPr="00AF2F9F">
        <w:rPr>
          <w:rFonts w:ascii="Times New Roman" w:eastAsia="Calibri" w:hAnsi="Times New Roman"/>
          <w:color w:val="000000"/>
          <w:spacing w:val="-1"/>
          <w:sz w:val="24"/>
          <w:szCs w:val="24"/>
        </w:rPr>
        <w:t xml:space="preserve"> g</w:t>
      </w:r>
      <w:r>
        <w:rPr>
          <w:rFonts w:ascii="Times New Roman" w:eastAsia="Calibri" w:hAnsi="Times New Roman"/>
          <w:color w:val="000000"/>
          <w:spacing w:val="-1"/>
          <w:sz w:val="24"/>
          <w:szCs w:val="24"/>
        </w:rPr>
        <w:t>reen/energy efficient MIP rate</w:t>
      </w:r>
      <w:r w:rsidRPr="00AF2F9F">
        <w:rPr>
          <w:rFonts w:ascii="Times New Roman" w:eastAsia="Calibri" w:hAnsi="Times New Roman"/>
          <w:color w:val="000000"/>
          <w:spacing w:val="-1"/>
          <w:sz w:val="24"/>
          <w:szCs w:val="24"/>
        </w:rPr>
        <w:t>.</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HUD Response</w:t>
      </w:r>
      <w:r w:rsidRPr="00AF2F9F">
        <w:rPr>
          <w:rFonts w:ascii="Times New Roman" w:hAnsi="Times New Roman"/>
          <w:sz w:val="24"/>
          <w:szCs w:val="24"/>
        </w:rPr>
        <w:t xml:space="preserve">:  HUD agrees, and has amended the notice to require reporting of complying building performance “…no more than 15 months after completion of new </w:t>
      </w:r>
      <w:r w:rsidRPr="00AF2F9F">
        <w:rPr>
          <w:rFonts w:ascii="Times New Roman" w:hAnsi="Times New Roman"/>
          <w:sz w:val="24"/>
          <w:szCs w:val="24"/>
        </w:rPr>
        <w:lastRenderedPageBreak/>
        <w:t xml:space="preserve">construction, substantial rehabilitation or renovations, or 15 months after break-even occupancy.”  </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Comment:</w:t>
      </w:r>
      <w:r w:rsidRPr="00AF2F9F">
        <w:rPr>
          <w:rFonts w:ascii="Times New Roman" w:hAnsi="Times New Roman"/>
          <w:sz w:val="24"/>
          <w:szCs w:val="24"/>
        </w:rPr>
        <w:t xml:space="preserve"> </w:t>
      </w:r>
      <w:r>
        <w:rPr>
          <w:rFonts w:ascii="Times New Roman" w:hAnsi="Times New Roman"/>
          <w:sz w:val="24"/>
          <w:szCs w:val="24"/>
        </w:rPr>
        <w:t xml:space="preserve"> </w:t>
      </w:r>
      <w:r w:rsidRPr="00AF2F9F">
        <w:rPr>
          <w:rFonts w:ascii="Times New Roman" w:hAnsi="Times New Roman"/>
          <w:sz w:val="24"/>
          <w:szCs w:val="24"/>
        </w:rPr>
        <w:t xml:space="preserve">Commenters </w:t>
      </w:r>
      <w:r>
        <w:rPr>
          <w:rFonts w:ascii="Times New Roman" w:hAnsi="Times New Roman"/>
          <w:sz w:val="24"/>
          <w:szCs w:val="24"/>
        </w:rPr>
        <w:t>stat</w:t>
      </w:r>
      <w:r w:rsidRPr="00AF2F9F">
        <w:rPr>
          <w:rFonts w:ascii="Times New Roman" w:hAnsi="Times New Roman"/>
          <w:sz w:val="24"/>
          <w:szCs w:val="24"/>
        </w:rPr>
        <w:t>ed that small properties make up the majority of all apartment buildings and often provide housing affordability. Yet properties of under 20 units are excluded from getting a 1-100 EnergyStar score from Portfolio Manager, effectively blocking them from taking advantage of the reduced MIP rate.  Comment</w:t>
      </w:r>
      <w:r>
        <w:rPr>
          <w:rFonts w:ascii="Times New Roman" w:hAnsi="Times New Roman"/>
          <w:sz w:val="24"/>
          <w:szCs w:val="24"/>
        </w:rPr>
        <w:t>er</w:t>
      </w:r>
      <w:r w:rsidRPr="00AF2F9F">
        <w:rPr>
          <w:rFonts w:ascii="Times New Roman" w:hAnsi="Times New Roman"/>
          <w:sz w:val="24"/>
          <w:szCs w:val="24"/>
        </w:rPr>
        <w:t xml:space="preserve">s asked that HUD consider, for the purpose of accessing the green/energy efficient MIP rate, exempting smaller properties from the requirement of a 75+ score on Portfolio Manager, as long as they are or will be certified by one of the recognized, independent green building standards. </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HUD Response</w:t>
      </w:r>
      <w:r w:rsidRPr="00AF2F9F">
        <w:rPr>
          <w:rFonts w:ascii="Times New Roman" w:hAnsi="Times New Roman"/>
          <w:sz w:val="24"/>
          <w:szCs w:val="24"/>
        </w:rPr>
        <w:t xml:space="preserve">:  HUD agrees, and has modified the notice; </w:t>
      </w:r>
      <w:r w:rsidRPr="00AF2F9F">
        <w:rPr>
          <w:rFonts w:ascii="Times New Roman" w:hAnsi="Times New Roman"/>
          <w:bCs/>
          <w:sz w:val="24"/>
          <w:szCs w:val="24"/>
        </w:rPr>
        <w:t xml:space="preserve">Small properties (under 20 units) must meet one of the recognized independent green building/energy efficiency standards in order to access the Green/Energy Efficient MIP rate, but are exempt from the 75+ Portfolio Manager score requirement. </w:t>
      </w:r>
    </w:p>
    <w:p w:rsidR="009441CE" w:rsidRPr="00AF2F9F" w:rsidRDefault="009441CE" w:rsidP="009441CE">
      <w:pPr>
        <w:pStyle w:val="Default"/>
        <w:spacing w:line="480" w:lineRule="auto"/>
        <w:rPr>
          <w:bCs/>
        </w:rPr>
      </w:pPr>
      <w:r>
        <w:rPr>
          <w:bCs/>
          <w:i/>
        </w:rPr>
        <w:tab/>
      </w:r>
      <w:r w:rsidRPr="00AF2F9F">
        <w:rPr>
          <w:bCs/>
          <w:i/>
        </w:rPr>
        <w:t>Comment:</w:t>
      </w:r>
      <w:r w:rsidRPr="00AF2F9F">
        <w:rPr>
          <w:bCs/>
        </w:rPr>
        <w:t xml:space="preserve">  One commenter recommended that HUD consider tiered or graduating MIP rates for varying levels of energy efficiency to encourage all property owners to undertake efficiency retrofits to the extent feasible. </w:t>
      </w:r>
    </w:p>
    <w:p w:rsidR="009441CE" w:rsidRPr="00AF2F9F" w:rsidRDefault="009441CE" w:rsidP="009441CE">
      <w:pPr>
        <w:pStyle w:val="Default"/>
        <w:spacing w:line="480" w:lineRule="auto"/>
        <w:rPr>
          <w:bCs/>
        </w:rPr>
      </w:pPr>
      <w:r>
        <w:rPr>
          <w:bCs/>
          <w:i/>
        </w:rPr>
        <w:tab/>
      </w:r>
      <w:r w:rsidRPr="00AF2F9F">
        <w:rPr>
          <w:bCs/>
          <w:i/>
        </w:rPr>
        <w:t>HUD Response</w:t>
      </w:r>
      <w:r w:rsidRPr="00AF2F9F">
        <w:rPr>
          <w:bCs/>
        </w:rPr>
        <w:t>:  While HUD agrees with the intent, such a rate structure would be overly complex and challenging to administer.  HUD will continue to review rates, and opportunities to promote our mission objectives.</w:t>
      </w:r>
    </w:p>
    <w:p w:rsidR="009441CE" w:rsidRPr="00AF2F9F" w:rsidRDefault="009441CE" w:rsidP="009441CE">
      <w:pPr>
        <w:pStyle w:val="Default"/>
        <w:spacing w:line="480" w:lineRule="auto"/>
        <w:rPr>
          <w:bCs/>
        </w:rPr>
      </w:pPr>
      <w:r>
        <w:rPr>
          <w:bCs/>
          <w:i/>
        </w:rPr>
        <w:tab/>
      </w:r>
      <w:r w:rsidRPr="00AF2F9F">
        <w:rPr>
          <w:bCs/>
          <w:i/>
        </w:rPr>
        <w:t>Comment</w:t>
      </w:r>
      <w:r w:rsidRPr="00AF2F9F">
        <w:rPr>
          <w:bCs/>
        </w:rPr>
        <w:t xml:space="preserve">: </w:t>
      </w:r>
      <w:r w:rsidR="000843FC">
        <w:rPr>
          <w:bCs/>
        </w:rPr>
        <w:t xml:space="preserve"> </w:t>
      </w:r>
      <w:r w:rsidRPr="00AF2F9F">
        <w:rPr>
          <w:bCs/>
        </w:rPr>
        <w:t>Multiple commenters presented alternative green building certification standards for consideration, and/or asked what the process will be for approval of green building certification standards beyond those listed in the notice.</w:t>
      </w:r>
    </w:p>
    <w:p w:rsidR="009441CE" w:rsidRPr="00AF2F9F" w:rsidRDefault="009441CE" w:rsidP="009441CE">
      <w:pPr>
        <w:pStyle w:val="Default"/>
        <w:spacing w:line="480" w:lineRule="auto"/>
        <w:rPr>
          <w:rFonts w:eastAsia="Arial"/>
          <w:spacing w:val="-2"/>
        </w:rPr>
      </w:pPr>
      <w:r>
        <w:rPr>
          <w:bCs/>
          <w:i/>
        </w:rPr>
        <w:lastRenderedPageBreak/>
        <w:tab/>
      </w:r>
      <w:r w:rsidRPr="00AF2F9F">
        <w:rPr>
          <w:bCs/>
          <w:i/>
        </w:rPr>
        <w:t>HUD Response</w:t>
      </w:r>
      <w:r w:rsidRPr="00AF2F9F">
        <w:rPr>
          <w:bCs/>
        </w:rPr>
        <w:t xml:space="preserve">: </w:t>
      </w:r>
      <w:r w:rsidR="000843FC">
        <w:rPr>
          <w:bCs/>
        </w:rPr>
        <w:t xml:space="preserve"> </w:t>
      </w:r>
      <w:r w:rsidRPr="00AF2F9F">
        <w:rPr>
          <w:bCs/>
        </w:rPr>
        <w:t>In addition to the recognized standards listed in the notice, HUD will accept “</w:t>
      </w:r>
      <w:r w:rsidRPr="00AF2F9F">
        <w:t xml:space="preserve">other industry-recognized green building standards in the sole discretion of HUD’s Office of Multifamily Production.”  </w:t>
      </w:r>
      <w:r w:rsidRPr="00AF2F9F">
        <w:rPr>
          <w:bCs/>
        </w:rPr>
        <w:t xml:space="preserve">Lenders should submit such requests to the Director of Multifamily Production in HUD headquarters.  A committee will review such requests for consideration. In response to the specific requests submitted with public comments, HUD has revised the notice to recognize Passive House certifications, </w:t>
      </w:r>
      <w:r w:rsidRPr="00AF2F9F">
        <w:rPr>
          <w:rFonts w:eastAsia="Arial"/>
          <w:spacing w:val="-2"/>
        </w:rPr>
        <w:t>LEED for Existing Buildings: Operations &amp; Maintenance, and Living Building Challenge Certification.</w:t>
      </w:r>
    </w:p>
    <w:p w:rsidR="009441CE" w:rsidRPr="00AF2F9F" w:rsidRDefault="009441CE" w:rsidP="009441CE">
      <w:pPr>
        <w:pStyle w:val="Default"/>
        <w:spacing w:line="480" w:lineRule="auto"/>
        <w:rPr>
          <w:rFonts w:eastAsia="Arial"/>
          <w:spacing w:val="-2"/>
        </w:rPr>
      </w:pPr>
      <w:r>
        <w:rPr>
          <w:rFonts w:eastAsia="Arial"/>
          <w:i/>
          <w:spacing w:val="-2"/>
        </w:rPr>
        <w:tab/>
      </w:r>
      <w:r w:rsidRPr="00AF2F9F">
        <w:rPr>
          <w:rFonts w:eastAsia="Arial"/>
          <w:i/>
          <w:spacing w:val="-2"/>
        </w:rPr>
        <w:t>Comment</w:t>
      </w:r>
      <w:r w:rsidRPr="00AF2F9F">
        <w:rPr>
          <w:rFonts w:eastAsia="Arial"/>
          <w:spacing w:val="-2"/>
        </w:rPr>
        <w:t xml:space="preserve">: </w:t>
      </w:r>
      <w:r w:rsidR="000843FC">
        <w:rPr>
          <w:rFonts w:eastAsia="Arial"/>
          <w:spacing w:val="-2"/>
        </w:rPr>
        <w:t xml:space="preserve"> </w:t>
      </w:r>
      <w:r w:rsidRPr="00AF2F9F">
        <w:rPr>
          <w:rFonts w:eastAsia="Arial"/>
          <w:spacing w:val="-2"/>
        </w:rPr>
        <w:t xml:space="preserve">Commenters asked about notice </w:t>
      </w:r>
      <w:r w:rsidRPr="00AF2F9F">
        <w:t xml:space="preserve">references to </w:t>
      </w:r>
      <w:r>
        <w:t>Real Estate Assessment Center (</w:t>
      </w:r>
      <w:r w:rsidRPr="00AF2F9F">
        <w:t>REAC</w:t>
      </w:r>
      <w:r>
        <w:t>)</w:t>
      </w:r>
      <w:r w:rsidRPr="00AF2F9F">
        <w:t xml:space="preserve"> protocols for properties not achieving their proposed green building standard or the 75+ Portfolio Manager score. One commenter stated that the REAC protocol should not be unilaterally changed to incorporate tests on whether properties are eligible for MIP reductions.  Others asked what actions HUD would pursue for a property’s failure to achieve green building certification and score of 75+ in Portfolio Manager (for example, might actions include 2530 flags, MIP changes, etc</w:t>
      </w:r>
      <w:r w:rsidR="00AF7FD0">
        <w:t>.</w:t>
      </w:r>
      <w:r w:rsidRPr="00AF2F9F">
        <w:t>).</w:t>
      </w:r>
    </w:p>
    <w:p w:rsidR="009441CE" w:rsidRPr="00AF2F9F" w:rsidRDefault="009441CE" w:rsidP="009441CE">
      <w:pPr>
        <w:pStyle w:val="Default"/>
        <w:spacing w:line="480" w:lineRule="auto"/>
        <w:rPr>
          <w:rFonts w:eastAsia="Arial"/>
          <w:spacing w:val="-2"/>
        </w:rPr>
      </w:pPr>
      <w:r>
        <w:rPr>
          <w:rFonts w:eastAsia="Arial"/>
          <w:i/>
          <w:spacing w:val="-2"/>
        </w:rPr>
        <w:tab/>
      </w:r>
      <w:r w:rsidRPr="00AF2F9F">
        <w:rPr>
          <w:rFonts w:eastAsia="Arial"/>
          <w:i/>
          <w:spacing w:val="-2"/>
        </w:rPr>
        <w:t>HUD Response</w:t>
      </w:r>
      <w:r w:rsidRPr="00AF2F9F">
        <w:rPr>
          <w:rFonts w:eastAsia="Arial"/>
          <w:spacing w:val="-2"/>
        </w:rPr>
        <w:t>:</w:t>
      </w:r>
      <w:r w:rsidRPr="00AF2F9F">
        <w:rPr>
          <w:bCs/>
        </w:rPr>
        <w:t xml:space="preserve"> </w:t>
      </w:r>
      <w:r>
        <w:rPr>
          <w:bCs/>
        </w:rPr>
        <w:t xml:space="preserve"> </w:t>
      </w:r>
      <w:r w:rsidRPr="00AF2F9F">
        <w:rPr>
          <w:bCs/>
        </w:rPr>
        <w:t xml:space="preserve">HUD is not changing REAC protocols.  The intent is not to be punitive, but to ensure compliance with the specified green building certification and efficiency performance standards; properties that fail to </w:t>
      </w:r>
      <w:r w:rsidRPr="00AF2F9F">
        <w:t xml:space="preserve">achieve their designated green building standard or the 75+ Portfolio Manager score will be required to submit to HUD a compliance plan and timeline for achieving the required certification and performance, acceptable to HUD.  An owner working in good faith </w:t>
      </w:r>
      <w:r w:rsidR="00EB37F9">
        <w:t xml:space="preserve">and demonstrating progress </w:t>
      </w:r>
      <w:r w:rsidRPr="00AF2F9F">
        <w:t>toward compliance</w:t>
      </w:r>
      <w:r w:rsidR="00EB37F9">
        <w:t xml:space="preserve"> in HUD’s discretion,</w:t>
      </w:r>
      <w:r w:rsidRPr="00AF2F9F">
        <w:t xml:space="preserve"> will not be flagged in HUD’s 2530 </w:t>
      </w:r>
      <w:r w:rsidR="00EB37F9">
        <w:t>previous</w:t>
      </w:r>
      <w:r w:rsidR="00EB37F9" w:rsidRPr="00AF2F9F">
        <w:t xml:space="preserve"> </w:t>
      </w:r>
      <w:r w:rsidRPr="00AF2F9F">
        <w:t>participation system.</w:t>
      </w:r>
      <w:r w:rsidRPr="00AF2F9F">
        <w:rPr>
          <w:highlight w:val="yellow"/>
        </w:rPr>
        <w:t xml:space="preserve">  </w:t>
      </w:r>
    </w:p>
    <w:p w:rsidR="009441CE" w:rsidRPr="00AF2F9F" w:rsidRDefault="009441CE" w:rsidP="009441CE">
      <w:pPr>
        <w:pStyle w:val="Default"/>
        <w:spacing w:line="480" w:lineRule="auto"/>
        <w:rPr>
          <w:bCs/>
        </w:rPr>
      </w:pPr>
      <w:r>
        <w:rPr>
          <w:bCs/>
          <w:i/>
        </w:rPr>
        <w:lastRenderedPageBreak/>
        <w:tab/>
      </w:r>
      <w:r w:rsidRPr="00AF2F9F">
        <w:rPr>
          <w:bCs/>
          <w:i/>
        </w:rPr>
        <w:t>Comment</w:t>
      </w:r>
      <w:r w:rsidRPr="00AF2F9F">
        <w:rPr>
          <w:bCs/>
        </w:rPr>
        <w:t xml:space="preserve">:  Commenters asked that the notice clarify that the </w:t>
      </w:r>
      <w:r w:rsidRPr="00AF2F9F">
        <w:rPr>
          <w:rFonts w:eastAsia="Arial Unicode MS"/>
        </w:rPr>
        <w:t xml:space="preserve">person certifying the green building standard be appropriately credentialed, and </w:t>
      </w:r>
      <w:r w:rsidR="00A55006">
        <w:rPr>
          <w:rFonts w:eastAsia="Arial Unicode MS"/>
        </w:rPr>
        <w:t xml:space="preserve">stated </w:t>
      </w:r>
      <w:r w:rsidRPr="00AF2F9F">
        <w:rPr>
          <w:rFonts w:eastAsia="Arial Unicode MS"/>
        </w:rPr>
        <w:t xml:space="preserve">that </w:t>
      </w:r>
      <w:r w:rsidRPr="00AF2F9F">
        <w:rPr>
          <w:rFonts w:eastAsia="Calibri"/>
        </w:rPr>
        <w:t>a CNA prov</w:t>
      </w:r>
      <w:r>
        <w:rPr>
          <w:rFonts w:eastAsia="Calibri"/>
        </w:rPr>
        <w:t xml:space="preserve">ider may or may </w:t>
      </w:r>
      <w:r w:rsidRPr="00AF2F9F">
        <w:rPr>
          <w:rFonts w:eastAsia="Calibri"/>
        </w:rPr>
        <w:t>not be able to provide an energy design certification, unless they are licensed/accredited per the Energy Auditor requirements.</w:t>
      </w:r>
    </w:p>
    <w:p w:rsidR="009441CE" w:rsidRPr="00AF2F9F" w:rsidRDefault="009441CE" w:rsidP="009441CE">
      <w:pPr>
        <w:pStyle w:val="Default"/>
        <w:spacing w:line="480" w:lineRule="auto"/>
        <w:rPr>
          <w:bCs/>
        </w:rPr>
      </w:pPr>
      <w:r>
        <w:rPr>
          <w:bCs/>
          <w:i/>
        </w:rPr>
        <w:tab/>
      </w:r>
      <w:r w:rsidRPr="00AF2F9F">
        <w:rPr>
          <w:bCs/>
          <w:i/>
        </w:rPr>
        <w:t>HUD Response</w:t>
      </w:r>
      <w:r w:rsidRPr="00AF2F9F">
        <w:rPr>
          <w:bCs/>
        </w:rPr>
        <w:t xml:space="preserve">:  HUD agrees, and has struck CNA provider as a qualified certifier of a green building standard or energy design certification.  The CNA provider </w:t>
      </w:r>
      <w:r w:rsidRPr="00E959C1">
        <w:rPr>
          <w:bCs/>
        </w:rPr>
        <w:t>may</w:t>
      </w:r>
      <w:r w:rsidRPr="00AF2F9F">
        <w:rPr>
          <w:bCs/>
        </w:rPr>
        <w:t xml:space="preserve"> certify if appropriately credentialed, in their capacity as architect, engineer, energy auditor, and/or approved certifier under the specified green building standard.</w:t>
      </w:r>
    </w:p>
    <w:p w:rsidR="009441CE" w:rsidRPr="00AF2F9F" w:rsidRDefault="009441CE" w:rsidP="009441CE">
      <w:pPr>
        <w:pStyle w:val="Default"/>
        <w:spacing w:line="480" w:lineRule="auto"/>
        <w:rPr>
          <w:bCs/>
        </w:rPr>
      </w:pPr>
      <w:r>
        <w:rPr>
          <w:bCs/>
          <w:i/>
        </w:rPr>
        <w:tab/>
      </w:r>
      <w:r w:rsidRPr="00AF2F9F">
        <w:rPr>
          <w:bCs/>
          <w:i/>
        </w:rPr>
        <w:t>Comment:</w:t>
      </w:r>
      <w:r w:rsidRPr="00AF2F9F">
        <w:rPr>
          <w:bCs/>
        </w:rPr>
        <w:t xml:space="preserve">  Commenters </w:t>
      </w:r>
      <w:r>
        <w:rPr>
          <w:bCs/>
        </w:rPr>
        <w:t xml:space="preserve">recommended </w:t>
      </w:r>
      <w:r w:rsidRPr="00AF2F9F">
        <w:rPr>
          <w:rFonts w:eastAsia="Arial Unicode MS"/>
        </w:rPr>
        <w:t>that HUD delete the phrase "and maintain" in reference to recognize</w:t>
      </w:r>
      <w:r>
        <w:rPr>
          <w:rFonts w:eastAsia="Arial Unicode MS"/>
        </w:rPr>
        <w:t xml:space="preserve">d green building certifications because the notice </w:t>
      </w:r>
      <w:r w:rsidRPr="00AF2F9F">
        <w:rPr>
          <w:bCs/>
        </w:rPr>
        <w:t xml:space="preserve">requires a property to not only achieve, but to maintain one of the recognized, independent green building certification standards, yet </w:t>
      </w:r>
      <w:r w:rsidRPr="00AF2F9F">
        <w:rPr>
          <w:rFonts w:eastAsia="Arial Unicode MS"/>
        </w:rPr>
        <w:t>the named green building rating systems are all design and construction standards, and do not include provisions for maintaining the certification</w:t>
      </w:r>
      <w:r w:rsidRPr="00AF2F9F">
        <w:rPr>
          <w:bCs/>
        </w:rPr>
        <w:t xml:space="preserve">.  </w:t>
      </w:r>
    </w:p>
    <w:p w:rsidR="009441CE" w:rsidRPr="00927B78" w:rsidRDefault="009441CE" w:rsidP="009441CE">
      <w:pPr>
        <w:pStyle w:val="Default"/>
        <w:spacing w:line="480" w:lineRule="auto"/>
        <w:rPr>
          <w:bCs/>
        </w:rPr>
      </w:pPr>
      <w:r>
        <w:rPr>
          <w:bCs/>
          <w:i/>
        </w:rPr>
        <w:tab/>
      </w:r>
      <w:r w:rsidRPr="00927B78">
        <w:rPr>
          <w:bCs/>
          <w:i/>
        </w:rPr>
        <w:t>HUD Response:</w:t>
      </w:r>
      <w:r w:rsidRPr="00927B78">
        <w:rPr>
          <w:bCs/>
        </w:rPr>
        <w:t xml:space="preserve">  HUD agrees, and has modified the notice to strike “and maintain” from the green building certification requirement.</w:t>
      </w:r>
    </w:p>
    <w:p w:rsidR="009441CE" w:rsidRPr="00927B78" w:rsidRDefault="009441CE" w:rsidP="009441CE">
      <w:pPr>
        <w:spacing w:line="480" w:lineRule="auto"/>
        <w:rPr>
          <w:rFonts w:ascii="Times New Roman" w:hAnsi="Times New Roman"/>
          <w:sz w:val="24"/>
          <w:szCs w:val="24"/>
        </w:rPr>
      </w:pPr>
      <w:r w:rsidRPr="00927B78">
        <w:rPr>
          <w:rFonts w:ascii="Times New Roman" w:hAnsi="Times New Roman"/>
          <w:i/>
          <w:sz w:val="24"/>
          <w:szCs w:val="24"/>
        </w:rPr>
        <w:tab/>
        <w:t>Comment:</w:t>
      </w:r>
      <w:r w:rsidRPr="00927B78">
        <w:rPr>
          <w:rFonts w:ascii="Times New Roman" w:hAnsi="Times New Roman"/>
          <w:sz w:val="24"/>
          <w:szCs w:val="24"/>
        </w:rPr>
        <w:t xml:space="preserve"> </w:t>
      </w:r>
      <w:r w:rsidR="000843FC">
        <w:rPr>
          <w:rFonts w:ascii="Times New Roman" w:hAnsi="Times New Roman"/>
          <w:sz w:val="24"/>
          <w:szCs w:val="24"/>
        </w:rPr>
        <w:t xml:space="preserve"> </w:t>
      </w:r>
      <w:r w:rsidRPr="00927B78">
        <w:rPr>
          <w:rFonts w:ascii="Times New Roman" w:hAnsi="Times New Roman"/>
          <w:sz w:val="24"/>
          <w:szCs w:val="24"/>
        </w:rPr>
        <w:t>A commenter asked for clarification on the requirement for a property accessing the Green/Energy Efficient MIP rate to achieve and maintain the 75+ Portfolio Manager score.</w:t>
      </w:r>
    </w:p>
    <w:p w:rsidR="009441CE" w:rsidRPr="00F63E60" w:rsidRDefault="009441CE" w:rsidP="009441CE">
      <w:pPr>
        <w:spacing w:line="480" w:lineRule="auto"/>
        <w:rPr>
          <w:rFonts w:ascii="Times New Roman" w:hAnsi="Times New Roman"/>
          <w:sz w:val="24"/>
          <w:szCs w:val="24"/>
        </w:rPr>
      </w:pPr>
      <w:r w:rsidRPr="00927B78">
        <w:rPr>
          <w:rFonts w:ascii="Times New Roman" w:hAnsi="Times New Roman"/>
          <w:i/>
          <w:sz w:val="24"/>
          <w:szCs w:val="24"/>
        </w:rPr>
        <w:tab/>
        <w:t>HUD Response</w:t>
      </w:r>
      <w:r w:rsidRPr="00927B78">
        <w:rPr>
          <w:rFonts w:ascii="Times New Roman" w:hAnsi="Times New Roman"/>
          <w:sz w:val="24"/>
          <w:szCs w:val="24"/>
        </w:rPr>
        <w:t xml:space="preserve">: </w:t>
      </w:r>
      <w:r w:rsidR="000843FC">
        <w:rPr>
          <w:rFonts w:ascii="Times New Roman" w:hAnsi="Times New Roman"/>
          <w:sz w:val="24"/>
          <w:szCs w:val="24"/>
        </w:rPr>
        <w:t xml:space="preserve"> </w:t>
      </w:r>
      <w:r w:rsidRPr="00927B78">
        <w:rPr>
          <w:rFonts w:ascii="Times New Roman" w:hAnsi="Times New Roman"/>
          <w:sz w:val="24"/>
          <w:szCs w:val="24"/>
        </w:rPr>
        <w:t xml:space="preserve">A property accessing the Green/Energy Efficient MIP rate will be required to maintain its efficiency performance.  The property owner will submit its Portfolio </w:t>
      </w:r>
      <w:r w:rsidRPr="00F63E60">
        <w:rPr>
          <w:rFonts w:ascii="Times New Roman" w:hAnsi="Times New Roman"/>
          <w:sz w:val="24"/>
          <w:szCs w:val="24"/>
        </w:rPr>
        <w:t>Manager report to HUD annually.</w:t>
      </w:r>
    </w:p>
    <w:p w:rsidR="009441CE" w:rsidRPr="00F63E60" w:rsidRDefault="009441CE" w:rsidP="009441CE">
      <w:pPr>
        <w:autoSpaceDE w:val="0"/>
        <w:autoSpaceDN w:val="0"/>
        <w:spacing w:line="480" w:lineRule="auto"/>
        <w:rPr>
          <w:rFonts w:ascii="Times New Roman" w:hAnsi="Times New Roman"/>
          <w:bCs/>
          <w:sz w:val="24"/>
          <w:szCs w:val="24"/>
        </w:rPr>
      </w:pPr>
      <w:r w:rsidRPr="00F63E60">
        <w:rPr>
          <w:rFonts w:ascii="Times New Roman" w:hAnsi="Times New Roman"/>
          <w:bCs/>
          <w:i/>
          <w:sz w:val="24"/>
          <w:szCs w:val="24"/>
        </w:rPr>
        <w:lastRenderedPageBreak/>
        <w:tab/>
        <w:t>Comment:</w:t>
      </w:r>
      <w:r w:rsidRPr="00F63E60">
        <w:rPr>
          <w:rFonts w:ascii="Times New Roman" w:hAnsi="Times New Roman"/>
          <w:bCs/>
          <w:sz w:val="24"/>
          <w:szCs w:val="24"/>
        </w:rPr>
        <w:t xml:space="preserve"> </w:t>
      </w:r>
      <w:r w:rsidR="000843FC">
        <w:rPr>
          <w:rFonts w:ascii="Times New Roman" w:hAnsi="Times New Roman"/>
          <w:bCs/>
          <w:sz w:val="24"/>
          <w:szCs w:val="24"/>
        </w:rPr>
        <w:t xml:space="preserve"> </w:t>
      </w:r>
      <w:r w:rsidRPr="00F63E60">
        <w:rPr>
          <w:rFonts w:ascii="Times New Roman" w:hAnsi="Times New Roman"/>
          <w:bCs/>
          <w:sz w:val="24"/>
          <w:szCs w:val="24"/>
        </w:rPr>
        <w:t xml:space="preserve">Commenters stated the notice’s required score of 75+ on EPA’s Portfolio Manager will be a “moving target” as the underlying database of properties recalibrates the scores, and asked how an owner can certify to this target.  </w:t>
      </w:r>
    </w:p>
    <w:p w:rsidR="009441CE" w:rsidRPr="00AF2F9F" w:rsidRDefault="009441CE" w:rsidP="009441CE">
      <w:pPr>
        <w:autoSpaceDE w:val="0"/>
        <w:autoSpaceDN w:val="0"/>
        <w:spacing w:line="480" w:lineRule="auto"/>
        <w:rPr>
          <w:rFonts w:ascii="Times New Roman" w:hAnsi="Times New Roman"/>
          <w:sz w:val="24"/>
          <w:szCs w:val="24"/>
        </w:rPr>
      </w:pPr>
      <w:r w:rsidRPr="00F63E60">
        <w:rPr>
          <w:rFonts w:ascii="Times New Roman" w:hAnsi="Times New Roman"/>
          <w:bCs/>
          <w:i/>
          <w:sz w:val="24"/>
          <w:szCs w:val="24"/>
        </w:rPr>
        <w:tab/>
        <w:t>HUD Response:</w:t>
      </w:r>
      <w:r w:rsidRPr="00F63E60">
        <w:rPr>
          <w:rFonts w:ascii="Times New Roman" w:hAnsi="Times New Roman"/>
          <w:bCs/>
          <w:sz w:val="24"/>
          <w:szCs w:val="24"/>
        </w:rPr>
        <w:t xml:space="preserve">  The Portfolio Manager data</w:t>
      </w:r>
      <w:r w:rsidR="000843FC">
        <w:rPr>
          <w:rFonts w:ascii="Times New Roman" w:hAnsi="Times New Roman"/>
          <w:bCs/>
          <w:sz w:val="24"/>
          <w:szCs w:val="24"/>
        </w:rPr>
        <w:t xml:space="preserve"> </w:t>
      </w:r>
      <w:r w:rsidRPr="00F63E60">
        <w:rPr>
          <w:rFonts w:ascii="Times New Roman" w:hAnsi="Times New Roman"/>
          <w:bCs/>
          <w:sz w:val="24"/>
          <w:szCs w:val="24"/>
        </w:rPr>
        <w:t xml:space="preserve">set and underlying algorithm, and therefore the resulting scores, will not be changed for the foreseeable future, according to EPA.  The objective is to ensure sustained property performance. </w:t>
      </w:r>
      <w:r w:rsidR="000843FC">
        <w:rPr>
          <w:rFonts w:ascii="Times New Roman" w:hAnsi="Times New Roman"/>
          <w:bCs/>
          <w:sz w:val="24"/>
          <w:szCs w:val="24"/>
        </w:rPr>
        <w:t xml:space="preserve"> </w:t>
      </w:r>
      <w:r w:rsidRPr="00F63E60">
        <w:rPr>
          <w:rFonts w:ascii="Times New Roman" w:hAnsi="Times New Roman"/>
          <w:sz w:val="24"/>
          <w:szCs w:val="24"/>
        </w:rPr>
        <w:t>If, in the future, the 1-100 ENERGY STAR score is recalibrated, properties may demonstrate ongoing compliance by providing a copy of the Portfolio Manager report showing building consumption/performance has been maintained, even if the resulting score under a recalibrated scale is less than 75.  Properties newly applying for the MIP rate at that time will have to comply with the new standard score requirement.</w:t>
      </w:r>
    </w:p>
    <w:p w:rsidR="009441CE" w:rsidRPr="00AF2F9F" w:rsidRDefault="009441CE" w:rsidP="009441CE">
      <w:pPr>
        <w:autoSpaceDE w:val="0"/>
        <w:autoSpaceDN w:val="0"/>
        <w:spacing w:line="480" w:lineRule="auto"/>
        <w:rPr>
          <w:rFonts w:ascii="Times New Roman" w:hAnsi="Times New Roman"/>
          <w:sz w:val="24"/>
          <w:szCs w:val="24"/>
        </w:rPr>
      </w:pPr>
      <w:r>
        <w:rPr>
          <w:rFonts w:ascii="Times New Roman" w:hAnsi="Times New Roman"/>
          <w:sz w:val="24"/>
          <w:szCs w:val="24"/>
        </w:rPr>
        <w:tab/>
      </w:r>
      <w:r w:rsidRPr="00AF2F9F">
        <w:rPr>
          <w:rFonts w:ascii="Times New Roman" w:hAnsi="Times New Roman"/>
          <w:i/>
          <w:sz w:val="24"/>
          <w:szCs w:val="24"/>
        </w:rPr>
        <w:t>Comment:</w:t>
      </w:r>
      <w:r w:rsidRPr="00AF2F9F">
        <w:rPr>
          <w:rFonts w:ascii="Times New Roman" w:hAnsi="Times New Roman"/>
          <w:sz w:val="24"/>
          <w:szCs w:val="24"/>
        </w:rPr>
        <w:t xml:space="preserve"> </w:t>
      </w:r>
      <w:r w:rsidR="000843FC">
        <w:rPr>
          <w:rFonts w:ascii="Times New Roman" w:hAnsi="Times New Roman"/>
          <w:sz w:val="24"/>
          <w:szCs w:val="24"/>
        </w:rPr>
        <w:t xml:space="preserve"> </w:t>
      </w:r>
      <w:r w:rsidRPr="00AF2F9F">
        <w:rPr>
          <w:rFonts w:ascii="Times New Roman" w:hAnsi="Times New Roman"/>
          <w:sz w:val="24"/>
          <w:szCs w:val="24"/>
        </w:rPr>
        <w:t xml:space="preserve">One commenter </w:t>
      </w:r>
      <w:r>
        <w:rPr>
          <w:rFonts w:ascii="Times New Roman" w:hAnsi="Times New Roman"/>
          <w:sz w:val="24"/>
          <w:szCs w:val="24"/>
        </w:rPr>
        <w:t>asked why</w:t>
      </w:r>
      <w:r w:rsidRPr="00AF2F9F">
        <w:rPr>
          <w:rFonts w:ascii="Times New Roman" w:hAnsi="Times New Roman"/>
          <w:sz w:val="24"/>
          <w:szCs w:val="24"/>
        </w:rPr>
        <w:t xml:space="preserve"> a property </w:t>
      </w:r>
      <w:r>
        <w:rPr>
          <w:rFonts w:ascii="Times New Roman" w:hAnsi="Times New Roman"/>
          <w:sz w:val="24"/>
          <w:szCs w:val="24"/>
        </w:rPr>
        <w:t>that can meet both</w:t>
      </w:r>
      <w:r w:rsidRPr="00AF2F9F">
        <w:rPr>
          <w:rFonts w:ascii="Times New Roman" w:hAnsi="Times New Roman"/>
          <w:sz w:val="24"/>
          <w:szCs w:val="24"/>
        </w:rPr>
        <w:t xml:space="preserve"> the Broadly Affordable</w:t>
      </w:r>
      <w:r>
        <w:rPr>
          <w:rFonts w:ascii="Times New Roman" w:hAnsi="Times New Roman"/>
          <w:sz w:val="24"/>
          <w:szCs w:val="24"/>
        </w:rPr>
        <w:t xml:space="preserve"> and</w:t>
      </w:r>
      <w:r w:rsidRPr="00AF2F9F">
        <w:rPr>
          <w:rFonts w:ascii="Times New Roman" w:hAnsi="Times New Roman"/>
          <w:sz w:val="24"/>
          <w:szCs w:val="24"/>
        </w:rPr>
        <w:t xml:space="preserve"> the Green</w:t>
      </w:r>
      <w:r>
        <w:rPr>
          <w:rFonts w:ascii="Times New Roman" w:hAnsi="Times New Roman"/>
          <w:sz w:val="24"/>
          <w:szCs w:val="24"/>
        </w:rPr>
        <w:t xml:space="preserve">/Energy Efficient requirements </w:t>
      </w:r>
      <w:r w:rsidRPr="00AF2F9F">
        <w:rPr>
          <w:rFonts w:ascii="Times New Roman" w:hAnsi="Times New Roman"/>
          <w:sz w:val="24"/>
          <w:szCs w:val="24"/>
        </w:rPr>
        <w:t>is not rewarded through a further reduction in rates.</w:t>
      </w:r>
    </w:p>
    <w:p w:rsidR="009441CE" w:rsidRPr="00AF2F9F" w:rsidRDefault="009441CE" w:rsidP="009441CE">
      <w:pPr>
        <w:autoSpaceDE w:val="0"/>
        <w:autoSpaceDN w:val="0"/>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HUD Response:</w:t>
      </w:r>
      <w:r w:rsidRPr="00AF2F9F">
        <w:rPr>
          <w:rFonts w:ascii="Times New Roman" w:hAnsi="Times New Roman"/>
          <w:sz w:val="24"/>
          <w:szCs w:val="24"/>
        </w:rPr>
        <w:t xml:space="preserve"> </w:t>
      </w:r>
      <w:r w:rsidR="000843FC">
        <w:rPr>
          <w:rFonts w:ascii="Times New Roman" w:hAnsi="Times New Roman"/>
          <w:sz w:val="24"/>
          <w:szCs w:val="24"/>
        </w:rPr>
        <w:t xml:space="preserve"> </w:t>
      </w:r>
      <w:r w:rsidRPr="00AF2F9F">
        <w:rPr>
          <w:rFonts w:ascii="Times New Roman" w:hAnsi="Times New Roman"/>
          <w:sz w:val="24"/>
          <w:szCs w:val="24"/>
        </w:rPr>
        <w:t>The rates offered under those two rate categories are the lowest allowed by statute, so not further reductions can be offered at this time.</w:t>
      </w:r>
    </w:p>
    <w:p w:rsidR="009441CE" w:rsidRPr="00AF2F9F" w:rsidRDefault="009441CE" w:rsidP="009441CE">
      <w:pPr>
        <w:autoSpaceDE w:val="0"/>
        <w:autoSpaceDN w:val="0"/>
        <w:spacing w:line="480" w:lineRule="auto"/>
        <w:rPr>
          <w:rFonts w:ascii="Times New Roman" w:eastAsia="Arial Unicode MS" w:hAnsi="Times New Roman"/>
          <w:color w:val="000000"/>
          <w:sz w:val="24"/>
          <w:szCs w:val="24"/>
        </w:rPr>
      </w:pPr>
      <w:r>
        <w:rPr>
          <w:rFonts w:ascii="Times New Roman" w:hAnsi="Times New Roman"/>
          <w:bCs/>
          <w:i/>
          <w:sz w:val="24"/>
          <w:szCs w:val="24"/>
        </w:rPr>
        <w:tab/>
      </w:r>
      <w:r w:rsidRPr="00AF2F9F">
        <w:rPr>
          <w:rFonts w:ascii="Times New Roman" w:hAnsi="Times New Roman"/>
          <w:bCs/>
          <w:i/>
          <w:sz w:val="24"/>
          <w:szCs w:val="24"/>
        </w:rPr>
        <w:t>Comment:</w:t>
      </w:r>
      <w:r w:rsidRPr="00AF2F9F">
        <w:rPr>
          <w:rFonts w:ascii="Times New Roman" w:hAnsi="Times New Roman"/>
          <w:bCs/>
          <w:sz w:val="24"/>
          <w:szCs w:val="24"/>
        </w:rPr>
        <w:t xml:space="preserve"> </w:t>
      </w:r>
      <w:r w:rsidR="000843FC">
        <w:rPr>
          <w:rFonts w:ascii="Times New Roman" w:hAnsi="Times New Roman"/>
          <w:bCs/>
          <w:sz w:val="24"/>
          <w:szCs w:val="24"/>
        </w:rPr>
        <w:t xml:space="preserve"> </w:t>
      </w:r>
      <w:r w:rsidRPr="00AF2F9F">
        <w:rPr>
          <w:rFonts w:ascii="Times New Roman" w:hAnsi="Times New Roman"/>
          <w:bCs/>
          <w:sz w:val="24"/>
          <w:szCs w:val="24"/>
        </w:rPr>
        <w:t xml:space="preserve">One commenter asked whether </w:t>
      </w:r>
      <w:r w:rsidRPr="00AF2F9F">
        <w:rPr>
          <w:rFonts w:ascii="Times New Roman" w:eastAsia="Arial Unicode MS" w:hAnsi="Times New Roman"/>
          <w:color w:val="000000"/>
          <w:sz w:val="24"/>
          <w:szCs w:val="24"/>
        </w:rPr>
        <w:t>the reduction in MIP for Green/Energy Efficient buildings have to be from private investment, or if the energy upgrades can be paid be from a government program such as DOE Weatherization or a similar state program.</w:t>
      </w:r>
    </w:p>
    <w:p w:rsidR="009441CE" w:rsidRPr="00AF2F9F" w:rsidRDefault="009441CE" w:rsidP="009441CE">
      <w:pPr>
        <w:autoSpaceDE w:val="0"/>
        <w:autoSpaceDN w:val="0"/>
        <w:spacing w:line="480" w:lineRule="auto"/>
        <w:rPr>
          <w:rFonts w:ascii="Times New Roman" w:hAnsi="Times New Roman"/>
          <w:sz w:val="24"/>
          <w:szCs w:val="24"/>
        </w:rPr>
      </w:pPr>
      <w:r>
        <w:rPr>
          <w:rFonts w:ascii="Times New Roman" w:eastAsia="Arial Unicode MS" w:hAnsi="Times New Roman"/>
          <w:i/>
          <w:color w:val="000000"/>
          <w:sz w:val="24"/>
          <w:szCs w:val="24"/>
        </w:rPr>
        <w:tab/>
      </w:r>
      <w:r w:rsidRPr="00AF2F9F">
        <w:rPr>
          <w:rFonts w:ascii="Times New Roman" w:eastAsia="Arial Unicode MS" w:hAnsi="Times New Roman"/>
          <w:i/>
          <w:color w:val="000000"/>
          <w:sz w:val="24"/>
          <w:szCs w:val="24"/>
        </w:rPr>
        <w:t>HUD Response:</w:t>
      </w:r>
      <w:r w:rsidRPr="00AF2F9F">
        <w:rPr>
          <w:rFonts w:ascii="Times New Roman" w:eastAsia="Arial Unicode MS" w:hAnsi="Times New Roman"/>
          <w:color w:val="000000"/>
          <w:sz w:val="24"/>
          <w:szCs w:val="24"/>
        </w:rPr>
        <w:t xml:space="preserve">  While it</w:t>
      </w:r>
      <w:r w:rsidRPr="00AF2F9F">
        <w:rPr>
          <w:rFonts w:ascii="Times New Roman" w:hAnsi="Times New Roman"/>
          <w:sz w:val="24"/>
          <w:szCs w:val="24"/>
        </w:rPr>
        <w:t xml:space="preserve"> is anticipated that many property owners may utilize the additional mortgage proceeds made possible by the lower MIP to retrofit properties to meet the stringent efficiency standards required, an owner is not required to do so.  Energy efficiency </w:t>
      </w:r>
      <w:r w:rsidRPr="00AF2F9F">
        <w:rPr>
          <w:rFonts w:ascii="Times New Roman" w:hAnsi="Times New Roman"/>
          <w:sz w:val="24"/>
          <w:szCs w:val="24"/>
        </w:rPr>
        <w:lastRenderedPageBreak/>
        <w:t xml:space="preserve">retrofits can be paid from any public or private source of funds, subject to limitations on other debt established by the FHA MAP program.  </w:t>
      </w:r>
    </w:p>
    <w:p w:rsidR="009441CE" w:rsidRPr="000843FC" w:rsidRDefault="009441CE" w:rsidP="009441CE">
      <w:pPr>
        <w:autoSpaceDE w:val="0"/>
        <w:autoSpaceDN w:val="0"/>
        <w:spacing w:line="480" w:lineRule="auto"/>
        <w:rPr>
          <w:rFonts w:ascii="Times New Roman" w:hAnsi="Times New Roman"/>
          <w:b/>
          <w:sz w:val="24"/>
          <w:szCs w:val="24"/>
        </w:rPr>
      </w:pPr>
      <w:r w:rsidRPr="000843FC">
        <w:rPr>
          <w:rFonts w:ascii="Times New Roman" w:hAnsi="Times New Roman"/>
          <w:b/>
          <w:sz w:val="24"/>
          <w:szCs w:val="24"/>
        </w:rPr>
        <w:t>General</w:t>
      </w:r>
    </w:p>
    <w:p w:rsidR="009441CE" w:rsidRPr="00AF2F9F" w:rsidRDefault="009441CE" w:rsidP="009441CE">
      <w:pPr>
        <w:autoSpaceDE w:val="0"/>
        <w:autoSpaceDN w:val="0"/>
        <w:spacing w:line="480" w:lineRule="auto"/>
        <w:rPr>
          <w:rFonts w:ascii="Times New Roman" w:hAnsi="Times New Roman"/>
          <w:bCs/>
          <w:sz w:val="24"/>
          <w:szCs w:val="24"/>
        </w:rPr>
      </w:pPr>
      <w:r>
        <w:rPr>
          <w:rFonts w:ascii="Times New Roman" w:hAnsi="Times New Roman"/>
          <w:bCs/>
          <w:i/>
          <w:sz w:val="24"/>
          <w:szCs w:val="24"/>
        </w:rPr>
        <w:tab/>
      </w:r>
      <w:r w:rsidRPr="00AF2F9F">
        <w:rPr>
          <w:rFonts w:ascii="Times New Roman" w:hAnsi="Times New Roman"/>
          <w:bCs/>
          <w:i/>
          <w:sz w:val="24"/>
          <w:szCs w:val="24"/>
        </w:rPr>
        <w:t>Comment:</w:t>
      </w:r>
      <w:r w:rsidRPr="00AF2F9F">
        <w:rPr>
          <w:rFonts w:ascii="Times New Roman" w:hAnsi="Times New Roman"/>
          <w:bCs/>
          <w:sz w:val="24"/>
          <w:szCs w:val="24"/>
        </w:rPr>
        <w:t xml:space="preserve">  One commenter asked that HUD’s posted data identify current loans in its portfolio into the new MIP rate categories, to allow a viewer to determine which loans in the portfolio would qualify for which rates.</w:t>
      </w:r>
    </w:p>
    <w:p w:rsidR="009441CE" w:rsidRPr="00C350D4" w:rsidRDefault="009441CE" w:rsidP="009441CE">
      <w:pPr>
        <w:autoSpaceDE w:val="0"/>
        <w:autoSpaceDN w:val="0"/>
        <w:spacing w:line="480" w:lineRule="auto"/>
        <w:rPr>
          <w:rFonts w:ascii="Times New Roman" w:hAnsi="Times New Roman"/>
          <w:bCs/>
          <w:sz w:val="24"/>
          <w:szCs w:val="24"/>
        </w:rPr>
      </w:pPr>
      <w:r>
        <w:rPr>
          <w:rFonts w:ascii="Times New Roman" w:hAnsi="Times New Roman"/>
          <w:bCs/>
          <w:i/>
          <w:sz w:val="24"/>
          <w:szCs w:val="24"/>
        </w:rPr>
        <w:tab/>
      </w:r>
      <w:r w:rsidRPr="00AF2F9F">
        <w:rPr>
          <w:rFonts w:ascii="Times New Roman" w:hAnsi="Times New Roman"/>
          <w:bCs/>
          <w:i/>
          <w:sz w:val="24"/>
          <w:szCs w:val="24"/>
        </w:rPr>
        <w:t>HUD Response:</w:t>
      </w:r>
      <w:r w:rsidRPr="00AF2F9F">
        <w:rPr>
          <w:rFonts w:ascii="Times New Roman" w:hAnsi="Times New Roman"/>
          <w:bCs/>
          <w:sz w:val="24"/>
          <w:szCs w:val="24"/>
        </w:rPr>
        <w:t xml:space="preserve">  HUD does not have the level of detail in its dataset to allow this identification.  All loans originated under the new rate structure will </w:t>
      </w:r>
      <w:r>
        <w:rPr>
          <w:rFonts w:ascii="Times New Roman" w:hAnsi="Times New Roman"/>
          <w:bCs/>
          <w:sz w:val="24"/>
          <w:szCs w:val="24"/>
        </w:rPr>
        <w:t>be identified by rate category.</w:t>
      </w:r>
    </w:p>
    <w:p w:rsidR="009441CE" w:rsidRPr="00AF2F9F" w:rsidRDefault="009441CE" w:rsidP="009441CE">
      <w:pPr>
        <w:autoSpaceDE w:val="0"/>
        <w:autoSpaceDN w:val="0"/>
        <w:spacing w:line="480" w:lineRule="auto"/>
        <w:rPr>
          <w:rFonts w:ascii="Times New Roman" w:hAnsi="Times New Roman"/>
          <w:bCs/>
          <w:color w:val="262626"/>
          <w:sz w:val="24"/>
          <w:szCs w:val="24"/>
        </w:rPr>
      </w:pPr>
      <w:r>
        <w:rPr>
          <w:rFonts w:ascii="Times New Roman" w:eastAsiaTheme="majorEastAsia" w:hAnsi="Times New Roman"/>
          <w:bCs/>
          <w:i/>
          <w:sz w:val="24"/>
          <w:szCs w:val="24"/>
        </w:rPr>
        <w:tab/>
      </w:r>
      <w:r w:rsidRPr="00AF2F9F">
        <w:rPr>
          <w:rFonts w:ascii="Times New Roman" w:eastAsiaTheme="majorEastAsia" w:hAnsi="Times New Roman"/>
          <w:bCs/>
          <w:i/>
          <w:sz w:val="24"/>
          <w:szCs w:val="24"/>
        </w:rPr>
        <w:t>Comment:</w:t>
      </w:r>
      <w:r w:rsidRPr="00AF2F9F">
        <w:rPr>
          <w:rFonts w:ascii="Times New Roman" w:eastAsiaTheme="majorEastAsia" w:hAnsi="Times New Roman"/>
          <w:bCs/>
          <w:sz w:val="24"/>
          <w:szCs w:val="24"/>
        </w:rPr>
        <w:t xml:space="preserve"> </w:t>
      </w:r>
      <w:r w:rsidR="000843FC">
        <w:rPr>
          <w:rFonts w:ascii="Times New Roman" w:eastAsiaTheme="majorEastAsia" w:hAnsi="Times New Roman"/>
          <w:bCs/>
          <w:sz w:val="24"/>
          <w:szCs w:val="24"/>
        </w:rPr>
        <w:t xml:space="preserve"> </w:t>
      </w:r>
      <w:r w:rsidRPr="00AF2F9F">
        <w:rPr>
          <w:rFonts w:ascii="Times New Roman" w:hAnsi="Times New Roman"/>
          <w:sz w:val="24"/>
          <w:szCs w:val="24"/>
        </w:rPr>
        <w:t xml:space="preserve">One commenter suggested that the new MIP rate structure would disadvantage market rate properties, disproportionately harming rental properties in secondary and tertiary markets.  </w:t>
      </w:r>
    </w:p>
    <w:p w:rsidR="009441CE" w:rsidRPr="00AF2F9F" w:rsidRDefault="009441CE" w:rsidP="009441CE">
      <w:pPr>
        <w:autoSpaceDE w:val="0"/>
        <w:autoSpaceDN w:val="0"/>
        <w:spacing w:line="480" w:lineRule="auto"/>
        <w:rPr>
          <w:rFonts w:ascii="Times New Roman" w:hAnsi="Times New Roman"/>
          <w:bCs/>
          <w:color w:val="262626"/>
          <w:sz w:val="24"/>
          <w:szCs w:val="24"/>
        </w:rPr>
      </w:pPr>
      <w:r>
        <w:rPr>
          <w:rFonts w:ascii="Times New Roman" w:eastAsiaTheme="majorEastAsia" w:hAnsi="Times New Roman"/>
          <w:bCs/>
          <w:i/>
          <w:sz w:val="24"/>
          <w:szCs w:val="24"/>
        </w:rPr>
        <w:tab/>
      </w:r>
      <w:r w:rsidRPr="00AF2F9F">
        <w:rPr>
          <w:rFonts w:ascii="Times New Roman" w:eastAsiaTheme="majorEastAsia" w:hAnsi="Times New Roman"/>
          <w:bCs/>
          <w:i/>
          <w:sz w:val="24"/>
          <w:szCs w:val="24"/>
        </w:rPr>
        <w:t>HUD Response:</w:t>
      </w:r>
      <w:r w:rsidRPr="00AF2F9F">
        <w:rPr>
          <w:rFonts w:ascii="Times New Roman" w:eastAsiaTheme="majorEastAsia" w:hAnsi="Times New Roman"/>
          <w:bCs/>
          <w:sz w:val="24"/>
          <w:szCs w:val="24"/>
        </w:rPr>
        <w:t xml:space="preserve"> </w:t>
      </w:r>
      <w:r w:rsidR="000843FC">
        <w:rPr>
          <w:rFonts w:ascii="Times New Roman" w:eastAsiaTheme="majorEastAsia" w:hAnsi="Times New Roman"/>
          <w:bCs/>
          <w:sz w:val="24"/>
          <w:szCs w:val="24"/>
        </w:rPr>
        <w:t xml:space="preserve"> </w:t>
      </w:r>
      <w:r w:rsidRPr="00AF2F9F">
        <w:rPr>
          <w:rFonts w:ascii="Times New Roman" w:eastAsiaTheme="majorEastAsia" w:hAnsi="Times New Roman"/>
          <w:bCs/>
          <w:sz w:val="24"/>
          <w:szCs w:val="24"/>
        </w:rPr>
        <w:t>T</w:t>
      </w:r>
      <w:r w:rsidRPr="00AF2F9F">
        <w:rPr>
          <w:rFonts w:ascii="Times New Roman" w:hAnsi="Times New Roman"/>
          <w:bCs/>
          <w:sz w:val="24"/>
          <w:szCs w:val="24"/>
        </w:rPr>
        <w:t>he largest reduction from current rates to those effective April 1, 2016, is for market rate properties that are or choose to retrofit to a recognized green building/energy efficiency standard.  This rate category was added specifically to recognize and promote green and energy efficient properties, whether affordable or market rate.</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Comment:</w:t>
      </w:r>
      <w:r w:rsidRPr="00AF2F9F">
        <w:rPr>
          <w:rFonts w:ascii="Times New Roman" w:hAnsi="Times New Roman"/>
          <w:sz w:val="24"/>
          <w:szCs w:val="24"/>
        </w:rPr>
        <w:t xml:space="preserve"> </w:t>
      </w:r>
      <w:r w:rsidR="000843FC">
        <w:rPr>
          <w:rFonts w:ascii="Times New Roman" w:hAnsi="Times New Roman"/>
          <w:sz w:val="24"/>
          <w:szCs w:val="24"/>
        </w:rPr>
        <w:t xml:space="preserve"> </w:t>
      </w:r>
      <w:r w:rsidRPr="00AF2F9F">
        <w:rPr>
          <w:rFonts w:ascii="Times New Roman" w:hAnsi="Times New Roman"/>
          <w:sz w:val="24"/>
          <w:szCs w:val="24"/>
        </w:rPr>
        <w:t xml:space="preserve">A commenter observed that the negative subsidy rates for MIP since FY 2013 show that the multifamily programs are generating more than enough revenue to cover losses, and requested that HUD review the MIPs for </w:t>
      </w:r>
      <w:r w:rsidRPr="000843FC">
        <w:rPr>
          <w:rFonts w:ascii="Times New Roman" w:hAnsi="Times New Roman"/>
          <w:iCs/>
          <w:sz w:val="24"/>
          <w:szCs w:val="24"/>
        </w:rPr>
        <w:t>all</w:t>
      </w:r>
      <w:r w:rsidRPr="00AF2F9F">
        <w:rPr>
          <w:rFonts w:ascii="Times New Roman" w:hAnsi="Times New Roman"/>
          <w:i/>
          <w:iCs/>
          <w:sz w:val="24"/>
          <w:szCs w:val="24"/>
        </w:rPr>
        <w:t xml:space="preserve"> </w:t>
      </w:r>
      <w:r w:rsidRPr="00AF2F9F">
        <w:rPr>
          <w:rFonts w:ascii="Times New Roman" w:hAnsi="Times New Roman"/>
          <w:sz w:val="24"/>
          <w:szCs w:val="24"/>
        </w:rPr>
        <w:t xml:space="preserve">of its loan programs, and set the levels at the rate necessary to cover losses and costs to the program.  </w:t>
      </w:r>
    </w:p>
    <w:p w:rsidR="009441CE" w:rsidRPr="00AF2F9F" w:rsidRDefault="009441CE" w:rsidP="009441CE">
      <w:pPr>
        <w:spacing w:line="480" w:lineRule="auto"/>
        <w:rPr>
          <w:rFonts w:ascii="Times New Roman" w:hAnsi="Times New Roman"/>
          <w:sz w:val="24"/>
          <w:szCs w:val="24"/>
        </w:rPr>
      </w:pPr>
      <w:r>
        <w:rPr>
          <w:rFonts w:ascii="Times New Roman" w:hAnsi="Times New Roman"/>
          <w:i/>
          <w:sz w:val="24"/>
          <w:szCs w:val="24"/>
        </w:rPr>
        <w:tab/>
      </w:r>
      <w:r w:rsidRPr="00AF2F9F">
        <w:rPr>
          <w:rFonts w:ascii="Times New Roman" w:hAnsi="Times New Roman"/>
          <w:i/>
          <w:sz w:val="24"/>
          <w:szCs w:val="24"/>
        </w:rPr>
        <w:t>HUD Response:</w:t>
      </w:r>
      <w:r w:rsidRPr="00AF2F9F">
        <w:rPr>
          <w:rFonts w:ascii="Times New Roman" w:hAnsi="Times New Roman"/>
          <w:sz w:val="24"/>
          <w:szCs w:val="24"/>
        </w:rPr>
        <w:t xml:space="preserve">  </w:t>
      </w:r>
      <w:r w:rsidRPr="00AF2F9F">
        <w:rPr>
          <w:rFonts w:ascii="Times New Roman" w:hAnsi="Times New Roman"/>
          <w:bCs/>
          <w:sz w:val="24"/>
          <w:szCs w:val="24"/>
        </w:rPr>
        <w:t>HUD has and will continue to review its MIP rates.</w:t>
      </w:r>
    </w:p>
    <w:p w:rsidR="009441CE" w:rsidRPr="00AF2F9F" w:rsidRDefault="009441CE" w:rsidP="009441CE">
      <w:pPr>
        <w:keepNext/>
        <w:keepLines/>
        <w:spacing w:line="480" w:lineRule="auto"/>
        <w:outlineLvl w:val="0"/>
        <w:rPr>
          <w:rFonts w:ascii="Times New Roman" w:hAnsi="Times New Roman"/>
          <w:color w:val="201F1F"/>
          <w:sz w:val="24"/>
          <w:szCs w:val="24"/>
        </w:rPr>
      </w:pPr>
      <w:r>
        <w:rPr>
          <w:rFonts w:ascii="Times New Roman" w:eastAsiaTheme="majorEastAsia" w:hAnsi="Times New Roman"/>
          <w:bCs/>
          <w:i/>
          <w:sz w:val="24"/>
          <w:szCs w:val="24"/>
        </w:rPr>
        <w:lastRenderedPageBreak/>
        <w:tab/>
      </w:r>
      <w:r w:rsidRPr="00AF2F9F">
        <w:rPr>
          <w:rFonts w:ascii="Times New Roman" w:eastAsiaTheme="majorEastAsia" w:hAnsi="Times New Roman"/>
          <w:bCs/>
          <w:i/>
          <w:sz w:val="24"/>
          <w:szCs w:val="24"/>
        </w:rPr>
        <w:t>Comment:</w:t>
      </w:r>
      <w:r w:rsidRPr="00AF2F9F">
        <w:rPr>
          <w:rFonts w:ascii="Times New Roman" w:eastAsiaTheme="majorEastAsia" w:hAnsi="Times New Roman"/>
          <w:bCs/>
          <w:sz w:val="24"/>
          <w:szCs w:val="24"/>
        </w:rPr>
        <w:t xml:space="preserve"> </w:t>
      </w:r>
      <w:r w:rsidR="000843FC">
        <w:rPr>
          <w:rFonts w:ascii="Times New Roman" w:eastAsiaTheme="majorEastAsia" w:hAnsi="Times New Roman"/>
          <w:bCs/>
          <w:sz w:val="24"/>
          <w:szCs w:val="24"/>
        </w:rPr>
        <w:t xml:space="preserve"> </w:t>
      </w:r>
      <w:r w:rsidRPr="00AF2F9F">
        <w:rPr>
          <w:rFonts w:ascii="Times New Roman" w:eastAsiaTheme="majorEastAsia" w:hAnsi="Times New Roman"/>
          <w:bCs/>
          <w:sz w:val="24"/>
          <w:szCs w:val="24"/>
        </w:rPr>
        <w:t xml:space="preserve">Commenters </w:t>
      </w:r>
      <w:r>
        <w:rPr>
          <w:rFonts w:ascii="Times New Roman" w:eastAsiaTheme="majorEastAsia" w:hAnsi="Times New Roman"/>
          <w:bCs/>
          <w:sz w:val="24"/>
          <w:szCs w:val="24"/>
        </w:rPr>
        <w:t xml:space="preserve">requested clarification with regard to the </w:t>
      </w:r>
      <w:r w:rsidRPr="00AF2F9F">
        <w:rPr>
          <w:rFonts w:ascii="Times New Roman" w:hAnsi="Times New Roman"/>
          <w:color w:val="262626"/>
          <w:sz w:val="24"/>
          <w:szCs w:val="24"/>
        </w:rPr>
        <w:t>to</w:t>
      </w:r>
      <w:r>
        <w:rPr>
          <w:rFonts w:ascii="Times New Roman" w:hAnsi="Times New Roman"/>
          <w:color w:val="262626"/>
          <w:sz w:val="24"/>
          <w:szCs w:val="24"/>
        </w:rPr>
        <w:t xml:space="preserve"> the notices reference to the</w:t>
      </w:r>
      <w:r w:rsidRPr="00AF2F9F">
        <w:rPr>
          <w:rFonts w:ascii="Times New Roman" w:hAnsi="Times New Roman"/>
          <w:color w:val="262626"/>
          <w:sz w:val="24"/>
          <w:szCs w:val="24"/>
        </w:rPr>
        <w:t xml:space="preserve"> upfront capitalized </w:t>
      </w:r>
      <w:r w:rsidRPr="00AF2F9F">
        <w:rPr>
          <w:rFonts w:ascii="Times New Roman" w:hAnsi="Times New Roman"/>
          <w:color w:val="383838"/>
          <w:sz w:val="24"/>
          <w:szCs w:val="24"/>
        </w:rPr>
        <w:t xml:space="preserve">MIP </w:t>
      </w:r>
      <w:r w:rsidRPr="00AF2F9F">
        <w:rPr>
          <w:rFonts w:ascii="Times New Roman" w:hAnsi="Times New Roman"/>
          <w:color w:val="262626"/>
          <w:sz w:val="24"/>
          <w:szCs w:val="24"/>
        </w:rPr>
        <w:t>for construction loans</w:t>
      </w:r>
      <w:r>
        <w:rPr>
          <w:rFonts w:ascii="Times New Roman" w:hAnsi="Times New Roman"/>
          <w:color w:val="4A4949"/>
          <w:sz w:val="24"/>
          <w:szCs w:val="24"/>
        </w:rPr>
        <w:t xml:space="preserve"> and the absence of a reference to </w:t>
      </w:r>
      <w:r w:rsidRPr="00AF2F9F">
        <w:rPr>
          <w:rFonts w:ascii="Times New Roman" w:hAnsi="Times New Roman"/>
          <w:color w:val="262626"/>
          <w:sz w:val="24"/>
          <w:szCs w:val="24"/>
        </w:rPr>
        <w:t xml:space="preserve">a </w:t>
      </w:r>
      <w:r w:rsidRPr="00AF2F9F">
        <w:rPr>
          <w:rFonts w:ascii="Times New Roman" w:hAnsi="Times New Roman"/>
          <w:color w:val="383838"/>
          <w:sz w:val="24"/>
          <w:szCs w:val="24"/>
        </w:rPr>
        <w:t xml:space="preserve">"look </w:t>
      </w:r>
      <w:r w:rsidRPr="00AF2F9F">
        <w:rPr>
          <w:rFonts w:ascii="Times New Roman" w:hAnsi="Times New Roman"/>
          <w:color w:val="262626"/>
          <w:sz w:val="24"/>
          <w:szCs w:val="24"/>
        </w:rPr>
        <w:t xml:space="preserve">back" </w:t>
      </w:r>
      <w:r w:rsidRPr="00AF2F9F">
        <w:rPr>
          <w:rFonts w:ascii="Times New Roman" w:hAnsi="Times New Roman"/>
          <w:color w:val="383838"/>
          <w:sz w:val="24"/>
          <w:szCs w:val="24"/>
        </w:rPr>
        <w:t xml:space="preserve">after </w:t>
      </w:r>
      <w:r w:rsidRPr="00AF2F9F">
        <w:rPr>
          <w:rFonts w:ascii="Times New Roman" w:hAnsi="Times New Roman"/>
          <w:color w:val="4A4949"/>
          <w:sz w:val="24"/>
          <w:szCs w:val="24"/>
        </w:rPr>
        <w:t>f</w:t>
      </w:r>
      <w:r w:rsidRPr="00AF2F9F">
        <w:rPr>
          <w:rFonts w:ascii="Times New Roman" w:hAnsi="Times New Roman"/>
          <w:color w:val="262626"/>
          <w:sz w:val="24"/>
          <w:szCs w:val="24"/>
        </w:rPr>
        <w:t>ina</w:t>
      </w:r>
      <w:r w:rsidRPr="00AF2F9F">
        <w:rPr>
          <w:rFonts w:ascii="Times New Roman" w:hAnsi="Times New Roman"/>
          <w:color w:val="4A4949"/>
          <w:sz w:val="24"/>
          <w:szCs w:val="24"/>
        </w:rPr>
        <w:t xml:space="preserve">l </w:t>
      </w:r>
      <w:r w:rsidRPr="00AF2F9F">
        <w:rPr>
          <w:rFonts w:ascii="Times New Roman" w:hAnsi="Times New Roman"/>
          <w:color w:val="383838"/>
          <w:sz w:val="24"/>
          <w:szCs w:val="24"/>
        </w:rPr>
        <w:t xml:space="preserve">closing </w:t>
      </w:r>
      <w:r w:rsidRPr="00AF2F9F">
        <w:rPr>
          <w:rFonts w:ascii="Times New Roman" w:hAnsi="Times New Roman"/>
          <w:color w:val="262626"/>
          <w:sz w:val="24"/>
          <w:szCs w:val="24"/>
        </w:rPr>
        <w:t xml:space="preserve">that recalculates MIP </w:t>
      </w:r>
      <w:r w:rsidRPr="00AF2F9F">
        <w:rPr>
          <w:rFonts w:ascii="Times New Roman" w:hAnsi="Times New Roman"/>
          <w:color w:val="383838"/>
          <w:sz w:val="24"/>
          <w:szCs w:val="24"/>
        </w:rPr>
        <w:t xml:space="preserve">at </w:t>
      </w:r>
      <w:r w:rsidRPr="00AF2F9F">
        <w:rPr>
          <w:rFonts w:ascii="Times New Roman" w:hAnsi="Times New Roman"/>
          <w:color w:val="262626"/>
          <w:sz w:val="24"/>
          <w:szCs w:val="24"/>
        </w:rPr>
        <w:t>1</w:t>
      </w:r>
      <w:r w:rsidR="00A55006">
        <w:rPr>
          <w:rFonts w:ascii="Times New Roman" w:hAnsi="Times New Roman"/>
          <w:color w:val="262626"/>
          <w:sz w:val="24"/>
          <w:szCs w:val="24"/>
        </w:rPr>
        <w:t xml:space="preserve"> </w:t>
      </w:r>
      <w:r>
        <w:rPr>
          <w:rFonts w:ascii="Times New Roman" w:hAnsi="Times New Roman"/>
          <w:color w:val="262626"/>
          <w:sz w:val="24"/>
          <w:szCs w:val="24"/>
        </w:rPr>
        <w:t>percent</w:t>
      </w:r>
      <w:r w:rsidRPr="00AF2F9F">
        <w:rPr>
          <w:rFonts w:ascii="Times New Roman" w:hAnsi="Times New Roman"/>
          <w:color w:val="262626"/>
          <w:sz w:val="24"/>
          <w:szCs w:val="24"/>
        </w:rPr>
        <w:t xml:space="preserve"> of the actual outstanding </w:t>
      </w:r>
      <w:r w:rsidRPr="00AF2F9F">
        <w:rPr>
          <w:rFonts w:ascii="Times New Roman" w:hAnsi="Times New Roman"/>
          <w:color w:val="383838"/>
          <w:sz w:val="24"/>
          <w:szCs w:val="24"/>
        </w:rPr>
        <w:t xml:space="preserve">amount. </w:t>
      </w:r>
    </w:p>
    <w:p w:rsidR="009441CE" w:rsidRPr="00AF2F9F" w:rsidRDefault="009441CE" w:rsidP="009441CE">
      <w:pPr>
        <w:keepNext/>
        <w:keepLines/>
        <w:spacing w:line="480" w:lineRule="auto"/>
        <w:outlineLvl w:val="0"/>
        <w:rPr>
          <w:rFonts w:ascii="Times New Roman" w:hAnsi="Times New Roman"/>
          <w:bCs/>
          <w:color w:val="201F1F"/>
          <w:sz w:val="24"/>
          <w:szCs w:val="24"/>
        </w:rPr>
      </w:pPr>
      <w:r>
        <w:rPr>
          <w:rFonts w:ascii="Times New Roman" w:hAnsi="Times New Roman"/>
          <w:i/>
          <w:color w:val="201F1F"/>
          <w:sz w:val="24"/>
          <w:szCs w:val="24"/>
        </w:rPr>
        <w:tab/>
      </w:r>
      <w:r w:rsidRPr="00AF2F9F">
        <w:rPr>
          <w:rFonts w:ascii="Times New Roman" w:hAnsi="Times New Roman"/>
          <w:i/>
          <w:color w:val="201F1F"/>
          <w:sz w:val="24"/>
          <w:szCs w:val="24"/>
        </w:rPr>
        <w:t xml:space="preserve">HUD Response:  </w:t>
      </w:r>
      <w:r w:rsidRPr="00AF2F9F">
        <w:rPr>
          <w:rFonts w:ascii="Times New Roman" w:hAnsi="Times New Roman"/>
          <w:bCs/>
          <w:sz w:val="24"/>
          <w:szCs w:val="24"/>
        </w:rPr>
        <w:t xml:space="preserve">For New Construction and Substantial Rehabilitation transactions, the upfront capitalized MIP is the applicable annual MIP rate, times the loan amount, times the number of years of construction, rounded up to the nearest full year for partial years. </w:t>
      </w:r>
    </w:p>
    <w:p w:rsidR="009441CE" w:rsidRPr="00AF2F9F" w:rsidRDefault="009441CE" w:rsidP="009441CE">
      <w:pPr>
        <w:autoSpaceDE w:val="0"/>
        <w:autoSpaceDN w:val="0"/>
        <w:spacing w:line="480" w:lineRule="auto"/>
        <w:rPr>
          <w:rFonts w:ascii="Times New Roman" w:hAnsi="Times New Roman"/>
          <w:bCs/>
          <w:sz w:val="24"/>
          <w:szCs w:val="24"/>
        </w:rPr>
      </w:pPr>
      <w:r>
        <w:rPr>
          <w:rFonts w:ascii="Times New Roman" w:hAnsi="Times New Roman"/>
          <w:bCs/>
          <w:i/>
          <w:sz w:val="24"/>
          <w:szCs w:val="24"/>
        </w:rPr>
        <w:tab/>
      </w:r>
      <w:r w:rsidRPr="00AF2F9F">
        <w:rPr>
          <w:rFonts w:ascii="Times New Roman" w:hAnsi="Times New Roman"/>
          <w:bCs/>
          <w:i/>
          <w:sz w:val="24"/>
          <w:szCs w:val="24"/>
        </w:rPr>
        <w:t>Comment:</w:t>
      </w:r>
      <w:r w:rsidRPr="00AF2F9F">
        <w:rPr>
          <w:rFonts w:ascii="Times New Roman" w:hAnsi="Times New Roman"/>
          <w:bCs/>
          <w:sz w:val="24"/>
          <w:szCs w:val="24"/>
        </w:rPr>
        <w:t xml:space="preserve"> One commenter </w:t>
      </w:r>
      <w:r>
        <w:rPr>
          <w:rFonts w:ascii="Times New Roman" w:hAnsi="Times New Roman"/>
          <w:bCs/>
          <w:sz w:val="24"/>
          <w:szCs w:val="24"/>
        </w:rPr>
        <w:t>stated</w:t>
      </w:r>
      <w:r w:rsidRPr="00AF2F9F">
        <w:rPr>
          <w:rFonts w:ascii="Times New Roman" w:hAnsi="Times New Roman"/>
          <w:bCs/>
          <w:sz w:val="24"/>
          <w:szCs w:val="24"/>
        </w:rPr>
        <w:t xml:space="preserve"> that there may be an advantage for risk share lenders compared to MAP lenders, on tax credit projects in markets where tax credit rents are close to market rents (less than 10</w:t>
      </w:r>
      <w:r>
        <w:rPr>
          <w:rFonts w:ascii="Times New Roman" w:hAnsi="Times New Roman"/>
          <w:bCs/>
          <w:sz w:val="24"/>
          <w:szCs w:val="24"/>
        </w:rPr>
        <w:t>percent</w:t>
      </w:r>
      <w:r w:rsidRPr="00AF2F9F">
        <w:rPr>
          <w:rFonts w:ascii="Times New Roman" w:hAnsi="Times New Roman"/>
          <w:bCs/>
          <w:sz w:val="24"/>
          <w:szCs w:val="24"/>
        </w:rPr>
        <w:t xml:space="preserve"> advantage), and the rate for MAP lender originated loans will be 35 b</w:t>
      </w:r>
      <w:r>
        <w:rPr>
          <w:rFonts w:ascii="Times New Roman" w:hAnsi="Times New Roman"/>
          <w:bCs/>
          <w:sz w:val="24"/>
          <w:szCs w:val="24"/>
        </w:rPr>
        <w:t xml:space="preserve">asis </w:t>
      </w:r>
      <w:r w:rsidRPr="00AF2F9F">
        <w:rPr>
          <w:rFonts w:ascii="Times New Roman" w:hAnsi="Times New Roman"/>
          <w:bCs/>
          <w:sz w:val="24"/>
          <w:szCs w:val="24"/>
        </w:rPr>
        <w:t>p</w:t>
      </w:r>
      <w:r>
        <w:rPr>
          <w:rFonts w:ascii="Times New Roman" w:hAnsi="Times New Roman"/>
          <w:bCs/>
          <w:sz w:val="24"/>
          <w:szCs w:val="24"/>
        </w:rPr>
        <w:t>oint</w:t>
      </w:r>
      <w:r w:rsidRPr="00AF2F9F">
        <w:rPr>
          <w:rFonts w:ascii="Times New Roman" w:hAnsi="Times New Roman"/>
          <w:bCs/>
          <w:sz w:val="24"/>
          <w:szCs w:val="24"/>
        </w:rPr>
        <w:t>s</w:t>
      </w:r>
      <w:r>
        <w:rPr>
          <w:rFonts w:ascii="Times New Roman" w:hAnsi="Times New Roman"/>
          <w:bCs/>
          <w:sz w:val="24"/>
          <w:szCs w:val="24"/>
        </w:rPr>
        <w:t xml:space="preserve"> (bps)</w:t>
      </w:r>
      <w:r w:rsidRPr="00AF2F9F">
        <w:rPr>
          <w:rFonts w:ascii="Times New Roman" w:hAnsi="Times New Roman"/>
          <w:bCs/>
          <w:sz w:val="24"/>
          <w:szCs w:val="24"/>
        </w:rPr>
        <w:t xml:space="preserve">, while risk share loans qualify as Broadly Affordable at 25 bps.  </w:t>
      </w:r>
    </w:p>
    <w:p w:rsidR="009441CE" w:rsidRPr="00AF2F9F" w:rsidRDefault="009441CE" w:rsidP="009441CE">
      <w:pPr>
        <w:autoSpaceDE w:val="0"/>
        <w:autoSpaceDN w:val="0"/>
        <w:spacing w:line="480" w:lineRule="auto"/>
        <w:rPr>
          <w:rFonts w:ascii="Times New Roman" w:hAnsi="Times New Roman"/>
          <w:bCs/>
          <w:sz w:val="24"/>
          <w:szCs w:val="24"/>
        </w:rPr>
      </w:pPr>
      <w:r>
        <w:rPr>
          <w:rFonts w:ascii="Times New Roman" w:hAnsi="Times New Roman"/>
          <w:bCs/>
          <w:i/>
          <w:sz w:val="24"/>
          <w:szCs w:val="24"/>
        </w:rPr>
        <w:tab/>
      </w:r>
      <w:r w:rsidRPr="00AF2F9F">
        <w:rPr>
          <w:rFonts w:ascii="Times New Roman" w:hAnsi="Times New Roman"/>
          <w:bCs/>
          <w:i/>
          <w:sz w:val="24"/>
          <w:szCs w:val="24"/>
        </w:rPr>
        <w:t>HUD Response</w:t>
      </w:r>
      <w:r w:rsidRPr="00AF2F9F">
        <w:rPr>
          <w:rFonts w:ascii="Times New Roman" w:hAnsi="Times New Roman"/>
          <w:bCs/>
          <w:sz w:val="24"/>
          <w:szCs w:val="24"/>
        </w:rPr>
        <w:t xml:space="preserve">: </w:t>
      </w:r>
      <w:r w:rsidR="000843FC">
        <w:rPr>
          <w:rFonts w:ascii="Times New Roman" w:hAnsi="Times New Roman"/>
          <w:bCs/>
          <w:sz w:val="24"/>
          <w:szCs w:val="24"/>
        </w:rPr>
        <w:t xml:space="preserve"> </w:t>
      </w:r>
      <w:r w:rsidRPr="00AF2F9F">
        <w:rPr>
          <w:rFonts w:ascii="Times New Roman" w:hAnsi="Times New Roman"/>
          <w:bCs/>
          <w:sz w:val="24"/>
          <w:szCs w:val="24"/>
        </w:rPr>
        <w:t>The risk share program is an affordable lending program by statute, and is therefore categorically qualified for the lowest MIP rate.  In the limited cases where the described scenario may apply, we do not believe the 10 bp</w:t>
      </w:r>
      <w:r>
        <w:rPr>
          <w:rFonts w:ascii="Times New Roman" w:hAnsi="Times New Roman"/>
          <w:bCs/>
          <w:sz w:val="24"/>
          <w:szCs w:val="24"/>
        </w:rPr>
        <w:t>s</w:t>
      </w:r>
      <w:r w:rsidRPr="00AF2F9F">
        <w:rPr>
          <w:rFonts w:ascii="Times New Roman" w:hAnsi="Times New Roman"/>
          <w:bCs/>
          <w:sz w:val="24"/>
          <w:szCs w:val="24"/>
        </w:rPr>
        <w:t xml:space="preserve"> differential will be enough to skew the market away from MAP lending.</w:t>
      </w:r>
    </w:p>
    <w:p w:rsidR="009441CE" w:rsidRPr="00AF2F9F" w:rsidRDefault="009441CE" w:rsidP="009441CE">
      <w:pPr>
        <w:spacing w:line="480" w:lineRule="auto"/>
        <w:textAlignment w:val="baseline"/>
        <w:rPr>
          <w:rFonts w:ascii="Times New Roman" w:eastAsia="Arial" w:hAnsi="Times New Roman"/>
          <w:color w:val="000000"/>
          <w:sz w:val="24"/>
          <w:szCs w:val="24"/>
        </w:rPr>
      </w:pPr>
      <w:r>
        <w:rPr>
          <w:rFonts w:ascii="Times New Roman" w:hAnsi="Times New Roman"/>
          <w:bCs/>
          <w:i/>
          <w:color w:val="262626"/>
          <w:sz w:val="24"/>
          <w:szCs w:val="24"/>
        </w:rPr>
        <w:tab/>
      </w:r>
      <w:r w:rsidRPr="00AF2F9F">
        <w:rPr>
          <w:rFonts w:ascii="Times New Roman" w:hAnsi="Times New Roman"/>
          <w:bCs/>
          <w:i/>
          <w:color w:val="262626"/>
          <w:sz w:val="24"/>
          <w:szCs w:val="24"/>
        </w:rPr>
        <w:t>Comment:</w:t>
      </w:r>
      <w:r w:rsidRPr="00AF2F9F">
        <w:rPr>
          <w:rFonts w:ascii="Times New Roman" w:hAnsi="Times New Roman"/>
          <w:bCs/>
          <w:color w:val="262626"/>
          <w:sz w:val="24"/>
          <w:szCs w:val="24"/>
        </w:rPr>
        <w:t xml:space="preserve"> </w:t>
      </w:r>
      <w:r w:rsidR="000843FC">
        <w:rPr>
          <w:rFonts w:ascii="Times New Roman" w:hAnsi="Times New Roman"/>
          <w:bCs/>
          <w:color w:val="262626"/>
          <w:sz w:val="24"/>
          <w:szCs w:val="24"/>
        </w:rPr>
        <w:t xml:space="preserve"> </w:t>
      </w:r>
      <w:r w:rsidRPr="00AF2F9F">
        <w:rPr>
          <w:rFonts w:ascii="Times New Roman" w:hAnsi="Times New Roman"/>
          <w:bCs/>
          <w:color w:val="262626"/>
          <w:sz w:val="24"/>
          <w:szCs w:val="24"/>
        </w:rPr>
        <w:t>One commenter raised concerns about the i</w:t>
      </w:r>
      <w:r w:rsidRPr="00AF2F9F">
        <w:rPr>
          <w:rFonts w:ascii="Times New Roman" w:eastAsia="Arial" w:hAnsi="Times New Roman"/>
          <w:color w:val="000000"/>
          <w:sz w:val="24"/>
          <w:szCs w:val="24"/>
        </w:rPr>
        <w:t xml:space="preserve">mpact of Executive Order 13690 and the new Federal Flood Risk Management Standard (FFRMS) on housing affordability, when implemented and applied to new FHA-insured loans for new construction and substantial rehabilitation, Community Development Block Grants (CDBG), and HOME funds.  </w:t>
      </w:r>
    </w:p>
    <w:p w:rsidR="009441CE" w:rsidRPr="00F61EE6" w:rsidRDefault="009441CE" w:rsidP="009441CE">
      <w:pPr>
        <w:spacing w:line="480" w:lineRule="auto"/>
        <w:textAlignment w:val="baseline"/>
        <w:rPr>
          <w:rFonts w:ascii="Times New Roman" w:eastAsia="Arial" w:hAnsi="Times New Roman"/>
          <w:color w:val="000000"/>
          <w:sz w:val="24"/>
          <w:szCs w:val="24"/>
        </w:rPr>
      </w:pPr>
      <w:r>
        <w:rPr>
          <w:rFonts w:ascii="Times New Roman" w:eastAsia="Arial" w:hAnsi="Times New Roman"/>
          <w:i/>
          <w:color w:val="000000"/>
          <w:sz w:val="24"/>
          <w:szCs w:val="24"/>
        </w:rPr>
        <w:tab/>
      </w:r>
      <w:r w:rsidRPr="00AF2F9F">
        <w:rPr>
          <w:rFonts w:ascii="Times New Roman" w:eastAsia="Arial" w:hAnsi="Times New Roman"/>
          <w:i/>
          <w:color w:val="000000"/>
          <w:sz w:val="24"/>
          <w:szCs w:val="24"/>
        </w:rPr>
        <w:t>HUD Comment:</w:t>
      </w:r>
      <w:r w:rsidRPr="00AF2F9F">
        <w:rPr>
          <w:rFonts w:ascii="Times New Roman" w:eastAsia="Arial" w:hAnsi="Times New Roman"/>
          <w:color w:val="000000"/>
          <w:sz w:val="24"/>
          <w:szCs w:val="24"/>
        </w:rPr>
        <w:t xml:space="preserve">  Executive Order 13690 and the new Federal Flood Risk Management Standard (FFRMS) are outside the scope of this MIP Notice.  Any actions implementing the executive order will be </w:t>
      </w:r>
      <w:r>
        <w:rPr>
          <w:rFonts w:ascii="Times New Roman" w:eastAsia="Arial" w:hAnsi="Times New Roman"/>
          <w:color w:val="000000"/>
          <w:sz w:val="24"/>
          <w:szCs w:val="24"/>
        </w:rPr>
        <w:t xml:space="preserve">the </w:t>
      </w:r>
      <w:r w:rsidRPr="00AF2F9F">
        <w:rPr>
          <w:rFonts w:ascii="Times New Roman" w:eastAsia="Arial" w:hAnsi="Times New Roman"/>
          <w:color w:val="000000"/>
          <w:sz w:val="24"/>
          <w:szCs w:val="24"/>
        </w:rPr>
        <w:t xml:space="preserve">subject of </w:t>
      </w:r>
      <w:r>
        <w:rPr>
          <w:rFonts w:ascii="Times New Roman" w:eastAsia="Arial" w:hAnsi="Times New Roman"/>
          <w:color w:val="000000"/>
          <w:sz w:val="24"/>
          <w:szCs w:val="24"/>
        </w:rPr>
        <w:t xml:space="preserve">a </w:t>
      </w:r>
      <w:r w:rsidRPr="00AF2F9F">
        <w:rPr>
          <w:rFonts w:ascii="Times New Roman" w:eastAsia="Arial" w:hAnsi="Times New Roman"/>
          <w:color w:val="000000"/>
          <w:sz w:val="24"/>
          <w:szCs w:val="24"/>
        </w:rPr>
        <w:t>separate publication.</w:t>
      </w:r>
    </w:p>
    <w:p w:rsidR="00C210E0" w:rsidRPr="00D46B1A" w:rsidRDefault="009441CE" w:rsidP="00D46B1A">
      <w:pPr>
        <w:spacing w:line="480" w:lineRule="auto"/>
        <w:rPr>
          <w:rFonts w:ascii="Times New Roman" w:hAnsi="Times New Roman"/>
          <w:b/>
          <w:sz w:val="24"/>
          <w:szCs w:val="24"/>
        </w:rPr>
      </w:pPr>
      <w:r>
        <w:rPr>
          <w:rFonts w:ascii="Times New Roman" w:hAnsi="Times New Roman"/>
          <w:b/>
          <w:sz w:val="24"/>
          <w:szCs w:val="24"/>
        </w:rPr>
        <w:t>I</w:t>
      </w:r>
      <w:r w:rsidR="00D46B1A" w:rsidRPr="00D46B1A">
        <w:rPr>
          <w:rFonts w:ascii="Times New Roman" w:hAnsi="Times New Roman"/>
          <w:b/>
          <w:sz w:val="24"/>
          <w:szCs w:val="24"/>
        </w:rPr>
        <w:t>II.</w:t>
      </w:r>
      <w:r w:rsidR="00D46B1A">
        <w:rPr>
          <w:rFonts w:ascii="Times New Roman" w:hAnsi="Times New Roman"/>
          <w:sz w:val="24"/>
          <w:szCs w:val="24"/>
        </w:rPr>
        <w:t xml:space="preserve"> </w:t>
      </w:r>
      <w:r w:rsidR="00CF5B71">
        <w:rPr>
          <w:rFonts w:ascii="Times New Roman" w:hAnsi="Times New Roman"/>
          <w:b/>
          <w:sz w:val="24"/>
          <w:szCs w:val="24"/>
        </w:rPr>
        <w:t xml:space="preserve">Final Notice </w:t>
      </w:r>
    </w:p>
    <w:p w:rsidR="00D53676" w:rsidRPr="000E392B" w:rsidRDefault="004E73B9" w:rsidP="00D46B1A">
      <w:pPr>
        <w:spacing w:line="480" w:lineRule="auto"/>
        <w:ind w:firstLine="720"/>
        <w:rPr>
          <w:rFonts w:ascii="Times New Roman" w:hAnsi="Times New Roman"/>
          <w:sz w:val="24"/>
          <w:szCs w:val="24"/>
        </w:rPr>
      </w:pPr>
      <w:r>
        <w:rPr>
          <w:rFonts w:ascii="Times New Roman" w:hAnsi="Times New Roman"/>
          <w:sz w:val="24"/>
          <w:szCs w:val="24"/>
        </w:rPr>
        <w:lastRenderedPageBreak/>
        <w:t>This notice adopts the proposed changes in t</w:t>
      </w:r>
      <w:r w:rsidR="002306B2">
        <w:rPr>
          <w:rFonts w:ascii="Times New Roman" w:hAnsi="Times New Roman"/>
          <w:sz w:val="24"/>
          <w:szCs w:val="24"/>
        </w:rPr>
        <w:t>he January 28, 2016 notice</w:t>
      </w:r>
      <w:r>
        <w:rPr>
          <w:rFonts w:ascii="Times New Roman" w:hAnsi="Times New Roman"/>
          <w:sz w:val="24"/>
          <w:szCs w:val="24"/>
        </w:rPr>
        <w:t xml:space="preserve">.  Specifically, </w:t>
      </w:r>
      <w:r w:rsidR="00C758C0" w:rsidRPr="000E392B">
        <w:rPr>
          <w:rFonts w:ascii="Times New Roman" w:hAnsi="Times New Roman"/>
          <w:sz w:val="24"/>
          <w:szCs w:val="24"/>
        </w:rPr>
        <w:t>HUD</w:t>
      </w:r>
      <w:r w:rsidR="00D53676" w:rsidRPr="000E392B">
        <w:rPr>
          <w:rFonts w:ascii="Times New Roman" w:hAnsi="Times New Roman"/>
          <w:sz w:val="24"/>
          <w:szCs w:val="24"/>
        </w:rPr>
        <w:t xml:space="preserve"> is </w:t>
      </w:r>
      <w:r>
        <w:rPr>
          <w:rFonts w:ascii="Times New Roman" w:hAnsi="Times New Roman"/>
          <w:sz w:val="24"/>
          <w:szCs w:val="24"/>
        </w:rPr>
        <w:t>adopting changes to FY 2016</w:t>
      </w:r>
      <w:r w:rsidR="00C057C4" w:rsidRPr="000E392B">
        <w:rPr>
          <w:rFonts w:ascii="Times New Roman" w:hAnsi="Times New Roman"/>
          <w:sz w:val="24"/>
          <w:szCs w:val="24"/>
        </w:rPr>
        <w:t xml:space="preserve"> </w:t>
      </w:r>
      <w:r w:rsidR="00FA5B70" w:rsidRPr="000E392B">
        <w:rPr>
          <w:rFonts w:ascii="Times New Roman" w:hAnsi="Times New Roman"/>
          <w:sz w:val="24"/>
          <w:szCs w:val="24"/>
        </w:rPr>
        <w:t>MIP</w:t>
      </w:r>
      <w:r w:rsidR="00F82FFA" w:rsidRPr="000E392B">
        <w:rPr>
          <w:rFonts w:ascii="Times New Roman" w:hAnsi="Times New Roman"/>
          <w:sz w:val="24"/>
          <w:szCs w:val="24"/>
        </w:rPr>
        <w:t>s</w:t>
      </w:r>
      <w:r w:rsidR="00D53676" w:rsidRPr="000E392B">
        <w:rPr>
          <w:rFonts w:ascii="Times New Roman" w:hAnsi="Times New Roman"/>
          <w:sz w:val="24"/>
          <w:szCs w:val="24"/>
        </w:rPr>
        <w:t xml:space="preserve"> for </w:t>
      </w:r>
      <w:r w:rsidR="00C758C0" w:rsidRPr="000E392B">
        <w:rPr>
          <w:rFonts w:ascii="Times New Roman" w:hAnsi="Times New Roman"/>
          <w:sz w:val="24"/>
          <w:szCs w:val="24"/>
        </w:rPr>
        <w:t xml:space="preserve">FHA-insured </w:t>
      </w:r>
      <w:r w:rsidR="00466838" w:rsidRPr="000E392B">
        <w:rPr>
          <w:rFonts w:ascii="Times New Roman" w:hAnsi="Times New Roman"/>
          <w:sz w:val="24"/>
          <w:szCs w:val="24"/>
        </w:rPr>
        <w:t xml:space="preserve">loans on properties under </w:t>
      </w:r>
      <w:r w:rsidR="00C057C4" w:rsidRPr="000E392B">
        <w:rPr>
          <w:rFonts w:ascii="Times New Roman" w:hAnsi="Times New Roman"/>
          <w:sz w:val="24"/>
          <w:szCs w:val="24"/>
        </w:rPr>
        <w:t>specific</w:t>
      </w:r>
      <w:r w:rsidR="00D53676" w:rsidRPr="000E392B">
        <w:rPr>
          <w:rFonts w:ascii="Times New Roman" w:hAnsi="Times New Roman"/>
          <w:sz w:val="24"/>
          <w:szCs w:val="24"/>
        </w:rPr>
        <w:t xml:space="preserve"> </w:t>
      </w:r>
      <w:r w:rsidR="00B045C2" w:rsidRPr="000E392B">
        <w:rPr>
          <w:rFonts w:ascii="Times New Roman" w:hAnsi="Times New Roman"/>
          <w:sz w:val="24"/>
          <w:szCs w:val="24"/>
        </w:rPr>
        <w:t>M</w:t>
      </w:r>
      <w:r w:rsidR="00D53676" w:rsidRPr="000E392B">
        <w:rPr>
          <w:rFonts w:ascii="Times New Roman" w:hAnsi="Times New Roman"/>
          <w:sz w:val="24"/>
          <w:szCs w:val="24"/>
        </w:rPr>
        <w:t xml:space="preserve">ultifamily </w:t>
      </w:r>
      <w:r w:rsidR="00B045C2" w:rsidRPr="000E392B">
        <w:rPr>
          <w:rFonts w:ascii="Times New Roman" w:hAnsi="Times New Roman"/>
          <w:sz w:val="24"/>
          <w:szCs w:val="24"/>
        </w:rPr>
        <w:t>M</w:t>
      </w:r>
      <w:r w:rsidR="00D53676" w:rsidRPr="000E392B">
        <w:rPr>
          <w:rFonts w:ascii="Times New Roman" w:hAnsi="Times New Roman"/>
          <w:sz w:val="24"/>
          <w:szCs w:val="24"/>
        </w:rPr>
        <w:t xml:space="preserve">ortgage </w:t>
      </w:r>
      <w:r w:rsidR="00B045C2" w:rsidRPr="000E392B">
        <w:rPr>
          <w:rFonts w:ascii="Times New Roman" w:hAnsi="Times New Roman"/>
          <w:sz w:val="24"/>
          <w:szCs w:val="24"/>
        </w:rPr>
        <w:t>I</w:t>
      </w:r>
      <w:r w:rsidR="00D53676" w:rsidRPr="000E392B">
        <w:rPr>
          <w:rFonts w:ascii="Times New Roman" w:hAnsi="Times New Roman"/>
          <w:sz w:val="24"/>
          <w:szCs w:val="24"/>
        </w:rPr>
        <w:t>nsurance pr</w:t>
      </w:r>
      <w:r w:rsidR="00F469D4" w:rsidRPr="000E392B">
        <w:rPr>
          <w:rFonts w:ascii="Times New Roman" w:hAnsi="Times New Roman"/>
          <w:sz w:val="24"/>
          <w:szCs w:val="24"/>
        </w:rPr>
        <w:t>ograms</w:t>
      </w:r>
      <w:r>
        <w:rPr>
          <w:rFonts w:ascii="Times New Roman" w:hAnsi="Times New Roman"/>
          <w:sz w:val="24"/>
          <w:szCs w:val="24"/>
        </w:rPr>
        <w:t xml:space="preserve"> effective on April 1, 2016</w:t>
      </w:r>
      <w:r w:rsidR="00F82FFA" w:rsidRPr="000E392B">
        <w:rPr>
          <w:rFonts w:ascii="Times New Roman" w:hAnsi="Times New Roman"/>
          <w:sz w:val="24"/>
          <w:szCs w:val="24"/>
        </w:rPr>
        <w:t xml:space="preserve">.  </w:t>
      </w:r>
      <w:r w:rsidR="006B3846" w:rsidRPr="000E392B">
        <w:rPr>
          <w:rFonts w:ascii="Times New Roman" w:hAnsi="Times New Roman"/>
          <w:sz w:val="24"/>
          <w:szCs w:val="24"/>
        </w:rPr>
        <w:t xml:space="preserve">The </w:t>
      </w:r>
      <w:r>
        <w:rPr>
          <w:rFonts w:ascii="Times New Roman" w:hAnsi="Times New Roman"/>
          <w:sz w:val="24"/>
          <w:szCs w:val="24"/>
        </w:rPr>
        <w:t xml:space="preserve">new </w:t>
      </w:r>
      <w:r w:rsidR="00C210E0" w:rsidRPr="000E392B">
        <w:rPr>
          <w:rFonts w:ascii="Times New Roman" w:hAnsi="Times New Roman"/>
          <w:sz w:val="24"/>
          <w:szCs w:val="24"/>
        </w:rPr>
        <w:t xml:space="preserve">annual </w:t>
      </w:r>
      <w:r w:rsidR="006B3846" w:rsidRPr="000E392B">
        <w:rPr>
          <w:rFonts w:ascii="Times New Roman" w:hAnsi="Times New Roman"/>
          <w:sz w:val="24"/>
          <w:szCs w:val="24"/>
        </w:rPr>
        <w:t xml:space="preserve">multifamily mortgage insurance </w:t>
      </w:r>
      <w:bookmarkStart w:id="0" w:name="_GoBack"/>
      <w:r w:rsidR="006B3846" w:rsidRPr="000E392B">
        <w:rPr>
          <w:rFonts w:ascii="Times New Roman" w:hAnsi="Times New Roman"/>
          <w:sz w:val="24"/>
          <w:szCs w:val="24"/>
        </w:rPr>
        <w:t xml:space="preserve">rates </w:t>
      </w:r>
      <w:bookmarkEnd w:id="0"/>
      <w:r w:rsidR="006B3846" w:rsidRPr="000E392B">
        <w:rPr>
          <w:rFonts w:ascii="Times New Roman" w:hAnsi="Times New Roman"/>
          <w:sz w:val="24"/>
          <w:szCs w:val="24"/>
        </w:rPr>
        <w:t xml:space="preserve">will be structured as </w:t>
      </w:r>
      <w:r w:rsidR="00C758C0" w:rsidRPr="000E392B">
        <w:rPr>
          <w:rFonts w:ascii="Times New Roman" w:hAnsi="Times New Roman"/>
          <w:sz w:val="24"/>
          <w:szCs w:val="24"/>
        </w:rPr>
        <w:t>four categories,</w:t>
      </w:r>
      <w:r w:rsidR="006B3846" w:rsidRPr="000E392B">
        <w:rPr>
          <w:rFonts w:ascii="Times New Roman" w:hAnsi="Times New Roman"/>
          <w:sz w:val="24"/>
          <w:szCs w:val="24"/>
        </w:rPr>
        <w:t xml:space="preserve"> as follows</w:t>
      </w:r>
      <w:r w:rsidR="00E06967">
        <w:rPr>
          <w:rFonts w:ascii="Times New Roman" w:hAnsi="Times New Roman"/>
          <w:sz w:val="24"/>
          <w:szCs w:val="24"/>
        </w:rPr>
        <w:t>, and as illustrated on the table below</w:t>
      </w:r>
      <w:r w:rsidR="005D45B2">
        <w:rPr>
          <w:rFonts w:ascii="Times New Roman" w:hAnsi="Times New Roman"/>
          <w:sz w:val="24"/>
          <w:szCs w:val="24"/>
        </w:rPr>
        <w:t xml:space="preserve">.  </w:t>
      </w:r>
      <w:r w:rsidR="00D46B1A" w:rsidRPr="00D46B1A">
        <w:rPr>
          <w:rFonts w:ascii="Times New Roman" w:hAnsi="Times New Roman"/>
          <w:sz w:val="24"/>
          <w:szCs w:val="24"/>
        </w:rPr>
        <w:t>Under this rate structure, portfolio and actuarial analysis demonstrates that premium revenues will exceed losses for the foreseeable future.</w:t>
      </w:r>
      <w:r w:rsidR="00D46B1A" w:rsidRPr="003E10C5">
        <w:rPr>
          <w:rFonts w:ascii="Times New Roman" w:hAnsi="Times New Roman"/>
          <w:sz w:val="24"/>
          <w:szCs w:val="24"/>
        </w:rPr>
        <w:t xml:space="preserve">  </w:t>
      </w:r>
      <w:r w:rsidR="002306B2">
        <w:rPr>
          <w:rFonts w:ascii="Times New Roman" w:hAnsi="Times New Roman"/>
          <w:sz w:val="24"/>
          <w:szCs w:val="24"/>
        </w:rPr>
        <w:t>HUD has made minor changes in response to comments receives, as discussed below.</w:t>
      </w:r>
    </w:p>
    <w:p w:rsidR="00C210E0" w:rsidRPr="00D46B1A" w:rsidRDefault="00E11A0C" w:rsidP="00D46B1A">
      <w:pPr>
        <w:pStyle w:val="ListParagraph"/>
        <w:spacing w:line="480" w:lineRule="auto"/>
        <w:ind w:left="0"/>
        <w:rPr>
          <w:b/>
        </w:rPr>
      </w:pPr>
      <w:r>
        <w:rPr>
          <w:b/>
        </w:rPr>
        <w:t>A</w:t>
      </w:r>
      <w:r w:rsidR="00D46B1A" w:rsidRPr="00D46B1A">
        <w:rPr>
          <w:b/>
        </w:rPr>
        <w:t xml:space="preserve">. </w:t>
      </w:r>
      <w:r w:rsidR="00C210E0" w:rsidRPr="00D46B1A">
        <w:rPr>
          <w:b/>
        </w:rPr>
        <w:t xml:space="preserve">Market Rate Housing </w:t>
      </w:r>
    </w:p>
    <w:p w:rsidR="00C210E0" w:rsidRPr="000E392B" w:rsidRDefault="00D41E8E" w:rsidP="00D46B1A">
      <w:pPr>
        <w:pStyle w:val="ListParagraph"/>
        <w:spacing w:line="480" w:lineRule="auto"/>
        <w:ind w:left="0" w:firstLine="720"/>
      </w:pPr>
      <w:r w:rsidRPr="000E392B">
        <w:t>Upfront and a</w:t>
      </w:r>
      <w:r w:rsidR="00C210E0" w:rsidRPr="000E392B">
        <w:t xml:space="preserve">nnual MIP </w:t>
      </w:r>
      <w:r w:rsidRPr="000E392B">
        <w:t xml:space="preserve">rates </w:t>
      </w:r>
      <w:r w:rsidR="00C210E0" w:rsidRPr="000E392B">
        <w:t xml:space="preserve">will </w:t>
      </w:r>
      <w:r w:rsidRPr="000E392B">
        <w:t xml:space="preserve">remain unchanged </w:t>
      </w:r>
      <w:r w:rsidR="00C210E0" w:rsidRPr="000E392B">
        <w:t xml:space="preserve">for all FHA-insured </w:t>
      </w:r>
      <w:r w:rsidRPr="000E392B">
        <w:t xml:space="preserve">multifamily </w:t>
      </w:r>
      <w:r w:rsidR="00C210E0" w:rsidRPr="000E392B">
        <w:t>loan types</w:t>
      </w:r>
      <w:r w:rsidRPr="000E392B">
        <w:t xml:space="preserve"> on market rate properties</w:t>
      </w:r>
      <w:r w:rsidR="00E06967">
        <w:t xml:space="preserve">, </w:t>
      </w:r>
      <w:r w:rsidR="007C4C9A">
        <w:t>except</w:t>
      </w:r>
      <w:r w:rsidR="00E06967">
        <w:t xml:space="preserve"> properties </w:t>
      </w:r>
      <w:r w:rsidR="007C4C9A">
        <w:t xml:space="preserve">that </w:t>
      </w:r>
      <w:r w:rsidR="00E06967">
        <w:t>meet the criteria for green and energy efficient housing, below</w:t>
      </w:r>
      <w:r w:rsidR="00C210E0" w:rsidRPr="000E392B">
        <w:t>.</w:t>
      </w:r>
    </w:p>
    <w:p w:rsidR="00893D35" w:rsidRPr="00D46B1A" w:rsidRDefault="00E11A0C" w:rsidP="00D46B1A">
      <w:pPr>
        <w:pStyle w:val="ListParagraph"/>
        <w:spacing w:line="480" w:lineRule="auto"/>
        <w:ind w:left="0"/>
        <w:rPr>
          <w:b/>
        </w:rPr>
      </w:pPr>
      <w:r>
        <w:rPr>
          <w:b/>
        </w:rPr>
        <w:t>B</w:t>
      </w:r>
      <w:r w:rsidR="00D46B1A" w:rsidRPr="00D46B1A">
        <w:rPr>
          <w:b/>
        </w:rPr>
        <w:t xml:space="preserve">. </w:t>
      </w:r>
      <w:r w:rsidR="00C210E0" w:rsidRPr="00D46B1A">
        <w:rPr>
          <w:b/>
        </w:rPr>
        <w:t xml:space="preserve">Broadly Affordable </w:t>
      </w:r>
      <w:r w:rsidR="00893D35" w:rsidRPr="00D46B1A">
        <w:rPr>
          <w:b/>
        </w:rPr>
        <w:t>H</w:t>
      </w:r>
      <w:r w:rsidR="00C210E0" w:rsidRPr="00D46B1A">
        <w:rPr>
          <w:b/>
        </w:rPr>
        <w:t>ousing</w:t>
      </w:r>
    </w:p>
    <w:p w:rsidR="00FB51DD" w:rsidRPr="000E392B" w:rsidRDefault="00893D35" w:rsidP="00D46B1A">
      <w:pPr>
        <w:pStyle w:val="ListParagraph"/>
        <w:spacing w:line="480" w:lineRule="auto"/>
        <w:ind w:left="0" w:firstLine="720"/>
      </w:pPr>
      <w:r w:rsidRPr="000E392B">
        <w:t>Annual MIP will change from the current rate</w:t>
      </w:r>
      <w:r w:rsidR="00F82FFA" w:rsidRPr="000E392B">
        <w:t xml:space="preserve">s </w:t>
      </w:r>
      <w:r w:rsidR="00B02D44" w:rsidRPr="000E392B">
        <w:t xml:space="preserve">generally </w:t>
      </w:r>
      <w:r w:rsidR="00F82FFA" w:rsidRPr="000E392B">
        <w:t>between</w:t>
      </w:r>
      <w:r w:rsidRPr="000E392B">
        <w:t xml:space="preserve"> 45</w:t>
      </w:r>
      <w:r w:rsidR="00F82FFA" w:rsidRPr="000E392B">
        <w:t xml:space="preserve"> and 50</w:t>
      </w:r>
      <w:r w:rsidRPr="000E392B">
        <w:t xml:space="preserve"> basis points,</w:t>
      </w:r>
      <w:r w:rsidR="00F762DE">
        <w:rPr>
          <w:rStyle w:val="FootnoteReference"/>
        </w:rPr>
        <w:footnoteReference w:id="1"/>
      </w:r>
      <w:r w:rsidRPr="000E392B">
        <w:t xml:space="preserve"> to </w:t>
      </w:r>
      <w:r w:rsidR="001D664E">
        <w:t>25</w:t>
      </w:r>
      <w:r w:rsidRPr="000E392B">
        <w:t xml:space="preserve"> basis points for all multifamily FHA-insured loan types</w:t>
      </w:r>
      <w:r w:rsidR="00FB51DD" w:rsidRPr="000E392B">
        <w:t xml:space="preserve"> that meet the criteria in this section</w:t>
      </w:r>
      <w:r w:rsidRPr="000E392B">
        <w:t xml:space="preserve">. </w:t>
      </w:r>
    </w:p>
    <w:p w:rsidR="00893D35" w:rsidRPr="000E392B" w:rsidRDefault="00F24A1D" w:rsidP="00D46B1A">
      <w:pPr>
        <w:pStyle w:val="ListParagraph"/>
        <w:spacing w:line="480" w:lineRule="auto"/>
        <w:ind w:left="0" w:firstLine="720"/>
      </w:pPr>
      <w:r w:rsidRPr="000E392B">
        <w:t>All loans originated by Housing Finance Agencies under F</w:t>
      </w:r>
      <w:r w:rsidR="00C83B29" w:rsidRPr="000E392B">
        <w:t>HA’s Section 542(c) Risk Share p</w:t>
      </w:r>
      <w:r w:rsidRPr="000E392B">
        <w:t>rogram</w:t>
      </w:r>
      <w:r w:rsidR="00B02D44" w:rsidRPr="000E392B">
        <w:t xml:space="preserve">, and by </w:t>
      </w:r>
      <w:r w:rsidR="006103DE" w:rsidRPr="000E392B">
        <w:t xml:space="preserve">Qualified </w:t>
      </w:r>
      <w:r w:rsidR="00C41479" w:rsidRPr="000E392B">
        <w:t xml:space="preserve">Participating Entities </w:t>
      </w:r>
      <w:r w:rsidR="00B02D44" w:rsidRPr="000E392B">
        <w:t>including Fannie Mae and Freddie Mac under FHA’s Section 542(b) Risk Share</w:t>
      </w:r>
      <w:r w:rsidR="00C41479" w:rsidRPr="000E392B">
        <w:t xml:space="preserve"> </w:t>
      </w:r>
      <w:r w:rsidR="00B02D44" w:rsidRPr="000E392B">
        <w:t>program</w:t>
      </w:r>
      <w:r w:rsidR="00C41479" w:rsidRPr="000E392B">
        <w:t>,</w:t>
      </w:r>
      <w:r w:rsidRPr="000E392B">
        <w:t xml:space="preserve"> </w:t>
      </w:r>
      <w:r w:rsidR="00F469D4" w:rsidRPr="000E392B">
        <w:t>will be</w:t>
      </w:r>
      <w:r w:rsidRPr="000E392B">
        <w:t xml:space="preserve"> eligible for this</w:t>
      </w:r>
      <w:r w:rsidR="00F469D4" w:rsidRPr="000E392B">
        <w:t xml:space="preserve"> </w:t>
      </w:r>
      <w:r w:rsidR="001D664E">
        <w:t>25</w:t>
      </w:r>
      <w:r w:rsidR="003B2938" w:rsidRPr="000E392B">
        <w:t xml:space="preserve"> b</w:t>
      </w:r>
      <w:r w:rsidR="00B0225A" w:rsidRPr="000E392B">
        <w:t xml:space="preserve">asis </w:t>
      </w:r>
      <w:r w:rsidR="003B2938" w:rsidRPr="000E392B">
        <w:t>p</w:t>
      </w:r>
      <w:r w:rsidR="00B0225A" w:rsidRPr="000E392B">
        <w:t>oint</w:t>
      </w:r>
      <w:r w:rsidR="003B2938" w:rsidRPr="000E392B">
        <w:t xml:space="preserve">s </w:t>
      </w:r>
      <w:r w:rsidRPr="000E392B">
        <w:t>rate</w:t>
      </w:r>
      <w:r w:rsidR="00FB6CD8" w:rsidRPr="000E392B">
        <w:t>, multiplied by the percentage risk assumed by FHA</w:t>
      </w:r>
      <w:r w:rsidR="00956FE6">
        <w:t xml:space="preserve"> (see table below)</w:t>
      </w:r>
      <w:r w:rsidRPr="000E392B">
        <w:t xml:space="preserve">.  </w:t>
      </w:r>
      <w:r w:rsidR="00F469D4" w:rsidRPr="000E392B">
        <w:t>For all others</w:t>
      </w:r>
      <w:r w:rsidR="003B2938" w:rsidRPr="000E392B">
        <w:t xml:space="preserve"> t</w:t>
      </w:r>
      <w:r w:rsidR="00893D35" w:rsidRPr="000E392B">
        <w:t>o qualify</w:t>
      </w:r>
      <w:r w:rsidR="00F61C00" w:rsidRPr="000E392B">
        <w:t>, the property must have Section 8 assistance</w:t>
      </w:r>
      <w:r w:rsidR="008A224B" w:rsidRPr="000E392B">
        <w:t xml:space="preserve"> or another recorded affordability restriction</w:t>
      </w:r>
      <w:r w:rsidR="00F61C00" w:rsidRPr="000E392B">
        <w:t>, and/or Low Income Housing Tax Credits</w:t>
      </w:r>
      <w:r w:rsidR="00951D85">
        <w:t xml:space="preserve"> (LIHTC)</w:t>
      </w:r>
      <w:r w:rsidR="00E31686" w:rsidRPr="000E392B">
        <w:t>.</w:t>
      </w:r>
      <w:r w:rsidR="00F61C00" w:rsidRPr="000E392B">
        <w:t xml:space="preserve"> </w:t>
      </w:r>
    </w:p>
    <w:p w:rsidR="00E31686" w:rsidRPr="000E392B" w:rsidRDefault="00E31686" w:rsidP="00D46B1A">
      <w:pPr>
        <w:pStyle w:val="ListParagraph"/>
        <w:spacing w:line="480" w:lineRule="auto"/>
        <w:ind w:left="0" w:firstLine="720"/>
      </w:pPr>
      <w:r w:rsidRPr="000E392B">
        <w:lastRenderedPageBreak/>
        <w:t>These projects must either:</w:t>
      </w:r>
    </w:p>
    <w:p w:rsidR="00893D35" w:rsidRPr="00B034A7" w:rsidRDefault="00E31686" w:rsidP="00B034A7">
      <w:pPr>
        <w:pStyle w:val="ListParagraph"/>
        <w:numPr>
          <w:ilvl w:val="0"/>
          <w:numId w:val="14"/>
        </w:numPr>
        <w:autoSpaceDE w:val="0"/>
        <w:autoSpaceDN w:val="0"/>
        <w:adjustRightInd w:val="0"/>
        <w:spacing w:line="480" w:lineRule="auto"/>
        <w:rPr>
          <w:b/>
        </w:rPr>
      </w:pPr>
      <w:r w:rsidRPr="000E392B">
        <w:t>H</w:t>
      </w:r>
      <w:r w:rsidR="00893D35" w:rsidRPr="000E392B">
        <w:t xml:space="preserve">ave at least </w:t>
      </w:r>
      <w:r w:rsidR="00446862" w:rsidRPr="000E392B">
        <w:t>90</w:t>
      </w:r>
      <w:r w:rsidR="00F80182">
        <w:t xml:space="preserve"> </w:t>
      </w:r>
      <w:r w:rsidR="0032027D">
        <w:t>percent</w:t>
      </w:r>
      <w:r w:rsidR="00893D35" w:rsidRPr="000E392B">
        <w:t xml:space="preserve"> of units covered by a Section 8 Project Based Rental Assistance (PBRA) contract</w:t>
      </w:r>
      <w:r w:rsidR="001A7E30" w:rsidRPr="000E392B">
        <w:t xml:space="preserve"> or other federal rental assistance program contract serving very low income residents</w:t>
      </w:r>
      <w:r w:rsidR="00893D35" w:rsidRPr="000E392B">
        <w:t xml:space="preserve">, with a remaining term of at least </w:t>
      </w:r>
      <w:r w:rsidR="00446862" w:rsidRPr="000E392B">
        <w:t>15</w:t>
      </w:r>
      <w:r w:rsidR="00893D35" w:rsidRPr="000E392B">
        <w:t xml:space="preserve"> years;</w:t>
      </w:r>
      <w:r w:rsidR="00B034A7">
        <w:t xml:space="preserve"> or</w:t>
      </w:r>
    </w:p>
    <w:p w:rsidR="00893D35" w:rsidRPr="000E392B" w:rsidRDefault="00964CCE" w:rsidP="00B034A7">
      <w:pPr>
        <w:pStyle w:val="ListParagraph"/>
        <w:numPr>
          <w:ilvl w:val="0"/>
          <w:numId w:val="14"/>
        </w:numPr>
        <w:autoSpaceDE w:val="0"/>
        <w:autoSpaceDN w:val="0"/>
        <w:adjustRightInd w:val="0"/>
        <w:spacing w:line="480" w:lineRule="auto"/>
      </w:pPr>
      <w:r w:rsidRPr="000E392B">
        <w:t>H</w:t>
      </w:r>
      <w:r w:rsidR="002E2E97" w:rsidRPr="000E392B">
        <w:t>ave at least 90</w:t>
      </w:r>
      <w:r w:rsidR="0032027D">
        <w:t xml:space="preserve"> percent</w:t>
      </w:r>
      <w:r w:rsidR="002E2E97" w:rsidRPr="000E392B">
        <w:t xml:space="preserve"> of its units covered by an affordability use restriction under the Low Income Housing Tax Credit program</w:t>
      </w:r>
      <w:r w:rsidR="00975952" w:rsidRPr="000E392B">
        <w:t xml:space="preserve"> or similar state</w:t>
      </w:r>
      <w:r w:rsidR="00C7421D" w:rsidRPr="000E392B">
        <w:t xml:space="preserve"> or locally</w:t>
      </w:r>
      <w:r w:rsidR="00975952" w:rsidRPr="000E392B">
        <w:t xml:space="preserve"> sponsored program</w:t>
      </w:r>
      <w:r w:rsidR="00893D35" w:rsidRPr="000E392B">
        <w:t xml:space="preserve">, with </w:t>
      </w:r>
      <w:r w:rsidR="002C55AD">
        <w:t>achievable and underwritten tax credit rents at least 10</w:t>
      </w:r>
      <w:r w:rsidR="003F342A">
        <w:t xml:space="preserve"> </w:t>
      </w:r>
      <w:r w:rsidR="0004258A">
        <w:t>percent</w:t>
      </w:r>
      <w:r w:rsidR="002C55AD">
        <w:t xml:space="preserve"> below comparable market rents</w:t>
      </w:r>
      <w:r w:rsidR="00893D35" w:rsidRPr="000E392B">
        <w:t xml:space="preserve">, </w:t>
      </w:r>
      <w:r w:rsidR="002C55AD">
        <w:t xml:space="preserve">and </w:t>
      </w:r>
      <w:r w:rsidR="00893D35" w:rsidRPr="000E392B">
        <w:t xml:space="preserve">with </w:t>
      </w:r>
      <w:r w:rsidR="00893D35" w:rsidRPr="000E392B">
        <w:rPr>
          <w:rFonts w:eastAsiaTheme="minorHAnsi"/>
        </w:rPr>
        <w:t xml:space="preserve">a recorded regulatory agreement in effect for at least 15 years after final endorsement and monitored by </w:t>
      </w:r>
      <w:r w:rsidR="00FB51DD" w:rsidRPr="000E392B">
        <w:rPr>
          <w:rFonts w:eastAsiaTheme="minorHAnsi"/>
        </w:rPr>
        <w:t xml:space="preserve">a </w:t>
      </w:r>
      <w:r w:rsidR="00893D35" w:rsidRPr="000E392B">
        <w:rPr>
          <w:rFonts w:eastAsiaTheme="minorHAnsi"/>
        </w:rPr>
        <w:t xml:space="preserve">public </w:t>
      </w:r>
      <w:r w:rsidR="00FB51DD" w:rsidRPr="000E392B">
        <w:rPr>
          <w:rFonts w:eastAsiaTheme="minorHAnsi"/>
        </w:rPr>
        <w:t>entity</w:t>
      </w:r>
      <w:r w:rsidR="007C0A8A">
        <w:rPr>
          <w:rFonts w:eastAsiaTheme="minorHAnsi"/>
        </w:rPr>
        <w:t>.</w:t>
      </w:r>
      <w:r w:rsidR="00893D35" w:rsidRPr="000E392B" w:rsidDel="00E57A25">
        <w:t xml:space="preserve"> </w:t>
      </w:r>
    </w:p>
    <w:p w:rsidR="00F762DE" w:rsidRDefault="002B1896" w:rsidP="00B034A7">
      <w:pPr>
        <w:autoSpaceDE w:val="0"/>
        <w:autoSpaceDN w:val="0"/>
        <w:adjustRightInd w:val="0"/>
        <w:spacing w:line="480" w:lineRule="auto"/>
        <w:ind w:firstLine="720"/>
        <w:rPr>
          <w:rFonts w:ascii="Times New Roman" w:hAnsi="Times New Roman"/>
          <w:sz w:val="24"/>
          <w:szCs w:val="24"/>
        </w:rPr>
      </w:pPr>
      <w:r w:rsidRPr="000E392B">
        <w:rPr>
          <w:rFonts w:ascii="Times New Roman" w:hAnsi="Times New Roman"/>
          <w:sz w:val="24"/>
          <w:szCs w:val="24"/>
        </w:rPr>
        <w:t>To ensure that the benefits of these MIP rates directly benefit the affordable housing properties and residents, lenders submitting applications for loans using this MIP rate</w:t>
      </w:r>
      <w:r w:rsidR="00E14FC1" w:rsidRPr="000E392B">
        <w:rPr>
          <w:rFonts w:ascii="Times New Roman" w:hAnsi="Times New Roman"/>
          <w:sz w:val="24"/>
          <w:szCs w:val="24"/>
        </w:rPr>
        <w:t xml:space="preserve"> are limited in the </w:t>
      </w:r>
      <w:r w:rsidR="00177402" w:rsidRPr="000E392B">
        <w:rPr>
          <w:rFonts w:ascii="Times New Roman" w:hAnsi="Times New Roman"/>
          <w:sz w:val="24"/>
          <w:szCs w:val="24"/>
        </w:rPr>
        <w:t xml:space="preserve">total loan fees </w:t>
      </w:r>
      <w:r w:rsidR="00E14FC1" w:rsidRPr="000E392B">
        <w:rPr>
          <w:rFonts w:ascii="Times New Roman" w:hAnsi="Times New Roman"/>
          <w:sz w:val="24"/>
          <w:szCs w:val="24"/>
        </w:rPr>
        <w:t>they may cha</w:t>
      </w:r>
      <w:r w:rsidR="00B75B69" w:rsidRPr="000E392B">
        <w:rPr>
          <w:rFonts w:ascii="Times New Roman" w:hAnsi="Times New Roman"/>
          <w:sz w:val="24"/>
          <w:szCs w:val="24"/>
        </w:rPr>
        <w:t>r</w:t>
      </w:r>
      <w:r w:rsidR="00E14FC1" w:rsidRPr="000E392B">
        <w:rPr>
          <w:rFonts w:ascii="Times New Roman" w:hAnsi="Times New Roman"/>
          <w:sz w:val="24"/>
          <w:szCs w:val="24"/>
        </w:rPr>
        <w:t>ge on any loan</w:t>
      </w:r>
      <w:r w:rsidR="00177402" w:rsidRPr="000E392B">
        <w:rPr>
          <w:rFonts w:ascii="Times New Roman" w:hAnsi="Times New Roman"/>
          <w:sz w:val="24"/>
          <w:szCs w:val="24"/>
        </w:rPr>
        <w:t xml:space="preserve"> greater than $2</w:t>
      </w:r>
      <w:r w:rsidR="00C2451C">
        <w:rPr>
          <w:rFonts w:ascii="Times New Roman" w:hAnsi="Times New Roman"/>
          <w:sz w:val="24"/>
          <w:szCs w:val="24"/>
        </w:rPr>
        <w:t xml:space="preserve"> million</w:t>
      </w:r>
      <w:r w:rsidR="00E14FC1" w:rsidRPr="000E392B">
        <w:rPr>
          <w:rFonts w:ascii="Times New Roman" w:hAnsi="Times New Roman"/>
          <w:sz w:val="24"/>
          <w:szCs w:val="24"/>
        </w:rPr>
        <w:t xml:space="preserve">, to no more than </w:t>
      </w:r>
      <w:r w:rsidR="00652E8D">
        <w:rPr>
          <w:rFonts w:ascii="Times New Roman" w:hAnsi="Times New Roman"/>
          <w:sz w:val="24"/>
          <w:szCs w:val="24"/>
        </w:rPr>
        <w:t>5</w:t>
      </w:r>
      <w:r w:rsidR="00177402" w:rsidRPr="000E392B">
        <w:rPr>
          <w:rFonts w:ascii="Times New Roman" w:hAnsi="Times New Roman"/>
          <w:sz w:val="24"/>
          <w:szCs w:val="24"/>
        </w:rPr>
        <w:t xml:space="preserve"> percent of the insured loan amount.</w:t>
      </w:r>
      <w:r w:rsidR="00B034A7">
        <w:rPr>
          <w:rFonts w:ascii="Times New Roman" w:hAnsi="Times New Roman"/>
          <w:sz w:val="24"/>
          <w:szCs w:val="24"/>
        </w:rPr>
        <w:t xml:space="preserve">  </w:t>
      </w:r>
      <w:r w:rsidR="00177402" w:rsidRPr="000E392B">
        <w:rPr>
          <w:rFonts w:ascii="Times New Roman" w:hAnsi="Times New Roman"/>
          <w:sz w:val="24"/>
          <w:szCs w:val="24"/>
        </w:rPr>
        <w:t xml:space="preserve">Loan fees include (a) origination and placement fees as permitted by the </w:t>
      </w:r>
      <w:r w:rsidR="00964CCE" w:rsidRPr="000E392B">
        <w:rPr>
          <w:rFonts w:ascii="Times New Roman" w:hAnsi="Times New Roman"/>
          <w:sz w:val="24"/>
          <w:szCs w:val="24"/>
        </w:rPr>
        <w:t>Multifamily Accelerated Processing (MAP) Guide</w:t>
      </w:r>
      <w:r w:rsidR="00964CCE" w:rsidRPr="000E392B">
        <w:rPr>
          <w:rStyle w:val="FootnoteReference"/>
          <w:rFonts w:ascii="Times New Roman" w:hAnsi="Times New Roman"/>
          <w:sz w:val="24"/>
          <w:szCs w:val="24"/>
        </w:rPr>
        <w:footnoteReference w:id="2"/>
      </w:r>
      <w:r w:rsidR="00964CCE" w:rsidRPr="000E392B">
        <w:rPr>
          <w:rFonts w:ascii="Times New Roman" w:hAnsi="Times New Roman"/>
          <w:sz w:val="24"/>
          <w:szCs w:val="24"/>
        </w:rPr>
        <w:t xml:space="preserve">, </w:t>
      </w:r>
      <w:r w:rsidR="00177402" w:rsidRPr="00B034A7">
        <w:rPr>
          <w:rFonts w:ascii="Times New Roman" w:hAnsi="Times New Roman"/>
          <w:sz w:val="24"/>
          <w:szCs w:val="24"/>
          <w:u w:val="single"/>
        </w:rPr>
        <w:t>plus</w:t>
      </w:r>
      <w:r w:rsidR="00177402" w:rsidRPr="000E392B">
        <w:rPr>
          <w:rFonts w:ascii="Times New Roman" w:hAnsi="Times New Roman"/>
          <w:sz w:val="24"/>
          <w:szCs w:val="24"/>
        </w:rPr>
        <w:t xml:space="preserve"> (b) trade profit, trade premium or marketing gain earned on the sale of the Government National Mortgage Association (GNMA) security at a value above par, even if the security sale is delayed until after endorsement, </w:t>
      </w:r>
      <w:r w:rsidR="00177402" w:rsidRPr="00B034A7">
        <w:rPr>
          <w:rFonts w:ascii="Times New Roman" w:hAnsi="Times New Roman"/>
          <w:sz w:val="24"/>
          <w:szCs w:val="24"/>
          <w:u w:val="single"/>
        </w:rPr>
        <w:t>minus</w:t>
      </w:r>
      <w:r w:rsidR="00177402" w:rsidRPr="000E392B">
        <w:rPr>
          <w:rFonts w:ascii="Times New Roman" w:hAnsi="Times New Roman"/>
          <w:sz w:val="24"/>
          <w:szCs w:val="24"/>
        </w:rPr>
        <w:t xml:space="preserve"> (c) loan fees applied by the Mortgagee to its legal expenses incurred in connection with loan closing</w:t>
      </w:r>
      <w:r w:rsidR="00E14FC1" w:rsidRPr="000E392B">
        <w:rPr>
          <w:rFonts w:ascii="Times New Roman" w:hAnsi="Times New Roman"/>
          <w:sz w:val="24"/>
          <w:szCs w:val="24"/>
        </w:rPr>
        <w:t>.</w:t>
      </w:r>
    </w:p>
    <w:p w:rsidR="00C210E0" w:rsidRPr="000E392B" w:rsidRDefault="00E11A0C" w:rsidP="00B034A7">
      <w:pPr>
        <w:autoSpaceDE w:val="0"/>
        <w:autoSpaceDN w:val="0"/>
        <w:adjustRightInd w:val="0"/>
        <w:spacing w:line="480" w:lineRule="auto"/>
        <w:rPr>
          <w:rFonts w:ascii="Times New Roman" w:hAnsi="Times New Roman"/>
          <w:sz w:val="24"/>
          <w:szCs w:val="24"/>
        </w:rPr>
      </w:pPr>
      <w:r>
        <w:rPr>
          <w:rFonts w:ascii="Times New Roman" w:hAnsi="Times New Roman"/>
          <w:b/>
          <w:sz w:val="24"/>
          <w:szCs w:val="24"/>
        </w:rPr>
        <w:t>C</w:t>
      </w:r>
      <w:r w:rsidR="00B034A7" w:rsidRPr="00B034A7">
        <w:rPr>
          <w:rFonts w:ascii="Times New Roman" w:hAnsi="Times New Roman"/>
          <w:b/>
          <w:sz w:val="24"/>
          <w:szCs w:val="24"/>
        </w:rPr>
        <w:t xml:space="preserve">. </w:t>
      </w:r>
      <w:r w:rsidR="00C210E0" w:rsidRPr="00B034A7">
        <w:rPr>
          <w:rFonts w:ascii="Times New Roman" w:hAnsi="Times New Roman"/>
          <w:b/>
          <w:sz w:val="24"/>
          <w:szCs w:val="24"/>
        </w:rPr>
        <w:t>Affordable</w:t>
      </w:r>
      <w:r w:rsidR="00F61C00" w:rsidRPr="00B034A7">
        <w:rPr>
          <w:rFonts w:ascii="Times New Roman" w:hAnsi="Times New Roman"/>
          <w:b/>
          <w:sz w:val="24"/>
          <w:szCs w:val="24"/>
        </w:rPr>
        <w:t xml:space="preserve"> H</w:t>
      </w:r>
      <w:r w:rsidR="00C210E0" w:rsidRPr="00B034A7">
        <w:rPr>
          <w:rFonts w:ascii="Times New Roman" w:hAnsi="Times New Roman"/>
          <w:b/>
          <w:sz w:val="24"/>
          <w:szCs w:val="24"/>
        </w:rPr>
        <w:t>ousing</w:t>
      </w:r>
      <w:r w:rsidR="00C210E0" w:rsidRPr="000E392B">
        <w:rPr>
          <w:rFonts w:ascii="Times New Roman" w:hAnsi="Times New Roman"/>
          <w:sz w:val="24"/>
          <w:szCs w:val="24"/>
        </w:rPr>
        <w:t xml:space="preserve"> </w:t>
      </w:r>
    </w:p>
    <w:p w:rsidR="00893D35" w:rsidRPr="000E392B" w:rsidRDefault="00893D35" w:rsidP="00B034A7">
      <w:pPr>
        <w:pStyle w:val="ListParagraph"/>
        <w:spacing w:line="480" w:lineRule="auto"/>
        <w:ind w:left="0" w:firstLine="720"/>
      </w:pPr>
      <w:r w:rsidRPr="000E392B">
        <w:lastRenderedPageBreak/>
        <w:t xml:space="preserve">Annual MIP will change from current rates </w:t>
      </w:r>
      <w:r w:rsidR="00CC45E3" w:rsidRPr="000E392B">
        <w:t>generally between 45</w:t>
      </w:r>
      <w:r w:rsidRPr="000E392B">
        <w:t xml:space="preserve"> and 70 basis points,</w:t>
      </w:r>
      <w:r w:rsidR="00F762DE">
        <w:rPr>
          <w:rStyle w:val="FootnoteReference"/>
        </w:rPr>
        <w:footnoteReference w:id="3"/>
      </w:r>
      <w:r w:rsidRPr="000E392B">
        <w:t xml:space="preserve"> to 35 basis points for all multifamily FHA-insured loan types. To qualify</w:t>
      </w:r>
      <w:r w:rsidR="00F61C00" w:rsidRPr="000E392B">
        <w:t>, the property must provide a set</w:t>
      </w:r>
      <w:r w:rsidR="00F24A1D" w:rsidRPr="000E392B">
        <w:t>-</w:t>
      </w:r>
      <w:r w:rsidR="00F61C00" w:rsidRPr="000E392B">
        <w:t>aside of affordable units</w:t>
      </w:r>
      <w:r w:rsidR="00E06967">
        <w:t xml:space="preserve"> as defined below</w:t>
      </w:r>
      <w:r w:rsidR="00F61C00" w:rsidRPr="000E392B">
        <w:t>, and agree to accept voucher holders</w:t>
      </w:r>
      <w:r w:rsidRPr="000E392B">
        <w:t>:</w:t>
      </w:r>
    </w:p>
    <w:p w:rsidR="002B1896" w:rsidRPr="00B034A7" w:rsidRDefault="00F61C00" w:rsidP="00B034A7">
      <w:pPr>
        <w:pStyle w:val="ListParagraph"/>
        <w:numPr>
          <w:ilvl w:val="0"/>
          <w:numId w:val="15"/>
        </w:numPr>
        <w:autoSpaceDE w:val="0"/>
        <w:autoSpaceDN w:val="0"/>
        <w:adjustRightInd w:val="0"/>
        <w:spacing w:line="480" w:lineRule="auto"/>
        <w:rPr>
          <w:rFonts w:eastAsiaTheme="minorHAnsi"/>
          <w:b/>
        </w:rPr>
      </w:pPr>
      <w:r w:rsidRPr="000E392B">
        <w:t>Inclusionary Zoning, Density Bonus Set</w:t>
      </w:r>
      <w:r w:rsidR="00F24A1D" w:rsidRPr="000E392B">
        <w:t>-</w:t>
      </w:r>
      <w:r w:rsidRPr="000E392B">
        <w:t>asides, and Other Local Affordability Restrictions:  Property owners shall submit with the FHA mortgage i</w:t>
      </w:r>
      <w:r w:rsidR="00F24A1D" w:rsidRPr="000E392B">
        <w:t>nsura</w:t>
      </w:r>
      <w:r w:rsidRPr="000E392B">
        <w:t>nce application evidence of a deed covenant or housing ordinance on “inclusionary zoning” at the subject property to evidence the requirement for affordable unit set</w:t>
      </w:r>
      <w:r w:rsidR="00F24A1D" w:rsidRPr="000E392B">
        <w:t>-</w:t>
      </w:r>
      <w:r w:rsidRPr="000E392B">
        <w:t xml:space="preserve">asides.  </w:t>
      </w:r>
      <w:r w:rsidR="009C2C6A" w:rsidRPr="000E392B">
        <w:t>A minimum of 10</w:t>
      </w:r>
      <w:r w:rsidR="0032027D">
        <w:t xml:space="preserve"> percent</w:t>
      </w:r>
      <w:r w:rsidR="009C2C6A" w:rsidRPr="000E392B">
        <w:t xml:space="preserve"> of the units must be affordable to, at most, a family at 80</w:t>
      </w:r>
      <w:r w:rsidR="0032027D">
        <w:t xml:space="preserve"> percent</w:t>
      </w:r>
      <w:r w:rsidR="009C2C6A" w:rsidRPr="000E392B">
        <w:t xml:space="preserve"> AMI, with rents sized to be affordable at 30</w:t>
      </w:r>
      <w:r w:rsidR="0032027D">
        <w:t xml:space="preserve"> percent</w:t>
      </w:r>
      <w:r w:rsidR="009C2C6A" w:rsidRPr="000E392B">
        <w:t xml:space="preserve"> of the income at that level.  The affordability set</w:t>
      </w:r>
      <w:r w:rsidR="00F24A1D" w:rsidRPr="000E392B">
        <w:t>-</w:t>
      </w:r>
      <w:r w:rsidR="009C2C6A" w:rsidRPr="000E392B">
        <w:t>aside must be</w:t>
      </w:r>
      <w:r w:rsidR="009C2C6A" w:rsidRPr="00B034A7">
        <w:rPr>
          <w:rFonts w:eastAsiaTheme="minorHAnsi"/>
        </w:rPr>
        <w:t xml:space="preserve"> </w:t>
      </w:r>
      <w:r w:rsidR="003F342A">
        <w:rPr>
          <w:rFonts w:eastAsiaTheme="minorHAnsi"/>
        </w:rPr>
        <w:t xml:space="preserve">on site, </w:t>
      </w:r>
      <w:r w:rsidR="009C2C6A" w:rsidRPr="00B034A7">
        <w:rPr>
          <w:rFonts w:eastAsiaTheme="minorHAnsi"/>
        </w:rPr>
        <w:t xml:space="preserve">in effect for at least </w:t>
      </w:r>
      <w:r w:rsidR="007C4C9A">
        <w:rPr>
          <w:rFonts w:eastAsiaTheme="minorHAnsi"/>
        </w:rPr>
        <w:t>30</w:t>
      </w:r>
      <w:r w:rsidR="007C4C9A" w:rsidRPr="00B034A7">
        <w:rPr>
          <w:rFonts w:eastAsiaTheme="minorHAnsi"/>
        </w:rPr>
        <w:t xml:space="preserve"> </w:t>
      </w:r>
      <w:r w:rsidR="009C2C6A" w:rsidRPr="00B034A7">
        <w:rPr>
          <w:rFonts w:eastAsiaTheme="minorHAnsi"/>
        </w:rPr>
        <w:t>years after final endorsement of the FHA-insured mortgage, be monitored by public authority, and be recorded in a regulatory agreement;</w:t>
      </w:r>
      <w:r w:rsidR="00B034A7" w:rsidRPr="00B034A7">
        <w:rPr>
          <w:rFonts w:eastAsiaTheme="minorHAnsi"/>
        </w:rPr>
        <w:t xml:space="preserve"> </w:t>
      </w:r>
    </w:p>
    <w:p w:rsidR="002B1896" w:rsidRPr="000E392B" w:rsidRDefault="002B1896" w:rsidP="00B034A7">
      <w:pPr>
        <w:pStyle w:val="ListParagraph"/>
        <w:numPr>
          <w:ilvl w:val="0"/>
          <w:numId w:val="15"/>
        </w:numPr>
        <w:autoSpaceDE w:val="0"/>
        <w:autoSpaceDN w:val="0"/>
        <w:adjustRightInd w:val="0"/>
        <w:spacing w:line="480" w:lineRule="auto"/>
        <w:rPr>
          <w:rFonts w:eastAsiaTheme="minorHAnsi"/>
        </w:rPr>
      </w:pPr>
      <w:r w:rsidRPr="000E392B">
        <w:t>Project has between 10</w:t>
      </w:r>
      <w:r w:rsidR="0032027D">
        <w:t xml:space="preserve"> percent</w:t>
      </w:r>
      <w:r w:rsidRPr="000E392B">
        <w:t xml:space="preserve"> and 90</w:t>
      </w:r>
      <w:r w:rsidR="0032027D">
        <w:t xml:space="preserve"> percent</w:t>
      </w:r>
      <w:r w:rsidRPr="000E392B">
        <w:t xml:space="preserve"> of units covered by </w:t>
      </w:r>
      <w:r w:rsidR="00F44FA4" w:rsidRPr="000E392B">
        <w:t xml:space="preserve">a Section 8 </w:t>
      </w:r>
      <w:r w:rsidR="00CC45E3" w:rsidRPr="000E392B">
        <w:t>PBRA</w:t>
      </w:r>
      <w:r w:rsidR="001A7E30" w:rsidRPr="000E392B">
        <w:t xml:space="preserve"> contract or other state or federal rental assistance program contract serving very low income residents, with a remaining term of at least 15 years</w:t>
      </w:r>
      <w:r w:rsidRPr="000E392B">
        <w:t>;</w:t>
      </w:r>
      <w:r w:rsidR="00B034A7">
        <w:t xml:space="preserve"> </w:t>
      </w:r>
    </w:p>
    <w:p w:rsidR="002E2E97" w:rsidRDefault="002E2E97" w:rsidP="00B034A7">
      <w:pPr>
        <w:pStyle w:val="ListParagraph"/>
        <w:numPr>
          <w:ilvl w:val="0"/>
          <w:numId w:val="15"/>
        </w:numPr>
        <w:autoSpaceDE w:val="0"/>
        <w:autoSpaceDN w:val="0"/>
        <w:adjustRightInd w:val="0"/>
        <w:spacing w:line="480" w:lineRule="auto"/>
        <w:rPr>
          <w:rFonts w:eastAsiaTheme="minorHAnsi"/>
        </w:rPr>
      </w:pPr>
      <w:r w:rsidRPr="000E392B">
        <w:t>Project has between 10</w:t>
      </w:r>
      <w:r w:rsidR="0032027D">
        <w:t xml:space="preserve"> percent</w:t>
      </w:r>
      <w:r w:rsidRPr="000E392B">
        <w:t xml:space="preserve"> and 90</w:t>
      </w:r>
      <w:r w:rsidR="0032027D">
        <w:t xml:space="preserve"> percent</w:t>
      </w:r>
      <w:r w:rsidRPr="000E392B">
        <w:t xml:space="preserve"> of its units covered by an affordability use restriction under the Low Income Housing Tax Credit program</w:t>
      </w:r>
      <w:r w:rsidR="00975952" w:rsidRPr="000E392B">
        <w:t xml:space="preserve"> or similar state </w:t>
      </w:r>
      <w:r w:rsidR="00C7421D" w:rsidRPr="000E392B">
        <w:t xml:space="preserve">or locally </w:t>
      </w:r>
      <w:r w:rsidR="00975952" w:rsidRPr="000E392B">
        <w:t>sponsored program</w:t>
      </w:r>
      <w:r w:rsidRPr="000E392B">
        <w:t>, with rents sized at no greater than 30</w:t>
      </w:r>
      <w:r w:rsidR="0032027D">
        <w:t xml:space="preserve"> percent</w:t>
      </w:r>
      <w:r w:rsidRPr="000E392B">
        <w:t xml:space="preserve"> of the income</w:t>
      </w:r>
      <w:r w:rsidR="00C7421D" w:rsidRPr="000E392B">
        <w:t xml:space="preserve"> eligible for occupancy under the Low Income Housing Tax Credit </w:t>
      </w:r>
      <w:r w:rsidR="00156DFB" w:rsidRPr="000E392B">
        <w:t>p</w:t>
      </w:r>
      <w:r w:rsidR="00C7421D" w:rsidRPr="000E392B">
        <w:t>rogram</w:t>
      </w:r>
      <w:r w:rsidRPr="000E392B">
        <w:t xml:space="preserve">, with </w:t>
      </w:r>
      <w:r w:rsidRPr="000E392B">
        <w:rPr>
          <w:rFonts w:eastAsiaTheme="minorHAnsi"/>
        </w:rPr>
        <w:t xml:space="preserve">a recorded </w:t>
      </w:r>
      <w:r w:rsidRPr="000E392B">
        <w:rPr>
          <w:rFonts w:eastAsiaTheme="minorHAnsi"/>
        </w:rPr>
        <w:lastRenderedPageBreak/>
        <w:t>regulatory agreement in effect for at least 15 years after final endorsement and monitored by a public entity</w:t>
      </w:r>
      <w:r w:rsidR="00F56EF7">
        <w:rPr>
          <w:rFonts w:eastAsiaTheme="minorHAnsi"/>
        </w:rPr>
        <w:t>; or</w:t>
      </w:r>
    </w:p>
    <w:p w:rsidR="00350CFE" w:rsidRPr="000E392B" w:rsidRDefault="00350CFE" w:rsidP="00B034A7">
      <w:pPr>
        <w:pStyle w:val="ListParagraph"/>
        <w:numPr>
          <w:ilvl w:val="0"/>
          <w:numId w:val="15"/>
        </w:numPr>
        <w:autoSpaceDE w:val="0"/>
        <w:autoSpaceDN w:val="0"/>
        <w:adjustRightInd w:val="0"/>
        <w:spacing w:line="480" w:lineRule="auto"/>
        <w:rPr>
          <w:rFonts w:eastAsiaTheme="minorHAnsi"/>
        </w:rPr>
      </w:pPr>
      <w:r>
        <w:t>Project has</w:t>
      </w:r>
      <w:r w:rsidRPr="000E392B">
        <w:t xml:space="preserve"> at least 90</w:t>
      </w:r>
      <w:r>
        <w:t xml:space="preserve"> percent</w:t>
      </w:r>
      <w:r w:rsidRPr="000E392B">
        <w:t xml:space="preserve"> of its units covered by an affordability use restriction under the Low Income Housing Tax Credit program or similar state or locally sponsored program, </w:t>
      </w:r>
      <w:r>
        <w:t>but without the rent advantage required to qualify as Broadly Affordable (achievable and underwritten tax credit rents at least 10 percent below comparable market rents)</w:t>
      </w:r>
      <w:r w:rsidRPr="000E392B">
        <w:t xml:space="preserve">, </w:t>
      </w:r>
      <w:r>
        <w:t xml:space="preserve">and </w:t>
      </w:r>
      <w:r w:rsidRPr="000E392B">
        <w:t xml:space="preserve">with </w:t>
      </w:r>
      <w:r w:rsidRPr="000E392B">
        <w:rPr>
          <w:rFonts w:eastAsiaTheme="minorHAnsi"/>
        </w:rPr>
        <w:t>a recorded regulatory agreement in effect for at least 15 years after final endorsement and monitored by a public entity</w:t>
      </w:r>
      <w:r w:rsidR="00F56EF7">
        <w:rPr>
          <w:rFonts w:eastAsiaTheme="minorHAnsi"/>
        </w:rPr>
        <w:t>.</w:t>
      </w:r>
    </w:p>
    <w:p w:rsidR="004B61AF" w:rsidRDefault="00150437" w:rsidP="00CF5B71">
      <w:pPr>
        <w:autoSpaceDE w:val="0"/>
        <w:autoSpaceDN w:val="0"/>
        <w:adjustRightInd w:val="0"/>
        <w:spacing w:line="480" w:lineRule="auto"/>
        <w:rPr>
          <w:rFonts w:ascii="Times New Roman" w:hAnsi="Times New Roman"/>
          <w:sz w:val="24"/>
          <w:szCs w:val="24"/>
        </w:rPr>
      </w:pPr>
      <w:r w:rsidRPr="00CF5B71">
        <w:rPr>
          <w:rFonts w:ascii="Times New Roman" w:hAnsi="Times New Roman"/>
          <w:sz w:val="24"/>
          <w:szCs w:val="24"/>
        </w:rPr>
        <w:t>T</w:t>
      </w:r>
      <w:r w:rsidR="00CC45E3" w:rsidRPr="00CF5B71">
        <w:rPr>
          <w:rFonts w:ascii="Times New Roman" w:hAnsi="Times New Roman"/>
          <w:sz w:val="24"/>
          <w:szCs w:val="24"/>
        </w:rPr>
        <w:t>o qualify for this MIP rate</w:t>
      </w:r>
      <w:r w:rsidR="00CF5B71" w:rsidRPr="00CF5B71">
        <w:rPr>
          <w:rFonts w:ascii="Times New Roman" w:hAnsi="Times New Roman"/>
          <w:sz w:val="24"/>
          <w:szCs w:val="24"/>
        </w:rPr>
        <w:t xml:space="preserve"> t</w:t>
      </w:r>
      <w:r w:rsidR="004B61AF" w:rsidRPr="00CF5B71">
        <w:rPr>
          <w:rFonts w:ascii="Times New Roman" w:hAnsi="Times New Roman"/>
          <w:sz w:val="24"/>
          <w:szCs w:val="24"/>
        </w:rPr>
        <w:t xml:space="preserve">he project owner </w:t>
      </w:r>
      <w:r w:rsidR="00C41479" w:rsidRPr="00CF5B71">
        <w:rPr>
          <w:rFonts w:ascii="Times New Roman" w:hAnsi="Times New Roman"/>
          <w:sz w:val="24"/>
          <w:szCs w:val="24"/>
        </w:rPr>
        <w:t xml:space="preserve">must </w:t>
      </w:r>
      <w:r w:rsidRPr="00CF5B71">
        <w:rPr>
          <w:rFonts w:ascii="Times New Roman" w:hAnsi="Times New Roman"/>
          <w:sz w:val="24"/>
          <w:szCs w:val="24"/>
        </w:rPr>
        <w:t xml:space="preserve">also </w:t>
      </w:r>
      <w:r w:rsidR="00C41479" w:rsidRPr="00CF5B71">
        <w:rPr>
          <w:rFonts w:ascii="Times New Roman" w:hAnsi="Times New Roman"/>
          <w:sz w:val="24"/>
          <w:szCs w:val="24"/>
        </w:rPr>
        <w:t xml:space="preserve">agree to accept </w:t>
      </w:r>
      <w:r w:rsidR="00203E28" w:rsidRPr="00CF5B71">
        <w:rPr>
          <w:rFonts w:ascii="Times New Roman" w:hAnsi="Times New Roman"/>
          <w:sz w:val="24"/>
          <w:szCs w:val="24"/>
        </w:rPr>
        <w:t>voucher holders under the Section 8 Housing Choice Voucher program</w:t>
      </w:r>
      <w:r w:rsidR="00866819" w:rsidRPr="00CF5B71">
        <w:rPr>
          <w:rFonts w:ascii="Times New Roman" w:hAnsi="Times New Roman"/>
          <w:sz w:val="24"/>
          <w:szCs w:val="24"/>
        </w:rPr>
        <w:t xml:space="preserve"> or other federal program voucher holders </w:t>
      </w:r>
      <w:r w:rsidR="004B61AF" w:rsidRPr="00CF5B71">
        <w:rPr>
          <w:rFonts w:ascii="Times New Roman" w:hAnsi="Times New Roman"/>
          <w:sz w:val="24"/>
          <w:szCs w:val="24"/>
        </w:rPr>
        <w:t>as residents for vacancies in units not covered by project base</w:t>
      </w:r>
      <w:r w:rsidR="00420D38" w:rsidRPr="00CF5B71">
        <w:rPr>
          <w:rFonts w:ascii="Times New Roman" w:hAnsi="Times New Roman"/>
          <w:sz w:val="24"/>
          <w:szCs w:val="24"/>
        </w:rPr>
        <w:t>d</w:t>
      </w:r>
      <w:r w:rsidR="004B61AF" w:rsidRPr="00CF5B71">
        <w:rPr>
          <w:rFonts w:ascii="Times New Roman" w:hAnsi="Times New Roman"/>
          <w:sz w:val="24"/>
          <w:szCs w:val="24"/>
        </w:rPr>
        <w:t xml:space="preserve"> Section</w:t>
      </w:r>
      <w:r w:rsidR="00C41479" w:rsidRPr="00CF5B71">
        <w:rPr>
          <w:rFonts w:ascii="Times New Roman" w:hAnsi="Times New Roman"/>
          <w:sz w:val="24"/>
          <w:szCs w:val="24"/>
        </w:rPr>
        <w:t xml:space="preserve"> </w:t>
      </w:r>
      <w:r w:rsidR="004B61AF" w:rsidRPr="00CF5B71">
        <w:rPr>
          <w:rFonts w:ascii="Times New Roman" w:hAnsi="Times New Roman"/>
          <w:sz w:val="24"/>
          <w:szCs w:val="24"/>
        </w:rPr>
        <w:t>8, and execute a Rider to the FHA regulatory agreement acceptable to HUD evidencing the owner’s agreement to accept Section 8 vouchers for the life of the regulatory agreement.</w:t>
      </w:r>
    </w:p>
    <w:p w:rsidR="00245AE1" w:rsidRDefault="00245AE1" w:rsidP="00245AE1">
      <w:pPr>
        <w:pStyle w:val="ListParagraph"/>
        <w:spacing w:line="480" w:lineRule="auto"/>
        <w:ind w:left="0" w:firstLine="720"/>
      </w:pPr>
      <w:r>
        <w:rPr>
          <w:i/>
        </w:rPr>
        <w:t>Change:</w:t>
      </w:r>
      <w:r>
        <w:t xml:space="preserve"> In response to public comments, HUD added the forth bullet providing an extra class of properties to those that are eligible for this affordable housing MIP rate.</w:t>
      </w:r>
    </w:p>
    <w:p w:rsidR="003B2938" w:rsidRPr="000E392B" w:rsidRDefault="00E11A0C" w:rsidP="00B034A7">
      <w:pPr>
        <w:pStyle w:val="ListParagraph"/>
        <w:spacing w:line="480" w:lineRule="auto"/>
        <w:ind w:left="0"/>
      </w:pPr>
      <w:r>
        <w:rPr>
          <w:b/>
        </w:rPr>
        <w:t>D</w:t>
      </w:r>
      <w:r w:rsidR="00B034A7" w:rsidRPr="00B034A7">
        <w:rPr>
          <w:b/>
        </w:rPr>
        <w:t xml:space="preserve">.  </w:t>
      </w:r>
      <w:r w:rsidR="003B2938" w:rsidRPr="00B034A7">
        <w:rPr>
          <w:b/>
        </w:rPr>
        <w:t>Green and Energy Efficient H</w:t>
      </w:r>
      <w:r w:rsidR="00C210E0" w:rsidRPr="00B034A7">
        <w:rPr>
          <w:b/>
        </w:rPr>
        <w:t>ousing</w:t>
      </w:r>
    </w:p>
    <w:p w:rsidR="00CF5B71" w:rsidRDefault="00D41E8E" w:rsidP="00B034A7">
      <w:pPr>
        <w:pStyle w:val="Default"/>
        <w:spacing w:line="480" w:lineRule="auto"/>
        <w:ind w:firstLine="720"/>
      </w:pPr>
      <w:r w:rsidRPr="000E392B">
        <w:t xml:space="preserve">Annual </w:t>
      </w:r>
      <w:r w:rsidR="003B2938" w:rsidRPr="000E392B">
        <w:t xml:space="preserve">MIP will change from current rates </w:t>
      </w:r>
      <w:r w:rsidR="00F44FA4" w:rsidRPr="000E392B">
        <w:t xml:space="preserve">generally </w:t>
      </w:r>
      <w:r w:rsidR="003B2938" w:rsidRPr="000E392B">
        <w:t>between 45 and 70 basis points,</w:t>
      </w:r>
      <w:r w:rsidR="00F762DE">
        <w:rPr>
          <w:rStyle w:val="FootnoteReference"/>
        </w:rPr>
        <w:footnoteReference w:id="4"/>
      </w:r>
      <w:r w:rsidR="003B2938" w:rsidRPr="000E392B">
        <w:t xml:space="preserve"> to </w:t>
      </w:r>
      <w:r w:rsidR="001D664E">
        <w:t>25</w:t>
      </w:r>
      <w:r w:rsidR="003B2938" w:rsidRPr="000E392B">
        <w:t xml:space="preserve"> basis points for all multifamily FHA-insured loan types.  </w:t>
      </w:r>
      <w:r w:rsidR="00A646DB" w:rsidRPr="000E392B">
        <w:t xml:space="preserve">Projects will access this rate to encourage owners to adopt </w:t>
      </w:r>
      <w:r w:rsidR="005640B7">
        <w:t xml:space="preserve">higher standards for construction, </w:t>
      </w:r>
      <w:r w:rsidR="00A646DB" w:rsidRPr="000E392B">
        <w:t xml:space="preserve">rehabilitation, repairs, maintenance, and property operations that are more </w:t>
      </w:r>
      <w:r w:rsidR="005640B7">
        <w:t xml:space="preserve">energy efficient and </w:t>
      </w:r>
      <w:r w:rsidR="00A646DB" w:rsidRPr="000E392B">
        <w:t xml:space="preserve">sustainable than </w:t>
      </w:r>
      <w:r w:rsidR="00A646DB" w:rsidRPr="000E392B">
        <w:lastRenderedPageBreak/>
        <w:t>traditional approaches to such activities</w:t>
      </w:r>
      <w:r w:rsidR="005640B7">
        <w:t>.  The lower rate will incentivize owners to implement measures that</w:t>
      </w:r>
      <w:r w:rsidR="00A646DB" w:rsidRPr="000E392B">
        <w:t xml:space="preserve"> result in project</w:t>
      </w:r>
      <w:r w:rsidR="005640B7">
        <w:t>s</w:t>
      </w:r>
      <w:r w:rsidR="00A646DB" w:rsidRPr="000E392B">
        <w:t xml:space="preserve"> </w:t>
      </w:r>
      <w:r w:rsidR="0046732D">
        <w:t>with greater</w:t>
      </w:r>
      <w:r w:rsidR="00A646DB" w:rsidRPr="000E392B">
        <w:t xml:space="preserve"> energy </w:t>
      </w:r>
      <w:r w:rsidR="0046732D">
        <w:t xml:space="preserve">and water </w:t>
      </w:r>
      <w:r w:rsidR="00A646DB" w:rsidRPr="000E392B">
        <w:t>efficien</w:t>
      </w:r>
      <w:r w:rsidR="0046732D">
        <w:t>cy</w:t>
      </w:r>
      <w:r w:rsidR="00A646DB" w:rsidRPr="000E392B">
        <w:t xml:space="preserve">, </w:t>
      </w:r>
      <w:r w:rsidR="0046732D">
        <w:t xml:space="preserve">reduced operating </w:t>
      </w:r>
      <w:r w:rsidR="00A646DB" w:rsidRPr="000E392B">
        <w:t xml:space="preserve">costs, </w:t>
      </w:r>
      <w:r w:rsidR="0046732D">
        <w:t>improved</w:t>
      </w:r>
      <w:r w:rsidR="00A646DB" w:rsidRPr="000E392B">
        <w:t xml:space="preserve"> indoor air quality</w:t>
      </w:r>
      <w:r w:rsidR="0046732D">
        <w:t xml:space="preserve"> and resident comfort</w:t>
      </w:r>
      <w:r w:rsidR="00A646DB" w:rsidRPr="000E392B">
        <w:t>, and reduce</w:t>
      </w:r>
      <w:r w:rsidR="0046732D">
        <w:t>d</w:t>
      </w:r>
      <w:r w:rsidR="00A646DB" w:rsidRPr="000E392B">
        <w:t xml:space="preserve"> overall impact on the environment.  </w:t>
      </w:r>
      <w:r w:rsidR="005640B7">
        <w:t xml:space="preserve">It is anticipated that mortgage proceeds will be used to retrofit properties </w:t>
      </w:r>
      <w:r w:rsidR="00857CA6">
        <w:t>to meet the stringent efficiency standards required to access this lower MIP premium.</w:t>
      </w:r>
      <w:r w:rsidR="005640B7">
        <w:t xml:space="preserve"> </w:t>
      </w:r>
      <w:r w:rsidR="00857CA6">
        <w:t>F</w:t>
      </w:r>
      <w:r w:rsidR="005640B7">
        <w:t xml:space="preserve">or </w:t>
      </w:r>
      <w:r w:rsidR="00857CA6">
        <w:t>properties that have already achieved a green building standard</w:t>
      </w:r>
      <w:r w:rsidR="00FF68C4">
        <w:t xml:space="preserve"> and that are refinancing with this lower MIP premium</w:t>
      </w:r>
      <w:r w:rsidR="00857CA6">
        <w:t xml:space="preserve">, proceeds </w:t>
      </w:r>
      <w:r w:rsidR="00FF68C4">
        <w:t>may</w:t>
      </w:r>
      <w:r w:rsidR="00857CA6">
        <w:t xml:space="preserve"> be used to complete further efficiency upgrades, </w:t>
      </w:r>
      <w:r w:rsidR="00FF68C4">
        <w:t xml:space="preserve">and/or </w:t>
      </w:r>
      <w:r w:rsidR="00857CA6">
        <w:t>to retrofit to the next-level green certification standard</w:t>
      </w:r>
      <w:r w:rsidR="00FF68C4">
        <w:t>s.</w:t>
      </w:r>
      <w:r w:rsidR="00857CA6">
        <w:t xml:space="preserve"> </w:t>
      </w:r>
      <w:r w:rsidR="005640B7">
        <w:t xml:space="preserve"> </w:t>
      </w:r>
    </w:p>
    <w:p w:rsidR="00CF5B71" w:rsidRDefault="00CF5B71" w:rsidP="00CF5B71">
      <w:pPr>
        <w:pStyle w:val="Default"/>
        <w:spacing w:line="480" w:lineRule="auto"/>
        <w:ind w:firstLine="720"/>
      </w:pPr>
      <w:r>
        <w:t>To qualify, u</w:t>
      </w:r>
      <w:r w:rsidR="00A646DB" w:rsidRPr="000E392B">
        <w:t xml:space="preserve">pon application for FHA mortgage insurance, the owner must evidence that the project has achieved, or </w:t>
      </w:r>
      <w:r w:rsidR="00FF2EF0" w:rsidRPr="000E392B">
        <w:t xml:space="preserve">the owner must </w:t>
      </w:r>
      <w:r w:rsidR="00A646DB" w:rsidRPr="000E392B">
        <w:t xml:space="preserve">certify </w:t>
      </w:r>
      <w:r w:rsidR="009736F0" w:rsidRPr="000E392B">
        <w:t>that it will</w:t>
      </w:r>
      <w:r w:rsidR="00A646DB" w:rsidRPr="000E392B">
        <w:t xml:space="preserve"> </w:t>
      </w:r>
      <w:r w:rsidR="003B2938" w:rsidRPr="000E392B">
        <w:t>pursue</w:t>
      </w:r>
      <w:r w:rsidR="00737D5A">
        <w:t xml:space="preserve"> and</w:t>
      </w:r>
      <w:r w:rsidR="00FF2EF0" w:rsidRPr="000E392B">
        <w:t xml:space="preserve"> </w:t>
      </w:r>
      <w:r w:rsidR="009736F0" w:rsidRPr="000E392B">
        <w:t>achieve</w:t>
      </w:r>
      <w:r w:rsidR="00A646DB" w:rsidRPr="000E392B">
        <w:t>,</w:t>
      </w:r>
      <w:r w:rsidR="003B2938" w:rsidRPr="000E392B">
        <w:t xml:space="preserve"> an industry-recognized</w:t>
      </w:r>
      <w:r w:rsidR="00FF2EF0" w:rsidRPr="000E392B">
        <w:t xml:space="preserve"> </w:t>
      </w:r>
      <w:r w:rsidR="00223265" w:rsidRPr="000E392B">
        <w:t>standard</w:t>
      </w:r>
      <w:r w:rsidR="003B2938" w:rsidRPr="000E392B">
        <w:t xml:space="preserve"> </w:t>
      </w:r>
      <w:r w:rsidR="00CD5C77" w:rsidRPr="000E392B">
        <w:t>for green building.  Acceptable, independently verified standards include</w:t>
      </w:r>
      <w:r w:rsidR="003B2938" w:rsidRPr="000E392B">
        <w:t xml:space="preserve"> the Enterprise Green Communities Criteria, </w:t>
      </w:r>
      <w:r w:rsidR="00A646DB" w:rsidRPr="000E392B">
        <w:t xml:space="preserve">U.S. Green Building Council’s </w:t>
      </w:r>
      <w:r w:rsidR="003B2938" w:rsidRPr="000E392B">
        <w:t xml:space="preserve">LEED-H, LEED-H Midrise, LEED-NC, </w:t>
      </w:r>
      <w:r w:rsidR="00927783">
        <w:t xml:space="preserve">or </w:t>
      </w:r>
      <w:r w:rsidR="00927783" w:rsidRPr="00CF5B71">
        <w:rPr>
          <w:rFonts w:eastAsia="Arial"/>
          <w:spacing w:val="-2"/>
        </w:rPr>
        <w:t xml:space="preserve">LEED for Existing Buildings: Operations &amp; Maintenance, </w:t>
      </w:r>
      <w:r w:rsidR="003B2938" w:rsidRPr="000E392B">
        <w:t xml:space="preserve">ENERGY STAR </w:t>
      </w:r>
      <w:r w:rsidR="00223265" w:rsidRPr="000E392B">
        <w:t>Certification</w:t>
      </w:r>
      <w:r w:rsidR="003B2938" w:rsidRPr="000E392B">
        <w:t>, EarthCraft House, EarthCraft Multifamily, Earth Advantage New Homes, Greenpoint Rated New Home, Greenpoint Rated Existing Home (Whole House or Whole Building label), the National Green Building Standard (NGBS)</w:t>
      </w:r>
      <w:r w:rsidR="001B79D6" w:rsidRPr="000E392B">
        <w:t xml:space="preserve">, </w:t>
      </w:r>
      <w:r w:rsidR="00927783" w:rsidRPr="0035304E">
        <w:rPr>
          <w:rFonts w:eastAsia="Arial Unicode MS"/>
        </w:rPr>
        <w:t>Passive Building Certification or EnerPHit Retrofits certification from the Passive House Institute US (PHIUS), International Passive House Association, or the Passive House Institute</w:t>
      </w:r>
      <w:r w:rsidR="00927783">
        <w:rPr>
          <w:rFonts w:eastAsia="Arial Unicode MS"/>
        </w:rPr>
        <w:t xml:space="preserve">, </w:t>
      </w:r>
      <w:r w:rsidR="0066687B">
        <w:rPr>
          <w:rFonts w:eastAsia="Arial Unicode MS"/>
        </w:rPr>
        <w:t xml:space="preserve">and </w:t>
      </w:r>
      <w:r w:rsidR="0066687B">
        <w:rPr>
          <w:rFonts w:eastAsia="Arial"/>
          <w:spacing w:val="-2"/>
        </w:rPr>
        <w:t>Living Building Challenge Certification</w:t>
      </w:r>
      <w:r w:rsidR="0066687B" w:rsidRPr="000E392B">
        <w:t xml:space="preserve"> </w:t>
      </w:r>
      <w:r w:rsidR="0066687B">
        <w:t xml:space="preserve">from the International Living Future Institute, </w:t>
      </w:r>
      <w:r w:rsidR="003B2938" w:rsidRPr="000E392B">
        <w:t>or other industry-recognized green building standard</w:t>
      </w:r>
      <w:r w:rsidR="00CD5C77" w:rsidRPr="000E392B">
        <w:t>s</w:t>
      </w:r>
      <w:r w:rsidR="003B2938" w:rsidRPr="000E392B">
        <w:t xml:space="preserve"> in </w:t>
      </w:r>
      <w:r w:rsidR="003008D5">
        <w:t xml:space="preserve">the </w:t>
      </w:r>
      <w:r w:rsidR="003008D5" w:rsidRPr="000E392B">
        <w:t xml:space="preserve">sole discretion </w:t>
      </w:r>
      <w:r w:rsidR="003008D5">
        <w:t xml:space="preserve">of </w:t>
      </w:r>
      <w:r w:rsidR="003B2938" w:rsidRPr="000E392B">
        <w:t>HUD’s</w:t>
      </w:r>
      <w:r w:rsidR="003008D5">
        <w:t xml:space="preserve"> Office of Multifamily Production</w:t>
      </w:r>
      <w:r w:rsidR="003B2938" w:rsidRPr="000E392B">
        <w:t>.</w:t>
      </w:r>
      <w:r w:rsidR="009736F0" w:rsidRPr="000E392B">
        <w:t xml:space="preserve"> </w:t>
      </w:r>
      <w:r w:rsidR="00FF2EF0" w:rsidRPr="000E392B">
        <w:t xml:space="preserve"> </w:t>
      </w:r>
    </w:p>
    <w:p w:rsidR="00CF5B71" w:rsidRDefault="00FF2EF0" w:rsidP="00CF5B71">
      <w:pPr>
        <w:pStyle w:val="Default"/>
        <w:spacing w:line="480" w:lineRule="auto"/>
        <w:ind w:firstLine="720"/>
      </w:pPr>
      <w:r w:rsidRPr="000E392B">
        <w:t>Further, the owner</w:t>
      </w:r>
      <w:r w:rsidR="009736F0" w:rsidRPr="000E392B">
        <w:t xml:space="preserve"> must certify that it </w:t>
      </w:r>
      <w:r w:rsidRPr="000E392B">
        <w:t xml:space="preserve">has achieved, or </w:t>
      </w:r>
      <w:r w:rsidR="009736F0" w:rsidRPr="000E392B">
        <w:t xml:space="preserve">will </w:t>
      </w:r>
      <w:r w:rsidR="00737D5A" w:rsidRPr="000E392B">
        <w:t>pursue</w:t>
      </w:r>
      <w:r w:rsidR="00737D5A">
        <w:t>,</w:t>
      </w:r>
      <w:r w:rsidR="009736F0" w:rsidRPr="000E392B">
        <w:t xml:space="preserve"> </w:t>
      </w:r>
      <w:r w:rsidR="00652E8D" w:rsidRPr="000E392B">
        <w:t>achieve</w:t>
      </w:r>
      <w:r w:rsidR="00737D5A">
        <w:t>,</w:t>
      </w:r>
      <w:r w:rsidR="009736F0" w:rsidRPr="000E392B">
        <w:t xml:space="preserve"> </w:t>
      </w:r>
      <w:r w:rsidR="00737D5A">
        <w:t xml:space="preserve">and maintain </w:t>
      </w:r>
      <w:r w:rsidR="00223265" w:rsidRPr="000E392B">
        <w:t>a score of 75 or better on the 1-100 ENERGY STAR score, using EPA's Portfolio Manager</w:t>
      </w:r>
      <w:r w:rsidR="009736F0" w:rsidRPr="000E392B">
        <w:t xml:space="preserve">.  </w:t>
      </w:r>
      <w:r w:rsidR="00CD5C77" w:rsidRPr="000E392B">
        <w:t xml:space="preserve">The </w:t>
      </w:r>
      <w:r w:rsidR="00CD5C77" w:rsidRPr="000E392B">
        <w:lastRenderedPageBreak/>
        <w:t>reasonableness of achieving and maintaining the specified</w:t>
      </w:r>
      <w:r w:rsidRPr="000E392B">
        <w:t>, independent</w:t>
      </w:r>
      <w:r w:rsidR="00CD5C77" w:rsidRPr="000E392B">
        <w:t xml:space="preserve"> </w:t>
      </w:r>
      <w:r w:rsidRPr="000E392B">
        <w:t xml:space="preserve">green building </w:t>
      </w:r>
      <w:r w:rsidR="008A5DEA" w:rsidRPr="000E392B">
        <w:t>standard</w:t>
      </w:r>
      <w:r w:rsidR="009736F0" w:rsidRPr="000E392B">
        <w:t>, and the score of 75 or better in Portfolio Manager,</w:t>
      </w:r>
      <w:r w:rsidR="008A5DEA" w:rsidRPr="000E392B">
        <w:t xml:space="preserve"> must be </w:t>
      </w:r>
      <w:r w:rsidR="00CD5C77" w:rsidRPr="000E392B">
        <w:t xml:space="preserve">verified by the independent conclusion of the </w:t>
      </w:r>
      <w:r w:rsidR="00E14961" w:rsidRPr="000E392B">
        <w:t xml:space="preserve">qualified assessor </w:t>
      </w:r>
      <w:r w:rsidR="00E14961">
        <w:t xml:space="preserve">preparing the </w:t>
      </w:r>
      <w:r w:rsidR="00CD5C77" w:rsidRPr="000E392B">
        <w:t>physical condition assessment, and supported by the physical condition assessment report and recommendations, ASHRAE level II energy audit</w:t>
      </w:r>
      <w:r w:rsidR="003008D5">
        <w:t xml:space="preserve"> (required for existing structures only)</w:t>
      </w:r>
      <w:r w:rsidR="00CD5C77" w:rsidRPr="000E392B">
        <w:t>, and plans for new construction, or rehabilitation, repairs, and operati</w:t>
      </w:r>
      <w:r w:rsidR="00A5739C" w:rsidRPr="000E392B">
        <w:t>ons and maintenance. T</w:t>
      </w:r>
      <w:r w:rsidR="00CD5C77" w:rsidRPr="000E392B">
        <w:t xml:space="preserve">he physical condition assessment report </w:t>
      </w:r>
      <w:r w:rsidR="003B2938" w:rsidRPr="000E392B">
        <w:t xml:space="preserve">submitted </w:t>
      </w:r>
      <w:r w:rsidR="00CD5C77" w:rsidRPr="000E392B">
        <w:t>with the mortgage insurance application</w:t>
      </w:r>
      <w:r w:rsidR="003B2938" w:rsidRPr="000E392B">
        <w:t xml:space="preserve"> must include a certification </w:t>
      </w:r>
      <w:r w:rsidR="00180E57" w:rsidRPr="000E392B">
        <w:t xml:space="preserve">from the architect, engineer, </w:t>
      </w:r>
      <w:r w:rsidR="00742FA2">
        <w:t xml:space="preserve">or </w:t>
      </w:r>
      <w:r w:rsidR="00180E57" w:rsidRPr="000E392B">
        <w:t xml:space="preserve">energy auditor </w:t>
      </w:r>
      <w:r w:rsidR="003B2938" w:rsidRPr="000E392B">
        <w:t xml:space="preserve">that the planned scope of work is reasonably sufficient to achieve </w:t>
      </w:r>
      <w:r w:rsidRPr="000E392B">
        <w:t xml:space="preserve">and maintain </w:t>
      </w:r>
      <w:r w:rsidR="003B2938" w:rsidRPr="000E392B">
        <w:t xml:space="preserve">the </w:t>
      </w:r>
      <w:r w:rsidR="002D6B41" w:rsidRPr="000E392B">
        <w:t xml:space="preserve">specified </w:t>
      </w:r>
      <w:r w:rsidR="003B2938" w:rsidRPr="000E392B">
        <w:t xml:space="preserve">certification. </w:t>
      </w:r>
    </w:p>
    <w:p w:rsidR="003B2938" w:rsidRDefault="003B2938" w:rsidP="00CF5B71">
      <w:pPr>
        <w:pStyle w:val="Default"/>
        <w:spacing w:line="480" w:lineRule="auto"/>
        <w:ind w:firstLine="720"/>
      </w:pPr>
      <w:r w:rsidRPr="000E392B">
        <w:t xml:space="preserve">Additionally, the </w:t>
      </w:r>
      <w:r w:rsidR="00CD5C77" w:rsidRPr="000E392B">
        <w:t>owner</w:t>
      </w:r>
      <w:r w:rsidRPr="000E392B">
        <w:t xml:space="preserve"> must submit</w:t>
      </w:r>
      <w:r w:rsidR="00CD5C77" w:rsidRPr="000E392B">
        <w:t xml:space="preserve"> to HUD</w:t>
      </w:r>
      <w:r w:rsidRPr="000E392B">
        <w:t xml:space="preserve"> evidence that the</w:t>
      </w:r>
      <w:r w:rsidR="00CD5C77" w:rsidRPr="000E392B">
        <w:t xml:space="preserve"> specified</w:t>
      </w:r>
      <w:r w:rsidR="00C33DE1" w:rsidRPr="000E392B">
        <w:t>, independent</w:t>
      </w:r>
      <w:r w:rsidRPr="000E392B">
        <w:t xml:space="preserve"> green building standard has been achieved</w:t>
      </w:r>
      <w:r w:rsidR="006103DE" w:rsidRPr="000E392B">
        <w:t xml:space="preserve">, and </w:t>
      </w:r>
      <w:r w:rsidR="009736F0" w:rsidRPr="000E392B">
        <w:t>provide a copy of the Portfolio Manager report showing building performance at or above 75</w:t>
      </w:r>
      <w:r w:rsidR="00C33DE1" w:rsidRPr="000E392B">
        <w:t xml:space="preserve">, when those standards have been achieved, and no more than </w:t>
      </w:r>
      <w:r w:rsidR="00BA2C82">
        <w:t>15</w:t>
      </w:r>
      <w:r w:rsidR="00BA2C82" w:rsidRPr="000E392B">
        <w:t xml:space="preserve"> </w:t>
      </w:r>
      <w:r w:rsidR="00C33DE1" w:rsidRPr="000E392B">
        <w:t>months after completion of</w:t>
      </w:r>
      <w:r w:rsidR="00FE3CB1" w:rsidRPr="000E392B">
        <w:t xml:space="preserve"> new</w:t>
      </w:r>
      <w:r w:rsidR="00C33DE1" w:rsidRPr="000E392B">
        <w:t xml:space="preserve"> </w:t>
      </w:r>
      <w:r w:rsidR="00FE3CB1" w:rsidRPr="000E392B">
        <w:t xml:space="preserve">construction, substantial rehabilitation or </w:t>
      </w:r>
      <w:r w:rsidR="00C33DE1" w:rsidRPr="000E392B">
        <w:t>renovations</w:t>
      </w:r>
      <w:r w:rsidR="00BA2C82">
        <w:t xml:space="preserve">, or 15 months </w:t>
      </w:r>
      <w:r w:rsidR="00941074">
        <w:t>after break-even occupancy</w:t>
      </w:r>
      <w:r w:rsidR="00A646DB" w:rsidRPr="000E392B">
        <w:t>.</w:t>
      </w:r>
      <w:r w:rsidRPr="000E392B">
        <w:t xml:space="preserve"> </w:t>
      </w:r>
      <w:r w:rsidR="001B3C83" w:rsidRPr="000E392B">
        <w:t>If not achieved, HUD may impose protocols to ensure the owner brings the property into compliance, similar to protocols used by REAC for unacceptable property standards.</w:t>
      </w:r>
      <w:r w:rsidR="004258BB">
        <w:t xml:space="preserve"> The owner must submit the Portfolio Manager report annually</w:t>
      </w:r>
      <w:r w:rsidR="003C6D37">
        <w:t xml:space="preserve"> </w:t>
      </w:r>
      <w:r w:rsidR="004258BB">
        <w:t xml:space="preserve">to HUD showing that the property has maintained its efficiency performance. </w:t>
      </w:r>
      <w:r w:rsidR="00B36318">
        <w:t xml:space="preserve"> Note that properties of less than 20 units may qualify for this MIP rate by achieving an </w:t>
      </w:r>
      <w:r w:rsidR="00B36318" w:rsidRPr="000E392B">
        <w:t>industry-recognized standard for green building</w:t>
      </w:r>
      <w:r w:rsidR="00B36318">
        <w:t xml:space="preserve">, as described above, but are exempt from the requirement to achieve </w:t>
      </w:r>
      <w:r w:rsidR="00B36318" w:rsidRPr="000E392B">
        <w:t>a score of 75 or better on the 1-100 ENERGY STAR score</w:t>
      </w:r>
      <w:r w:rsidR="00B36318">
        <w:t>.</w:t>
      </w:r>
    </w:p>
    <w:p w:rsidR="00B75B69" w:rsidRDefault="00B75B69" w:rsidP="00B034A7">
      <w:pPr>
        <w:autoSpaceDE w:val="0"/>
        <w:autoSpaceDN w:val="0"/>
        <w:adjustRightInd w:val="0"/>
        <w:spacing w:line="480" w:lineRule="auto"/>
        <w:ind w:firstLine="720"/>
        <w:rPr>
          <w:rFonts w:ascii="Times New Roman" w:hAnsi="Times New Roman"/>
          <w:sz w:val="24"/>
          <w:szCs w:val="24"/>
        </w:rPr>
      </w:pPr>
      <w:r w:rsidRPr="000E392B">
        <w:rPr>
          <w:rFonts w:ascii="Times New Roman" w:hAnsi="Times New Roman"/>
          <w:sz w:val="24"/>
          <w:szCs w:val="24"/>
        </w:rPr>
        <w:t xml:space="preserve">To ensure that the benefits of these MIP rates directly benefit the properties and residents, lenders submitting applications for loans using this MIP rate are limited in the total loan fees </w:t>
      </w:r>
      <w:r w:rsidRPr="000E392B">
        <w:rPr>
          <w:rFonts w:ascii="Times New Roman" w:hAnsi="Times New Roman"/>
          <w:sz w:val="24"/>
          <w:szCs w:val="24"/>
        </w:rPr>
        <w:lastRenderedPageBreak/>
        <w:t>they may charge on any loan greater than $2</w:t>
      </w:r>
      <w:r w:rsidR="00C2451C">
        <w:rPr>
          <w:rFonts w:ascii="Times New Roman" w:hAnsi="Times New Roman"/>
          <w:sz w:val="24"/>
          <w:szCs w:val="24"/>
        </w:rPr>
        <w:t xml:space="preserve"> million</w:t>
      </w:r>
      <w:r w:rsidRPr="000E392B">
        <w:rPr>
          <w:rFonts w:ascii="Times New Roman" w:hAnsi="Times New Roman"/>
          <w:sz w:val="24"/>
          <w:szCs w:val="24"/>
        </w:rPr>
        <w:t xml:space="preserve">, to no more than </w:t>
      </w:r>
      <w:r w:rsidR="00652E8D">
        <w:rPr>
          <w:rFonts w:ascii="Times New Roman" w:hAnsi="Times New Roman"/>
          <w:sz w:val="24"/>
          <w:szCs w:val="24"/>
        </w:rPr>
        <w:t>5</w:t>
      </w:r>
      <w:r w:rsidRPr="000E392B">
        <w:rPr>
          <w:rFonts w:ascii="Times New Roman" w:hAnsi="Times New Roman"/>
          <w:sz w:val="24"/>
          <w:szCs w:val="24"/>
        </w:rPr>
        <w:t xml:space="preserve"> percent of the insured loan amount. </w:t>
      </w:r>
      <w:r w:rsidR="00652E8D">
        <w:rPr>
          <w:rFonts w:ascii="Times New Roman" w:hAnsi="Times New Roman"/>
          <w:sz w:val="24"/>
          <w:szCs w:val="24"/>
        </w:rPr>
        <w:t xml:space="preserve"> </w:t>
      </w:r>
      <w:r w:rsidRPr="000E392B">
        <w:rPr>
          <w:rFonts w:ascii="Times New Roman" w:hAnsi="Times New Roman"/>
          <w:sz w:val="24"/>
          <w:szCs w:val="24"/>
        </w:rPr>
        <w:t xml:space="preserve">Loan fees include (a) origination and placement fees as permitted by the MAP Guide, </w:t>
      </w:r>
      <w:r w:rsidRPr="00B034A7">
        <w:rPr>
          <w:rFonts w:ascii="Times New Roman" w:hAnsi="Times New Roman"/>
          <w:sz w:val="24"/>
          <w:szCs w:val="24"/>
          <w:u w:val="single"/>
        </w:rPr>
        <w:t>plus</w:t>
      </w:r>
      <w:r w:rsidRPr="000E392B">
        <w:rPr>
          <w:rFonts w:ascii="Times New Roman" w:hAnsi="Times New Roman"/>
          <w:sz w:val="24"/>
          <w:szCs w:val="24"/>
        </w:rPr>
        <w:t xml:space="preserve"> (b) trade profit, trade premium or marketing gain earn</w:t>
      </w:r>
      <w:r w:rsidR="00F44FA4" w:rsidRPr="000E392B">
        <w:rPr>
          <w:rFonts w:ascii="Times New Roman" w:hAnsi="Times New Roman"/>
          <w:sz w:val="24"/>
          <w:szCs w:val="24"/>
        </w:rPr>
        <w:t xml:space="preserve">ed on the sale of the GNMA </w:t>
      </w:r>
      <w:r w:rsidRPr="000E392B">
        <w:rPr>
          <w:rFonts w:ascii="Times New Roman" w:hAnsi="Times New Roman"/>
          <w:sz w:val="24"/>
          <w:szCs w:val="24"/>
        </w:rPr>
        <w:t xml:space="preserve">security at a value above par, even if the security sale is delayed until after endorsement, </w:t>
      </w:r>
      <w:r w:rsidRPr="00B034A7">
        <w:rPr>
          <w:rFonts w:ascii="Times New Roman" w:hAnsi="Times New Roman"/>
          <w:sz w:val="24"/>
          <w:szCs w:val="24"/>
          <w:u w:val="single"/>
        </w:rPr>
        <w:t>minus</w:t>
      </w:r>
      <w:r w:rsidRPr="000E392B">
        <w:rPr>
          <w:rFonts w:ascii="Times New Roman" w:hAnsi="Times New Roman"/>
          <w:sz w:val="24"/>
          <w:szCs w:val="24"/>
        </w:rPr>
        <w:t xml:space="preserve"> (c) loan fees applied by the Mortgagee to its legal expenses incurred in connection with loan closing.</w:t>
      </w:r>
    </w:p>
    <w:p w:rsidR="00C350D4" w:rsidRDefault="00951D85" w:rsidP="00B034A7">
      <w:pPr>
        <w:autoSpaceDE w:val="0"/>
        <w:autoSpaceDN w:val="0"/>
        <w:adjustRightInd w:val="0"/>
        <w:spacing w:line="480" w:lineRule="auto"/>
        <w:ind w:firstLine="720"/>
        <w:rPr>
          <w:rFonts w:ascii="Times New Roman" w:hAnsi="Times New Roman"/>
          <w:sz w:val="24"/>
          <w:szCs w:val="24"/>
        </w:rPr>
      </w:pPr>
      <w:r>
        <w:rPr>
          <w:rFonts w:ascii="Times New Roman" w:hAnsi="Times New Roman"/>
          <w:i/>
          <w:sz w:val="24"/>
          <w:szCs w:val="24"/>
        </w:rPr>
        <w:t>Change:</w:t>
      </w:r>
      <w:r>
        <w:rPr>
          <w:rFonts w:ascii="Times New Roman" w:hAnsi="Times New Roman"/>
          <w:sz w:val="24"/>
          <w:szCs w:val="24"/>
        </w:rPr>
        <w:t xml:space="preserve">  </w:t>
      </w:r>
      <w:r w:rsidRPr="00951D85">
        <w:rPr>
          <w:rFonts w:ascii="Times New Roman" w:hAnsi="Times New Roman"/>
          <w:sz w:val="24"/>
          <w:szCs w:val="24"/>
        </w:rPr>
        <w:t xml:space="preserve">In response to public comments, HUD </w:t>
      </w:r>
      <w:r w:rsidR="00C350D4">
        <w:rPr>
          <w:rFonts w:ascii="Times New Roman" w:hAnsi="Times New Roman"/>
          <w:sz w:val="24"/>
          <w:szCs w:val="24"/>
        </w:rPr>
        <w:t>makes the following changes:</w:t>
      </w:r>
    </w:p>
    <w:p w:rsidR="00E959C1" w:rsidRPr="00E959C1" w:rsidRDefault="00E959C1" w:rsidP="00C350D4">
      <w:pPr>
        <w:pStyle w:val="ListParagraph"/>
        <w:numPr>
          <w:ilvl w:val="0"/>
          <w:numId w:val="17"/>
        </w:numPr>
        <w:autoSpaceDE w:val="0"/>
        <w:autoSpaceDN w:val="0"/>
        <w:adjustRightInd w:val="0"/>
        <w:spacing w:line="480" w:lineRule="auto"/>
      </w:pPr>
      <w:r>
        <w:rPr>
          <w:bCs/>
        </w:rPr>
        <w:t>Deletes</w:t>
      </w:r>
      <w:r w:rsidRPr="00AF2F9F">
        <w:rPr>
          <w:rFonts w:eastAsia="Arial Unicode MS"/>
        </w:rPr>
        <w:t xml:space="preserve"> the phrase "and maintain" in reference to</w:t>
      </w:r>
      <w:r>
        <w:rPr>
          <w:rFonts w:eastAsia="Arial Unicode MS"/>
        </w:rPr>
        <w:t xml:space="preserve"> the owner providing evidence that the project has achieved an industry- recognized standard for green building. </w:t>
      </w:r>
      <w:r w:rsidRPr="00AF2F9F">
        <w:rPr>
          <w:rFonts w:eastAsia="Arial Unicode MS"/>
        </w:rPr>
        <w:t xml:space="preserve"> </w:t>
      </w:r>
    </w:p>
    <w:p w:rsidR="00C350D4" w:rsidRPr="00C350D4" w:rsidRDefault="00C350D4" w:rsidP="00C350D4">
      <w:pPr>
        <w:pStyle w:val="ListParagraph"/>
        <w:numPr>
          <w:ilvl w:val="0"/>
          <w:numId w:val="17"/>
        </w:numPr>
        <w:autoSpaceDE w:val="0"/>
        <w:autoSpaceDN w:val="0"/>
        <w:adjustRightInd w:val="0"/>
        <w:spacing w:line="480" w:lineRule="auto"/>
      </w:pPr>
      <w:r>
        <w:rPr>
          <w:bCs/>
        </w:rPr>
        <w:t>Adds to the list of certifications</w:t>
      </w:r>
      <w:r w:rsidRPr="00AF2F9F">
        <w:rPr>
          <w:bCs/>
        </w:rPr>
        <w:t xml:space="preserve"> Passive House certifications, </w:t>
      </w:r>
      <w:r w:rsidRPr="00AF2F9F">
        <w:rPr>
          <w:rFonts w:eastAsia="Arial"/>
          <w:spacing w:val="-2"/>
        </w:rPr>
        <w:t>LEED for Existing Buildings: Operations &amp; Maintenance, and Living B</w:t>
      </w:r>
      <w:r>
        <w:rPr>
          <w:rFonts w:eastAsia="Arial"/>
          <w:spacing w:val="-2"/>
        </w:rPr>
        <w:t>uilding Challenge Certification; and clarifies that other industry-recognized green building standards will be approved at the discretion of HUD’s Office of Multifamily Production.</w:t>
      </w:r>
    </w:p>
    <w:p w:rsidR="00C350D4" w:rsidRDefault="00C350D4" w:rsidP="00C350D4">
      <w:pPr>
        <w:pStyle w:val="ListParagraph"/>
        <w:numPr>
          <w:ilvl w:val="0"/>
          <w:numId w:val="17"/>
        </w:numPr>
        <w:autoSpaceDE w:val="0"/>
        <w:autoSpaceDN w:val="0"/>
        <w:adjustRightInd w:val="0"/>
        <w:spacing w:line="480" w:lineRule="auto"/>
      </w:pPr>
      <w:r>
        <w:rPr>
          <w:bCs/>
        </w:rPr>
        <w:t>Clarifies that a</w:t>
      </w:r>
      <w:r w:rsidRPr="00AF2F9F">
        <w:rPr>
          <w:bCs/>
        </w:rPr>
        <w:t xml:space="preserve"> CNA provider </w:t>
      </w:r>
      <w:r>
        <w:rPr>
          <w:bCs/>
        </w:rPr>
        <w:t xml:space="preserve">may only certify a physical condition assessment report </w:t>
      </w:r>
      <w:r w:rsidRPr="00AF2F9F">
        <w:rPr>
          <w:bCs/>
        </w:rPr>
        <w:t>if appropriately credentialed, in their capacity as architect, engineer, energy auditor, and/or approved certifier under the specified green building standard.</w:t>
      </w:r>
    </w:p>
    <w:p w:rsidR="00C350D4" w:rsidRDefault="00C350D4" w:rsidP="00C350D4">
      <w:pPr>
        <w:pStyle w:val="ListParagraph"/>
        <w:numPr>
          <w:ilvl w:val="0"/>
          <w:numId w:val="17"/>
        </w:numPr>
        <w:autoSpaceDE w:val="0"/>
        <w:autoSpaceDN w:val="0"/>
        <w:adjustRightInd w:val="0"/>
        <w:spacing w:line="480" w:lineRule="auto"/>
      </w:pPr>
      <w:r>
        <w:t>A</w:t>
      </w:r>
      <w:r w:rsidR="00951D85" w:rsidRPr="00C350D4">
        <w:t xml:space="preserve">mends the time frame for providing the report showing compliance with building performance after completion of new construction, substantial rehabilitation, or renovations from no more than 12 months to no more than 15 months.  HUD also provides that such report may be provided 15 months after break-even occupancy.  </w:t>
      </w:r>
    </w:p>
    <w:p w:rsidR="00C350D4" w:rsidRDefault="00C350D4" w:rsidP="00C350D4">
      <w:pPr>
        <w:pStyle w:val="ListParagraph"/>
        <w:numPr>
          <w:ilvl w:val="0"/>
          <w:numId w:val="17"/>
        </w:numPr>
        <w:autoSpaceDE w:val="0"/>
        <w:autoSpaceDN w:val="0"/>
        <w:adjustRightInd w:val="0"/>
        <w:spacing w:line="480" w:lineRule="auto"/>
      </w:pPr>
      <w:r>
        <w:lastRenderedPageBreak/>
        <w:t>Requires that</w:t>
      </w:r>
      <w:r w:rsidR="00951D85" w:rsidRPr="00C350D4">
        <w:t xml:space="preserve"> owner</w:t>
      </w:r>
      <w:r>
        <w:t>s</w:t>
      </w:r>
      <w:r w:rsidR="00951D85" w:rsidRPr="00C350D4">
        <w:t xml:space="preserve"> submit the Portfolio Manager report annually to HUD showing that the property has maintained its efficiency performance</w:t>
      </w:r>
      <w:r>
        <w:t>.</w:t>
      </w:r>
    </w:p>
    <w:p w:rsidR="00E66D78" w:rsidRDefault="00C350D4" w:rsidP="00C350D4">
      <w:pPr>
        <w:pStyle w:val="ListParagraph"/>
        <w:numPr>
          <w:ilvl w:val="0"/>
          <w:numId w:val="17"/>
        </w:numPr>
        <w:autoSpaceDE w:val="0"/>
        <w:autoSpaceDN w:val="0"/>
        <w:adjustRightInd w:val="0"/>
        <w:spacing w:line="480" w:lineRule="auto"/>
      </w:pPr>
      <w:r>
        <w:rPr>
          <w:bCs/>
        </w:rPr>
        <w:t>Provides that while s</w:t>
      </w:r>
      <w:r w:rsidR="00E66D78" w:rsidRPr="00C350D4">
        <w:rPr>
          <w:bCs/>
        </w:rPr>
        <w:t xml:space="preserve">mall properties (under 20 units) must meet one of the recognized independent green building/energy efficiency standards in order to access the Green/Energy Efficient MIP rate, </w:t>
      </w:r>
      <w:r>
        <w:rPr>
          <w:bCs/>
        </w:rPr>
        <w:t>s</w:t>
      </w:r>
      <w:r w:rsidRPr="00C350D4">
        <w:rPr>
          <w:bCs/>
        </w:rPr>
        <w:t xml:space="preserve">mall properties </w:t>
      </w:r>
      <w:r>
        <w:t xml:space="preserve">are exempt from the requirement to achieve </w:t>
      </w:r>
      <w:r w:rsidRPr="000E392B">
        <w:t>a score of 75 or better on the 1-100 ENERGY STAR score</w:t>
      </w:r>
      <w:r>
        <w:t>.</w:t>
      </w:r>
    </w:p>
    <w:p w:rsidR="00E4441D" w:rsidRPr="00B034A7" w:rsidRDefault="00E11A0C" w:rsidP="00B034A7">
      <w:pPr>
        <w:kinsoku w:val="0"/>
        <w:overflowPunct w:val="0"/>
        <w:spacing w:line="480" w:lineRule="auto"/>
        <w:textAlignment w:val="baseline"/>
        <w:rPr>
          <w:rFonts w:ascii="Times New Roman" w:hAnsi="Times New Roman"/>
          <w:b/>
          <w:i/>
          <w:iCs/>
          <w:sz w:val="24"/>
          <w:szCs w:val="24"/>
        </w:rPr>
      </w:pPr>
      <w:r>
        <w:rPr>
          <w:rFonts w:ascii="Times New Roman" w:hAnsi="Times New Roman"/>
          <w:b/>
          <w:sz w:val="24"/>
          <w:szCs w:val="24"/>
        </w:rPr>
        <w:t>IV</w:t>
      </w:r>
      <w:r w:rsidR="00D53676" w:rsidRPr="00B034A7">
        <w:rPr>
          <w:rFonts w:ascii="Times New Roman" w:hAnsi="Times New Roman"/>
          <w:b/>
          <w:sz w:val="24"/>
          <w:szCs w:val="24"/>
        </w:rPr>
        <w:t xml:space="preserve">. </w:t>
      </w:r>
      <w:r w:rsidR="00B034A7" w:rsidRPr="00B034A7">
        <w:rPr>
          <w:rFonts w:ascii="Times New Roman" w:hAnsi="Times New Roman"/>
          <w:b/>
          <w:sz w:val="24"/>
          <w:szCs w:val="24"/>
        </w:rPr>
        <w:t xml:space="preserve"> </w:t>
      </w:r>
      <w:r w:rsidR="00E4441D" w:rsidRPr="00B034A7">
        <w:rPr>
          <w:rFonts w:ascii="Times New Roman" w:hAnsi="Times New Roman"/>
          <w:b/>
          <w:iCs/>
          <w:sz w:val="24"/>
          <w:szCs w:val="24"/>
        </w:rPr>
        <w:t xml:space="preserve">MIPs for </w:t>
      </w:r>
      <w:r w:rsidR="00CF5B71">
        <w:rPr>
          <w:rFonts w:ascii="Times New Roman" w:hAnsi="Times New Roman"/>
          <w:b/>
          <w:iCs/>
          <w:sz w:val="24"/>
          <w:szCs w:val="24"/>
        </w:rPr>
        <w:t xml:space="preserve">Certain </w:t>
      </w:r>
      <w:r w:rsidR="00E4441D" w:rsidRPr="00B034A7">
        <w:rPr>
          <w:rFonts w:ascii="Times New Roman" w:hAnsi="Times New Roman"/>
          <w:b/>
          <w:iCs/>
          <w:sz w:val="24"/>
          <w:szCs w:val="24"/>
        </w:rPr>
        <w:t xml:space="preserve">FHA’s </w:t>
      </w:r>
      <w:r w:rsidR="00880FD2" w:rsidRPr="00B034A7">
        <w:rPr>
          <w:rFonts w:ascii="Times New Roman" w:hAnsi="Times New Roman"/>
          <w:b/>
          <w:iCs/>
          <w:sz w:val="24"/>
          <w:szCs w:val="24"/>
        </w:rPr>
        <w:t xml:space="preserve">Multifamily </w:t>
      </w:r>
      <w:r w:rsidR="00E4441D" w:rsidRPr="00B034A7">
        <w:rPr>
          <w:rFonts w:ascii="Times New Roman" w:hAnsi="Times New Roman"/>
          <w:b/>
          <w:iCs/>
          <w:sz w:val="24"/>
          <w:szCs w:val="24"/>
        </w:rPr>
        <w:t xml:space="preserve">Mortgage Insurance Programs for </w:t>
      </w:r>
      <w:r w:rsidR="00EC57B4">
        <w:rPr>
          <w:rFonts w:ascii="Times New Roman" w:hAnsi="Times New Roman"/>
          <w:b/>
          <w:iCs/>
          <w:sz w:val="24"/>
          <w:szCs w:val="24"/>
        </w:rPr>
        <w:t>April 1, 2016</w:t>
      </w:r>
    </w:p>
    <w:p w:rsidR="00B034A7" w:rsidRDefault="003D1A16" w:rsidP="00B034A7">
      <w:pPr>
        <w:kinsoku w:val="0"/>
        <w:overflowPunct w:val="0"/>
        <w:spacing w:line="480" w:lineRule="auto"/>
        <w:ind w:firstLine="720"/>
        <w:textAlignment w:val="baseline"/>
        <w:rPr>
          <w:rFonts w:ascii="Times New Roman" w:hAnsi="Times New Roman"/>
          <w:spacing w:val="8"/>
          <w:sz w:val="24"/>
          <w:szCs w:val="24"/>
        </w:rPr>
      </w:pPr>
      <w:r w:rsidRPr="000E392B">
        <w:rPr>
          <w:rFonts w:ascii="Times New Roman" w:hAnsi="Times New Roman"/>
          <w:sz w:val="24"/>
          <w:szCs w:val="24"/>
        </w:rPr>
        <w:t>HUD is chang</w:t>
      </w:r>
      <w:r w:rsidR="00737D5A">
        <w:rPr>
          <w:rFonts w:ascii="Times New Roman" w:hAnsi="Times New Roman"/>
          <w:sz w:val="24"/>
          <w:szCs w:val="24"/>
        </w:rPr>
        <w:t>ing</w:t>
      </w:r>
      <w:r w:rsidRPr="000E392B">
        <w:rPr>
          <w:rFonts w:ascii="Times New Roman" w:hAnsi="Times New Roman"/>
          <w:sz w:val="24"/>
          <w:szCs w:val="24"/>
        </w:rPr>
        <w:t xml:space="preserve"> </w:t>
      </w:r>
      <w:r w:rsidR="00FA5B70" w:rsidRPr="000E392B">
        <w:rPr>
          <w:rFonts w:ascii="Times New Roman" w:hAnsi="Times New Roman"/>
          <w:sz w:val="24"/>
          <w:szCs w:val="24"/>
        </w:rPr>
        <w:t>MIP</w:t>
      </w:r>
      <w:r w:rsidR="00F44FA4" w:rsidRPr="000E392B">
        <w:rPr>
          <w:rFonts w:ascii="Times New Roman" w:hAnsi="Times New Roman"/>
          <w:sz w:val="24"/>
          <w:szCs w:val="24"/>
        </w:rPr>
        <w:t>s</w:t>
      </w:r>
      <w:r w:rsidRPr="000E392B">
        <w:rPr>
          <w:rFonts w:ascii="Times New Roman" w:hAnsi="Times New Roman"/>
          <w:sz w:val="24"/>
          <w:szCs w:val="24"/>
        </w:rPr>
        <w:t xml:space="preserve"> for FHA-insured loans on properties under specific Multifamily Mortgage Insurance pr</w:t>
      </w:r>
      <w:r w:rsidR="002D5AEE" w:rsidRPr="000E392B">
        <w:rPr>
          <w:rFonts w:ascii="Times New Roman" w:hAnsi="Times New Roman"/>
          <w:sz w:val="24"/>
          <w:szCs w:val="24"/>
        </w:rPr>
        <w:t>ograms</w:t>
      </w:r>
      <w:r w:rsidRPr="000E392B">
        <w:rPr>
          <w:rFonts w:ascii="Times New Roman" w:hAnsi="Times New Roman"/>
          <w:sz w:val="24"/>
          <w:szCs w:val="24"/>
        </w:rPr>
        <w:t>.  The chart below details the MIP rates for each rate category, and each type of FHA multifamily</w:t>
      </w:r>
      <w:r w:rsidR="00E34304" w:rsidRPr="000E392B">
        <w:rPr>
          <w:rFonts w:ascii="Times New Roman" w:hAnsi="Times New Roman"/>
          <w:sz w:val="24"/>
          <w:szCs w:val="24"/>
        </w:rPr>
        <w:t xml:space="preserve"> mortgage insurance </w:t>
      </w:r>
      <w:r w:rsidR="00F44FA4" w:rsidRPr="000E392B">
        <w:rPr>
          <w:rFonts w:ascii="Times New Roman" w:hAnsi="Times New Roman"/>
          <w:sz w:val="24"/>
          <w:szCs w:val="24"/>
        </w:rPr>
        <w:t>covered under this Notice</w:t>
      </w:r>
      <w:r w:rsidR="00E34304" w:rsidRPr="000E392B">
        <w:rPr>
          <w:rFonts w:ascii="Times New Roman" w:hAnsi="Times New Roman"/>
          <w:sz w:val="24"/>
          <w:szCs w:val="24"/>
        </w:rPr>
        <w:t>.  The</w:t>
      </w:r>
      <w:r w:rsidR="00795898" w:rsidRPr="000E392B">
        <w:rPr>
          <w:rFonts w:ascii="Times New Roman" w:hAnsi="Times New Roman"/>
          <w:sz w:val="24"/>
          <w:szCs w:val="24"/>
        </w:rPr>
        <w:t>se</w:t>
      </w:r>
      <w:r w:rsidR="00E34304" w:rsidRPr="000E392B">
        <w:rPr>
          <w:rFonts w:ascii="Times New Roman" w:hAnsi="Times New Roman"/>
          <w:sz w:val="24"/>
          <w:szCs w:val="24"/>
        </w:rPr>
        <w:t xml:space="preserve"> programs are administered by FHA’s Office of Multifamily Housing Programs.  This Notice does not change MIP rates for programs under FHA’s Office of Healthcare Programs, including health care facilities and the hospital insurance programs.  </w:t>
      </w:r>
      <w:r w:rsidRPr="000E392B">
        <w:rPr>
          <w:rFonts w:ascii="Times New Roman" w:hAnsi="Times New Roman"/>
          <w:spacing w:val="8"/>
          <w:sz w:val="24"/>
          <w:szCs w:val="24"/>
        </w:rPr>
        <w:t xml:space="preserve"> </w:t>
      </w:r>
    </w:p>
    <w:p w:rsidR="00B034A7" w:rsidRDefault="00B034A7">
      <w:pPr>
        <w:spacing w:after="200" w:line="276" w:lineRule="auto"/>
        <w:rPr>
          <w:rFonts w:ascii="Times New Roman" w:hAnsi="Times New Roman"/>
          <w:spacing w:val="8"/>
          <w:sz w:val="24"/>
          <w:szCs w:val="24"/>
        </w:rPr>
      </w:pPr>
      <w:r>
        <w:rPr>
          <w:rFonts w:ascii="Times New Roman" w:hAnsi="Times New Roman"/>
          <w:spacing w:val="8"/>
          <w:sz w:val="24"/>
          <w:szCs w:val="24"/>
        </w:rPr>
        <w:br w:type="page"/>
      </w:r>
    </w:p>
    <w:tbl>
      <w:tblPr>
        <w:tblpPr w:leftFromText="180" w:rightFromText="180" w:vertAnchor="text" w:horzAnchor="margin" w:tblpXSpec="center" w:tblpY="113"/>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158"/>
        <w:gridCol w:w="1152"/>
        <w:gridCol w:w="1440"/>
        <w:gridCol w:w="1170"/>
        <w:gridCol w:w="1440"/>
      </w:tblGrid>
      <w:tr w:rsidR="00E43D1A" w:rsidRPr="003E10C5" w:rsidTr="00EC57B4">
        <w:trPr>
          <w:tblHeader/>
        </w:trPr>
        <w:tc>
          <w:tcPr>
            <w:tcW w:w="1638" w:type="dxa"/>
            <w:tcBorders>
              <w:right w:val="nil"/>
            </w:tcBorders>
            <w:shd w:val="clear" w:color="auto" w:fill="FFFFFF" w:themeFill="background1"/>
          </w:tcPr>
          <w:p w:rsidR="00E43D1A" w:rsidRPr="003E10C5" w:rsidRDefault="00E43D1A" w:rsidP="005332C9">
            <w:pPr>
              <w:keepNext/>
              <w:spacing w:after="200" w:line="276" w:lineRule="auto"/>
              <w:jc w:val="center"/>
              <w:outlineLvl w:val="4"/>
              <w:rPr>
                <w:rFonts w:ascii="Times New Roman" w:eastAsiaTheme="minorHAnsi" w:hAnsi="Times New Roman"/>
                <w:b/>
                <w:sz w:val="24"/>
                <w:szCs w:val="24"/>
              </w:rPr>
            </w:pPr>
          </w:p>
        </w:tc>
        <w:tc>
          <w:tcPr>
            <w:tcW w:w="9360" w:type="dxa"/>
            <w:gridSpan w:val="5"/>
            <w:tcBorders>
              <w:left w:val="nil"/>
            </w:tcBorders>
            <w:shd w:val="clear" w:color="auto" w:fill="FFFFFF" w:themeFill="background1"/>
            <w:vAlign w:val="center"/>
          </w:tcPr>
          <w:p w:rsidR="00E43D1A" w:rsidRPr="00B034A7" w:rsidRDefault="00E43D1A" w:rsidP="005332C9">
            <w:pPr>
              <w:keepNext/>
              <w:spacing w:after="200" w:line="276" w:lineRule="auto"/>
              <w:jc w:val="center"/>
              <w:outlineLvl w:val="4"/>
              <w:rPr>
                <w:rFonts w:ascii="Times New Roman" w:eastAsiaTheme="minorHAnsi" w:hAnsi="Times New Roman"/>
                <w:b/>
                <w:bCs/>
                <w:sz w:val="24"/>
                <w:szCs w:val="24"/>
              </w:rPr>
            </w:pPr>
            <w:r w:rsidRPr="00B034A7">
              <w:rPr>
                <w:rFonts w:ascii="Times New Roman" w:eastAsiaTheme="minorHAnsi" w:hAnsi="Times New Roman"/>
                <w:b/>
                <w:sz w:val="24"/>
                <w:szCs w:val="24"/>
              </w:rPr>
              <w:t>FHA Multifamily Mortgage Insurance Premiums By Rate Category</w:t>
            </w:r>
          </w:p>
        </w:tc>
      </w:tr>
      <w:tr w:rsidR="005332C9" w:rsidRPr="003E10C5" w:rsidTr="00EC57B4">
        <w:trPr>
          <w:trHeight w:val="1550"/>
          <w:tblHeader/>
        </w:trPr>
        <w:tc>
          <w:tcPr>
            <w:tcW w:w="5796" w:type="dxa"/>
            <w:gridSpan w:val="2"/>
            <w:shd w:val="clear" w:color="auto" w:fill="FFFFFF" w:themeFill="background1"/>
          </w:tcPr>
          <w:p w:rsidR="00E43D1A" w:rsidRPr="00B034A7" w:rsidRDefault="00E43D1A" w:rsidP="005332C9">
            <w:pPr>
              <w:jc w:val="center"/>
              <w:rPr>
                <w:rFonts w:ascii="Times New Roman" w:eastAsiaTheme="minorHAnsi" w:hAnsi="Times New Roman"/>
                <w:bCs/>
                <w:sz w:val="24"/>
                <w:szCs w:val="24"/>
              </w:rPr>
            </w:pPr>
          </w:p>
          <w:p w:rsidR="00E43D1A" w:rsidRPr="00B034A7" w:rsidRDefault="00E43D1A" w:rsidP="005332C9">
            <w:pPr>
              <w:jc w:val="center"/>
              <w:rPr>
                <w:rFonts w:ascii="Times New Roman" w:eastAsiaTheme="minorHAnsi" w:hAnsi="Times New Roman"/>
                <w:b/>
                <w:sz w:val="24"/>
                <w:szCs w:val="24"/>
              </w:rPr>
            </w:pPr>
            <w:r w:rsidRPr="00B034A7">
              <w:rPr>
                <w:rFonts w:ascii="Times New Roman" w:eastAsiaTheme="minorHAnsi" w:hAnsi="Times New Roman"/>
                <w:b/>
                <w:bCs/>
                <w:sz w:val="24"/>
                <w:szCs w:val="24"/>
              </w:rPr>
              <w:t>FHA Multifamily Mortgage Insurance Program</w:t>
            </w:r>
          </w:p>
        </w:tc>
        <w:tc>
          <w:tcPr>
            <w:tcW w:w="1152" w:type="dxa"/>
            <w:shd w:val="clear" w:color="auto" w:fill="FFFFFF" w:themeFill="background1"/>
          </w:tcPr>
          <w:p w:rsidR="00E43D1A" w:rsidRPr="00B034A7" w:rsidRDefault="00E43D1A" w:rsidP="005332C9">
            <w:pPr>
              <w:keepNext/>
              <w:jc w:val="center"/>
              <w:outlineLvl w:val="4"/>
              <w:rPr>
                <w:rFonts w:ascii="Times New Roman" w:eastAsiaTheme="minorHAnsi" w:hAnsi="Times New Roman"/>
                <w:b/>
                <w:bCs/>
                <w:sz w:val="24"/>
                <w:szCs w:val="24"/>
              </w:rPr>
            </w:pPr>
            <w:r w:rsidRPr="00B034A7">
              <w:rPr>
                <w:rFonts w:ascii="Times New Roman" w:eastAsiaTheme="minorHAnsi" w:hAnsi="Times New Roman"/>
                <w:b/>
                <w:bCs/>
                <w:sz w:val="24"/>
                <w:szCs w:val="24"/>
              </w:rPr>
              <w:t>Current Upfront Capitalized MIP*</w:t>
            </w:r>
          </w:p>
          <w:p w:rsidR="00E43D1A" w:rsidRPr="00B034A7" w:rsidRDefault="00E43D1A" w:rsidP="005332C9">
            <w:pPr>
              <w:keepNext/>
              <w:jc w:val="center"/>
              <w:outlineLvl w:val="4"/>
              <w:rPr>
                <w:rFonts w:ascii="Times New Roman" w:eastAsiaTheme="minorHAnsi" w:hAnsi="Times New Roman"/>
                <w:b/>
                <w:bCs/>
                <w:sz w:val="24"/>
                <w:szCs w:val="24"/>
              </w:rPr>
            </w:pPr>
            <w:r w:rsidRPr="00B034A7">
              <w:rPr>
                <w:rFonts w:ascii="Times New Roman" w:eastAsiaTheme="minorHAnsi" w:hAnsi="Times New Roman"/>
                <w:b/>
                <w:bCs/>
                <w:sz w:val="24"/>
                <w:szCs w:val="24"/>
              </w:rPr>
              <w:t>Basis Points</w:t>
            </w:r>
          </w:p>
        </w:tc>
        <w:tc>
          <w:tcPr>
            <w:tcW w:w="1440" w:type="dxa"/>
            <w:shd w:val="clear" w:color="auto" w:fill="FFFFFF" w:themeFill="background1"/>
          </w:tcPr>
          <w:p w:rsidR="00E14961" w:rsidRDefault="00EC57B4" w:rsidP="005332C9">
            <w:pPr>
              <w:keepNext/>
              <w:jc w:val="center"/>
              <w:outlineLvl w:val="4"/>
              <w:rPr>
                <w:rFonts w:ascii="Times New Roman" w:eastAsiaTheme="minorHAnsi" w:hAnsi="Times New Roman"/>
                <w:b/>
                <w:bCs/>
                <w:sz w:val="24"/>
                <w:szCs w:val="24"/>
              </w:rPr>
            </w:pPr>
            <w:r>
              <w:rPr>
                <w:rFonts w:ascii="Times New Roman" w:eastAsiaTheme="minorHAnsi" w:hAnsi="Times New Roman"/>
                <w:b/>
                <w:bCs/>
                <w:sz w:val="24"/>
                <w:szCs w:val="24"/>
              </w:rPr>
              <w:t>Apr 1, 2016</w:t>
            </w:r>
          </w:p>
          <w:p w:rsidR="00E43D1A" w:rsidRPr="00B034A7" w:rsidRDefault="00E43D1A" w:rsidP="005332C9">
            <w:pPr>
              <w:keepNext/>
              <w:jc w:val="center"/>
              <w:outlineLvl w:val="4"/>
              <w:rPr>
                <w:rFonts w:ascii="Times New Roman" w:eastAsiaTheme="minorHAnsi" w:hAnsi="Times New Roman"/>
                <w:b/>
                <w:bCs/>
                <w:sz w:val="24"/>
                <w:szCs w:val="24"/>
              </w:rPr>
            </w:pPr>
            <w:r w:rsidRPr="00B034A7">
              <w:rPr>
                <w:rFonts w:ascii="Times New Roman" w:eastAsiaTheme="minorHAnsi" w:hAnsi="Times New Roman"/>
                <w:b/>
                <w:bCs/>
                <w:sz w:val="24"/>
                <w:szCs w:val="24"/>
              </w:rPr>
              <w:t xml:space="preserve">Upfront Capitalized MIP* </w:t>
            </w:r>
          </w:p>
          <w:p w:rsidR="00E43D1A" w:rsidRPr="00B034A7" w:rsidRDefault="00E43D1A" w:rsidP="005332C9">
            <w:pPr>
              <w:keepNext/>
              <w:jc w:val="center"/>
              <w:outlineLvl w:val="4"/>
              <w:rPr>
                <w:rFonts w:ascii="Times New Roman" w:eastAsiaTheme="minorHAnsi" w:hAnsi="Times New Roman"/>
                <w:b/>
                <w:bCs/>
                <w:sz w:val="24"/>
                <w:szCs w:val="24"/>
              </w:rPr>
            </w:pPr>
            <w:r w:rsidRPr="00B034A7">
              <w:rPr>
                <w:rFonts w:ascii="Times New Roman" w:eastAsiaTheme="minorHAnsi" w:hAnsi="Times New Roman"/>
                <w:b/>
                <w:bCs/>
                <w:sz w:val="24"/>
                <w:szCs w:val="24"/>
              </w:rPr>
              <w:t>Basis Points</w:t>
            </w:r>
          </w:p>
        </w:tc>
        <w:tc>
          <w:tcPr>
            <w:tcW w:w="1170" w:type="dxa"/>
            <w:shd w:val="clear" w:color="auto" w:fill="FFFFFF" w:themeFill="background1"/>
            <w:vAlign w:val="bottom"/>
          </w:tcPr>
          <w:p w:rsidR="00E43D1A" w:rsidRPr="00B034A7" w:rsidRDefault="00E43D1A" w:rsidP="005332C9">
            <w:pPr>
              <w:keepNext/>
              <w:jc w:val="center"/>
              <w:outlineLvl w:val="4"/>
              <w:rPr>
                <w:rFonts w:ascii="Times New Roman" w:eastAsiaTheme="minorHAnsi" w:hAnsi="Times New Roman"/>
                <w:b/>
                <w:bCs/>
                <w:sz w:val="24"/>
                <w:szCs w:val="24"/>
              </w:rPr>
            </w:pPr>
            <w:r w:rsidRPr="00B034A7">
              <w:rPr>
                <w:rFonts w:ascii="Times New Roman" w:eastAsiaTheme="minorHAnsi" w:hAnsi="Times New Roman"/>
                <w:b/>
                <w:bCs/>
                <w:sz w:val="24"/>
                <w:szCs w:val="24"/>
              </w:rPr>
              <w:t>Current</w:t>
            </w:r>
          </w:p>
          <w:p w:rsidR="00E43D1A" w:rsidRPr="00B034A7" w:rsidRDefault="00E43D1A" w:rsidP="005332C9">
            <w:pPr>
              <w:keepNext/>
              <w:jc w:val="center"/>
              <w:outlineLvl w:val="4"/>
              <w:rPr>
                <w:rFonts w:ascii="Times New Roman" w:eastAsiaTheme="minorHAnsi" w:hAnsi="Times New Roman"/>
                <w:b/>
                <w:bCs/>
                <w:sz w:val="24"/>
                <w:szCs w:val="24"/>
              </w:rPr>
            </w:pPr>
            <w:r w:rsidRPr="00B034A7">
              <w:rPr>
                <w:rFonts w:ascii="Times New Roman" w:eastAsiaTheme="minorHAnsi" w:hAnsi="Times New Roman"/>
                <w:b/>
                <w:bCs/>
                <w:sz w:val="24"/>
                <w:szCs w:val="24"/>
              </w:rPr>
              <w:t>Annual MIP</w:t>
            </w:r>
          </w:p>
          <w:p w:rsidR="00DE20B0" w:rsidRPr="00B034A7" w:rsidRDefault="00E43D1A" w:rsidP="005332C9">
            <w:pPr>
              <w:keepNext/>
              <w:jc w:val="center"/>
              <w:outlineLvl w:val="4"/>
              <w:rPr>
                <w:rFonts w:ascii="Times New Roman" w:eastAsiaTheme="minorHAnsi" w:hAnsi="Times New Roman"/>
                <w:b/>
                <w:bCs/>
                <w:sz w:val="24"/>
                <w:szCs w:val="24"/>
              </w:rPr>
            </w:pPr>
            <w:r w:rsidRPr="00B034A7">
              <w:rPr>
                <w:rFonts w:ascii="Times New Roman" w:eastAsiaTheme="minorHAnsi" w:hAnsi="Times New Roman"/>
                <w:b/>
                <w:bCs/>
                <w:sz w:val="24"/>
                <w:szCs w:val="24"/>
              </w:rPr>
              <w:t>Basis Points</w:t>
            </w:r>
          </w:p>
          <w:p w:rsidR="00DE20B0" w:rsidRPr="00B034A7" w:rsidRDefault="00DE20B0" w:rsidP="005332C9">
            <w:pPr>
              <w:keepNext/>
              <w:jc w:val="center"/>
              <w:outlineLvl w:val="4"/>
              <w:rPr>
                <w:rFonts w:ascii="Times New Roman" w:eastAsiaTheme="minorHAnsi" w:hAnsi="Times New Roman"/>
                <w:b/>
                <w:bCs/>
                <w:sz w:val="24"/>
                <w:szCs w:val="24"/>
              </w:rPr>
            </w:pPr>
          </w:p>
          <w:p w:rsidR="00E43D1A" w:rsidRPr="00B034A7" w:rsidRDefault="00E43D1A" w:rsidP="005332C9">
            <w:pPr>
              <w:keepNext/>
              <w:jc w:val="center"/>
              <w:outlineLvl w:val="4"/>
              <w:rPr>
                <w:rFonts w:ascii="Times New Roman" w:eastAsiaTheme="minorHAnsi" w:hAnsi="Times New Roman"/>
                <w:b/>
                <w:bCs/>
                <w:sz w:val="24"/>
                <w:szCs w:val="24"/>
              </w:rPr>
            </w:pPr>
          </w:p>
        </w:tc>
        <w:tc>
          <w:tcPr>
            <w:tcW w:w="1440" w:type="dxa"/>
            <w:shd w:val="clear" w:color="auto" w:fill="FFFFFF" w:themeFill="background1"/>
          </w:tcPr>
          <w:p w:rsidR="00E43D1A" w:rsidRPr="00B034A7" w:rsidRDefault="00E43D1A" w:rsidP="005332C9">
            <w:pPr>
              <w:keepNext/>
              <w:jc w:val="center"/>
              <w:outlineLvl w:val="4"/>
              <w:rPr>
                <w:rFonts w:ascii="Times New Roman" w:eastAsiaTheme="minorHAnsi" w:hAnsi="Times New Roman"/>
                <w:b/>
                <w:bCs/>
                <w:sz w:val="24"/>
                <w:szCs w:val="24"/>
              </w:rPr>
            </w:pPr>
          </w:p>
          <w:p w:rsidR="00E43D1A" w:rsidRPr="00B034A7" w:rsidRDefault="00EC57B4" w:rsidP="005332C9">
            <w:pPr>
              <w:keepNext/>
              <w:jc w:val="center"/>
              <w:outlineLvl w:val="4"/>
              <w:rPr>
                <w:rFonts w:ascii="Times New Roman" w:eastAsiaTheme="minorHAnsi" w:hAnsi="Times New Roman"/>
                <w:b/>
                <w:bCs/>
                <w:sz w:val="24"/>
                <w:szCs w:val="24"/>
              </w:rPr>
            </w:pPr>
            <w:r>
              <w:rPr>
                <w:rFonts w:ascii="Times New Roman" w:eastAsiaTheme="minorHAnsi" w:hAnsi="Times New Roman"/>
                <w:b/>
                <w:bCs/>
                <w:sz w:val="24"/>
                <w:szCs w:val="24"/>
              </w:rPr>
              <w:t>Apr 1, 2016</w:t>
            </w:r>
            <w:r w:rsidRPr="00B034A7">
              <w:rPr>
                <w:rFonts w:ascii="Times New Roman" w:eastAsiaTheme="minorHAnsi" w:hAnsi="Times New Roman"/>
                <w:b/>
                <w:bCs/>
                <w:sz w:val="24"/>
                <w:szCs w:val="24"/>
              </w:rPr>
              <w:t xml:space="preserve"> </w:t>
            </w:r>
            <w:r w:rsidR="00E43D1A" w:rsidRPr="00B034A7">
              <w:rPr>
                <w:rFonts w:ascii="Times New Roman" w:eastAsiaTheme="minorHAnsi" w:hAnsi="Times New Roman"/>
                <w:b/>
                <w:bCs/>
                <w:sz w:val="24"/>
                <w:szCs w:val="24"/>
              </w:rPr>
              <w:t>Annual MIP</w:t>
            </w:r>
          </w:p>
          <w:p w:rsidR="00E43D1A" w:rsidRPr="00B034A7" w:rsidRDefault="00E43D1A" w:rsidP="005332C9">
            <w:pPr>
              <w:keepNext/>
              <w:jc w:val="center"/>
              <w:outlineLvl w:val="4"/>
              <w:rPr>
                <w:rFonts w:ascii="Times New Roman" w:eastAsiaTheme="minorHAnsi" w:hAnsi="Times New Roman"/>
                <w:b/>
                <w:bCs/>
                <w:sz w:val="24"/>
                <w:szCs w:val="24"/>
              </w:rPr>
            </w:pPr>
            <w:r w:rsidRPr="00B034A7">
              <w:rPr>
                <w:rFonts w:ascii="Times New Roman" w:eastAsiaTheme="minorHAnsi" w:hAnsi="Times New Roman"/>
                <w:b/>
                <w:bCs/>
                <w:sz w:val="24"/>
                <w:szCs w:val="24"/>
              </w:rPr>
              <w:t>Basis Points</w:t>
            </w:r>
          </w:p>
        </w:tc>
      </w:tr>
      <w:tr w:rsidR="00E43D1A" w:rsidRPr="003E10C5" w:rsidTr="00EC57B4">
        <w:tc>
          <w:tcPr>
            <w:tcW w:w="5796" w:type="dxa"/>
            <w:gridSpan w:val="2"/>
          </w:tcPr>
          <w:p w:rsidR="00E43D1A" w:rsidRPr="00B034A7" w:rsidRDefault="00E43D1A" w:rsidP="005332C9">
            <w:pPr>
              <w:rPr>
                <w:rFonts w:ascii="Times New Roman" w:eastAsiaTheme="minorHAnsi" w:hAnsi="Times New Roman"/>
                <w:b/>
                <w:sz w:val="24"/>
                <w:szCs w:val="24"/>
                <w:u w:val="single"/>
              </w:rPr>
            </w:pPr>
            <w:r w:rsidRPr="00B034A7">
              <w:rPr>
                <w:rFonts w:ascii="Times New Roman" w:eastAsiaTheme="minorHAnsi" w:hAnsi="Times New Roman"/>
                <w:b/>
                <w:sz w:val="24"/>
                <w:szCs w:val="24"/>
                <w:u w:val="single"/>
              </w:rPr>
              <w:t>MARKET RATE HOUSING</w:t>
            </w:r>
          </w:p>
        </w:tc>
        <w:tc>
          <w:tcPr>
            <w:tcW w:w="1152" w:type="dxa"/>
          </w:tcPr>
          <w:p w:rsidR="00E43D1A" w:rsidRPr="00B034A7" w:rsidRDefault="00E43D1A" w:rsidP="005332C9">
            <w:pPr>
              <w:rPr>
                <w:rFonts w:ascii="Times New Roman" w:eastAsiaTheme="minorHAnsi" w:hAnsi="Times New Roman"/>
                <w:sz w:val="24"/>
                <w:szCs w:val="24"/>
              </w:rPr>
            </w:pPr>
          </w:p>
        </w:tc>
        <w:tc>
          <w:tcPr>
            <w:tcW w:w="1440" w:type="dxa"/>
          </w:tcPr>
          <w:p w:rsidR="00E43D1A" w:rsidRPr="005332C9" w:rsidRDefault="00217859" w:rsidP="005332C9">
            <w:pPr>
              <w:rPr>
                <w:rFonts w:ascii="Times New Roman" w:eastAsiaTheme="minorHAnsi" w:hAnsi="Times New Roman"/>
                <w:b/>
                <w:sz w:val="24"/>
                <w:szCs w:val="24"/>
              </w:rPr>
            </w:pPr>
            <w:r w:rsidRPr="005332C9">
              <w:rPr>
                <w:rFonts w:ascii="Times New Roman" w:eastAsiaTheme="minorHAnsi" w:hAnsi="Times New Roman"/>
                <w:b/>
                <w:sz w:val="24"/>
                <w:szCs w:val="24"/>
              </w:rPr>
              <w:t>Unchanged</w:t>
            </w:r>
          </w:p>
        </w:tc>
        <w:tc>
          <w:tcPr>
            <w:tcW w:w="1170" w:type="dxa"/>
          </w:tcPr>
          <w:p w:rsidR="00E43D1A" w:rsidRPr="005332C9" w:rsidRDefault="00E43D1A" w:rsidP="005332C9">
            <w:pPr>
              <w:rPr>
                <w:rFonts w:ascii="Times New Roman" w:eastAsiaTheme="minorHAnsi" w:hAnsi="Times New Roman"/>
                <w:b/>
                <w:sz w:val="24"/>
                <w:szCs w:val="24"/>
              </w:rPr>
            </w:pPr>
          </w:p>
        </w:tc>
        <w:tc>
          <w:tcPr>
            <w:tcW w:w="1440" w:type="dxa"/>
          </w:tcPr>
          <w:p w:rsidR="00E43D1A" w:rsidRPr="005332C9" w:rsidRDefault="00217859" w:rsidP="005332C9">
            <w:pPr>
              <w:rPr>
                <w:rFonts w:ascii="Times New Roman" w:eastAsiaTheme="minorHAnsi" w:hAnsi="Times New Roman"/>
                <w:b/>
                <w:sz w:val="24"/>
                <w:szCs w:val="24"/>
              </w:rPr>
            </w:pPr>
            <w:r w:rsidRPr="005332C9">
              <w:rPr>
                <w:rFonts w:ascii="Times New Roman" w:eastAsiaTheme="minorHAnsi" w:hAnsi="Times New Roman"/>
                <w:b/>
                <w:sz w:val="24"/>
                <w:szCs w:val="24"/>
              </w:rPr>
              <w:t>Unchange</w:t>
            </w:r>
            <w:r w:rsidR="005332C9" w:rsidRPr="005332C9">
              <w:rPr>
                <w:rFonts w:ascii="Times New Roman" w:eastAsiaTheme="minorHAnsi" w:hAnsi="Times New Roman"/>
                <w:b/>
                <w:sz w:val="24"/>
                <w:szCs w:val="24"/>
              </w:rPr>
              <w:t>d</w:t>
            </w:r>
          </w:p>
        </w:tc>
      </w:tr>
      <w:tr w:rsidR="00217859" w:rsidRPr="003E10C5" w:rsidTr="00EC57B4">
        <w:tc>
          <w:tcPr>
            <w:tcW w:w="5796" w:type="dxa"/>
            <w:gridSpan w:val="2"/>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207 Multifamily New Constr/Sub Rehab w/o LIHTC</w:t>
            </w:r>
          </w:p>
        </w:tc>
        <w:tc>
          <w:tcPr>
            <w:tcW w:w="1152"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17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r>
      <w:tr w:rsidR="00217859" w:rsidRPr="003E10C5" w:rsidTr="00EC57B4">
        <w:tc>
          <w:tcPr>
            <w:tcW w:w="5796" w:type="dxa"/>
            <w:gridSpan w:val="2"/>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207 Manufactured Home Parks without LIHTC</w:t>
            </w:r>
          </w:p>
        </w:tc>
        <w:tc>
          <w:tcPr>
            <w:tcW w:w="1152"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17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r>
      <w:tr w:rsidR="00217859" w:rsidRPr="003E10C5" w:rsidTr="00EC57B4">
        <w:tc>
          <w:tcPr>
            <w:tcW w:w="5796" w:type="dxa"/>
            <w:gridSpan w:val="2"/>
          </w:tcPr>
          <w:p w:rsidR="00217859" w:rsidRPr="00B034A7" w:rsidRDefault="00217859" w:rsidP="005332C9">
            <w:pPr>
              <w:rPr>
                <w:rFonts w:ascii="Times New Roman" w:eastAsiaTheme="minorHAnsi" w:hAnsi="Times New Roman"/>
                <w:b/>
                <w:sz w:val="24"/>
                <w:szCs w:val="24"/>
              </w:rPr>
            </w:pPr>
            <w:r w:rsidRPr="00B034A7">
              <w:rPr>
                <w:rFonts w:ascii="Times New Roman" w:eastAsiaTheme="minorHAnsi" w:hAnsi="Times New Roman"/>
                <w:sz w:val="24"/>
                <w:szCs w:val="24"/>
              </w:rPr>
              <w:t>221(d)(4) NC/SR without LIHTC</w:t>
            </w:r>
          </w:p>
        </w:tc>
        <w:tc>
          <w:tcPr>
            <w:tcW w:w="1152"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65</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65</w:t>
            </w:r>
          </w:p>
        </w:tc>
        <w:tc>
          <w:tcPr>
            <w:tcW w:w="117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65</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65</w:t>
            </w:r>
          </w:p>
        </w:tc>
      </w:tr>
      <w:tr w:rsidR="00217859" w:rsidRPr="003E10C5" w:rsidTr="00EC57B4">
        <w:tc>
          <w:tcPr>
            <w:tcW w:w="5796" w:type="dxa"/>
            <w:gridSpan w:val="2"/>
          </w:tcPr>
          <w:p w:rsidR="00217859" w:rsidRPr="00B034A7" w:rsidRDefault="00217859" w:rsidP="005332C9">
            <w:pPr>
              <w:rPr>
                <w:rFonts w:ascii="Times New Roman" w:eastAsiaTheme="minorHAnsi" w:hAnsi="Times New Roman"/>
                <w:b/>
                <w:sz w:val="24"/>
                <w:szCs w:val="24"/>
              </w:rPr>
            </w:pPr>
            <w:r w:rsidRPr="00B034A7">
              <w:rPr>
                <w:rFonts w:ascii="Times New Roman" w:eastAsiaTheme="minorHAnsi" w:hAnsi="Times New Roman"/>
                <w:sz w:val="24"/>
                <w:szCs w:val="24"/>
              </w:rPr>
              <w:t>220 Urban Renewal Housing without LIHTC</w:t>
            </w:r>
          </w:p>
        </w:tc>
        <w:tc>
          <w:tcPr>
            <w:tcW w:w="1152"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17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r>
      <w:tr w:rsidR="00217859" w:rsidRPr="003E10C5" w:rsidTr="00EC57B4">
        <w:tc>
          <w:tcPr>
            <w:tcW w:w="5796" w:type="dxa"/>
            <w:gridSpan w:val="2"/>
          </w:tcPr>
          <w:p w:rsidR="00217859" w:rsidRPr="00B034A7" w:rsidRDefault="00217859" w:rsidP="005332C9">
            <w:pPr>
              <w:rPr>
                <w:rFonts w:ascii="Times New Roman" w:eastAsiaTheme="minorHAnsi" w:hAnsi="Times New Roman"/>
                <w:b/>
                <w:sz w:val="24"/>
                <w:szCs w:val="24"/>
              </w:rPr>
            </w:pPr>
            <w:r w:rsidRPr="00B034A7">
              <w:rPr>
                <w:rFonts w:ascii="Times New Roman" w:eastAsiaTheme="minorHAnsi" w:hAnsi="Times New Roman"/>
                <w:sz w:val="24"/>
                <w:szCs w:val="24"/>
              </w:rPr>
              <w:t>213 Cooperative</w:t>
            </w:r>
          </w:p>
        </w:tc>
        <w:tc>
          <w:tcPr>
            <w:tcW w:w="1152"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17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r>
      <w:tr w:rsidR="00217859" w:rsidRPr="003E10C5" w:rsidTr="00EC57B4">
        <w:tc>
          <w:tcPr>
            <w:tcW w:w="5796" w:type="dxa"/>
            <w:gridSpan w:val="2"/>
          </w:tcPr>
          <w:p w:rsidR="00217859" w:rsidRPr="00B034A7" w:rsidRDefault="00217859" w:rsidP="005332C9">
            <w:pPr>
              <w:rPr>
                <w:rFonts w:ascii="Times New Roman" w:eastAsiaTheme="minorHAnsi" w:hAnsi="Times New Roman"/>
                <w:b/>
                <w:sz w:val="24"/>
                <w:szCs w:val="24"/>
              </w:rPr>
            </w:pPr>
            <w:r w:rsidRPr="00B034A7">
              <w:rPr>
                <w:rFonts w:ascii="Times New Roman" w:eastAsiaTheme="minorHAnsi" w:hAnsi="Times New Roman"/>
                <w:sz w:val="24"/>
                <w:szCs w:val="24"/>
              </w:rPr>
              <w:t>207/223(f) Refinance or Purchase for Apts w/o LIHTC</w:t>
            </w:r>
          </w:p>
        </w:tc>
        <w:tc>
          <w:tcPr>
            <w:tcW w:w="1152"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100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100</w:t>
            </w:r>
          </w:p>
        </w:tc>
        <w:tc>
          <w:tcPr>
            <w:tcW w:w="117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60</w:t>
            </w:r>
          </w:p>
        </w:tc>
        <w:tc>
          <w:tcPr>
            <w:tcW w:w="1440" w:type="dxa"/>
          </w:tcPr>
          <w:p w:rsidR="00217859" w:rsidRPr="00B034A7" w:rsidRDefault="00217859" w:rsidP="005332C9">
            <w:pPr>
              <w:rPr>
                <w:rFonts w:ascii="Times New Roman" w:eastAsiaTheme="minorHAnsi" w:hAnsi="Times New Roman"/>
                <w:b/>
                <w:sz w:val="24"/>
                <w:szCs w:val="24"/>
              </w:rPr>
            </w:pPr>
            <w:r w:rsidRPr="00B034A7">
              <w:rPr>
                <w:rFonts w:ascii="Times New Roman" w:eastAsiaTheme="minorHAnsi" w:hAnsi="Times New Roman"/>
                <w:sz w:val="24"/>
                <w:szCs w:val="24"/>
              </w:rPr>
              <w:t>60</w:t>
            </w:r>
          </w:p>
        </w:tc>
      </w:tr>
      <w:tr w:rsidR="00217859" w:rsidRPr="003E10C5" w:rsidTr="00EC57B4">
        <w:tc>
          <w:tcPr>
            <w:tcW w:w="5796" w:type="dxa"/>
            <w:gridSpan w:val="2"/>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223(a)(7) Refinance of Apartments without LIHTC</w:t>
            </w:r>
          </w:p>
        </w:tc>
        <w:tc>
          <w:tcPr>
            <w:tcW w:w="1152"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50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50</w:t>
            </w:r>
          </w:p>
        </w:tc>
        <w:tc>
          <w:tcPr>
            <w:tcW w:w="117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50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50</w:t>
            </w:r>
          </w:p>
        </w:tc>
      </w:tr>
      <w:tr w:rsidR="00217859" w:rsidRPr="003E10C5" w:rsidTr="00EC57B4">
        <w:tc>
          <w:tcPr>
            <w:tcW w:w="5796" w:type="dxa"/>
            <w:gridSpan w:val="2"/>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231 Elderly Housing without LIHTC</w:t>
            </w:r>
          </w:p>
        </w:tc>
        <w:tc>
          <w:tcPr>
            <w:tcW w:w="1152"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17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70</w:t>
            </w:r>
          </w:p>
        </w:tc>
      </w:tr>
      <w:tr w:rsidR="00217859" w:rsidRPr="003E10C5" w:rsidTr="00EC57B4">
        <w:tc>
          <w:tcPr>
            <w:tcW w:w="5796" w:type="dxa"/>
            <w:gridSpan w:val="2"/>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241(a) Supplemental Loans for Apts/coop w/o LIHTC</w:t>
            </w:r>
          </w:p>
        </w:tc>
        <w:tc>
          <w:tcPr>
            <w:tcW w:w="1152"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95</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95</w:t>
            </w:r>
          </w:p>
        </w:tc>
        <w:tc>
          <w:tcPr>
            <w:tcW w:w="117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95</w:t>
            </w:r>
          </w:p>
        </w:tc>
        <w:tc>
          <w:tcPr>
            <w:tcW w:w="1440" w:type="dxa"/>
          </w:tcPr>
          <w:p w:rsidR="00217859" w:rsidRPr="00B034A7" w:rsidRDefault="00217859" w:rsidP="005332C9">
            <w:pPr>
              <w:rPr>
                <w:rFonts w:ascii="Times New Roman" w:eastAsiaTheme="minorHAnsi" w:hAnsi="Times New Roman"/>
                <w:sz w:val="24"/>
                <w:szCs w:val="24"/>
              </w:rPr>
            </w:pPr>
            <w:r w:rsidRPr="00B034A7">
              <w:rPr>
                <w:rFonts w:ascii="Times New Roman" w:eastAsiaTheme="minorHAnsi" w:hAnsi="Times New Roman"/>
                <w:sz w:val="24"/>
                <w:szCs w:val="24"/>
              </w:rPr>
              <w:t>95</w:t>
            </w:r>
          </w:p>
        </w:tc>
      </w:tr>
      <w:tr w:rsidR="00DE20B0" w:rsidRPr="003E10C5" w:rsidTr="00EC57B4">
        <w:tc>
          <w:tcPr>
            <w:tcW w:w="5796" w:type="dxa"/>
            <w:gridSpan w:val="2"/>
          </w:tcPr>
          <w:p w:rsidR="00DE20B0" w:rsidRPr="00B034A7" w:rsidRDefault="00DE20B0" w:rsidP="005332C9">
            <w:pPr>
              <w:rPr>
                <w:rFonts w:ascii="Times New Roman" w:eastAsiaTheme="minorHAnsi" w:hAnsi="Times New Roman"/>
                <w:b/>
                <w:sz w:val="24"/>
                <w:szCs w:val="24"/>
              </w:rPr>
            </w:pPr>
          </w:p>
        </w:tc>
        <w:tc>
          <w:tcPr>
            <w:tcW w:w="1152" w:type="dxa"/>
          </w:tcPr>
          <w:p w:rsidR="00DE20B0" w:rsidRPr="00B034A7" w:rsidRDefault="00DE20B0" w:rsidP="005332C9">
            <w:pPr>
              <w:rPr>
                <w:rFonts w:ascii="Times New Roman" w:eastAsiaTheme="minorHAnsi" w:hAnsi="Times New Roman"/>
                <w:sz w:val="24"/>
                <w:szCs w:val="24"/>
              </w:rPr>
            </w:pPr>
          </w:p>
        </w:tc>
        <w:tc>
          <w:tcPr>
            <w:tcW w:w="1440" w:type="dxa"/>
          </w:tcPr>
          <w:p w:rsidR="00DE20B0" w:rsidRPr="00B034A7" w:rsidRDefault="00DE20B0" w:rsidP="005332C9">
            <w:pPr>
              <w:rPr>
                <w:rFonts w:ascii="Times New Roman" w:eastAsiaTheme="minorHAnsi" w:hAnsi="Times New Roman"/>
                <w:sz w:val="24"/>
                <w:szCs w:val="24"/>
              </w:rPr>
            </w:pPr>
          </w:p>
        </w:tc>
        <w:tc>
          <w:tcPr>
            <w:tcW w:w="1170" w:type="dxa"/>
          </w:tcPr>
          <w:p w:rsidR="00DE20B0" w:rsidRPr="00B034A7" w:rsidRDefault="00DE20B0" w:rsidP="005332C9">
            <w:pPr>
              <w:rPr>
                <w:rFonts w:ascii="Times New Roman" w:eastAsiaTheme="minorHAnsi" w:hAnsi="Times New Roman"/>
                <w:sz w:val="24"/>
                <w:szCs w:val="24"/>
              </w:rPr>
            </w:pPr>
          </w:p>
        </w:tc>
        <w:tc>
          <w:tcPr>
            <w:tcW w:w="1440" w:type="dxa"/>
          </w:tcPr>
          <w:p w:rsidR="00DE20B0" w:rsidRPr="00B034A7" w:rsidRDefault="00DE20B0" w:rsidP="005332C9">
            <w:pPr>
              <w:rPr>
                <w:rFonts w:ascii="Times New Roman" w:eastAsiaTheme="minorHAnsi" w:hAnsi="Times New Roman"/>
                <w:b/>
                <w:sz w:val="24"/>
                <w:szCs w:val="24"/>
              </w:rPr>
            </w:pPr>
          </w:p>
        </w:tc>
      </w:tr>
      <w:tr w:rsidR="002422EC" w:rsidRPr="003E10C5" w:rsidTr="00EC57B4">
        <w:tc>
          <w:tcPr>
            <w:tcW w:w="5796" w:type="dxa"/>
            <w:gridSpan w:val="2"/>
          </w:tcPr>
          <w:p w:rsidR="002422EC" w:rsidRPr="00B034A7" w:rsidRDefault="002422EC" w:rsidP="005332C9">
            <w:pPr>
              <w:rPr>
                <w:rFonts w:ascii="Times New Roman" w:eastAsiaTheme="minorHAnsi" w:hAnsi="Times New Roman"/>
                <w:b/>
                <w:sz w:val="24"/>
                <w:szCs w:val="24"/>
                <w:u w:val="single"/>
              </w:rPr>
            </w:pPr>
            <w:r w:rsidRPr="00B034A7">
              <w:rPr>
                <w:rFonts w:ascii="Times New Roman" w:eastAsiaTheme="minorHAnsi" w:hAnsi="Times New Roman"/>
                <w:b/>
                <w:sz w:val="24"/>
                <w:szCs w:val="24"/>
                <w:u w:val="single"/>
              </w:rPr>
              <w:t>BROADLY AFFORDABLE HOUSING</w:t>
            </w:r>
          </w:p>
        </w:tc>
        <w:tc>
          <w:tcPr>
            <w:tcW w:w="1152" w:type="dxa"/>
          </w:tcPr>
          <w:p w:rsidR="002422EC" w:rsidRPr="00B034A7" w:rsidRDefault="002422EC" w:rsidP="005332C9">
            <w:pPr>
              <w:rPr>
                <w:rFonts w:ascii="Times New Roman" w:eastAsiaTheme="minorHAnsi" w:hAnsi="Times New Roman"/>
                <w:sz w:val="24"/>
                <w:szCs w:val="24"/>
              </w:rPr>
            </w:pPr>
          </w:p>
        </w:tc>
        <w:tc>
          <w:tcPr>
            <w:tcW w:w="1440" w:type="dxa"/>
          </w:tcPr>
          <w:p w:rsidR="002422EC" w:rsidRPr="00B034A7" w:rsidRDefault="002422EC" w:rsidP="005332C9">
            <w:pPr>
              <w:rPr>
                <w:rFonts w:ascii="Times New Roman" w:eastAsiaTheme="minorHAnsi" w:hAnsi="Times New Roman"/>
                <w:b/>
                <w:sz w:val="24"/>
                <w:szCs w:val="24"/>
                <w:u w:val="single"/>
              </w:rPr>
            </w:pPr>
            <w:r>
              <w:rPr>
                <w:rFonts w:ascii="Times New Roman" w:eastAsiaTheme="minorHAnsi" w:hAnsi="Times New Roman"/>
                <w:b/>
                <w:sz w:val="24"/>
                <w:szCs w:val="24"/>
                <w:u w:val="single"/>
              </w:rPr>
              <w:t>25</w:t>
            </w:r>
          </w:p>
        </w:tc>
        <w:tc>
          <w:tcPr>
            <w:tcW w:w="1170" w:type="dxa"/>
          </w:tcPr>
          <w:p w:rsidR="002422EC" w:rsidRPr="00B034A7" w:rsidRDefault="002422EC" w:rsidP="005332C9">
            <w:pPr>
              <w:rPr>
                <w:rFonts w:ascii="Times New Roman" w:eastAsiaTheme="minorHAnsi" w:hAnsi="Times New Roman"/>
                <w:sz w:val="24"/>
                <w:szCs w:val="24"/>
              </w:rPr>
            </w:pPr>
          </w:p>
        </w:tc>
        <w:tc>
          <w:tcPr>
            <w:tcW w:w="1440" w:type="dxa"/>
          </w:tcPr>
          <w:p w:rsidR="002422EC" w:rsidRPr="00B034A7" w:rsidRDefault="002422EC" w:rsidP="005332C9">
            <w:pPr>
              <w:rPr>
                <w:rFonts w:ascii="Times New Roman" w:eastAsiaTheme="minorHAnsi" w:hAnsi="Times New Roman"/>
                <w:b/>
                <w:sz w:val="24"/>
                <w:szCs w:val="24"/>
                <w:u w:val="single"/>
              </w:rPr>
            </w:pPr>
            <w:r>
              <w:rPr>
                <w:rFonts w:ascii="Times New Roman" w:eastAsiaTheme="minorHAnsi" w:hAnsi="Times New Roman"/>
                <w:b/>
                <w:sz w:val="24"/>
                <w:szCs w:val="24"/>
                <w:u w:val="single"/>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207 New Constr/Sub Rehab w 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LIHTC, </w:t>
            </w:r>
          </w:p>
          <w:p w:rsidR="002422EC" w:rsidRPr="00B034A7" w:rsidRDefault="002422EC" w:rsidP="005332C9">
            <w:pPr>
              <w:rPr>
                <w:rFonts w:ascii="Times New Roman" w:eastAsiaTheme="minorHAnsi" w:hAnsi="Times New Roman"/>
                <w:b/>
                <w:sz w:val="24"/>
                <w:szCs w:val="24"/>
              </w:rPr>
            </w:pPr>
            <w:r w:rsidRPr="00B034A7">
              <w:rPr>
                <w:rFonts w:ascii="Times New Roman" w:eastAsiaTheme="minorHAnsi" w:hAnsi="Times New Roman"/>
                <w:sz w:val="24"/>
                <w:szCs w:val="24"/>
              </w:rPr>
              <w:t>or 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Section 8</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207 Manufactured Home Parks with 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LIHTC, </w:t>
            </w:r>
          </w:p>
          <w:p w:rsidR="002422EC" w:rsidRPr="00B034A7" w:rsidRDefault="002422EC" w:rsidP="005332C9">
            <w:pPr>
              <w:rPr>
                <w:rFonts w:ascii="Times New Roman" w:eastAsiaTheme="minorHAnsi" w:hAnsi="Times New Roman"/>
                <w:b/>
                <w:sz w:val="24"/>
                <w:szCs w:val="24"/>
              </w:rPr>
            </w:pPr>
            <w:r w:rsidRPr="00B034A7">
              <w:rPr>
                <w:rFonts w:ascii="Times New Roman" w:eastAsiaTheme="minorHAnsi" w:hAnsi="Times New Roman"/>
                <w:sz w:val="24"/>
                <w:szCs w:val="24"/>
              </w:rPr>
              <w:t>or 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Section 8</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221(d)(4) NC/SR with 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LIHTC,</w:t>
            </w:r>
          </w:p>
          <w:p w:rsidR="002422EC" w:rsidRPr="00B034A7" w:rsidRDefault="002422EC" w:rsidP="005332C9">
            <w:pPr>
              <w:rPr>
                <w:rFonts w:ascii="Times New Roman" w:eastAsiaTheme="minorHAnsi" w:hAnsi="Times New Roman"/>
                <w:b/>
                <w:sz w:val="24"/>
                <w:szCs w:val="24"/>
              </w:rPr>
            </w:pPr>
            <w:r w:rsidRPr="00B034A7">
              <w:rPr>
                <w:rFonts w:ascii="Times New Roman" w:eastAsiaTheme="minorHAnsi" w:hAnsi="Times New Roman"/>
                <w:sz w:val="24"/>
                <w:szCs w:val="24"/>
              </w:rPr>
              <w:t>or 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Section 8</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220 Urban Renewal Housing with 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LIHTC,</w:t>
            </w:r>
          </w:p>
          <w:p w:rsidR="002422EC" w:rsidRPr="00B034A7" w:rsidRDefault="002422EC" w:rsidP="005332C9">
            <w:pPr>
              <w:rPr>
                <w:rFonts w:ascii="Times New Roman" w:eastAsiaTheme="minorHAnsi" w:hAnsi="Times New Roman"/>
                <w:b/>
                <w:sz w:val="24"/>
                <w:szCs w:val="24"/>
              </w:rPr>
            </w:pPr>
            <w:r w:rsidRPr="00B034A7">
              <w:rPr>
                <w:rFonts w:ascii="Times New Roman" w:eastAsiaTheme="minorHAnsi" w:hAnsi="Times New Roman"/>
                <w:sz w:val="24"/>
                <w:szCs w:val="24"/>
              </w:rPr>
              <w:t>or 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Section 8</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207/223(f) Refi or Purchase with 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LIHTC,</w:t>
            </w:r>
          </w:p>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or 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Section 8</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100</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223(a)(7) Refi with 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LIHTC,</w:t>
            </w:r>
          </w:p>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or 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Section 8</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50</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231 Elderly Housing with 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LIHTC,</w:t>
            </w:r>
          </w:p>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or 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Section 8</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241(a) for Apartments/coop  with 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LIHTC,</w:t>
            </w:r>
          </w:p>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or 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Section 8</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Section 542(b) Risk Share**</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50</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50</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Section 542(c ) Risk Share**</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50</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50</w:t>
            </w:r>
          </w:p>
        </w:tc>
        <w:tc>
          <w:tcPr>
            <w:tcW w:w="1440" w:type="dxa"/>
          </w:tcPr>
          <w:p w:rsidR="002422EC" w:rsidRPr="00B034A7" w:rsidRDefault="002422EC" w:rsidP="005332C9">
            <w:pPr>
              <w:rPr>
                <w:rFonts w:ascii="Times New Roman" w:eastAsiaTheme="minorHAnsi" w:hAnsi="Times New Roman"/>
                <w:sz w:val="24"/>
                <w:szCs w:val="24"/>
              </w:rPr>
            </w:pPr>
            <w:r w:rsidRPr="00BF2023">
              <w:rPr>
                <w:rFonts w:ascii="Times New Roman" w:eastAsiaTheme="minorHAnsi" w:hAnsi="Times New Roman"/>
                <w:sz w:val="24"/>
                <w:szCs w:val="24"/>
              </w:rPr>
              <w:t>25</w:t>
            </w:r>
          </w:p>
        </w:tc>
      </w:tr>
      <w:tr w:rsidR="006F4FEC" w:rsidRPr="003E10C5" w:rsidTr="00EC57B4">
        <w:tc>
          <w:tcPr>
            <w:tcW w:w="5796" w:type="dxa"/>
            <w:gridSpan w:val="2"/>
          </w:tcPr>
          <w:p w:rsidR="006F4FEC" w:rsidRPr="00B034A7" w:rsidRDefault="006F4FEC" w:rsidP="005332C9">
            <w:pPr>
              <w:rPr>
                <w:rFonts w:ascii="Times New Roman" w:eastAsiaTheme="minorHAnsi" w:hAnsi="Times New Roman"/>
                <w:b/>
                <w:sz w:val="24"/>
                <w:szCs w:val="24"/>
              </w:rPr>
            </w:pPr>
          </w:p>
        </w:tc>
        <w:tc>
          <w:tcPr>
            <w:tcW w:w="1152" w:type="dxa"/>
          </w:tcPr>
          <w:p w:rsidR="006F4FEC" w:rsidRPr="00B034A7" w:rsidRDefault="006F4FEC" w:rsidP="005332C9">
            <w:pPr>
              <w:rPr>
                <w:rFonts w:ascii="Times New Roman" w:eastAsiaTheme="minorHAnsi" w:hAnsi="Times New Roman"/>
                <w:sz w:val="24"/>
                <w:szCs w:val="24"/>
              </w:rPr>
            </w:pPr>
          </w:p>
        </w:tc>
        <w:tc>
          <w:tcPr>
            <w:tcW w:w="1440" w:type="dxa"/>
          </w:tcPr>
          <w:p w:rsidR="006F4FEC" w:rsidRPr="00B034A7" w:rsidRDefault="006F4FEC" w:rsidP="005332C9">
            <w:pPr>
              <w:rPr>
                <w:rFonts w:ascii="Times New Roman" w:eastAsiaTheme="minorHAnsi" w:hAnsi="Times New Roman"/>
                <w:sz w:val="24"/>
                <w:szCs w:val="24"/>
              </w:rPr>
            </w:pPr>
          </w:p>
        </w:tc>
        <w:tc>
          <w:tcPr>
            <w:tcW w:w="1170" w:type="dxa"/>
          </w:tcPr>
          <w:p w:rsidR="006F4FEC" w:rsidRPr="00B034A7" w:rsidRDefault="006F4FEC" w:rsidP="005332C9">
            <w:pPr>
              <w:rPr>
                <w:rFonts w:ascii="Times New Roman" w:eastAsiaTheme="minorHAnsi" w:hAnsi="Times New Roman"/>
                <w:sz w:val="24"/>
                <w:szCs w:val="24"/>
              </w:rPr>
            </w:pPr>
          </w:p>
        </w:tc>
        <w:tc>
          <w:tcPr>
            <w:tcW w:w="1440" w:type="dxa"/>
          </w:tcPr>
          <w:p w:rsidR="006F4FEC" w:rsidRPr="00B034A7" w:rsidRDefault="006F4FEC" w:rsidP="005332C9">
            <w:pPr>
              <w:rPr>
                <w:rFonts w:ascii="Times New Roman" w:eastAsiaTheme="minorHAnsi" w:hAnsi="Times New Roman"/>
                <w:b/>
                <w:sz w:val="24"/>
                <w:szCs w:val="24"/>
              </w:rPr>
            </w:pPr>
          </w:p>
        </w:tc>
      </w:tr>
      <w:tr w:rsidR="006F4FEC" w:rsidRPr="003E10C5" w:rsidTr="00EC57B4">
        <w:tc>
          <w:tcPr>
            <w:tcW w:w="5796" w:type="dxa"/>
            <w:gridSpan w:val="2"/>
          </w:tcPr>
          <w:p w:rsidR="006F4FEC" w:rsidRPr="00B034A7" w:rsidRDefault="006F4FEC" w:rsidP="005332C9">
            <w:pPr>
              <w:rPr>
                <w:rFonts w:ascii="Times New Roman" w:eastAsiaTheme="minorHAnsi" w:hAnsi="Times New Roman"/>
                <w:b/>
                <w:sz w:val="24"/>
                <w:szCs w:val="24"/>
                <w:u w:val="single"/>
              </w:rPr>
            </w:pPr>
            <w:r w:rsidRPr="00B034A7">
              <w:rPr>
                <w:rFonts w:ascii="Times New Roman" w:eastAsiaTheme="minorHAnsi" w:hAnsi="Times New Roman"/>
                <w:b/>
                <w:sz w:val="24"/>
                <w:szCs w:val="24"/>
                <w:u w:val="single"/>
              </w:rPr>
              <w:t>AFFORDABLE: INCLUSIONARY / VOUCHERS</w:t>
            </w:r>
          </w:p>
        </w:tc>
        <w:tc>
          <w:tcPr>
            <w:tcW w:w="1152" w:type="dxa"/>
          </w:tcPr>
          <w:p w:rsidR="006F4FEC" w:rsidRPr="00B034A7" w:rsidRDefault="006F4FEC" w:rsidP="005332C9">
            <w:pPr>
              <w:rPr>
                <w:rFonts w:ascii="Times New Roman" w:eastAsiaTheme="minorHAnsi" w:hAnsi="Times New Roman"/>
                <w:sz w:val="24"/>
                <w:szCs w:val="24"/>
              </w:rPr>
            </w:pP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b/>
                <w:sz w:val="24"/>
                <w:szCs w:val="24"/>
                <w:u w:val="single"/>
              </w:rPr>
              <w:t>35</w:t>
            </w:r>
          </w:p>
        </w:tc>
        <w:tc>
          <w:tcPr>
            <w:tcW w:w="1170" w:type="dxa"/>
          </w:tcPr>
          <w:p w:rsidR="006F4FEC" w:rsidRPr="00B034A7" w:rsidRDefault="006F4FEC" w:rsidP="005332C9">
            <w:pPr>
              <w:rPr>
                <w:rFonts w:ascii="Times New Roman" w:eastAsiaTheme="minorHAnsi" w:hAnsi="Times New Roman"/>
                <w:sz w:val="24"/>
                <w:szCs w:val="24"/>
              </w:rPr>
            </w:pPr>
          </w:p>
        </w:tc>
        <w:tc>
          <w:tcPr>
            <w:tcW w:w="1440" w:type="dxa"/>
          </w:tcPr>
          <w:p w:rsidR="006F4FEC" w:rsidRPr="00B034A7" w:rsidRDefault="006F4FEC" w:rsidP="005332C9">
            <w:pPr>
              <w:rPr>
                <w:rFonts w:ascii="Times New Roman" w:eastAsiaTheme="minorHAnsi" w:hAnsi="Times New Roman"/>
                <w:b/>
                <w:sz w:val="24"/>
                <w:szCs w:val="24"/>
                <w:u w:val="single"/>
              </w:rPr>
            </w:pPr>
            <w:r w:rsidRPr="00B034A7">
              <w:rPr>
                <w:rFonts w:ascii="Times New Roman" w:eastAsiaTheme="minorHAnsi" w:hAnsi="Times New Roman"/>
                <w:b/>
                <w:sz w:val="24"/>
                <w:szCs w:val="24"/>
                <w:u w:val="single"/>
              </w:rPr>
              <w:t>35</w:t>
            </w:r>
          </w:p>
        </w:tc>
      </w:tr>
      <w:tr w:rsidR="006F4FEC" w:rsidRPr="003E10C5" w:rsidTr="00EC57B4">
        <w:tc>
          <w:tcPr>
            <w:tcW w:w="5796" w:type="dxa"/>
            <w:gridSpan w:val="2"/>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 xml:space="preserve">207 New Constr/Sub Rehab with Inclusionary Zoning, </w:t>
            </w:r>
          </w:p>
          <w:p w:rsidR="006F4FEC" w:rsidRPr="00B034A7" w:rsidRDefault="006F4FEC" w:rsidP="005332C9">
            <w:pPr>
              <w:rPr>
                <w:rFonts w:ascii="Times New Roman" w:eastAsiaTheme="minorHAnsi" w:hAnsi="Times New Roman"/>
                <w:b/>
                <w:sz w:val="24"/>
                <w:szCs w:val="24"/>
              </w:rPr>
            </w:pPr>
            <w:r w:rsidRPr="00B034A7">
              <w:rPr>
                <w:rFonts w:ascii="Times New Roman" w:eastAsiaTheme="minorHAnsi" w:hAnsi="Times New Roman"/>
                <w:sz w:val="24"/>
                <w:szCs w:val="24"/>
              </w:rPr>
              <w:lastRenderedPageBreak/>
              <w:t>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LIHTC, or 10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Section 8</w:t>
            </w:r>
          </w:p>
        </w:tc>
        <w:tc>
          <w:tcPr>
            <w:tcW w:w="1152"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lastRenderedPageBreak/>
              <w:t>45-70</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c>
          <w:tcPr>
            <w:tcW w:w="117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r>
      <w:tr w:rsidR="006F4FEC" w:rsidRPr="003E10C5" w:rsidTr="00EC57B4">
        <w:tc>
          <w:tcPr>
            <w:tcW w:w="5796" w:type="dxa"/>
            <w:gridSpan w:val="2"/>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lastRenderedPageBreak/>
              <w:t xml:space="preserve">207 Manufactured Home Parks w Inclusionary Zoning, </w:t>
            </w:r>
          </w:p>
          <w:p w:rsidR="006F4FEC" w:rsidRPr="00B034A7" w:rsidRDefault="006F4FEC" w:rsidP="005332C9">
            <w:pPr>
              <w:rPr>
                <w:rFonts w:ascii="Times New Roman" w:eastAsiaTheme="minorHAnsi" w:hAnsi="Times New Roman"/>
                <w:b/>
                <w:sz w:val="24"/>
                <w:szCs w:val="24"/>
              </w:rPr>
            </w:pPr>
            <w:r w:rsidRPr="00B034A7">
              <w:rPr>
                <w:rFonts w:ascii="Times New Roman" w:eastAsiaTheme="minorHAnsi" w:hAnsi="Times New Roman"/>
                <w:sz w:val="24"/>
                <w:szCs w:val="24"/>
              </w:rPr>
              <w:t>or 10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LIHTC, 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Section 8</w:t>
            </w:r>
          </w:p>
        </w:tc>
        <w:tc>
          <w:tcPr>
            <w:tcW w:w="1152"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c>
          <w:tcPr>
            <w:tcW w:w="117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r>
      <w:tr w:rsidR="006F4FEC" w:rsidRPr="003E10C5" w:rsidTr="00EC57B4">
        <w:tc>
          <w:tcPr>
            <w:tcW w:w="5796" w:type="dxa"/>
            <w:gridSpan w:val="2"/>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 xml:space="preserve">221(d)(4) NC/SR with Inclusionary Zoning, </w:t>
            </w:r>
          </w:p>
          <w:p w:rsidR="006F4FEC" w:rsidRPr="00B034A7" w:rsidRDefault="006F4FEC" w:rsidP="005332C9">
            <w:pPr>
              <w:rPr>
                <w:rFonts w:ascii="Times New Roman" w:eastAsiaTheme="minorHAnsi" w:hAnsi="Times New Roman"/>
                <w:b/>
                <w:sz w:val="24"/>
                <w:szCs w:val="24"/>
              </w:rPr>
            </w:pPr>
            <w:r w:rsidRPr="00B034A7">
              <w:rPr>
                <w:rFonts w:ascii="Times New Roman" w:eastAsiaTheme="minorHAnsi" w:hAnsi="Times New Roman"/>
                <w:sz w:val="24"/>
                <w:szCs w:val="24"/>
              </w:rPr>
              <w:t>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LIHTC, 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Section 8</w:t>
            </w:r>
          </w:p>
        </w:tc>
        <w:tc>
          <w:tcPr>
            <w:tcW w:w="1152"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45-65</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c>
          <w:tcPr>
            <w:tcW w:w="117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45-65</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r>
      <w:tr w:rsidR="006F4FEC" w:rsidRPr="003E10C5" w:rsidTr="00EC57B4">
        <w:trPr>
          <w:trHeight w:val="305"/>
        </w:trPr>
        <w:tc>
          <w:tcPr>
            <w:tcW w:w="5796" w:type="dxa"/>
            <w:gridSpan w:val="2"/>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 xml:space="preserve">220 Urban Renewal Housing with Inclusionary Zoning, </w:t>
            </w:r>
          </w:p>
          <w:p w:rsidR="006F4FEC" w:rsidRPr="00B034A7" w:rsidRDefault="006F4FEC" w:rsidP="005332C9">
            <w:pPr>
              <w:rPr>
                <w:rFonts w:ascii="Times New Roman" w:eastAsiaTheme="minorHAnsi" w:hAnsi="Times New Roman"/>
                <w:b/>
                <w:sz w:val="24"/>
                <w:szCs w:val="24"/>
              </w:rPr>
            </w:pPr>
            <w:r w:rsidRPr="00B034A7">
              <w:rPr>
                <w:rFonts w:ascii="Times New Roman" w:eastAsiaTheme="minorHAnsi" w:hAnsi="Times New Roman"/>
                <w:sz w:val="24"/>
                <w:szCs w:val="24"/>
              </w:rPr>
              <w:t>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LIHTC, 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Section 8</w:t>
            </w:r>
          </w:p>
        </w:tc>
        <w:tc>
          <w:tcPr>
            <w:tcW w:w="1152"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6F4FEC" w:rsidRPr="00B034A7" w:rsidRDefault="006F4FEC" w:rsidP="005332C9">
            <w:pPr>
              <w:rPr>
                <w:rFonts w:ascii="Times New Roman" w:eastAsiaTheme="minorHAnsi" w:hAnsi="Times New Roman"/>
                <w:b/>
                <w:sz w:val="24"/>
                <w:szCs w:val="24"/>
              </w:rPr>
            </w:pPr>
            <w:r w:rsidRPr="00B034A7">
              <w:rPr>
                <w:rFonts w:ascii="Times New Roman" w:eastAsiaTheme="minorHAnsi" w:hAnsi="Times New Roman"/>
                <w:sz w:val="24"/>
                <w:szCs w:val="24"/>
              </w:rPr>
              <w:t>35</w:t>
            </w:r>
          </w:p>
        </w:tc>
        <w:tc>
          <w:tcPr>
            <w:tcW w:w="117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6F4FEC" w:rsidRPr="00B034A7" w:rsidRDefault="006F4FEC" w:rsidP="005332C9">
            <w:pPr>
              <w:rPr>
                <w:rFonts w:ascii="Times New Roman" w:eastAsiaTheme="minorHAnsi" w:hAnsi="Times New Roman"/>
                <w:b/>
                <w:sz w:val="24"/>
                <w:szCs w:val="24"/>
              </w:rPr>
            </w:pPr>
            <w:r w:rsidRPr="00B034A7">
              <w:rPr>
                <w:rFonts w:ascii="Times New Roman" w:eastAsiaTheme="minorHAnsi" w:hAnsi="Times New Roman"/>
                <w:sz w:val="24"/>
                <w:szCs w:val="24"/>
              </w:rPr>
              <w:t>35</w:t>
            </w:r>
          </w:p>
        </w:tc>
      </w:tr>
      <w:tr w:rsidR="006F4FEC" w:rsidRPr="003E10C5" w:rsidTr="00EC57B4">
        <w:tc>
          <w:tcPr>
            <w:tcW w:w="5796" w:type="dxa"/>
            <w:gridSpan w:val="2"/>
          </w:tcPr>
          <w:p w:rsidR="006F4FEC" w:rsidRPr="00B034A7" w:rsidRDefault="006F4FEC" w:rsidP="000843FC">
            <w:pPr>
              <w:rPr>
                <w:rFonts w:ascii="Times New Roman" w:eastAsiaTheme="minorHAnsi" w:hAnsi="Times New Roman"/>
                <w:sz w:val="24"/>
                <w:szCs w:val="24"/>
              </w:rPr>
            </w:pPr>
            <w:r w:rsidRPr="00B034A7">
              <w:rPr>
                <w:rFonts w:ascii="Times New Roman" w:eastAsiaTheme="minorHAnsi" w:hAnsi="Times New Roman"/>
                <w:sz w:val="24"/>
                <w:szCs w:val="24"/>
              </w:rPr>
              <w:t>207/223(f) Refinance or Purchase with Inclusionary Zoning, 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LIHTC, 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Section 8</w:t>
            </w:r>
          </w:p>
        </w:tc>
        <w:tc>
          <w:tcPr>
            <w:tcW w:w="1152"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100</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c>
          <w:tcPr>
            <w:tcW w:w="117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45-60</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r>
      <w:tr w:rsidR="006F4FEC" w:rsidRPr="003E10C5" w:rsidTr="00EC57B4">
        <w:tc>
          <w:tcPr>
            <w:tcW w:w="5796" w:type="dxa"/>
            <w:gridSpan w:val="2"/>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 xml:space="preserve">223(a)(7) Refinance of Apts with Inclusionary Zoning, </w:t>
            </w:r>
          </w:p>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LIHTC, 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Section 8</w:t>
            </w:r>
          </w:p>
        </w:tc>
        <w:tc>
          <w:tcPr>
            <w:tcW w:w="1152"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50</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c>
          <w:tcPr>
            <w:tcW w:w="117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45-50</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r>
      <w:tr w:rsidR="006F4FEC" w:rsidRPr="003E10C5" w:rsidTr="00EC57B4">
        <w:tc>
          <w:tcPr>
            <w:tcW w:w="5796" w:type="dxa"/>
            <w:gridSpan w:val="2"/>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 xml:space="preserve">231 Elderly Housing with Inclusionary Zoning,  </w:t>
            </w:r>
          </w:p>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LIHTC, or 10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Section 8</w:t>
            </w:r>
          </w:p>
        </w:tc>
        <w:tc>
          <w:tcPr>
            <w:tcW w:w="1152"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c>
          <w:tcPr>
            <w:tcW w:w="117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r>
      <w:tr w:rsidR="006F4FEC" w:rsidRPr="003E10C5" w:rsidTr="00EC57B4">
        <w:tc>
          <w:tcPr>
            <w:tcW w:w="5796" w:type="dxa"/>
            <w:gridSpan w:val="2"/>
          </w:tcPr>
          <w:p w:rsidR="006F4FEC" w:rsidRPr="00B034A7" w:rsidRDefault="006F4FEC" w:rsidP="005332C9">
            <w:pPr>
              <w:rPr>
                <w:rFonts w:ascii="Times New Roman" w:eastAsiaTheme="minorHAnsi" w:hAnsi="Times New Roman"/>
                <w:b/>
                <w:sz w:val="24"/>
                <w:szCs w:val="24"/>
              </w:rPr>
            </w:pPr>
            <w:r w:rsidRPr="00B034A7">
              <w:rPr>
                <w:rFonts w:ascii="Times New Roman" w:eastAsiaTheme="minorHAnsi" w:hAnsi="Times New Roman"/>
                <w:sz w:val="24"/>
                <w:szCs w:val="24"/>
              </w:rPr>
              <w:t>241(a) Supplementals for Apts/coop with Inclusion Zoning,  or 10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0843FC">
              <w:rPr>
                <w:rFonts w:ascii="Times New Roman" w:eastAsiaTheme="minorHAnsi" w:hAnsi="Times New Roman"/>
                <w:sz w:val="24"/>
                <w:szCs w:val="24"/>
              </w:rPr>
              <w:t xml:space="preserve"> </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LIHTC, or 10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-90</w:t>
            </w:r>
            <w:r w:rsidR="009441CE">
              <w:rPr>
                <w:rFonts w:ascii="Times New Roman" w:eastAsiaTheme="minorHAnsi" w:hAnsi="Times New Roman"/>
                <w:sz w:val="24"/>
                <w:szCs w:val="24"/>
              </w:rPr>
              <w:t>percent</w:t>
            </w:r>
            <w:r w:rsidRPr="00B034A7">
              <w:rPr>
                <w:rFonts w:ascii="Times New Roman" w:eastAsiaTheme="minorHAnsi" w:hAnsi="Times New Roman"/>
                <w:sz w:val="24"/>
                <w:szCs w:val="24"/>
              </w:rPr>
              <w:t xml:space="preserve"> Section 8</w:t>
            </w:r>
          </w:p>
        </w:tc>
        <w:tc>
          <w:tcPr>
            <w:tcW w:w="1152"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45-95</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c>
          <w:tcPr>
            <w:tcW w:w="117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45-95</w:t>
            </w:r>
          </w:p>
        </w:tc>
        <w:tc>
          <w:tcPr>
            <w:tcW w:w="1440" w:type="dxa"/>
          </w:tcPr>
          <w:p w:rsidR="006F4FEC" w:rsidRPr="00B034A7" w:rsidRDefault="006F4FEC" w:rsidP="005332C9">
            <w:pPr>
              <w:rPr>
                <w:rFonts w:ascii="Times New Roman" w:eastAsiaTheme="minorHAnsi" w:hAnsi="Times New Roman"/>
                <w:sz w:val="24"/>
                <w:szCs w:val="24"/>
              </w:rPr>
            </w:pPr>
            <w:r w:rsidRPr="00B034A7">
              <w:rPr>
                <w:rFonts w:ascii="Times New Roman" w:eastAsiaTheme="minorHAnsi" w:hAnsi="Times New Roman"/>
                <w:sz w:val="24"/>
                <w:szCs w:val="24"/>
              </w:rPr>
              <w:t>35</w:t>
            </w:r>
          </w:p>
        </w:tc>
      </w:tr>
      <w:tr w:rsidR="006F4FEC" w:rsidRPr="003E10C5" w:rsidTr="00EC57B4">
        <w:tc>
          <w:tcPr>
            <w:tcW w:w="5796" w:type="dxa"/>
            <w:gridSpan w:val="2"/>
          </w:tcPr>
          <w:p w:rsidR="006F4FEC" w:rsidRPr="00B034A7" w:rsidRDefault="006F4FEC" w:rsidP="005332C9">
            <w:pPr>
              <w:rPr>
                <w:rFonts w:ascii="Times New Roman" w:eastAsiaTheme="minorHAnsi" w:hAnsi="Times New Roman"/>
                <w:b/>
                <w:sz w:val="24"/>
                <w:szCs w:val="24"/>
                <w:u w:val="single"/>
              </w:rPr>
            </w:pPr>
          </w:p>
        </w:tc>
        <w:tc>
          <w:tcPr>
            <w:tcW w:w="1152" w:type="dxa"/>
          </w:tcPr>
          <w:p w:rsidR="006F4FEC" w:rsidRPr="00B034A7" w:rsidRDefault="006F4FEC" w:rsidP="005332C9">
            <w:pPr>
              <w:rPr>
                <w:rFonts w:ascii="Times New Roman" w:eastAsiaTheme="minorHAnsi" w:hAnsi="Times New Roman"/>
                <w:sz w:val="24"/>
                <w:szCs w:val="24"/>
              </w:rPr>
            </w:pPr>
          </w:p>
        </w:tc>
        <w:tc>
          <w:tcPr>
            <w:tcW w:w="1440" w:type="dxa"/>
          </w:tcPr>
          <w:p w:rsidR="006F4FEC" w:rsidRPr="00B034A7" w:rsidRDefault="006F4FEC" w:rsidP="005332C9">
            <w:pPr>
              <w:rPr>
                <w:rFonts w:ascii="Times New Roman" w:eastAsiaTheme="minorHAnsi" w:hAnsi="Times New Roman"/>
                <w:sz w:val="24"/>
                <w:szCs w:val="24"/>
              </w:rPr>
            </w:pPr>
          </w:p>
        </w:tc>
        <w:tc>
          <w:tcPr>
            <w:tcW w:w="1170" w:type="dxa"/>
          </w:tcPr>
          <w:p w:rsidR="006F4FEC" w:rsidRPr="00B034A7" w:rsidRDefault="006F4FEC" w:rsidP="005332C9">
            <w:pPr>
              <w:rPr>
                <w:rFonts w:ascii="Times New Roman" w:eastAsiaTheme="minorHAnsi" w:hAnsi="Times New Roman"/>
                <w:sz w:val="24"/>
                <w:szCs w:val="24"/>
              </w:rPr>
            </w:pPr>
          </w:p>
        </w:tc>
        <w:tc>
          <w:tcPr>
            <w:tcW w:w="1440" w:type="dxa"/>
          </w:tcPr>
          <w:p w:rsidR="006F4FEC" w:rsidRPr="00B034A7" w:rsidRDefault="006F4FEC" w:rsidP="005332C9">
            <w:pPr>
              <w:rPr>
                <w:rFonts w:ascii="Times New Roman" w:eastAsiaTheme="minorHAnsi" w:hAnsi="Times New Roman"/>
                <w:b/>
                <w:sz w:val="24"/>
                <w:szCs w:val="24"/>
                <w:u w:val="single"/>
              </w:rPr>
            </w:pPr>
          </w:p>
        </w:tc>
      </w:tr>
      <w:tr w:rsidR="002422EC" w:rsidRPr="003E10C5" w:rsidTr="00EC57B4">
        <w:tc>
          <w:tcPr>
            <w:tcW w:w="5796" w:type="dxa"/>
            <w:gridSpan w:val="2"/>
          </w:tcPr>
          <w:p w:rsidR="002422EC" w:rsidRPr="00B034A7" w:rsidRDefault="002422EC" w:rsidP="005332C9">
            <w:pPr>
              <w:rPr>
                <w:rFonts w:ascii="Times New Roman" w:eastAsiaTheme="minorHAnsi" w:hAnsi="Times New Roman"/>
                <w:b/>
                <w:sz w:val="24"/>
                <w:szCs w:val="24"/>
                <w:u w:val="single"/>
              </w:rPr>
            </w:pPr>
            <w:r w:rsidRPr="00B034A7">
              <w:rPr>
                <w:rFonts w:ascii="Times New Roman" w:eastAsiaTheme="minorHAnsi" w:hAnsi="Times New Roman"/>
                <w:b/>
                <w:sz w:val="24"/>
                <w:szCs w:val="24"/>
                <w:u w:val="single"/>
              </w:rPr>
              <w:t>GREEN / ENERGY EFFICIENT HOUSING</w:t>
            </w:r>
          </w:p>
        </w:tc>
        <w:tc>
          <w:tcPr>
            <w:tcW w:w="1152" w:type="dxa"/>
          </w:tcPr>
          <w:p w:rsidR="002422EC" w:rsidRPr="00B034A7" w:rsidRDefault="002422EC" w:rsidP="005332C9">
            <w:pPr>
              <w:rPr>
                <w:rFonts w:ascii="Times New Roman" w:eastAsiaTheme="minorHAnsi" w:hAnsi="Times New Roman"/>
                <w:sz w:val="24"/>
                <w:szCs w:val="24"/>
              </w:rPr>
            </w:pPr>
          </w:p>
        </w:tc>
        <w:tc>
          <w:tcPr>
            <w:tcW w:w="1440" w:type="dxa"/>
          </w:tcPr>
          <w:p w:rsidR="002422EC" w:rsidRPr="00B034A7" w:rsidRDefault="002422EC" w:rsidP="005332C9">
            <w:pPr>
              <w:rPr>
                <w:rFonts w:ascii="Times New Roman" w:eastAsiaTheme="minorHAnsi" w:hAnsi="Times New Roman"/>
                <w:sz w:val="24"/>
                <w:szCs w:val="24"/>
              </w:rPr>
            </w:pPr>
            <w:r>
              <w:rPr>
                <w:rFonts w:ascii="Times New Roman" w:eastAsiaTheme="minorHAnsi" w:hAnsi="Times New Roman"/>
                <w:b/>
                <w:sz w:val="24"/>
                <w:szCs w:val="24"/>
                <w:u w:val="single"/>
              </w:rPr>
              <w:t>25</w:t>
            </w:r>
          </w:p>
        </w:tc>
        <w:tc>
          <w:tcPr>
            <w:tcW w:w="1170" w:type="dxa"/>
          </w:tcPr>
          <w:p w:rsidR="002422EC" w:rsidRPr="00B034A7" w:rsidRDefault="002422EC" w:rsidP="005332C9">
            <w:pPr>
              <w:rPr>
                <w:rFonts w:ascii="Times New Roman" w:eastAsiaTheme="minorHAnsi" w:hAnsi="Times New Roman"/>
                <w:sz w:val="24"/>
                <w:szCs w:val="24"/>
              </w:rPr>
            </w:pPr>
          </w:p>
        </w:tc>
        <w:tc>
          <w:tcPr>
            <w:tcW w:w="1440" w:type="dxa"/>
          </w:tcPr>
          <w:p w:rsidR="002422EC" w:rsidRPr="00B034A7" w:rsidRDefault="002422EC" w:rsidP="005332C9">
            <w:pPr>
              <w:rPr>
                <w:rFonts w:ascii="Times New Roman" w:eastAsiaTheme="minorHAnsi" w:hAnsi="Times New Roman"/>
                <w:b/>
                <w:sz w:val="24"/>
                <w:szCs w:val="24"/>
                <w:u w:val="single"/>
              </w:rPr>
            </w:pPr>
            <w:r>
              <w:rPr>
                <w:rFonts w:ascii="Times New Roman" w:eastAsiaTheme="minorHAnsi" w:hAnsi="Times New Roman"/>
                <w:b/>
                <w:sz w:val="24"/>
                <w:szCs w:val="24"/>
                <w:u w:val="single"/>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207 Multifamily New Construction/Sub Rehab with Green</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207 Manufactured Home Parks with Green</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221(d)(4) NC/SR with Green</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45-65</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45-65</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220 Urban Renewal Housing with Green</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207/223(f) Refinance or Purchase for Apts with Green</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100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45-60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223(a)(7) Refinance of Apartments with Green</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50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45-50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231 Elderly Housing with Green</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45-70</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r>
      <w:tr w:rsidR="002422EC" w:rsidRPr="003E10C5" w:rsidTr="00EC57B4">
        <w:tc>
          <w:tcPr>
            <w:tcW w:w="5796" w:type="dxa"/>
            <w:gridSpan w:val="2"/>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241(a) Supplemental Loans for Apts/coop with Green</w:t>
            </w:r>
          </w:p>
        </w:tc>
        <w:tc>
          <w:tcPr>
            <w:tcW w:w="1152"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45-95</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c>
          <w:tcPr>
            <w:tcW w:w="1170" w:type="dxa"/>
          </w:tcPr>
          <w:p w:rsidR="002422EC" w:rsidRPr="00B034A7" w:rsidRDefault="002422EC" w:rsidP="005332C9">
            <w:pPr>
              <w:rPr>
                <w:rFonts w:ascii="Times New Roman" w:eastAsiaTheme="minorHAnsi" w:hAnsi="Times New Roman"/>
                <w:sz w:val="24"/>
                <w:szCs w:val="24"/>
              </w:rPr>
            </w:pPr>
            <w:r w:rsidRPr="00B034A7">
              <w:rPr>
                <w:rFonts w:ascii="Times New Roman" w:eastAsiaTheme="minorHAnsi" w:hAnsi="Times New Roman"/>
                <w:sz w:val="24"/>
                <w:szCs w:val="24"/>
              </w:rPr>
              <w:t>45-95</w:t>
            </w:r>
          </w:p>
        </w:tc>
        <w:tc>
          <w:tcPr>
            <w:tcW w:w="1440" w:type="dxa"/>
          </w:tcPr>
          <w:p w:rsidR="002422EC" w:rsidRPr="00B034A7" w:rsidRDefault="002422EC" w:rsidP="005332C9">
            <w:pPr>
              <w:rPr>
                <w:rFonts w:ascii="Times New Roman" w:eastAsiaTheme="minorHAnsi" w:hAnsi="Times New Roman"/>
                <w:sz w:val="24"/>
                <w:szCs w:val="24"/>
              </w:rPr>
            </w:pPr>
            <w:r w:rsidRPr="00C95C51">
              <w:rPr>
                <w:rFonts w:ascii="Times New Roman" w:eastAsiaTheme="minorHAnsi" w:hAnsi="Times New Roman"/>
                <w:sz w:val="24"/>
                <w:szCs w:val="24"/>
              </w:rPr>
              <w:t>25</w:t>
            </w:r>
          </w:p>
        </w:tc>
      </w:tr>
    </w:tbl>
    <w:p w:rsidR="00DE1C84" w:rsidRPr="003E10C5" w:rsidRDefault="00DE1C84" w:rsidP="00DE1C84">
      <w:pPr>
        <w:kinsoku w:val="0"/>
        <w:overflowPunct w:val="0"/>
        <w:ind w:left="270"/>
        <w:textAlignment w:val="baseline"/>
        <w:rPr>
          <w:rFonts w:ascii="Times New Roman" w:hAnsi="Times New Roman"/>
          <w:spacing w:val="8"/>
          <w:sz w:val="24"/>
          <w:szCs w:val="24"/>
        </w:rPr>
      </w:pPr>
    </w:p>
    <w:p w:rsidR="00DE1C84" w:rsidRPr="003E10C5" w:rsidRDefault="00DE1C84" w:rsidP="00CD5C77">
      <w:pPr>
        <w:kinsoku w:val="0"/>
        <w:overflowPunct w:val="0"/>
        <w:ind w:left="270"/>
        <w:textAlignment w:val="baseline"/>
        <w:rPr>
          <w:rFonts w:ascii="Times New Roman" w:hAnsi="Times New Roman"/>
          <w:spacing w:val="8"/>
          <w:sz w:val="24"/>
          <w:szCs w:val="24"/>
        </w:rPr>
      </w:pPr>
    </w:p>
    <w:p w:rsidR="00D53676" w:rsidRPr="003E10C5" w:rsidRDefault="00A25E8E" w:rsidP="00D53676">
      <w:pPr>
        <w:rPr>
          <w:rFonts w:ascii="Times New Roman" w:hAnsi="Times New Roman"/>
          <w:sz w:val="24"/>
          <w:szCs w:val="24"/>
        </w:rPr>
      </w:pPr>
      <w:r w:rsidRPr="003E10C5">
        <w:rPr>
          <w:rFonts w:ascii="Times New Roman" w:hAnsi="Times New Roman"/>
          <w:sz w:val="24"/>
          <w:szCs w:val="24"/>
        </w:rPr>
        <w:t xml:space="preserve">* </w:t>
      </w:r>
      <w:r w:rsidR="0086715F">
        <w:rPr>
          <w:rFonts w:ascii="Times New Roman" w:hAnsi="Times New Roman"/>
          <w:sz w:val="24"/>
          <w:szCs w:val="24"/>
        </w:rPr>
        <w:t>U</w:t>
      </w:r>
      <w:r w:rsidR="00B75B69" w:rsidRPr="003E10C5">
        <w:rPr>
          <w:rFonts w:ascii="Times New Roman" w:hAnsi="Times New Roman"/>
          <w:sz w:val="24"/>
          <w:szCs w:val="24"/>
        </w:rPr>
        <w:t xml:space="preserve">pfront </w:t>
      </w:r>
      <w:r w:rsidR="00E14961">
        <w:rPr>
          <w:rFonts w:ascii="Times New Roman" w:hAnsi="Times New Roman"/>
          <w:sz w:val="24"/>
          <w:szCs w:val="24"/>
        </w:rPr>
        <w:t>premiums</w:t>
      </w:r>
      <w:r w:rsidR="00E14961" w:rsidRPr="003E10C5">
        <w:rPr>
          <w:rFonts w:ascii="Times New Roman" w:hAnsi="Times New Roman"/>
          <w:sz w:val="24"/>
          <w:szCs w:val="24"/>
        </w:rPr>
        <w:t xml:space="preserve"> </w:t>
      </w:r>
      <w:r w:rsidR="00B75B69" w:rsidRPr="003E10C5">
        <w:rPr>
          <w:rFonts w:ascii="Times New Roman" w:hAnsi="Times New Roman"/>
          <w:sz w:val="24"/>
          <w:szCs w:val="24"/>
        </w:rPr>
        <w:t xml:space="preserve">for Multifamily refinancing programs are capitalized and based on the </w:t>
      </w:r>
      <w:r w:rsidR="004F45FA">
        <w:rPr>
          <w:rFonts w:ascii="Times New Roman" w:hAnsi="Times New Roman"/>
          <w:sz w:val="24"/>
          <w:szCs w:val="24"/>
        </w:rPr>
        <w:t xml:space="preserve">first year’s </w:t>
      </w:r>
      <w:r w:rsidR="00B75B69" w:rsidRPr="003E10C5">
        <w:rPr>
          <w:rFonts w:ascii="Times New Roman" w:hAnsi="Times New Roman"/>
          <w:sz w:val="24"/>
          <w:szCs w:val="24"/>
        </w:rPr>
        <w:t>annual MIP</w:t>
      </w:r>
      <w:r w:rsidR="00054F81">
        <w:rPr>
          <w:rFonts w:ascii="Times New Roman" w:hAnsi="Times New Roman"/>
          <w:sz w:val="24"/>
          <w:szCs w:val="24"/>
        </w:rPr>
        <w:t xml:space="preserve"> for the applicable rate category</w:t>
      </w:r>
      <w:r w:rsidR="0086715F">
        <w:rPr>
          <w:rFonts w:ascii="Times New Roman" w:hAnsi="Times New Roman"/>
          <w:sz w:val="24"/>
          <w:szCs w:val="24"/>
        </w:rPr>
        <w:t xml:space="preserve"> (except market rate 223(f), where the upfront rate remains at 100 bps)</w:t>
      </w:r>
      <w:r w:rsidR="00B75B69" w:rsidRPr="003E10C5">
        <w:rPr>
          <w:rFonts w:ascii="Times New Roman" w:hAnsi="Times New Roman"/>
          <w:sz w:val="24"/>
          <w:szCs w:val="24"/>
        </w:rPr>
        <w:t xml:space="preserve">.   Upfront </w:t>
      </w:r>
      <w:r w:rsidR="00E14961">
        <w:rPr>
          <w:rFonts w:ascii="Times New Roman" w:hAnsi="Times New Roman"/>
          <w:sz w:val="24"/>
          <w:szCs w:val="24"/>
        </w:rPr>
        <w:t>premiums</w:t>
      </w:r>
      <w:r w:rsidR="00E14961" w:rsidRPr="003E10C5">
        <w:rPr>
          <w:rFonts w:ascii="Times New Roman" w:hAnsi="Times New Roman"/>
          <w:sz w:val="24"/>
          <w:szCs w:val="24"/>
        </w:rPr>
        <w:t xml:space="preserve"> </w:t>
      </w:r>
      <w:r w:rsidR="00B75B69" w:rsidRPr="003E10C5">
        <w:rPr>
          <w:rFonts w:ascii="Times New Roman" w:hAnsi="Times New Roman"/>
          <w:sz w:val="24"/>
          <w:szCs w:val="24"/>
        </w:rPr>
        <w:t xml:space="preserve">for Multifamily new construction and substantial rehabilitation programs insuring advances are capitalized and based on the annual MIP </w:t>
      </w:r>
      <w:r w:rsidR="00A4558C">
        <w:rPr>
          <w:rFonts w:ascii="Times New Roman" w:hAnsi="Times New Roman"/>
          <w:sz w:val="24"/>
          <w:szCs w:val="24"/>
        </w:rPr>
        <w:t xml:space="preserve">for </w:t>
      </w:r>
      <w:r w:rsidR="00054F81">
        <w:rPr>
          <w:rFonts w:ascii="Times New Roman" w:hAnsi="Times New Roman"/>
          <w:sz w:val="24"/>
          <w:szCs w:val="24"/>
        </w:rPr>
        <w:t xml:space="preserve">the applicable rate category </w:t>
      </w:r>
      <w:r w:rsidR="00B75B69" w:rsidRPr="003E10C5">
        <w:rPr>
          <w:rFonts w:ascii="Times New Roman" w:hAnsi="Times New Roman"/>
          <w:sz w:val="24"/>
          <w:szCs w:val="24"/>
        </w:rPr>
        <w:t xml:space="preserve">for the </w:t>
      </w:r>
      <w:r w:rsidR="00D766EC" w:rsidRPr="003E10C5">
        <w:rPr>
          <w:rFonts w:ascii="Times New Roman" w:hAnsi="Times New Roman"/>
          <w:sz w:val="24"/>
          <w:szCs w:val="24"/>
        </w:rPr>
        <w:t xml:space="preserve">entire </w:t>
      </w:r>
      <w:r w:rsidR="00B75B69" w:rsidRPr="003E10C5">
        <w:rPr>
          <w:rFonts w:ascii="Times New Roman" w:hAnsi="Times New Roman"/>
          <w:sz w:val="24"/>
          <w:szCs w:val="24"/>
        </w:rPr>
        <w:t>construction period</w:t>
      </w:r>
      <w:r w:rsidR="0086715F">
        <w:rPr>
          <w:rFonts w:ascii="Times New Roman" w:hAnsi="Times New Roman"/>
          <w:sz w:val="24"/>
          <w:szCs w:val="24"/>
        </w:rPr>
        <w:t>, rounded up to the nearest whole year</w:t>
      </w:r>
      <w:r w:rsidR="00B75B69" w:rsidRPr="003E10C5">
        <w:rPr>
          <w:rFonts w:ascii="Times New Roman" w:hAnsi="Times New Roman"/>
          <w:sz w:val="24"/>
          <w:szCs w:val="24"/>
        </w:rPr>
        <w:t xml:space="preserve">. </w:t>
      </w:r>
    </w:p>
    <w:p w:rsidR="00EA0A95" w:rsidRPr="003E10C5" w:rsidRDefault="00EA0A95" w:rsidP="00D53676">
      <w:pPr>
        <w:rPr>
          <w:rFonts w:ascii="Times New Roman" w:hAnsi="Times New Roman"/>
          <w:sz w:val="24"/>
          <w:szCs w:val="24"/>
        </w:rPr>
      </w:pPr>
    </w:p>
    <w:p w:rsidR="00867733" w:rsidRPr="003E10C5" w:rsidRDefault="00EA0A95" w:rsidP="00D53676">
      <w:pPr>
        <w:rPr>
          <w:rFonts w:ascii="Times New Roman" w:hAnsi="Times New Roman"/>
          <w:sz w:val="24"/>
          <w:szCs w:val="24"/>
        </w:rPr>
      </w:pPr>
      <w:r w:rsidRPr="003E10C5">
        <w:rPr>
          <w:rFonts w:ascii="Times New Roman" w:hAnsi="Times New Roman"/>
          <w:sz w:val="24"/>
          <w:szCs w:val="24"/>
        </w:rPr>
        <w:lastRenderedPageBreak/>
        <w:t xml:space="preserve">** Under the </w:t>
      </w:r>
      <w:r w:rsidR="00867733" w:rsidRPr="003E10C5">
        <w:rPr>
          <w:rFonts w:ascii="Times New Roman" w:hAnsi="Times New Roman"/>
          <w:sz w:val="24"/>
          <w:szCs w:val="24"/>
        </w:rPr>
        <w:t xml:space="preserve">Sections </w:t>
      </w:r>
      <w:r w:rsidRPr="003E10C5">
        <w:rPr>
          <w:rFonts w:ascii="Times New Roman" w:hAnsi="Times New Roman"/>
          <w:sz w:val="24"/>
          <w:szCs w:val="24"/>
        </w:rPr>
        <w:t xml:space="preserve">542(b) and 542(c) Risk Share programs, the MIP </w:t>
      </w:r>
      <w:r w:rsidR="009B6A08" w:rsidRPr="003E10C5">
        <w:rPr>
          <w:rFonts w:ascii="Times New Roman" w:hAnsi="Times New Roman"/>
          <w:sz w:val="24"/>
          <w:szCs w:val="24"/>
        </w:rPr>
        <w:t>collected by</w:t>
      </w:r>
      <w:r w:rsidRPr="003E10C5">
        <w:rPr>
          <w:rFonts w:ascii="Times New Roman" w:hAnsi="Times New Roman"/>
          <w:sz w:val="24"/>
          <w:szCs w:val="24"/>
        </w:rPr>
        <w:t xml:space="preserve"> HUD is currently, and will </w:t>
      </w:r>
      <w:r w:rsidR="00EC57B4">
        <w:rPr>
          <w:rFonts w:ascii="Times New Roman" w:hAnsi="Times New Roman"/>
          <w:sz w:val="24"/>
          <w:szCs w:val="24"/>
        </w:rPr>
        <w:t xml:space="preserve">continue to </w:t>
      </w:r>
      <w:r w:rsidRPr="003E10C5">
        <w:rPr>
          <w:rFonts w:ascii="Times New Roman" w:hAnsi="Times New Roman"/>
          <w:sz w:val="24"/>
          <w:szCs w:val="24"/>
        </w:rPr>
        <w:t>be</w:t>
      </w:r>
      <w:r w:rsidR="006B0313" w:rsidRPr="003E10C5">
        <w:rPr>
          <w:rFonts w:ascii="Times New Roman" w:hAnsi="Times New Roman"/>
          <w:sz w:val="24"/>
          <w:szCs w:val="24"/>
        </w:rPr>
        <w:t xml:space="preserve">, </w:t>
      </w:r>
      <w:r w:rsidRPr="003E10C5">
        <w:rPr>
          <w:rFonts w:ascii="Times New Roman" w:hAnsi="Times New Roman"/>
          <w:sz w:val="24"/>
          <w:szCs w:val="24"/>
        </w:rPr>
        <w:t>proportionate to the percentage of risk assumed by FHA</w:t>
      </w:r>
      <w:r w:rsidR="00867733" w:rsidRPr="003E10C5">
        <w:rPr>
          <w:rFonts w:ascii="Times New Roman" w:hAnsi="Times New Roman"/>
          <w:sz w:val="24"/>
          <w:szCs w:val="24"/>
        </w:rPr>
        <w:t xml:space="preserve">, as follows: </w:t>
      </w:r>
      <w:r w:rsidR="00152227" w:rsidRPr="003E10C5">
        <w:rPr>
          <w:rFonts w:ascii="Times New Roman" w:hAnsi="Times New Roman"/>
          <w:sz w:val="24"/>
          <w:szCs w:val="24"/>
        </w:rPr>
        <w:t xml:space="preserve"> </w:t>
      </w:r>
    </w:p>
    <w:tbl>
      <w:tblPr>
        <w:tblStyle w:val="TableGrid"/>
        <w:tblpPr w:leftFromText="180" w:rightFromText="180" w:vertAnchor="text" w:horzAnchor="margin" w:tblpXSpec="center" w:tblpY="191"/>
        <w:tblW w:w="0" w:type="auto"/>
        <w:tblLook w:val="04A0" w:firstRow="1" w:lastRow="0" w:firstColumn="1" w:lastColumn="0" w:noHBand="0" w:noVBand="1"/>
      </w:tblPr>
      <w:tblGrid>
        <w:gridCol w:w="1043"/>
        <w:gridCol w:w="2262"/>
        <w:gridCol w:w="3060"/>
        <w:gridCol w:w="3060"/>
      </w:tblGrid>
      <w:tr w:rsidR="000A0851" w:rsidRPr="003E10C5" w:rsidTr="000A0851">
        <w:tc>
          <w:tcPr>
            <w:tcW w:w="906" w:type="dxa"/>
          </w:tcPr>
          <w:p w:rsidR="000A0851" w:rsidRPr="003E10C5" w:rsidRDefault="000A0851" w:rsidP="000A0851">
            <w:pPr>
              <w:jc w:val="center"/>
              <w:rPr>
                <w:rFonts w:ascii="Times New Roman" w:hAnsi="Times New Roman"/>
                <w:sz w:val="24"/>
                <w:szCs w:val="24"/>
              </w:rPr>
            </w:pPr>
            <w:r w:rsidRPr="003E10C5">
              <w:rPr>
                <w:rFonts w:ascii="Times New Roman" w:hAnsi="Times New Roman"/>
                <w:sz w:val="24"/>
                <w:szCs w:val="24"/>
              </w:rPr>
              <w:t>Program</w:t>
            </w:r>
          </w:p>
        </w:tc>
        <w:tc>
          <w:tcPr>
            <w:tcW w:w="2262" w:type="dxa"/>
          </w:tcPr>
          <w:p w:rsidR="000A0851" w:rsidRPr="003E10C5" w:rsidRDefault="000A0851" w:rsidP="000A0851">
            <w:pPr>
              <w:rPr>
                <w:rFonts w:ascii="Times New Roman" w:hAnsi="Times New Roman"/>
                <w:sz w:val="24"/>
                <w:szCs w:val="24"/>
              </w:rPr>
            </w:pPr>
            <w:r w:rsidRPr="003E10C5">
              <w:rPr>
                <w:rFonts w:ascii="Times New Roman" w:hAnsi="Times New Roman"/>
                <w:sz w:val="24"/>
                <w:szCs w:val="24"/>
              </w:rPr>
              <w:t xml:space="preserve">FHA </w:t>
            </w:r>
            <w:r w:rsidR="009441CE">
              <w:rPr>
                <w:rFonts w:ascii="Times New Roman" w:hAnsi="Times New Roman"/>
                <w:sz w:val="24"/>
                <w:szCs w:val="24"/>
              </w:rPr>
              <w:t>percent</w:t>
            </w:r>
            <w:r w:rsidRPr="003E10C5">
              <w:rPr>
                <w:rFonts w:ascii="Times New Roman" w:hAnsi="Times New Roman"/>
                <w:sz w:val="24"/>
                <w:szCs w:val="24"/>
              </w:rPr>
              <w:t xml:space="preserve"> of Risk Share</w:t>
            </w:r>
          </w:p>
        </w:tc>
        <w:tc>
          <w:tcPr>
            <w:tcW w:w="3060" w:type="dxa"/>
          </w:tcPr>
          <w:p w:rsidR="000A0851" w:rsidRPr="003E10C5" w:rsidRDefault="005B39BB" w:rsidP="000A0851">
            <w:pPr>
              <w:keepNext/>
              <w:jc w:val="center"/>
              <w:outlineLvl w:val="4"/>
              <w:rPr>
                <w:rFonts w:ascii="Times New Roman" w:eastAsiaTheme="minorHAnsi" w:hAnsi="Times New Roman"/>
                <w:bCs/>
                <w:sz w:val="24"/>
                <w:szCs w:val="24"/>
              </w:rPr>
            </w:pPr>
            <w:r>
              <w:rPr>
                <w:rFonts w:ascii="Times New Roman" w:eastAsiaTheme="minorHAnsi" w:hAnsi="Times New Roman"/>
                <w:bCs/>
                <w:sz w:val="24"/>
                <w:szCs w:val="24"/>
              </w:rPr>
              <w:t>April 1, 2016</w:t>
            </w:r>
            <w:r w:rsidRPr="003E10C5">
              <w:rPr>
                <w:rFonts w:ascii="Times New Roman" w:eastAsiaTheme="minorHAnsi" w:hAnsi="Times New Roman"/>
                <w:bCs/>
                <w:sz w:val="24"/>
                <w:szCs w:val="24"/>
              </w:rPr>
              <w:t xml:space="preserve"> </w:t>
            </w:r>
            <w:r w:rsidR="000A0851" w:rsidRPr="003E10C5">
              <w:rPr>
                <w:rFonts w:ascii="Times New Roman" w:eastAsiaTheme="minorHAnsi" w:hAnsi="Times New Roman"/>
                <w:bCs/>
                <w:sz w:val="24"/>
                <w:szCs w:val="24"/>
              </w:rPr>
              <w:t>Upfront Capitalized MIP Basis Points</w:t>
            </w:r>
          </w:p>
        </w:tc>
        <w:tc>
          <w:tcPr>
            <w:tcW w:w="3060" w:type="dxa"/>
          </w:tcPr>
          <w:p w:rsidR="000A0851" w:rsidRPr="003E10C5" w:rsidRDefault="005B39BB" w:rsidP="000A0851">
            <w:pPr>
              <w:keepNext/>
              <w:jc w:val="center"/>
              <w:outlineLvl w:val="4"/>
              <w:rPr>
                <w:rFonts w:ascii="Times New Roman" w:eastAsiaTheme="minorHAnsi" w:hAnsi="Times New Roman"/>
                <w:bCs/>
                <w:sz w:val="24"/>
                <w:szCs w:val="24"/>
              </w:rPr>
            </w:pPr>
            <w:r>
              <w:rPr>
                <w:rFonts w:ascii="Times New Roman" w:eastAsiaTheme="minorHAnsi" w:hAnsi="Times New Roman"/>
                <w:bCs/>
                <w:sz w:val="24"/>
                <w:szCs w:val="24"/>
              </w:rPr>
              <w:t>April 1, 2016</w:t>
            </w:r>
            <w:r w:rsidRPr="003E10C5">
              <w:rPr>
                <w:rFonts w:ascii="Times New Roman" w:eastAsiaTheme="minorHAnsi" w:hAnsi="Times New Roman"/>
                <w:bCs/>
                <w:sz w:val="24"/>
                <w:szCs w:val="24"/>
              </w:rPr>
              <w:t xml:space="preserve"> </w:t>
            </w:r>
            <w:r w:rsidR="000A0851" w:rsidRPr="003E10C5">
              <w:rPr>
                <w:rFonts w:ascii="Times New Roman" w:eastAsiaTheme="minorHAnsi" w:hAnsi="Times New Roman"/>
                <w:bCs/>
                <w:sz w:val="24"/>
                <w:szCs w:val="24"/>
              </w:rPr>
              <w:t>Annual MIP</w:t>
            </w:r>
          </w:p>
          <w:p w:rsidR="000A0851" w:rsidRPr="003E10C5" w:rsidRDefault="000A0851" w:rsidP="000A0851">
            <w:pPr>
              <w:jc w:val="center"/>
              <w:rPr>
                <w:rFonts w:ascii="Times New Roman" w:hAnsi="Times New Roman"/>
                <w:sz w:val="24"/>
                <w:szCs w:val="24"/>
              </w:rPr>
            </w:pPr>
            <w:r w:rsidRPr="003E10C5">
              <w:rPr>
                <w:rFonts w:ascii="Times New Roman" w:eastAsiaTheme="minorHAnsi" w:hAnsi="Times New Roman"/>
                <w:bCs/>
                <w:sz w:val="24"/>
                <w:szCs w:val="24"/>
              </w:rPr>
              <w:t>Basis Points</w:t>
            </w:r>
          </w:p>
        </w:tc>
      </w:tr>
      <w:tr w:rsidR="000A0851" w:rsidRPr="003E10C5" w:rsidTr="000A0851">
        <w:tc>
          <w:tcPr>
            <w:tcW w:w="906" w:type="dxa"/>
          </w:tcPr>
          <w:p w:rsidR="000A0851" w:rsidRPr="003E10C5" w:rsidRDefault="000A0851" w:rsidP="000A0851">
            <w:pPr>
              <w:jc w:val="center"/>
              <w:rPr>
                <w:rFonts w:ascii="Times New Roman" w:hAnsi="Times New Roman"/>
                <w:sz w:val="24"/>
                <w:szCs w:val="24"/>
              </w:rPr>
            </w:pPr>
            <w:r w:rsidRPr="003E10C5">
              <w:rPr>
                <w:rFonts w:ascii="Times New Roman" w:hAnsi="Times New Roman"/>
                <w:sz w:val="24"/>
                <w:szCs w:val="24"/>
              </w:rPr>
              <w:t>542(b)</w:t>
            </w:r>
          </w:p>
        </w:tc>
        <w:tc>
          <w:tcPr>
            <w:tcW w:w="2262" w:type="dxa"/>
          </w:tcPr>
          <w:p w:rsidR="000A0851" w:rsidRPr="003E10C5" w:rsidRDefault="000A0851" w:rsidP="000A0851">
            <w:pPr>
              <w:jc w:val="center"/>
              <w:rPr>
                <w:rFonts w:ascii="Times New Roman" w:hAnsi="Times New Roman"/>
                <w:sz w:val="24"/>
                <w:szCs w:val="24"/>
              </w:rPr>
            </w:pPr>
            <w:r w:rsidRPr="003E10C5">
              <w:rPr>
                <w:rFonts w:ascii="Times New Roman" w:hAnsi="Times New Roman"/>
                <w:sz w:val="24"/>
                <w:szCs w:val="24"/>
              </w:rPr>
              <w:t>50</w:t>
            </w:r>
            <w:r w:rsidR="000843FC">
              <w:rPr>
                <w:rFonts w:ascii="Times New Roman" w:hAnsi="Times New Roman"/>
                <w:sz w:val="24"/>
                <w:szCs w:val="24"/>
              </w:rPr>
              <w:t xml:space="preserve"> </w:t>
            </w:r>
            <w:r w:rsidR="009441CE">
              <w:rPr>
                <w:rFonts w:ascii="Times New Roman" w:hAnsi="Times New Roman"/>
                <w:sz w:val="24"/>
                <w:szCs w:val="24"/>
              </w:rPr>
              <w:t>percent</w:t>
            </w:r>
          </w:p>
        </w:tc>
        <w:tc>
          <w:tcPr>
            <w:tcW w:w="3060" w:type="dxa"/>
          </w:tcPr>
          <w:p w:rsidR="000A0851" w:rsidRPr="00862F52" w:rsidRDefault="004B0CB4" w:rsidP="004B0CB4">
            <w:pPr>
              <w:jc w:val="center"/>
              <w:rPr>
                <w:rFonts w:ascii="Times New Roman" w:hAnsi="Times New Roman"/>
                <w:sz w:val="24"/>
                <w:szCs w:val="24"/>
              </w:rPr>
            </w:pPr>
            <w:r w:rsidRPr="00862F52">
              <w:rPr>
                <w:rFonts w:ascii="Times New Roman" w:hAnsi="Times New Roman"/>
                <w:sz w:val="24"/>
                <w:szCs w:val="24"/>
              </w:rPr>
              <w:t>12.5</w:t>
            </w:r>
            <w:r w:rsidR="000A0851" w:rsidRPr="00862F52">
              <w:rPr>
                <w:rFonts w:ascii="Times New Roman" w:hAnsi="Times New Roman"/>
                <w:sz w:val="24"/>
                <w:szCs w:val="24"/>
              </w:rPr>
              <w:t xml:space="preserve">  (</w:t>
            </w:r>
            <w:r w:rsidRPr="00862F52">
              <w:rPr>
                <w:rFonts w:ascii="Times New Roman" w:hAnsi="Times New Roman"/>
                <w:sz w:val="24"/>
                <w:szCs w:val="24"/>
              </w:rPr>
              <w:t xml:space="preserve">25 </w:t>
            </w:r>
            <w:r w:rsidR="000A0851" w:rsidRPr="00862F52">
              <w:rPr>
                <w:rFonts w:ascii="Times New Roman" w:hAnsi="Times New Roman"/>
                <w:sz w:val="24"/>
                <w:szCs w:val="24"/>
              </w:rPr>
              <w:t>bps x 50</w:t>
            </w:r>
            <w:r w:rsidR="000843FC">
              <w:rPr>
                <w:rFonts w:ascii="Times New Roman" w:hAnsi="Times New Roman"/>
                <w:sz w:val="24"/>
                <w:szCs w:val="24"/>
              </w:rPr>
              <w:t xml:space="preserve"> </w:t>
            </w:r>
            <w:r w:rsidR="009441CE">
              <w:rPr>
                <w:rFonts w:ascii="Times New Roman" w:hAnsi="Times New Roman"/>
                <w:sz w:val="24"/>
                <w:szCs w:val="24"/>
              </w:rPr>
              <w:t>percent</w:t>
            </w:r>
            <w:r w:rsidR="000A0851" w:rsidRPr="00862F52">
              <w:rPr>
                <w:rFonts w:ascii="Times New Roman" w:hAnsi="Times New Roman"/>
                <w:sz w:val="24"/>
                <w:szCs w:val="24"/>
              </w:rPr>
              <w:t>)</w:t>
            </w:r>
          </w:p>
        </w:tc>
        <w:tc>
          <w:tcPr>
            <w:tcW w:w="3060" w:type="dxa"/>
          </w:tcPr>
          <w:p w:rsidR="000A0851" w:rsidRPr="00862F52" w:rsidRDefault="004B0CB4" w:rsidP="004B0CB4">
            <w:pPr>
              <w:jc w:val="center"/>
              <w:rPr>
                <w:rFonts w:ascii="Times New Roman" w:hAnsi="Times New Roman"/>
                <w:sz w:val="24"/>
                <w:szCs w:val="24"/>
              </w:rPr>
            </w:pPr>
            <w:r w:rsidRPr="00862F52">
              <w:rPr>
                <w:rFonts w:ascii="Times New Roman" w:hAnsi="Times New Roman"/>
                <w:sz w:val="24"/>
                <w:szCs w:val="24"/>
              </w:rPr>
              <w:t>12.5</w:t>
            </w:r>
            <w:r w:rsidR="000A0851" w:rsidRPr="00862F52">
              <w:rPr>
                <w:rFonts w:ascii="Times New Roman" w:hAnsi="Times New Roman"/>
                <w:sz w:val="24"/>
                <w:szCs w:val="24"/>
              </w:rPr>
              <w:t xml:space="preserve">  (</w:t>
            </w:r>
            <w:r w:rsidRPr="00862F52">
              <w:rPr>
                <w:rFonts w:ascii="Times New Roman" w:hAnsi="Times New Roman"/>
                <w:sz w:val="24"/>
                <w:szCs w:val="24"/>
              </w:rPr>
              <w:t>25</w:t>
            </w:r>
            <w:r w:rsidR="000A0851" w:rsidRPr="00862F52">
              <w:rPr>
                <w:rFonts w:ascii="Times New Roman" w:hAnsi="Times New Roman"/>
                <w:sz w:val="24"/>
                <w:szCs w:val="24"/>
              </w:rPr>
              <w:t xml:space="preserve"> bps x 50</w:t>
            </w:r>
            <w:r w:rsidR="000843FC">
              <w:rPr>
                <w:rFonts w:ascii="Times New Roman" w:hAnsi="Times New Roman"/>
                <w:sz w:val="24"/>
                <w:szCs w:val="24"/>
              </w:rPr>
              <w:t xml:space="preserve"> </w:t>
            </w:r>
            <w:r w:rsidR="009441CE">
              <w:rPr>
                <w:rFonts w:ascii="Times New Roman" w:hAnsi="Times New Roman"/>
                <w:sz w:val="24"/>
                <w:szCs w:val="24"/>
              </w:rPr>
              <w:t>percent</w:t>
            </w:r>
            <w:r w:rsidR="000A0851" w:rsidRPr="00862F52">
              <w:rPr>
                <w:rFonts w:ascii="Times New Roman" w:hAnsi="Times New Roman"/>
                <w:sz w:val="24"/>
                <w:szCs w:val="24"/>
              </w:rPr>
              <w:t>)</w:t>
            </w:r>
          </w:p>
        </w:tc>
      </w:tr>
      <w:tr w:rsidR="000A0851" w:rsidRPr="003E10C5" w:rsidTr="000A0851">
        <w:tc>
          <w:tcPr>
            <w:tcW w:w="906" w:type="dxa"/>
            <w:vMerge w:val="restart"/>
          </w:tcPr>
          <w:p w:rsidR="000A0851" w:rsidRPr="003E10C5" w:rsidRDefault="000A0851" w:rsidP="000A0851">
            <w:pPr>
              <w:jc w:val="center"/>
              <w:rPr>
                <w:rFonts w:ascii="Times New Roman" w:hAnsi="Times New Roman"/>
                <w:sz w:val="24"/>
                <w:szCs w:val="24"/>
              </w:rPr>
            </w:pPr>
            <w:r w:rsidRPr="003E10C5">
              <w:rPr>
                <w:rFonts w:ascii="Times New Roman" w:hAnsi="Times New Roman"/>
                <w:sz w:val="24"/>
                <w:szCs w:val="24"/>
              </w:rPr>
              <w:t>542(c)</w:t>
            </w:r>
          </w:p>
        </w:tc>
        <w:tc>
          <w:tcPr>
            <w:tcW w:w="2262" w:type="dxa"/>
          </w:tcPr>
          <w:p w:rsidR="000A0851" w:rsidRPr="003E10C5" w:rsidRDefault="000A0851" w:rsidP="000A0851">
            <w:pPr>
              <w:jc w:val="center"/>
              <w:rPr>
                <w:rFonts w:ascii="Times New Roman" w:hAnsi="Times New Roman"/>
                <w:sz w:val="24"/>
                <w:szCs w:val="24"/>
              </w:rPr>
            </w:pPr>
            <w:r w:rsidRPr="003E10C5">
              <w:rPr>
                <w:rFonts w:ascii="Times New Roman" w:hAnsi="Times New Roman"/>
                <w:sz w:val="24"/>
                <w:szCs w:val="24"/>
              </w:rPr>
              <w:t>50</w:t>
            </w:r>
            <w:r w:rsidR="000843FC">
              <w:rPr>
                <w:rFonts w:ascii="Times New Roman" w:hAnsi="Times New Roman"/>
                <w:sz w:val="24"/>
                <w:szCs w:val="24"/>
              </w:rPr>
              <w:t xml:space="preserve"> </w:t>
            </w:r>
            <w:r w:rsidR="009441CE">
              <w:rPr>
                <w:rFonts w:ascii="Times New Roman" w:hAnsi="Times New Roman"/>
                <w:sz w:val="24"/>
                <w:szCs w:val="24"/>
              </w:rPr>
              <w:t>percent</w:t>
            </w:r>
          </w:p>
        </w:tc>
        <w:tc>
          <w:tcPr>
            <w:tcW w:w="3060" w:type="dxa"/>
          </w:tcPr>
          <w:p w:rsidR="000A0851" w:rsidRPr="00862F52" w:rsidRDefault="004B0CB4" w:rsidP="004B0CB4">
            <w:pPr>
              <w:jc w:val="center"/>
              <w:rPr>
                <w:rFonts w:ascii="Times New Roman" w:hAnsi="Times New Roman"/>
                <w:sz w:val="24"/>
                <w:szCs w:val="24"/>
              </w:rPr>
            </w:pPr>
            <w:r w:rsidRPr="00862F52">
              <w:rPr>
                <w:rFonts w:ascii="Times New Roman" w:hAnsi="Times New Roman"/>
                <w:sz w:val="24"/>
                <w:szCs w:val="24"/>
              </w:rPr>
              <w:t>12.5</w:t>
            </w:r>
            <w:r w:rsidR="000A0851" w:rsidRPr="00862F52">
              <w:rPr>
                <w:rFonts w:ascii="Times New Roman" w:hAnsi="Times New Roman"/>
                <w:sz w:val="24"/>
                <w:szCs w:val="24"/>
              </w:rPr>
              <w:t xml:space="preserve">  (</w:t>
            </w:r>
            <w:r w:rsidRPr="00862F52">
              <w:rPr>
                <w:rFonts w:ascii="Times New Roman" w:hAnsi="Times New Roman"/>
                <w:sz w:val="24"/>
                <w:szCs w:val="24"/>
              </w:rPr>
              <w:t xml:space="preserve">25 </w:t>
            </w:r>
            <w:r w:rsidR="000A0851" w:rsidRPr="00862F52">
              <w:rPr>
                <w:rFonts w:ascii="Times New Roman" w:hAnsi="Times New Roman"/>
                <w:sz w:val="24"/>
                <w:szCs w:val="24"/>
              </w:rPr>
              <w:t>bps x 50</w:t>
            </w:r>
            <w:r w:rsidR="000843FC">
              <w:rPr>
                <w:rFonts w:ascii="Times New Roman" w:hAnsi="Times New Roman"/>
                <w:sz w:val="24"/>
                <w:szCs w:val="24"/>
              </w:rPr>
              <w:t xml:space="preserve"> </w:t>
            </w:r>
            <w:r w:rsidR="009441CE">
              <w:rPr>
                <w:rFonts w:ascii="Times New Roman" w:hAnsi="Times New Roman"/>
                <w:sz w:val="24"/>
                <w:szCs w:val="24"/>
              </w:rPr>
              <w:t>percent</w:t>
            </w:r>
            <w:r w:rsidR="000A0851" w:rsidRPr="00862F52">
              <w:rPr>
                <w:rFonts w:ascii="Times New Roman" w:hAnsi="Times New Roman"/>
                <w:sz w:val="24"/>
                <w:szCs w:val="24"/>
              </w:rPr>
              <w:t>)</w:t>
            </w:r>
          </w:p>
        </w:tc>
        <w:tc>
          <w:tcPr>
            <w:tcW w:w="3060" w:type="dxa"/>
          </w:tcPr>
          <w:p w:rsidR="000A0851" w:rsidRPr="00862F52" w:rsidRDefault="004B0CB4" w:rsidP="004B0CB4">
            <w:pPr>
              <w:jc w:val="center"/>
              <w:rPr>
                <w:rFonts w:ascii="Times New Roman" w:hAnsi="Times New Roman"/>
                <w:sz w:val="24"/>
                <w:szCs w:val="24"/>
              </w:rPr>
            </w:pPr>
            <w:r w:rsidRPr="00862F52">
              <w:rPr>
                <w:rFonts w:ascii="Times New Roman" w:hAnsi="Times New Roman"/>
                <w:sz w:val="24"/>
                <w:szCs w:val="24"/>
              </w:rPr>
              <w:t>12.5</w:t>
            </w:r>
            <w:r w:rsidR="000A0851" w:rsidRPr="00862F52">
              <w:rPr>
                <w:rFonts w:ascii="Times New Roman" w:hAnsi="Times New Roman"/>
                <w:sz w:val="24"/>
                <w:szCs w:val="24"/>
              </w:rPr>
              <w:t xml:space="preserve">  (</w:t>
            </w:r>
            <w:r w:rsidRPr="00862F52">
              <w:rPr>
                <w:rFonts w:ascii="Times New Roman" w:hAnsi="Times New Roman"/>
                <w:sz w:val="24"/>
                <w:szCs w:val="24"/>
              </w:rPr>
              <w:t>25</w:t>
            </w:r>
            <w:r w:rsidR="000A0851" w:rsidRPr="00862F52">
              <w:rPr>
                <w:rFonts w:ascii="Times New Roman" w:hAnsi="Times New Roman"/>
                <w:sz w:val="24"/>
                <w:szCs w:val="24"/>
              </w:rPr>
              <w:t xml:space="preserve"> bps x 50</w:t>
            </w:r>
            <w:r w:rsidR="000843FC">
              <w:rPr>
                <w:rFonts w:ascii="Times New Roman" w:hAnsi="Times New Roman"/>
                <w:sz w:val="24"/>
                <w:szCs w:val="24"/>
              </w:rPr>
              <w:t xml:space="preserve"> </w:t>
            </w:r>
            <w:r w:rsidR="009441CE">
              <w:rPr>
                <w:rFonts w:ascii="Times New Roman" w:hAnsi="Times New Roman"/>
                <w:sz w:val="24"/>
                <w:szCs w:val="24"/>
              </w:rPr>
              <w:t>percent</w:t>
            </w:r>
            <w:r w:rsidR="000A0851" w:rsidRPr="00862F52">
              <w:rPr>
                <w:rFonts w:ascii="Times New Roman" w:hAnsi="Times New Roman"/>
                <w:sz w:val="24"/>
                <w:szCs w:val="24"/>
              </w:rPr>
              <w:t>)</w:t>
            </w:r>
          </w:p>
        </w:tc>
      </w:tr>
      <w:tr w:rsidR="000A0851" w:rsidRPr="003E10C5" w:rsidTr="000A0851">
        <w:tc>
          <w:tcPr>
            <w:tcW w:w="906" w:type="dxa"/>
            <w:vMerge/>
          </w:tcPr>
          <w:p w:rsidR="000A0851" w:rsidRPr="003E10C5" w:rsidRDefault="000A0851" w:rsidP="000A0851">
            <w:pPr>
              <w:jc w:val="center"/>
              <w:rPr>
                <w:rFonts w:ascii="Times New Roman" w:hAnsi="Times New Roman"/>
                <w:sz w:val="24"/>
                <w:szCs w:val="24"/>
              </w:rPr>
            </w:pPr>
          </w:p>
        </w:tc>
        <w:tc>
          <w:tcPr>
            <w:tcW w:w="2262" w:type="dxa"/>
          </w:tcPr>
          <w:p w:rsidR="000A0851" w:rsidRPr="003E10C5" w:rsidRDefault="000A0851" w:rsidP="000A0851">
            <w:pPr>
              <w:jc w:val="center"/>
              <w:rPr>
                <w:rFonts w:ascii="Times New Roman" w:hAnsi="Times New Roman"/>
                <w:sz w:val="24"/>
                <w:szCs w:val="24"/>
              </w:rPr>
            </w:pPr>
            <w:r w:rsidRPr="003E10C5">
              <w:rPr>
                <w:rFonts w:ascii="Times New Roman" w:hAnsi="Times New Roman"/>
                <w:sz w:val="24"/>
                <w:szCs w:val="24"/>
              </w:rPr>
              <w:t>75</w:t>
            </w:r>
            <w:r w:rsidR="000843FC">
              <w:rPr>
                <w:rFonts w:ascii="Times New Roman" w:hAnsi="Times New Roman"/>
                <w:sz w:val="24"/>
                <w:szCs w:val="24"/>
              </w:rPr>
              <w:t xml:space="preserve"> </w:t>
            </w:r>
            <w:r w:rsidR="009441CE">
              <w:rPr>
                <w:rFonts w:ascii="Times New Roman" w:hAnsi="Times New Roman"/>
                <w:sz w:val="24"/>
                <w:szCs w:val="24"/>
              </w:rPr>
              <w:t>percent</w:t>
            </w:r>
          </w:p>
        </w:tc>
        <w:tc>
          <w:tcPr>
            <w:tcW w:w="3060" w:type="dxa"/>
          </w:tcPr>
          <w:p w:rsidR="000A0851" w:rsidRPr="00862F52" w:rsidRDefault="004B0CB4" w:rsidP="004B0CB4">
            <w:pPr>
              <w:jc w:val="center"/>
              <w:rPr>
                <w:rFonts w:ascii="Times New Roman" w:hAnsi="Times New Roman"/>
                <w:sz w:val="24"/>
                <w:szCs w:val="24"/>
              </w:rPr>
            </w:pPr>
            <w:r w:rsidRPr="00862F52">
              <w:rPr>
                <w:rFonts w:ascii="Times New Roman" w:hAnsi="Times New Roman"/>
                <w:sz w:val="24"/>
                <w:szCs w:val="24"/>
              </w:rPr>
              <w:t>18.75</w:t>
            </w:r>
            <w:r w:rsidR="000A0851" w:rsidRPr="00862F52">
              <w:rPr>
                <w:rFonts w:ascii="Times New Roman" w:hAnsi="Times New Roman"/>
                <w:sz w:val="24"/>
                <w:szCs w:val="24"/>
              </w:rPr>
              <w:t xml:space="preserve">  (</w:t>
            </w:r>
            <w:r w:rsidRPr="00862F52">
              <w:rPr>
                <w:rFonts w:ascii="Times New Roman" w:hAnsi="Times New Roman"/>
                <w:sz w:val="24"/>
                <w:szCs w:val="24"/>
              </w:rPr>
              <w:t xml:space="preserve">25 </w:t>
            </w:r>
            <w:r w:rsidR="000A0851" w:rsidRPr="00862F52">
              <w:rPr>
                <w:rFonts w:ascii="Times New Roman" w:hAnsi="Times New Roman"/>
                <w:sz w:val="24"/>
                <w:szCs w:val="24"/>
              </w:rPr>
              <w:t>bps x 75</w:t>
            </w:r>
            <w:r w:rsidR="000843FC">
              <w:rPr>
                <w:rFonts w:ascii="Times New Roman" w:hAnsi="Times New Roman"/>
                <w:sz w:val="24"/>
                <w:szCs w:val="24"/>
              </w:rPr>
              <w:t xml:space="preserve"> </w:t>
            </w:r>
            <w:r w:rsidR="009441CE">
              <w:rPr>
                <w:rFonts w:ascii="Times New Roman" w:hAnsi="Times New Roman"/>
                <w:sz w:val="24"/>
                <w:szCs w:val="24"/>
              </w:rPr>
              <w:t>percent</w:t>
            </w:r>
            <w:r w:rsidR="000A0851" w:rsidRPr="00862F52">
              <w:rPr>
                <w:rFonts w:ascii="Times New Roman" w:hAnsi="Times New Roman"/>
                <w:sz w:val="24"/>
                <w:szCs w:val="24"/>
              </w:rPr>
              <w:t>)</w:t>
            </w:r>
          </w:p>
        </w:tc>
        <w:tc>
          <w:tcPr>
            <w:tcW w:w="3060" w:type="dxa"/>
          </w:tcPr>
          <w:p w:rsidR="000A0851" w:rsidRPr="00862F52" w:rsidRDefault="004B0CB4" w:rsidP="004B0CB4">
            <w:pPr>
              <w:jc w:val="center"/>
              <w:rPr>
                <w:rFonts w:ascii="Times New Roman" w:hAnsi="Times New Roman"/>
                <w:sz w:val="24"/>
                <w:szCs w:val="24"/>
              </w:rPr>
            </w:pPr>
            <w:r w:rsidRPr="00862F52">
              <w:rPr>
                <w:rFonts w:ascii="Times New Roman" w:hAnsi="Times New Roman"/>
                <w:sz w:val="24"/>
                <w:szCs w:val="24"/>
              </w:rPr>
              <w:t>18.75</w:t>
            </w:r>
            <w:r w:rsidR="000A0851" w:rsidRPr="00862F52">
              <w:rPr>
                <w:rFonts w:ascii="Times New Roman" w:hAnsi="Times New Roman"/>
                <w:sz w:val="24"/>
                <w:szCs w:val="24"/>
              </w:rPr>
              <w:t xml:space="preserve">  (</w:t>
            </w:r>
            <w:r w:rsidRPr="00862F52">
              <w:rPr>
                <w:rFonts w:ascii="Times New Roman" w:hAnsi="Times New Roman"/>
                <w:sz w:val="24"/>
                <w:szCs w:val="24"/>
              </w:rPr>
              <w:t>25</w:t>
            </w:r>
            <w:r w:rsidR="000A0851" w:rsidRPr="00862F52">
              <w:rPr>
                <w:rFonts w:ascii="Times New Roman" w:hAnsi="Times New Roman"/>
                <w:sz w:val="24"/>
                <w:szCs w:val="24"/>
              </w:rPr>
              <w:t xml:space="preserve"> bps x 75</w:t>
            </w:r>
            <w:r w:rsidR="000843FC">
              <w:rPr>
                <w:rFonts w:ascii="Times New Roman" w:hAnsi="Times New Roman"/>
                <w:sz w:val="24"/>
                <w:szCs w:val="24"/>
              </w:rPr>
              <w:t xml:space="preserve"> </w:t>
            </w:r>
            <w:r w:rsidR="009441CE">
              <w:rPr>
                <w:rFonts w:ascii="Times New Roman" w:hAnsi="Times New Roman"/>
                <w:sz w:val="24"/>
                <w:szCs w:val="24"/>
              </w:rPr>
              <w:t>percent</w:t>
            </w:r>
            <w:r w:rsidR="000A0851" w:rsidRPr="00862F52">
              <w:rPr>
                <w:rFonts w:ascii="Times New Roman" w:hAnsi="Times New Roman"/>
                <w:sz w:val="24"/>
                <w:szCs w:val="24"/>
              </w:rPr>
              <w:t>)</w:t>
            </w:r>
          </w:p>
        </w:tc>
      </w:tr>
      <w:tr w:rsidR="000A0851" w:rsidRPr="003E10C5" w:rsidTr="000A0851">
        <w:tc>
          <w:tcPr>
            <w:tcW w:w="906" w:type="dxa"/>
            <w:vMerge/>
          </w:tcPr>
          <w:p w:rsidR="000A0851" w:rsidRPr="003E10C5" w:rsidRDefault="000A0851" w:rsidP="000A0851">
            <w:pPr>
              <w:jc w:val="center"/>
              <w:rPr>
                <w:rFonts w:ascii="Times New Roman" w:hAnsi="Times New Roman"/>
                <w:sz w:val="24"/>
                <w:szCs w:val="24"/>
              </w:rPr>
            </w:pPr>
          </w:p>
        </w:tc>
        <w:tc>
          <w:tcPr>
            <w:tcW w:w="2262" w:type="dxa"/>
          </w:tcPr>
          <w:p w:rsidR="000A0851" w:rsidRPr="003E10C5" w:rsidRDefault="000A0851" w:rsidP="000A0851">
            <w:pPr>
              <w:jc w:val="center"/>
              <w:rPr>
                <w:rFonts w:ascii="Times New Roman" w:hAnsi="Times New Roman"/>
                <w:sz w:val="24"/>
                <w:szCs w:val="24"/>
              </w:rPr>
            </w:pPr>
            <w:r w:rsidRPr="003E10C5">
              <w:rPr>
                <w:rFonts w:ascii="Times New Roman" w:hAnsi="Times New Roman"/>
                <w:sz w:val="24"/>
                <w:szCs w:val="24"/>
              </w:rPr>
              <w:t>90</w:t>
            </w:r>
            <w:r w:rsidR="000843FC">
              <w:rPr>
                <w:rFonts w:ascii="Times New Roman" w:hAnsi="Times New Roman"/>
                <w:sz w:val="24"/>
                <w:szCs w:val="24"/>
              </w:rPr>
              <w:t xml:space="preserve"> </w:t>
            </w:r>
            <w:r w:rsidR="009441CE">
              <w:rPr>
                <w:rFonts w:ascii="Times New Roman" w:hAnsi="Times New Roman"/>
                <w:sz w:val="24"/>
                <w:szCs w:val="24"/>
              </w:rPr>
              <w:t>percent</w:t>
            </w:r>
          </w:p>
        </w:tc>
        <w:tc>
          <w:tcPr>
            <w:tcW w:w="3060" w:type="dxa"/>
          </w:tcPr>
          <w:p w:rsidR="000A0851" w:rsidRPr="00862F52" w:rsidRDefault="004B0CB4" w:rsidP="004B0CB4">
            <w:pPr>
              <w:jc w:val="center"/>
              <w:rPr>
                <w:rFonts w:ascii="Times New Roman" w:hAnsi="Times New Roman"/>
                <w:sz w:val="24"/>
                <w:szCs w:val="24"/>
              </w:rPr>
            </w:pPr>
            <w:r w:rsidRPr="00862F52">
              <w:rPr>
                <w:rFonts w:ascii="Times New Roman" w:hAnsi="Times New Roman"/>
                <w:sz w:val="24"/>
                <w:szCs w:val="24"/>
              </w:rPr>
              <w:t>22.5</w:t>
            </w:r>
            <w:r w:rsidR="000A0851" w:rsidRPr="00862F52">
              <w:rPr>
                <w:rFonts w:ascii="Times New Roman" w:hAnsi="Times New Roman"/>
                <w:sz w:val="24"/>
                <w:szCs w:val="24"/>
              </w:rPr>
              <w:t xml:space="preserve">  (</w:t>
            </w:r>
            <w:r w:rsidRPr="00862F52">
              <w:rPr>
                <w:rFonts w:ascii="Times New Roman" w:hAnsi="Times New Roman"/>
                <w:sz w:val="24"/>
                <w:szCs w:val="24"/>
              </w:rPr>
              <w:t xml:space="preserve">25 </w:t>
            </w:r>
            <w:r w:rsidR="000A0851" w:rsidRPr="00862F52">
              <w:rPr>
                <w:rFonts w:ascii="Times New Roman" w:hAnsi="Times New Roman"/>
                <w:sz w:val="24"/>
                <w:szCs w:val="24"/>
              </w:rPr>
              <w:t>bps x 90</w:t>
            </w:r>
            <w:r w:rsidR="000843FC">
              <w:rPr>
                <w:rFonts w:ascii="Times New Roman" w:hAnsi="Times New Roman"/>
                <w:sz w:val="24"/>
                <w:szCs w:val="24"/>
              </w:rPr>
              <w:t xml:space="preserve"> </w:t>
            </w:r>
            <w:r w:rsidR="009441CE">
              <w:rPr>
                <w:rFonts w:ascii="Times New Roman" w:hAnsi="Times New Roman"/>
                <w:sz w:val="24"/>
                <w:szCs w:val="24"/>
              </w:rPr>
              <w:t>percent</w:t>
            </w:r>
            <w:r w:rsidR="000A0851" w:rsidRPr="00862F52">
              <w:rPr>
                <w:rFonts w:ascii="Times New Roman" w:hAnsi="Times New Roman"/>
                <w:sz w:val="24"/>
                <w:szCs w:val="24"/>
              </w:rPr>
              <w:t>)</w:t>
            </w:r>
          </w:p>
        </w:tc>
        <w:tc>
          <w:tcPr>
            <w:tcW w:w="3060" w:type="dxa"/>
          </w:tcPr>
          <w:p w:rsidR="000A0851" w:rsidRPr="00862F52" w:rsidRDefault="004B0CB4" w:rsidP="004B0CB4">
            <w:pPr>
              <w:jc w:val="center"/>
              <w:rPr>
                <w:rFonts w:ascii="Times New Roman" w:hAnsi="Times New Roman"/>
                <w:sz w:val="24"/>
                <w:szCs w:val="24"/>
              </w:rPr>
            </w:pPr>
            <w:r w:rsidRPr="00862F52">
              <w:rPr>
                <w:rFonts w:ascii="Times New Roman" w:hAnsi="Times New Roman"/>
                <w:sz w:val="24"/>
                <w:szCs w:val="24"/>
              </w:rPr>
              <w:t>22.5</w:t>
            </w:r>
            <w:r w:rsidR="000A0851" w:rsidRPr="00862F52">
              <w:rPr>
                <w:rFonts w:ascii="Times New Roman" w:hAnsi="Times New Roman"/>
                <w:sz w:val="24"/>
                <w:szCs w:val="24"/>
              </w:rPr>
              <w:t xml:space="preserve">  (</w:t>
            </w:r>
            <w:r w:rsidRPr="00862F52">
              <w:rPr>
                <w:rFonts w:ascii="Times New Roman" w:hAnsi="Times New Roman"/>
                <w:sz w:val="24"/>
                <w:szCs w:val="24"/>
              </w:rPr>
              <w:t>25</w:t>
            </w:r>
            <w:r w:rsidR="000A0851" w:rsidRPr="00862F52">
              <w:rPr>
                <w:rFonts w:ascii="Times New Roman" w:hAnsi="Times New Roman"/>
                <w:sz w:val="24"/>
                <w:szCs w:val="24"/>
              </w:rPr>
              <w:t xml:space="preserve"> bps x 90</w:t>
            </w:r>
            <w:r w:rsidR="000843FC">
              <w:rPr>
                <w:rFonts w:ascii="Times New Roman" w:hAnsi="Times New Roman"/>
                <w:sz w:val="24"/>
                <w:szCs w:val="24"/>
              </w:rPr>
              <w:t xml:space="preserve"> </w:t>
            </w:r>
            <w:r w:rsidR="009441CE">
              <w:rPr>
                <w:rFonts w:ascii="Times New Roman" w:hAnsi="Times New Roman"/>
                <w:sz w:val="24"/>
                <w:szCs w:val="24"/>
              </w:rPr>
              <w:t>percent</w:t>
            </w:r>
            <w:r w:rsidR="000A0851" w:rsidRPr="00862F52">
              <w:rPr>
                <w:rFonts w:ascii="Times New Roman" w:hAnsi="Times New Roman"/>
                <w:sz w:val="24"/>
                <w:szCs w:val="24"/>
              </w:rPr>
              <w:t>)</w:t>
            </w:r>
          </w:p>
        </w:tc>
      </w:tr>
    </w:tbl>
    <w:p w:rsidR="00152227" w:rsidRPr="003E10C5" w:rsidRDefault="00152227" w:rsidP="00D53676">
      <w:pPr>
        <w:rPr>
          <w:rFonts w:ascii="Times New Roman" w:hAnsi="Times New Roman"/>
          <w:sz w:val="24"/>
          <w:szCs w:val="24"/>
        </w:rPr>
      </w:pPr>
    </w:p>
    <w:p w:rsidR="00D53676" w:rsidRDefault="00D53676" w:rsidP="00D53676">
      <w:pPr>
        <w:rPr>
          <w:rFonts w:ascii="Times New Roman" w:hAnsi="Times New Roman"/>
          <w:sz w:val="24"/>
          <w:szCs w:val="24"/>
        </w:rPr>
      </w:pPr>
      <w:r w:rsidRPr="003E10C5">
        <w:rPr>
          <w:rFonts w:ascii="Times New Roman" w:hAnsi="Times New Roman"/>
          <w:sz w:val="24"/>
          <w:szCs w:val="24"/>
        </w:rPr>
        <w:tab/>
      </w:r>
    </w:p>
    <w:p w:rsidR="00466F54" w:rsidRDefault="00466F54" w:rsidP="00D53676">
      <w:pPr>
        <w:rPr>
          <w:rFonts w:ascii="Times New Roman" w:hAnsi="Times New Roman"/>
          <w:sz w:val="24"/>
          <w:szCs w:val="24"/>
        </w:rPr>
      </w:pPr>
      <w:r>
        <w:rPr>
          <w:rFonts w:ascii="Times New Roman" w:hAnsi="Times New Roman"/>
          <w:sz w:val="24"/>
          <w:szCs w:val="24"/>
        </w:rPr>
        <w:t>Date: _</w:t>
      </w:r>
      <w:r w:rsidR="00CF5B71">
        <w:rPr>
          <w:rFonts w:ascii="Times New Roman" w:hAnsi="Times New Roman"/>
          <w:sz w:val="24"/>
          <w:szCs w:val="24"/>
        </w:rPr>
        <w:t>_______</w:t>
      </w:r>
      <w:r>
        <w:rPr>
          <w:rFonts w:ascii="Times New Roman" w:hAnsi="Times New Roman"/>
          <w:sz w:val="24"/>
          <w:szCs w:val="24"/>
        </w:rPr>
        <w:t>_____</w:t>
      </w:r>
    </w:p>
    <w:p w:rsidR="00466F54" w:rsidRDefault="00466F54" w:rsidP="00D53676">
      <w:pPr>
        <w:rPr>
          <w:rFonts w:ascii="Times New Roman" w:hAnsi="Times New Roman"/>
          <w:sz w:val="24"/>
          <w:szCs w:val="24"/>
        </w:rPr>
      </w:pPr>
    </w:p>
    <w:p w:rsidR="00466F54" w:rsidRDefault="00466F54" w:rsidP="00D53676">
      <w:pPr>
        <w:rPr>
          <w:rFonts w:ascii="Times New Roman" w:hAnsi="Times New Roman"/>
          <w:sz w:val="24"/>
          <w:szCs w:val="24"/>
        </w:rPr>
      </w:pPr>
    </w:p>
    <w:p w:rsidR="00466F54" w:rsidRDefault="00466F54" w:rsidP="00D53676">
      <w:pPr>
        <w:rPr>
          <w:rFonts w:ascii="Times New Roman" w:hAnsi="Times New Roman"/>
          <w:sz w:val="24"/>
          <w:szCs w:val="24"/>
        </w:rPr>
      </w:pPr>
    </w:p>
    <w:p w:rsidR="00466F54" w:rsidRPr="003E10C5" w:rsidRDefault="00466F54" w:rsidP="00D53676">
      <w:pPr>
        <w:rPr>
          <w:rFonts w:ascii="Times New Roman" w:hAnsi="Times New Roman"/>
          <w:sz w:val="24"/>
          <w:szCs w:val="24"/>
        </w:rPr>
      </w:pPr>
    </w:p>
    <w:p w:rsidR="00D53676" w:rsidRPr="003E10C5" w:rsidRDefault="00D53676" w:rsidP="00D53676">
      <w:pPr>
        <w:rPr>
          <w:rFonts w:ascii="Times New Roman" w:hAnsi="Times New Roman"/>
          <w:sz w:val="24"/>
          <w:szCs w:val="24"/>
        </w:rPr>
      </w:pP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t>____________________________</w:t>
      </w:r>
    </w:p>
    <w:p w:rsidR="00D53676" w:rsidRPr="003E10C5" w:rsidRDefault="00D53676" w:rsidP="00D53676">
      <w:pPr>
        <w:rPr>
          <w:rFonts w:ascii="Times New Roman" w:hAnsi="Times New Roman"/>
          <w:sz w:val="24"/>
          <w:szCs w:val="24"/>
        </w:rPr>
      </w:pP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r>
      <w:r w:rsidR="00B21C1F" w:rsidRPr="003E10C5">
        <w:rPr>
          <w:rFonts w:ascii="Times New Roman" w:hAnsi="Times New Roman"/>
          <w:sz w:val="24"/>
          <w:szCs w:val="24"/>
        </w:rPr>
        <w:t>Edward L. Golding</w:t>
      </w:r>
      <w:r w:rsidRPr="003E10C5">
        <w:rPr>
          <w:rFonts w:ascii="Times New Roman" w:hAnsi="Times New Roman"/>
          <w:sz w:val="24"/>
          <w:szCs w:val="24"/>
        </w:rPr>
        <w:t xml:space="preserve"> </w:t>
      </w:r>
    </w:p>
    <w:p w:rsidR="00D53676" w:rsidRPr="003E10C5" w:rsidRDefault="00D53676" w:rsidP="00B21C1F">
      <w:pPr>
        <w:rPr>
          <w:rFonts w:ascii="Times New Roman" w:hAnsi="Times New Roman"/>
          <w:sz w:val="24"/>
          <w:szCs w:val="24"/>
        </w:rPr>
      </w:pP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r>
      <w:r w:rsidRPr="003E10C5">
        <w:rPr>
          <w:rFonts w:ascii="Times New Roman" w:hAnsi="Times New Roman"/>
          <w:sz w:val="24"/>
          <w:szCs w:val="24"/>
        </w:rPr>
        <w:tab/>
      </w:r>
      <w:r w:rsidR="00B21C1F" w:rsidRPr="003E10C5">
        <w:rPr>
          <w:rFonts w:ascii="Times New Roman" w:hAnsi="Times New Roman"/>
          <w:sz w:val="24"/>
          <w:szCs w:val="24"/>
        </w:rPr>
        <w:t>Principal Deputy Assistant Secretary for Housing</w:t>
      </w:r>
    </w:p>
    <w:p w:rsidR="00D53676" w:rsidRPr="003E10C5" w:rsidRDefault="00D53676" w:rsidP="00D53676">
      <w:pPr>
        <w:rPr>
          <w:rFonts w:ascii="Times New Roman" w:hAnsi="Times New Roman"/>
          <w:sz w:val="24"/>
          <w:szCs w:val="24"/>
        </w:rPr>
      </w:pPr>
    </w:p>
    <w:p w:rsidR="00E61DDA" w:rsidRDefault="00E61DDA" w:rsidP="00D53676">
      <w:pPr>
        <w:rPr>
          <w:rFonts w:ascii="Times New Roman" w:hAnsi="Times New Roman"/>
          <w:sz w:val="24"/>
          <w:szCs w:val="24"/>
        </w:rPr>
      </w:pPr>
    </w:p>
    <w:p w:rsidR="000E5376" w:rsidRPr="003E10C5" w:rsidRDefault="000E5376" w:rsidP="00D53676">
      <w:pPr>
        <w:rPr>
          <w:rFonts w:ascii="Times New Roman" w:hAnsi="Times New Roman"/>
          <w:sz w:val="24"/>
          <w:szCs w:val="24"/>
        </w:rPr>
      </w:pPr>
    </w:p>
    <w:p w:rsidR="00E61DDA" w:rsidRPr="003E10C5" w:rsidRDefault="00D53676">
      <w:pPr>
        <w:rPr>
          <w:rFonts w:ascii="Times New Roman" w:hAnsi="Times New Roman"/>
          <w:sz w:val="24"/>
          <w:szCs w:val="24"/>
        </w:rPr>
      </w:pPr>
      <w:r w:rsidRPr="003E10C5">
        <w:rPr>
          <w:rFonts w:ascii="Times New Roman" w:hAnsi="Times New Roman"/>
          <w:sz w:val="24"/>
          <w:szCs w:val="24"/>
        </w:rPr>
        <w:t>[</w:t>
      </w:r>
      <w:r w:rsidRPr="00466F54">
        <w:rPr>
          <w:rFonts w:ascii="Times New Roman" w:hAnsi="Times New Roman"/>
          <w:b/>
          <w:sz w:val="24"/>
          <w:szCs w:val="24"/>
        </w:rPr>
        <w:t>FR-</w:t>
      </w:r>
      <w:r w:rsidR="00466F54" w:rsidRPr="00466F54">
        <w:rPr>
          <w:rFonts w:ascii="Times New Roman" w:hAnsi="Times New Roman"/>
          <w:b/>
          <w:sz w:val="24"/>
          <w:szCs w:val="24"/>
        </w:rPr>
        <w:t>5876</w:t>
      </w:r>
      <w:r w:rsidRPr="00466F54">
        <w:rPr>
          <w:rFonts w:ascii="Times New Roman" w:hAnsi="Times New Roman"/>
          <w:b/>
          <w:sz w:val="24"/>
          <w:szCs w:val="24"/>
        </w:rPr>
        <w:t>-N-</w:t>
      </w:r>
      <w:r w:rsidR="00466F54" w:rsidRPr="00466F54">
        <w:rPr>
          <w:rFonts w:ascii="Times New Roman" w:hAnsi="Times New Roman"/>
          <w:b/>
          <w:sz w:val="24"/>
          <w:szCs w:val="24"/>
        </w:rPr>
        <w:t>0</w:t>
      </w:r>
      <w:r w:rsidR="00F9044D">
        <w:rPr>
          <w:rFonts w:ascii="Times New Roman" w:hAnsi="Times New Roman"/>
          <w:b/>
          <w:sz w:val="24"/>
          <w:szCs w:val="24"/>
        </w:rPr>
        <w:t>2</w:t>
      </w:r>
      <w:r w:rsidRPr="003E10C5">
        <w:rPr>
          <w:rFonts w:ascii="Times New Roman" w:hAnsi="Times New Roman"/>
          <w:sz w:val="24"/>
          <w:szCs w:val="24"/>
        </w:rPr>
        <w:t xml:space="preserve">] </w:t>
      </w:r>
    </w:p>
    <w:sectPr w:rsidR="00E61DDA" w:rsidRPr="003E10C5" w:rsidSect="00F63E60">
      <w:headerReference w:type="default" r:id="rId10"/>
      <w:footerReference w:type="default" r:id="rId11"/>
      <w:footerReference w:type="first" r:id="rId12"/>
      <w:pgSz w:w="12240" w:h="15840"/>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CE" w:rsidRDefault="009441CE" w:rsidP="00EC6463">
      <w:r>
        <w:separator/>
      </w:r>
    </w:p>
  </w:endnote>
  <w:endnote w:type="continuationSeparator" w:id="0">
    <w:p w:rsidR="009441CE" w:rsidRDefault="009441CE" w:rsidP="00EC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11701"/>
      <w:docPartObj>
        <w:docPartGallery w:val="Page Numbers (Bottom of Page)"/>
        <w:docPartUnique/>
      </w:docPartObj>
    </w:sdtPr>
    <w:sdtEndPr>
      <w:rPr>
        <w:noProof/>
      </w:rPr>
    </w:sdtEndPr>
    <w:sdtContent>
      <w:p w:rsidR="009441CE" w:rsidRDefault="009441CE" w:rsidP="00F63E60">
        <w:pPr>
          <w:pStyle w:val="Footer"/>
          <w:jc w:val="center"/>
          <w:rPr>
            <w:b/>
          </w:rPr>
        </w:pPr>
      </w:p>
      <w:p w:rsidR="009441CE" w:rsidRDefault="009441CE" w:rsidP="00F63E60">
        <w:pPr>
          <w:pStyle w:val="Footer"/>
          <w:jc w:val="center"/>
          <w:rPr>
            <w:b/>
          </w:rPr>
        </w:pPr>
      </w:p>
      <w:p w:rsidR="009441CE" w:rsidRDefault="009441CE" w:rsidP="00F63E60">
        <w:pPr>
          <w:pStyle w:val="Footer"/>
          <w:jc w:val="center"/>
          <w:rPr>
            <w:b/>
          </w:rPr>
        </w:pPr>
        <w:r w:rsidRPr="003E6CE1">
          <w:rPr>
            <w:b/>
          </w:rPr>
          <w:t>CLEARANCE DRAFT – CONFIDENTIAL</w:t>
        </w:r>
        <w:r>
          <w:rPr>
            <w:b/>
          </w:rPr>
          <w:t xml:space="preserve"> – FOR INTERNAL USE ONLY</w:t>
        </w:r>
      </w:p>
      <w:p w:rsidR="009441CE" w:rsidRDefault="009441CE" w:rsidP="00466F54">
        <w:pPr>
          <w:pStyle w:val="Footer"/>
          <w:jc w:val="center"/>
          <w:rPr>
            <w:b/>
          </w:rPr>
        </w:pPr>
      </w:p>
      <w:p w:rsidR="009441CE" w:rsidRDefault="0033143D">
        <w:pPr>
          <w:pStyle w:val="Footer"/>
          <w:jc w:val="center"/>
        </w:pPr>
      </w:p>
    </w:sdtContent>
  </w:sdt>
  <w:p w:rsidR="009441CE" w:rsidRDefault="00944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CE" w:rsidRDefault="009441CE" w:rsidP="00F63E60">
    <w:pPr>
      <w:pStyle w:val="Footer"/>
      <w:jc w:val="center"/>
      <w:rPr>
        <w:b/>
      </w:rPr>
    </w:pPr>
  </w:p>
  <w:p w:rsidR="009441CE" w:rsidRDefault="009441CE" w:rsidP="00F63E60">
    <w:pPr>
      <w:pStyle w:val="Footer"/>
      <w:jc w:val="center"/>
      <w:rPr>
        <w:b/>
      </w:rPr>
    </w:pPr>
  </w:p>
  <w:p w:rsidR="009441CE" w:rsidRDefault="009441CE" w:rsidP="00F63E60">
    <w:pPr>
      <w:pStyle w:val="Footer"/>
      <w:jc w:val="center"/>
      <w:rPr>
        <w:b/>
      </w:rPr>
    </w:pPr>
    <w:r w:rsidRPr="003E6CE1">
      <w:rPr>
        <w:b/>
      </w:rPr>
      <w:t>CLEARANCE DRAFT – CONFIDENTIAL</w:t>
    </w:r>
    <w:r>
      <w:rPr>
        <w:b/>
      </w:rPr>
      <w:t xml:space="preserve"> – FOR INTERNAL USE ONLY</w:t>
    </w:r>
  </w:p>
  <w:p w:rsidR="009441CE" w:rsidRDefault="00944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CE" w:rsidRDefault="009441CE" w:rsidP="00EC6463">
      <w:r>
        <w:separator/>
      </w:r>
    </w:p>
  </w:footnote>
  <w:footnote w:type="continuationSeparator" w:id="0">
    <w:p w:rsidR="009441CE" w:rsidRDefault="009441CE" w:rsidP="00EC6463">
      <w:r>
        <w:continuationSeparator/>
      </w:r>
    </w:p>
  </w:footnote>
  <w:footnote w:id="1">
    <w:p w:rsidR="009441CE" w:rsidRPr="00DD31C4" w:rsidRDefault="009441CE" w:rsidP="00F762DE">
      <w:pPr>
        <w:pStyle w:val="FootnoteText"/>
        <w:rPr>
          <w:rFonts w:ascii="Times New Roman" w:hAnsi="Times New Roman"/>
        </w:rPr>
      </w:pPr>
      <w:r w:rsidRPr="00DD31C4">
        <w:rPr>
          <w:rStyle w:val="FootnoteReference"/>
          <w:rFonts w:ascii="Times New Roman" w:hAnsi="Times New Roman"/>
        </w:rPr>
        <w:footnoteRef/>
      </w:r>
      <w:r w:rsidRPr="00DD31C4">
        <w:rPr>
          <w:rFonts w:ascii="Times New Roman" w:hAnsi="Times New Roman"/>
        </w:rPr>
        <w:t xml:space="preserve"> Except in the case of a 207/223(f) refinance or purchase that has a current upfront capitalized MIP basis points of 100.</w:t>
      </w:r>
    </w:p>
  </w:footnote>
  <w:footnote w:id="2">
    <w:p w:rsidR="009441CE" w:rsidRDefault="009441CE" w:rsidP="00964CCE">
      <w:pPr>
        <w:pStyle w:val="FootnoteText"/>
      </w:pPr>
      <w:r w:rsidRPr="00F44FA4">
        <w:rPr>
          <w:rStyle w:val="FootnoteReference"/>
          <w:rFonts w:ascii="Times New Roman" w:hAnsi="Times New Roman"/>
        </w:rPr>
        <w:footnoteRef/>
      </w:r>
      <w:r w:rsidRPr="00F44FA4">
        <w:rPr>
          <w:rFonts w:ascii="Times New Roman" w:hAnsi="Times New Roman"/>
        </w:rPr>
        <w:t xml:space="preserve"> </w:t>
      </w:r>
      <w:hyperlink r:id="rId1" w:history="1">
        <w:r w:rsidRPr="00F44FA4">
          <w:rPr>
            <w:rStyle w:val="Hyperlink"/>
            <w:rFonts w:ascii="Times New Roman" w:hAnsi="Times New Roman"/>
          </w:rPr>
          <w:t>http://portal.hud.gov/hudportal/HUD?src=/program_offices/administration/hudclips/guidebooks/hsg-GB4430</w:t>
        </w:r>
      </w:hyperlink>
    </w:p>
  </w:footnote>
  <w:footnote w:id="3">
    <w:p w:rsidR="009441CE" w:rsidRPr="00DD31C4" w:rsidRDefault="009441CE" w:rsidP="00F762DE">
      <w:pPr>
        <w:pStyle w:val="FootnoteText"/>
        <w:rPr>
          <w:rFonts w:ascii="Times New Roman" w:hAnsi="Times New Roman"/>
        </w:rPr>
      </w:pPr>
      <w:r w:rsidRPr="00DD31C4">
        <w:rPr>
          <w:rStyle w:val="FootnoteReference"/>
          <w:rFonts w:ascii="Times New Roman" w:hAnsi="Times New Roman"/>
        </w:rPr>
        <w:footnoteRef/>
      </w:r>
      <w:r w:rsidRPr="00DD31C4">
        <w:rPr>
          <w:rFonts w:ascii="Times New Roman" w:hAnsi="Times New Roman"/>
        </w:rPr>
        <w:t xml:space="preserve"> Except in the case of a 207/223(f) refinance or purchase that has a current upfront capitalized MIP basis points of 100.</w:t>
      </w:r>
    </w:p>
    <w:p w:rsidR="009441CE" w:rsidRDefault="009441CE" w:rsidP="00F762DE">
      <w:pPr>
        <w:pStyle w:val="FootnoteText"/>
      </w:pPr>
    </w:p>
  </w:footnote>
  <w:footnote w:id="4">
    <w:p w:rsidR="009441CE" w:rsidRPr="00DD31C4" w:rsidRDefault="009441CE" w:rsidP="00F762DE">
      <w:pPr>
        <w:pStyle w:val="FootnoteText"/>
        <w:rPr>
          <w:rFonts w:ascii="Times New Roman" w:hAnsi="Times New Roman"/>
        </w:rPr>
      </w:pPr>
      <w:r w:rsidRPr="00DD31C4">
        <w:rPr>
          <w:rStyle w:val="FootnoteReference"/>
          <w:rFonts w:ascii="Times New Roman" w:hAnsi="Times New Roman"/>
        </w:rPr>
        <w:footnoteRef/>
      </w:r>
      <w:r w:rsidRPr="00DD31C4">
        <w:rPr>
          <w:rFonts w:ascii="Times New Roman" w:hAnsi="Times New Roman"/>
        </w:rPr>
        <w:t xml:space="preserve"> Except in the case of a 207/223(f) refinance or purchase that has a current upfront capitalized MIP basis points of 100.</w:t>
      </w:r>
    </w:p>
    <w:p w:rsidR="009441CE" w:rsidRDefault="009441CE" w:rsidP="00F762D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CE" w:rsidRDefault="0033143D">
    <w:pPr>
      <w:pStyle w:val="Header"/>
      <w:jc w:val="right"/>
    </w:pPr>
    <w:sdt>
      <w:sdtPr>
        <w:id w:val="704752958"/>
        <w:docPartObj>
          <w:docPartGallery w:val="Page Numbers (Top of Page)"/>
          <w:docPartUnique/>
        </w:docPartObj>
      </w:sdtPr>
      <w:sdtEndPr>
        <w:rPr>
          <w:noProof/>
        </w:rPr>
      </w:sdtEndPr>
      <w:sdtContent>
        <w:r w:rsidR="009441CE">
          <w:fldChar w:fldCharType="begin"/>
        </w:r>
        <w:r w:rsidR="009441CE">
          <w:instrText xml:space="preserve"> PAGE   \* MERGEFORMAT </w:instrText>
        </w:r>
        <w:r w:rsidR="009441CE">
          <w:fldChar w:fldCharType="separate"/>
        </w:r>
        <w:r>
          <w:rPr>
            <w:noProof/>
          </w:rPr>
          <w:t>15</w:t>
        </w:r>
        <w:r w:rsidR="009441CE">
          <w:rPr>
            <w:noProof/>
          </w:rPr>
          <w:fldChar w:fldCharType="end"/>
        </w:r>
      </w:sdtContent>
    </w:sdt>
  </w:p>
  <w:p w:rsidR="009441CE" w:rsidRDefault="00944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5BB4"/>
    <w:multiLevelType w:val="hybridMultilevel"/>
    <w:tmpl w:val="9320A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944FC"/>
    <w:multiLevelType w:val="hybridMultilevel"/>
    <w:tmpl w:val="81F07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8E7953"/>
    <w:multiLevelType w:val="hybridMultilevel"/>
    <w:tmpl w:val="5DA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616D9"/>
    <w:multiLevelType w:val="hybridMultilevel"/>
    <w:tmpl w:val="7DEE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865181"/>
    <w:multiLevelType w:val="hybridMultilevel"/>
    <w:tmpl w:val="860C19CE"/>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7469E"/>
    <w:multiLevelType w:val="hybridMultilevel"/>
    <w:tmpl w:val="B6FEC3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7FF63BF"/>
    <w:multiLevelType w:val="hybridMultilevel"/>
    <w:tmpl w:val="DD86DB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3B7F3059"/>
    <w:multiLevelType w:val="hybridMultilevel"/>
    <w:tmpl w:val="F544F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33FEF"/>
    <w:multiLevelType w:val="hybridMultilevel"/>
    <w:tmpl w:val="35264DE2"/>
    <w:lvl w:ilvl="0" w:tplc="980A318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3960A7F"/>
    <w:multiLevelType w:val="hybridMultilevel"/>
    <w:tmpl w:val="812CE284"/>
    <w:lvl w:ilvl="0" w:tplc="D0B2EC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47501"/>
    <w:multiLevelType w:val="hybridMultilevel"/>
    <w:tmpl w:val="689E0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8F4BA2"/>
    <w:multiLevelType w:val="hybridMultilevel"/>
    <w:tmpl w:val="CCEA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61A47"/>
    <w:multiLevelType w:val="hybridMultilevel"/>
    <w:tmpl w:val="CD62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E592D"/>
    <w:multiLevelType w:val="hybridMultilevel"/>
    <w:tmpl w:val="AA74B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CA1334"/>
    <w:multiLevelType w:val="hybridMultilevel"/>
    <w:tmpl w:val="E5022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A44DD2"/>
    <w:multiLevelType w:val="hybridMultilevel"/>
    <w:tmpl w:val="3CBC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FC3F45"/>
    <w:multiLevelType w:val="hybridMultilevel"/>
    <w:tmpl w:val="DA92BE4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9"/>
  </w:num>
  <w:num w:numId="2">
    <w:abstractNumId w:val="0"/>
  </w:num>
  <w:num w:numId="3">
    <w:abstractNumId w:val="14"/>
  </w:num>
  <w:num w:numId="4">
    <w:abstractNumId w:val="8"/>
  </w:num>
  <w:num w:numId="5">
    <w:abstractNumId w:val="13"/>
  </w:num>
  <w:num w:numId="6">
    <w:abstractNumId w:val="16"/>
  </w:num>
  <w:num w:numId="7">
    <w:abstractNumId w:val="11"/>
  </w:num>
  <w:num w:numId="8">
    <w:abstractNumId w:val="4"/>
  </w:num>
  <w:num w:numId="9">
    <w:abstractNumId w:val="10"/>
  </w:num>
  <w:num w:numId="10">
    <w:abstractNumId w:val="6"/>
  </w:num>
  <w:num w:numId="11">
    <w:abstractNumId w:val="7"/>
  </w:num>
  <w:num w:numId="12">
    <w:abstractNumId w:val="5"/>
  </w:num>
  <w:num w:numId="13">
    <w:abstractNumId w:val="2"/>
  </w:num>
  <w:num w:numId="14">
    <w:abstractNumId w:val="3"/>
  </w:num>
  <w:num w:numId="15">
    <w:abstractNumId w:val="1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76"/>
    <w:rsid w:val="000020C4"/>
    <w:rsid w:val="00007F36"/>
    <w:rsid w:val="00016FAA"/>
    <w:rsid w:val="00017422"/>
    <w:rsid w:val="0004258A"/>
    <w:rsid w:val="000523CE"/>
    <w:rsid w:val="000549D3"/>
    <w:rsid w:val="00054F81"/>
    <w:rsid w:val="000624C6"/>
    <w:rsid w:val="00072E3F"/>
    <w:rsid w:val="000843FC"/>
    <w:rsid w:val="000935C1"/>
    <w:rsid w:val="00097165"/>
    <w:rsid w:val="000A0851"/>
    <w:rsid w:val="000C197A"/>
    <w:rsid w:val="000D38B7"/>
    <w:rsid w:val="000D4F89"/>
    <w:rsid w:val="000E392B"/>
    <w:rsid w:val="000E5376"/>
    <w:rsid w:val="001265C4"/>
    <w:rsid w:val="00150437"/>
    <w:rsid w:val="00151A11"/>
    <w:rsid w:val="00152227"/>
    <w:rsid w:val="00156DFB"/>
    <w:rsid w:val="00177402"/>
    <w:rsid w:val="00180E57"/>
    <w:rsid w:val="001835E0"/>
    <w:rsid w:val="001A2710"/>
    <w:rsid w:val="001A7E30"/>
    <w:rsid w:val="001B3C83"/>
    <w:rsid w:val="001B79D6"/>
    <w:rsid w:val="001C44BE"/>
    <w:rsid w:val="001C7F76"/>
    <w:rsid w:val="001D664E"/>
    <w:rsid w:val="001E071A"/>
    <w:rsid w:val="001E0DEE"/>
    <w:rsid w:val="001E1A53"/>
    <w:rsid w:val="001F13B4"/>
    <w:rsid w:val="00203E28"/>
    <w:rsid w:val="00217859"/>
    <w:rsid w:val="00223265"/>
    <w:rsid w:val="00224CA4"/>
    <w:rsid w:val="002306B2"/>
    <w:rsid w:val="00230F78"/>
    <w:rsid w:val="00231646"/>
    <w:rsid w:val="002404A0"/>
    <w:rsid w:val="002422EC"/>
    <w:rsid w:val="00243CF9"/>
    <w:rsid w:val="00245AE1"/>
    <w:rsid w:val="0025283A"/>
    <w:rsid w:val="00254C9E"/>
    <w:rsid w:val="0027540E"/>
    <w:rsid w:val="002A6225"/>
    <w:rsid w:val="002B1896"/>
    <w:rsid w:val="002C55AD"/>
    <w:rsid w:val="002D3190"/>
    <w:rsid w:val="002D5AEE"/>
    <w:rsid w:val="002D6B41"/>
    <w:rsid w:val="002D77C5"/>
    <w:rsid w:val="002E2E97"/>
    <w:rsid w:val="002E6F12"/>
    <w:rsid w:val="002F0A7D"/>
    <w:rsid w:val="002F668B"/>
    <w:rsid w:val="003008D5"/>
    <w:rsid w:val="00314404"/>
    <w:rsid w:val="003152C3"/>
    <w:rsid w:val="0032027D"/>
    <w:rsid w:val="003205B0"/>
    <w:rsid w:val="0033143D"/>
    <w:rsid w:val="00350CFE"/>
    <w:rsid w:val="00363E6C"/>
    <w:rsid w:val="00366DD8"/>
    <w:rsid w:val="0038568F"/>
    <w:rsid w:val="003B2938"/>
    <w:rsid w:val="003B6C7E"/>
    <w:rsid w:val="003C597F"/>
    <w:rsid w:val="003C6D37"/>
    <w:rsid w:val="003D04D9"/>
    <w:rsid w:val="003D1A16"/>
    <w:rsid w:val="003E10C5"/>
    <w:rsid w:val="003E6366"/>
    <w:rsid w:val="003F342A"/>
    <w:rsid w:val="004047E4"/>
    <w:rsid w:val="00405AE7"/>
    <w:rsid w:val="004110D7"/>
    <w:rsid w:val="00411D4F"/>
    <w:rsid w:val="004154F0"/>
    <w:rsid w:val="00420D38"/>
    <w:rsid w:val="004258BB"/>
    <w:rsid w:val="0043615F"/>
    <w:rsid w:val="00445CD1"/>
    <w:rsid w:val="00446862"/>
    <w:rsid w:val="004658D2"/>
    <w:rsid w:val="00466838"/>
    <w:rsid w:val="00466F54"/>
    <w:rsid w:val="0046732D"/>
    <w:rsid w:val="004730AE"/>
    <w:rsid w:val="00480756"/>
    <w:rsid w:val="00482D00"/>
    <w:rsid w:val="004836CB"/>
    <w:rsid w:val="00497669"/>
    <w:rsid w:val="004A39BB"/>
    <w:rsid w:val="004A6FC9"/>
    <w:rsid w:val="004B0CB4"/>
    <w:rsid w:val="004B61AF"/>
    <w:rsid w:val="004B7264"/>
    <w:rsid w:val="004C7D81"/>
    <w:rsid w:val="004E73B9"/>
    <w:rsid w:val="004F45FA"/>
    <w:rsid w:val="005176C3"/>
    <w:rsid w:val="005332C9"/>
    <w:rsid w:val="00537717"/>
    <w:rsid w:val="005428C6"/>
    <w:rsid w:val="005640B7"/>
    <w:rsid w:val="00571670"/>
    <w:rsid w:val="005A6D2C"/>
    <w:rsid w:val="005B0B93"/>
    <w:rsid w:val="005B39BB"/>
    <w:rsid w:val="005C1A9D"/>
    <w:rsid w:val="005D205C"/>
    <w:rsid w:val="005D45B2"/>
    <w:rsid w:val="005F0ED0"/>
    <w:rsid w:val="006024E9"/>
    <w:rsid w:val="006103DE"/>
    <w:rsid w:val="006173F6"/>
    <w:rsid w:val="00617F79"/>
    <w:rsid w:val="00641E77"/>
    <w:rsid w:val="006452DA"/>
    <w:rsid w:val="00652E8D"/>
    <w:rsid w:val="0066687B"/>
    <w:rsid w:val="00677BA7"/>
    <w:rsid w:val="00684059"/>
    <w:rsid w:val="00696825"/>
    <w:rsid w:val="006A0888"/>
    <w:rsid w:val="006A135A"/>
    <w:rsid w:val="006A34E3"/>
    <w:rsid w:val="006A59B1"/>
    <w:rsid w:val="006B0313"/>
    <w:rsid w:val="006B3846"/>
    <w:rsid w:val="006C159B"/>
    <w:rsid w:val="006C49BA"/>
    <w:rsid w:val="006E7694"/>
    <w:rsid w:val="006F4FEC"/>
    <w:rsid w:val="00725AD9"/>
    <w:rsid w:val="00737D5A"/>
    <w:rsid w:val="00742FA2"/>
    <w:rsid w:val="007532A4"/>
    <w:rsid w:val="00777334"/>
    <w:rsid w:val="00784333"/>
    <w:rsid w:val="007874F0"/>
    <w:rsid w:val="00794E92"/>
    <w:rsid w:val="00795898"/>
    <w:rsid w:val="007C0A8A"/>
    <w:rsid w:val="007C4C9A"/>
    <w:rsid w:val="007E6CB0"/>
    <w:rsid w:val="007F0777"/>
    <w:rsid w:val="00803865"/>
    <w:rsid w:val="00807826"/>
    <w:rsid w:val="00807AC7"/>
    <w:rsid w:val="00826955"/>
    <w:rsid w:val="008475FF"/>
    <w:rsid w:val="00857CA6"/>
    <w:rsid w:val="00862F52"/>
    <w:rsid w:val="008646F3"/>
    <w:rsid w:val="00866819"/>
    <w:rsid w:val="0086715F"/>
    <w:rsid w:val="00867733"/>
    <w:rsid w:val="00873F85"/>
    <w:rsid w:val="00880FD2"/>
    <w:rsid w:val="00883564"/>
    <w:rsid w:val="00893D35"/>
    <w:rsid w:val="00894208"/>
    <w:rsid w:val="008A0AC8"/>
    <w:rsid w:val="008A224B"/>
    <w:rsid w:val="008A5DEA"/>
    <w:rsid w:val="008A66D2"/>
    <w:rsid w:val="008A7374"/>
    <w:rsid w:val="008C6A3A"/>
    <w:rsid w:val="008D3518"/>
    <w:rsid w:val="008E12FE"/>
    <w:rsid w:val="008E1A19"/>
    <w:rsid w:val="008F1510"/>
    <w:rsid w:val="008F3E20"/>
    <w:rsid w:val="00911414"/>
    <w:rsid w:val="00921C07"/>
    <w:rsid w:val="00925D99"/>
    <w:rsid w:val="00927783"/>
    <w:rsid w:val="00927B78"/>
    <w:rsid w:val="00941074"/>
    <w:rsid w:val="00942584"/>
    <w:rsid w:val="009441CE"/>
    <w:rsid w:val="009442FD"/>
    <w:rsid w:val="00951D85"/>
    <w:rsid w:val="00956FE6"/>
    <w:rsid w:val="00964CCE"/>
    <w:rsid w:val="009736F0"/>
    <w:rsid w:val="00975952"/>
    <w:rsid w:val="0099697C"/>
    <w:rsid w:val="009A6C6C"/>
    <w:rsid w:val="009B23EE"/>
    <w:rsid w:val="009B6A08"/>
    <w:rsid w:val="009C2C6A"/>
    <w:rsid w:val="009C6880"/>
    <w:rsid w:val="009D42A7"/>
    <w:rsid w:val="009F0527"/>
    <w:rsid w:val="00A1588C"/>
    <w:rsid w:val="00A25E8E"/>
    <w:rsid w:val="00A26419"/>
    <w:rsid w:val="00A27D72"/>
    <w:rsid w:val="00A31479"/>
    <w:rsid w:val="00A315AA"/>
    <w:rsid w:val="00A35299"/>
    <w:rsid w:val="00A40060"/>
    <w:rsid w:val="00A4558C"/>
    <w:rsid w:val="00A47EF9"/>
    <w:rsid w:val="00A5474E"/>
    <w:rsid w:val="00A55006"/>
    <w:rsid w:val="00A5739C"/>
    <w:rsid w:val="00A646DB"/>
    <w:rsid w:val="00A660FC"/>
    <w:rsid w:val="00A741ED"/>
    <w:rsid w:val="00A82CEE"/>
    <w:rsid w:val="00A8396E"/>
    <w:rsid w:val="00AA3782"/>
    <w:rsid w:val="00AF18BD"/>
    <w:rsid w:val="00AF7FD0"/>
    <w:rsid w:val="00B00AC1"/>
    <w:rsid w:val="00B0225A"/>
    <w:rsid w:val="00B02D44"/>
    <w:rsid w:val="00B034A7"/>
    <w:rsid w:val="00B045C2"/>
    <w:rsid w:val="00B21C1F"/>
    <w:rsid w:val="00B34B22"/>
    <w:rsid w:val="00B36318"/>
    <w:rsid w:val="00B40D0A"/>
    <w:rsid w:val="00B55690"/>
    <w:rsid w:val="00B6546B"/>
    <w:rsid w:val="00B70BEC"/>
    <w:rsid w:val="00B7366D"/>
    <w:rsid w:val="00B75B69"/>
    <w:rsid w:val="00B77CB3"/>
    <w:rsid w:val="00BA2C82"/>
    <w:rsid w:val="00BA74F7"/>
    <w:rsid w:val="00BC75AE"/>
    <w:rsid w:val="00BC7933"/>
    <w:rsid w:val="00BE6616"/>
    <w:rsid w:val="00BF5384"/>
    <w:rsid w:val="00C057C4"/>
    <w:rsid w:val="00C11D80"/>
    <w:rsid w:val="00C210E0"/>
    <w:rsid w:val="00C2423D"/>
    <w:rsid w:val="00C2451C"/>
    <w:rsid w:val="00C33DE1"/>
    <w:rsid w:val="00C350D4"/>
    <w:rsid w:val="00C3551D"/>
    <w:rsid w:val="00C35879"/>
    <w:rsid w:val="00C41479"/>
    <w:rsid w:val="00C43185"/>
    <w:rsid w:val="00C668FA"/>
    <w:rsid w:val="00C7421D"/>
    <w:rsid w:val="00C758C0"/>
    <w:rsid w:val="00C77E18"/>
    <w:rsid w:val="00C83B29"/>
    <w:rsid w:val="00C94F30"/>
    <w:rsid w:val="00CC0926"/>
    <w:rsid w:val="00CC45E3"/>
    <w:rsid w:val="00CD5C77"/>
    <w:rsid w:val="00CE6DB2"/>
    <w:rsid w:val="00CF031D"/>
    <w:rsid w:val="00CF5B71"/>
    <w:rsid w:val="00D1205C"/>
    <w:rsid w:val="00D32BF3"/>
    <w:rsid w:val="00D41E8E"/>
    <w:rsid w:val="00D46B1A"/>
    <w:rsid w:val="00D53676"/>
    <w:rsid w:val="00D54D36"/>
    <w:rsid w:val="00D632BE"/>
    <w:rsid w:val="00D677CC"/>
    <w:rsid w:val="00D766EC"/>
    <w:rsid w:val="00D94C2E"/>
    <w:rsid w:val="00DB07E1"/>
    <w:rsid w:val="00DC50B2"/>
    <w:rsid w:val="00DC67B3"/>
    <w:rsid w:val="00DD31C4"/>
    <w:rsid w:val="00DE1C84"/>
    <w:rsid w:val="00DE20B0"/>
    <w:rsid w:val="00DE43EE"/>
    <w:rsid w:val="00DF56F7"/>
    <w:rsid w:val="00E0394E"/>
    <w:rsid w:val="00E06775"/>
    <w:rsid w:val="00E06967"/>
    <w:rsid w:val="00E11A0C"/>
    <w:rsid w:val="00E1321E"/>
    <w:rsid w:val="00E14961"/>
    <w:rsid w:val="00E14D2C"/>
    <w:rsid w:val="00E14FC1"/>
    <w:rsid w:val="00E27F3F"/>
    <w:rsid w:val="00E31686"/>
    <w:rsid w:val="00E34304"/>
    <w:rsid w:val="00E43D1A"/>
    <w:rsid w:val="00E4441D"/>
    <w:rsid w:val="00E57A25"/>
    <w:rsid w:val="00E6185C"/>
    <w:rsid w:val="00E61DDA"/>
    <w:rsid w:val="00E66D78"/>
    <w:rsid w:val="00E7370F"/>
    <w:rsid w:val="00E7478C"/>
    <w:rsid w:val="00E753D9"/>
    <w:rsid w:val="00E856E4"/>
    <w:rsid w:val="00E959C1"/>
    <w:rsid w:val="00EA0A95"/>
    <w:rsid w:val="00EB37F9"/>
    <w:rsid w:val="00EB4410"/>
    <w:rsid w:val="00EC0B5B"/>
    <w:rsid w:val="00EC2EB0"/>
    <w:rsid w:val="00EC57B4"/>
    <w:rsid w:val="00EC6463"/>
    <w:rsid w:val="00F0115E"/>
    <w:rsid w:val="00F0256C"/>
    <w:rsid w:val="00F12170"/>
    <w:rsid w:val="00F24A1D"/>
    <w:rsid w:val="00F3583E"/>
    <w:rsid w:val="00F367DC"/>
    <w:rsid w:val="00F414B6"/>
    <w:rsid w:val="00F44FA4"/>
    <w:rsid w:val="00F469D4"/>
    <w:rsid w:val="00F56EF7"/>
    <w:rsid w:val="00F61C00"/>
    <w:rsid w:val="00F61EE6"/>
    <w:rsid w:val="00F63E60"/>
    <w:rsid w:val="00F762DE"/>
    <w:rsid w:val="00F80182"/>
    <w:rsid w:val="00F82FFA"/>
    <w:rsid w:val="00F8645A"/>
    <w:rsid w:val="00F865CF"/>
    <w:rsid w:val="00F9044D"/>
    <w:rsid w:val="00FA5B70"/>
    <w:rsid w:val="00FB51DD"/>
    <w:rsid w:val="00FB6CD8"/>
    <w:rsid w:val="00FC0B2E"/>
    <w:rsid w:val="00FD1AA5"/>
    <w:rsid w:val="00FE3CB1"/>
    <w:rsid w:val="00FF2EF0"/>
    <w:rsid w:val="00FF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76"/>
    <w:pPr>
      <w:spacing w:after="0" w:line="240" w:lineRule="auto"/>
    </w:pPr>
    <w:rPr>
      <w:rFonts w:ascii="Garamond" w:eastAsia="Times New Roman" w:hAnsi="Garamond" w:cs="Times New Roman"/>
      <w:szCs w:val="20"/>
    </w:rPr>
  </w:style>
  <w:style w:type="paragraph" w:styleId="Heading5">
    <w:name w:val="heading 5"/>
    <w:basedOn w:val="Normal"/>
    <w:next w:val="BodyText"/>
    <w:link w:val="Heading5Char"/>
    <w:qFormat/>
    <w:rsid w:val="00D53676"/>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53676"/>
    <w:rPr>
      <w:rFonts w:ascii="Garamond" w:eastAsia="Times New Roman" w:hAnsi="Garamond" w:cs="Times New Roman"/>
      <w:kern w:val="20"/>
      <w:szCs w:val="20"/>
    </w:rPr>
  </w:style>
  <w:style w:type="paragraph" w:styleId="ListParagraph">
    <w:name w:val="List Paragraph"/>
    <w:basedOn w:val="Normal"/>
    <w:uiPriority w:val="34"/>
    <w:qFormat/>
    <w:rsid w:val="00D53676"/>
    <w:pPr>
      <w:ind w:left="720"/>
      <w:contextualSpacing/>
    </w:pPr>
    <w:rPr>
      <w:rFonts w:ascii="Times New Roman" w:hAnsi="Times New Roman"/>
      <w:sz w:val="24"/>
      <w:szCs w:val="24"/>
    </w:rPr>
  </w:style>
  <w:style w:type="table" w:styleId="TableGrid">
    <w:name w:val="Table Grid"/>
    <w:basedOn w:val="TableNormal"/>
    <w:rsid w:val="00D536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676"/>
    <w:rPr>
      <w:color w:val="0000FF" w:themeColor="hyperlink"/>
      <w:u w:val="single"/>
    </w:rPr>
  </w:style>
  <w:style w:type="paragraph" w:styleId="BodyText">
    <w:name w:val="Body Text"/>
    <w:basedOn w:val="Normal"/>
    <w:link w:val="BodyTextChar"/>
    <w:uiPriority w:val="99"/>
    <w:semiHidden/>
    <w:unhideWhenUsed/>
    <w:rsid w:val="00D53676"/>
    <w:pPr>
      <w:spacing w:after="120"/>
    </w:pPr>
  </w:style>
  <w:style w:type="character" w:customStyle="1" w:styleId="BodyTextChar">
    <w:name w:val="Body Text Char"/>
    <w:basedOn w:val="DefaultParagraphFont"/>
    <w:link w:val="BodyText"/>
    <w:uiPriority w:val="99"/>
    <w:semiHidden/>
    <w:rsid w:val="00D53676"/>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3E6366"/>
    <w:rPr>
      <w:rFonts w:ascii="Tahoma" w:hAnsi="Tahoma" w:cs="Tahoma"/>
      <w:sz w:val="16"/>
      <w:szCs w:val="16"/>
    </w:rPr>
  </w:style>
  <w:style w:type="character" w:customStyle="1" w:styleId="BalloonTextChar">
    <w:name w:val="Balloon Text Char"/>
    <w:basedOn w:val="DefaultParagraphFont"/>
    <w:link w:val="BalloonText"/>
    <w:uiPriority w:val="99"/>
    <w:semiHidden/>
    <w:rsid w:val="003E6366"/>
    <w:rPr>
      <w:rFonts w:ascii="Tahoma" w:eastAsia="Times New Roman" w:hAnsi="Tahoma" w:cs="Tahoma"/>
      <w:sz w:val="16"/>
      <w:szCs w:val="16"/>
    </w:rPr>
  </w:style>
  <w:style w:type="paragraph" w:styleId="Header">
    <w:name w:val="header"/>
    <w:basedOn w:val="Normal"/>
    <w:link w:val="HeaderChar"/>
    <w:uiPriority w:val="99"/>
    <w:unhideWhenUsed/>
    <w:rsid w:val="00EC6463"/>
    <w:pPr>
      <w:tabs>
        <w:tab w:val="center" w:pos="4680"/>
        <w:tab w:val="right" w:pos="9360"/>
      </w:tabs>
    </w:pPr>
  </w:style>
  <w:style w:type="character" w:customStyle="1" w:styleId="HeaderChar">
    <w:name w:val="Header Char"/>
    <w:basedOn w:val="DefaultParagraphFont"/>
    <w:link w:val="Header"/>
    <w:uiPriority w:val="99"/>
    <w:rsid w:val="00EC6463"/>
    <w:rPr>
      <w:rFonts w:ascii="Garamond" w:eastAsia="Times New Roman" w:hAnsi="Garamond" w:cs="Times New Roman"/>
      <w:szCs w:val="20"/>
    </w:rPr>
  </w:style>
  <w:style w:type="paragraph" w:styleId="Footer">
    <w:name w:val="footer"/>
    <w:basedOn w:val="Normal"/>
    <w:link w:val="FooterChar"/>
    <w:uiPriority w:val="99"/>
    <w:unhideWhenUsed/>
    <w:rsid w:val="00EC6463"/>
    <w:pPr>
      <w:tabs>
        <w:tab w:val="center" w:pos="4680"/>
        <w:tab w:val="right" w:pos="9360"/>
      </w:tabs>
    </w:pPr>
  </w:style>
  <w:style w:type="character" w:customStyle="1" w:styleId="FooterChar">
    <w:name w:val="Footer Char"/>
    <w:basedOn w:val="DefaultParagraphFont"/>
    <w:link w:val="Footer"/>
    <w:uiPriority w:val="99"/>
    <w:rsid w:val="00EC6463"/>
    <w:rPr>
      <w:rFonts w:ascii="Garamond" w:eastAsia="Times New Roman" w:hAnsi="Garamond" w:cs="Times New Roman"/>
      <w:szCs w:val="20"/>
    </w:rPr>
  </w:style>
  <w:style w:type="character" w:styleId="CommentReference">
    <w:name w:val="annotation reference"/>
    <w:basedOn w:val="DefaultParagraphFont"/>
    <w:uiPriority w:val="99"/>
    <w:unhideWhenUsed/>
    <w:rsid w:val="00A47EF9"/>
    <w:rPr>
      <w:sz w:val="16"/>
      <w:szCs w:val="16"/>
    </w:rPr>
  </w:style>
  <w:style w:type="paragraph" w:styleId="CommentText">
    <w:name w:val="annotation text"/>
    <w:basedOn w:val="Normal"/>
    <w:link w:val="CommentTextChar"/>
    <w:uiPriority w:val="99"/>
    <w:unhideWhenUsed/>
    <w:rsid w:val="00A47EF9"/>
    <w:rPr>
      <w:sz w:val="20"/>
    </w:rPr>
  </w:style>
  <w:style w:type="character" w:customStyle="1" w:styleId="CommentTextChar">
    <w:name w:val="Comment Text Char"/>
    <w:basedOn w:val="DefaultParagraphFont"/>
    <w:link w:val="CommentText"/>
    <w:uiPriority w:val="99"/>
    <w:rsid w:val="00A47EF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A47EF9"/>
    <w:rPr>
      <w:b/>
      <w:bCs/>
    </w:rPr>
  </w:style>
  <w:style w:type="character" w:customStyle="1" w:styleId="CommentSubjectChar">
    <w:name w:val="Comment Subject Char"/>
    <w:basedOn w:val="CommentTextChar"/>
    <w:link w:val="CommentSubject"/>
    <w:uiPriority w:val="99"/>
    <w:semiHidden/>
    <w:rsid w:val="00A47EF9"/>
    <w:rPr>
      <w:rFonts w:ascii="Garamond" w:eastAsia="Times New Roman" w:hAnsi="Garamond" w:cs="Times New Roman"/>
      <w:b/>
      <w:bCs/>
      <w:sz w:val="20"/>
      <w:szCs w:val="20"/>
    </w:rPr>
  </w:style>
  <w:style w:type="paragraph" w:styleId="FootnoteText">
    <w:name w:val="footnote text"/>
    <w:basedOn w:val="Normal"/>
    <w:link w:val="FootnoteTextChar"/>
    <w:unhideWhenUsed/>
    <w:rsid w:val="008646F3"/>
    <w:rPr>
      <w:sz w:val="20"/>
    </w:rPr>
  </w:style>
  <w:style w:type="character" w:customStyle="1" w:styleId="FootnoteTextChar">
    <w:name w:val="Footnote Text Char"/>
    <w:basedOn w:val="DefaultParagraphFont"/>
    <w:link w:val="FootnoteText"/>
    <w:rsid w:val="008646F3"/>
    <w:rPr>
      <w:rFonts w:ascii="Garamond" w:eastAsia="Times New Roman" w:hAnsi="Garamond" w:cs="Times New Roman"/>
      <w:sz w:val="20"/>
      <w:szCs w:val="20"/>
    </w:rPr>
  </w:style>
  <w:style w:type="character" w:styleId="FootnoteReference">
    <w:name w:val="footnote reference"/>
    <w:basedOn w:val="DefaultParagraphFont"/>
    <w:unhideWhenUsed/>
    <w:rsid w:val="008646F3"/>
    <w:rPr>
      <w:vertAlign w:val="superscript"/>
    </w:rPr>
  </w:style>
  <w:style w:type="paragraph" w:styleId="EndnoteText">
    <w:name w:val="endnote text"/>
    <w:basedOn w:val="Normal"/>
    <w:link w:val="EndnoteTextChar"/>
    <w:uiPriority w:val="99"/>
    <w:semiHidden/>
    <w:unhideWhenUsed/>
    <w:rsid w:val="005176C3"/>
    <w:rPr>
      <w:sz w:val="20"/>
    </w:rPr>
  </w:style>
  <w:style w:type="character" w:customStyle="1" w:styleId="EndnoteTextChar">
    <w:name w:val="Endnote Text Char"/>
    <w:basedOn w:val="DefaultParagraphFont"/>
    <w:link w:val="EndnoteText"/>
    <w:uiPriority w:val="99"/>
    <w:semiHidden/>
    <w:rsid w:val="005176C3"/>
    <w:rPr>
      <w:rFonts w:ascii="Garamond" w:eastAsia="Times New Roman" w:hAnsi="Garamond" w:cs="Times New Roman"/>
      <w:sz w:val="20"/>
      <w:szCs w:val="20"/>
    </w:rPr>
  </w:style>
  <w:style w:type="character" w:styleId="EndnoteReference">
    <w:name w:val="endnote reference"/>
    <w:basedOn w:val="DefaultParagraphFont"/>
    <w:uiPriority w:val="99"/>
    <w:semiHidden/>
    <w:unhideWhenUsed/>
    <w:rsid w:val="005176C3"/>
    <w:rPr>
      <w:vertAlign w:val="superscript"/>
    </w:rPr>
  </w:style>
  <w:style w:type="paragraph" w:customStyle="1" w:styleId="Default">
    <w:name w:val="Default"/>
    <w:rsid w:val="003B2938"/>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466F54"/>
  </w:style>
  <w:style w:type="character" w:styleId="FollowedHyperlink">
    <w:name w:val="FollowedHyperlink"/>
    <w:basedOn w:val="DefaultParagraphFont"/>
    <w:uiPriority w:val="99"/>
    <w:semiHidden/>
    <w:unhideWhenUsed/>
    <w:rsid w:val="0099697C"/>
    <w:rPr>
      <w:color w:val="800080" w:themeColor="followedHyperlink"/>
      <w:u w:val="single"/>
    </w:rPr>
  </w:style>
  <w:style w:type="character" w:styleId="Strong">
    <w:name w:val="Strong"/>
    <w:basedOn w:val="DefaultParagraphFont"/>
    <w:uiPriority w:val="22"/>
    <w:qFormat/>
    <w:rsid w:val="001C7F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76"/>
    <w:pPr>
      <w:spacing w:after="0" w:line="240" w:lineRule="auto"/>
    </w:pPr>
    <w:rPr>
      <w:rFonts w:ascii="Garamond" w:eastAsia="Times New Roman" w:hAnsi="Garamond" w:cs="Times New Roman"/>
      <w:szCs w:val="20"/>
    </w:rPr>
  </w:style>
  <w:style w:type="paragraph" w:styleId="Heading5">
    <w:name w:val="heading 5"/>
    <w:basedOn w:val="Normal"/>
    <w:next w:val="BodyText"/>
    <w:link w:val="Heading5Char"/>
    <w:qFormat/>
    <w:rsid w:val="00D53676"/>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53676"/>
    <w:rPr>
      <w:rFonts w:ascii="Garamond" w:eastAsia="Times New Roman" w:hAnsi="Garamond" w:cs="Times New Roman"/>
      <w:kern w:val="20"/>
      <w:szCs w:val="20"/>
    </w:rPr>
  </w:style>
  <w:style w:type="paragraph" w:styleId="ListParagraph">
    <w:name w:val="List Paragraph"/>
    <w:basedOn w:val="Normal"/>
    <w:uiPriority w:val="34"/>
    <w:qFormat/>
    <w:rsid w:val="00D53676"/>
    <w:pPr>
      <w:ind w:left="720"/>
      <w:contextualSpacing/>
    </w:pPr>
    <w:rPr>
      <w:rFonts w:ascii="Times New Roman" w:hAnsi="Times New Roman"/>
      <w:sz w:val="24"/>
      <w:szCs w:val="24"/>
    </w:rPr>
  </w:style>
  <w:style w:type="table" w:styleId="TableGrid">
    <w:name w:val="Table Grid"/>
    <w:basedOn w:val="TableNormal"/>
    <w:rsid w:val="00D536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676"/>
    <w:rPr>
      <w:color w:val="0000FF" w:themeColor="hyperlink"/>
      <w:u w:val="single"/>
    </w:rPr>
  </w:style>
  <w:style w:type="paragraph" w:styleId="BodyText">
    <w:name w:val="Body Text"/>
    <w:basedOn w:val="Normal"/>
    <w:link w:val="BodyTextChar"/>
    <w:uiPriority w:val="99"/>
    <w:semiHidden/>
    <w:unhideWhenUsed/>
    <w:rsid w:val="00D53676"/>
    <w:pPr>
      <w:spacing w:after="120"/>
    </w:pPr>
  </w:style>
  <w:style w:type="character" w:customStyle="1" w:styleId="BodyTextChar">
    <w:name w:val="Body Text Char"/>
    <w:basedOn w:val="DefaultParagraphFont"/>
    <w:link w:val="BodyText"/>
    <w:uiPriority w:val="99"/>
    <w:semiHidden/>
    <w:rsid w:val="00D53676"/>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3E6366"/>
    <w:rPr>
      <w:rFonts w:ascii="Tahoma" w:hAnsi="Tahoma" w:cs="Tahoma"/>
      <w:sz w:val="16"/>
      <w:szCs w:val="16"/>
    </w:rPr>
  </w:style>
  <w:style w:type="character" w:customStyle="1" w:styleId="BalloonTextChar">
    <w:name w:val="Balloon Text Char"/>
    <w:basedOn w:val="DefaultParagraphFont"/>
    <w:link w:val="BalloonText"/>
    <w:uiPriority w:val="99"/>
    <w:semiHidden/>
    <w:rsid w:val="003E6366"/>
    <w:rPr>
      <w:rFonts w:ascii="Tahoma" w:eastAsia="Times New Roman" w:hAnsi="Tahoma" w:cs="Tahoma"/>
      <w:sz w:val="16"/>
      <w:szCs w:val="16"/>
    </w:rPr>
  </w:style>
  <w:style w:type="paragraph" w:styleId="Header">
    <w:name w:val="header"/>
    <w:basedOn w:val="Normal"/>
    <w:link w:val="HeaderChar"/>
    <w:uiPriority w:val="99"/>
    <w:unhideWhenUsed/>
    <w:rsid w:val="00EC6463"/>
    <w:pPr>
      <w:tabs>
        <w:tab w:val="center" w:pos="4680"/>
        <w:tab w:val="right" w:pos="9360"/>
      </w:tabs>
    </w:pPr>
  </w:style>
  <w:style w:type="character" w:customStyle="1" w:styleId="HeaderChar">
    <w:name w:val="Header Char"/>
    <w:basedOn w:val="DefaultParagraphFont"/>
    <w:link w:val="Header"/>
    <w:uiPriority w:val="99"/>
    <w:rsid w:val="00EC6463"/>
    <w:rPr>
      <w:rFonts w:ascii="Garamond" w:eastAsia="Times New Roman" w:hAnsi="Garamond" w:cs="Times New Roman"/>
      <w:szCs w:val="20"/>
    </w:rPr>
  </w:style>
  <w:style w:type="paragraph" w:styleId="Footer">
    <w:name w:val="footer"/>
    <w:basedOn w:val="Normal"/>
    <w:link w:val="FooterChar"/>
    <w:uiPriority w:val="99"/>
    <w:unhideWhenUsed/>
    <w:rsid w:val="00EC6463"/>
    <w:pPr>
      <w:tabs>
        <w:tab w:val="center" w:pos="4680"/>
        <w:tab w:val="right" w:pos="9360"/>
      </w:tabs>
    </w:pPr>
  </w:style>
  <w:style w:type="character" w:customStyle="1" w:styleId="FooterChar">
    <w:name w:val="Footer Char"/>
    <w:basedOn w:val="DefaultParagraphFont"/>
    <w:link w:val="Footer"/>
    <w:uiPriority w:val="99"/>
    <w:rsid w:val="00EC6463"/>
    <w:rPr>
      <w:rFonts w:ascii="Garamond" w:eastAsia="Times New Roman" w:hAnsi="Garamond" w:cs="Times New Roman"/>
      <w:szCs w:val="20"/>
    </w:rPr>
  </w:style>
  <w:style w:type="character" w:styleId="CommentReference">
    <w:name w:val="annotation reference"/>
    <w:basedOn w:val="DefaultParagraphFont"/>
    <w:uiPriority w:val="99"/>
    <w:unhideWhenUsed/>
    <w:rsid w:val="00A47EF9"/>
    <w:rPr>
      <w:sz w:val="16"/>
      <w:szCs w:val="16"/>
    </w:rPr>
  </w:style>
  <w:style w:type="paragraph" w:styleId="CommentText">
    <w:name w:val="annotation text"/>
    <w:basedOn w:val="Normal"/>
    <w:link w:val="CommentTextChar"/>
    <w:uiPriority w:val="99"/>
    <w:unhideWhenUsed/>
    <w:rsid w:val="00A47EF9"/>
    <w:rPr>
      <w:sz w:val="20"/>
    </w:rPr>
  </w:style>
  <w:style w:type="character" w:customStyle="1" w:styleId="CommentTextChar">
    <w:name w:val="Comment Text Char"/>
    <w:basedOn w:val="DefaultParagraphFont"/>
    <w:link w:val="CommentText"/>
    <w:uiPriority w:val="99"/>
    <w:rsid w:val="00A47EF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A47EF9"/>
    <w:rPr>
      <w:b/>
      <w:bCs/>
    </w:rPr>
  </w:style>
  <w:style w:type="character" w:customStyle="1" w:styleId="CommentSubjectChar">
    <w:name w:val="Comment Subject Char"/>
    <w:basedOn w:val="CommentTextChar"/>
    <w:link w:val="CommentSubject"/>
    <w:uiPriority w:val="99"/>
    <w:semiHidden/>
    <w:rsid w:val="00A47EF9"/>
    <w:rPr>
      <w:rFonts w:ascii="Garamond" w:eastAsia="Times New Roman" w:hAnsi="Garamond" w:cs="Times New Roman"/>
      <w:b/>
      <w:bCs/>
      <w:sz w:val="20"/>
      <w:szCs w:val="20"/>
    </w:rPr>
  </w:style>
  <w:style w:type="paragraph" w:styleId="FootnoteText">
    <w:name w:val="footnote text"/>
    <w:basedOn w:val="Normal"/>
    <w:link w:val="FootnoteTextChar"/>
    <w:unhideWhenUsed/>
    <w:rsid w:val="008646F3"/>
    <w:rPr>
      <w:sz w:val="20"/>
    </w:rPr>
  </w:style>
  <w:style w:type="character" w:customStyle="1" w:styleId="FootnoteTextChar">
    <w:name w:val="Footnote Text Char"/>
    <w:basedOn w:val="DefaultParagraphFont"/>
    <w:link w:val="FootnoteText"/>
    <w:rsid w:val="008646F3"/>
    <w:rPr>
      <w:rFonts w:ascii="Garamond" w:eastAsia="Times New Roman" w:hAnsi="Garamond" w:cs="Times New Roman"/>
      <w:sz w:val="20"/>
      <w:szCs w:val="20"/>
    </w:rPr>
  </w:style>
  <w:style w:type="character" w:styleId="FootnoteReference">
    <w:name w:val="footnote reference"/>
    <w:basedOn w:val="DefaultParagraphFont"/>
    <w:unhideWhenUsed/>
    <w:rsid w:val="008646F3"/>
    <w:rPr>
      <w:vertAlign w:val="superscript"/>
    </w:rPr>
  </w:style>
  <w:style w:type="paragraph" w:styleId="EndnoteText">
    <w:name w:val="endnote text"/>
    <w:basedOn w:val="Normal"/>
    <w:link w:val="EndnoteTextChar"/>
    <w:uiPriority w:val="99"/>
    <w:semiHidden/>
    <w:unhideWhenUsed/>
    <w:rsid w:val="005176C3"/>
    <w:rPr>
      <w:sz w:val="20"/>
    </w:rPr>
  </w:style>
  <w:style w:type="character" w:customStyle="1" w:styleId="EndnoteTextChar">
    <w:name w:val="Endnote Text Char"/>
    <w:basedOn w:val="DefaultParagraphFont"/>
    <w:link w:val="EndnoteText"/>
    <w:uiPriority w:val="99"/>
    <w:semiHidden/>
    <w:rsid w:val="005176C3"/>
    <w:rPr>
      <w:rFonts w:ascii="Garamond" w:eastAsia="Times New Roman" w:hAnsi="Garamond" w:cs="Times New Roman"/>
      <w:sz w:val="20"/>
      <w:szCs w:val="20"/>
    </w:rPr>
  </w:style>
  <w:style w:type="character" w:styleId="EndnoteReference">
    <w:name w:val="endnote reference"/>
    <w:basedOn w:val="DefaultParagraphFont"/>
    <w:uiPriority w:val="99"/>
    <w:semiHidden/>
    <w:unhideWhenUsed/>
    <w:rsid w:val="005176C3"/>
    <w:rPr>
      <w:vertAlign w:val="superscript"/>
    </w:rPr>
  </w:style>
  <w:style w:type="paragraph" w:customStyle="1" w:styleId="Default">
    <w:name w:val="Default"/>
    <w:rsid w:val="003B2938"/>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466F54"/>
  </w:style>
  <w:style w:type="character" w:styleId="FollowedHyperlink">
    <w:name w:val="FollowedHyperlink"/>
    <w:basedOn w:val="DefaultParagraphFont"/>
    <w:uiPriority w:val="99"/>
    <w:semiHidden/>
    <w:unhideWhenUsed/>
    <w:rsid w:val="0099697C"/>
    <w:rPr>
      <w:color w:val="800080" w:themeColor="followedHyperlink"/>
      <w:u w:val="single"/>
    </w:rPr>
  </w:style>
  <w:style w:type="character" w:styleId="Strong">
    <w:name w:val="Strong"/>
    <w:basedOn w:val="DefaultParagraphFont"/>
    <w:uiPriority w:val="22"/>
    <w:qFormat/>
    <w:rsid w:val="001C7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4752">
      <w:bodyDiv w:val="1"/>
      <w:marLeft w:val="0"/>
      <w:marRight w:val="0"/>
      <w:marTop w:val="0"/>
      <w:marBottom w:val="0"/>
      <w:divBdr>
        <w:top w:val="none" w:sz="0" w:space="0" w:color="auto"/>
        <w:left w:val="none" w:sz="0" w:space="0" w:color="auto"/>
        <w:bottom w:val="none" w:sz="0" w:space="0" w:color="auto"/>
        <w:right w:val="none" w:sz="0" w:space="0" w:color="auto"/>
      </w:divBdr>
    </w:div>
    <w:div w:id="913969832">
      <w:bodyDiv w:val="1"/>
      <w:marLeft w:val="0"/>
      <w:marRight w:val="0"/>
      <w:marTop w:val="0"/>
      <w:marBottom w:val="0"/>
      <w:divBdr>
        <w:top w:val="none" w:sz="0" w:space="0" w:color="auto"/>
        <w:left w:val="none" w:sz="0" w:space="0" w:color="auto"/>
        <w:bottom w:val="none" w:sz="0" w:space="0" w:color="auto"/>
        <w:right w:val="none" w:sz="0" w:space="0" w:color="auto"/>
      </w:divBdr>
    </w:div>
    <w:div w:id="1220366706">
      <w:bodyDiv w:val="1"/>
      <w:marLeft w:val="0"/>
      <w:marRight w:val="0"/>
      <w:marTop w:val="0"/>
      <w:marBottom w:val="0"/>
      <w:divBdr>
        <w:top w:val="none" w:sz="0" w:space="0" w:color="auto"/>
        <w:left w:val="none" w:sz="0" w:space="0" w:color="auto"/>
        <w:bottom w:val="none" w:sz="0" w:space="0" w:color="auto"/>
        <w:right w:val="none" w:sz="0" w:space="0" w:color="auto"/>
      </w:divBdr>
    </w:div>
    <w:div w:id="19477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ortal.hud.gov/hudportal/HUD?src=/program_offices/administration/hudclips/guidebooks/hsg-GB4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E9E8-A8A7-490F-A9D1-7F9B748B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6111</Words>
  <Characters>34835</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Simmons</dc:creator>
  <cp:lastModifiedBy>Jim Carey</cp:lastModifiedBy>
  <cp:revision>2</cp:revision>
  <cp:lastPrinted>2016-03-10T18:27:00Z</cp:lastPrinted>
  <dcterms:created xsi:type="dcterms:W3CDTF">2016-03-16T15:17:00Z</dcterms:created>
  <dcterms:modified xsi:type="dcterms:W3CDTF">2016-03-16T15:17:00Z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-1951172345</vt:i4>
  </property>
  <property fmtid="{D5CDD505-2E9C-101B-9397-08002B2CF9AE}" pid="3" name="_NewReviewCycle">
    <vt:lpwstr/>
  </property>
  <property fmtid="{D5CDD505-2E9C-101B-9397-08002B2CF9AE}" pid="4" name="_EmailSubject">
    <vt:lpwstr>OMB Emergency Letter Revised HUD 92013-D</vt:lpwstr>
  </property>
  <property fmtid="{D5CDD505-2E9C-101B-9397-08002B2CF9AE}" pid="5" name="_AuthorEmail">
    <vt:lpwstr>James.F.Carey@hud.gov</vt:lpwstr>
  </property>
  <property fmtid="{D5CDD505-2E9C-101B-9397-08002B2CF9AE}" pid="6" name="_AuthorEmailDisplayName">
    <vt:lpwstr>Carey, James F</vt:lpwstr>
  </property>
  <property fmtid="{D5CDD505-2E9C-101B-9397-08002B2CF9AE}" pid="7" name="_PreviousAdHocReviewCycleID">
    <vt:i4>-1398928654</vt:i4>
  </property>
</Properties>
</file>