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92C56" w14:textId="77777777" w:rsidR="0009667A" w:rsidRPr="009074DF" w:rsidRDefault="0009667A" w:rsidP="00A25F26">
      <w:pPr>
        <w:tabs>
          <w:tab w:val="left" w:pos="360"/>
        </w:tabs>
        <w:jc w:val="center"/>
        <w:rPr>
          <w:b/>
          <w:i/>
        </w:rPr>
      </w:pPr>
      <w:r w:rsidRPr="009074DF">
        <w:rPr>
          <w:b/>
          <w:i/>
        </w:rPr>
        <w:t>SUPPORTING STATEMENT</w:t>
      </w:r>
    </w:p>
    <w:p w14:paraId="5D46ABAB" w14:textId="77777777" w:rsidR="0009667A" w:rsidRPr="009074DF" w:rsidRDefault="0009667A" w:rsidP="00A25F26">
      <w:pPr>
        <w:tabs>
          <w:tab w:val="left" w:pos="360"/>
        </w:tabs>
        <w:spacing w:after="0"/>
        <w:jc w:val="center"/>
        <w:rPr>
          <w:b/>
        </w:rPr>
      </w:pPr>
      <w:r w:rsidRPr="009074DF">
        <w:rPr>
          <w:b/>
        </w:rPr>
        <w:t>For</w:t>
      </w:r>
    </w:p>
    <w:p w14:paraId="7B34A372" w14:textId="77777777" w:rsidR="0009667A" w:rsidRPr="009074DF" w:rsidRDefault="0009667A" w:rsidP="00A25F26">
      <w:pPr>
        <w:tabs>
          <w:tab w:val="left" w:pos="360"/>
        </w:tabs>
        <w:jc w:val="center"/>
        <w:rPr>
          <w:b/>
        </w:rPr>
      </w:pPr>
      <w:r w:rsidRPr="009074DF">
        <w:rPr>
          <w:b/>
        </w:rPr>
        <w:t>Paperwork Reduction Act Submission</w:t>
      </w:r>
    </w:p>
    <w:p w14:paraId="2D6F54EF" w14:textId="77777777" w:rsidR="0009667A" w:rsidRPr="009074DF" w:rsidRDefault="0009667A" w:rsidP="00A25F26">
      <w:pPr>
        <w:jc w:val="center"/>
        <w:rPr>
          <w:b/>
        </w:rPr>
      </w:pPr>
    </w:p>
    <w:p w14:paraId="231A2CDE" w14:textId="38AB6EB5" w:rsidR="0009667A" w:rsidRPr="009074DF" w:rsidRDefault="00DB02B1" w:rsidP="00A25F26">
      <w:pPr>
        <w:jc w:val="center"/>
        <w:rPr>
          <w:b/>
        </w:rPr>
      </w:pPr>
      <w:r>
        <w:rPr>
          <w:b/>
        </w:rPr>
        <w:t>Process Evaluation</w:t>
      </w:r>
      <w:r w:rsidR="00151358" w:rsidRPr="009074DF">
        <w:rPr>
          <w:b/>
        </w:rPr>
        <w:t xml:space="preserve"> of the Social Innovation Fund (SIF)</w:t>
      </w:r>
      <w:r>
        <w:rPr>
          <w:b/>
        </w:rPr>
        <w:t xml:space="preserve"> Pay for Success (PFS) Program</w:t>
      </w:r>
    </w:p>
    <w:p w14:paraId="3E380489" w14:textId="77777777" w:rsidR="0009667A" w:rsidRPr="009074DF" w:rsidRDefault="0009667A" w:rsidP="00A25F26">
      <w:pPr>
        <w:tabs>
          <w:tab w:val="left" w:pos="360"/>
        </w:tabs>
        <w:jc w:val="center"/>
        <w:rPr>
          <w:b/>
        </w:rPr>
      </w:pPr>
    </w:p>
    <w:p w14:paraId="0612C4FA" w14:textId="77777777" w:rsidR="0009667A" w:rsidRPr="009074DF" w:rsidRDefault="0009667A" w:rsidP="00A25F26">
      <w:pPr>
        <w:tabs>
          <w:tab w:val="left" w:pos="360"/>
        </w:tabs>
        <w:jc w:val="center"/>
        <w:rPr>
          <w:b/>
        </w:rPr>
      </w:pPr>
    </w:p>
    <w:p w14:paraId="191B700F" w14:textId="77777777" w:rsidR="0009667A" w:rsidRPr="009074DF" w:rsidRDefault="0009667A" w:rsidP="00A25F26">
      <w:pPr>
        <w:tabs>
          <w:tab w:val="left" w:pos="360"/>
        </w:tabs>
        <w:jc w:val="center"/>
        <w:rPr>
          <w:b/>
        </w:rPr>
      </w:pPr>
    </w:p>
    <w:p w14:paraId="4CA69CA1" w14:textId="77777777" w:rsidR="0009667A" w:rsidRPr="009074DF" w:rsidRDefault="0009667A" w:rsidP="00A25F26">
      <w:pPr>
        <w:tabs>
          <w:tab w:val="left" w:pos="360"/>
        </w:tabs>
        <w:jc w:val="center"/>
        <w:rPr>
          <w:b/>
        </w:rPr>
      </w:pPr>
    </w:p>
    <w:p w14:paraId="2ED3BAA2" w14:textId="77777777" w:rsidR="0009667A" w:rsidRPr="009074DF" w:rsidRDefault="0009667A" w:rsidP="00A25F26">
      <w:pPr>
        <w:tabs>
          <w:tab w:val="left" w:pos="360"/>
        </w:tabs>
        <w:jc w:val="center"/>
        <w:rPr>
          <w:b/>
        </w:rPr>
      </w:pPr>
    </w:p>
    <w:p w14:paraId="0BABB325" w14:textId="77777777" w:rsidR="0009667A" w:rsidRPr="009074DF" w:rsidRDefault="0009667A" w:rsidP="00A25F26">
      <w:pPr>
        <w:tabs>
          <w:tab w:val="left" w:pos="360"/>
        </w:tabs>
        <w:jc w:val="center"/>
        <w:rPr>
          <w:b/>
        </w:rPr>
      </w:pPr>
    </w:p>
    <w:p w14:paraId="55044132" w14:textId="77777777" w:rsidR="0009667A" w:rsidRPr="009074DF" w:rsidRDefault="0009667A" w:rsidP="00A25F26">
      <w:pPr>
        <w:tabs>
          <w:tab w:val="left" w:pos="360"/>
        </w:tabs>
        <w:jc w:val="center"/>
        <w:rPr>
          <w:b/>
        </w:rPr>
      </w:pPr>
    </w:p>
    <w:p w14:paraId="1F460231" w14:textId="4F8BCC27" w:rsidR="0009667A" w:rsidRDefault="005C37E8" w:rsidP="00A25F26">
      <w:pPr>
        <w:tabs>
          <w:tab w:val="left" w:pos="360"/>
        </w:tabs>
        <w:jc w:val="center"/>
        <w:rPr>
          <w:b/>
        </w:rPr>
      </w:pPr>
      <w:r w:rsidRPr="009074DF">
        <w:rPr>
          <w:b/>
        </w:rPr>
        <w:t>Part A</w:t>
      </w:r>
      <w:r w:rsidR="003C4D40" w:rsidRPr="009074DF">
        <w:rPr>
          <w:b/>
        </w:rPr>
        <w:t>. Justif</w:t>
      </w:r>
      <w:r w:rsidR="00B74310" w:rsidRPr="009074DF">
        <w:rPr>
          <w:b/>
        </w:rPr>
        <w:t>ication</w:t>
      </w:r>
    </w:p>
    <w:p w14:paraId="3BEBE71C" w14:textId="77777777" w:rsidR="00DD1654" w:rsidRDefault="00DD1654" w:rsidP="00A25F26">
      <w:pPr>
        <w:tabs>
          <w:tab w:val="left" w:pos="360"/>
        </w:tabs>
        <w:jc w:val="center"/>
        <w:rPr>
          <w:b/>
        </w:rPr>
      </w:pPr>
    </w:p>
    <w:p w14:paraId="2ACB746B" w14:textId="77777777" w:rsidR="0009667A" w:rsidRPr="009074DF" w:rsidRDefault="0009667A" w:rsidP="00A25F26">
      <w:pPr>
        <w:tabs>
          <w:tab w:val="left" w:pos="360"/>
        </w:tabs>
        <w:jc w:val="center"/>
        <w:rPr>
          <w:b/>
        </w:rPr>
      </w:pPr>
    </w:p>
    <w:p w14:paraId="5A3DF04E" w14:textId="77777777" w:rsidR="0009667A" w:rsidRPr="009074DF" w:rsidRDefault="0009667A" w:rsidP="00A25F26">
      <w:pPr>
        <w:tabs>
          <w:tab w:val="left" w:pos="360"/>
        </w:tabs>
        <w:jc w:val="center"/>
        <w:rPr>
          <w:b/>
        </w:rPr>
      </w:pPr>
    </w:p>
    <w:p w14:paraId="1538CC76" w14:textId="77777777" w:rsidR="0009667A" w:rsidRPr="009074DF" w:rsidRDefault="0009667A" w:rsidP="00A25F26">
      <w:pPr>
        <w:tabs>
          <w:tab w:val="left" w:pos="360"/>
        </w:tabs>
        <w:jc w:val="center"/>
        <w:rPr>
          <w:b/>
        </w:rPr>
      </w:pPr>
    </w:p>
    <w:p w14:paraId="3F088277" w14:textId="77777777" w:rsidR="0009667A" w:rsidRPr="009074DF" w:rsidRDefault="0009667A" w:rsidP="00A25F26">
      <w:pPr>
        <w:tabs>
          <w:tab w:val="left" w:pos="360"/>
        </w:tabs>
        <w:jc w:val="center"/>
        <w:rPr>
          <w:b/>
        </w:rPr>
      </w:pPr>
    </w:p>
    <w:p w14:paraId="4481E087" w14:textId="77777777" w:rsidR="0009667A" w:rsidRPr="009074DF" w:rsidRDefault="0009667A" w:rsidP="00A25F26">
      <w:pPr>
        <w:tabs>
          <w:tab w:val="left" w:pos="360"/>
        </w:tabs>
        <w:jc w:val="center"/>
        <w:rPr>
          <w:b/>
        </w:rPr>
      </w:pPr>
    </w:p>
    <w:p w14:paraId="458F77F4" w14:textId="77777777" w:rsidR="0009667A" w:rsidRPr="009074DF" w:rsidRDefault="0009667A" w:rsidP="00A25F26">
      <w:pPr>
        <w:tabs>
          <w:tab w:val="left" w:pos="360"/>
        </w:tabs>
        <w:jc w:val="center"/>
        <w:rPr>
          <w:b/>
        </w:rPr>
      </w:pPr>
    </w:p>
    <w:p w14:paraId="2BF9AE79" w14:textId="77777777" w:rsidR="0009667A" w:rsidRPr="009074DF" w:rsidRDefault="0009667A" w:rsidP="00A25F26">
      <w:pPr>
        <w:tabs>
          <w:tab w:val="left" w:pos="360"/>
        </w:tabs>
        <w:jc w:val="center"/>
        <w:rPr>
          <w:b/>
        </w:rPr>
      </w:pPr>
    </w:p>
    <w:p w14:paraId="24A721D7" w14:textId="77777777" w:rsidR="0009667A" w:rsidRPr="009074DF" w:rsidRDefault="0009667A" w:rsidP="00A25F26">
      <w:pPr>
        <w:tabs>
          <w:tab w:val="left" w:pos="360"/>
        </w:tabs>
        <w:jc w:val="center"/>
        <w:rPr>
          <w:b/>
        </w:rPr>
      </w:pPr>
    </w:p>
    <w:p w14:paraId="3AC9EC54" w14:textId="77777777" w:rsidR="0009667A" w:rsidRPr="009074DF" w:rsidRDefault="0009667A" w:rsidP="00A25F26">
      <w:pPr>
        <w:tabs>
          <w:tab w:val="left" w:pos="360"/>
        </w:tabs>
        <w:jc w:val="center"/>
        <w:rPr>
          <w:b/>
        </w:rPr>
      </w:pPr>
      <w:r w:rsidRPr="009074DF">
        <w:rPr>
          <w:b/>
        </w:rPr>
        <w:t>Submitted by:</w:t>
      </w:r>
    </w:p>
    <w:p w14:paraId="6F7C2755" w14:textId="77777777" w:rsidR="0009667A" w:rsidRPr="009074DF" w:rsidRDefault="0009667A" w:rsidP="00A25F26">
      <w:pPr>
        <w:tabs>
          <w:tab w:val="left" w:pos="360"/>
        </w:tabs>
        <w:spacing w:after="0"/>
        <w:jc w:val="center"/>
        <w:rPr>
          <w:b/>
        </w:rPr>
      </w:pPr>
      <w:r w:rsidRPr="009074DF">
        <w:rPr>
          <w:b/>
        </w:rPr>
        <w:t>Corporation for National &amp; Community Service</w:t>
      </w:r>
    </w:p>
    <w:p w14:paraId="08FDD966" w14:textId="77777777" w:rsidR="0009667A" w:rsidRPr="009074DF" w:rsidRDefault="0009667A" w:rsidP="00A25F26">
      <w:pPr>
        <w:tabs>
          <w:tab w:val="left" w:pos="360"/>
        </w:tabs>
        <w:spacing w:after="0"/>
        <w:jc w:val="center"/>
        <w:rPr>
          <w:b/>
        </w:rPr>
      </w:pPr>
      <w:r w:rsidRPr="009074DF">
        <w:rPr>
          <w:b/>
        </w:rPr>
        <w:t>1201 New York Avenue, NW</w:t>
      </w:r>
      <w:r w:rsidRPr="009074DF">
        <w:rPr>
          <w:b/>
        </w:rPr>
        <w:br/>
        <w:t>Washington, DC 20525</w:t>
      </w:r>
    </w:p>
    <w:p w14:paraId="0D89D8BA" w14:textId="77777777" w:rsidR="005C37E8" w:rsidRPr="009074DF" w:rsidRDefault="005C37E8" w:rsidP="00A25F26">
      <w:pPr>
        <w:tabs>
          <w:tab w:val="left" w:pos="360"/>
        </w:tabs>
        <w:spacing w:after="0"/>
        <w:jc w:val="center"/>
        <w:rPr>
          <w:b/>
        </w:rPr>
      </w:pPr>
    </w:p>
    <w:p w14:paraId="7C4C13A9" w14:textId="77777777" w:rsidR="0009667A" w:rsidRPr="009074DF" w:rsidRDefault="0009667A" w:rsidP="00A25F26">
      <w:pPr>
        <w:tabs>
          <w:tab w:val="left" w:pos="360"/>
        </w:tabs>
        <w:jc w:val="center"/>
        <w:rPr>
          <w:b/>
        </w:rPr>
      </w:pPr>
    </w:p>
    <w:p w14:paraId="0D9B2E2A" w14:textId="77777777" w:rsidR="0009667A" w:rsidRPr="009074DF" w:rsidRDefault="0009667A" w:rsidP="00A25F26">
      <w:pPr>
        <w:tabs>
          <w:tab w:val="left" w:pos="360"/>
        </w:tabs>
        <w:jc w:val="center"/>
        <w:rPr>
          <w:b/>
          <w:i/>
        </w:rPr>
      </w:pPr>
    </w:p>
    <w:p w14:paraId="1546A6CD" w14:textId="77777777" w:rsidR="0009667A" w:rsidRPr="009074DF" w:rsidRDefault="0009667A" w:rsidP="00A25F26">
      <w:pPr>
        <w:tabs>
          <w:tab w:val="left" w:pos="360"/>
        </w:tabs>
        <w:jc w:val="center"/>
        <w:rPr>
          <w:b/>
        </w:rPr>
      </w:pPr>
    </w:p>
    <w:p w14:paraId="22E250D2" w14:textId="5D50FA25" w:rsidR="0009667A" w:rsidRPr="009074DF" w:rsidRDefault="00743FED" w:rsidP="00386378">
      <w:pPr>
        <w:spacing w:after="200"/>
        <w:jc w:val="center"/>
        <w:rPr>
          <w:b/>
          <w:highlight w:val="yellow"/>
        </w:rPr>
      </w:pPr>
      <w:r w:rsidRPr="00673AD7">
        <w:rPr>
          <w:b/>
        </w:rPr>
        <w:t>February 5</w:t>
      </w:r>
      <w:r w:rsidR="00A50288" w:rsidRPr="00673AD7">
        <w:rPr>
          <w:b/>
        </w:rPr>
        <w:t xml:space="preserve">, 2016 </w:t>
      </w:r>
      <w:r w:rsidR="0009667A" w:rsidRPr="009074DF">
        <w:rPr>
          <w:b/>
          <w:highlight w:val="yellow"/>
        </w:rPr>
        <w:br w:type="page"/>
      </w:r>
    </w:p>
    <w:sdt>
      <w:sdtPr>
        <w:rPr>
          <w:rFonts w:ascii="Times New Roman" w:eastAsia="Times New Roman" w:hAnsi="Times New Roman" w:cs="Times New Roman"/>
          <w:color w:val="auto"/>
          <w:sz w:val="24"/>
          <w:szCs w:val="24"/>
        </w:rPr>
        <w:id w:val="-157464103"/>
        <w:docPartObj>
          <w:docPartGallery w:val="Table of Contents"/>
          <w:docPartUnique/>
        </w:docPartObj>
      </w:sdtPr>
      <w:sdtEndPr>
        <w:rPr>
          <w:b/>
          <w:bCs/>
          <w:noProof/>
        </w:rPr>
      </w:sdtEndPr>
      <w:sdtContent>
        <w:p w14:paraId="77EAFBDA" w14:textId="3B2AC111" w:rsidR="00CE6CBF" w:rsidRDefault="00CE6CBF">
          <w:pPr>
            <w:pStyle w:val="TOCHeading"/>
          </w:pPr>
          <w:r>
            <w:t>Contents</w:t>
          </w:r>
        </w:p>
        <w:p w14:paraId="419152C5" w14:textId="6E9DE23B" w:rsidR="008E1AAF" w:rsidRDefault="00CE6CBF">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36979502" w:history="1">
            <w:r w:rsidR="008E1AAF" w:rsidRPr="00031261">
              <w:rPr>
                <w:rStyle w:val="Hyperlink"/>
                <w:noProof/>
              </w:rPr>
              <w:t>Part A. Justification</w:t>
            </w:r>
            <w:r w:rsidR="008E1AAF">
              <w:rPr>
                <w:noProof/>
                <w:webHidden/>
              </w:rPr>
              <w:tab/>
            </w:r>
            <w:r w:rsidR="008E1AAF">
              <w:rPr>
                <w:noProof/>
                <w:webHidden/>
              </w:rPr>
              <w:fldChar w:fldCharType="begin"/>
            </w:r>
            <w:r w:rsidR="008E1AAF">
              <w:rPr>
                <w:noProof/>
                <w:webHidden/>
              </w:rPr>
              <w:instrText xml:space="preserve"> PAGEREF _Toc436979502 \h </w:instrText>
            </w:r>
            <w:r w:rsidR="008E1AAF">
              <w:rPr>
                <w:noProof/>
                <w:webHidden/>
              </w:rPr>
            </w:r>
            <w:r w:rsidR="008E1AAF">
              <w:rPr>
                <w:noProof/>
                <w:webHidden/>
              </w:rPr>
              <w:fldChar w:fldCharType="separate"/>
            </w:r>
            <w:r w:rsidR="00267599">
              <w:rPr>
                <w:noProof/>
                <w:webHidden/>
              </w:rPr>
              <w:t>3</w:t>
            </w:r>
            <w:r w:rsidR="008E1AAF">
              <w:rPr>
                <w:noProof/>
                <w:webHidden/>
              </w:rPr>
              <w:fldChar w:fldCharType="end"/>
            </w:r>
          </w:hyperlink>
        </w:p>
        <w:p w14:paraId="7F211EFD" w14:textId="39FCDC5B" w:rsidR="008E1AAF" w:rsidRDefault="009A5AF9">
          <w:pPr>
            <w:pStyle w:val="TOC2"/>
            <w:tabs>
              <w:tab w:val="right" w:leader="dot" w:pos="9350"/>
            </w:tabs>
            <w:rPr>
              <w:rFonts w:asciiTheme="minorHAnsi" w:eastAsiaTheme="minorEastAsia" w:hAnsiTheme="minorHAnsi" w:cstheme="minorBidi"/>
              <w:noProof/>
              <w:sz w:val="22"/>
              <w:szCs w:val="22"/>
            </w:rPr>
          </w:pPr>
          <w:hyperlink w:anchor="_Toc436979503" w:history="1">
            <w:r w:rsidR="008E1AAF" w:rsidRPr="00031261">
              <w:rPr>
                <w:rStyle w:val="Hyperlink"/>
                <w:noProof/>
              </w:rPr>
              <w:t>A1. Circumstances That Make the Collection of Information Necessary</w:t>
            </w:r>
            <w:r w:rsidR="008E1AAF">
              <w:rPr>
                <w:noProof/>
                <w:webHidden/>
              </w:rPr>
              <w:tab/>
            </w:r>
            <w:r w:rsidR="008E1AAF">
              <w:rPr>
                <w:noProof/>
                <w:webHidden/>
              </w:rPr>
              <w:fldChar w:fldCharType="begin"/>
            </w:r>
            <w:r w:rsidR="008E1AAF">
              <w:rPr>
                <w:noProof/>
                <w:webHidden/>
              </w:rPr>
              <w:instrText xml:space="preserve"> PAGEREF _Toc436979503 \h </w:instrText>
            </w:r>
            <w:r w:rsidR="008E1AAF">
              <w:rPr>
                <w:noProof/>
                <w:webHidden/>
              </w:rPr>
            </w:r>
            <w:r w:rsidR="008E1AAF">
              <w:rPr>
                <w:noProof/>
                <w:webHidden/>
              </w:rPr>
              <w:fldChar w:fldCharType="separate"/>
            </w:r>
            <w:r w:rsidR="00267599">
              <w:rPr>
                <w:noProof/>
                <w:webHidden/>
              </w:rPr>
              <w:t>3</w:t>
            </w:r>
            <w:r w:rsidR="008E1AAF">
              <w:rPr>
                <w:noProof/>
                <w:webHidden/>
              </w:rPr>
              <w:fldChar w:fldCharType="end"/>
            </w:r>
          </w:hyperlink>
        </w:p>
        <w:p w14:paraId="34AEBE6E" w14:textId="349E70B1" w:rsidR="008E1AAF" w:rsidRDefault="009A5AF9">
          <w:pPr>
            <w:pStyle w:val="TOC2"/>
            <w:tabs>
              <w:tab w:val="right" w:leader="dot" w:pos="9350"/>
            </w:tabs>
            <w:rPr>
              <w:rFonts w:asciiTheme="minorHAnsi" w:eastAsiaTheme="minorEastAsia" w:hAnsiTheme="minorHAnsi" w:cstheme="minorBidi"/>
              <w:noProof/>
              <w:sz w:val="22"/>
              <w:szCs w:val="22"/>
            </w:rPr>
          </w:pPr>
          <w:hyperlink w:anchor="_Toc436979504" w:history="1">
            <w:r w:rsidR="008E1AAF" w:rsidRPr="00031261">
              <w:rPr>
                <w:rStyle w:val="Hyperlink"/>
                <w:noProof/>
              </w:rPr>
              <w:t>A2. Purposes and Uses of the Collected Information</w:t>
            </w:r>
            <w:r w:rsidR="008E1AAF">
              <w:rPr>
                <w:noProof/>
                <w:webHidden/>
              </w:rPr>
              <w:tab/>
            </w:r>
            <w:r w:rsidR="008E1AAF">
              <w:rPr>
                <w:noProof/>
                <w:webHidden/>
              </w:rPr>
              <w:fldChar w:fldCharType="begin"/>
            </w:r>
            <w:r w:rsidR="008E1AAF">
              <w:rPr>
                <w:noProof/>
                <w:webHidden/>
              </w:rPr>
              <w:instrText xml:space="preserve"> PAGEREF _Toc436979504 \h </w:instrText>
            </w:r>
            <w:r w:rsidR="008E1AAF">
              <w:rPr>
                <w:noProof/>
                <w:webHidden/>
              </w:rPr>
            </w:r>
            <w:r w:rsidR="008E1AAF">
              <w:rPr>
                <w:noProof/>
                <w:webHidden/>
              </w:rPr>
              <w:fldChar w:fldCharType="separate"/>
            </w:r>
            <w:r w:rsidR="00267599">
              <w:rPr>
                <w:noProof/>
                <w:webHidden/>
              </w:rPr>
              <w:t>5</w:t>
            </w:r>
            <w:r w:rsidR="008E1AAF">
              <w:rPr>
                <w:noProof/>
                <w:webHidden/>
              </w:rPr>
              <w:fldChar w:fldCharType="end"/>
            </w:r>
          </w:hyperlink>
        </w:p>
        <w:p w14:paraId="2ECC58CE" w14:textId="3D5603C7" w:rsidR="008E1AAF" w:rsidRDefault="009A5AF9">
          <w:pPr>
            <w:pStyle w:val="TOC2"/>
            <w:tabs>
              <w:tab w:val="right" w:leader="dot" w:pos="9350"/>
            </w:tabs>
            <w:rPr>
              <w:rFonts w:asciiTheme="minorHAnsi" w:eastAsiaTheme="minorEastAsia" w:hAnsiTheme="minorHAnsi" w:cstheme="minorBidi"/>
              <w:noProof/>
              <w:sz w:val="22"/>
              <w:szCs w:val="22"/>
            </w:rPr>
          </w:pPr>
          <w:hyperlink w:anchor="_Toc436979505" w:history="1">
            <w:r w:rsidR="008E1AAF" w:rsidRPr="00031261">
              <w:rPr>
                <w:rStyle w:val="Hyperlink"/>
                <w:noProof/>
              </w:rPr>
              <w:t>A3. Use of Information Technology and Burden Reduction</w:t>
            </w:r>
            <w:r w:rsidR="008E1AAF">
              <w:rPr>
                <w:noProof/>
                <w:webHidden/>
              </w:rPr>
              <w:tab/>
            </w:r>
            <w:r w:rsidR="008E1AAF">
              <w:rPr>
                <w:noProof/>
                <w:webHidden/>
              </w:rPr>
              <w:fldChar w:fldCharType="begin"/>
            </w:r>
            <w:r w:rsidR="008E1AAF">
              <w:rPr>
                <w:noProof/>
                <w:webHidden/>
              </w:rPr>
              <w:instrText xml:space="preserve"> PAGEREF _Toc436979505 \h </w:instrText>
            </w:r>
            <w:r w:rsidR="008E1AAF">
              <w:rPr>
                <w:noProof/>
                <w:webHidden/>
              </w:rPr>
            </w:r>
            <w:r w:rsidR="008E1AAF">
              <w:rPr>
                <w:noProof/>
                <w:webHidden/>
              </w:rPr>
              <w:fldChar w:fldCharType="separate"/>
            </w:r>
            <w:r w:rsidR="00267599">
              <w:rPr>
                <w:noProof/>
                <w:webHidden/>
              </w:rPr>
              <w:t>7</w:t>
            </w:r>
            <w:r w:rsidR="008E1AAF">
              <w:rPr>
                <w:noProof/>
                <w:webHidden/>
              </w:rPr>
              <w:fldChar w:fldCharType="end"/>
            </w:r>
          </w:hyperlink>
        </w:p>
        <w:p w14:paraId="70779E51" w14:textId="27DBBC17" w:rsidR="008E1AAF" w:rsidRDefault="009A5AF9">
          <w:pPr>
            <w:pStyle w:val="TOC2"/>
            <w:tabs>
              <w:tab w:val="right" w:leader="dot" w:pos="9350"/>
            </w:tabs>
            <w:rPr>
              <w:rFonts w:asciiTheme="minorHAnsi" w:eastAsiaTheme="minorEastAsia" w:hAnsiTheme="minorHAnsi" w:cstheme="minorBidi"/>
              <w:noProof/>
              <w:sz w:val="22"/>
              <w:szCs w:val="22"/>
            </w:rPr>
          </w:pPr>
          <w:hyperlink w:anchor="_Toc436979506" w:history="1">
            <w:r w:rsidR="008E1AAF" w:rsidRPr="00031261">
              <w:rPr>
                <w:rStyle w:val="Hyperlink"/>
                <w:noProof/>
              </w:rPr>
              <w:t>A4. Efforts to Identify Duplication</w:t>
            </w:r>
            <w:r w:rsidR="008E1AAF">
              <w:rPr>
                <w:noProof/>
                <w:webHidden/>
              </w:rPr>
              <w:tab/>
            </w:r>
            <w:r w:rsidR="008E1AAF">
              <w:rPr>
                <w:noProof/>
                <w:webHidden/>
              </w:rPr>
              <w:fldChar w:fldCharType="begin"/>
            </w:r>
            <w:r w:rsidR="008E1AAF">
              <w:rPr>
                <w:noProof/>
                <w:webHidden/>
              </w:rPr>
              <w:instrText xml:space="preserve"> PAGEREF _Toc436979506 \h </w:instrText>
            </w:r>
            <w:r w:rsidR="008E1AAF">
              <w:rPr>
                <w:noProof/>
                <w:webHidden/>
              </w:rPr>
            </w:r>
            <w:r w:rsidR="008E1AAF">
              <w:rPr>
                <w:noProof/>
                <w:webHidden/>
              </w:rPr>
              <w:fldChar w:fldCharType="separate"/>
            </w:r>
            <w:r w:rsidR="00267599">
              <w:rPr>
                <w:noProof/>
                <w:webHidden/>
              </w:rPr>
              <w:t>8</w:t>
            </w:r>
            <w:r w:rsidR="008E1AAF">
              <w:rPr>
                <w:noProof/>
                <w:webHidden/>
              </w:rPr>
              <w:fldChar w:fldCharType="end"/>
            </w:r>
          </w:hyperlink>
        </w:p>
        <w:p w14:paraId="38016E35" w14:textId="33CB8D2E" w:rsidR="008E1AAF" w:rsidRDefault="009A5AF9">
          <w:pPr>
            <w:pStyle w:val="TOC2"/>
            <w:tabs>
              <w:tab w:val="right" w:leader="dot" w:pos="9350"/>
            </w:tabs>
            <w:rPr>
              <w:rFonts w:asciiTheme="minorHAnsi" w:eastAsiaTheme="minorEastAsia" w:hAnsiTheme="minorHAnsi" w:cstheme="minorBidi"/>
              <w:noProof/>
              <w:sz w:val="22"/>
              <w:szCs w:val="22"/>
            </w:rPr>
          </w:pPr>
          <w:hyperlink w:anchor="_Toc436979507" w:history="1">
            <w:r w:rsidR="008E1AAF" w:rsidRPr="00031261">
              <w:rPr>
                <w:rStyle w:val="Hyperlink"/>
                <w:noProof/>
              </w:rPr>
              <w:t>A5. Methods to Minimize Burden on Small Entities</w:t>
            </w:r>
            <w:r w:rsidR="008E1AAF">
              <w:rPr>
                <w:noProof/>
                <w:webHidden/>
              </w:rPr>
              <w:tab/>
            </w:r>
            <w:r w:rsidR="008E1AAF">
              <w:rPr>
                <w:noProof/>
                <w:webHidden/>
              </w:rPr>
              <w:fldChar w:fldCharType="begin"/>
            </w:r>
            <w:r w:rsidR="008E1AAF">
              <w:rPr>
                <w:noProof/>
                <w:webHidden/>
              </w:rPr>
              <w:instrText xml:space="preserve"> PAGEREF _Toc436979507 \h </w:instrText>
            </w:r>
            <w:r w:rsidR="008E1AAF">
              <w:rPr>
                <w:noProof/>
                <w:webHidden/>
              </w:rPr>
            </w:r>
            <w:r w:rsidR="008E1AAF">
              <w:rPr>
                <w:noProof/>
                <w:webHidden/>
              </w:rPr>
              <w:fldChar w:fldCharType="separate"/>
            </w:r>
            <w:r w:rsidR="00267599">
              <w:rPr>
                <w:noProof/>
                <w:webHidden/>
              </w:rPr>
              <w:t>8</w:t>
            </w:r>
            <w:r w:rsidR="008E1AAF">
              <w:rPr>
                <w:noProof/>
                <w:webHidden/>
              </w:rPr>
              <w:fldChar w:fldCharType="end"/>
            </w:r>
          </w:hyperlink>
        </w:p>
        <w:p w14:paraId="29EDA692" w14:textId="22F3FAD9" w:rsidR="008E1AAF" w:rsidRDefault="009A5AF9">
          <w:pPr>
            <w:pStyle w:val="TOC2"/>
            <w:tabs>
              <w:tab w:val="right" w:leader="dot" w:pos="9350"/>
            </w:tabs>
            <w:rPr>
              <w:rFonts w:asciiTheme="minorHAnsi" w:eastAsiaTheme="minorEastAsia" w:hAnsiTheme="minorHAnsi" w:cstheme="minorBidi"/>
              <w:noProof/>
              <w:sz w:val="22"/>
              <w:szCs w:val="22"/>
            </w:rPr>
          </w:pPr>
          <w:hyperlink w:anchor="_Toc436979508" w:history="1">
            <w:r w:rsidR="008E1AAF" w:rsidRPr="00031261">
              <w:rPr>
                <w:rStyle w:val="Hyperlink"/>
                <w:noProof/>
              </w:rPr>
              <w:t>A6. Consequences of Less Frequent Collection</w:t>
            </w:r>
            <w:r w:rsidR="008E1AAF">
              <w:rPr>
                <w:noProof/>
                <w:webHidden/>
              </w:rPr>
              <w:tab/>
            </w:r>
            <w:r w:rsidR="008E1AAF">
              <w:rPr>
                <w:noProof/>
                <w:webHidden/>
              </w:rPr>
              <w:fldChar w:fldCharType="begin"/>
            </w:r>
            <w:r w:rsidR="008E1AAF">
              <w:rPr>
                <w:noProof/>
                <w:webHidden/>
              </w:rPr>
              <w:instrText xml:space="preserve"> PAGEREF _Toc436979508 \h </w:instrText>
            </w:r>
            <w:r w:rsidR="008E1AAF">
              <w:rPr>
                <w:noProof/>
                <w:webHidden/>
              </w:rPr>
            </w:r>
            <w:r w:rsidR="008E1AAF">
              <w:rPr>
                <w:noProof/>
                <w:webHidden/>
              </w:rPr>
              <w:fldChar w:fldCharType="separate"/>
            </w:r>
            <w:r w:rsidR="00267599">
              <w:rPr>
                <w:noProof/>
                <w:webHidden/>
              </w:rPr>
              <w:t>8</w:t>
            </w:r>
            <w:r w:rsidR="008E1AAF">
              <w:rPr>
                <w:noProof/>
                <w:webHidden/>
              </w:rPr>
              <w:fldChar w:fldCharType="end"/>
            </w:r>
          </w:hyperlink>
        </w:p>
        <w:p w14:paraId="1D1BF52D" w14:textId="04EB2835" w:rsidR="008E1AAF" w:rsidRDefault="009A5AF9">
          <w:pPr>
            <w:pStyle w:val="TOC2"/>
            <w:tabs>
              <w:tab w:val="right" w:leader="dot" w:pos="9350"/>
            </w:tabs>
            <w:rPr>
              <w:rFonts w:asciiTheme="minorHAnsi" w:eastAsiaTheme="minorEastAsia" w:hAnsiTheme="minorHAnsi" w:cstheme="minorBidi"/>
              <w:noProof/>
              <w:sz w:val="22"/>
              <w:szCs w:val="22"/>
            </w:rPr>
          </w:pPr>
          <w:hyperlink w:anchor="_Toc436979509" w:history="1">
            <w:r w:rsidR="008E1AAF" w:rsidRPr="00031261">
              <w:rPr>
                <w:rStyle w:val="Hyperlink"/>
                <w:noProof/>
              </w:rPr>
              <w:t>A7. Special Circumstances Influencing Collection</w:t>
            </w:r>
            <w:r w:rsidR="008E1AAF">
              <w:rPr>
                <w:noProof/>
                <w:webHidden/>
              </w:rPr>
              <w:tab/>
            </w:r>
            <w:r w:rsidR="008E1AAF">
              <w:rPr>
                <w:noProof/>
                <w:webHidden/>
              </w:rPr>
              <w:fldChar w:fldCharType="begin"/>
            </w:r>
            <w:r w:rsidR="008E1AAF">
              <w:rPr>
                <w:noProof/>
                <w:webHidden/>
              </w:rPr>
              <w:instrText xml:space="preserve"> PAGEREF _Toc436979509 \h </w:instrText>
            </w:r>
            <w:r w:rsidR="008E1AAF">
              <w:rPr>
                <w:noProof/>
                <w:webHidden/>
              </w:rPr>
            </w:r>
            <w:r w:rsidR="008E1AAF">
              <w:rPr>
                <w:noProof/>
                <w:webHidden/>
              </w:rPr>
              <w:fldChar w:fldCharType="separate"/>
            </w:r>
            <w:r w:rsidR="00267599">
              <w:rPr>
                <w:noProof/>
                <w:webHidden/>
              </w:rPr>
              <w:t>8</w:t>
            </w:r>
            <w:r w:rsidR="008E1AAF">
              <w:rPr>
                <w:noProof/>
                <w:webHidden/>
              </w:rPr>
              <w:fldChar w:fldCharType="end"/>
            </w:r>
          </w:hyperlink>
        </w:p>
        <w:p w14:paraId="5499736C" w14:textId="4C7236C5" w:rsidR="008E1AAF" w:rsidRDefault="009A5AF9">
          <w:pPr>
            <w:pStyle w:val="TOC2"/>
            <w:tabs>
              <w:tab w:val="right" w:leader="dot" w:pos="9350"/>
            </w:tabs>
            <w:rPr>
              <w:rFonts w:asciiTheme="minorHAnsi" w:eastAsiaTheme="minorEastAsia" w:hAnsiTheme="minorHAnsi" w:cstheme="minorBidi"/>
              <w:noProof/>
              <w:sz w:val="22"/>
              <w:szCs w:val="22"/>
            </w:rPr>
          </w:pPr>
          <w:hyperlink w:anchor="_Toc436979510" w:history="1">
            <w:r w:rsidR="008E1AAF" w:rsidRPr="00031261">
              <w:rPr>
                <w:rStyle w:val="Hyperlink"/>
                <w:noProof/>
              </w:rPr>
              <w:t xml:space="preserve">A8. Comments in response to the </w:t>
            </w:r>
            <w:r w:rsidR="008E1AAF" w:rsidRPr="00031261">
              <w:rPr>
                <w:rStyle w:val="Hyperlink"/>
                <w:i/>
                <w:noProof/>
              </w:rPr>
              <w:t>Federal Register</w:t>
            </w:r>
            <w:r w:rsidR="008E1AAF" w:rsidRPr="00031261">
              <w:rPr>
                <w:rStyle w:val="Hyperlink"/>
                <w:noProof/>
              </w:rPr>
              <w:t xml:space="preserve"> Notice and Consultation Outside the Agency</w:t>
            </w:r>
            <w:r w:rsidR="008E1AAF">
              <w:rPr>
                <w:noProof/>
                <w:webHidden/>
              </w:rPr>
              <w:tab/>
            </w:r>
            <w:r w:rsidR="008E1AAF">
              <w:rPr>
                <w:noProof/>
                <w:webHidden/>
              </w:rPr>
              <w:fldChar w:fldCharType="begin"/>
            </w:r>
            <w:r w:rsidR="008E1AAF">
              <w:rPr>
                <w:noProof/>
                <w:webHidden/>
              </w:rPr>
              <w:instrText xml:space="preserve"> PAGEREF _Toc436979510 \h </w:instrText>
            </w:r>
            <w:r w:rsidR="008E1AAF">
              <w:rPr>
                <w:noProof/>
                <w:webHidden/>
              </w:rPr>
            </w:r>
            <w:r w:rsidR="008E1AAF">
              <w:rPr>
                <w:noProof/>
                <w:webHidden/>
              </w:rPr>
              <w:fldChar w:fldCharType="separate"/>
            </w:r>
            <w:r w:rsidR="00267599">
              <w:rPr>
                <w:noProof/>
                <w:webHidden/>
              </w:rPr>
              <w:t>8</w:t>
            </w:r>
            <w:r w:rsidR="008E1AAF">
              <w:rPr>
                <w:noProof/>
                <w:webHidden/>
              </w:rPr>
              <w:fldChar w:fldCharType="end"/>
            </w:r>
          </w:hyperlink>
        </w:p>
        <w:p w14:paraId="1DEDD94B" w14:textId="54AC0246" w:rsidR="008E1AAF" w:rsidRDefault="009A5AF9">
          <w:pPr>
            <w:pStyle w:val="TOC2"/>
            <w:tabs>
              <w:tab w:val="right" w:leader="dot" w:pos="9350"/>
            </w:tabs>
            <w:rPr>
              <w:rFonts w:asciiTheme="minorHAnsi" w:eastAsiaTheme="minorEastAsia" w:hAnsiTheme="minorHAnsi" w:cstheme="minorBidi"/>
              <w:noProof/>
              <w:sz w:val="22"/>
              <w:szCs w:val="22"/>
            </w:rPr>
          </w:pPr>
          <w:hyperlink w:anchor="_Toc436979511" w:history="1">
            <w:r w:rsidR="008E1AAF" w:rsidRPr="00031261">
              <w:rPr>
                <w:rStyle w:val="Hyperlink"/>
                <w:noProof/>
              </w:rPr>
              <w:t>A9. Explanation of Any Payment or Gift to Respondents</w:t>
            </w:r>
            <w:r w:rsidR="008E1AAF">
              <w:rPr>
                <w:noProof/>
                <w:webHidden/>
              </w:rPr>
              <w:tab/>
            </w:r>
            <w:r w:rsidR="008E1AAF">
              <w:rPr>
                <w:noProof/>
                <w:webHidden/>
              </w:rPr>
              <w:fldChar w:fldCharType="begin"/>
            </w:r>
            <w:r w:rsidR="008E1AAF">
              <w:rPr>
                <w:noProof/>
                <w:webHidden/>
              </w:rPr>
              <w:instrText xml:space="preserve"> PAGEREF _Toc436979511 \h </w:instrText>
            </w:r>
            <w:r w:rsidR="008E1AAF">
              <w:rPr>
                <w:noProof/>
                <w:webHidden/>
              </w:rPr>
            </w:r>
            <w:r w:rsidR="008E1AAF">
              <w:rPr>
                <w:noProof/>
                <w:webHidden/>
              </w:rPr>
              <w:fldChar w:fldCharType="separate"/>
            </w:r>
            <w:r w:rsidR="00267599">
              <w:rPr>
                <w:noProof/>
                <w:webHidden/>
              </w:rPr>
              <w:t>9</w:t>
            </w:r>
            <w:r w:rsidR="008E1AAF">
              <w:rPr>
                <w:noProof/>
                <w:webHidden/>
              </w:rPr>
              <w:fldChar w:fldCharType="end"/>
            </w:r>
          </w:hyperlink>
        </w:p>
        <w:p w14:paraId="48B5CAAB" w14:textId="65E0280B" w:rsidR="008E1AAF" w:rsidRDefault="009A5AF9">
          <w:pPr>
            <w:pStyle w:val="TOC2"/>
            <w:tabs>
              <w:tab w:val="right" w:leader="dot" w:pos="9350"/>
            </w:tabs>
            <w:rPr>
              <w:rFonts w:asciiTheme="minorHAnsi" w:eastAsiaTheme="minorEastAsia" w:hAnsiTheme="minorHAnsi" w:cstheme="minorBidi"/>
              <w:noProof/>
              <w:sz w:val="22"/>
              <w:szCs w:val="22"/>
            </w:rPr>
          </w:pPr>
          <w:hyperlink w:anchor="_Toc436979512" w:history="1">
            <w:r w:rsidR="008E1AAF" w:rsidRPr="00031261">
              <w:rPr>
                <w:rStyle w:val="Hyperlink"/>
                <w:noProof/>
              </w:rPr>
              <w:t>A10. Assurance of Confidentiality Provided to Respondents</w:t>
            </w:r>
            <w:r w:rsidR="008E1AAF">
              <w:rPr>
                <w:noProof/>
                <w:webHidden/>
              </w:rPr>
              <w:tab/>
            </w:r>
            <w:r w:rsidR="008E1AAF">
              <w:rPr>
                <w:noProof/>
                <w:webHidden/>
              </w:rPr>
              <w:fldChar w:fldCharType="begin"/>
            </w:r>
            <w:r w:rsidR="008E1AAF">
              <w:rPr>
                <w:noProof/>
                <w:webHidden/>
              </w:rPr>
              <w:instrText xml:space="preserve"> PAGEREF _Toc436979512 \h </w:instrText>
            </w:r>
            <w:r w:rsidR="008E1AAF">
              <w:rPr>
                <w:noProof/>
                <w:webHidden/>
              </w:rPr>
            </w:r>
            <w:r w:rsidR="008E1AAF">
              <w:rPr>
                <w:noProof/>
                <w:webHidden/>
              </w:rPr>
              <w:fldChar w:fldCharType="separate"/>
            </w:r>
            <w:r w:rsidR="00267599">
              <w:rPr>
                <w:noProof/>
                <w:webHidden/>
              </w:rPr>
              <w:t>9</w:t>
            </w:r>
            <w:r w:rsidR="008E1AAF">
              <w:rPr>
                <w:noProof/>
                <w:webHidden/>
              </w:rPr>
              <w:fldChar w:fldCharType="end"/>
            </w:r>
          </w:hyperlink>
        </w:p>
        <w:p w14:paraId="012CD359" w14:textId="636D2E6C" w:rsidR="008E1AAF" w:rsidRDefault="009A5AF9">
          <w:pPr>
            <w:pStyle w:val="TOC2"/>
            <w:tabs>
              <w:tab w:val="right" w:leader="dot" w:pos="9350"/>
            </w:tabs>
            <w:rPr>
              <w:rFonts w:asciiTheme="minorHAnsi" w:eastAsiaTheme="minorEastAsia" w:hAnsiTheme="minorHAnsi" w:cstheme="minorBidi"/>
              <w:noProof/>
              <w:sz w:val="22"/>
              <w:szCs w:val="22"/>
            </w:rPr>
          </w:pPr>
          <w:hyperlink w:anchor="_Toc436979513" w:history="1">
            <w:r w:rsidR="008E1AAF" w:rsidRPr="00031261">
              <w:rPr>
                <w:rStyle w:val="Hyperlink"/>
                <w:noProof/>
              </w:rPr>
              <w:t>A11. Justification for Sensitive Questions</w:t>
            </w:r>
            <w:r w:rsidR="008E1AAF">
              <w:rPr>
                <w:noProof/>
                <w:webHidden/>
              </w:rPr>
              <w:tab/>
            </w:r>
            <w:r w:rsidR="008E1AAF">
              <w:rPr>
                <w:noProof/>
                <w:webHidden/>
              </w:rPr>
              <w:fldChar w:fldCharType="begin"/>
            </w:r>
            <w:r w:rsidR="008E1AAF">
              <w:rPr>
                <w:noProof/>
                <w:webHidden/>
              </w:rPr>
              <w:instrText xml:space="preserve"> PAGEREF _Toc436979513 \h </w:instrText>
            </w:r>
            <w:r w:rsidR="008E1AAF">
              <w:rPr>
                <w:noProof/>
                <w:webHidden/>
              </w:rPr>
            </w:r>
            <w:r w:rsidR="008E1AAF">
              <w:rPr>
                <w:noProof/>
                <w:webHidden/>
              </w:rPr>
              <w:fldChar w:fldCharType="separate"/>
            </w:r>
            <w:r w:rsidR="00267599">
              <w:rPr>
                <w:noProof/>
                <w:webHidden/>
              </w:rPr>
              <w:t>9</w:t>
            </w:r>
            <w:r w:rsidR="008E1AAF">
              <w:rPr>
                <w:noProof/>
                <w:webHidden/>
              </w:rPr>
              <w:fldChar w:fldCharType="end"/>
            </w:r>
          </w:hyperlink>
        </w:p>
        <w:p w14:paraId="2FB4ACEA" w14:textId="6E9ACBCF" w:rsidR="008E1AAF" w:rsidRDefault="009A5AF9">
          <w:pPr>
            <w:pStyle w:val="TOC2"/>
            <w:tabs>
              <w:tab w:val="right" w:leader="dot" w:pos="9350"/>
            </w:tabs>
            <w:rPr>
              <w:rFonts w:asciiTheme="minorHAnsi" w:eastAsiaTheme="minorEastAsia" w:hAnsiTheme="minorHAnsi" w:cstheme="minorBidi"/>
              <w:noProof/>
              <w:sz w:val="22"/>
              <w:szCs w:val="22"/>
            </w:rPr>
          </w:pPr>
          <w:hyperlink w:anchor="_Toc436979514" w:history="1">
            <w:r w:rsidR="008E1AAF" w:rsidRPr="00031261">
              <w:rPr>
                <w:rStyle w:val="Hyperlink"/>
                <w:noProof/>
              </w:rPr>
              <w:t>A12. Estimate of Annualized Hour Burden and Costs to Respondents</w:t>
            </w:r>
            <w:r w:rsidR="008E1AAF">
              <w:rPr>
                <w:noProof/>
                <w:webHidden/>
              </w:rPr>
              <w:tab/>
            </w:r>
            <w:r w:rsidR="008E1AAF">
              <w:rPr>
                <w:noProof/>
                <w:webHidden/>
              </w:rPr>
              <w:fldChar w:fldCharType="begin"/>
            </w:r>
            <w:r w:rsidR="008E1AAF">
              <w:rPr>
                <w:noProof/>
                <w:webHidden/>
              </w:rPr>
              <w:instrText xml:space="preserve"> PAGEREF _Toc436979514 \h </w:instrText>
            </w:r>
            <w:r w:rsidR="008E1AAF">
              <w:rPr>
                <w:noProof/>
                <w:webHidden/>
              </w:rPr>
            </w:r>
            <w:r w:rsidR="008E1AAF">
              <w:rPr>
                <w:noProof/>
                <w:webHidden/>
              </w:rPr>
              <w:fldChar w:fldCharType="separate"/>
            </w:r>
            <w:r w:rsidR="00267599">
              <w:rPr>
                <w:noProof/>
                <w:webHidden/>
              </w:rPr>
              <w:t>9</w:t>
            </w:r>
            <w:r w:rsidR="008E1AAF">
              <w:rPr>
                <w:noProof/>
                <w:webHidden/>
              </w:rPr>
              <w:fldChar w:fldCharType="end"/>
            </w:r>
          </w:hyperlink>
        </w:p>
        <w:p w14:paraId="415A4D99" w14:textId="4389B797" w:rsidR="008E1AAF" w:rsidRDefault="009A5AF9">
          <w:pPr>
            <w:pStyle w:val="TOC2"/>
            <w:tabs>
              <w:tab w:val="right" w:leader="dot" w:pos="9350"/>
            </w:tabs>
            <w:rPr>
              <w:rFonts w:asciiTheme="minorHAnsi" w:eastAsiaTheme="minorEastAsia" w:hAnsiTheme="minorHAnsi" w:cstheme="minorBidi"/>
              <w:noProof/>
              <w:sz w:val="22"/>
              <w:szCs w:val="22"/>
            </w:rPr>
          </w:pPr>
          <w:hyperlink w:anchor="_Toc436979515" w:history="1">
            <w:r w:rsidR="008E1AAF" w:rsidRPr="00031261">
              <w:rPr>
                <w:rStyle w:val="Hyperlink"/>
                <w:noProof/>
              </w:rPr>
              <w:t>A13. Estimates of Other Total Annual Cost Burden to Respondents and Record Keepers</w:t>
            </w:r>
            <w:r w:rsidR="008E1AAF">
              <w:rPr>
                <w:noProof/>
                <w:webHidden/>
              </w:rPr>
              <w:tab/>
            </w:r>
            <w:r w:rsidR="008E1AAF">
              <w:rPr>
                <w:noProof/>
                <w:webHidden/>
              </w:rPr>
              <w:fldChar w:fldCharType="begin"/>
            </w:r>
            <w:r w:rsidR="008E1AAF">
              <w:rPr>
                <w:noProof/>
                <w:webHidden/>
              </w:rPr>
              <w:instrText xml:space="preserve"> PAGEREF _Toc436979515 \h </w:instrText>
            </w:r>
            <w:r w:rsidR="008E1AAF">
              <w:rPr>
                <w:noProof/>
                <w:webHidden/>
              </w:rPr>
            </w:r>
            <w:r w:rsidR="008E1AAF">
              <w:rPr>
                <w:noProof/>
                <w:webHidden/>
              </w:rPr>
              <w:fldChar w:fldCharType="separate"/>
            </w:r>
            <w:r w:rsidR="00267599">
              <w:rPr>
                <w:noProof/>
                <w:webHidden/>
              </w:rPr>
              <w:t>12</w:t>
            </w:r>
            <w:r w:rsidR="008E1AAF">
              <w:rPr>
                <w:noProof/>
                <w:webHidden/>
              </w:rPr>
              <w:fldChar w:fldCharType="end"/>
            </w:r>
          </w:hyperlink>
        </w:p>
        <w:p w14:paraId="405FBB97" w14:textId="1554EB35" w:rsidR="008E1AAF" w:rsidRDefault="009A5AF9">
          <w:pPr>
            <w:pStyle w:val="TOC2"/>
            <w:tabs>
              <w:tab w:val="right" w:leader="dot" w:pos="9350"/>
            </w:tabs>
            <w:rPr>
              <w:rFonts w:asciiTheme="minorHAnsi" w:eastAsiaTheme="minorEastAsia" w:hAnsiTheme="minorHAnsi" w:cstheme="minorBidi"/>
              <w:noProof/>
              <w:sz w:val="22"/>
              <w:szCs w:val="22"/>
            </w:rPr>
          </w:pPr>
          <w:hyperlink w:anchor="_Toc436979516" w:history="1">
            <w:r w:rsidR="008E1AAF" w:rsidRPr="00031261">
              <w:rPr>
                <w:rStyle w:val="Hyperlink"/>
                <w:noProof/>
              </w:rPr>
              <w:t>A14. Estimated Annualized Cost to Federal Government</w:t>
            </w:r>
            <w:r w:rsidR="008E1AAF">
              <w:rPr>
                <w:noProof/>
                <w:webHidden/>
              </w:rPr>
              <w:tab/>
            </w:r>
            <w:r w:rsidR="008E1AAF">
              <w:rPr>
                <w:noProof/>
                <w:webHidden/>
              </w:rPr>
              <w:fldChar w:fldCharType="begin"/>
            </w:r>
            <w:r w:rsidR="008E1AAF">
              <w:rPr>
                <w:noProof/>
                <w:webHidden/>
              </w:rPr>
              <w:instrText xml:space="preserve"> PAGEREF _Toc436979516 \h </w:instrText>
            </w:r>
            <w:r w:rsidR="008E1AAF">
              <w:rPr>
                <w:noProof/>
                <w:webHidden/>
              </w:rPr>
            </w:r>
            <w:r w:rsidR="008E1AAF">
              <w:rPr>
                <w:noProof/>
                <w:webHidden/>
              </w:rPr>
              <w:fldChar w:fldCharType="separate"/>
            </w:r>
            <w:r w:rsidR="00267599">
              <w:rPr>
                <w:noProof/>
                <w:webHidden/>
              </w:rPr>
              <w:t>12</w:t>
            </w:r>
            <w:r w:rsidR="008E1AAF">
              <w:rPr>
                <w:noProof/>
                <w:webHidden/>
              </w:rPr>
              <w:fldChar w:fldCharType="end"/>
            </w:r>
          </w:hyperlink>
        </w:p>
        <w:p w14:paraId="33AC5949" w14:textId="75D01170" w:rsidR="008E1AAF" w:rsidRDefault="009A5AF9">
          <w:pPr>
            <w:pStyle w:val="TOC2"/>
            <w:tabs>
              <w:tab w:val="right" w:leader="dot" w:pos="9350"/>
            </w:tabs>
            <w:rPr>
              <w:rFonts w:asciiTheme="minorHAnsi" w:eastAsiaTheme="minorEastAsia" w:hAnsiTheme="minorHAnsi" w:cstheme="minorBidi"/>
              <w:noProof/>
              <w:sz w:val="22"/>
              <w:szCs w:val="22"/>
            </w:rPr>
          </w:pPr>
          <w:hyperlink w:anchor="_Toc436979517" w:history="1">
            <w:r w:rsidR="008E1AAF" w:rsidRPr="00031261">
              <w:rPr>
                <w:rStyle w:val="Hyperlink"/>
                <w:noProof/>
              </w:rPr>
              <w:t>A15. Reason for Change in Burden</w:t>
            </w:r>
            <w:r w:rsidR="008E1AAF">
              <w:rPr>
                <w:noProof/>
                <w:webHidden/>
              </w:rPr>
              <w:tab/>
            </w:r>
            <w:r w:rsidR="008E1AAF">
              <w:rPr>
                <w:noProof/>
                <w:webHidden/>
              </w:rPr>
              <w:fldChar w:fldCharType="begin"/>
            </w:r>
            <w:r w:rsidR="008E1AAF">
              <w:rPr>
                <w:noProof/>
                <w:webHidden/>
              </w:rPr>
              <w:instrText xml:space="preserve"> PAGEREF _Toc436979517 \h </w:instrText>
            </w:r>
            <w:r w:rsidR="008E1AAF">
              <w:rPr>
                <w:noProof/>
                <w:webHidden/>
              </w:rPr>
            </w:r>
            <w:r w:rsidR="008E1AAF">
              <w:rPr>
                <w:noProof/>
                <w:webHidden/>
              </w:rPr>
              <w:fldChar w:fldCharType="separate"/>
            </w:r>
            <w:r w:rsidR="00267599">
              <w:rPr>
                <w:noProof/>
                <w:webHidden/>
              </w:rPr>
              <w:t>12</w:t>
            </w:r>
            <w:r w:rsidR="008E1AAF">
              <w:rPr>
                <w:noProof/>
                <w:webHidden/>
              </w:rPr>
              <w:fldChar w:fldCharType="end"/>
            </w:r>
          </w:hyperlink>
        </w:p>
        <w:p w14:paraId="75EA1FA8" w14:textId="4A39F6F0" w:rsidR="008E1AAF" w:rsidRDefault="009A5AF9">
          <w:pPr>
            <w:pStyle w:val="TOC2"/>
            <w:tabs>
              <w:tab w:val="right" w:leader="dot" w:pos="9350"/>
            </w:tabs>
            <w:rPr>
              <w:rFonts w:asciiTheme="minorHAnsi" w:eastAsiaTheme="minorEastAsia" w:hAnsiTheme="minorHAnsi" w:cstheme="minorBidi"/>
              <w:noProof/>
              <w:sz w:val="22"/>
              <w:szCs w:val="22"/>
            </w:rPr>
          </w:pPr>
          <w:hyperlink w:anchor="_Toc436979518" w:history="1">
            <w:r w:rsidR="008E1AAF" w:rsidRPr="00031261">
              <w:rPr>
                <w:rStyle w:val="Hyperlink"/>
                <w:noProof/>
              </w:rPr>
              <w:t>A16. Plans for Tabulation and Publication of Results and Project Time Schedule</w:t>
            </w:r>
            <w:r w:rsidR="008E1AAF">
              <w:rPr>
                <w:noProof/>
                <w:webHidden/>
              </w:rPr>
              <w:tab/>
            </w:r>
            <w:r w:rsidR="008E1AAF">
              <w:rPr>
                <w:noProof/>
                <w:webHidden/>
              </w:rPr>
              <w:fldChar w:fldCharType="begin"/>
            </w:r>
            <w:r w:rsidR="008E1AAF">
              <w:rPr>
                <w:noProof/>
                <w:webHidden/>
              </w:rPr>
              <w:instrText xml:space="preserve"> PAGEREF _Toc436979518 \h </w:instrText>
            </w:r>
            <w:r w:rsidR="008E1AAF">
              <w:rPr>
                <w:noProof/>
                <w:webHidden/>
              </w:rPr>
            </w:r>
            <w:r w:rsidR="008E1AAF">
              <w:rPr>
                <w:noProof/>
                <w:webHidden/>
              </w:rPr>
              <w:fldChar w:fldCharType="separate"/>
            </w:r>
            <w:r w:rsidR="00267599">
              <w:rPr>
                <w:noProof/>
                <w:webHidden/>
              </w:rPr>
              <w:t>12</w:t>
            </w:r>
            <w:r w:rsidR="008E1AAF">
              <w:rPr>
                <w:noProof/>
                <w:webHidden/>
              </w:rPr>
              <w:fldChar w:fldCharType="end"/>
            </w:r>
          </w:hyperlink>
        </w:p>
        <w:p w14:paraId="31CD5D94" w14:textId="2CC33BC4" w:rsidR="008E1AAF" w:rsidRDefault="009A5AF9">
          <w:pPr>
            <w:pStyle w:val="TOC3"/>
            <w:tabs>
              <w:tab w:val="right" w:leader="dot" w:pos="9350"/>
            </w:tabs>
            <w:rPr>
              <w:rFonts w:asciiTheme="minorHAnsi" w:eastAsiaTheme="minorEastAsia" w:hAnsiTheme="minorHAnsi" w:cstheme="minorBidi"/>
              <w:noProof/>
              <w:sz w:val="22"/>
              <w:szCs w:val="22"/>
            </w:rPr>
          </w:pPr>
          <w:hyperlink w:anchor="_Toc436979519" w:history="1">
            <w:r w:rsidR="008E1AAF" w:rsidRPr="00031261">
              <w:rPr>
                <w:rStyle w:val="Hyperlink"/>
                <w:noProof/>
              </w:rPr>
              <w:t>A.16.1 Project Timeline and Publication Plans</w:t>
            </w:r>
            <w:r w:rsidR="008E1AAF">
              <w:rPr>
                <w:noProof/>
                <w:webHidden/>
              </w:rPr>
              <w:tab/>
            </w:r>
            <w:r w:rsidR="008E1AAF">
              <w:rPr>
                <w:noProof/>
                <w:webHidden/>
              </w:rPr>
              <w:fldChar w:fldCharType="begin"/>
            </w:r>
            <w:r w:rsidR="008E1AAF">
              <w:rPr>
                <w:noProof/>
                <w:webHidden/>
              </w:rPr>
              <w:instrText xml:space="preserve"> PAGEREF _Toc436979519 \h </w:instrText>
            </w:r>
            <w:r w:rsidR="008E1AAF">
              <w:rPr>
                <w:noProof/>
                <w:webHidden/>
              </w:rPr>
            </w:r>
            <w:r w:rsidR="008E1AAF">
              <w:rPr>
                <w:noProof/>
                <w:webHidden/>
              </w:rPr>
              <w:fldChar w:fldCharType="separate"/>
            </w:r>
            <w:r w:rsidR="00267599">
              <w:rPr>
                <w:noProof/>
                <w:webHidden/>
              </w:rPr>
              <w:t>12</w:t>
            </w:r>
            <w:r w:rsidR="008E1AAF">
              <w:rPr>
                <w:noProof/>
                <w:webHidden/>
              </w:rPr>
              <w:fldChar w:fldCharType="end"/>
            </w:r>
          </w:hyperlink>
        </w:p>
        <w:p w14:paraId="2E8BBFD2" w14:textId="58D89B3A" w:rsidR="008E1AAF" w:rsidRDefault="009A5AF9">
          <w:pPr>
            <w:pStyle w:val="TOC3"/>
            <w:tabs>
              <w:tab w:val="right" w:leader="dot" w:pos="9350"/>
            </w:tabs>
            <w:rPr>
              <w:rFonts w:asciiTheme="minorHAnsi" w:eastAsiaTheme="minorEastAsia" w:hAnsiTheme="minorHAnsi" w:cstheme="minorBidi"/>
              <w:noProof/>
              <w:sz w:val="22"/>
              <w:szCs w:val="22"/>
            </w:rPr>
          </w:pPr>
          <w:hyperlink w:anchor="_Toc436979520" w:history="1">
            <w:r w:rsidR="008E1AAF" w:rsidRPr="00031261">
              <w:rPr>
                <w:rStyle w:val="Hyperlink"/>
                <w:noProof/>
              </w:rPr>
              <w:t>A.16.2. Analysis Plan</w:t>
            </w:r>
            <w:r w:rsidR="008E1AAF">
              <w:rPr>
                <w:noProof/>
                <w:webHidden/>
              </w:rPr>
              <w:tab/>
            </w:r>
            <w:r w:rsidR="008E1AAF">
              <w:rPr>
                <w:noProof/>
                <w:webHidden/>
              </w:rPr>
              <w:fldChar w:fldCharType="begin"/>
            </w:r>
            <w:r w:rsidR="008E1AAF">
              <w:rPr>
                <w:noProof/>
                <w:webHidden/>
              </w:rPr>
              <w:instrText xml:space="preserve"> PAGEREF _Toc436979520 \h </w:instrText>
            </w:r>
            <w:r w:rsidR="008E1AAF">
              <w:rPr>
                <w:noProof/>
                <w:webHidden/>
              </w:rPr>
            </w:r>
            <w:r w:rsidR="008E1AAF">
              <w:rPr>
                <w:noProof/>
                <w:webHidden/>
              </w:rPr>
              <w:fldChar w:fldCharType="separate"/>
            </w:r>
            <w:r w:rsidR="00267599">
              <w:rPr>
                <w:noProof/>
                <w:webHidden/>
              </w:rPr>
              <w:t>13</w:t>
            </w:r>
            <w:r w:rsidR="008E1AAF">
              <w:rPr>
                <w:noProof/>
                <w:webHidden/>
              </w:rPr>
              <w:fldChar w:fldCharType="end"/>
            </w:r>
          </w:hyperlink>
        </w:p>
        <w:p w14:paraId="424AB8F3" w14:textId="08C7F5C9" w:rsidR="008E1AAF" w:rsidRDefault="009A5AF9">
          <w:pPr>
            <w:pStyle w:val="TOC2"/>
            <w:tabs>
              <w:tab w:val="right" w:leader="dot" w:pos="9350"/>
            </w:tabs>
            <w:rPr>
              <w:rFonts w:asciiTheme="minorHAnsi" w:eastAsiaTheme="minorEastAsia" w:hAnsiTheme="minorHAnsi" w:cstheme="minorBidi"/>
              <w:noProof/>
              <w:sz w:val="22"/>
              <w:szCs w:val="22"/>
            </w:rPr>
          </w:pPr>
          <w:hyperlink w:anchor="_Toc436979521" w:history="1">
            <w:r w:rsidR="008E1AAF" w:rsidRPr="00031261">
              <w:rPr>
                <w:rStyle w:val="Hyperlink"/>
                <w:noProof/>
              </w:rPr>
              <w:t>A17. Display of OMB Expiration Date</w:t>
            </w:r>
            <w:r w:rsidR="008E1AAF">
              <w:rPr>
                <w:noProof/>
                <w:webHidden/>
              </w:rPr>
              <w:tab/>
            </w:r>
            <w:r w:rsidR="008E1AAF">
              <w:rPr>
                <w:noProof/>
                <w:webHidden/>
              </w:rPr>
              <w:fldChar w:fldCharType="begin"/>
            </w:r>
            <w:r w:rsidR="008E1AAF">
              <w:rPr>
                <w:noProof/>
                <w:webHidden/>
              </w:rPr>
              <w:instrText xml:space="preserve"> PAGEREF _Toc436979521 \h </w:instrText>
            </w:r>
            <w:r w:rsidR="008E1AAF">
              <w:rPr>
                <w:noProof/>
                <w:webHidden/>
              </w:rPr>
            </w:r>
            <w:r w:rsidR="008E1AAF">
              <w:rPr>
                <w:noProof/>
                <w:webHidden/>
              </w:rPr>
              <w:fldChar w:fldCharType="separate"/>
            </w:r>
            <w:r w:rsidR="00267599">
              <w:rPr>
                <w:noProof/>
                <w:webHidden/>
              </w:rPr>
              <w:t>14</w:t>
            </w:r>
            <w:r w:rsidR="008E1AAF">
              <w:rPr>
                <w:noProof/>
                <w:webHidden/>
              </w:rPr>
              <w:fldChar w:fldCharType="end"/>
            </w:r>
          </w:hyperlink>
        </w:p>
        <w:p w14:paraId="47A61E10" w14:textId="7A2CE134" w:rsidR="008E1AAF" w:rsidRDefault="009A5AF9">
          <w:pPr>
            <w:pStyle w:val="TOC2"/>
            <w:tabs>
              <w:tab w:val="right" w:leader="dot" w:pos="9350"/>
            </w:tabs>
            <w:rPr>
              <w:rFonts w:asciiTheme="minorHAnsi" w:eastAsiaTheme="minorEastAsia" w:hAnsiTheme="minorHAnsi" w:cstheme="minorBidi"/>
              <w:noProof/>
              <w:sz w:val="22"/>
              <w:szCs w:val="22"/>
            </w:rPr>
          </w:pPr>
          <w:hyperlink w:anchor="_Toc436979522" w:history="1">
            <w:r w:rsidR="008E1AAF" w:rsidRPr="00031261">
              <w:rPr>
                <w:rStyle w:val="Hyperlink"/>
                <w:noProof/>
              </w:rPr>
              <w:t>A18. Exceptions to Certification Statement</w:t>
            </w:r>
            <w:r w:rsidR="008E1AAF">
              <w:rPr>
                <w:noProof/>
                <w:webHidden/>
              </w:rPr>
              <w:tab/>
            </w:r>
            <w:r w:rsidR="008E1AAF">
              <w:rPr>
                <w:noProof/>
                <w:webHidden/>
              </w:rPr>
              <w:fldChar w:fldCharType="begin"/>
            </w:r>
            <w:r w:rsidR="008E1AAF">
              <w:rPr>
                <w:noProof/>
                <w:webHidden/>
              </w:rPr>
              <w:instrText xml:space="preserve"> PAGEREF _Toc436979522 \h </w:instrText>
            </w:r>
            <w:r w:rsidR="008E1AAF">
              <w:rPr>
                <w:noProof/>
                <w:webHidden/>
              </w:rPr>
            </w:r>
            <w:r w:rsidR="008E1AAF">
              <w:rPr>
                <w:noProof/>
                <w:webHidden/>
              </w:rPr>
              <w:fldChar w:fldCharType="separate"/>
            </w:r>
            <w:r w:rsidR="00267599">
              <w:rPr>
                <w:noProof/>
                <w:webHidden/>
              </w:rPr>
              <w:t>14</w:t>
            </w:r>
            <w:r w:rsidR="008E1AAF">
              <w:rPr>
                <w:noProof/>
                <w:webHidden/>
              </w:rPr>
              <w:fldChar w:fldCharType="end"/>
            </w:r>
          </w:hyperlink>
        </w:p>
        <w:p w14:paraId="27CB0F25" w14:textId="77777777" w:rsidR="00D7259D" w:rsidRDefault="00CE6CBF">
          <w:pPr>
            <w:rPr>
              <w:b/>
              <w:bCs/>
              <w:noProof/>
            </w:rPr>
          </w:pPr>
          <w:r>
            <w:rPr>
              <w:b/>
              <w:bCs/>
              <w:noProof/>
            </w:rPr>
            <w:fldChar w:fldCharType="end"/>
          </w:r>
        </w:p>
        <w:p w14:paraId="2E4068E1" w14:textId="77777777" w:rsidR="008C0FA7" w:rsidRDefault="008C0FA7">
          <w:pPr>
            <w:rPr>
              <w:b/>
            </w:rPr>
          </w:pPr>
        </w:p>
        <w:p w14:paraId="78044CFC" w14:textId="77777777" w:rsidR="008C0FA7" w:rsidRDefault="008C0FA7">
          <w:pPr>
            <w:rPr>
              <w:b/>
            </w:rPr>
          </w:pPr>
        </w:p>
        <w:p w14:paraId="580A6A2A" w14:textId="77777777" w:rsidR="008C0FA7" w:rsidRDefault="008C0FA7">
          <w:pPr>
            <w:rPr>
              <w:b/>
            </w:rPr>
          </w:pPr>
        </w:p>
        <w:p w14:paraId="2297A873" w14:textId="77777777" w:rsidR="008C0FA7" w:rsidRDefault="008C0FA7">
          <w:pPr>
            <w:rPr>
              <w:b/>
            </w:rPr>
          </w:pPr>
        </w:p>
        <w:p w14:paraId="2F25F96D" w14:textId="77777777" w:rsidR="008C0FA7" w:rsidRDefault="008C0FA7">
          <w:pPr>
            <w:rPr>
              <w:b/>
            </w:rPr>
          </w:pPr>
        </w:p>
        <w:p w14:paraId="5EDEA688" w14:textId="77777777" w:rsidR="008C0FA7" w:rsidRDefault="008C0FA7">
          <w:pPr>
            <w:rPr>
              <w:b/>
            </w:rPr>
          </w:pPr>
        </w:p>
        <w:p w14:paraId="1EA7AABE" w14:textId="77777777" w:rsidR="008C0FA7" w:rsidRDefault="008C0FA7">
          <w:pPr>
            <w:rPr>
              <w:b/>
            </w:rPr>
          </w:pPr>
        </w:p>
        <w:p w14:paraId="0CCCC845" w14:textId="36E5C533" w:rsidR="00CE6CBF" w:rsidRDefault="009A5AF9"/>
      </w:sdtContent>
    </w:sdt>
    <w:p w14:paraId="2C118A1E" w14:textId="593F2F61" w:rsidR="00CE6CBF" w:rsidRDefault="00CE6CBF">
      <w:pPr>
        <w:spacing w:after="200" w:line="276" w:lineRule="auto"/>
        <w:rPr>
          <w:b/>
        </w:rPr>
      </w:pPr>
    </w:p>
    <w:p w14:paraId="5F435D8E" w14:textId="628F3C84" w:rsidR="0009667A" w:rsidRPr="0059637F" w:rsidRDefault="0041269B" w:rsidP="00A25F26">
      <w:pPr>
        <w:jc w:val="center"/>
        <w:rPr>
          <w:b/>
          <w:sz w:val="28"/>
          <w:szCs w:val="28"/>
        </w:rPr>
      </w:pPr>
      <w:r w:rsidRPr="0059637F">
        <w:rPr>
          <w:b/>
          <w:sz w:val="28"/>
          <w:szCs w:val="28"/>
        </w:rPr>
        <w:lastRenderedPageBreak/>
        <w:t>Supporting Statement</w:t>
      </w:r>
    </w:p>
    <w:p w14:paraId="3669058D" w14:textId="3959DEB1" w:rsidR="0041269B" w:rsidRPr="009074DF" w:rsidRDefault="0041269B" w:rsidP="00F87FF9">
      <w:pPr>
        <w:pStyle w:val="Heading1"/>
      </w:pPr>
      <w:bookmarkStart w:id="0" w:name="_Toc436979502"/>
      <w:r w:rsidRPr="009074DF">
        <w:t>Part A. Justification</w:t>
      </w:r>
      <w:bookmarkEnd w:id="0"/>
    </w:p>
    <w:p w14:paraId="7606BA73" w14:textId="77777777" w:rsidR="0041269B" w:rsidRDefault="000F38CE" w:rsidP="00F87FF9">
      <w:pPr>
        <w:pStyle w:val="Heading2"/>
      </w:pPr>
      <w:bookmarkStart w:id="1" w:name="_Toc436979503"/>
      <w:r w:rsidRPr="009074DF">
        <w:t xml:space="preserve">A1. </w:t>
      </w:r>
      <w:r w:rsidR="00F84A7F" w:rsidRPr="009074DF">
        <w:t xml:space="preserve">Circumstances That Make the </w:t>
      </w:r>
      <w:r w:rsidR="00E63D0E" w:rsidRPr="009074DF">
        <w:t>Collection</w:t>
      </w:r>
      <w:r w:rsidR="00F84A7F" w:rsidRPr="009074DF">
        <w:t xml:space="preserve"> of Information Necessary</w:t>
      </w:r>
      <w:bookmarkEnd w:id="1"/>
      <w:r w:rsidR="00F84A7F" w:rsidRPr="009074DF">
        <w:t xml:space="preserve"> </w:t>
      </w:r>
    </w:p>
    <w:p w14:paraId="4CB9AA95" w14:textId="3A536EB4" w:rsidR="00296AD1" w:rsidRDefault="00BF32D7" w:rsidP="0059637F">
      <w:pPr>
        <w:pStyle w:val="BodyText"/>
      </w:pPr>
      <w:r w:rsidRPr="006E622A">
        <w:t xml:space="preserve">Pay for Success (PFS) is an innovative model that ties funding for an intervention to </w:t>
      </w:r>
      <w:r>
        <w:t xml:space="preserve">the achievement of </w:t>
      </w:r>
      <w:r w:rsidRPr="006E622A">
        <w:t xml:space="preserve">its </w:t>
      </w:r>
      <w:r>
        <w:t xml:space="preserve">outcomes or </w:t>
      </w:r>
      <w:r w:rsidRPr="006E622A">
        <w:t>impact in the community. PFS offers a way to catalyze philanthropic and private sector investments to deliver better outcomes</w:t>
      </w:r>
      <w:r w:rsidR="0060329B">
        <w:t xml:space="preserve">, enabling government or other </w:t>
      </w:r>
      <w:proofErr w:type="spellStart"/>
      <w:r w:rsidR="0060329B">
        <w:t>p</w:t>
      </w:r>
      <w:r w:rsidRPr="006E622A">
        <w:t>ayors</w:t>
      </w:r>
      <w:proofErr w:type="spellEnd"/>
      <w:r w:rsidRPr="006E622A">
        <w:t xml:space="preserve"> (for example, school districts or hospitals) to pay only for outcomes achieved – that is, to pay only for what works. PFS increases investments in effective social interventions by changing the way government allocates and invests its resources.</w:t>
      </w:r>
      <w:r w:rsidR="0059637F" w:rsidRPr="009F6B65">
        <w:t xml:space="preserve"> </w:t>
      </w:r>
      <w:r w:rsidR="00296AD1">
        <w:t xml:space="preserve"> </w:t>
      </w:r>
    </w:p>
    <w:p w14:paraId="1BC5E1F1" w14:textId="26C88925" w:rsidR="000B788A" w:rsidRDefault="00740954" w:rsidP="00740954">
      <w:pPr>
        <w:spacing w:after="240"/>
      </w:pPr>
      <w:r>
        <w:t xml:space="preserve">The PFS strategy typically involves a number of stakeholders not always found in the traditional government-service financing model. Philanthropies, high net-worth individuals, financial institutions, or others provide the investment to cover the cost of a service provider delivering an intervention. An independent party evaluates the impact of the service delivered and determines </w:t>
      </w:r>
      <w:r w:rsidR="009B7D10">
        <w:t>whether outcome goals were met. Depending upon the achievement of established milestones,</w:t>
      </w:r>
      <w:r>
        <w:t xml:space="preserve"> </w:t>
      </w:r>
      <w:proofErr w:type="gramStart"/>
      <w:r w:rsidR="006C3FDA">
        <w:t>then</w:t>
      </w:r>
      <w:proofErr w:type="gramEnd"/>
      <w:r w:rsidR="006C3FDA">
        <w:t xml:space="preserve"> </w:t>
      </w:r>
      <w:r>
        <w:t xml:space="preserve">government </w:t>
      </w:r>
      <w:r w:rsidR="006C3FDA">
        <w:t xml:space="preserve">agencies </w:t>
      </w:r>
      <w:r w:rsidR="00AD0726">
        <w:t xml:space="preserve">or other </w:t>
      </w:r>
      <w:proofErr w:type="spellStart"/>
      <w:r w:rsidR="00AD0726">
        <w:t>payors</w:t>
      </w:r>
      <w:proofErr w:type="spellEnd"/>
      <w:r w:rsidR="00AD0726">
        <w:t xml:space="preserve"> </w:t>
      </w:r>
      <w:r>
        <w:t xml:space="preserve">provide investors with “success payments,” </w:t>
      </w:r>
      <w:r w:rsidR="00035646">
        <w:t xml:space="preserve">which may </w:t>
      </w:r>
      <w:r>
        <w:t>includ</w:t>
      </w:r>
      <w:r w:rsidR="00035646">
        <w:t>e</w:t>
      </w:r>
      <w:r>
        <w:t xml:space="preserve"> the principal and a modest return</w:t>
      </w:r>
      <w:r w:rsidR="00035646">
        <w:t xml:space="preserve"> as agreed upon by parties involved</w:t>
      </w:r>
      <w:r>
        <w:t>. Often the government entity contracts with an intermediary to coordinate the PFS project. The intermediary’s responsibilities may include raising capital from investors, facilitating contract negotiations and agreements between partners (including defining outcome goals), overseeing project implementation, and commissioning evaluation activities.</w:t>
      </w:r>
      <w:r w:rsidR="000B788A">
        <w:t xml:space="preserve">  </w:t>
      </w:r>
    </w:p>
    <w:p w14:paraId="75A03C16" w14:textId="00411CDA" w:rsidR="00C84C1C" w:rsidRDefault="00AD0678" w:rsidP="00AD0678">
      <w:pPr>
        <w:spacing w:after="240"/>
      </w:pPr>
      <w:r w:rsidRPr="00B05C1E">
        <w:t>In 2014, the Corporation for National and Community Service (CNCS)</w:t>
      </w:r>
      <w:r w:rsidR="00296AD1" w:rsidRPr="00B05C1E">
        <w:t xml:space="preserve"> initiated the Pay for Success </w:t>
      </w:r>
      <w:r w:rsidR="003B6D11">
        <w:t>p</w:t>
      </w:r>
      <w:r w:rsidRPr="00B05C1E">
        <w:t>rogram as part of its Social Innovation Fund (SIF)</w:t>
      </w:r>
      <w:r w:rsidR="00D50C91">
        <w:t xml:space="preserve">. </w:t>
      </w:r>
      <w:r w:rsidR="0003684F">
        <w:t xml:space="preserve">The </w:t>
      </w:r>
      <w:r w:rsidR="0003684F" w:rsidRPr="00AE3F36">
        <w:t xml:space="preserve">goal of </w:t>
      </w:r>
      <w:r w:rsidR="0003684F">
        <w:t>SIF</w:t>
      </w:r>
      <w:r w:rsidR="0003684F" w:rsidRPr="00B05C1E">
        <w:t xml:space="preserve"> </w:t>
      </w:r>
      <w:r w:rsidR="0003684F">
        <w:t>PFS</w:t>
      </w:r>
      <w:r w:rsidR="0003684F" w:rsidRPr="00B05C1E">
        <w:t xml:space="preserve"> </w:t>
      </w:r>
      <w:r w:rsidR="003B6D11">
        <w:t>p</w:t>
      </w:r>
      <w:r w:rsidR="0003684F" w:rsidRPr="00B05C1E">
        <w:t xml:space="preserve">rogram </w:t>
      </w:r>
      <w:r w:rsidR="0003684F" w:rsidRPr="00AE3F36">
        <w:t xml:space="preserve">is to build capacity </w:t>
      </w:r>
      <w:r w:rsidR="006C6CCB">
        <w:t>of and provide support to</w:t>
      </w:r>
      <w:r w:rsidR="0003684F">
        <w:t xml:space="preserve"> local and state governments and community organizations </w:t>
      </w:r>
      <w:r w:rsidR="0003684F" w:rsidRPr="00AE3F36">
        <w:t xml:space="preserve">to engage in Pay for </w:t>
      </w:r>
      <w:r w:rsidR="0003684F">
        <w:t>S</w:t>
      </w:r>
      <w:r w:rsidR="0003684F" w:rsidRPr="00AE3F36">
        <w:t xml:space="preserve">uccess </w:t>
      </w:r>
      <w:r w:rsidR="0003684F">
        <w:t>activities</w:t>
      </w:r>
      <w:r w:rsidR="009B7D10">
        <w:t>.</w:t>
      </w:r>
      <w:r w:rsidRPr="00B05C1E">
        <w:t xml:space="preserve"> The</w:t>
      </w:r>
      <w:r w:rsidR="00726162">
        <w:t xml:space="preserve"> SIF</w:t>
      </w:r>
      <w:r w:rsidR="00B21587" w:rsidRPr="00B05C1E">
        <w:t xml:space="preserve"> </w:t>
      </w:r>
      <w:r w:rsidR="00726162">
        <w:t>PFS</w:t>
      </w:r>
      <w:r w:rsidR="00B21587" w:rsidRPr="00B05C1E">
        <w:t xml:space="preserve"> </w:t>
      </w:r>
      <w:r w:rsidR="003B6D11">
        <w:t>p</w:t>
      </w:r>
      <w:r w:rsidR="00B21587" w:rsidRPr="00B05C1E">
        <w:t xml:space="preserve">rogram </w:t>
      </w:r>
      <w:r w:rsidR="0002358A">
        <w:t>includes</w:t>
      </w:r>
      <w:r w:rsidRPr="00B05C1E">
        <w:t xml:space="preserve"> two types of</w:t>
      </w:r>
      <w:r w:rsidR="00C84C1C">
        <w:t xml:space="preserve"> grants</w:t>
      </w:r>
      <w:r w:rsidRPr="00B05C1E">
        <w:t xml:space="preserve">: (1) </w:t>
      </w:r>
      <w:r w:rsidR="00B05C1E" w:rsidRPr="00B05C1E">
        <w:t xml:space="preserve">feasibility </w:t>
      </w:r>
      <w:r w:rsidR="006F3EFB">
        <w:t>assessment</w:t>
      </w:r>
      <w:r w:rsidR="00B05C1E" w:rsidRPr="00B05C1E">
        <w:t xml:space="preserve">/capacity building grants </w:t>
      </w:r>
      <w:r w:rsidRPr="00B05C1E">
        <w:t xml:space="preserve">to assess feasibility </w:t>
      </w:r>
      <w:r w:rsidR="001923D6">
        <w:t xml:space="preserve">of PFS projects </w:t>
      </w:r>
      <w:r w:rsidRPr="00B05C1E">
        <w:t xml:space="preserve">and </w:t>
      </w:r>
      <w:r w:rsidR="001923D6">
        <w:t xml:space="preserve">to </w:t>
      </w:r>
      <w:r w:rsidR="00D50C91">
        <w:t>build</w:t>
      </w:r>
      <w:r w:rsidRPr="00B05C1E">
        <w:t xml:space="preserve"> capacity</w:t>
      </w:r>
      <w:r w:rsidR="00B05C1E">
        <w:t xml:space="preserve"> of </w:t>
      </w:r>
      <w:r w:rsidR="0003684F">
        <w:t>local and state governments and community organizations</w:t>
      </w:r>
      <w:r w:rsidR="00B05C1E">
        <w:t xml:space="preserve"> </w:t>
      </w:r>
      <w:r w:rsidRPr="00B05C1E">
        <w:t xml:space="preserve">to </w:t>
      </w:r>
      <w:r w:rsidR="0003684F">
        <w:t xml:space="preserve">engage in </w:t>
      </w:r>
      <w:r w:rsidRPr="00B05C1E">
        <w:t xml:space="preserve">PFS </w:t>
      </w:r>
      <w:r w:rsidR="0003684F">
        <w:t>activities</w:t>
      </w:r>
      <w:r w:rsidRPr="00B05C1E">
        <w:t>, and (2) transaction structuring grants to financially support the negotiation of PFS financial transactions</w:t>
      </w:r>
      <w:r>
        <w:t xml:space="preserve"> and bring </w:t>
      </w:r>
      <w:r w:rsidR="00D50C91">
        <w:t xml:space="preserve">PFS </w:t>
      </w:r>
      <w:r>
        <w:t>projects</w:t>
      </w:r>
      <w:r w:rsidR="008444E0">
        <w:t xml:space="preserve"> </w:t>
      </w:r>
      <w:r>
        <w:t xml:space="preserve">to implementation. </w:t>
      </w:r>
    </w:p>
    <w:p w14:paraId="0B77F71E" w14:textId="6399B3A3" w:rsidR="00F80015" w:rsidRDefault="00AD0678" w:rsidP="00AD0678">
      <w:pPr>
        <w:spacing w:after="240"/>
      </w:pPr>
      <w:r w:rsidRPr="001923D6">
        <w:t xml:space="preserve">In the program’s first year, </w:t>
      </w:r>
      <w:r w:rsidR="00C84C1C" w:rsidRPr="001923D6">
        <w:t xml:space="preserve">CNCS awarded </w:t>
      </w:r>
      <w:r w:rsidR="00F80015" w:rsidRPr="001923D6">
        <w:t>feasibility a</w:t>
      </w:r>
      <w:r w:rsidR="006F3EFB">
        <w:t>ssessment</w:t>
      </w:r>
      <w:r w:rsidR="00F80015" w:rsidRPr="001923D6">
        <w:t xml:space="preserve">/capacity building grants to </w:t>
      </w:r>
      <w:r w:rsidRPr="001923D6">
        <w:t xml:space="preserve">seven organizations </w:t>
      </w:r>
      <w:r w:rsidR="0021354A" w:rsidRPr="001923D6">
        <w:t xml:space="preserve">(mostly </w:t>
      </w:r>
      <w:r w:rsidR="00D50C91" w:rsidRPr="001923D6">
        <w:t xml:space="preserve">large </w:t>
      </w:r>
      <w:r w:rsidR="0021354A" w:rsidRPr="001923D6">
        <w:t>nonprofit and academic organizations)</w:t>
      </w:r>
      <w:r w:rsidR="00C84C1C" w:rsidRPr="001923D6">
        <w:t xml:space="preserve">.  </w:t>
      </w:r>
      <w:r w:rsidR="00D50C91" w:rsidRPr="001923D6">
        <w:t xml:space="preserve">The </w:t>
      </w:r>
      <w:r w:rsidR="001923D6">
        <w:t>goal</w:t>
      </w:r>
      <w:r w:rsidR="00D50C91" w:rsidRPr="001923D6">
        <w:t xml:space="preserve"> of these grantees is to provide assistance to local and state government agencies and community organizations to</w:t>
      </w:r>
      <w:r w:rsidR="00F80015" w:rsidRPr="001923D6">
        <w:t xml:space="preserve"> </w:t>
      </w:r>
      <w:r w:rsidR="001923D6">
        <w:t>build</w:t>
      </w:r>
      <w:r w:rsidR="00F80015" w:rsidRPr="001923D6">
        <w:t xml:space="preserve"> partnerships (</w:t>
      </w:r>
      <w:r w:rsidR="00D50C91" w:rsidRPr="001923D6">
        <w:t>between</w:t>
      </w:r>
      <w:r w:rsidR="00F80015" w:rsidRPr="001923D6">
        <w:t xml:space="preserve"> transaction coordinators, funders, evaluators, and </w:t>
      </w:r>
      <w:proofErr w:type="spellStart"/>
      <w:r w:rsidR="00F80015" w:rsidRPr="001923D6">
        <w:t>payors</w:t>
      </w:r>
      <w:proofErr w:type="spellEnd"/>
      <w:r w:rsidR="00F80015" w:rsidRPr="001923D6">
        <w:rPr>
          <w:rStyle w:val="FootnoteReference"/>
        </w:rPr>
        <w:footnoteReference w:id="1"/>
      </w:r>
      <w:r w:rsidR="00F80015" w:rsidRPr="001923D6">
        <w:t xml:space="preserve">), </w:t>
      </w:r>
      <w:r w:rsidR="001923D6">
        <w:t xml:space="preserve">to </w:t>
      </w:r>
      <w:r w:rsidR="00D50C91" w:rsidRPr="001923D6">
        <w:t xml:space="preserve">explore issue </w:t>
      </w:r>
      <w:r w:rsidR="001923D6">
        <w:t>and policy areas for PFS projects</w:t>
      </w:r>
      <w:r w:rsidR="00F26662" w:rsidRPr="001923D6">
        <w:t xml:space="preserve">, </w:t>
      </w:r>
      <w:r w:rsidR="00F80015" w:rsidRPr="001923D6">
        <w:t>develop</w:t>
      </w:r>
      <w:r w:rsidR="001923D6">
        <w:t xml:space="preserve"> project</w:t>
      </w:r>
      <w:r w:rsidR="00F80015" w:rsidRPr="001923D6">
        <w:t xml:space="preserve"> logic models</w:t>
      </w:r>
      <w:r w:rsidR="00F26662" w:rsidRPr="001923D6">
        <w:t>,</w:t>
      </w:r>
      <w:r w:rsidR="00F80015" w:rsidRPr="001923D6">
        <w:t xml:space="preserve"> select target populations, </w:t>
      </w:r>
      <w:r w:rsidR="00F26662" w:rsidRPr="001923D6">
        <w:t xml:space="preserve">identify evidence-based interventions, and </w:t>
      </w:r>
      <w:r w:rsidR="00F80015" w:rsidRPr="001923D6">
        <w:t>conduct other activities needed to initiate a PFS project. These activities are expected to (1) increase</w:t>
      </w:r>
      <w:r w:rsidR="00F80015" w:rsidRPr="00AE3F36">
        <w:t xml:space="preserve"> the internal capacity of governments, other </w:t>
      </w:r>
      <w:proofErr w:type="spellStart"/>
      <w:r w:rsidR="00F80015" w:rsidRPr="00AE3F36">
        <w:t>payors</w:t>
      </w:r>
      <w:proofErr w:type="spellEnd"/>
      <w:r w:rsidR="00F80015" w:rsidRPr="00AE3F36">
        <w:t xml:space="preserve">, </w:t>
      </w:r>
      <w:r w:rsidR="00F80015">
        <w:t xml:space="preserve">and </w:t>
      </w:r>
      <w:r w:rsidR="00F80015" w:rsidRPr="00AE3F36">
        <w:t>nonprofits to engage in PFS projects and outcomes-</w:t>
      </w:r>
      <w:r w:rsidR="00035646">
        <w:t>based</w:t>
      </w:r>
      <w:r w:rsidR="00035646" w:rsidRPr="00AE3F36">
        <w:t xml:space="preserve"> </w:t>
      </w:r>
      <w:r w:rsidR="00F80015" w:rsidRPr="00AE3F36">
        <w:t>contracting</w:t>
      </w:r>
      <w:r w:rsidR="00F80015">
        <w:t>;</w:t>
      </w:r>
      <w:r w:rsidR="00F80015" w:rsidRPr="00AE3F36">
        <w:t xml:space="preserve"> </w:t>
      </w:r>
      <w:r w:rsidR="00F80015">
        <w:t xml:space="preserve">(2) </w:t>
      </w:r>
      <w:r w:rsidR="00F80015" w:rsidRPr="00AE3F36">
        <w:t xml:space="preserve">attract capital to high-performing organizations that can effectively address </w:t>
      </w:r>
      <w:r w:rsidR="00F80015" w:rsidRPr="00AE3F36">
        <w:lastRenderedPageBreak/>
        <w:t>challenges in low-income communities</w:t>
      </w:r>
      <w:r w:rsidR="00F80015">
        <w:t>;</w:t>
      </w:r>
      <w:r w:rsidR="00F80015" w:rsidRPr="00AE3F36">
        <w:t xml:space="preserve"> and</w:t>
      </w:r>
      <w:r w:rsidR="00F80015">
        <w:t xml:space="preserve"> (3)</w:t>
      </w:r>
      <w:r w:rsidR="00F80015" w:rsidRPr="00AE3F36">
        <w:t xml:space="preserve"> ultimately provide a return on investment to </w:t>
      </w:r>
      <w:r w:rsidR="00F80015" w:rsidRPr="00A9105B">
        <w:t xml:space="preserve">both </w:t>
      </w:r>
      <w:r w:rsidR="00F80015" w:rsidRPr="00AE3F36">
        <w:t xml:space="preserve">investors and </w:t>
      </w:r>
      <w:proofErr w:type="spellStart"/>
      <w:r w:rsidR="00F80015" w:rsidRPr="00AE3F36">
        <w:t>payors</w:t>
      </w:r>
      <w:proofErr w:type="spellEnd"/>
      <w:r w:rsidR="00F80015" w:rsidRPr="00AE3F36">
        <w:t xml:space="preserve">. </w:t>
      </w:r>
      <w:r w:rsidR="00F80015">
        <w:t xml:space="preserve"> </w:t>
      </w:r>
      <w:r w:rsidR="00C84C1C">
        <w:t xml:space="preserve">These grantees </w:t>
      </w:r>
      <w:r>
        <w:t>held</w:t>
      </w:r>
      <w:r w:rsidR="008444E0">
        <w:t xml:space="preserve"> </w:t>
      </w:r>
      <w:r w:rsidR="00C84C1C">
        <w:t xml:space="preserve">competitions to identify </w:t>
      </w:r>
      <w:proofErr w:type="spellStart"/>
      <w:r w:rsidR="00B065D8">
        <w:t>subrecipients</w:t>
      </w:r>
      <w:proofErr w:type="spellEnd"/>
      <w:r w:rsidR="00B065D8">
        <w:t xml:space="preserve">, which could be </w:t>
      </w:r>
      <w:r w:rsidR="00C84C1C">
        <w:t xml:space="preserve">state and </w:t>
      </w:r>
      <w:r>
        <w:t>local government</w:t>
      </w:r>
      <w:r w:rsidR="00C84C1C">
        <w:t>s</w:t>
      </w:r>
      <w:r>
        <w:t>, service providers</w:t>
      </w:r>
      <w:r w:rsidR="00B065D8">
        <w:t>,</w:t>
      </w:r>
      <w:r>
        <w:t xml:space="preserve"> and/or other organizations</w:t>
      </w:r>
      <w:r w:rsidR="00DE4885">
        <w:t xml:space="preserve"> that were interested in</w:t>
      </w:r>
      <w:r>
        <w:t xml:space="preserve"> </w:t>
      </w:r>
      <w:r w:rsidR="00DE4885">
        <w:t>exploring the feasibility of implementing</w:t>
      </w:r>
      <w:r w:rsidR="008444E0">
        <w:t xml:space="preserve"> PFS projects</w:t>
      </w:r>
      <w:r w:rsidR="00DE4885">
        <w:t xml:space="preserve">. </w:t>
      </w:r>
    </w:p>
    <w:p w14:paraId="28C26610" w14:textId="1A8D5480" w:rsidR="00F80015" w:rsidRDefault="0002358A" w:rsidP="00F80015">
      <w:pPr>
        <w:pStyle w:val="BodyText"/>
      </w:pPr>
      <w:r>
        <w:t>CNCS also awarded one transaction structuring grant to a</w:t>
      </w:r>
      <w:r w:rsidR="0021354A">
        <w:t xml:space="preserve"> large community development financial institution</w:t>
      </w:r>
      <w:r>
        <w:t xml:space="preserve"> (CDFI)</w:t>
      </w:r>
      <w:r w:rsidR="00F80015">
        <w:t xml:space="preserve">.  </w:t>
      </w:r>
      <w:r w:rsidR="00F80015" w:rsidRPr="00AE3F36">
        <w:t>The goal of transaction structuring assistance is to catalyze PFS projects where feasibility is either confirmed or in the process of being established</w:t>
      </w:r>
      <w:r>
        <w:t xml:space="preserve"> by local or state government entities</w:t>
      </w:r>
      <w:r w:rsidR="00F80015" w:rsidRPr="00AE3F36">
        <w:t xml:space="preserve">. The </w:t>
      </w:r>
      <w:r w:rsidR="00F80015">
        <w:t xml:space="preserve">current </w:t>
      </w:r>
      <w:r w:rsidR="00F80015" w:rsidRPr="00AE3F36">
        <w:t>transaction structuring grantee</w:t>
      </w:r>
      <w:r w:rsidR="00F80015">
        <w:t xml:space="preserve"> </w:t>
      </w:r>
      <w:r w:rsidR="00F80015" w:rsidRPr="00AE3F36">
        <w:t xml:space="preserve">has allocated 80 percent of its grant funds </w:t>
      </w:r>
      <w:r w:rsidR="00F80015">
        <w:t>as</w:t>
      </w:r>
      <w:r w:rsidR="00F80015" w:rsidRPr="00AE3F36">
        <w:t xml:space="preserve"> a pass-through to support </w:t>
      </w:r>
      <w:r>
        <w:t>the activities (e.g., salaries, fees) of transaction coordinators (</w:t>
      </w:r>
      <w:r w:rsidR="00A12884">
        <w:t xml:space="preserve">called </w:t>
      </w:r>
      <w:r w:rsidR="00F841FD">
        <w:t>service r</w:t>
      </w:r>
      <w:r w:rsidR="003B6D11">
        <w:t>ecipient</w:t>
      </w:r>
      <w:r>
        <w:t>s) to create a partnership structure</w:t>
      </w:r>
      <w:r w:rsidR="001923D6">
        <w:t xml:space="preserve"> for the PFS project</w:t>
      </w:r>
      <w:r>
        <w:t xml:space="preserve">, negotiate the financial </w:t>
      </w:r>
      <w:r w:rsidR="00F80015" w:rsidRPr="00AE3F36">
        <w:t>transaction</w:t>
      </w:r>
      <w:r w:rsidR="001923D6">
        <w:t xml:space="preserve"> of the project</w:t>
      </w:r>
      <w:r>
        <w:t xml:space="preserve">, and ensure that the project is ready to be implemented.  </w:t>
      </w:r>
    </w:p>
    <w:p w14:paraId="05329CFE" w14:textId="5917A34F" w:rsidR="00870A2E" w:rsidRDefault="00E85CFC" w:rsidP="00F80015">
      <w:pPr>
        <w:pStyle w:val="BodyText"/>
        <w:rPr>
          <w:rFonts w:eastAsiaTheme="minorHAnsi"/>
          <w:color w:val="000000"/>
        </w:rPr>
      </w:pPr>
      <w:r>
        <w:t>The logic model presented in Exhibit A.1</w:t>
      </w:r>
      <w:r w:rsidR="00870A2E" w:rsidRPr="004255B6">
        <w:t xml:space="preserve"> illustrate</w:t>
      </w:r>
      <w:r>
        <w:t>s</w:t>
      </w:r>
      <w:r w:rsidR="00870A2E" w:rsidRPr="004255B6">
        <w:t xml:space="preserve"> the purpose of the</w:t>
      </w:r>
      <w:r w:rsidR="00726162">
        <w:t xml:space="preserve"> SIF</w:t>
      </w:r>
      <w:r w:rsidR="00870A2E" w:rsidRPr="004255B6">
        <w:t xml:space="preserve"> PFS </w:t>
      </w:r>
      <w:r w:rsidR="003B6D11">
        <w:t>p</w:t>
      </w:r>
      <w:r w:rsidR="00870A2E" w:rsidRPr="004255B6">
        <w:t>rogram and its associated theory of change</w:t>
      </w:r>
      <w:r w:rsidR="00870A2E" w:rsidRPr="004255B6">
        <w:rPr>
          <w:rFonts w:eastAsiaTheme="minorHAnsi"/>
        </w:rPr>
        <w:t xml:space="preserve">. </w:t>
      </w:r>
      <w:r>
        <w:rPr>
          <w:rFonts w:eastAsiaTheme="minorHAnsi"/>
        </w:rPr>
        <w:t xml:space="preserve"> </w:t>
      </w:r>
      <w:r w:rsidR="00870A2E" w:rsidRPr="004255B6">
        <w:rPr>
          <w:rFonts w:eastAsiaTheme="minorHAnsi"/>
          <w:color w:val="000000"/>
        </w:rPr>
        <w:t xml:space="preserve">The </w:t>
      </w:r>
      <w:r w:rsidR="00870A2E" w:rsidRPr="004255B6">
        <w:rPr>
          <w:rFonts w:eastAsiaTheme="minorHAnsi"/>
          <w:bCs/>
          <w:color w:val="000000"/>
        </w:rPr>
        <w:t>logic model serves</w:t>
      </w:r>
      <w:r w:rsidR="00870A2E" w:rsidRPr="004255B6">
        <w:rPr>
          <w:rFonts w:eastAsiaTheme="minorHAnsi"/>
          <w:color w:val="000000"/>
        </w:rPr>
        <w:t xml:space="preserve"> as a demonstration of the </w:t>
      </w:r>
      <w:r w:rsidR="00726162">
        <w:rPr>
          <w:rFonts w:eastAsiaTheme="minorHAnsi"/>
          <w:color w:val="000000"/>
        </w:rPr>
        <w:t xml:space="preserve">SIF </w:t>
      </w:r>
      <w:r w:rsidR="00870A2E" w:rsidRPr="004255B6">
        <w:rPr>
          <w:rFonts w:eastAsiaTheme="minorHAnsi"/>
          <w:color w:val="000000"/>
        </w:rPr>
        <w:t xml:space="preserve">PFS </w:t>
      </w:r>
      <w:r w:rsidR="003B6D11">
        <w:rPr>
          <w:rFonts w:eastAsiaTheme="minorHAnsi"/>
          <w:color w:val="000000"/>
        </w:rPr>
        <w:t>program</w:t>
      </w:r>
      <w:r w:rsidR="00870A2E" w:rsidRPr="004255B6">
        <w:rPr>
          <w:rFonts w:eastAsiaTheme="minorHAnsi"/>
          <w:color w:val="000000"/>
        </w:rPr>
        <w:t>’s inputs, activities, outputs, and outcomes</w:t>
      </w:r>
      <w:r w:rsidR="00870A2E">
        <w:rPr>
          <w:rFonts w:eastAsiaTheme="minorHAnsi"/>
          <w:color w:val="000000"/>
        </w:rPr>
        <w:t xml:space="preserve"> that</w:t>
      </w:r>
      <w:r w:rsidR="00870A2E" w:rsidRPr="004255B6">
        <w:rPr>
          <w:rFonts w:eastAsiaTheme="minorHAnsi"/>
          <w:color w:val="000000"/>
        </w:rPr>
        <w:t xml:space="preserve"> </w:t>
      </w:r>
      <w:r w:rsidR="00870A2E">
        <w:rPr>
          <w:rFonts w:eastAsiaTheme="minorHAnsi"/>
          <w:color w:val="000000"/>
        </w:rPr>
        <w:t>can be expected—and should be measured</w:t>
      </w:r>
      <w:r w:rsidR="00870A2E" w:rsidRPr="004255B6">
        <w:rPr>
          <w:rFonts w:eastAsiaTheme="minorHAnsi"/>
          <w:color w:val="000000"/>
        </w:rPr>
        <w:t>.</w:t>
      </w:r>
      <w:r w:rsidR="00870A2E">
        <w:rPr>
          <w:rFonts w:eastAsiaTheme="minorHAnsi"/>
          <w:color w:val="000000"/>
        </w:rPr>
        <w:t xml:space="preserve"> </w:t>
      </w:r>
      <w:r w:rsidR="00870A2E" w:rsidRPr="004255B6">
        <w:rPr>
          <w:rFonts w:eastAsiaTheme="minorHAnsi"/>
        </w:rPr>
        <w:t>The logic model</w:t>
      </w:r>
      <w:r w:rsidR="00870A2E">
        <w:rPr>
          <w:rFonts w:eastAsiaTheme="minorHAnsi"/>
        </w:rPr>
        <w:t xml:space="preserve"> also provides a</w:t>
      </w:r>
      <w:r w:rsidR="00870A2E" w:rsidRPr="004255B6">
        <w:rPr>
          <w:rFonts w:eastAsiaTheme="minorHAnsi"/>
        </w:rPr>
        <w:t xml:space="preserve"> depiction of the various stakeholders involved in a PFS project</w:t>
      </w:r>
      <w:r>
        <w:rPr>
          <w:rFonts w:eastAsiaTheme="minorHAnsi"/>
        </w:rPr>
        <w:t xml:space="preserve"> and the</w:t>
      </w:r>
      <w:r w:rsidR="00870A2E" w:rsidRPr="004255B6">
        <w:rPr>
          <w:rFonts w:eastAsiaTheme="minorHAnsi"/>
        </w:rPr>
        <w:t>ir roles in the process</w:t>
      </w:r>
      <w:r w:rsidR="00870A2E">
        <w:rPr>
          <w:rFonts w:eastAsiaTheme="minorHAnsi"/>
        </w:rPr>
        <w:t>.</w:t>
      </w:r>
      <w:r w:rsidR="00870A2E" w:rsidRPr="004255B6">
        <w:rPr>
          <w:rFonts w:eastAsiaTheme="minorHAnsi"/>
          <w:color w:val="000000"/>
        </w:rPr>
        <w:t xml:space="preserve"> </w:t>
      </w:r>
      <w:r w:rsidR="00A12884">
        <w:rPr>
          <w:rFonts w:eastAsiaTheme="minorHAnsi"/>
          <w:color w:val="000000"/>
        </w:rPr>
        <w:t xml:space="preserve"> </w:t>
      </w:r>
    </w:p>
    <w:p w14:paraId="5F5C8A63" w14:textId="673F7F1B" w:rsidR="00A12884" w:rsidRDefault="00A12884" w:rsidP="00A12884">
      <w:pPr>
        <w:spacing w:after="240"/>
      </w:pPr>
      <w:r>
        <w:t xml:space="preserve">All </w:t>
      </w:r>
      <w:r w:rsidR="008211EF">
        <w:t>SIF</w:t>
      </w:r>
      <w:r w:rsidR="008211EF" w:rsidRPr="004255B6">
        <w:t xml:space="preserve"> PFS </w:t>
      </w:r>
      <w:r w:rsidR="003B6D11">
        <w:t>p</w:t>
      </w:r>
      <w:r w:rsidR="008211EF" w:rsidRPr="004255B6">
        <w:t>rog</w:t>
      </w:r>
      <w:r w:rsidR="008211EF">
        <w:t xml:space="preserve">ram </w:t>
      </w:r>
      <w:r>
        <w:t>grantee</w:t>
      </w:r>
      <w:r w:rsidR="00EA03D1">
        <w:t>s</w:t>
      </w:r>
      <w:r>
        <w:t xml:space="preserve"> received </w:t>
      </w:r>
      <w:r w:rsidR="00E85CFC">
        <w:t xml:space="preserve">grants for up to </w:t>
      </w:r>
      <w:r>
        <w:t>three</w:t>
      </w:r>
      <w:r w:rsidR="00E85CFC">
        <w:t xml:space="preserve"> </w:t>
      </w:r>
      <w:r>
        <w:t>year</w:t>
      </w:r>
      <w:r w:rsidR="00E85CFC">
        <w:t>s</w:t>
      </w:r>
      <w:r>
        <w:t xml:space="preserve"> and were required to select at least one of CNCS’s core focus areas (youth development, economic opportunity, and healthy futures) to use when selecting </w:t>
      </w:r>
      <w:proofErr w:type="spellStart"/>
      <w:r>
        <w:t>subrecipients</w:t>
      </w:r>
      <w:proofErr w:type="spellEnd"/>
      <w:r>
        <w:t xml:space="preserve"> and </w:t>
      </w:r>
      <w:r w:rsidR="00F841FD">
        <w:t>s</w:t>
      </w:r>
      <w:r w:rsidR="003B6D11">
        <w:t xml:space="preserve">ervice </w:t>
      </w:r>
      <w:r w:rsidR="00F841FD">
        <w:t>r</w:t>
      </w:r>
      <w:r w:rsidR="003B6D11">
        <w:t>ecipient</w:t>
      </w:r>
      <w:r>
        <w:t xml:space="preserve">s.  As of </w:t>
      </w:r>
      <w:r w:rsidR="004F6F99">
        <w:t>the date of this submission</w:t>
      </w:r>
      <w:r>
        <w:t xml:space="preserve">, the eight grantees selected a total of 55 </w:t>
      </w:r>
      <w:proofErr w:type="spellStart"/>
      <w:r>
        <w:t>subrecipients</w:t>
      </w:r>
      <w:proofErr w:type="spellEnd"/>
      <w:r>
        <w:t>/</w:t>
      </w:r>
      <w:r w:rsidR="00F841FD">
        <w:t>service r</w:t>
      </w:r>
      <w:r w:rsidR="003B6D11">
        <w:t>ecipient</w:t>
      </w:r>
      <w:r>
        <w:t xml:space="preserve">s.  CNCS expects to award two additional cohorts of </w:t>
      </w:r>
      <w:r w:rsidRPr="00B05C1E">
        <w:t xml:space="preserve">feasibility </w:t>
      </w:r>
      <w:r w:rsidR="006F3EFB">
        <w:t>assessment</w:t>
      </w:r>
      <w:r>
        <w:t xml:space="preserve">/capacity building and transaction structuring grantees in 2016 and 2017.  These grantees will also be expected to select </w:t>
      </w:r>
      <w:proofErr w:type="spellStart"/>
      <w:r>
        <w:t>subrecipients</w:t>
      </w:r>
      <w:proofErr w:type="spellEnd"/>
      <w:r>
        <w:t xml:space="preserve"> and </w:t>
      </w:r>
      <w:r w:rsidR="00F841FD">
        <w:t>s</w:t>
      </w:r>
      <w:r w:rsidR="003B6D11">
        <w:t xml:space="preserve">ervice </w:t>
      </w:r>
      <w:r w:rsidR="00F841FD">
        <w:t>r</w:t>
      </w:r>
      <w:r w:rsidR="003B6D11">
        <w:t>ecipient</w:t>
      </w:r>
      <w:r>
        <w:t xml:space="preserve">s to engage in exploring and </w:t>
      </w:r>
      <w:r w:rsidR="00035646">
        <w:t xml:space="preserve">developing </w:t>
      </w:r>
      <w:r>
        <w:t>PFS projects.</w:t>
      </w:r>
      <w:r w:rsidR="00035646">
        <w:t xml:space="preserve"> Currently, SIF/PFS funding supports PFS project development but stops short of PFS project implementation or contract execution.</w:t>
      </w:r>
    </w:p>
    <w:p w14:paraId="25DF54E9" w14:textId="330D7D97" w:rsidR="00E5339E" w:rsidRDefault="00A12884" w:rsidP="00A12884">
      <w:pPr>
        <w:spacing w:after="240"/>
      </w:pPr>
      <w:r>
        <w:t>As a new funding strategy, very little is known about best practices for developing and implementing PFS projects. As such, i</w:t>
      </w:r>
      <w:r w:rsidRPr="009074DF">
        <w:t>t is important to assess the</w:t>
      </w:r>
      <w:r w:rsidR="00726162">
        <w:t xml:space="preserve"> SIF</w:t>
      </w:r>
      <w:r w:rsidRPr="009074DF">
        <w:t xml:space="preserve"> </w:t>
      </w:r>
      <w:r>
        <w:t xml:space="preserve">PFS </w:t>
      </w:r>
      <w:r w:rsidR="003B6D11">
        <w:t>p</w:t>
      </w:r>
      <w:r>
        <w:t>rogram</w:t>
      </w:r>
      <w:r w:rsidRPr="009074DF">
        <w:t xml:space="preserve">, both </w:t>
      </w:r>
      <w:r>
        <w:t xml:space="preserve">to </w:t>
      </w:r>
      <w:r w:rsidR="006C6CCB">
        <w:t xml:space="preserve">support CNCS’ </w:t>
      </w:r>
      <w:r w:rsidR="008E4831">
        <w:t>management and oversight responsibilities and to advance</w:t>
      </w:r>
      <w:r w:rsidRPr="009074DF">
        <w:t xml:space="preserve"> the larger goal of learning from </w:t>
      </w:r>
      <w:r>
        <w:t>these new</w:t>
      </w:r>
      <w:r w:rsidRPr="009074DF">
        <w:t xml:space="preserve"> evidence-based initiatives.</w:t>
      </w:r>
      <w:r w:rsidRPr="00EF35E0">
        <w:t xml:space="preserve"> </w:t>
      </w:r>
      <w:r w:rsidRPr="009074DF">
        <w:t>To meet the need for information on the implementat</w:t>
      </w:r>
      <w:r>
        <w:t>ion and effectiveness of the</w:t>
      </w:r>
      <w:r w:rsidR="00726162">
        <w:t xml:space="preserve"> SIF</w:t>
      </w:r>
      <w:r>
        <w:t xml:space="preserve"> PFS </w:t>
      </w:r>
      <w:r w:rsidR="003B6D11">
        <w:t>p</w:t>
      </w:r>
      <w:r>
        <w:t>rogram</w:t>
      </w:r>
      <w:r w:rsidRPr="009074DF">
        <w:t xml:space="preserve">, CNCS has contracted with </w:t>
      </w:r>
      <w:proofErr w:type="spellStart"/>
      <w:r>
        <w:t>Abt</w:t>
      </w:r>
      <w:proofErr w:type="spellEnd"/>
      <w:r>
        <w:t xml:space="preserve"> Associates</w:t>
      </w:r>
      <w:r w:rsidRPr="009074DF">
        <w:t xml:space="preserve"> to support CNCS’s Office of Research and Evaluation to implement a </w:t>
      </w:r>
      <w:r>
        <w:t>Process Evaluation</w:t>
      </w:r>
      <w:r w:rsidRPr="009074DF">
        <w:t xml:space="preserve"> of the</w:t>
      </w:r>
      <w:r w:rsidR="00726162">
        <w:t xml:space="preserve"> SIF</w:t>
      </w:r>
      <w:r w:rsidRPr="009074DF">
        <w:t xml:space="preserve"> </w:t>
      </w:r>
      <w:r>
        <w:t xml:space="preserve">PFS </w:t>
      </w:r>
      <w:r w:rsidR="003B6D11">
        <w:t>p</w:t>
      </w:r>
      <w:r w:rsidRPr="009074DF">
        <w:t>rogram.</w:t>
      </w:r>
      <w:r>
        <w:t xml:space="preserve"> The </w:t>
      </w:r>
      <w:r w:rsidRPr="003C2F78">
        <w:t xml:space="preserve">Process Evaluation </w:t>
      </w:r>
      <w:r>
        <w:t>is designed to elicit and synthesize information not only on the effectiveness of the</w:t>
      </w:r>
      <w:r w:rsidR="00726162">
        <w:t xml:space="preserve"> SIF</w:t>
      </w:r>
      <w:r>
        <w:t xml:space="preserve"> PFS </w:t>
      </w:r>
      <w:r w:rsidR="003B6D11">
        <w:t>p</w:t>
      </w:r>
      <w:r>
        <w:t xml:space="preserve">rogram, but also on the opportunities and challenges facing future PFS efforts. The goal of the SIF PFS </w:t>
      </w:r>
      <w:r w:rsidR="003B6D11">
        <w:t xml:space="preserve">Program </w:t>
      </w:r>
      <w:r>
        <w:t xml:space="preserve">Process Evaluation is to provide actionable information to CNCS and to </w:t>
      </w:r>
      <w:r w:rsidR="008E4831">
        <w:t xml:space="preserve">key </w:t>
      </w:r>
      <w:r>
        <w:t>stakeholder</w:t>
      </w:r>
      <w:r w:rsidR="008E4831">
        <w:t>s</w:t>
      </w:r>
      <w:r>
        <w:t xml:space="preserve"> (grantees, </w:t>
      </w:r>
      <w:proofErr w:type="spellStart"/>
      <w:r>
        <w:t>subrecipients</w:t>
      </w:r>
      <w:proofErr w:type="spellEnd"/>
      <w:r>
        <w:t xml:space="preserve">, </w:t>
      </w:r>
      <w:r w:rsidR="00F841FD">
        <w:t>service r</w:t>
      </w:r>
      <w:r w:rsidR="003B6D11">
        <w:t>ecipient</w:t>
      </w:r>
      <w:r>
        <w:t>s, funders, and evaluators)</w:t>
      </w:r>
      <w:r w:rsidR="008E4831">
        <w:t>. Collectively, these insights will contribute to building the evidence base and operational knowledge needed to continue to advance this innovat</w:t>
      </w:r>
      <w:r w:rsidR="00173CE4">
        <w:t>ive evidence-based</w:t>
      </w:r>
      <w:r w:rsidR="008E4831">
        <w:t xml:space="preserve"> strategy. </w:t>
      </w:r>
    </w:p>
    <w:p w14:paraId="65CA0F85" w14:textId="0C4A340E" w:rsidR="0002358A" w:rsidRPr="0002358A" w:rsidRDefault="0002358A" w:rsidP="0002358A">
      <w:pPr>
        <w:pStyle w:val="Caption"/>
        <w:rPr>
          <w:rFonts w:ascii="Times New Roman" w:hAnsi="Times New Roman"/>
          <w:b/>
          <w:color w:val="auto"/>
          <w:sz w:val="24"/>
          <w:szCs w:val="24"/>
        </w:rPr>
      </w:pPr>
      <w:r w:rsidRPr="0002358A">
        <w:rPr>
          <w:rFonts w:ascii="Times New Roman" w:hAnsi="Times New Roman"/>
          <w:b/>
          <w:color w:val="auto"/>
          <w:sz w:val="24"/>
          <w:szCs w:val="24"/>
        </w:rPr>
        <w:lastRenderedPageBreak/>
        <w:t xml:space="preserve">Exhibit </w:t>
      </w:r>
      <w:r w:rsidR="00FA2C13">
        <w:rPr>
          <w:rFonts w:ascii="Times New Roman" w:hAnsi="Times New Roman"/>
          <w:b/>
          <w:color w:val="auto"/>
          <w:sz w:val="24"/>
          <w:szCs w:val="24"/>
        </w:rPr>
        <w:t>A</w:t>
      </w:r>
      <w:r w:rsidR="00CB1283">
        <w:rPr>
          <w:rFonts w:ascii="Times New Roman" w:hAnsi="Times New Roman"/>
          <w:b/>
          <w:color w:val="auto"/>
          <w:sz w:val="24"/>
          <w:szCs w:val="24"/>
        </w:rPr>
        <w:t>.</w:t>
      </w:r>
      <w:r w:rsidRPr="0002358A">
        <w:rPr>
          <w:rFonts w:ascii="Times New Roman" w:hAnsi="Times New Roman"/>
          <w:b/>
          <w:color w:val="auto"/>
          <w:sz w:val="24"/>
          <w:szCs w:val="24"/>
        </w:rPr>
        <w:t xml:space="preserve">1. </w:t>
      </w:r>
      <w:r w:rsidR="008211EF">
        <w:rPr>
          <w:rFonts w:ascii="Times New Roman" w:hAnsi="Times New Roman"/>
          <w:b/>
          <w:color w:val="auto"/>
          <w:sz w:val="24"/>
          <w:szCs w:val="24"/>
        </w:rPr>
        <w:t xml:space="preserve">SIF </w:t>
      </w:r>
      <w:r w:rsidRPr="0002358A">
        <w:rPr>
          <w:rFonts w:ascii="Times New Roman" w:hAnsi="Times New Roman"/>
          <w:b/>
          <w:color w:val="auto"/>
          <w:sz w:val="24"/>
          <w:szCs w:val="24"/>
        </w:rPr>
        <w:t>PFS Program Logic Model</w:t>
      </w:r>
    </w:p>
    <w:p w14:paraId="084E50CA" w14:textId="695D7317" w:rsidR="0002358A" w:rsidRPr="0002358A" w:rsidRDefault="00EE19AD" w:rsidP="00AD0678">
      <w:pPr>
        <w:spacing w:after="240"/>
        <w:rPr>
          <w:b/>
        </w:rPr>
      </w:pPr>
      <w:r>
        <w:rPr>
          <w:b/>
          <w:noProof/>
        </w:rPr>
        <w:drawing>
          <wp:inline distT="0" distB="0" distL="0" distR="0" wp14:anchorId="7DFDDF03" wp14:editId="6EC9898A">
            <wp:extent cx="5943600" cy="448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480560"/>
                    </a:xfrm>
                    <a:prstGeom prst="rect">
                      <a:avLst/>
                    </a:prstGeom>
                    <a:noFill/>
                  </pic:spPr>
                </pic:pic>
              </a:graphicData>
            </a:graphic>
          </wp:inline>
        </w:drawing>
      </w:r>
    </w:p>
    <w:p w14:paraId="6C5ADC43" w14:textId="77777777" w:rsidR="00F841FD" w:rsidRDefault="00F841FD" w:rsidP="001C27EC">
      <w:pPr>
        <w:pStyle w:val="Heading2"/>
        <w:rPr>
          <w:rFonts w:cs="Times New Roman"/>
        </w:rPr>
      </w:pPr>
      <w:bookmarkStart w:id="2" w:name="_Toc436979504"/>
    </w:p>
    <w:p w14:paraId="35E2C080" w14:textId="77777777" w:rsidR="005D7F10" w:rsidRDefault="00AB0B4C" w:rsidP="001C27EC">
      <w:pPr>
        <w:pStyle w:val="Heading2"/>
        <w:rPr>
          <w:rFonts w:cs="Times New Roman"/>
          <w:b w:val="0"/>
        </w:rPr>
      </w:pPr>
      <w:r w:rsidRPr="00BE4D03">
        <w:rPr>
          <w:rFonts w:cs="Times New Roman"/>
        </w:rPr>
        <w:t>A2. Purposes and Uses of the Collected Information</w:t>
      </w:r>
      <w:bookmarkEnd w:id="2"/>
      <w:r w:rsidR="00CE6CBF" w:rsidRPr="00BE4D03">
        <w:rPr>
          <w:rFonts w:cs="Times New Roman"/>
        </w:rPr>
        <w:br/>
      </w:r>
    </w:p>
    <w:p w14:paraId="653C8E81" w14:textId="482BC3F3" w:rsidR="00444722" w:rsidRDefault="005D7F10" w:rsidP="005D7F10">
      <w:r w:rsidRPr="00A46754">
        <w:rPr>
          <w:rFonts w:eastAsiaTheme="minorHAnsi"/>
          <w:bCs/>
        </w:rPr>
        <w:t xml:space="preserve">The </w:t>
      </w:r>
      <w:r w:rsidR="00444722">
        <w:rPr>
          <w:rFonts w:eastAsiaTheme="minorHAnsi"/>
          <w:bCs/>
        </w:rPr>
        <w:t>SIF PFS Process E</w:t>
      </w:r>
      <w:r>
        <w:rPr>
          <w:rFonts w:eastAsiaTheme="minorHAnsi"/>
          <w:bCs/>
        </w:rPr>
        <w:t>valuation</w:t>
      </w:r>
      <w:r w:rsidRPr="00A46754">
        <w:rPr>
          <w:rFonts w:eastAsiaTheme="minorHAnsi"/>
          <w:bCs/>
        </w:rPr>
        <w:t xml:space="preserve"> </w:t>
      </w:r>
      <w:r w:rsidR="00C4100F">
        <w:rPr>
          <w:rFonts w:eastAsiaTheme="minorHAnsi"/>
          <w:bCs/>
        </w:rPr>
        <w:t>is designed to</w:t>
      </w:r>
      <w:r w:rsidR="00C4100F" w:rsidRPr="00A46754">
        <w:rPr>
          <w:rFonts w:eastAsiaTheme="minorHAnsi"/>
          <w:bCs/>
        </w:rPr>
        <w:t xml:space="preserve"> </w:t>
      </w:r>
      <w:r w:rsidRPr="00A46754">
        <w:rPr>
          <w:rFonts w:eastAsiaTheme="minorHAnsi"/>
          <w:bCs/>
        </w:rPr>
        <w:t xml:space="preserve">increase the evidence and knowledge base associated with </w:t>
      </w:r>
      <w:r>
        <w:rPr>
          <w:rFonts w:eastAsiaTheme="minorHAnsi"/>
          <w:bCs/>
        </w:rPr>
        <w:t xml:space="preserve">the </w:t>
      </w:r>
      <w:r w:rsidR="00726162">
        <w:rPr>
          <w:rFonts w:eastAsiaTheme="minorHAnsi"/>
          <w:bCs/>
        </w:rPr>
        <w:t xml:space="preserve">SIF </w:t>
      </w:r>
      <w:r>
        <w:rPr>
          <w:rFonts w:eastAsiaTheme="minorHAnsi"/>
          <w:bCs/>
        </w:rPr>
        <w:t xml:space="preserve">PFS </w:t>
      </w:r>
      <w:r w:rsidR="006F3EFB">
        <w:rPr>
          <w:rFonts w:eastAsiaTheme="minorHAnsi"/>
          <w:bCs/>
        </w:rPr>
        <w:t>p</w:t>
      </w:r>
      <w:r>
        <w:rPr>
          <w:rFonts w:eastAsiaTheme="minorHAnsi"/>
          <w:bCs/>
        </w:rPr>
        <w:t>rogram</w:t>
      </w:r>
      <w:r w:rsidRPr="00A46754">
        <w:rPr>
          <w:rFonts w:eastAsiaTheme="minorHAnsi"/>
          <w:bCs/>
        </w:rPr>
        <w:t xml:space="preserve">. </w:t>
      </w:r>
      <w:r w:rsidR="008211EF">
        <w:rPr>
          <w:rFonts w:eastAsiaTheme="minorHAnsi"/>
          <w:bCs/>
        </w:rPr>
        <w:t xml:space="preserve"> </w:t>
      </w:r>
      <w:r w:rsidRPr="00A46754">
        <w:rPr>
          <w:rFonts w:eastAsiaTheme="minorHAnsi"/>
          <w:bCs/>
        </w:rPr>
        <w:t xml:space="preserve">Results of the evaluation will be used by staff at CNCS to strengthen </w:t>
      </w:r>
      <w:r>
        <w:rPr>
          <w:rFonts w:eastAsiaTheme="minorHAnsi"/>
          <w:bCs/>
        </w:rPr>
        <w:t xml:space="preserve">PFS </w:t>
      </w:r>
      <w:r w:rsidRPr="00A46754">
        <w:rPr>
          <w:rFonts w:eastAsiaTheme="minorHAnsi"/>
          <w:bCs/>
        </w:rPr>
        <w:t xml:space="preserve">programming and document the effects of </w:t>
      </w:r>
      <w:r>
        <w:rPr>
          <w:rFonts w:eastAsiaTheme="minorHAnsi"/>
          <w:bCs/>
        </w:rPr>
        <w:t>the</w:t>
      </w:r>
      <w:r w:rsidR="00726162">
        <w:rPr>
          <w:rFonts w:eastAsiaTheme="minorHAnsi"/>
          <w:bCs/>
        </w:rPr>
        <w:t xml:space="preserve"> SIF</w:t>
      </w:r>
      <w:r>
        <w:rPr>
          <w:rFonts w:eastAsiaTheme="minorHAnsi"/>
          <w:bCs/>
        </w:rPr>
        <w:t xml:space="preserve"> PFS </w:t>
      </w:r>
      <w:r w:rsidR="006F3EFB">
        <w:rPr>
          <w:rFonts w:eastAsiaTheme="minorHAnsi"/>
          <w:bCs/>
        </w:rPr>
        <w:t>p</w:t>
      </w:r>
      <w:r>
        <w:rPr>
          <w:rFonts w:eastAsiaTheme="minorHAnsi"/>
          <w:bCs/>
        </w:rPr>
        <w:t xml:space="preserve">rogram on the </w:t>
      </w:r>
      <w:r w:rsidR="00173CE4">
        <w:rPr>
          <w:rFonts w:eastAsiaTheme="minorHAnsi"/>
          <w:bCs/>
        </w:rPr>
        <w:t xml:space="preserve">development </w:t>
      </w:r>
      <w:r>
        <w:rPr>
          <w:rFonts w:eastAsiaTheme="minorHAnsi"/>
          <w:bCs/>
        </w:rPr>
        <w:t>of PFS projects across the country</w:t>
      </w:r>
      <w:r w:rsidRPr="00A46754">
        <w:rPr>
          <w:rFonts w:eastAsiaTheme="minorHAnsi"/>
          <w:bCs/>
        </w:rPr>
        <w:t xml:space="preserve">. </w:t>
      </w:r>
      <w:r w:rsidRPr="00A46754">
        <w:rPr>
          <w:bCs/>
        </w:rPr>
        <w:t xml:space="preserve">The </w:t>
      </w:r>
      <w:r w:rsidR="008211EF">
        <w:rPr>
          <w:bCs/>
        </w:rPr>
        <w:t>evaluation</w:t>
      </w:r>
      <w:r w:rsidRPr="00A46754">
        <w:rPr>
          <w:bCs/>
        </w:rPr>
        <w:t xml:space="preserve"> will</w:t>
      </w:r>
      <w:r>
        <w:rPr>
          <w:bCs/>
        </w:rPr>
        <w:t xml:space="preserve"> </w:t>
      </w:r>
      <w:r w:rsidRPr="00A46754">
        <w:rPr>
          <w:bCs/>
        </w:rPr>
        <w:t xml:space="preserve">inform policy and funding decisions at </w:t>
      </w:r>
      <w:r>
        <w:rPr>
          <w:bCs/>
        </w:rPr>
        <w:t>CNCS and will also generate actionable information on best practices that will reduce learning curves for</w:t>
      </w:r>
      <w:r w:rsidR="008E4831">
        <w:rPr>
          <w:bCs/>
        </w:rPr>
        <w:t xml:space="preserve"> current and future</w:t>
      </w:r>
      <w:r>
        <w:rPr>
          <w:bCs/>
        </w:rPr>
        <w:t xml:space="preserve"> PFS stakeholders </w:t>
      </w:r>
      <w:r>
        <w:t xml:space="preserve">(grantees, </w:t>
      </w:r>
      <w:proofErr w:type="spellStart"/>
      <w:r>
        <w:t>subrecipients</w:t>
      </w:r>
      <w:proofErr w:type="spellEnd"/>
      <w:r>
        <w:t xml:space="preserve">, </w:t>
      </w:r>
      <w:r w:rsidR="00F841FD">
        <w:t>s</w:t>
      </w:r>
      <w:r w:rsidR="003B6D11">
        <w:t xml:space="preserve">ervice </w:t>
      </w:r>
      <w:r w:rsidR="00F841FD">
        <w:t>r</w:t>
      </w:r>
      <w:r w:rsidR="003B6D11">
        <w:t>ecipient</w:t>
      </w:r>
      <w:r>
        <w:t xml:space="preserve">s, funders, and evaluators).  </w:t>
      </w:r>
    </w:p>
    <w:p w14:paraId="03B2CCF8" w14:textId="1205E7D1" w:rsidR="00444722" w:rsidRPr="004D45DA" w:rsidRDefault="00E5339E" w:rsidP="00DA3270">
      <w:pPr>
        <w:autoSpaceDE w:val="0"/>
        <w:autoSpaceDN w:val="0"/>
        <w:adjustRightInd w:val="0"/>
        <w:spacing w:after="0"/>
        <w:rPr>
          <w:bCs/>
        </w:rPr>
      </w:pPr>
      <w:r w:rsidRPr="004D45DA">
        <w:rPr>
          <w:bCs/>
        </w:rPr>
        <w:t>Although</w:t>
      </w:r>
      <w:r w:rsidR="008211EF">
        <w:rPr>
          <w:bCs/>
        </w:rPr>
        <w:t xml:space="preserve"> the</w:t>
      </w:r>
      <w:r w:rsidRPr="004D45DA">
        <w:rPr>
          <w:bCs/>
        </w:rPr>
        <w:t xml:space="preserve"> </w:t>
      </w:r>
      <w:r w:rsidR="008211EF">
        <w:rPr>
          <w:bCs/>
        </w:rPr>
        <w:t xml:space="preserve">evaluation </w:t>
      </w:r>
      <w:r w:rsidRPr="004D45DA">
        <w:rPr>
          <w:bCs/>
        </w:rPr>
        <w:t xml:space="preserve">is designed to provide </w:t>
      </w:r>
      <w:r w:rsidR="00DA3270" w:rsidRPr="004D45DA">
        <w:rPr>
          <w:bCs/>
        </w:rPr>
        <w:t xml:space="preserve">information about the activities and progress </w:t>
      </w:r>
      <w:r w:rsidR="00D26057" w:rsidRPr="004D45DA">
        <w:rPr>
          <w:bCs/>
        </w:rPr>
        <w:t xml:space="preserve">of grantee and </w:t>
      </w:r>
      <w:proofErr w:type="spellStart"/>
      <w:r w:rsidR="00D26057" w:rsidRPr="004D45DA">
        <w:rPr>
          <w:bCs/>
        </w:rPr>
        <w:t>subrecipients</w:t>
      </w:r>
      <w:proofErr w:type="spellEnd"/>
      <w:r w:rsidR="00D26057" w:rsidRPr="004D45DA">
        <w:rPr>
          <w:bCs/>
        </w:rPr>
        <w:t>/</w:t>
      </w:r>
      <w:r w:rsidR="00F841FD">
        <w:rPr>
          <w:bCs/>
        </w:rPr>
        <w:t>s</w:t>
      </w:r>
      <w:r w:rsidR="003B6D11">
        <w:rPr>
          <w:bCs/>
        </w:rPr>
        <w:t xml:space="preserve">ervice </w:t>
      </w:r>
      <w:r w:rsidR="00F841FD">
        <w:rPr>
          <w:bCs/>
        </w:rPr>
        <w:t>r</w:t>
      </w:r>
      <w:r w:rsidR="003B6D11">
        <w:rPr>
          <w:bCs/>
        </w:rPr>
        <w:t>ecipient</w:t>
      </w:r>
      <w:r w:rsidR="00D26057" w:rsidRPr="004D45DA">
        <w:rPr>
          <w:bCs/>
        </w:rPr>
        <w:t>s</w:t>
      </w:r>
      <w:r w:rsidR="00DA3270" w:rsidRPr="004D45DA">
        <w:rPr>
          <w:bCs/>
        </w:rPr>
        <w:t xml:space="preserve"> involved in the</w:t>
      </w:r>
      <w:r w:rsidR="00726162">
        <w:rPr>
          <w:bCs/>
        </w:rPr>
        <w:t xml:space="preserve"> SIF</w:t>
      </w:r>
      <w:r w:rsidRPr="004D45DA">
        <w:rPr>
          <w:bCs/>
        </w:rPr>
        <w:t xml:space="preserve"> PFS </w:t>
      </w:r>
      <w:r w:rsidR="006F3EFB">
        <w:rPr>
          <w:bCs/>
        </w:rPr>
        <w:t>p</w:t>
      </w:r>
      <w:r w:rsidRPr="004D45DA">
        <w:rPr>
          <w:bCs/>
        </w:rPr>
        <w:t>rogram</w:t>
      </w:r>
      <w:r w:rsidR="00DA3270" w:rsidRPr="004D45DA">
        <w:rPr>
          <w:bCs/>
        </w:rPr>
        <w:t>,</w:t>
      </w:r>
      <w:r w:rsidRPr="004D45DA">
        <w:rPr>
          <w:bCs/>
        </w:rPr>
        <w:t xml:space="preserve"> re</w:t>
      </w:r>
      <w:r w:rsidR="00DA3270" w:rsidRPr="004D45DA">
        <w:rPr>
          <w:bCs/>
        </w:rPr>
        <w:t>sults from the</w:t>
      </w:r>
      <w:r w:rsidR="008A3B18">
        <w:rPr>
          <w:bCs/>
        </w:rPr>
        <w:t xml:space="preserve"> evaluation</w:t>
      </w:r>
      <w:r w:rsidR="00DA3270" w:rsidRPr="004D45DA">
        <w:rPr>
          <w:bCs/>
        </w:rPr>
        <w:t xml:space="preserve"> a</w:t>
      </w:r>
      <w:r w:rsidRPr="004D45DA">
        <w:rPr>
          <w:bCs/>
        </w:rPr>
        <w:t>re expected to be of interest and use to other agencies and organizations that</w:t>
      </w:r>
      <w:r w:rsidR="00DA3270" w:rsidRPr="004D45DA">
        <w:rPr>
          <w:bCs/>
        </w:rPr>
        <w:t xml:space="preserve"> are interest</w:t>
      </w:r>
      <w:r w:rsidR="00E85CFC" w:rsidRPr="004D45DA">
        <w:rPr>
          <w:bCs/>
        </w:rPr>
        <w:t>ed in</w:t>
      </w:r>
      <w:r w:rsidR="008E4831">
        <w:rPr>
          <w:bCs/>
        </w:rPr>
        <w:t>,</w:t>
      </w:r>
      <w:r w:rsidR="00E85CFC" w:rsidRPr="004D45DA">
        <w:rPr>
          <w:bCs/>
        </w:rPr>
        <w:t xml:space="preserve"> or actively engaged</w:t>
      </w:r>
      <w:r w:rsidR="00DA3270" w:rsidRPr="004D45DA">
        <w:rPr>
          <w:bCs/>
        </w:rPr>
        <w:t xml:space="preserve"> in PFS</w:t>
      </w:r>
      <w:r w:rsidR="00173CE4">
        <w:rPr>
          <w:bCs/>
        </w:rPr>
        <w:t>-related</w:t>
      </w:r>
      <w:r w:rsidR="00DA3270" w:rsidRPr="004D45DA">
        <w:rPr>
          <w:bCs/>
        </w:rPr>
        <w:t xml:space="preserve"> activities.</w:t>
      </w:r>
    </w:p>
    <w:p w14:paraId="6343F545" w14:textId="77777777" w:rsidR="00CD7A37" w:rsidRDefault="00CD7A37" w:rsidP="00CF1123">
      <w:pPr>
        <w:rPr>
          <w:bCs/>
        </w:rPr>
      </w:pPr>
    </w:p>
    <w:p w14:paraId="079AF161" w14:textId="77777777" w:rsidR="00970580" w:rsidRPr="004D45DA" w:rsidRDefault="00970580" w:rsidP="00CF1123">
      <w:pPr>
        <w:rPr>
          <w:bCs/>
        </w:rPr>
      </w:pPr>
    </w:p>
    <w:p w14:paraId="2C84BFE2" w14:textId="6764FC65" w:rsidR="00487CE5" w:rsidRPr="00BE4D03" w:rsidRDefault="00487CE5" w:rsidP="00CF1123">
      <w:pPr>
        <w:rPr>
          <w:b/>
        </w:rPr>
      </w:pPr>
      <w:r w:rsidRPr="00BE4D03">
        <w:rPr>
          <w:b/>
        </w:rPr>
        <w:lastRenderedPageBreak/>
        <w:t xml:space="preserve">A.2.1. Research Questions </w:t>
      </w:r>
    </w:p>
    <w:p w14:paraId="1CD62EFA" w14:textId="5E2ACF68" w:rsidR="00AB0B4C" w:rsidRPr="00BE4D03" w:rsidRDefault="00CF1123" w:rsidP="00CF1123">
      <w:r w:rsidRPr="00BE4D03">
        <w:t>T</w:t>
      </w:r>
      <w:r w:rsidR="00AB0B4C" w:rsidRPr="00BE4D03">
        <w:t>he SIF</w:t>
      </w:r>
      <w:r w:rsidRPr="00BE4D03">
        <w:t xml:space="preserve"> PFS</w:t>
      </w:r>
      <w:r w:rsidR="00487F9A">
        <w:t xml:space="preserve"> Program</w:t>
      </w:r>
      <w:r w:rsidR="00AB0B4C" w:rsidRPr="00BE4D03">
        <w:t xml:space="preserve"> </w:t>
      </w:r>
      <w:r w:rsidR="00A85B07">
        <w:t>Process E</w:t>
      </w:r>
      <w:r w:rsidRPr="00BE4D03">
        <w:t>valuation is designed to address four</w:t>
      </w:r>
      <w:r w:rsidR="00AB0B4C" w:rsidRPr="00BE4D03">
        <w:t xml:space="preserve"> key</w:t>
      </w:r>
      <w:r w:rsidRPr="00BE4D03">
        <w:t xml:space="preserve"> </w:t>
      </w:r>
      <w:r w:rsidR="00577576" w:rsidRPr="00BE4D03">
        <w:t xml:space="preserve">evaluation </w:t>
      </w:r>
      <w:r w:rsidR="00AB0B4C" w:rsidRPr="00BE4D03">
        <w:t>questions:</w:t>
      </w:r>
    </w:p>
    <w:p w14:paraId="6AA5F2B1" w14:textId="2B63B953" w:rsidR="00756D9E" w:rsidRPr="00487F9A" w:rsidRDefault="00756D9E" w:rsidP="00756D9E">
      <w:pPr>
        <w:pStyle w:val="Bullets"/>
        <w:numPr>
          <w:ilvl w:val="0"/>
          <w:numId w:val="37"/>
        </w:numPr>
        <w:tabs>
          <w:tab w:val="left" w:pos="720"/>
        </w:tabs>
        <w:rPr>
          <w:rFonts w:ascii="Times New Roman" w:hAnsi="Times New Roman"/>
          <w:sz w:val="24"/>
          <w:szCs w:val="24"/>
        </w:rPr>
      </w:pPr>
      <w:r w:rsidRPr="00487F9A">
        <w:rPr>
          <w:rFonts w:ascii="Times New Roman" w:hAnsi="Times New Roman"/>
          <w:sz w:val="24"/>
          <w:szCs w:val="24"/>
        </w:rPr>
        <w:t xml:space="preserve">How effective have the </w:t>
      </w:r>
      <w:r w:rsidR="00487F9A" w:rsidRPr="00487F9A">
        <w:rPr>
          <w:rFonts w:ascii="Times New Roman" w:hAnsi="Times New Roman"/>
          <w:sz w:val="24"/>
          <w:szCs w:val="24"/>
        </w:rPr>
        <w:t xml:space="preserve">SIF PFS </w:t>
      </w:r>
      <w:r w:rsidR="006F3EFB">
        <w:rPr>
          <w:rFonts w:ascii="Times New Roman" w:hAnsi="Times New Roman"/>
          <w:sz w:val="24"/>
          <w:szCs w:val="24"/>
        </w:rPr>
        <w:t>p</w:t>
      </w:r>
      <w:r w:rsidR="00487F9A" w:rsidRPr="00487F9A">
        <w:rPr>
          <w:rFonts w:ascii="Times New Roman" w:hAnsi="Times New Roman"/>
          <w:sz w:val="24"/>
          <w:szCs w:val="24"/>
        </w:rPr>
        <w:t xml:space="preserve">rogram </w:t>
      </w:r>
      <w:r w:rsidRPr="00487F9A">
        <w:rPr>
          <w:rFonts w:ascii="Times New Roman" w:hAnsi="Times New Roman"/>
          <w:sz w:val="24"/>
          <w:szCs w:val="24"/>
        </w:rPr>
        <w:t>grantees been to date in completing the activities and deliverables outlined in their proposals?</w:t>
      </w:r>
    </w:p>
    <w:p w14:paraId="7B5C5646" w14:textId="2BC97840" w:rsidR="00756D9E" w:rsidRPr="00BE4D03" w:rsidRDefault="00756D9E" w:rsidP="00756D9E">
      <w:pPr>
        <w:pStyle w:val="Bullets"/>
        <w:numPr>
          <w:ilvl w:val="0"/>
          <w:numId w:val="37"/>
        </w:numPr>
        <w:tabs>
          <w:tab w:val="left" w:pos="720"/>
        </w:tabs>
        <w:rPr>
          <w:rFonts w:ascii="Times New Roman" w:hAnsi="Times New Roman"/>
          <w:sz w:val="24"/>
          <w:szCs w:val="24"/>
        </w:rPr>
      </w:pPr>
      <w:r w:rsidRPr="00BE4D03">
        <w:rPr>
          <w:rFonts w:ascii="Times New Roman" w:hAnsi="Times New Roman"/>
          <w:sz w:val="24"/>
          <w:szCs w:val="24"/>
        </w:rPr>
        <w:t xml:space="preserve">What have been effects of the </w:t>
      </w:r>
      <w:r w:rsidR="00487F9A">
        <w:rPr>
          <w:rFonts w:ascii="Times New Roman" w:hAnsi="Times New Roman"/>
          <w:sz w:val="24"/>
          <w:szCs w:val="24"/>
        </w:rPr>
        <w:t xml:space="preserve">SIF PFS </w:t>
      </w:r>
      <w:r w:rsidR="006F3EFB">
        <w:rPr>
          <w:rFonts w:ascii="Times New Roman" w:hAnsi="Times New Roman"/>
          <w:sz w:val="24"/>
          <w:szCs w:val="24"/>
        </w:rPr>
        <w:t>p</w:t>
      </w:r>
      <w:r w:rsidRPr="00BE4D03">
        <w:rPr>
          <w:rFonts w:ascii="Times New Roman" w:hAnsi="Times New Roman"/>
          <w:sz w:val="24"/>
          <w:szCs w:val="24"/>
        </w:rPr>
        <w:t>rogram to date on the pipeline of PFS projects, the capacity of organizations to implement PFS projects, access to capital to fund PFS projects, and the catalyzing of PFS projects that may be sustained in the future?</w:t>
      </w:r>
    </w:p>
    <w:p w14:paraId="2066C3CD" w14:textId="06D8F464" w:rsidR="00756D9E" w:rsidRPr="00BE4D03" w:rsidRDefault="00756D9E" w:rsidP="00756D9E">
      <w:pPr>
        <w:pStyle w:val="Bullets"/>
        <w:numPr>
          <w:ilvl w:val="0"/>
          <w:numId w:val="37"/>
        </w:numPr>
        <w:tabs>
          <w:tab w:val="left" w:pos="720"/>
        </w:tabs>
        <w:rPr>
          <w:rFonts w:ascii="Times New Roman" w:hAnsi="Times New Roman"/>
          <w:sz w:val="24"/>
          <w:szCs w:val="24"/>
        </w:rPr>
      </w:pPr>
      <w:r w:rsidRPr="00BE4D03">
        <w:rPr>
          <w:rFonts w:ascii="Times New Roman" w:hAnsi="Times New Roman"/>
          <w:sz w:val="24"/>
          <w:szCs w:val="24"/>
        </w:rPr>
        <w:t xml:space="preserve">What have been the key lessons learned to date in terms of (1) strengths and weaknesses of the </w:t>
      </w:r>
      <w:r w:rsidR="00487F9A">
        <w:rPr>
          <w:rFonts w:ascii="Times New Roman" w:hAnsi="Times New Roman"/>
          <w:sz w:val="24"/>
          <w:szCs w:val="24"/>
        </w:rPr>
        <w:t xml:space="preserve">SIF PFS </w:t>
      </w:r>
      <w:r w:rsidR="006F3EFB">
        <w:rPr>
          <w:rFonts w:ascii="Times New Roman" w:hAnsi="Times New Roman"/>
          <w:sz w:val="24"/>
          <w:szCs w:val="24"/>
        </w:rPr>
        <w:t>p</w:t>
      </w:r>
      <w:r w:rsidRPr="00BE4D03">
        <w:rPr>
          <w:rFonts w:ascii="Times New Roman" w:hAnsi="Times New Roman"/>
          <w:sz w:val="24"/>
          <w:szCs w:val="24"/>
        </w:rPr>
        <w:t xml:space="preserve">rogram and potential areas of improvement, (2) the role of SIF in advancing PFS by complementing state, local, philanthropic, and private PFS activity and its potential role in the future, (3) other social finance options available, and (4) ancillary benefits of PFS that accrue to </w:t>
      </w:r>
      <w:proofErr w:type="spellStart"/>
      <w:r w:rsidRPr="00BE4D03">
        <w:rPr>
          <w:rFonts w:ascii="Times New Roman" w:hAnsi="Times New Roman"/>
          <w:sz w:val="24"/>
          <w:szCs w:val="24"/>
        </w:rPr>
        <w:t>subrecipients</w:t>
      </w:r>
      <w:proofErr w:type="spellEnd"/>
      <w:r w:rsidRPr="00BE4D03">
        <w:rPr>
          <w:rFonts w:ascii="Times New Roman" w:hAnsi="Times New Roman"/>
          <w:sz w:val="24"/>
          <w:szCs w:val="24"/>
        </w:rPr>
        <w:t>?</w:t>
      </w:r>
    </w:p>
    <w:p w14:paraId="2172596E" w14:textId="77777777" w:rsidR="00756D9E" w:rsidRPr="00BE4D03" w:rsidRDefault="00756D9E" w:rsidP="00756D9E">
      <w:pPr>
        <w:pStyle w:val="Bullets"/>
        <w:numPr>
          <w:ilvl w:val="0"/>
          <w:numId w:val="37"/>
        </w:numPr>
        <w:tabs>
          <w:tab w:val="left" w:pos="720"/>
        </w:tabs>
        <w:rPr>
          <w:rFonts w:ascii="Times New Roman" w:hAnsi="Times New Roman"/>
          <w:sz w:val="24"/>
          <w:szCs w:val="24"/>
        </w:rPr>
      </w:pPr>
      <w:r w:rsidRPr="00BE4D03">
        <w:rPr>
          <w:rFonts w:ascii="Times New Roman" w:hAnsi="Times New Roman"/>
          <w:sz w:val="24"/>
          <w:szCs w:val="24"/>
        </w:rPr>
        <w:t>What is the current status of the PFS model(s) within the larger discussion of public policy and service provision and what is the outlook for the future based on experiences and lessons learned to date?</w:t>
      </w:r>
    </w:p>
    <w:p w14:paraId="66FC3039" w14:textId="77777777" w:rsidR="00CD5F09" w:rsidRDefault="00CD5F09" w:rsidP="00CD5F09">
      <w:pPr>
        <w:rPr>
          <w:b/>
        </w:rPr>
      </w:pPr>
    </w:p>
    <w:p w14:paraId="73D2E268" w14:textId="54813768" w:rsidR="00CD5F09" w:rsidRPr="00BE4D03" w:rsidRDefault="00CD5F09" w:rsidP="00CD5F09">
      <w:pPr>
        <w:rPr>
          <w:b/>
        </w:rPr>
      </w:pPr>
      <w:r>
        <w:rPr>
          <w:b/>
        </w:rPr>
        <w:t>A.2.2</w:t>
      </w:r>
      <w:r w:rsidRPr="00BE4D03">
        <w:rPr>
          <w:b/>
        </w:rPr>
        <w:t xml:space="preserve">. </w:t>
      </w:r>
      <w:r>
        <w:rPr>
          <w:b/>
        </w:rPr>
        <w:t>Data Collection Plans</w:t>
      </w:r>
      <w:r w:rsidRPr="00BE4D03">
        <w:rPr>
          <w:b/>
        </w:rPr>
        <w:t xml:space="preserve"> </w:t>
      </w:r>
    </w:p>
    <w:p w14:paraId="25F6E2EF" w14:textId="479388F8" w:rsidR="00D519E6" w:rsidRDefault="007130E0" w:rsidP="00D519E6">
      <w:pPr>
        <w:autoSpaceDE w:val="0"/>
        <w:autoSpaceDN w:val="0"/>
        <w:adjustRightInd w:val="0"/>
        <w:spacing w:after="0"/>
        <w:rPr>
          <w:rFonts w:eastAsiaTheme="minorHAnsi"/>
        </w:rPr>
      </w:pPr>
      <w:r w:rsidRPr="00D519E6">
        <w:t xml:space="preserve">The primary </w:t>
      </w:r>
      <w:r w:rsidR="00444722">
        <w:t xml:space="preserve">approach to </w:t>
      </w:r>
      <w:r w:rsidRPr="00D519E6">
        <w:t xml:space="preserve">data collection </w:t>
      </w:r>
      <w:r w:rsidR="00DC0C14">
        <w:t xml:space="preserve">is </w:t>
      </w:r>
      <w:r w:rsidR="009B6ECC">
        <w:t>a</w:t>
      </w:r>
      <w:r w:rsidRPr="00D519E6">
        <w:t xml:space="preserve"> </w:t>
      </w:r>
      <w:r w:rsidR="00D519E6" w:rsidRPr="00D519E6">
        <w:rPr>
          <w:rFonts w:eastAsiaTheme="minorHAnsi"/>
        </w:rPr>
        <w:t>self-</w:t>
      </w:r>
      <w:r w:rsidR="00D519E6" w:rsidRPr="00DA3270">
        <w:rPr>
          <w:rFonts w:eastAsiaTheme="minorHAnsi"/>
        </w:rPr>
        <w:t xml:space="preserve">administered </w:t>
      </w:r>
      <w:r w:rsidR="006C6CCB">
        <w:rPr>
          <w:rFonts w:eastAsiaTheme="minorHAnsi"/>
          <w:bCs/>
        </w:rPr>
        <w:t>survey</w:t>
      </w:r>
      <w:r w:rsidR="00D519E6" w:rsidRPr="00DA3270">
        <w:rPr>
          <w:rFonts w:eastAsiaTheme="minorHAnsi"/>
          <w:bCs/>
        </w:rPr>
        <w:t xml:space="preserve"> </w:t>
      </w:r>
      <w:r w:rsidR="00D519E6" w:rsidRPr="00DA3270">
        <w:rPr>
          <w:rFonts w:eastAsiaTheme="minorHAnsi"/>
        </w:rPr>
        <w:t xml:space="preserve">of all </w:t>
      </w:r>
      <w:r w:rsidR="00D519E6" w:rsidRPr="00D519E6">
        <w:rPr>
          <w:rFonts w:eastAsiaTheme="minorHAnsi"/>
        </w:rPr>
        <w:t xml:space="preserve">2014, 2016, and 2017 grantees and their </w:t>
      </w:r>
      <w:proofErr w:type="spellStart"/>
      <w:r w:rsidR="00D519E6" w:rsidRPr="00D519E6">
        <w:rPr>
          <w:rFonts w:eastAsiaTheme="minorHAnsi"/>
        </w:rPr>
        <w:t>subrecipients</w:t>
      </w:r>
      <w:proofErr w:type="spellEnd"/>
      <w:r w:rsidR="00D519E6" w:rsidRPr="00D519E6">
        <w:rPr>
          <w:rFonts w:eastAsiaTheme="minorHAnsi"/>
        </w:rPr>
        <w:t>/</w:t>
      </w:r>
      <w:r w:rsidR="006F3EFB">
        <w:rPr>
          <w:rFonts w:eastAsiaTheme="minorHAnsi"/>
        </w:rPr>
        <w:t>service r</w:t>
      </w:r>
      <w:r w:rsidR="003B6D11">
        <w:rPr>
          <w:rFonts w:eastAsiaTheme="minorHAnsi"/>
        </w:rPr>
        <w:t>ecipient</w:t>
      </w:r>
      <w:r w:rsidR="00D519E6" w:rsidRPr="00D519E6">
        <w:rPr>
          <w:rFonts w:eastAsiaTheme="minorHAnsi"/>
        </w:rPr>
        <w:t>s.  The survey</w:t>
      </w:r>
      <w:r w:rsidR="008A3B18">
        <w:rPr>
          <w:rFonts w:eastAsiaTheme="minorHAnsi"/>
        </w:rPr>
        <w:t>s</w:t>
      </w:r>
      <w:r w:rsidR="00D519E6" w:rsidRPr="00D519E6">
        <w:rPr>
          <w:rFonts w:eastAsiaTheme="minorHAnsi"/>
        </w:rPr>
        <w:t xml:space="preserve"> will be </w:t>
      </w:r>
      <w:r w:rsidR="009B6ECC">
        <w:rPr>
          <w:rFonts w:eastAsiaTheme="minorHAnsi"/>
        </w:rPr>
        <w:t xml:space="preserve">designed </w:t>
      </w:r>
      <w:r w:rsidR="00D519E6" w:rsidRPr="00D519E6">
        <w:rPr>
          <w:rFonts w:eastAsiaTheme="minorHAnsi"/>
        </w:rPr>
        <w:t>using</w:t>
      </w:r>
      <w:r w:rsidR="008A3B18">
        <w:rPr>
          <w:rFonts w:eastAsiaTheme="minorHAnsi"/>
        </w:rPr>
        <w:t xml:space="preserve"> </w:t>
      </w:r>
      <w:proofErr w:type="spellStart"/>
      <w:r w:rsidR="00D519E6" w:rsidRPr="00D519E6">
        <w:rPr>
          <w:rFonts w:eastAsiaTheme="minorHAnsi"/>
        </w:rPr>
        <w:t>FluidSurveys</w:t>
      </w:r>
      <w:proofErr w:type="spellEnd"/>
      <w:r w:rsidR="00D519E6" w:rsidRPr="00D519E6">
        <w:rPr>
          <w:rFonts w:eastAsiaTheme="minorHAnsi"/>
        </w:rPr>
        <w:t xml:space="preserve">, a Section 508 compliant online survey development and deployment tool.  Since </w:t>
      </w:r>
      <w:proofErr w:type="spellStart"/>
      <w:r w:rsidR="00D519E6" w:rsidRPr="00D519E6">
        <w:rPr>
          <w:rFonts w:eastAsiaTheme="minorHAnsi"/>
        </w:rPr>
        <w:t>FluidSurvey</w:t>
      </w:r>
      <w:r w:rsidR="00C4100F">
        <w:rPr>
          <w:rFonts w:eastAsiaTheme="minorHAnsi"/>
        </w:rPr>
        <w:t>s</w:t>
      </w:r>
      <w:proofErr w:type="spellEnd"/>
      <w:r w:rsidR="00D519E6" w:rsidRPr="00D519E6">
        <w:rPr>
          <w:rFonts w:eastAsiaTheme="minorHAnsi"/>
        </w:rPr>
        <w:t xml:space="preserve"> is</w:t>
      </w:r>
      <w:r w:rsidR="00D519E6">
        <w:rPr>
          <w:rFonts w:eastAsiaTheme="minorHAnsi"/>
        </w:rPr>
        <w:t xml:space="preserve"> </w:t>
      </w:r>
      <w:r w:rsidR="00D519E6" w:rsidRPr="00D519E6">
        <w:rPr>
          <w:rFonts w:eastAsiaTheme="minorHAnsi"/>
        </w:rPr>
        <w:t>compatible with mobile web browsers, respondents will be able to complete the survey on a smartphone or tablet if</w:t>
      </w:r>
      <w:r w:rsidR="00D519E6">
        <w:rPr>
          <w:rFonts w:eastAsiaTheme="minorHAnsi"/>
        </w:rPr>
        <w:t xml:space="preserve"> </w:t>
      </w:r>
      <w:r w:rsidR="00D519E6" w:rsidRPr="00D519E6">
        <w:rPr>
          <w:rFonts w:eastAsiaTheme="minorHAnsi"/>
        </w:rPr>
        <w:t>they so choose. The survey</w:t>
      </w:r>
      <w:r w:rsidR="008A3B18">
        <w:rPr>
          <w:rFonts w:eastAsiaTheme="minorHAnsi"/>
        </w:rPr>
        <w:t>s</w:t>
      </w:r>
      <w:r w:rsidR="00D519E6" w:rsidRPr="00D519E6">
        <w:rPr>
          <w:rFonts w:eastAsiaTheme="minorHAnsi"/>
        </w:rPr>
        <w:t xml:space="preserve"> will be kept brief, and will take </w:t>
      </w:r>
      <w:r w:rsidR="00970580">
        <w:rPr>
          <w:rFonts w:eastAsiaTheme="minorHAnsi"/>
        </w:rPr>
        <w:t>approximately</w:t>
      </w:r>
      <w:r w:rsidR="00D519E6" w:rsidRPr="00D519E6">
        <w:rPr>
          <w:rFonts w:eastAsiaTheme="minorHAnsi"/>
        </w:rPr>
        <w:t xml:space="preserve"> 20 minutes per response</w:t>
      </w:r>
      <w:r w:rsidR="009B6ECC">
        <w:rPr>
          <w:rFonts w:eastAsiaTheme="minorHAnsi"/>
        </w:rPr>
        <w:t>.</w:t>
      </w:r>
      <w:r w:rsidR="00D519E6">
        <w:rPr>
          <w:rFonts w:eastAsiaTheme="minorHAnsi"/>
        </w:rPr>
        <w:t xml:space="preserve"> </w:t>
      </w:r>
      <w:r w:rsidR="008A3B18" w:rsidRPr="0007228D">
        <w:t>The</w:t>
      </w:r>
      <w:r w:rsidR="008A3B18">
        <w:t xml:space="preserve"> surveys will be conducted on a longitudinal basis in the spring of 2016, 2017, and 2018 and will include all</w:t>
      </w:r>
      <w:r w:rsidR="008A3B18" w:rsidRPr="005D7F10">
        <w:t xml:space="preserve"> </w:t>
      </w:r>
      <w:r w:rsidR="008A3B18">
        <w:t xml:space="preserve">grantees and </w:t>
      </w:r>
      <w:proofErr w:type="spellStart"/>
      <w:r w:rsidR="008A3B18">
        <w:t>subrecipients</w:t>
      </w:r>
      <w:proofErr w:type="spellEnd"/>
      <w:r w:rsidR="008A3B18">
        <w:t>/</w:t>
      </w:r>
      <w:r w:rsidR="006F3EFB">
        <w:t>s</w:t>
      </w:r>
      <w:r w:rsidR="003B6D11">
        <w:t xml:space="preserve">ervice </w:t>
      </w:r>
      <w:r w:rsidR="006F3EFB">
        <w:t>r</w:t>
      </w:r>
      <w:r w:rsidR="003B6D11">
        <w:t>ecipient</w:t>
      </w:r>
      <w:r w:rsidR="008A3B18">
        <w:t xml:space="preserve">s </w:t>
      </w:r>
      <w:r w:rsidR="009B6ECC">
        <w:t xml:space="preserve">selected </w:t>
      </w:r>
      <w:r w:rsidR="008A3B18">
        <w:t xml:space="preserve">that year.  </w:t>
      </w:r>
      <w:r w:rsidR="00E5339E">
        <w:t>Copies of the surveys are presented in Appendix A.</w:t>
      </w:r>
      <w:r w:rsidR="00ED3D4D">
        <w:t>1</w:t>
      </w:r>
    </w:p>
    <w:p w14:paraId="6509B337" w14:textId="77777777" w:rsidR="00D519E6" w:rsidRDefault="00D519E6" w:rsidP="00D519E6">
      <w:pPr>
        <w:autoSpaceDE w:val="0"/>
        <w:autoSpaceDN w:val="0"/>
        <w:adjustRightInd w:val="0"/>
        <w:spacing w:after="0"/>
        <w:rPr>
          <w:rFonts w:eastAsiaTheme="minorHAnsi"/>
        </w:rPr>
      </w:pPr>
    </w:p>
    <w:p w14:paraId="6B559EE2" w14:textId="1AF56B45" w:rsidR="007130E0" w:rsidRPr="00970580" w:rsidRDefault="00D519E6" w:rsidP="00D519E6">
      <w:pPr>
        <w:autoSpaceDE w:val="0"/>
        <w:autoSpaceDN w:val="0"/>
        <w:adjustRightInd w:val="0"/>
        <w:spacing w:after="0"/>
        <w:rPr>
          <w:rFonts w:eastAsiaTheme="minorHAnsi"/>
        </w:rPr>
      </w:pPr>
      <w:r w:rsidRPr="00FA2C13">
        <w:t>In each round of survey</w:t>
      </w:r>
      <w:r w:rsidR="008A3B18">
        <w:t xml:space="preserve"> administration</w:t>
      </w:r>
      <w:r w:rsidRPr="00FA2C13">
        <w:t xml:space="preserve">, all respondents will be asked a core set of questions </w:t>
      </w:r>
      <w:r w:rsidR="00FA2C13">
        <w:t>focused on general survey</w:t>
      </w:r>
      <w:r w:rsidR="0063395C" w:rsidRPr="00FA2C13">
        <w:t xml:space="preserve"> topic areas such as </w:t>
      </w:r>
      <w:r w:rsidRPr="00FA2C13">
        <w:t>organizational background,</w:t>
      </w:r>
      <w:r w:rsidR="00FA2C13">
        <w:t xml:space="preserve"> PFS</w:t>
      </w:r>
      <w:r w:rsidRPr="00FA2C13">
        <w:t xml:space="preserve"> experience </w:t>
      </w:r>
      <w:r w:rsidR="00FA2C13">
        <w:t xml:space="preserve">and involvement, </w:t>
      </w:r>
      <w:r w:rsidR="00C4100F">
        <w:t xml:space="preserve">and </w:t>
      </w:r>
      <w:r w:rsidR="00FA2C13">
        <w:t>PFS staffing.</w:t>
      </w:r>
      <w:r w:rsidR="00444722" w:rsidRPr="00FA2C13">
        <w:t xml:space="preserve">  In addition </w:t>
      </w:r>
      <w:r w:rsidRPr="00FA2C13">
        <w:t xml:space="preserve">to the core questions, tailored </w:t>
      </w:r>
      <w:r w:rsidR="00FA2C13">
        <w:t xml:space="preserve">topics and </w:t>
      </w:r>
      <w:r w:rsidRPr="00FA2C13">
        <w:t xml:space="preserve">questions will be asked separately of the grantees and </w:t>
      </w:r>
      <w:proofErr w:type="spellStart"/>
      <w:r w:rsidRPr="00FA2C13">
        <w:t>subrecipients</w:t>
      </w:r>
      <w:proofErr w:type="spellEnd"/>
      <w:r w:rsidRPr="00FA2C13">
        <w:t>/</w:t>
      </w:r>
      <w:r w:rsidR="006F3EFB">
        <w:t>s</w:t>
      </w:r>
      <w:r w:rsidR="003B6D11">
        <w:t xml:space="preserve">ervice </w:t>
      </w:r>
      <w:r w:rsidR="006F3EFB">
        <w:t>r</w:t>
      </w:r>
      <w:r w:rsidR="003B6D11">
        <w:t>ecipient</w:t>
      </w:r>
      <w:r w:rsidRPr="00FA2C13">
        <w:t xml:space="preserve">s. </w:t>
      </w:r>
      <w:r w:rsidR="00FA2C13">
        <w:t xml:space="preserve"> </w:t>
      </w:r>
      <w:r w:rsidR="00444722" w:rsidRPr="00FA2C13">
        <w:t>For example, t</w:t>
      </w:r>
      <w:r w:rsidRPr="00FA2C13">
        <w:t xml:space="preserve">he grantee survey will </w:t>
      </w:r>
      <w:r w:rsidR="00C4100F">
        <w:t>include questions</w:t>
      </w:r>
      <w:r w:rsidR="00C4100F" w:rsidRPr="00FA2C13">
        <w:t xml:space="preserve"> </w:t>
      </w:r>
      <w:r w:rsidRPr="00FA2C13">
        <w:t xml:space="preserve">about </w:t>
      </w:r>
      <w:r w:rsidR="00726162">
        <w:t xml:space="preserve">SIF </w:t>
      </w:r>
      <w:r w:rsidR="00FA2C13">
        <w:t xml:space="preserve">PFS </w:t>
      </w:r>
      <w:r w:rsidR="006F3EFB">
        <w:t>p</w:t>
      </w:r>
      <w:r w:rsidR="00FA2C13">
        <w:t>rogram information and</w:t>
      </w:r>
      <w:r w:rsidRPr="00FA2C13">
        <w:t xml:space="preserve"> technical assistance/deal structuring approaches utilized</w:t>
      </w:r>
      <w:r w:rsidR="009B6ECC">
        <w:t>. Alternatively,</w:t>
      </w:r>
      <w:r w:rsidR="00E5339E">
        <w:t xml:space="preserve"> th</w:t>
      </w:r>
      <w:r w:rsidRPr="00FA2C13">
        <w:t xml:space="preserve">e </w:t>
      </w:r>
      <w:proofErr w:type="spellStart"/>
      <w:r w:rsidRPr="00FA2C13">
        <w:t>subrecipient</w:t>
      </w:r>
      <w:proofErr w:type="spellEnd"/>
      <w:r w:rsidRPr="00FA2C13">
        <w:t>/</w:t>
      </w:r>
      <w:r w:rsidR="006F3EFB">
        <w:t>s</w:t>
      </w:r>
      <w:r w:rsidR="003B6D11">
        <w:t xml:space="preserve">ervice </w:t>
      </w:r>
      <w:r w:rsidR="006F3EFB">
        <w:t>r</w:t>
      </w:r>
      <w:r w:rsidR="003B6D11">
        <w:t>ecipient</w:t>
      </w:r>
      <w:r w:rsidRPr="00FA2C13">
        <w:t xml:space="preserve"> survey will </w:t>
      </w:r>
      <w:r w:rsidR="00C4100F">
        <w:t>include questions</w:t>
      </w:r>
      <w:r w:rsidRPr="00FA2C13">
        <w:t xml:space="preserve"> about </w:t>
      </w:r>
      <w:r w:rsidR="00C4100F">
        <w:t>responses</w:t>
      </w:r>
      <w:r w:rsidR="00E5339E">
        <w:t xml:space="preserve"> to grantees’ RFPs and progress on specific project activities</w:t>
      </w:r>
      <w:r w:rsidR="00173CE4">
        <w:t xml:space="preserve"> and capacities</w:t>
      </w:r>
      <w:r w:rsidR="00E5339E">
        <w:t xml:space="preserve">. </w:t>
      </w:r>
      <w:r w:rsidRPr="00FA2C13">
        <w:t xml:space="preserve"> </w:t>
      </w:r>
      <w:r w:rsidR="00FA2C13" w:rsidRPr="00FA2C13">
        <w:t>Exhibit A.2</w:t>
      </w:r>
      <w:r w:rsidRPr="00FA2C13">
        <w:rPr>
          <w:rFonts w:eastAsiaTheme="minorHAnsi"/>
        </w:rPr>
        <w:t xml:space="preserve"> summarizes </w:t>
      </w:r>
      <w:r w:rsidR="005D7F10" w:rsidRPr="00FA2C13">
        <w:rPr>
          <w:rFonts w:eastAsiaTheme="minorHAnsi"/>
        </w:rPr>
        <w:t xml:space="preserve">the </w:t>
      </w:r>
      <w:r w:rsidRPr="00FA2C13">
        <w:rPr>
          <w:rFonts w:eastAsiaTheme="minorHAnsi"/>
        </w:rPr>
        <w:t xml:space="preserve">general topics and subtopics for </w:t>
      </w:r>
      <w:r w:rsidR="005D7F10" w:rsidRPr="00FA2C13">
        <w:rPr>
          <w:rFonts w:eastAsiaTheme="minorHAnsi"/>
        </w:rPr>
        <w:t>each</w:t>
      </w:r>
      <w:r w:rsidRPr="00FA2C13">
        <w:rPr>
          <w:rFonts w:eastAsiaTheme="minorHAnsi"/>
        </w:rPr>
        <w:t xml:space="preserve"> survey and </w:t>
      </w:r>
      <w:r w:rsidR="005D7F10" w:rsidRPr="00FA2C13">
        <w:rPr>
          <w:rFonts w:eastAsiaTheme="minorHAnsi"/>
        </w:rPr>
        <w:t xml:space="preserve">provides </w:t>
      </w:r>
      <w:r w:rsidRPr="00FA2C13">
        <w:rPr>
          <w:rFonts w:eastAsiaTheme="minorHAnsi"/>
        </w:rPr>
        <w:t xml:space="preserve">examples of the types of data variables </w:t>
      </w:r>
      <w:r w:rsidR="0048415B">
        <w:rPr>
          <w:rFonts w:eastAsiaTheme="minorHAnsi"/>
        </w:rPr>
        <w:t xml:space="preserve">that </w:t>
      </w:r>
      <w:r w:rsidR="0048415B" w:rsidRPr="00970580">
        <w:rPr>
          <w:rFonts w:eastAsiaTheme="minorHAnsi"/>
        </w:rPr>
        <w:t>are included in the surveys.</w:t>
      </w:r>
    </w:p>
    <w:p w14:paraId="7F09AF90" w14:textId="77777777" w:rsidR="00C71DE0" w:rsidRDefault="00C71DE0" w:rsidP="00D519E6">
      <w:pPr>
        <w:autoSpaceDE w:val="0"/>
        <w:autoSpaceDN w:val="0"/>
        <w:adjustRightInd w:val="0"/>
        <w:spacing w:after="0"/>
        <w:rPr>
          <w:rFonts w:eastAsiaTheme="minorHAnsi"/>
        </w:rPr>
      </w:pPr>
    </w:p>
    <w:p w14:paraId="31336F84" w14:textId="361C05A1" w:rsidR="007E20BD" w:rsidRDefault="007E20BD" w:rsidP="007E20BD">
      <w:pPr>
        <w:spacing w:after="240"/>
      </w:pPr>
      <w:r>
        <w:t xml:space="preserve">In addition to the surveys, the evaluation will include less structured and informal qualitative data collection activities such as review of grantee documents provided by CNCS (e.g., grantee applications and progress reports), telephone discussions with expert stakeholders (PFS implementers, federal agency staff, funders/investors, and policy experts) to obtain a more in-depth understanding of particular PFS issues, and site visits to the eight 2014 grantees to learn more about their PFS plans and activities. These additional data collection activities will focus on the specific grantee, respondent, and stakeholder experiences and activities.  Individual </w:t>
      </w:r>
    </w:p>
    <w:p w14:paraId="7073F86D" w14:textId="19075466" w:rsidR="0048415B" w:rsidRPr="00970580" w:rsidRDefault="0048415B" w:rsidP="0048415B">
      <w:pPr>
        <w:pStyle w:val="Caption"/>
        <w:rPr>
          <w:rFonts w:ascii="Times New Roman" w:hAnsi="Times New Roman"/>
          <w:b/>
          <w:color w:val="auto"/>
          <w:sz w:val="24"/>
          <w:szCs w:val="24"/>
        </w:rPr>
      </w:pPr>
      <w:r w:rsidRPr="00970580">
        <w:rPr>
          <w:rFonts w:ascii="Times New Roman" w:hAnsi="Times New Roman"/>
          <w:b/>
          <w:color w:val="auto"/>
          <w:sz w:val="24"/>
          <w:szCs w:val="24"/>
        </w:rPr>
        <w:lastRenderedPageBreak/>
        <w:t>Exhibit A</w:t>
      </w:r>
      <w:r w:rsidR="00CB1283" w:rsidRPr="00970580">
        <w:rPr>
          <w:rFonts w:ascii="Times New Roman" w:hAnsi="Times New Roman"/>
          <w:b/>
          <w:color w:val="auto"/>
          <w:sz w:val="24"/>
          <w:szCs w:val="24"/>
        </w:rPr>
        <w:t>.</w:t>
      </w:r>
      <w:r w:rsidRPr="00970580">
        <w:rPr>
          <w:rFonts w:ascii="Times New Roman" w:hAnsi="Times New Roman"/>
          <w:b/>
          <w:color w:val="auto"/>
          <w:sz w:val="24"/>
          <w:szCs w:val="24"/>
        </w:rPr>
        <w:t>2. Survey Topics and Data Variables</w:t>
      </w:r>
    </w:p>
    <w:tbl>
      <w:tblPr>
        <w:tblW w:w="9285" w:type="dxa"/>
        <w:tblInd w:w="93" w:type="dxa"/>
        <w:tblLook w:val="04A0" w:firstRow="1" w:lastRow="0" w:firstColumn="1" w:lastColumn="0" w:noHBand="0" w:noVBand="1"/>
      </w:tblPr>
      <w:tblGrid>
        <w:gridCol w:w="2985"/>
        <w:gridCol w:w="3060"/>
        <w:gridCol w:w="3240"/>
      </w:tblGrid>
      <w:tr w:rsidR="000B6ABC" w:rsidRPr="00970580" w14:paraId="38D8C297" w14:textId="77777777" w:rsidTr="00AE1291">
        <w:tc>
          <w:tcPr>
            <w:tcW w:w="2985" w:type="dxa"/>
            <w:tcBorders>
              <w:top w:val="single" w:sz="4" w:space="0" w:color="auto"/>
              <w:left w:val="single" w:sz="4" w:space="0" w:color="auto"/>
              <w:bottom w:val="single" w:sz="4" w:space="0" w:color="auto"/>
              <w:right w:val="single" w:sz="4" w:space="0" w:color="auto"/>
            </w:tcBorders>
            <w:shd w:val="clear" w:color="000000" w:fill="C3C6A8"/>
            <w:vAlign w:val="center"/>
            <w:hideMark/>
          </w:tcPr>
          <w:p w14:paraId="5DCE8856" w14:textId="77777777" w:rsidR="000B6ABC" w:rsidRPr="00970580" w:rsidRDefault="000B6ABC" w:rsidP="000B6ABC">
            <w:pPr>
              <w:spacing w:after="0"/>
              <w:jc w:val="center"/>
              <w:rPr>
                <w:b/>
                <w:bCs/>
                <w:color w:val="000000"/>
                <w:sz w:val="20"/>
                <w:szCs w:val="20"/>
              </w:rPr>
            </w:pPr>
            <w:r w:rsidRPr="00970580">
              <w:rPr>
                <w:b/>
                <w:bCs/>
                <w:color w:val="000000"/>
                <w:sz w:val="20"/>
                <w:szCs w:val="20"/>
              </w:rPr>
              <w:t>General Survey Topics</w:t>
            </w:r>
          </w:p>
        </w:tc>
        <w:tc>
          <w:tcPr>
            <w:tcW w:w="3060" w:type="dxa"/>
            <w:tcBorders>
              <w:top w:val="single" w:sz="4" w:space="0" w:color="auto"/>
              <w:left w:val="nil"/>
              <w:bottom w:val="single" w:sz="4" w:space="0" w:color="auto"/>
              <w:right w:val="single" w:sz="4" w:space="0" w:color="auto"/>
            </w:tcBorders>
            <w:shd w:val="clear" w:color="000000" w:fill="C3C6A8"/>
            <w:vAlign w:val="center"/>
            <w:hideMark/>
          </w:tcPr>
          <w:p w14:paraId="57513351" w14:textId="070CDB00" w:rsidR="000B6ABC" w:rsidRPr="00970580" w:rsidRDefault="000B6ABC" w:rsidP="00AE1291">
            <w:pPr>
              <w:spacing w:after="0"/>
              <w:jc w:val="center"/>
              <w:rPr>
                <w:b/>
                <w:bCs/>
                <w:color w:val="000000"/>
                <w:sz w:val="20"/>
                <w:szCs w:val="20"/>
              </w:rPr>
            </w:pPr>
            <w:r w:rsidRPr="00970580">
              <w:rPr>
                <w:b/>
                <w:bCs/>
                <w:color w:val="000000"/>
                <w:sz w:val="20"/>
                <w:szCs w:val="20"/>
              </w:rPr>
              <w:t>Grantee Survey</w:t>
            </w:r>
            <w:r w:rsidR="00AE1291" w:rsidRPr="00970580">
              <w:rPr>
                <w:b/>
                <w:bCs/>
                <w:color w:val="000000"/>
                <w:sz w:val="20"/>
                <w:szCs w:val="20"/>
              </w:rPr>
              <w:t xml:space="preserve"> </w:t>
            </w:r>
            <w:r w:rsidRPr="00970580">
              <w:rPr>
                <w:b/>
                <w:bCs/>
                <w:color w:val="000000"/>
                <w:sz w:val="20"/>
                <w:szCs w:val="20"/>
              </w:rPr>
              <w:t>Data Variables</w:t>
            </w:r>
          </w:p>
        </w:tc>
        <w:tc>
          <w:tcPr>
            <w:tcW w:w="3240" w:type="dxa"/>
            <w:tcBorders>
              <w:top w:val="single" w:sz="4" w:space="0" w:color="auto"/>
              <w:left w:val="nil"/>
              <w:bottom w:val="single" w:sz="4" w:space="0" w:color="auto"/>
              <w:right w:val="single" w:sz="4" w:space="0" w:color="auto"/>
            </w:tcBorders>
            <w:shd w:val="clear" w:color="000000" w:fill="C3C6A8"/>
            <w:vAlign w:val="center"/>
            <w:hideMark/>
          </w:tcPr>
          <w:p w14:paraId="612A8FBA" w14:textId="08104261" w:rsidR="000B6ABC" w:rsidRPr="00970580" w:rsidRDefault="000B6ABC" w:rsidP="000B6ABC">
            <w:pPr>
              <w:spacing w:after="0"/>
              <w:jc w:val="center"/>
              <w:rPr>
                <w:b/>
                <w:bCs/>
                <w:color w:val="000000"/>
                <w:sz w:val="20"/>
                <w:szCs w:val="20"/>
              </w:rPr>
            </w:pPr>
            <w:proofErr w:type="spellStart"/>
            <w:r w:rsidRPr="00970580">
              <w:rPr>
                <w:b/>
                <w:bCs/>
                <w:color w:val="000000"/>
                <w:sz w:val="20"/>
                <w:szCs w:val="20"/>
              </w:rPr>
              <w:t>Subrecipient</w:t>
            </w:r>
            <w:proofErr w:type="spellEnd"/>
            <w:r w:rsidRPr="00970580">
              <w:rPr>
                <w:b/>
                <w:bCs/>
                <w:color w:val="000000"/>
                <w:sz w:val="20"/>
                <w:szCs w:val="20"/>
              </w:rPr>
              <w:t>/</w:t>
            </w:r>
            <w:r w:rsidR="003B6D11" w:rsidRPr="00970580">
              <w:rPr>
                <w:b/>
                <w:bCs/>
                <w:color w:val="000000"/>
                <w:sz w:val="20"/>
                <w:szCs w:val="20"/>
              </w:rPr>
              <w:t>Service Recipient</w:t>
            </w:r>
            <w:r w:rsidRPr="00970580">
              <w:rPr>
                <w:b/>
                <w:bCs/>
                <w:color w:val="000000"/>
                <w:sz w:val="20"/>
                <w:szCs w:val="20"/>
              </w:rPr>
              <w:t xml:space="preserve"> Data Variables</w:t>
            </w:r>
          </w:p>
        </w:tc>
      </w:tr>
      <w:tr w:rsidR="000B6ABC" w:rsidRPr="00970580" w14:paraId="7A333483" w14:textId="77777777" w:rsidTr="00AE1291">
        <w:tc>
          <w:tcPr>
            <w:tcW w:w="2985" w:type="dxa"/>
            <w:tcBorders>
              <w:top w:val="nil"/>
              <w:left w:val="single" w:sz="4" w:space="0" w:color="auto"/>
              <w:bottom w:val="single" w:sz="4" w:space="0" w:color="auto"/>
              <w:right w:val="single" w:sz="4" w:space="0" w:color="auto"/>
            </w:tcBorders>
            <w:shd w:val="clear" w:color="auto" w:fill="auto"/>
            <w:hideMark/>
          </w:tcPr>
          <w:p w14:paraId="6EADE389" w14:textId="4CF50A39" w:rsidR="000B6ABC" w:rsidRPr="00970580" w:rsidRDefault="000B6ABC" w:rsidP="00AE1291">
            <w:pPr>
              <w:spacing w:after="0"/>
              <w:rPr>
                <w:b/>
                <w:bCs/>
                <w:color w:val="000000"/>
                <w:sz w:val="20"/>
                <w:szCs w:val="20"/>
              </w:rPr>
            </w:pPr>
            <w:r w:rsidRPr="00970580">
              <w:rPr>
                <w:b/>
                <w:bCs/>
                <w:color w:val="000000"/>
                <w:sz w:val="20"/>
                <w:szCs w:val="20"/>
              </w:rPr>
              <w:t>Organizational Background</w:t>
            </w:r>
            <w:r w:rsidR="008B155C" w:rsidRPr="00970580">
              <w:rPr>
                <w:b/>
                <w:bCs/>
                <w:color w:val="000000"/>
                <w:sz w:val="20"/>
                <w:szCs w:val="20"/>
              </w:rPr>
              <w:t>/Staffing</w:t>
            </w:r>
          </w:p>
        </w:tc>
        <w:tc>
          <w:tcPr>
            <w:tcW w:w="3060" w:type="dxa"/>
            <w:tcBorders>
              <w:top w:val="nil"/>
              <w:left w:val="nil"/>
              <w:bottom w:val="single" w:sz="4" w:space="0" w:color="auto"/>
              <w:right w:val="single" w:sz="4" w:space="0" w:color="auto"/>
            </w:tcBorders>
            <w:shd w:val="clear" w:color="auto" w:fill="auto"/>
            <w:hideMark/>
          </w:tcPr>
          <w:p w14:paraId="1FFEDFF4" w14:textId="56FD04FA" w:rsidR="000B6ABC" w:rsidRPr="00970580" w:rsidRDefault="008B155C" w:rsidP="008B155C">
            <w:pPr>
              <w:spacing w:after="0"/>
              <w:rPr>
                <w:color w:val="000000"/>
                <w:sz w:val="20"/>
                <w:szCs w:val="20"/>
              </w:rPr>
            </w:pPr>
            <w:r w:rsidRPr="00970580">
              <w:rPr>
                <w:color w:val="000000"/>
                <w:sz w:val="20"/>
                <w:szCs w:val="20"/>
              </w:rPr>
              <w:t>staffing</w:t>
            </w:r>
          </w:p>
        </w:tc>
        <w:tc>
          <w:tcPr>
            <w:tcW w:w="3240" w:type="dxa"/>
            <w:tcBorders>
              <w:top w:val="nil"/>
              <w:left w:val="nil"/>
              <w:bottom w:val="single" w:sz="4" w:space="0" w:color="auto"/>
              <w:right w:val="single" w:sz="4" w:space="0" w:color="auto"/>
            </w:tcBorders>
            <w:shd w:val="clear" w:color="auto" w:fill="auto"/>
            <w:hideMark/>
          </w:tcPr>
          <w:p w14:paraId="0FE25DBF" w14:textId="7912902D" w:rsidR="000B6ABC" w:rsidRPr="00970580" w:rsidRDefault="00394AA9" w:rsidP="00970580">
            <w:pPr>
              <w:spacing w:after="0"/>
              <w:rPr>
                <w:color w:val="000000"/>
                <w:sz w:val="20"/>
                <w:szCs w:val="20"/>
              </w:rPr>
            </w:pPr>
            <w:r w:rsidRPr="00970580">
              <w:rPr>
                <w:color w:val="000000"/>
                <w:sz w:val="20"/>
                <w:szCs w:val="20"/>
              </w:rPr>
              <w:t>t</w:t>
            </w:r>
            <w:r w:rsidR="000B6ABC" w:rsidRPr="00970580">
              <w:rPr>
                <w:color w:val="000000"/>
                <w:sz w:val="20"/>
                <w:szCs w:val="20"/>
              </w:rPr>
              <w:t>ype</w:t>
            </w:r>
            <w:r w:rsidRPr="00970580">
              <w:rPr>
                <w:color w:val="000000"/>
                <w:sz w:val="20"/>
                <w:szCs w:val="20"/>
              </w:rPr>
              <w:t xml:space="preserve"> of organization</w:t>
            </w:r>
            <w:r w:rsidR="000B6ABC" w:rsidRPr="00970580">
              <w:rPr>
                <w:color w:val="000000"/>
                <w:sz w:val="20"/>
                <w:szCs w:val="20"/>
              </w:rPr>
              <w:t xml:space="preserve">, location, </w:t>
            </w:r>
            <w:r w:rsidRPr="00970580">
              <w:rPr>
                <w:color w:val="000000"/>
                <w:sz w:val="20"/>
                <w:szCs w:val="20"/>
              </w:rPr>
              <w:t xml:space="preserve">years </w:t>
            </w:r>
            <w:r w:rsidR="00970580">
              <w:rPr>
                <w:color w:val="000000"/>
                <w:sz w:val="20"/>
                <w:szCs w:val="20"/>
              </w:rPr>
              <w:t>in</w:t>
            </w:r>
            <w:r w:rsidRPr="00970580">
              <w:rPr>
                <w:color w:val="000000"/>
                <w:sz w:val="20"/>
                <w:szCs w:val="20"/>
              </w:rPr>
              <w:t xml:space="preserve"> </w:t>
            </w:r>
            <w:r w:rsidR="00970580">
              <w:rPr>
                <w:color w:val="000000"/>
                <w:sz w:val="20"/>
                <w:szCs w:val="20"/>
              </w:rPr>
              <w:t>operation</w:t>
            </w:r>
            <w:r w:rsidRPr="00970580">
              <w:rPr>
                <w:color w:val="000000"/>
                <w:sz w:val="20"/>
                <w:szCs w:val="20"/>
              </w:rPr>
              <w:t>, staffing</w:t>
            </w:r>
          </w:p>
        </w:tc>
      </w:tr>
      <w:tr w:rsidR="000B6ABC" w:rsidRPr="00970580" w14:paraId="095F2B6B" w14:textId="77777777" w:rsidTr="007E20BD">
        <w:tc>
          <w:tcPr>
            <w:tcW w:w="2985" w:type="dxa"/>
            <w:tcBorders>
              <w:top w:val="nil"/>
              <w:left w:val="single" w:sz="4" w:space="0" w:color="auto"/>
              <w:bottom w:val="single" w:sz="4" w:space="0" w:color="auto"/>
              <w:right w:val="single" w:sz="4" w:space="0" w:color="auto"/>
            </w:tcBorders>
            <w:shd w:val="clear" w:color="auto" w:fill="EEECE1" w:themeFill="background2"/>
            <w:hideMark/>
          </w:tcPr>
          <w:p w14:paraId="19727469" w14:textId="77777777" w:rsidR="000B6ABC" w:rsidRPr="00970580" w:rsidRDefault="000B6ABC" w:rsidP="00AE1291">
            <w:pPr>
              <w:spacing w:after="0"/>
              <w:rPr>
                <w:b/>
                <w:bCs/>
                <w:color w:val="000000"/>
                <w:sz w:val="20"/>
                <w:szCs w:val="20"/>
              </w:rPr>
            </w:pPr>
            <w:r w:rsidRPr="00970580">
              <w:rPr>
                <w:b/>
                <w:bCs/>
                <w:color w:val="000000"/>
                <w:sz w:val="20"/>
                <w:szCs w:val="20"/>
              </w:rPr>
              <w:t xml:space="preserve">PFS Experience and Involvement </w:t>
            </w:r>
          </w:p>
        </w:tc>
        <w:tc>
          <w:tcPr>
            <w:tcW w:w="3060" w:type="dxa"/>
            <w:tcBorders>
              <w:top w:val="nil"/>
              <w:left w:val="nil"/>
              <w:bottom w:val="single" w:sz="4" w:space="0" w:color="auto"/>
              <w:right w:val="single" w:sz="4" w:space="0" w:color="auto"/>
            </w:tcBorders>
            <w:shd w:val="clear" w:color="auto" w:fill="EEECE1" w:themeFill="background2"/>
            <w:hideMark/>
          </w:tcPr>
          <w:p w14:paraId="56E8AC7F" w14:textId="43B4CBDA" w:rsidR="000B6ABC" w:rsidRPr="00970580" w:rsidRDefault="000B6ABC" w:rsidP="008B155C">
            <w:pPr>
              <w:spacing w:after="0"/>
              <w:rPr>
                <w:color w:val="000000"/>
                <w:sz w:val="20"/>
                <w:szCs w:val="20"/>
              </w:rPr>
            </w:pPr>
            <w:r w:rsidRPr="00970580">
              <w:rPr>
                <w:color w:val="000000"/>
                <w:sz w:val="20"/>
                <w:szCs w:val="20"/>
              </w:rPr>
              <w:t>involvement with PFS</w:t>
            </w:r>
          </w:p>
        </w:tc>
        <w:tc>
          <w:tcPr>
            <w:tcW w:w="3240" w:type="dxa"/>
            <w:tcBorders>
              <w:top w:val="nil"/>
              <w:left w:val="nil"/>
              <w:bottom w:val="single" w:sz="4" w:space="0" w:color="auto"/>
              <w:right w:val="single" w:sz="4" w:space="0" w:color="auto"/>
            </w:tcBorders>
            <w:shd w:val="clear" w:color="auto" w:fill="EEECE1" w:themeFill="background2"/>
            <w:hideMark/>
          </w:tcPr>
          <w:p w14:paraId="372E6180" w14:textId="09FD4CA8" w:rsidR="000B6ABC" w:rsidRPr="00970580" w:rsidRDefault="000B6ABC" w:rsidP="008B155C">
            <w:pPr>
              <w:spacing w:after="0"/>
              <w:rPr>
                <w:color w:val="000000"/>
                <w:sz w:val="20"/>
                <w:szCs w:val="20"/>
              </w:rPr>
            </w:pPr>
            <w:r w:rsidRPr="00970580">
              <w:rPr>
                <w:color w:val="000000"/>
                <w:sz w:val="20"/>
                <w:szCs w:val="20"/>
              </w:rPr>
              <w:t>involvement with PFS</w:t>
            </w:r>
          </w:p>
        </w:tc>
      </w:tr>
      <w:tr w:rsidR="000B6ABC" w:rsidRPr="00970580" w14:paraId="24FED60E" w14:textId="77777777" w:rsidTr="00AE1291">
        <w:tc>
          <w:tcPr>
            <w:tcW w:w="2985" w:type="dxa"/>
            <w:tcBorders>
              <w:top w:val="nil"/>
              <w:left w:val="single" w:sz="4" w:space="0" w:color="auto"/>
              <w:bottom w:val="single" w:sz="4" w:space="0" w:color="auto"/>
              <w:right w:val="single" w:sz="4" w:space="0" w:color="auto"/>
            </w:tcBorders>
            <w:shd w:val="clear" w:color="auto" w:fill="auto"/>
            <w:hideMark/>
          </w:tcPr>
          <w:p w14:paraId="23115907" w14:textId="244A46F0" w:rsidR="000B6ABC" w:rsidRPr="00970580" w:rsidRDefault="00487F9A" w:rsidP="006F3EFB">
            <w:pPr>
              <w:spacing w:after="0"/>
              <w:rPr>
                <w:b/>
                <w:bCs/>
                <w:color w:val="000000"/>
                <w:sz w:val="20"/>
                <w:szCs w:val="20"/>
              </w:rPr>
            </w:pPr>
            <w:r w:rsidRPr="00970580">
              <w:rPr>
                <w:b/>
                <w:bCs/>
                <w:color w:val="000000"/>
                <w:sz w:val="20"/>
                <w:szCs w:val="20"/>
              </w:rPr>
              <w:t xml:space="preserve">SIF </w:t>
            </w:r>
            <w:r w:rsidR="000B6ABC" w:rsidRPr="00970580">
              <w:rPr>
                <w:b/>
                <w:bCs/>
                <w:color w:val="000000"/>
                <w:sz w:val="20"/>
                <w:szCs w:val="20"/>
              </w:rPr>
              <w:t xml:space="preserve">PFS Program </w:t>
            </w:r>
            <w:r w:rsidR="00FA2C13" w:rsidRPr="00970580">
              <w:rPr>
                <w:b/>
                <w:bCs/>
                <w:color w:val="000000"/>
                <w:sz w:val="20"/>
                <w:szCs w:val="20"/>
              </w:rPr>
              <w:t>Information</w:t>
            </w:r>
          </w:p>
        </w:tc>
        <w:tc>
          <w:tcPr>
            <w:tcW w:w="3060" w:type="dxa"/>
            <w:tcBorders>
              <w:top w:val="nil"/>
              <w:left w:val="nil"/>
              <w:bottom w:val="single" w:sz="4" w:space="0" w:color="auto"/>
              <w:right w:val="single" w:sz="4" w:space="0" w:color="auto"/>
            </w:tcBorders>
            <w:shd w:val="clear" w:color="auto" w:fill="auto"/>
            <w:hideMark/>
          </w:tcPr>
          <w:p w14:paraId="6B911B03" w14:textId="2D53F427" w:rsidR="000B6ABC" w:rsidRPr="00970580" w:rsidRDefault="000B6ABC" w:rsidP="008B155C">
            <w:pPr>
              <w:spacing w:after="0"/>
              <w:rPr>
                <w:color w:val="000000"/>
                <w:sz w:val="20"/>
                <w:szCs w:val="20"/>
              </w:rPr>
            </w:pPr>
            <w:r w:rsidRPr="00970580">
              <w:rPr>
                <w:color w:val="000000"/>
                <w:sz w:val="20"/>
                <w:szCs w:val="20"/>
              </w:rPr>
              <w:t xml:space="preserve">PFS approach </w:t>
            </w:r>
          </w:p>
        </w:tc>
        <w:tc>
          <w:tcPr>
            <w:tcW w:w="3240" w:type="dxa"/>
            <w:tcBorders>
              <w:top w:val="nil"/>
              <w:left w:val="nil"/>
              <w:bottom w:val="single" w:sz="4" w:space="0" w:color="auto"/>
              <w:right w:val="single" w:sz="4" w:space="0" w:color="auto"/>
            </w:tcBorders>
            <w:shd w:val="clear" w:color="auto" w:fill="auto"/>
            <w:hideMark/>
          </w:tcPr>
          <w:p w14:paraId="38C62825" w14:textId="77777777" w:rsidR="000B6ABC" w:rsidRPr="00970580" w:rsidRDefault="000B6ABC" w:rsidP="00AE1291">
            <w:pPr>
              <w:spacing w:after="0"/>
              <w:rPr>
                <w:color w:val="000000"/>
                <w:sz w:val="20"/>
                <w:szCs w:val="20"/>
              </w:rPr>
            </w:pPr>
            <w:r w:rsidRPr="00970580">
              <w:rPr>
                <w:color w:val="000000"/>
                <w:sz w:val="20"/>
                <w:szCs w:val="20"/>
              </w:rPr>
              <w:t>N/A</w:t>
            </w:r>
          </w:p>
        </w:tc>
      </w:tr>
      <w:tr w:rsidR="000B6ABC" w:rsidRPr="00970580" w14:paraId="001C7962" w14:textId="77777777" w:rsidTr="007E20BD">
        <w:tc>
          <w:tcPr>
            <w:tcW w:w="2985" w:type="dxa"/>
            <w:tcBorders>
              <w:top w:val="nil"/>
              <w:left w:val="single" w:sz="4" w:space="0" w:color="auto"/>
              <w:bottom w:val="single" w:sz="4" w:space="0" w:color="auto"/>
              <w:right w:val="single" w:sz="4" w:space="0" w:color="auto"/>
            </w:tcBorders>
            <w:shd w:val="clear" w:color="auto" w:fill="EEECE1" w:themeFill="background2"/>
            <w:hideMark/>
          </w:tcPr>
          <w:p w14:paraId="36B97BAA" w14:textId="52CBA4FF" w:rsidR="000B6ABC" w:rsidRPr="00970580" w:rsidRDefault="000B6ABC" w:rsidP="008B155C">
            <w:pPr>
              <w:spacing w:after="0"/>
              <w:rPr>
                <w:b/>
                <w:bCs/>
                <w:color w:val="000000"/>
                <w:sz w:val="20"/>
                <w:szCs w:val="20"/>
              </w:rPr>
            </w:pPr>
            <w:r w:rsidRPr="00970580">
              <w:rPr>
                <w:b/>
                <w:bCs/>
                <w:color w:val="000000"/>
                <w:sz w:val="20"/>
                <w:szCs w:val="20"/>
              </w:rPr>
              <w:t xml:space="preserve">PFS </w:t>
            </w:r>
            <w:proofErr w:type="spellStart"/>
            <w:r w:rsidRPr="00970580">
              <w:rPr>
                <w:b/>
                <w:bCs/>
                <w:color w:val="000000"/>
                <w:sz w:val="20"/>
                <w:szCs w:val="20"/>
              </w:rPr>
              <w:t>Subrecipient</w:t>
            </w:r>
            <w:proofErr w:type="spellEnd"/>
            <w:r w:rsidRPr="00970580">
              <w:rPr>
                <w:b/>
                <w:bCs/>
                <w:color w:val="000000"/>
                <w:sz w:val="20"/>
                <w:szCs w:val="20"/>
              </w:rPr>
              <w:t>/</w:t>
            </w:r>
            <w:r w:rsidR="004B697A" w:rsidRPr="00970580">
              <w:rPr>
                <w:b/>
                <w:bCs/>
                <w:color w:val="000000"/>
                <w:sz w:val="20"/>
                <w:szCs w:val="20"/>
              </w:rPr>
              <w:t xml:space="preserve"> </w:t>
            </w:r>
            <w:r w:rsidR="003B6D11" w:rsidRPr="00970580">
              <w:rPr>
                <w:b/>
                <w:bCs/>
                <w:color w:val="000000"/>
                <w:sz w:val="20"/>
                <w:szCs w:val="20"/>
              </w:rPr>
              <w:t>Service Recipient</w:t>
            </w:r>
            <w:r w:rsidRPr="00970580">
              <w:rPr>
                <w:b/>
                <w:bCs/>
                <w:color w:val="000000"/>
                <w:sz w:val="20"/>
                <w:szCs w:val="20"/>
              </w:rPr>
              <w:t xml:space="preserve"> Selection</w:t>
            </w:r>
          </w:p>
        </w:tc>
        <w:tc>
          <w:tcPr>
            <w:tcW w:w="3060" w:type="dxa"/>
            <w:tcBorders>
              <w:top w:val="nil"/>
              <w:left w:val="nil"/>
              <w:bottom w:val="single" w:sz="4" w:space="0" w:color="auto"/>
              <w:right w:val="single" w:sz="4" w:space="0" w:color="auto"/>
            </w:tcBorders>
            <w:shd w:val="clear" w:color="auto" w:fill="EEECE1" w:themeFill="background2"/>
            <w:hideMark/>
          </w:tcPr>
          <w:p w14:paraId="04CA0466" w14:textId="4A1E7A32" w:rsidR="000B6ABC" w:rsidRPr="00970580" w:rsidRDefault="000B6ABC" w:rsidP="00AA3F10">
            <w:pPr>
              <w:spacing w:after="0"/>
              <w:rPr>
                <w:color w:val="000000"/>
                <w:sz w:val="20"/>
                <w:szCs w:val="20"/>
              </w:rPr>
            </w:pPr>
            <w:r w:rsidRPr="00970580">
              <w:rPr>
                <w:color w:val="000000"/>
                <w:sz w:val="20"/>
                <w:szCs w:val="20"/>
              </w:rPr>
              <w:t xml:space="preserve">RFP </w:t>
            </w:r>
            <w:r w:rsidR="00E5339E" w:rsidRPr="00970580">
              <w:rPr>
                <w:color w:val="000000"/>
                <w:sz w:val="20"/>
                <w:szCs w:val="20"/>
              </w:rPr>
              <w:t>timeframe</w:t>
            </w:r>
            <w:r w:rsidRPr="00970580">
              <w:rPr>
                <w:color w:val="000000"/>
                <w:sz w:val="20"/>
                <w:szCs w:val="20"/>
              </w:rPr>
              <w:t xml:space="preserve"> and </w:t>
            </w:r>
            <w:r w:rsidR="00E5339E" w:rsidRPr="00970580">
              <w:rPr>
                <w:color w:val="000000"/>
                <w:sz w:val="20"/>
                <w:szCs w:val="20"/>
              </w:rPr>
              <w:t>marketing activities</w:t>
            </w:r>
            <w:r w:rsidRPr="00970580">
              <w:rPr>
                <w:color w:val="000000"/>
                <w:sz w:val="20"/>
                <w:szCs w:val="20"/>
              </w:rPr>
              <w:t>, RFP requirements</w:t>
            </w:r>
            <w:r w:rsidR="00AA3F10" w:rsidRPr="00970580">
              <w:rPr>
                <w:color w:val="000000"/>
                <w:sz w:val="20"/>
                <w:szCs w:val="20"/>
              </w:rPr>
              <w:t>, pass-through funding</w:t>
            </w:r>
            <w:r w:rsidR="00AA3F10" w:rsidRPr="00970580" w:rsidDel="00AA3F10">
              <w:rPr>
                <w:color w:val="000000"/>
                <w:sz w:val="20"/>
                <w:szCs w:val="20"/>
              </w:rPr>
              <w:t xml:space="preserve"> </w:t>
            </w:r>
          </w:p>
        </w:tc>
        <w:tc>
          <w:tcPr>
            <w:tcW w:w="3240" w:type="dxa"/>
            <w:tcBorders>
              <w:top w:val="nil"/>
              <w:left w:val="nil"/>
              <w:bottom w:val="single" w:sz="4" w:space="0" w:color="auto"/>
              <w:right w:val="single" w:sz="4" w:space="0" w:color="auto"/>
            </w:tcBorders>
            <w:shd w:val="clear" w:color="auto" w:fill="EEECE1" w:themeFill="background2"/>
            <w:hideMark/>
          </w:tcPr>
          <w:p w14:paraId="55177626" w14:textId="28F2F3A6" w:rsidR="000B6ABC" w:rsidRPr="00970580" w:rsidRDefault="00E5339E" w:rsidP="00AE1291">
            <w:pPr>
              <w:spacing w:after="0"/>
              <w:rPr>
                <w:color w:val="000000"/>
                <w:sz w:val="20"/>
                <w:szCs w:val="20"/>
              </w:rPr>
            </w:pPr>
            <w:r w:rsidRPr="00970580">
              <w:rPr>
                <w:color w:val="000000"/>
                <w:sz w:val="20"/>
                <w:szCs w:val="20"/>
              </w:rPr>
              <w:t xml:space="preserve">how </w:t>
            </w:r>
            <w:r w:rsidR="00C77776" w:rsidRPr="00970580">
              <w:rPr>
                <w:color w:val="000000"/>
                <w:sz w:val="20"/>
                <w:szCs w:val="20"/>
              </w:rPr>
              <w:t xml:space="preserve">respondent </w:t>
            </w:r>
            <w:r w:rsidRPr="00970580">
              <w:rPr>
                <w:color w:val="000000"/>
                <w:sz w:val="20"/>
                <w:szCs w:val="20"/>
              </w:rPr>
              <w:t>learned about RFP opportu</w:t>
            </w:r>
            <w:r w:rsidR="000B6ABC" w:rsidRPr="00970580">
              <w:rPr>
                <w:color w:val="000000"/>
                <w:sz w:val="20"/>
                <w:szCs w:val="20"/>
              </w:rPr>
              <w:t>nity, RFP(s) responded to, use of funds received (if applicable)</w:t>
            </w:r>
          </w:p>
        </w:tc>
      </w:tr>
      <w:tr w:rsidR="000B6ABC" w:rsidRPr="00970580" w14:paraId="17408411" w14:textId="77777777" w:rsidTr="007E20BD">
        <w:tc>
          <w:tcPr>
            <w:tcW w:w="2985" w:type="dxa"/>
            <w:tcBorders>
              <w:top w:val="nil"/>
              <w:left w:val="single" w:sz="4" w:space="0" w:color="auto"/>
              <w:bottom w:val="single" w:sz="4" w:space="0" w:color="auto"/>
              <w:right w:val="single" w:sz="4" w:space="0" w:color="auto"/>
            </w:tcBorders>
            <w:shd w:val="clear" w:color="auto" w:fill="auto"/>
            <w:hideMark/>
          </w:tcPr>
          <w:p w14:paraId="5F695574" w14:textId="2FA02D1B" w:rsidR="000B6ABC" w:rsidRPr="00970580" w:rsidRDefault="000B6ABC" w:rsidP="008B155C">
            <w:pPr>
              <w:spacing w:after="0"/>
              <w:rPr>
                <w:b/>
                <w:bCs/>
                <w:color w:val="000000"/>
                <w:sz w:val="20"/>
                <w:szCs w:val="20"/>
              </w:rPr>
            </w:pPr>
            <w:r w:rsidRPr="00970580">
              <w:rPr>
                <w:b/>
                <w:bCs/>
                <w:color w:val="000000"/>
                <w:sz w:val="20"/>
                <w:szCs w:val="20"/>
              </w:rPr>
              <w:t xml:space="preserve">Feasibility </w:t>
            </w:r>
            <w:r w:rsidR="006F3EFB" w:rsidRPr="00970580">
              <w:rPr>
                <w:b/>
                <w:bCs/>
                <w:color w:val="000000"/>
                <w:sz w:val="20"/>
                <w:szCs w:val="20"/>
              </w:rPr>
              <w:t>Assessment</w:t>
            </w:r>
            <w:r w:rsidRPr="00970580">
              <w:rPr>
                <w:b/>
                <w:bCs/>
                <w:color w:val="000000"/>
                <w:sz w:val="20"/>
                <w:szCs w:val="20"/>
              </w:rPr>
              <w:t xml:space="preserve">/Capacity Building Assistance or Transaction Structuring </w:t>
            </w:r>
            <w:r w:rsidR="008B155C" w:rsidRPr="00970580">
              <w:rPr>
                <w:b/>
                <w:bCs/>
                <w:color w:val="000000"/>
                <w:sz w:val="20"/>
                <w:szCs w:val="20"/>
              </w:rPr>
              <w:t>Approach</w:t>
            </w:r>
          </w:p>
        </w:tc>
        <w:tc>
          <w:tcPr>
            <w:tcW w:w="3060" w:type="dxa"/>
            <w:tcBorders>
              <w:top w:val="nil"/>
              <w:left w:val="nil"/>
              <w:bottom w:val="single" w:sz="4" w:space="0" w:color="auto"/>
              <w:right w:val="single" w:sz="4" w:space="0" w:color="auto"/>
            </w:tcBorders>
            <w:shd w:val="clear" w:color="auto" w:fill="auto"/>
            <w:hideMark/>
          </w:tcPr>
          <w:p w14:paraId="67002D77" w14:textId="2EEF21BA" w:rsidR="000B6ABC" w:rsidRPr="00970580" w:rsidRDefault="000B6ABC" w:rsidP="00AA3F10">
            <w:pPr>
              <w:spacing w:after="0"/>
              <w:rPr>
                <w:color w:val="000000"/>
                <w:sz w:val="20"/>
                <w:szCs w:val="20"/>
              </w:rPr>
            </w:pPr>
            <w:r w:rsidRPr="00970580">
              <w:rPr>
                <w:color w:val="000000"/>
                <w:sz w:val="20"/>
                <w:szCs w:val="20"/>
              </w:rPr>
              <w:t>assistance model and expected duration, activities and materials planned and completed, focus areas of assistance</w:t>
            </w:r>
          </w:p>
        </w:tc>
        <w:tc>
          <w:tcPr>
            <w:tcW w:w="3240" w:type="dxa"/>
            <w:tcBorders>
              <w:top w:val="nil"/>
              <w:left w:val="nil"/>
              <w:bottom w:val="single" w:sz="4" w:space="0" w:color="auto"/>
              <w:right w:val="single" w:sz="4" w:space="0" w:color="auto"/>
            </w:tcBorders>
            <w:shd w:val="clear" w:color="auto" w:fill="auto"/>
            <w:hideMark/>
          </w:tcPr>
          <w:p w14:paraId="0CDD0CCB" w14:textId="26EDA9E6" w:rsidR="000B6ABC" w:rsidRPr="00970580" w:rsidRDefault="00394AA9" w:rsidP="00394AA9">
            <w:pPr>
              <w:spacing w:after="0"/>
              <w:rPr>
                <w:color w:val="000000"/>
                <w:sz w:val="20"/>
                <w:szCs w:val="20"/>
              </w:rPr>
            </w:pPr>
            <w:r w:rsidRPr="00970580">
              <w:rPr>
                <w:color w:val="000000"/>
                <w:sz w:val="20"/>
                <w:szCs w:val="20"/>
              </w:rPr>
              <w:t>N/A</w:t>
            </w:r>
          </w:p>
        </w:tc>
      </w:tr>
      <w:tr w:rsidR="00394AA9" w:rsidRPr="00970580" w14:paraId="0BDF9522" w14:textId="77777777" w:rsidTr="007E20BD">
        <w:tc>
          <w:tcPr>
            <w:tcW w:w="2985" w:type="dxa"/>
            <w:tcBorders>
              <w:top w:val="nil"/>
              <w:left w:val="single" w:sz="4" w:space="0" w:color="auto"/>
              <w:bottom w:val="single" w:sz="4" w:space="0" w:color="auto"/>
              <w:right w:val="single" w:sz="4" w:space="0" w:color="auto"/>
            </w:tcBorders>
            <w:shd w:val="clear" w:color="auto" w:fill="EEECE1" w:themeFill="background2"/>
          </w:tcPr>
          <w:p w14:paraId="529B64E4" w14:textId="1B68F107" w:rsidR="00394AA9" w:rsidRPr="00970580" w:rsidRDefault="00394AA9" w:rsidP="008B155C">
            <w:pPr>
              <w:spacing w:after="0"/>
              <w:rPr>
                <w:b/>
                <w:bCs/>
                <w:color w:val="000000"/>
                <w:sz w:val="20"/>
                <w:szCs w:val="20"/>
              </w:rPr>
            </w:pPr>
            <w:r w:rsidRPr="00970580">
              <w:rPr>
                <w:b/>
                <w:bCs/>
                <w:color w:val="000000"/>
                <w:sz w:val="20"/>
                <w:szCs w:val="20"/>
              </w:rPr>
              <w:t>SIF PFS Activities</w:t>
            </w:r>
          </w:p>
        </w:tc>
        <w:tc>
          <w:tcPr>
            <w:tcW w:w="3060" w:type="dxa"/>
            <w:tcBorders>
              <w:top w:val="nil"/>
              <w:left w:val="nil"/>
              <w:bottom w:val="single" w:sz="4" w:space="0" w:color="auto"/>
              <w:right w:val="single" w:sz="4" w:space="0" w:color="auto"/>
            </w:tcBorders>
            <w:shd w:val="clear" w:color="auto" w:fill="EEECE1" w:themeFill="background2"/>
          </w:tcPr>
          <w:p w14:paraId="2E7A6B2D" w14:textId="3764F56C" w:rsidR="00394AA9" w:rsidRPr="00970580" w:rsidRDefault="00394AA9" w:rsidP="00AA3F10">
            <w:pPr>
              <w:spacing w:after="0"/>
              <w:rPr>
                <w:color w:val="000000"/>
                <w:sz w:val="20"/>
                <w:szCs w:val="20"/>
              </w:rPr>
            </w:pPr>
            <w:r w:rsidRPr="00970580">
              <w:rPr>
                <w:color w:val="000000"/>
                <w:sz w:val="20"/>
                <w:szCs w:val="20"/>
              </w:rPr>
              <w:t>N/A</w:t>
            </w:r>
          </w:p>
        </w:tc>
        <w:tc>
          <w:tcPr>
            <w:tcW w:w="3240" w:type="dxa"/>
            <w:tcBorders>
              <w:top w:val="nil"/>
              <w:left w:val="nil"/>
              <w:bottom w:val="single" w:sz="4" w:space="0" w:color="auto"/>
              <w:right w:val="single" w:sz="4" w:space="0" w:color="auto"/>
            </w:tcBorders>
            <w:shd w:val="clear" w:color="auto" w:fill="EEECE1" w:themeFill="background2"/>
          </w:tcPr>
          <w:p w14:paraId="296E69DA" w14:textId="242787DD" w:rsidR="00394AA9" w:rsidRPr="00970580" w:rsidRDefault="00394AA9" w:rsidP="00AE1291">
            <w:pPr>
              <w:spacing w:after="0"/>
              <w:rPr>
                <w:color w:val="000000"/>
                <w:sz w:val="20"/>
                <w:szCs w:val="20"/>
              </w:rPr>
            </w:pPr>
            <w:r w:rsidRPr="00970580">
              <w:rPr>
                <w:color w:val="000000"/>
                <w:sz w:val="20"/>
                <w:szCs w:val="20"/>
              </w:rPr>
              <w:t>matching fund requirements,</w:t>
            </w:r>
            <w:r w:rsidR="00685593">
              <w:rPr>
                <w:color w:val="000000"/>
                <w:sz w:val="20"/>
                <w:szCs w:val="20"/>
              </w:rPr>
              <w:t xml:space="preserve"> project plans</w:t>
            </w:r>
          </w:p>
        </w:tc>
      </w:tr>
      <w:tr w:rsidR="000B6ABC" w:rsidRPr="00970580" w14:paraId="77501CC5" w14:textId="77777777" w:rsidTr="007E20BD">
        <w:tc>
          <w:tcPr>
            <w:tcW w:w="2985" w:type="dxa"/>
            <w:tcBorders>
              <w:top w:val="nil"/>
              <w:left w:val="single" w:sz="4" w:space="0" w:color="auto"/>
              <w:bottom w:val="single" w:sz="4" w:space="0" w:color="auto"/>
              <w:right w:val="single" w:sz="4" w:space="0" w:color="auto"/>
            </w:tcBorders>
            <w:shd w:val="clear" w:color="auto" w:fill="auto"/>
            <w:hideMark/>
          </w:tcPr>
          <w:p w14:paraId="21173C1F" w14:textId="77777777" w:rsidR="000B6ABC" w:rsidRPr="00970580" w:rsidRDefault="000B6ABC" w:rsidP="00AE1291">
            <w:pPr>
              <w:spacing w:after="0"/>
              <w:rPr>
                <w:b/>
                <w:bCs/>
                <w:color w:val="000000"/>
                <w:sz w:val="20"/>
                <w:szCs w:val="20"/>
              </w:rPr>
            </w:pPr>
            <w:r w:rsidRPr="00970580">
              <w:rPr>
                <w:b/>
                <w:bCs/>
                <w:color w:val="000000"/>
                <w:sz w:val="20"/>
                <w:szCs w:val="20"/>
              </w:rPr>
              <w:t>Feasibility Assessment Progress</w:t>
            </w:r>
          </w:p>
        </w:tc>
        <w:tc>
          <w:tcPr>
            <w:tcW w:w="3060" w:type="dxa"/>
            <w:tcBorders>
              <w:top w:val="nil"/>
              <w:left w:val="nil"/>
              <w:bottom w:val="single" w:sz="4" w:space="0" w:color="auto"/>
              <w:right w:val="single" w:sz="4" w:space="0" w:color="auto"/>
            </w:tcBorders>
            <w:shd w:val="clear" w:color="auto" w:fill="auto"/>
            <w:hideMark/>
          </w:tcPr>
          <w:p w14:paraId="136A30BB" w14:textId="77777777" w:rsidR="000B6ABC" w:rsidRPr="00970580" w:rsidRDefault="000B6ABC" w:rsidP="00AE1291">
            <w:pPr>
              <w:spacing w:after="0"/>
              <w:rPr>
                <w:color w:val="000000"/>
                <w:sz w:val="20"/>
                <w:szCs w:val="20"/>
              </w:rPr>
            </w:pPr>
            <w:r w:rsidRPr="00970580">
              <w:rPr>
                <w:color w:val="000000"/>
                <w:sz w:val="20"/>
                <w:szCs w:val="20"/>
              </w:rPr>
              <w:t>responsibility for feasibility assessment, primary feasibility considerations, number of projects in each stage of feasibility assessment, reasons projects determined not feasible (if applicable)</w:t>
            </w:r>
          </w:p>
        </w:tc>
        <w:tc>
          <w:tcPr>
            <w:tcW w:w="3240" w:type="dxa"/>
            <w:tcBorders>
              <w:top w:val="nil"/>
              <w:left w:val="nil"/>
              <w:bottom w:val="single" w:sz="4" w:space="0" w:color="auto"/>
              <w:right w:val="single" w:sz="4" w:space="0" w:color="auto"/>
            </w:tcBorders>
            <w:shd w:val="clear" w:color="auto" w:fill="auto"/>
            <w:hideMark/>
          </w:tcPr>
          <w:p w14:paraId="6BDC23A3" w14:textId="68DB5DA4" w:rsidR="000B6ABC" w:rsidRPr="00970580" w:rsidRDefault="000B6ABC" w:rsidP="00685593">
            <w:pPr>
              <w:spacing w:after="0"/>
              <w:rPr>
                <w:color w:val="000000"/>
                <w:sz w:val="20"/>
                <w:szCs w:val="20"/>
              </w:rPr>
            </w:pPr>
            <w:r w:rsidRPr="00970580">
              <w:rPr>
                <w:color w:val="000000"/>
                <w:sz w:val="20"/>
                <w:szCs w:val="20"/>
              </w:rPr>
              <w:t>feasibility assessment progress, reasons projects determined not feasible (if applicable)</w:t>
            </w:r>
          </w:p>
        </w:tc>
      </w:tr>
      <w:tr w:rsidR="000B6ABC" w:rsidRPr="00970580" w14:paraId="5FC60182" w14:textId="77777777" w:rsidTr="007E20BD">
        <w:tc>
          <w:tcPr>
            <w:tcW w:w="2985" w:type="dxa"/>
            <w:tcBorders>
              <w:top w:val="nil"/>
              <w:left w:val="single" w:sz="4" w:space="0" w:color="auto"/>
              <w:bottom w:val="single" w:sz="4" w:space="0" w:color="auto"/>
              <w:right w:val="single" w:sz="4" w:space="0" w:color="auto"/>
            </w:tcBorders>
            <w:shd w:val="clear" w:color="auto" w:fill="EEECE1" w:themeFill="background2"/>
            <w:hideMark/>
          </w:tcPr>
          <w:p w14:paraId="576CBBCF" w14:textId="77777777" w:rsidR="000B6ABC" w:rsidRPr="00970580" w:rsidRDefault="000B6ABC" w:rsidP="00AE1291">
            <w:pPr>
              <w:spacing w:after="0"/>
              <w:rPr>
                <w:b/>
                <w:bCs/>
                <w:color w:val="000000"/>
                <w:sz w:val="20"/>
                <w:szCs w:val="20"/>
              </w:rPr>
            </w:pPr>
            <w:r w:rsidRPr="00970580">
              <w:rPr>
                <w:b/>
                <w:bCs/>
                <w:color w:val="000000"/>
                <w:sz w:val="20"/>
                <w:szCs w:val="20"/>
              </w:rPr>
              <w:t>Transaction Structuring Progress</w:t>
            </w:r>
          </w:p>
        </w:tc>
        <w:tc>
          <w:tcPr>
            <w:tcW w:w="3060" w:type="dxa"/>
            <w:tcBorders>
              <w:top w:val="nil"/>
              <w:left w:val="nil"/>
              <w:bottom w:val="single" w:sz="4" w:space="0" w:color="auto"/>
              <w:right w:val="single" w:sz="4" w:space="0" w:color="auto"/>
            </w:tcBorders>
            <w:shd w:val="clear" w:color="auto" w:fill="EEECE1" w:themeFill="background2"/>
            <w:hideMark/>
          </w:tcPr>
          <w:p w14:paraId="016DD2FD" w14:textId="1B8C3694" w:rsidR="000B6ABC" w:rsidRPr="00970580" w:rsidRDefault="000B6ABC" w:rsidP="00AA3F10">
            <w:pPr>
              <w:spacing w:after="0"/>
              <w:rPr>
                <w:color w:val="000000"/>
                <w:sz w:val="20"/>
                <w:szCs w:val="20"/>
              </w:rPr>
            </w:pPr>
            <w:r w:rsidRPr="00970580">
              <w:rPr>
                <w:color w:val="000000"/>
                <w:sz w:val="20"/>
                <w:szCs w:val="20"/>
              </w:rPr>
              <w:t xml:space="preserve">transaction structuring progress, reason transaction was </w:t>
            </w:r>
            <w:r w:rsidR="00AA3F10" w:rsidRPr="00970580">
              <w:rPr>
                <w:color w:val="000000"/>
                <w:sz w:val="20"/>
                <w:szCs w:val="20"/>
              </w:rPr>
              <w:t>not completed</w:t>
            </w:r>
            <w:r w:rsidRPr="00970580">
              <w:rPr>
                <w:color w:val="000000"/>
                <w:sz w:val="20"/>
                <w:szCs w:val="20"/>
              </w:rPr>
              <w:t xml:space="preserve"> (if applicable)</w:t>
            </w:r>
          </w:p>
        </w:tc>
        <w:tc>
          <w:tcPr>
            <w:tcW w:w="3240" w:type="dxa"/>
            <w:tcBorders>
              <w:top w:val="nil"/>
              <w:left w:val="nil"/>
              <w:bottom w:val="single" w:sz="4" w:space="0" w:color="auto"/>
              <w:right w:val="single" w:sz="4" w:space="0" w:color="auto"/>
            </w:tcBorders>
            <w:shd w:val="clear" w:color="auto" w:fill="EEECE1" w:themeFill="background2"/>
            <w:hideMark/>
          </w:tcPr>
          <w:p w14:paraId="6D43DEC4" w14:textId="77777777" w:rsidR="000B6ABC" w:rsidRPr="00970580" w:rsidRDefault="000B6ABC" w:rsidP="00AE1291">
            <w:pPr>
              <w:spacing w:after="0"/>
              <w:rPr>
                <w:color w:val="000000"/>
                <w:sz w:val="20"/>
                <w:szCs w:val="20"/>
              </w:rPr>
            </w:pPr>
            <w:r w:rsidRPr="00970580">
              <w:rPr>
                <w:color w:val="000000"/>
                <w:sz w:val="20"/>
                <w:szCs w:val="20"/>
              </w:rPr>
              <w:t>N/A</w:t>
            </w:r>
          </w:p>
        </w:tc>
      </w:tr>
      <w:tr w:rsidR="000B6ABC" w:rsidRPr="00970580" w14:paraId="3E1BC071" w14:textId="77777777" w:rsidTr="00970580">
        <w:tc>
          <w:tcPr>
            <w:tcW w:w="2985" w:type="dxa"/>
            <w:tcBorders>
              <w:top w:val="nil"/>
              <w:left w:val="single" w:sz="4" w:space="0" w:color="auto"/>
              <w:bottom w:val="single" w:sz="4" w:space="0" w:color="auto"/>
              <w:right w:val="single" w:sz="4" w:space="0" w:color="auto"/>
            </w:tcBorders>
            <w:shd w:val="clear" w:color="auto" w:fill="F2F2F2" w:themeFill="background1" w:themeFillShade="F2"/>
            <w:hideMark/>
          </w:tcPr>
          <w:p w14:paraId="4A34CAA4" w14:textId="6C65E92B" w:rsidR="000B6ABC" w:rsidRPr="00970580" w:rsidRDefault="000B6ABC" w:rsidP="006F3EFB">
            <w:pPr>
              <w:spacing w:after="0"/>
              <w:rPr>
                <w:b/>
                <w:bCs/>
                <w:color w:val="000000"/>
                <w:sz w:val="20"/>
                <w:szCs w:val="20"/>
              </w:rPr>
            </w:pPr>
            <w:proofErr w:type="spellStart"/>
            <w:r w:rsidRPr="00970580">
              <w:rPr>
                <w:b/>
                <w:bCs/>
                <w:color w:val="000000"/>
                <w:sz w:val="20"/>
                <w:szCs w:val="20"/>
              </w:rPr>
              <w:t>Subrecipient</w:t>
            </w:r>
            <w:proofErr w:type="spellEnd"/>
            <w:r w:rsidRPr="00970580">
              <w:rPr>
                <w:b/>
                <w:bCs/>
                <w:color w:val="000000"/>
                <w:sz w:val="20"/>
                <w:szCs w:val="20"/>
              </w:rPr>
              <w:t>/</w:t>
            </w:r>
            <w:r w:rsidR="003B6D11" w:rsidRPr="00970580">
              <w:rPr>
                <w:b/>
                <w:bCs/>
                <w:color w:val="000000"/>
                <w:sz w:val="20"/>
                <w:szCs w:val="20"/>
              </w:rPr>
              <w:t>Service Recipient</w:t>
            </w:r>
            <w:r w:rsidRPr="00970580">
              <w:rPr>
                <w:b/>
                <w:bCs/>
                <w:color w:val="000000"/>
                <w:sz w:val="20"/>
                <w:szCs w:val="20"/>
              </w:rPr>
              <w:t xml:space="preserve"> Project Progress</w:t>
            </w:r>
          </w:p>
        </w:tc>
        <w:tc>
          <w:tcPr>
            <w:tcW w:w="3060" w:type="dxa"/>
            <w:tcBorders>
              <w:top w:val="nil"/>
              <w:left w:val="nil"/>
              <w:bottom w:val="single" w:sz="4" w:space="0" w:color="auto"/>
              <w:right w:val="single" w:sz="4" w:space="0" w:color="auto"/>
            </w:tcBorders>
            <w:shd w:val="clear" w:color="auto" w:fill="F2F2F2" w:themeFill="background1" w:themeFillShade="F2"/>
            <w:hideMark/>
          </w:tcPr>
          <w:p w14:paraId="664EDD6D" w14:textId="77777777" w:rsidR="000B6ABC" w:rsidRPr="00970580" w:rsidRDefault="000B6ABC" w:rsidP="00AE1291">
            <w:pPr>
              <w:spacing w:after="0"/>
              <w:rPr>
                <w:color w:val="000000"/>
                <w:sz w:val="20"/>
                <w:szCs w:val="20"/>
              </w:rPr>
            </w:pPr>
            <w:r w:rsidRPr="00970580">
              <w:rPr>
                <w:color w:val="000000"/>
                <w:sz w:val="20"/>
                <w:szCs w:val="20"/>
              </w:rPr>
              <w:t>N/A</w:t>
            </w:r>
          </w:p>
        </w:tc>
        <w:tc>
          <w:tcPr>
            <w:tcW w:w="3240" w:type="dxa"/>
            <w:tcBorders>
              <w:top w:val="nil"/>
              <w:left w:val="nil"/>
              <w:bottom w:val="single" w:sz="4" w:space="0" w:color="auto"/>
              <w:right w:val="single" w:sz="4" w:space="0" w:color="auto"/>
            </w:tcBorders>
            <w:shd w:val="clear" w:color="auto" w:fill="F2F2F2" w:themeFill="background1" w:themeFillShade="F2"/>
            <w:hideMark/>
          </w:tcPr>
          <w:p w14:paraId="7A91955B" w14:textId="37A2772D" w:rsidR="000B6ABC" w:rsidRPr="00970580" w:rsidRDefault="000B6ABC" w:rsidP="009D1468">
            <w:pPr>
              <w:spacing w:after="0"/>
              <w:rPr>
                <w:color w:val="000000"/>
                <w:sz w:val="20"/>
                <w:szCs w:val="20"/>
              </w:rPr>
            </w:pPr>
            <w:r w:rsidRPr="00970580">
              <w:rPr>
                <w:color w:val="000000"/>
                <w:sz w:val="20"/>
                <w:szCs w:val="20"/>
              </w:rPr>
              <w:t>detailed information on each PFS project's activities and progress</w:t>
            </w:r>
          </w:p>
        </w:tc>
      </w:tr>
      <w:tr w:rsidR="00AA3F10" w:rsidRPr="00970580" w14:paraId="723D4C3B" w14:textId="77777777" w:rsidTr="007E20BD">
        <w:tc>
          <w:tcPr>
            <w:tcW w:w="2985" w:type="dxa"/>
            <w:tcBorders>
              <w:top w:val="nil"/>
              <w:left w:val="single" w:sz="4" w:space="0" w:color="auto"/>
              <w:bottom w:val="single" w:sz="4" w:space="0" w:color="auto"/>
              <w:right w:val="single" w:sz="4" w:space="0" w:color="auto"/>
            </w:tcBorders>
            <w:shd w:val="clear" w:color="auto" w:fill="EEECE1" w:themeFill="background2"/>
          </w:tcPr>
          <w:p w14:paraId="73835A84" w14:textId="63164557" w:rsidR="00AA3F10" w:rsidRPr="00970580" w:rsidRDefault="00AA3F10" w:rsidP="006F3EFB">
            <w:pPr>
              <w:spacing w:after="0"/>
              <w:rPr>
                <w:b/>
                <w:bCs/>
                <w:color w:val="000000"/>
                <w:sz w:val="20"/>
                <w:szCs w:val="20"/>
              </w:rPr>
            </w:pPr>
            <w:r w:rsidRPr="00970580">
              <w:rPr>
                <w:b/>
                <w:bCs/>
                <w:color w:val="000000"/>
                <w:sz w:val="20"/>
                <w:szCs w:val="20"/>
              </w:rPr>
              <w:t>Reflection on the SIF PFS Program</w:t>
            </w:r>
          </w:p>
        </w:tc>
        <w:tc>
          <w:tcPr>
            <w:tcW w:w="3060" w:type="dxa"/>
            <w:tcBorders>
              <w:top w:val="nil"/>
              <w:left w:val="nil"/>
              <w:bottom w:val="single" w:sz="4" w:space="0" w:color="auto"/>
              <w:right w:val="single" w:sz="4" w:space="0" w:color="auto"/>
            </w:tcBorders>
            <w:shd w:val="clear" w:color="auto" w:fill="EEECE1" w:themeFill="background2"/>
          </w:tcPr>
          <w:p w14:paraId="11347CEE" w14:textId="2E37627B" w:rsidR="00AA3F10" w:rsidRPr="00970580" w:rsidRDefault="00AA3F10" w:rsidP="00685593">
            <w:pPr>
              <w:spacing w:after="0"/>
              <w:rPr>
                <w:color w:val="000000"/>
                <w:sz w:val="20"/>
                <w:szCs w:val="20"/>
              </w:rPr>
            </w:pPr>
            <w:r w:rsidRPr="00970580">
              <w:rPr>
                <w:color w:val="000000"/>
                <w:sz w:val="20"/>
                <w:szCs w:val="20"/>
              </w:rPr>
              <w:t>Capacity</w:t>
            </w:r>
            <w:r w:rsidR="00685593">
              <w:rPr>
                <w:color w:val="000000"/>
                <w:sz w:val="20"/>
                <w:szCs w:val="20"/>
              </w:rPr>
              <w:t xml:space="preserve"> building,</w:t>
            </w:r>
            <w:r w:rsidRPr="00970580">
              <w:rPr>
                <w:color w:val="000000"/>
                <w:sz w:val="20"/>
                <w:szCs w:val="20"/>
              </w:rPr>
              <w:t xml:space="preserve"> lessons learned</w:t>
            </w:r>
          </w:p>
        </w:tc>
        <w:tc>
          <w:tcPr>
            <w:tcW w:w="3240" w:type="dxa"/>
            <w:tcBorders>
              <w:top w:val="nil"/>
              <w:left w:val="nil"/>
              <w:bottom w:val="single" w:sz="4" w:space="0" w:color="auto"/>
              <w:right w:val="single" w:sz="4" w:space="0" w:color="auto"/>
            </w:tcBorders>
            <w:shd w:val="clear" w:color="auto" w:fill="EEECE1" w:themeFill="background2"/>
          </w:tcPr>
          <w:p w14:paraId="25A97D6C" w14:textId="7238AAA0" w:rsidR="00AA3F10" w:rsidRPr="00970580" w:rsidRDefault="009D1468" w:rsidP="00685593">
            <w:pPr>
              <w:spacing w:after="0"/>
              <w:rPr>
                <w:color w:val="000000"/>
                <w:sz w:val="20"/>
                <w:szCs w:val="20"/>
              </w:rPr>
            </w:pPr>
            <w:r w:rsidRPr="00970580">
              <w:rPr>
                <w:color w:val="000000"/>
                <w:sz w:val="20"/>
                <w:szCs w:val="20"/>
              </w:rPr>
              <w:t>Capacity</w:t>
            </w:r>
            <w:r w:rsidR="00685593">
              <w:rPr>
                <w:color w:val="000000"/>
                <w:sz w:val="20"/>
                <w:szCs w:val="20"/>
              </w:rPr>
              <w:t xml:space="preserve"> building,</w:t>
            </w:r>
            <w:r w:rsidRPr="00970580">
              <w:rPr>
                <w:color w:val="000000"/>
                <w:sz w:val="20"/>
                <w:szCs w:val="20"/>
              </w:rPr>
              <w:t xml:space="preserve"> lessons learned, needs, usefulness of assistance received</w:t>
            </w:r>
          </w:p>
        </w:tc>
      </w:tr>
      <w:tr w:rsidR="000B6ABC" w:rsidRPr="000B6ABC" w14:paraId="20CB9695" w14:textId="77777777" w:rsidTr="007E20BD">
        <w:tc>
          <w:tcPr>
            <w:tcW w:w="2985" w:type="dxa"/>
            <w:tcBorders>
              <w:top w:val="nil"/>
              <w:left w:val="single" w:sz="4" w:space="0" w:color="auto"/>
              <w:bottom w:val="single" w:sz="4" w:space="0" w:color="auto"/>
              <w:right w:val="single" w:sz="4" w:space="0" w:color="auto"/>
            </w:tcBorders>
            <w:shd w:val="clear" w:color="auto" w:fill="auto"/>
            <w:hideMark/>
          </w:tcPr>
          <w:p w14:paraId="49B2769B" w14:textId="630B4AD6" w:rsidR="000B6ABC" w:rsidRPr="00970580" w:rsidRDefault="000B6ABC" w:rsidP="00394AA9">
            <w:pPr>
              <w:spacing w:after="0"/>
              <w:rPr>
                <w:b/>
                <w:bCs/>
                <w:color w:val="000000"/>
                <w:sz w:val="20"/>
                <w:szCs w:val="20"/>
              </w:rPr>
            </w:pPr>
            <w:r w:rsidRPr="00970580">
              <w:rPr>
                <w:b/>
                <w:bCs/>
                <w:color w:val="000000"/>
                <w:sz w:val="20"/>
                <w:szCs w:val="20"/>
              </w:rPr>
              <w:t xml:space="preserve">Perceptions of </w:t>
            </w:r>
            <w:r w:rsidR="00487F9A" w:rsidRPr="00970580">
              <w:rPr>
                <w:b/>
                <w:bCs/>
                <w:color w:val="000000"/>
                <w:sz w:val="20"/>
                <w:szCs w:val="20"/>
              </w:rPr>
              <w:t xml:space="preserve">SIF </w:t>
            </w:r>
            <w:r w:rsidRPr="00970580">
              <w:rPr>
                <w:b/>
                <w:bCs/>
                <w:color w:val="000000"/>
                <w:sz w:val="20"/>
                <w:szCs w:val="20"/>
              </w:rPr>
              <w:t>PFS Program</w:t>
            </w:r>
          </w:p>
        </w:tc>
        <w:tc>
          <w:tcPr>
            <w:tcW w:w="3060" w:type="dxa"/>
            <w:tcBorders>
              <w:top w:val="nil"/>
              <w:left w:val="nil"/>
              <w:bottom w:val="single" w:sz="4" w:space="0" w:color="auto"/>
              <w:right w:val="single" w:sz="4" w:space="0" w:color="auto"/>
            </w:tcBorders>
            <w:shd w:val="clear" w:color="auto" w:fill="auto"/>
            <w:hideMark/>
          </w:tcPr>
          <w:p w14:paraId="5E7D040E" w14:textId="4F72AAF3" w:rsidR="000B6ABC" w:rsidRPr="00970580" w:rsidRDefault="000B6ABC" w:rsidP="00AA3F10">
            <w:pPr>
              <w:spacing w:after="0"/>
              <w:rPr>
                <w:color w:val="000000"/>
                <w:sz w:val="20"/>
                <w:szCs w:val="20"/>
              </w:rPr>
            </w:pPr>
            <w:r w:rsidRPr="00970580">
              <w:rPr>
                <w:color w:val="000000"/>
                <w:sz w:val="20"/>
                <w:szCs w:val="20"/>
              </w:rPr>
              <w:t xml:space="preserve">satisfaction with various aspects of </w:t>
            </w:r>
            <w:r w:rsidR="00487F9A" w:rsidRPr="00970580">
              <w:rPr>
                <w:color w:val="000000"/>
                <w:sz w:val="20"/>
                <w:szCs w:val="20"/>
              </w:rPr>
              <w:t xml:space="preserve">SIF </w:t>
            </w:r>
            <w:r w:rsidRPr="00970580">
              <w:rPr>
                <w:color w:val="000000"/>
                <w:sz w:val="20"/>
                <w:szCs w:val="20"/>
              </w:rPr>
              <w:t xml:space="preserve">PFS </w:t>
            </w:r>
            <w:r w:rsidR="00685593">
              <w:rPr>
                <w:color w:val="000000"/>
                <w:sz w:val="20"/>
                <w:szCs w:val="20"/>
              </w:rPr>
              <w:t>p</w:t>
            </w:r>
            <w:r w:rsidRPr="00970580">
              <w:rPr>
                <w:color w:val="000000"/>
                <w:sz w:val="20"/>
                <w:szCs w:val="20"/>
              </w:rPr>
              <w:t xml:space="preserve">rogram </w:t>
            </w:r>
          </w:p>
        </w:tc>
        <w:tc>
          <w:tcPr>
            <w:tcW w:w="3240" w:type="dxa"/>
            <w:tcBorders>
              <w:top w:val="nil"/>
              <w:left w:val="nil"/>
              <w:bottom w:val="single" w:sz="4" w:space="0" w:color="auto"/>
              <w:right w:val="single" w:sz="4" w:space="0" w:color="auto"/>
            </w:tcBorders>
            <w:shd w:val="clear" w:color="auto" w:fill="auto"/>
            <w:hideMark/>
          </w:tcPr>
          <w:p w14:paraId="7D116E90" w14:textId="77777777" w:rsidR="000B6ABC" w:rsidRPr="00970580" w:rsidRDefault="000B6ABC" w:rsidP="00AE1291">
            <w:pPr>
              <w:spacing w:after="0"/>
              <w:rPr>
                <w:color w:val="000000"/>
                <w:sz w:val="20"/>
                <w:szCs w:val="20"/>
              </w:rPr>
            </w:pPr>
            <w:r w:rsidRPr="00970580">
              <w:rPr>
                <w:color w:val="000000"/>
                <w:sz w:val="20"/>
                <w:szCs w:val="20"/>
              </w:rPr>
              <w:t>N/A</w:t>
            </w:r>
          </w:p>
        </w:tc>
      </w:tr>
    </w:tbl>
    <w:p w14:paraId="42FB4395" w14:textId="77777777" w:rsidR="000B6ABC" w:rsidRDefault="000B6ABC" w:rsidP="00D519E6">
      <w:pPr>
        <w:autoSpaceDE w:val="0"/>
        <w:autoSpaceDN w:val="0"/>
        <w:adjustRightInd w:val="0"/>
        <w:spacing w:after="0"/>
        <w:rPr>
          <w:rFonts w:eastAsiaTheme="minorHAnsi"/>
        </w:rPr>
      </w:pPr>
    </w:p>
    <w:p w14:paraId="6C10CDDF" w14:textId="77777777" w:rsidR="007E20BD" w:rsidRDefault="007E20BD" w:rsidP="007E20BD">
      <w:pPr>
        <w:spacing w:after="240"/>
      </w:pPr>
      <w:bookmarkStart w:id="3" w:name="_Toc436979505"/>
      <w:proofErr w:type="gramStart"/>
      <w:r>
        <w:t>discussion</w:t>
      </w:r>
      <w:proofErr w:type="gramEnd"/>
      <w:r>
        <w:t xml:space="preserve"> guides will be developed with issues and discussion points relevant to each respondent’s particular focus area and experience with SIF PFS program and project activities.  In no case will these discussions collect standardized or identical data from more than nine respondents of the same type. For this reason, these additional data collection activities are not included in this submission.</w:t>
      </w:r>
    </w:p>
    <w:p w14:paraId="44BFE30D" w14:textId="77777777" w:rsidR="00EC1C8E" w:rsidRPr="009074DF" w:rsidRDefault="000F38CE" w:rsidP="00F87FF9">
      <w:pPr>
        <w:pStyle w:val="Heading2"/>
      </w:pPr>
      <w:r w:rsidRPr="009074DF">
        <w:t xml:space="preserve">A3. </w:t>
      </w:r>
      <w:r w:rsidR="005C37E8" w:rsidRPr="009074DF">
        <w:t>Use of Information Technology and Burden Reduction</w:t>
      </w:r>
      <w:bookmarkEnd w:id="3"/>
      <w:r w:rsidR="005C37E8" w:rsidRPr="009074DF">
        <w:t xml:space="preserve"> </w:t>
      </w:r>
    </w:p>
    <w:p w14:paraId="06EFEE9F" w14:textId="1BA55286" w:rsidR="000A7113" w:rsidRDefault="00A20EAF" w:rsidP="00A25F26">
      <w:pPr>
        <w:spacing w:after="240"/>
      </w:pPr>
      <w:r w:rsidRPr="009074DF">
        <w:t xml:space="preserve">Several efforts have been </w:t>
      </w:r>
      <w:r w:rsidR="003D3D69" w:rsidRPr="009074DF">
        <w:t xml:space="preserve">made to minimize the burden on respondents. </w:t>
      </w:r>
      <w:r w:rsidRPr="009074DF">
        <w:t xml:space="preserve">In </w:t>
      </w:r>
      <w:r w:rsidR="003D3D69" w:rsidRPr="009074DF">
        <w:t>designing the survey</w:t>
      </w:r>
      <w:r w:rsidR="009C52EB" w:rsidRPr="009074DF">
        <w:t>,</w:t>
      </w:r>
      <w:r w:rsidR="003D3D69" w:rsidRPr="009074DF">
        <w:t xml:space="preserve"> each question was carefully considered to avoid duplication</w:t>
      </w:r>
      <w:r w:rsidRPr="009074DF">
        <w:t xml:space="preserve"> of data available from other sources</w:t>
      </w:r>
      <w:r w:rsidR="002A35BA" w:rsidRPr="009074DF">
        <w:t xml:space="preserve">. </w:t>
      </w:r>
      <w:r w:rsidR="00901AC4" w:rsidRPr="009074DF">
        <w:t xml:space="preserve">The burden will be further minimized by making sure that participants only receive questions that are relevant to them; this </w:t>
      </w:r>
      <w:r w:rsidR="000A7113">
        <w:t>will be accomplished</w:t>
      </w:r>
      <w:r w:rsidR="00901AC4" w:rsidRPr="009074DF">
        <w:t xml:space="preserve"> by </w:t>
      </w:r>
      <w:r w:rsidR="00A210E2">
        <w:t>employing skip patterns.</w:t>
      </w:r>
    </w:p>
    <w:p w14:paraId="4B9C8900" w14:textId="2AB4170E" w:rsidR="000A7113" w:rsidRDefault="00D17849" w:rsidP="00A25F26">
      <w:pPr>
        <w:spacing w:after="240"/>
      </w:pPr>
      <w:r>
        <w:t>As indicated above, t</w:t>
      </w:r>
      <w:r w:rsidR="00A20EAF" w:rsidRPr="009074DF">
        <w:t>he</w:t>
      </w:r>
      <w:r w:rsidR="003D3D69" w:rsidRPr="009074DF">
        <w:t xml:space="preserve"> survey will be </w:t>
      </w:r>
      <w:r w:rsidR="002D4C04">
        <w:t xml:space="preserve">administered primarily </w:t>
      </w:r>
      <w:r w:rsidR="003D3D69" w:rsidRPr="009074DF">
        <w:t>online</w:t>
      </w:r>
      <w:r w:rsidR="002D4C04">
        <w:t xml:space="preserve"> </w:t>
      </w:r>
      <w:r w:rsidRPr="00D519E6">
        <w:rPr>
          <w:rFonts w:eastAsiaTheme="minorHAnsi"/>
        </w:rPr>
        <w:t>using</w:t>
      </w:r>
      <w:r>
        <w:rPr>
          <w:rFonts w:eastAsiaTheme="minorHAnsi"/>
        </w:rPr>
        <w:t xml:space="preserve"> </w:t>
      </w:r>
      <w:proofErr w:type="spellStart"/>
      <w:r w:rsidRPr="00D519E6">
        <w:rPr>
          <w:rFonts w:eastAsiaTheme="minorHAnsi"/>
        </w:rPr>
        <w:t>FluidSurveys</w:t>
      </w:r>
      <w:proofErr w:type="spellEnd"/>
      <w:r>
        <w:t xml:space="preserve">. </w:t>
      </w:r>
      <w:r w:rsidR="000A7113">
        <w:t>Online administration will</w:t>
      </w:r>
      <w:r w:rsidR="003D3D69" w:rsidRPr="009074DF">
        <w:t xml:space="preserve"> lessen the burden on participants by allowing them to complete the survey at a time and in a place that </w:t>
      </w:r>
      <w:r w:rsidR="009C52EB" w:rsidRPr="009074DF">
        <w:t>is most convenient to</w:t>
      </w:r>
      <w:r w:rsidR="003D3D69" w:rsidRPr="009074DF">
        <w:t xml:space="preserve"> them</w:t>
      </w:r>
      <w:r w:rsidR="002A35BA" w:rsidRPr="009074DF">
        <w:t xml:space="preserve">. </w:t>
      </w:r>
      <w:r w:rsidR="000B7E98" w:rsidRPr="009074DF">
        <w:t xml:space="preserve">Additionally, respondents </w:t>
      </w:r>
      <w:r w:rsidR="000A7113">
        <w:t>will have the option of</w:t>
      </w:r>
      <w:r w:rsidR="000B7E98" w:rsidRPr="009074DF">
        <w:t xml:space="preserve"> complet</w:t>
      </w:r>
      <w:r w:rsidR="000A7113">
        <w:t>ing</w:t>
      </w:r>
      <w:r w:rsidR="000B7E98" w:rsidRPr="009074DF">
        <w:t xml:space="preserve"> </w:t>
      </w:r>
      <w:r w:rsidR="000A7113">
        <w:t xml:space="preserve">the entire </w:t>
      </w:r>
      <w:r w:rsidR="000B7E98" w:rsidRPr="009074DF">
        <w:t xml:space="preserve">questionnaire </w:t>
      </w:r>
      <w:r w:rsidR="000A7113">
        <w:t xml:space="preserve">at once, </w:t>
      </w:r>
      <w:r w:rsidR="00B7017E">
        <w:t xml:space="preserve">or </w:t>
      </w:r>
      <w:r w:rsidR="000A7113">
        <w:t xml:space="preserve">coming back to it if they are interrupted, </w:t>
      </w:r>
      <w:r w:rsidR="00487F9A">
        <w:lastRenderedPageBreak/>
        <w:t>or need to consult with</w:t>
      </w:r>
      <w:r w:rsidR="000B7E98" w:rsidRPr="009074DF">
        <w:t xml:space="preserve"> colleagues </w:t>
      </w:r>
      <w:r w:rsidR="004B697A">
        <w:t>to provide an accurate response</w:t>
      </w:r>
      <w:r w:rsidR="00DB4A1D" w:rsidRPr="009074DF">
        <w:t xml:space="preserve"> (e.g., budget information)</w:t>
      </w:r>
      <w:r w:rsidR="004B697A">
        <w:t>.</w:t>
      </w:r>
      <w:r w:rsidR="007A3C4E">
        <w:t xml:space="preserve"> </w:t>
      </w:r>
      <w:r w:rsidR="00DB4A1D" w:rsidRPr="009074DF">
        <w:t xml:space="preserve">Using an online survey </w:t>
      </w:r>
      <w:r w:rsidR="000A7113">
        <w:t xml:space="preserve">format </w:t>
      </w:r>
      <w:r w:rsidR="003D3D69" w:rsidRPr="009074DF">
        <w:t xml:space="preserve">also reduces burden by </w:t>
      </w:r>
      <w:r w:rsidR="002D4C04">
        <w:t>eliminating</w:t>
      </w:r>
      <w:r w:rsidR="003D3D69" w:rsidRPr="009074DF">
        <w:t xml:space="preserve"> the time </w:t>
      </w:r>
      <w:r w:rsidR="002D4C04">
        <w:t xml:space="preserve">and </w:t>
      </w:r>
      <w:r w:rsidR="009C52EB" w:rsidRPr="009074DF">
        <w:t xml:space="preserve">effort required </w:t>
      </w:r>
      <w:r w:rsidR="00487F9A">
        <w:t xml:space="preserve">for respondents </w:t>
      </w:r>
      <w:r w:rsidR="003D3D69" w:rsidRPr="009074DF">
        <w:t xml:space="preserve">to </w:t>
      </w:r>
      <w:r w:rsidR="00487F9A">
        <w:t>return</w:t>
      </w:r>
      <w:r w:rsidR="003D3D69" w:rsidRPr="009074DF">
        <w:t xml:space="preserve"> a </w:t>
      </w:r>
      <w:r w:rsidR="00AE362F">
        <w:t>hard-copy</w:t>
      </w:r>
      <w:r w:rsidR="00AE362F" w:rsidRPr="009074DF">
        <w:t xml:space="preserve"> </w:t>
      </w:r>
      <w:r w:rsidR="003D3D69" w:rsidRPr="009074DF">
        <w:t>survey</w:t>
      </w:r>
      <w:r w:rsidR="002A35BA" w:rsidRPr="009074DF">
        <w:t xml:space="preserve">. </w:t>
      </w:r>
    </w:p>
    <w:p w14:paraId="10763E65" w14:textId="5B04D375" w:rsidR="003D3D69" w:rsidRPr="009074DF" w:rsidRDefault="00BE4D03" w:rsidP="00A25F26">
      <w:pPr>
        <w:spacing w:after="240"/>
      </w:pPr>
      <w:r>
        <w:t>Upon request, r</w:t>
      </w:r>
      <w:r w:rsidR="00A20EAF" w:rsidRPr="009074DF">
        <w:t xml:space="preserve">espondents </w:t>
      </w:r>
      <w:r>
        <w:t xml:space="preserve">without </w:t>
      </w:r>
      <w:r w:rsidR="00AC1D3F">
        <w:t>I</w:t>
      </w:r>
      <w:r>
        <w:t xml:space="preserve">nternet access </w:t>
      </w:r>
      <w:r w:rsidR="000A7113">
        <w:t xml:space="preserve">will be given the option of </w:t>
      </w:r>
      <w:r>
        <w:t>completing</w:t>
      </w:r>
      <w:r w:rsidR="00A20EAF" w:rsidRPr="009074DF">
        <w:t xml:space="preserve"> a </w:t>
      </w:r>
      <w:r w:rsidR="00AE362F">
        <w:t>hard-copy</w:t>
      </w:r>
      <w:r w:rsidR="00AE362F" w:rsidRPr="009074DF">
        <w:t xml:space="preserve"> </w:t>
      </w:r>
      <w:r w:rsidR="00A20EAF" w:rsidRPr="009074DF">
        <w:t xml:space="preserve">version </w:t>
      </w:r>
      <w:r w:rsidR="000A7113">
        <w:t>of the survey</w:t>
      </w:r>
      <w:r w:rsidR="002A35BA" w:rsidRPr="009074DF">
        <w:t xml:space="preserve">. </w:t>
      </w:r>
      <w:r w:rsidR="00A210E2">
        <w:t>However</w:t>
      </w:r>
      <w:r w:rsidR="00A20EAF" w:rsidRPr="009074DF">
        <w:t xml:space="preserve">, </w:t>
      </w:r>
      <w:r w:rsidR="00D655BF">
        <w:t xml:space="preserve">it is </w:t>
      </w:r>
      <w:r w:rsidR="00A20EAF" w:rsidRPr="009074DF">
        <w:t>estimate</w:t>
      </w:r>
      <w:r w:rsidR="00D655BF">
        <w:t>d</w:t>
      </w:r>
      <w:r w:rsidR="00A20EAF" w:rsidRPr="009074DF">
        <w:t xml:space="preserve"> that only a very small number of respondents will </w:t>
      </w:r>
      <w:r>
        <w:t xml:space="preserve">need </w:t>
      </w:r>
      <w:r w:rsidR="00C77776">
        <w:t xml:space="preserve">or desire </w:t>
      </w:r>
      <w:r>
        <w:t>this option.</w:t>
      </w:r>
    </w:p>
    <w:p w14:paraId="234465E9" w14:textId="77777777" w:rsidR="00EC1C8E" w:rsidRPr="009074DF" w:rsidRDefault="000F38CE" w:rsidP="00F87FF9">
      <w:pPr>
        <w:pStyle w:val="Heading2"/>
      </w:pPr>
      <w:bookmarkStart w:id="4" w:name="_Toc436979506"/>
      <w:r w:rsidRPr="009074DF">
        <w:t xml:space="preserve">A4. </w:t>
      </w:r>
      <w:r w:rsidR="00EC1C8E" w:rsidRPr="009074DF">
        <w:t>Efforts to Identify Duplication</w:t>
      </w:r>
      <w:bookmarkEnd w:id="4"/>
    </w:p>
    <w:p w14:paraId="12065E7C" w14:textId="78207161" w:rsidR="00B278DC" w:rsidRPr="009074DF" w:rsidRDefault="00B278DC" w:rsidP="00F87FF9">
      <w:r w:rsidRPr="009074DF">
        <w:t xml:space="preserve">The survey </w:t>
      </w:r>
      <w:r w:rsidR="00151358" w:rsidRPr="009074DF">
        <w:t>does</w:t>
      </w:r>
      <w:r w:rsidRPr="009074DF">
        <w:t xml:space="preserve"> not duplicate a current </w:t>
      </w:r>
      <w:r w:rsidR="00C42CF4" w:rsidRPr="009074DF">
        <w:t xml:space="preserve">data </w:t>
      </w:r>
      <w:r w:rsidRPr="009074DF">
        <w:t xml:space="preserve">collection </w:t>
      </w:r>
      <w:r w:rsidR="005A1CDF" w:rsidRPr="009074DF">
        <w:t xml:space="preserve">activity </w:t>
      </w:r>
      <w:r w:rsidRPr="009074DF">
        <w:t xml:space="preserve">and there is no information </w:t>
      </w:r>
      <w:r w:rsidR="00B73A2F" w:rsidRPr="009074DF">
        <w:t xml:space="preserve">currently </w:t>
      </w:r>
      <w:r w:rsidRPr="009074DF">
        <w:t xml:space="preserve">available to answer </w:t>
      </w:r>
      <w:r w:rsidR="00563247">
        <w:t>all</w:t>
      </w:r>
      <w:r w:rsidRPr="009074DF">
        <w:t xml:space="preserve"> research questions of the </w:t>
      </w:r>
      <w:r w:rsidR="008B435E">
        <w:t>evaluation</w:t>
      </w:r>
      <w:r w:rsidR="002A35BA" w:rsidRPr="009074DF">
        <w:t xml:space="preserve">. </w:t>
      </w:r>
    </w:p>
    <w:p w14:paraId="19636F6D" w14:textId="77777777" w:rsidR="00EC1C8E" w:rsidRPr="009074DF" w:rsidRDefault="000F38CE" w:rsidP="00F87FF9">
      <w:pPr>
        <w:pStyle w:val="Heading2"/>
      </w:pPr>
      <w:bookmarkStart w:id="5" w:name="_Toc436979507"/>
      <w:r w:rsidRPr="009074DF">
        <w:t xml:space="preserve">A5. </w:t>
      </w:r>
      <w:r w:rsidR="00EC1C8E" w:rsidRPr="009074DF">
        <w:t xml:space="preserve">Methods to Minimize Burden on Small </w:t>
      </w:r>
      <w:r w:rsidR="005C37E8" w:rsidRPr="009074DF">
        <w:t>Entities</w:t>
      </w:r>
      <w:bookmarkEnd w:id="5"/>
      <w:r w:rsidR="005C37E8" w:rsidRPr="009074DF">
        <w:t xml:space="preserve"> </w:t>
      </w:r>
    </w:p>
    <w:p w14:paraId="499FECA8" w14:textId="20B2DE0F" w:rsidR="00B51087" w:rsidRPr="009074DF" w:rsidRDefault="00BE4D03" w:rsidP="00BE4D03">
      <w:pPr>
        <w:pStyle w:val="BodyText"/>
      </w:pPr>
      <w:r>
        <w:t xml:space="preserve">The information collection </w:t>
      </w:r>
      <w:r w:rsidR="00877A69">
        <w:t>is not expected to</w:t>
      </w:r>
      <w:r>
        <w:t xml:space="preserve"> involve small businesses.  </w:t>
      </w:r>
      <w:r w:rsidR="00877A69">
        <w:t>S</w:t>
      </w:r>
      <w:r>
        <w:t xml:space="preserve">ome proportion of </w:t>
      </w:r>
      <w:proofErr w:type="spellStart"/>
      <w:r>
        <w:t>subrecipients</w:t>
      </w:r>
      <w:proofErr w:type="spellEnd"/>
      <w:r>
        <w:t xml:space="preserve"> and </w:t>
      </w:r>
      <w:r w:rsidR="006F3EFB">
        <w:t>s</w:t>
      </w:r>
      <w:r w:rsidR="003B6D11">
        <w:t xml:space="preserve">ervice </w:t>
      </w:r>
      <w:r w:rsidR="006F3EFB">
        <w:t>r</w:t>
      </w:r>
      <w:r w:rsidR="003B6D11">
        <w:t>ecipient</w:t>
      </w:r>
      <w:r>
        <w:t xml:space="preserve">s may be small nonprofit entities; however, their participation is necessary to meet the study objectives and answer the research questions. </w:t>
      </w:r>
      <w:r w:rsidR="00B51087">
        <w:t>The i</w:t>
      </w:r>
      <w:r w:rsidR="00B51087" w:rsidRPr="00165D50">
        <w:t xml:space="preserve">nformation being requested </w:t>
      </w:r>
      <w:r w:rsidR="00B51087">
        <w:t>for th</w:t>
      </w:r>
      <w:r>
        <w:t>e surveys in this</w:t>
      </w:r>
      <w:r w:rsidR="00B51087">
        <w:t xml:space="preserve"> study</w:t>
      </w:r>
      <w:r w:rsidR="00B51087" w:rsidRPr="00165D50">
        <w:t xml:space="preserve"> has been held to the minimum</w:t>
      </w:r>
      <w:r w:rsidR="00D1379B">
        <w:t xml:space="preserve"> required for the intended use. </w:t>
      </w:r>
      <w:r w:rsidR="00B51087">
        <w:t xml:space="preserve">The information requested will not have a significant economic impact on the small </w:t>
      </w:r>
      <w:r w:rsidR="0026545D">
        <w:t>entities</w:t>
      </w:r>
      <w:r w:rsidR="00D1379B">
        <w:t xml:space="preserve">, as the surveys will </w:t>
      </w:r>
      <w:r w:rsidR="0026545D">
        <w:t xml:space="preserve">require </w:t>
      </w:r>
      <w:r w:rsidR="00685593">
        <w:t>approximately</w:t>
      </w:r>
      <w:r w:rsidR="00D1379B">
        <w:t xml:space="preserve"> 20 minutes </w:t>
      </w:r>
      <w:proofErr w:type="gramStart"/>
      <w:r w:rsidR="00685593">
        <w:t xml:space="preserve">to </w:t>
      </w:r>
      <w:r w:rsidR="00D1379B">
        <w:t>complete</w:t>
      </w:r>
      <w:proofErr w:type="gramEnd"/>
      <w:r w:rsidR="00B51087">
        <w:t xml:space="preserve">. </w:t>
      </w:r>
    </w:p>
    <w:p w14:paraId="6CC638C5" w14:textId="77777777" w:rsidR="00EC1C8E" w:rsidRPr="009074DF" w:rsidRDefault="00944DC4" w:rsidP="00F87FF9">
      <w:pPr>
        <w:pStyle w:val="Heading2"/>
      </w:pPr>
      <w:bookmarkStart w:id="6" w:name="_Toc436979508"/>
      <w:r w:rsidRPr="009074DF">
        <w:t xml:space="preserve">A6. </w:t>
      </w:r>
      <w:r w:rsidR="00EC1C8E" w:rsidRPr="009074DF">
        <w:t>Consequences of Less Frequent Collection</w:t>
      </w:r>
      <w:bookmarkEnd w:id="6"/>
      <w:r w:rsidR="00AD2327" w:rsidRPr="009074DF">
        <w:t xml:space="preserve"> </w:t>
      </w:r>
    </w:p>
    <w:p w14:paraId="0B7CD6A7" w14:textId="32FD27C2" w:rsidR="00F94658" w:rsidRPr="009074DF" w:rsidRDefault="00487F9A" w:rsidP="00A25F26">
      <w:pPr>
        <w:spacing w:after="240"/>
        <w:rPr>
          <w:b/>
        </w:rPr>
      </w:pPr>
      <w:r>
        <w:t xml:space="preserve">Without this data collection, </w:t>
      </w:r>
      <w:r w:rsidR="00F94658" w:rsidRPr="009074DF">
        <w:t xml:space="preserve">CNCS will not be able to </w:t>
      </w:r>
      <w:r w:rsidR="00173CE4">
        <w:t xml:space="preserve">measure or </w:t>
      </w:r>
      <w:r w:rsidR="00ED7DD7">
        <w:t xml:space="preserve">assess the </w:t>
      </w:r>
      <w:r w:rsidR="00173CE4">
        <w:t xml:space="preserve">implementation and </w:t>
      </w:r>
      <w:r w:rsidR="00ED7DD7">
        <w:t xml:space="preserve">effectiveness of the </w:t>
      </w:r>
      <w:r w:rsidR="00B7017E">
        <w:t xml:space="preserve">SIF </w:t>
      </w:r>
      <w:r w:rsidR="00ED7DD7">
        <w:t xml:space="preserve">PFS </w:t>
      </w:r>
      <w:r w:rsidR="00C71DE0">
        <w:t>p</w:t>
      </w:r>
      <w:r w:rsidR="00ED7DD7">
        <w:t xml:space="preserve">rogram or </w:t>
      </w:r>
      <w:r w:rsidR="00173CE4">
        <w:t xml:space="preserve">gauge </w:t>
      </w:r>
      <w:r w:rsidR="00ED7DD7">
        <w:t xml:space="preserve">the effectiveness of </w:t>
      </w:r>
      <w:r w:rsidR="00877A69">
        <w:t xml:space="preserve">grantees and </w:t>
      </w:r>
      <w:proofErr w:type="spellStart"/>
      <w:r w:rsidR="00877A69">
        <w:t>subrecipients</w:t>
      </w:r>
      <w:proofErr w:type="spellEnd"/>
      <w:r w:rsidR="00877A69">
        <w:t>/</w:t>
      </w:r>
      <w:r w:rsidR="006F3EFB">
        <w:t>service r</w:t>
      </w:r>
      <w:r w:rsidR="003B6D11">
        <w:t>ecipient</w:t>
      </w:r>
      <w:r w:rsidR="00877A69">
        <w:t>s</w:t>
      </w:r>
      <w:r w:rsidR="00ED7DD7">
        <w:t xml:space="preserve"> in </w:t>
      </w:r>
      <w:r w:rsidR="00173CE4">
        <w:t>developing</w:t>
      </w:r>
      <w:r w:rsidR="00ED7DD7">
        <w:t xml:space="preserve"> PFS projects.</w:t>
      </w:r>
      <w:r w:rsidR="000D4E7B">
        <w:t xml:space="preserve"> </w:t>
      </w:r>
      <w:r w:rsidR="00877A69">
        <w:t xml:space="preserve"> </w:t>
      </w:r>
      <w:r w:rsidR="000D4E7B">
        <w:t>Reducing the survey data collection from three annual administrations to a single administration would prevent CNCS from measuring the progression</w:t>
      </w:r>
      <w:r w:rsidR="00877A69">
        <w:t xml:space="preserve"> of PFS activities and project</w:t>
      </w:r>
      <w:r w:rsidR="001D0CCB">
        <w:t xml:space="preserve"> development</w:t>
      </w:r>
      <w:r w:rsidR="00877A69">
        <w:t xml:space="preserve"> over time</w:t>
      </w:r>
      <w:r w:rsidR="00D80FBB">
        <w:t>. It would also</w:t>
      </w:r>
      <w:r w:rsidR="00877A69">
        <w:t xml:space="preserve"> preclude CNCS from i</w:t>
      </w:r>
      <w:r w:rsidR="000D4E7B">
        <w:t xml:space="preserve">ncorporating future rounds of grantees and </w:t>
      </w:r>
      <w:proofErr w:type="spellStart"/>
      <w:r w:rsidR="000D4E7B">
        <w:t>subrecipients</w:t>
      </w:r>
      <w:proofErr w:type="spellEnd"/>
      <w:r w:rsidR="000D4E7B">
        <w:t>/</w:t>
      </w:r>
      <w:r w:rsidR="006F3EFB">
        <w:t>service r</w:t>
      </w:r>
      <w:r w:rsidR="003B6D11">
        <w:t>ecipient</w:t>
      </w:r>
      <w:r w:rsidR="000D4E7B">
        <w:t>s into the evaluation.</w:t>
      </w:r>
    </w:p>
    <w:p w14:paraId="4F438C86" w14:textId="77777777" w:rsidR="00EC1C8E" w:rsidRPr="009074DF" w:rsidRDefault="00944DC4" w:rsidP="00F87FF9">
      <w:pPr>
        <w:pStyle w:val="Heading2"/>
      </w:pPr>
      <w:bookmarkStart w:id="7" w:name="_Toc436979509"/>
      <w:r w:rsidRPr="009074DF">
        <w:t xml:space="preserve">A7. </w:t>
      </w:r>
      <w:r w:rsidR="00EC1C8E" w:rsidRPr="009074DF">
        <w:t>Special Circumstances Influencing Collection</w:t>
      </w:r>
      <w:bookmarkEnd w:id="7"/>
      <w:r w:rsidR="00AD2327" w:rsidRPr="009074DF">
        <w:t xml:space="preserve"> </w:t>
      </w:r>
    </w:p>
    <w:p w14:paraId="6D72D1EF" w14:textId="77777777" w:rsidR="00F94658" w:rsidRPr="009074DF" w:rsidRDefault="00524795" w:rsidP="00A25F26">
      <w:pPr>
        <w:spacing w:after="240"/>
      </w:pPr>
      <w:r w:rsidRPr="009074DF">
        <w:t xml:space="preserve">This request is consistent with the general information collection </w:t>
      </w:r>
      <w:r w:rsidR="00E63D0E" w:rsidRPr="009074DF">
        <w:t>guidelines</w:t>
      </w:r>
      <w:r w:rsidRPr="009074DF">
        <w:t xml:space="preserve"> of 5 CFR 1320.5(d</w:t>
      </w:r>
      <w:proofErr w:type="gramStart"/>
      <w:r w:rsidRPr="009074DF">
        <w:t>)(</w:t>
      </w:r>
      <w:proofErr w:type="gramEnd"/>
      <w:r w:rsidRPr="009074DF">
        <w:t>2)</w:t>
      </w:r>
      <w:r w:rsidR="002A35BA" w:rsidRPr="009074DF">
        <w:t xml:space="preserve">. </w:t>
      </w:r>
      <w:r w:rsidRPr="009074DF">
        <w:t>No special circumstances apply</w:t>
      </w:r>
      <w:r w:rsidR="002A35BA" w:rsidRPr="009074DF">
        <w:t>.</w:t>
      </w:r>
      <w:r w:rsidR="007A3C4E">
        <w:t xml:space="preserve"> </w:t>
      </w:r>
    </w:p>
    <w:p w14:paraId="68ECB52F" w14:textId="640A2523" w:rsidR="00A07422" w:rsidRPr="009074DF" w:rsidRDefault="00944DC4" w:rsidP="00F87FF9">
      <w:pPr>
        <w:pStyle w:val="Heading2"/>
      </w:pPr>
      <w:bookmarkStart w:id="8" w:name="_Toc436979510"/>
      <w:r w:rsidRPr="009074DF">
        <w:t xml:space="preserve">A8. </w:t>
      </w:r>
      <w:r w:rsidR="001C1A09" w:rsidRPr="009074DF">
        <w:t xml:space="preserve">Comments in response to the </w:t>
      </w:r>
      <w:r w:rsidR="001C1A09" w:rsidRPr="009074DF">
        <w:rPr>
          <w:i/>
        </w:rPr>
        <w:t>Federal Register</w:t>
      </w:r>
      <w:r w:rsidR="009A5AF9">
        <w:t xml:space="preserve"> Notice and Consultation o</w:t>
      </w:r>
      <w:r w:rsidR="001C1A09" w:rsidRPr="009074DF">
        <w:t>utside the Agency</w:t>
      </w:r>
      <w:bookmarkEnd w:id="8"/>
    </w:p>
    <w:p w14:paraId="5BEFB38C" w14:textId="30A59219" w:rsidR="00747535" w:rsidRPr="009074DF" w:rsidRDefault="00DA3270" w:rsidP="00A25F26">
      <w:pPr>
        <w:spacing w:after="240"/>
      </w:pPr>
      <w:r w:rsidRPr="003C16F7">
        <w:t xml:space="preserve">A 60-day public comment Notice was published in the </w:t>
      </w:r>
      <w:r w:rsidRPr="003C16F7">
        <w:rPr>
          <w:b/>
        </w:rPr>
        <w:t>Federal Register</w:t>
      </w:r>
      <w:r w:rsidRPr="003C16F7">
        <w:t xml:space="preserve"> </w:t>
      </w:r>
      <w:r w:rsidR="00BC216E" w:rsidRPr="003C16F7">
        <w:t xml:space="preserve">(Volume </w:t>
      </w:r>
      <w:r w:rsidR="00BC216E">
        <w:t>80</w:t>
      </w:r>
      <w:r w:rsidR="00BC216E" w:rsidRPr="003C16F7">
        <w:t xml:space="preserve">, No. </w:t>
      </w:r>
      <w:r w:rsidR="00BC216E">
        <w:t>238</w:t>
      </w:r>
      <w:r w:rsidR="00BC216E" w:rsidRPr="003C16F7">
        <w:t xml:space="preserve">, </w:t>
      </w:r>
      <w:r w:rsidR="00BC216E">
        <w:t xml:space="preserve">pp. 76848 - 76849) </w:t>
      </w:r>
      <w:r w:rsidRPr="003C16F7">
        <w:t xml:space="preserve">on </w:t>
      </w:r>
      <w:r w:rsidR="00C71DE0">
        <w:t>December 11, 2015</w:t>
      </w:r>
      <w:r w:rsidRPr="003C16F7">
        <w:t xml:space="preserve"> (Appendix </w:t>
      </w:r>
      <w:r w:rsidR="00ED3D4D">
        <w:t>A.2</w:t>
      </w:r>
      <w:r w:rsidRPr="003C16F7">
        <w:t>)</w:t>
      </w:r>
      <w:r w:rsidR="0048415B" w:rsidRPr="003C16F7">
        <w:t>.</w:t>
      </w:r>
      <w:r w:rsidR="00CA0905" w:rsidRPr="00CA0905">
        <w:t xml:space="preserve"> </w:t>
      </w:r>
      <w:r w:rsidR="00CA0905" w:rsidRPr="009074DF">
        <w:t>Th</w:t>
      </w:r>
      <w:r w:rsidR="00CA0905">
        <w:t xml:space="preserve">e </w:t>
      </w:r>
      <w:r w:rsidR="00CA0905" w:rsidRPr="009074DF">
        <w:t xml:space="preserve">comment period ended </w:t>
      </w:r>
      <w:r w:rsidR="00CA0905">
        <w:t>February 9, 2016</w:t>
      </w:r>
      <w:r w:rsidR="00CA0905" w:rsidRPr="009074DF">
        <w:t xml:space="preserve">. </w:t>
      </w:r>
      <w:r w:rsidR="009A5AF9">
        <w:t>No comments were received.</w:t>
      </w:r>
    </w:p>
    <w:p w14:paraId="15C7FC25" w14:textId="0B2F4574" w:rsidR="00EC7BC8" w:rsidRDefault="00B7017E" w:rsidP="00A25F26">
      <w:pPr>
        <w:spacing w:after="240"/>
      </w:pPr>
      <w:r>
        <w:t xml:space="preserve">SIF </w:t>
      </w:r>
      <w:r w:rsidR="00910650">
        <w:t>PFS</w:t>
      </w:r>
      <w:r w:rsidR="00DB4A1D" w:rsidRPr="009074DF">
        <w:t xml:space="preserve"> </w:t>
      </w:r>
      <w:r w:rsidR="006F3EFB">
        <w:t>p</w:t>
      </w:r>
      <w:r w:rsidR="00444046" w:rsidRPr="003C16F7">
        <w:t xml:space="preserve">rogram </w:t>
      </w:r>
      <w:r w:rsidR="00DB4A1D" w:rsidRPr="003C16F7">
        <w:t xml:space="preserve">senior leadership and </w:t>
      </w:r>
      <w:r w:rsidR="00563247">
        <w:t xml:space="preserve">the </w:t>
      </w:r>
      <w:r>
        <w:t>Contract</w:t>
      </w:r>
      <w:r w:rsidR="00563247">
        <w:t>ing</w:t>
      </w:r>
      <w:r w:rsidRPr="003C16F7">
        <w:t xml:space="preserve"> </w:t>
      </w:r>
      <w:r w:rsidR="00DB4A1D" w:rsidRPr="003C16F7">
        <w:t>Officer</w:t>
      </w:r>
      <w:r w:rsidR="00563247">
        <w:t>’s</w:t>
      </w:r>
      <w:r>
        <w:t xml:space="preserve"> Representative</w:t>
      </w:r>
      <w:r w:rsidR="00DB4A1D" w:rsidRPr="003C16F7">
        <w:t xml:space="preserve"> </w:t>
      </w:r>
      <w:r w:rsidR="00563247">
        <w:t xml:space="preserve">(COR) </w:t>
      </w:r>
      <w:r w:rsidR="00A85B07" w:rsidRPr="003C16F7">
        <w:t xml:space="preserve">at CNCS </w:t>
      </w:r>
      <w:r w:rsidR="00DB4A1D" w:rsidRPr="003C16F7">
        <w:t xml:space="preserve">were consulted for input on the </w:t>
      </w:r>
      <w:r w:rsidR="009F6910">
        <w:t>design and</w:t>
      </w:r>
      <w:r w:rsidR="00DB4A1D" w:rsidRPr="003C16F7">
        <w:t xml:space="preserve"> </w:t>
      </w:r>
      <w:r w:rsidR="00563247">
        <w:t>content</w:t>
      </w:r>
      <w:r w:rsidR="009F6910">
        <w:t xml:space="preserve"> of the surveys</w:t>
      </w:r>
      <w:r w:rsidR="00444046" w:rsidRPr="003C16F7">
        <w:t>.  In addition, a</w:t>
      </w:r>
      <w:r w:rsidR="0012150D" w:rsidRPr="003C16F7">
        <w:t xml:space="preserve"> pilot test of the survey</w:t>
      </w:r>
      <w:r w:rsidR="009F6910">
        <w:t>s</w:t>
      </w:r>
      <w:r w:rsidR="0012150D" w:rsidRPr="003C16F7">
        <w:t xml:space="preserve"> and administration protocols </w:t>
      </w:r>
      <w:r w:rsidR="002D4C04" w:rsidRPr="003C16F7">
        <w:t>w</w:t>
      </w:r>
      <w:r w:rsidR="00D430CC">
        <w:t>as</w:t>
      </w:r>
      <w:r w:rsidR="002D4C04" w:rsidRPr="003C16F7">
        <w:t xml:space="preserve"> conducted </w:t>
      </w:r>
      <w:r w:rsidR="0012150D" w:rsidRPr="003C16F7">
        <w:t xml:space="preserve">with </w:t>
      </w:r>
      <w:r w:rsidR="006F3EFB">
        <w:t>two</w:t>
      </w:r>
      <w:r w:rsidRPr="003C16F7">
        <w:t xml:space="preserve"> </w:t>
      </w:r>
      <w:r w:rsidR="00910650" w:rsidRPr="003C16F7">
        <w:t>grantee</w:t>
      </w:r>
      <w:r w:rsidR="00444046" w:rsidRPr="003C16F7">
        <w:t>s</w:t>
      </w:r>
      <w:r w:rsidR="00910650" w:rsidRPr="003C16F7">
        <w:t xml:space="preserve"> </w:t>
      </w:r>
      <w:r w:rsidR="00D430CC">
        <w:t>and four</w:t>
      </w:r>
      <w:r w:rsidR="00910650" w:rsidRPr="003C16F7">
        <w:t xml:space="preserve"> </w:t>
      </w:r>
      <w:proofErr w:type="spellStart"/>
      <w:r w:rsidR="00444046" w:rsidRPr="003C16F7">
        <w:t>subrecipients</w:t>
      </w:r>
      <w:proofErr w:type="spellEnd"/>
      <w:r w:rsidR="00D430CC">
        <w:t>/</w:t>
      </w:r>
      <w:r w:rsidR="00444046" w:rsidRPr="003C16F7">
        <w:t xml:space="preserve"> </w:t>
      </w:r>
      <w:r w:rsidR="006F3EFB">
        <w:t>service r</w:t>
      </w:r>
      <w:r w:rsidR="003B6D11">
        <w:t>ecipient</w:t>
      </w:r>
      <w:r w:rsidR="00685593">
        <w:t>s</w:t>
      </w:r>
      <w:r w:rsidR="0012150D" w:rsidRPr="003C16F7">
        <w:t>.</w:t>
      </w:r>
      <w:r w:rsidR="007A3C4E" w:rsidRPr="003C16F7">
        <w:t xml:space="preserve"> </w:t>
      </w:r>
      <w:r w:rsidR="0048415B" w:rsidRPr="003C16F7">
        <w:t xml:space="preserve"> </w:t>
      </w:r>
      <w:r w:rsidR="0012150D" w:rsidRPr="003C16F7">
        <w:t>Th</w:t>
      </w:r>
      <w:r w:rsidR="00444046" w:rsidRPr="003C16F7">
        <w:t>e</w:t>
      </w:r>
      <w:r w:rsidR="0012150D" w:rsidRPr="003C16F7">
        <w:t xml:space="preserve"> pilot</w:t>
      </w:r>
      <w:r w:rsidR="00444046" w:rsidRPr="003C16F7">
        <w:t xml:space="preserve"> tests</w:t>
      </w:r>
      <w:r w:rsidR="0012150D" w:rsidRPr="003C16F7">
        <w:t xml:space="preserve"> and revisions </w:t>
      </w:r>
      <w:r w:rsidR="00444046" w:rsidRPr="003C16F7">
        <w:t xml:space="preserve">to the instruments </w:t>
      </w:r>
      <w:r w:rsidR="0012150D" w:rsidRPr="003C16F7">
        <w:t xml:space="preserve">based on the pilot </w:t>
      </w:r>
      <w:r w:rsidR="00D430CC">
        <w:t>are</w:t>
      </w:r>
      <w:r w:rsidR="00105DF0" w:rsidRPr="003C16F7">
        <w:t xml:space="preserve"> </w:t>
      </w:r>
      <w:r w:rsidR="0012150D" w:rsidRPr="003C16F7">
        <w:t>described in Part B</w:t>
      </w:r>
      <w:r w:rsidR="007E20BD">
        <w:t>.</w:t>
      </w:r>
      <w:r w:rsidR="0012150D" w:rsidRPr="003C16F7">
        <w:t>4.</w:t>
      </w:r>
      <w:r w:rsidR="007A3C4E" w:rsidRPr="003C16F7">
        <w:t xml:space="preserve"> </w:t>
      </w:r>
      <w:proofErr w:type="gramStart"/>
      <w:r w:rsidR="0012150D" w:rsidRPr="003C16F7">
        <w:t>Tests of Procedures or Methods to Be Used.</w:t>
      </w:r>
      <w:proofErr w:type="gramEnd"/>
      <w:r w:rsidR="00105DF0">
        <w:t xml:space="preserve"> </w:t>
      </w:r>
    </w:p>
    <w:p w14:paraId="3420DBB4" w14:textId="77777777" w:rsidR="00EC1C8E" w:rsidRPr="009074DF" w:rsidRDefault="00944DC4" w:rsidP="00F87FF9">
      <w:pPr>
        <w:pStyle w:val="Heading2"/>
      </w:pPr>
      <w:bookmarkStart w:id="9" w:name="_Toc436979511"/>
      <w:r w:rsidRPr="009074DF">
        <w:lastRenderedPageBreak/>
        <w:t xml:space="preserve">A9. </w:t>
      </w:r>
      <w:r w:rsidR="005C37E8" w:rsidRPr="009074DF">
        <w:t xml:space="preserve">Explanation of Any </w:t>
      </w:r>
      <w:r w:rsidR="00EC1C8E" w:rsidRPr="009074DF">
        <w:t>Payment or Gift to Respondents</w:t>
      </w:r>
      <w:bookmarkEnd w:id="9"/>
      <w:r w:rsidR="00AD2327" w:rsidRPr="009074DF">
        <w:t xml:space="preserve"> </w:t>
      </w:r>
    </w:p>
    <w:p w14:paraId="6B994E12" w14:textId="7CE9B2D5" w:rsidR="00EC1C8E" w:rsidRPr="009074DF" w:rsidRDefault="00EC1C8E" w:rsidP="00A25F26">
      <w:pPr>
        <w:pStyle w:val="ListParagraph"/>
        <w:spacing w:after="240"/>
        <w:ind w:left="0"/>
        <w:contextualSpacing w:val="0"/>
      </w:pPr>
      <w:r w:rsidRPr="009074DF">
        <w:t>No payments</w:t>
      </w:r>
      <w:r w:rsidR="00620AA6">
        <w:t>,</w:t>
      </w:r>
      <w:r w:rsidRPr="009074DF">
        <w:t xml:space="preserve"> gifts</w:t>
      </w:r>
      <w:r w:rsidR="00620AA6">
        <w:t>, or other financial/in-kind incentives</w:t>
      </w:r>
      <w:r w:rsidRPr="009074DF">
        <w:t xml:space="preserve"> will be given to respondents for participation in the survey.</w:t>
      </w:r>
      <w:r w:rsidR="007A3C4E">
        <w:t xml:space="preserve"> </w:t>
      </w:r>
    </w:p>
    <w:p w14:paraId="735505E4" w14:textId="77777777" w:rsidR="00EC1C8E" w:rsidRPr="00FD0C12" w:rsidRDefault="00944DC4" w:rsidP="00F87FF9">
      <w:pPr>
        <w:pStyle w:val="Heading2"/>
      </w:pPr>
      <w:bookmarkStart w:id="10" w:name="_Toc436979512"/>
      <w:bookmarkStart w:id="11" w:name="_GoBack"/>
      <w:r w:rsidRPr="00FD0C12">
        <w:t xml:space="preserve">A10. </w:t>
      </w:r>
      <w:r w:rsidR="00EC1C8E" w:rsidRPr="00FD0C12">
        <w:t>Assurance of Confidentiality</w:t>
      </w:r>
      <w:r w:rsidRPr="00FD0C12">
        <w:t xml:space="preserve"> </w:t>
      </w:r>
      <w:r w:rsidR="00B2665C" w:rsidRPr="00FD0C12">
        <w:t xml:space="preserve">Provided to </w:t>
      </w:r>
      <w:r w:rsidR="00901AC4" w:rsidRPr="00FD0C12">
        <w:t>Respondents</w:t>
      </w:r>
      <w:bookmarkEnd w:id="10"/>
      <w:r w:rsidR="007A3C4E" w:rsidRPr="00FD0C12">
        <w:t xml:space="preserve"> </w:t>
      </w:r>
    </w:p>
    <w:p w14:paraId="5425DAEA" w14:textId="32874257" w:rsidR="007A0062" w:rsidRPr="00FD0C12" w:rsidRDefault="00434E68" w:rsidP="007A0062">
      <w:pPr>
        <w:rPr>
          <w:bCs/>
        </w:rPr>
      </w:pPr>
      <w:r>
        <w:rPr>
          <w:bCs/>
        </w:rPr>
        <w:t>M</w:t>
      </w:r>
      <w:r w:rsidRPr="00FD0C12">
        <w:rPr>
          <w:bCs/>
        </w:rPr>
        <w:t xml:space="preserve">easures will be taken by the contractor to remove key personal identifiers </w:t>
      </w:r>
      <w:r w:rsidR="0037084C">
        <w:rPr>
          <w:bCs/>
        </w:rPr>
        <w:t xml:space="preserve">on surveys prior to data analysis </w:t>
      </w:r>
      <w:r w:rsidR="00685593">
        <w:rPr>
          <w:bCs/>
        </w:rPr>
        <w:t>so that responses for</w:t>
      </w:r>
      <w:r w:rsidRPr="00FD0C12">
        <w:rPr>
          <w:bCs/>
        </w:rPr>
        <w:t xml:space="preserve"> a grantee or </w:t>
      </w:r>
      <w:proofErr w:type="spellStart"/>
      <w:r w:rsidRPr="00FD0C12">
        <w:rPr>
          <w:bCs/>
        </w:rPr>
        <w:t>subrecipient</w:t>
      </w:r>
      <w:proofErr w:type="spellEnd"/>
      <w:r w:rsidRPr="00FD0C12">
        <w:rPr>
          <w:bCs/>
        </w:rPr>
        <w:t>/</w:t>
      </w:r>
      <w:r w:rsidR="006F3EFB">
        <w:rPr>
          <w:bCs/>
        </w:rPr>
        <w:t>s</w:t>
      </w:r>
      <w:r w:rsidR="003B6D11">
        <w:rPr>
          <w:bCs/>
        </w:rPr>
        <w:t xml:space="preserve">ervice </w:t>
      </w:r>
      <w:r w:rsidR="006F3EFB">
        <w:rPr>
          <w:bCs/>
        </w:rPr>
        <w:t>r</w:t>
      </w:r>
      <w:r w:rsidR="003B6D11">
        <w:rPr>
          <w:bCs/>
        </w:rPr>
        <w:t>ecipient</w:t>
      </w:r>
      <w:r w:rsidRPr="00FD0C12">
        <w:rPr>
          <w:bCs/>
        </w:rPr>
        <w:t xml:space="preserve"> cannot be linked to the specific individual who completed the survey.</w:t>
      </w:r>
      <w:r>
        <w:rPr>
          <w:bCs/>
        </w:rPr>
        <w:t xml:space="preserve">  In addition, a</w:t>
      </w:r>
      <w:r w:rsidRPr="00FD0C12">
        <w:rPr>
          <w:bCs/>
        </w:rPr>
        <w:t>ll analyses, summaries, or briefings will be presented at the aggregate level</w:t>
      </w:r>
      <w:r>
        <w:rPr>
          <w:bCs/>
        </w:rPr>
        <w:t xml:space="preserve"> and therefore will not include individual respondents’ names. However, due to the uniqueness of specific respondent organizations and the small number of respondents in the 2016 data collection, it may be possible to identify a specific organization.  </w:t>
      </w:r>
      <w:r w:rsidR="00882ACA">
        <w:rPr>
          <w:bCs/>
        </w:rPr>
        <w:t xml:space="preserve">Therefore, </w:t>
      </w:r>
      <w:r>
        <w:rPr>
          <w:bCs/>
        </w:rPr>
        <w:t>a</w:t>
      </w:r>
      <w:r w:rsidR="007A0062" w:rsidRPr="00FD0C12">
        <w:rPr>
          <w:bCs/>
        </w:rPr>
        <w:t xml:space="preserve">ssurance of privacy </w:t>
      </w:r>
      <w:r>
        <w:rPr>
          <w:bCs/>
        </w:rPr>
        <w:t xml:space="preserve">cannot </w:t>
      </w:r>
      <w:r w:rsidR="007A0062" w:rsidRPr="00FD0C12">
        <w:rPr>
          <w:bCs/>
        </w:rPr>
        <w:t>be provided to respondents</w:t>
      </w:r>
      <w:r w:rsidR="00685593">
        <w:rPr>
          <w:bCs/>
        </w:rPr>
        <w:t>.</w:t>
      </w:r>
    </w:p>
    <w:p w14:paraId="23CACCEC" w14:textId="205DE10B" w:rsidR="000001EE" w:rsidRPr="00B01AF5" w:rsidRDefault="009F6910" w:rsidP="00685593">
      <w:pPr>
        <w:spacing w:after="240"/>
        <w:rPr>
          <w:bCs/>
        </w:rPr>
      </w:pPr>
      <w:r>
        <w:t>As noted above, t</w:t>
      </w:r>
      <w:r w:rsidR="00B01AF5" w:rsidRPr="00FD0C12">
        <w:t xml:space="preserve">he survey will be administered in an online format using </w:t>
      </w:r>
      <w:proofErr w:type="spellStart"/>
      <w:r w:rsidR="00B01AF5" w:rsidRPr="00FD0C12">
        <w:t>FluidSurveys</w:t>
      </w:r>
      <w:proofErr w:type="spellEnd"/>
      <w:r w:rsidR="00B01AF5" w:rsidRPr="00FD0C12">
        <w:t xml:space="preserve">. </w:t>
      </w:r>
      <w:r>
        <w:t xml:space="preserve"> Respondent </w:t>
      </w:r>
      <w:r w:rsidR="00B01AF5" w:rsidRPr="00FD0C12">
        <w:t xml:space="preserve">email addresses will be uploaded into </w:t>
      </w:r>
      <w:proofErr w:type="spellStart"/>
      <w:r w:rsidR="00B01AF5" w:rsidRPr="00FD0C12">
        <w:t>FluidSurveys</w:t>
      </w:r>
      <w:proofErr w:type="spellEnd"/>
      <w:r w:rsidR="00B01AF5" w:rsidRPr="00FD0C12">
        <w:t xml:space="preserve"> and each respondent will be </w:t>
      </w:r>
      <w:r>
        <w:t>emailed an invitation to the survey with</w:t>
      </w:r>
      <w:r w:rsidR="004E7DC8">
        <w:t xml:space="preserve"> a survey link </w:t>
      </w:r>
      <w:r w:rsidR="00AB2FA0">
        <w:t>embedded</w:t>
      </w:r>
      <w:r w:rsidR="00B01AF5" w:rsidRPr="00FD0C12">
        <w:t xml:space="preserve">. All data exported from </w:t>
      </w:r>
      <w:proofErr w:type="spellStart"/>
      <w:r w:rsidR="00CA3316" w:rsidRPr="00FD0C12">
        <w:t>FluidSurveys</w:t>
      </w:r>
      <w:proofErr w:type="spellEnd"/>
      <w:r w:rsidR="00B01AF5" w:rsidRPr="00FD0C12">
        <w:t xml:space="preserve"> will be </w:t>
      </w:r>
      <w:r w:rsidR="007A0062" w:rsidRPr="00FD0C12">
        <w:rPr>
          <w:bCs/>
        </w:rPr>
        <w:t xml:space="preserve">stored on a contractor’s computer that is protected by a firewall that monitors and evaluates all </w:t>
      </w:r>
      <w:r w:rsidR="00AC1D3F">
        <w:rPr>
          <w:bCs/>
        </w:rPr>
        <w:t>attempted connections from the I</w:t>
      </w:r>
      <w:r w:rsidR="007A0062" w:rsidRPr="00FD0C12">
        <w:rPr>
          <w:bCs/>
        </w:rPr>
        <w:t>nternet. Once the project is completed, all private data on each respondent will be deleted, though it should be noted that the contractor maintains backup tapes that are not amenable to the deletion of particular files. The entire database will be encrypted so that any data stored will be further protected. Finally, access to any data with identifying information will be limited to only contractor staff directly working on the surveys.</w:t>
      </w:r>
      <w:r w:rsidR="00B36A76">
        <w:rPr>
          <w:bCs/>
        </w:rPr>
        <w:t xml:space="preserve"> </w:t>
      </w:r>
      <w:r w:rsidR="00434E68">
        <w:rPr>
          <w:bCs/>
        </w:rPr>
        <w:t xml:space="preserve"> </w:t>
      </w:r>
    </w:p>
    <w:p w14:paraId="133A395F" w14:textId="77777777" w:rsidR="00EC1C8E" w:rsidRPr="009074DF" w:rsidRDefault="00944DC4" w:rsidP="00F87FF9">
      <w:pPr>
        <w:pStyle w:val="Heading2"/>
      </w:pPr>
      <w:bookmarkStart w:id="12" w:name="_Toc436979513"/>
      <w:bookmarkEnd w:id="11"/>
      <w:r w:rsidRPr="009074DF">
        <w:t xml:space="preserve">A11. </w:t>
      </w:r>
      <w:r w:rsidR="00EC1C8E" w:rsidRPr="009074DF">
        <w:t>Justification for Sensitive Questions</w:t>
      </w:r>
      <w:bookmarkEnd w:id="12"/>
      <w:r w:rsidR="00A20297" w:rsidRPr="009074DF">
        <w:t xml:space="preserve"> </w:t>
      </w:r>
    </w:p>
    <w:p w14:paraId="6F00A3A8" w14:textId="2A1CC56D" w:rsidR="00444046" w:rsidRPr="009074DF" w:rsidRDefault="00B35D1D" w:rsidP="00A25F26">
      <w:pPr>
        <w:spacing w:after="240"/>
      </w:pPr>
      <w:r w:rsidRPr="006536A4">
        <w:rPr>
          <w:bCs/>
        </w:rPr>
        <w:t xml:space="preserve">No questions of a sensitive nature will be asked in the </w:t>
      </w:r>
      <w:r w:rsidR="00444046">
        <w:rPr>
          <w:bCs/>
        </w:rPr>
        <w:t xml:space="preserve">grantee or </w:t>
      </w:r>
      <w:proofErr w:type="spellStart"/>
      <w:r w:rsidR="00444046">
        <w:rPr>
          <w:bCs/>
        </w:rPr>
        <w:t>subrecipient</w:t>
      </w:r>
      <w:proofErr w:type="spellEnd"/>
      <w:r w:rsidR="00444046">
        <w:rPr>
          <w:bCs/>
        </w:rPr>
        <w:t>/</w:t>
      </w:r>
      <w:r w:rsidR="00BA4D7B">
        <w:rPr>
          <w:bCs/>
        </w:rPr>
        <w:t>service r</w:t>
      </w:r>
      <w:r w:rsidR="003B6D11">
        <w:rPr>
          <w:bCs/>
        </w:rPr>
        <w:t>ecipient</w:t>
      </w:r>
      <w:r w:rsidR="00444046">
        <w:rPr>
          <w:bCs/>
        </w:rPr>
        <w:t xml:space="preserve"> s</w:t>
      </w:r>
      <w:r w:rsidRPr="006536A4">
        <w:rPr>
          <w:bCs/>
        </w:rPr>
        <w:t>urvey</w:t>
      </w:r>
      <w:r w:rsidR="00444046">
        <w:rPr>
          <w:bCs/>
        </w:rPr>
        <w:t>s</w:t>
      </w:r>
      <w:r w:rsidRPr="006536A4">
        <w:rPr>
          <w:bCs/>
        </w:rPr>
        <w:t>.</w:t>
      </w:r>
      <w:r w:rsidR="002A35BA" w:rsidRPr="009074DF">
        <w:t xml:space="preserve"> </w:t>
      </w:r>
      <w:r w:rsidR="00444046">
        <w:t xml:space="preserve"> </w:t>
      </w:r>
      <w:r w:rsidR="00813B66">
        <w:t xml:space="preserve">The surveys will collect information about the grantee and </w:t>
      </w:r>
      <w:proofErr w:type="spellStart"/>
      <w:r w:rsidR="00813B66">
        <w:t>subrecipient</w:t>
      </w:r>
      <w:proofErr w:type="spellEnd"/>
      <w:r w:rsidR="00813B66">
        <w:t>/</w:t>
      </w:r>
      <w:r w:rsidR="00BA4D7B">
        <w:t>s</w:t>
      </w:r>
      <w:r w:rsidR="003B6D11">
        <w:t xml:space="preserve">ervice </w:t>
      </w:r>
      <w:r w:rsidR="00BA4D7B">
        <w:t>r</w:t>
      </w:r>
      <w:r w:rsidR="003B6D11">
        <w:t>ecipient</w:t>
      </w:r>
      <w:r w:rsidR="00813B66">
        <w:t xml:space="preserve"> organizations</w:t>
      </w:r>
      <w:r w:rsidR="00CB1283">
        <w:t xml:space="preserve"> and their </w:t>
      </w:r>
      <w:r w:rsidR="00813B66">
        <w:t>ac</w:t>
      </w:r>
      <w:r w:rsidR="00CB1283">
        <w:t>tivities and</w:t>
      </w:r>
      <w:r w:rsidR="00813B66">
        <w:t xml:space="preserve"> </w:t>
      </w:r>
      <w:r w:rsidR="00CB1283">
        <w:t>progress</w:t>
      </w:r>
      <w:r w:rsidR="00813B66">
        <w:t xml:space="preserve"> in </w:t>
      </w:r>
      <w:r w:rsidR="008362DC">
        <w:t xml:space="preserve">the implementation of </w:t>
      </w:r>
      <w:r w:rsidR="00065A77">
        <w:t xml:space="preserve">SIF </w:t>
      </w:r>
      <w:r w:rsidR="00813B66">
        <w:t xml:space="preserve">PFS </w:t>
      </w:r>
      <w:r w:rsidR="00D430CC">
        <w:t>p</w:t>
      </w:r>
      <w:r w:rsidR="00813B66">
        <w:t>rogram activities.</w:t>
      </w:r>
    </w:p>
    <w:p w14:paraId="0F63CE09" w14:textId="77777777" w:rsidR="00EC1C8E" w:rsidRPr="005F60DA" w:rsidRDefault="00944DC4" w:rsidP="00F87FF9">
      <w:pPr>
        <w:pStyle w:val="Heading2"/>
      </w:pPr>
      <w:bookmarkStart w:id="13" w:name="_Toc436979514"/>
      <w:r w:rsidRPr="005F60DA">
        <w:t xml:space="preserve">A12. </w:t>
      </w:r>
      <w:r w:rsidR="00EC1C8E" w:rsidRPr="005F60DA">
        <w:t xml:space="preserve">Estimate of </w:t>
      </w:r>
      <w:r w:rsidR="00C14406" w:rsidRPr="005F60DA">
        <w:t xml:space="preserve">Annualized </w:t>
      </w:r>
      <w:r w:rsidR="00EC1C8E" w:rsidRPr="005F60DA">
        <w:t>Hour Burden</w:t>
      </w:r>
      <w:r w:rsidR="00B2665C" w:rsidRPr="005F60DA">
        <w:t xml:space="preserve"> </w:t>
      </w:r>
      <w:r w:rsidR="00C14406" w:rsidRPr="005F60DA">
        <w:t xml:space="preserve">and Costs </w:t>
      </w:r>
      <w:r w:rsidR="00692774" w:rsidRPr="005F60DA">
        <w:t>to Respondents</w:t>
      </w:r>
      <w:bookmarkEnd w:id="13"/>
    </w:p>
    <w:p w14:paraId="02E3D736" w14:textId="092BE7B4" w:rsidR="00BC629E" w:rsidRPr="00E97052" w:rsidRDefault="00105DF0" w:rsidP="00A25F26">
      <w:pPr>
        <w:keepNext/>
        <w:keepLines/>
        <w:spacing w:after="240"/>
      </w:pPr>
      <w:r>
        <w:t>The survey d</w:t>
      </w:r>
      <w:r w:rsidR="003F41AA" w:rsidRPr="00E97052">
        <w:t xml:space="preserve">ata collection will </w:t>
      </w:r>
      <w:r w:rsidR="004F12C9" w:rsidRPr="00E97052">
        <w:t xml:space="preserve">take place </w:t>
      </w:r>
      <w:r w:rsidR="003F41AA" w:rsidRPr="00E97052">
        <w:t xml:space="preserve">annually </w:t>
      </w:r>
      <w:r w:rsidR="002D4C04" w:rsidRPr="00E97052">
        <w:t xml:space="preserve">for </w:t>
      </w:r>
      <w:r w:rsidR="008B02A1" w:rsidRPr="00E97052">
        <w:t>three</w:t>
      </w:r>
      <w:r w:rsidR="003F41AA" w:rsidRPr="00E97052">
        <w:t xml:space="preserve"> years</w:t>
      </w:r>
      <w:r w:rsidR="002A35BA" w:rsidRPr="00E97052">
        <w:t>.</w:t>
      </w:r>
      <w:r w:rsidR="008B02A1" w:rsidRPr="00E97052">
        <w:t xml:space="preserve"> Grantees and </w:t>
      </w:r>
      <w:proofErr w:type="spellStart"/>
      <w:r w:rsidR="008B02A1" w:rsidRPr="00E97052">
        <w:t>subrecipients</w:t>
      </w:r>
      <w:proofErr w:type="spellEnd"/>
      <w:r w:rsidR="008B02A1" w:rsidRPr="00E97052">
        <w:t>/</w:t>
      </w:r>
      <w:r>
        <w:t xml:space="preserve"> </w:t>
      </w:r>
      <w:r w:rsidR="00BA4D7B">
        <w:t>service r</w:t>
      </w:r>
      <w:r w:rsidR="003B6D11">
        <w:t>ecipient</w:t>
      </w:r>
      <w:r w:rsidR="008B02A1" w:rsidRPr="00E97052">
        <w:t>s will be surveye</w:t>
      </w:r>
      <w:r>
        <w:t>d during the years in which they are involved with</w:t>
      </w:r>
      <w:r w:rsidR="008B02A1" w:rsidRPr="00E97052">
        <w:t xml:space="preserve"> </w:t>
      </w:r>
      <w:r w:rsidR="00065A77">
        <w:t xml:space="preserve">SIF </w:t>
      </w:r>
      <w:r w:rsidR="008B02A1" w:rsidRPr="00E97052">
        <w:t xml:space="preserve">PFS </w:t>
      </w:r>
      <w:r w:rsidR="00D430CC">
        <w:t>p</w:t>
      </w:r>
      <w:r w:rsidR="008B02A1" w:rsidRPr="00E97052">
        <w:t xml:space="preserve">rogram </w:t>
      </w:r>
      <w:r>
        <w:t>activities</w:t>
      </w:r>
      <w:r w:rsidR="008B02A1" w:rsidRPr="00E97052">
        <w:t xml:space="preserve">. Since </w:t>
      </w:r>
      <w:r>
        <w:t>the 2016 and 2017</w:t>
      </w:r>
      <w:r w:rsidR="008B02A1" w:rsidRPr="00E97052">
        <w:t xml:space="preserve"> grantees and</w:t>
      </w:r>
      <w:r>
        <w:t xml:space="preserve"> their </w:t>
      </w:r>
      <w:proofErr w:type="spellStart"/>
      <w:r w:rsidR="008B02A1" w:rsidRPr="00E97052">
        <w:t>subrecipients</w:t>
      </w:r>
      <w:proofErr w:type="spellEnd"/>
      <w:r w:rsidR="008B02A1" w:rsidRPr="00E97052">
        <w:t>/</w:t>
      </w:r>
      <w:r w:rsidR="00BA4D7B">
        <w:t>service r</w:t>
      </w:r>
      <w:r w:rsidR="003B6D11">
        <w:t>ecipient</w:t>
      </w:r>
      <w:r w:rsidR="008B02A1" w:rsidRPr="00E97052">
        <w:t xml:space="preserve">s have not yet been selected, the </w:t>
      </w:r>
      <w:proofErr w:type="gramStart"/>
      <w:r w:rsidR="008B02A1" w:rsidRPr="00E97052">
        <w:t>number of respondents</w:t>
      </w:r>
      <w:r w:rsidR="00C1473E" w:rsidRPr="00E97052">
        <w:t xml:space="preserve"> in each year</w:t>
      </w:r>
      <w:r w:rsidR="008B02A1" w:rsidRPr="00E97052">
        <w:t xml:space="preserve"> are</w:t>
      </w:r>
      <w:proofErr w:type="gramEnd"/>
      <w:r w:rsidR="008B02A1" w:rsidRPr="00E97052">
        <w:t xml:space="preserve"> projections based on </w:t>
      </w:r>
      <w:r w:rsidR="00D80FBB">
        <w:t xml:space="preserve">preliminary </w:t>
      </w:r>
      <w:r w:rsidR="004E7DC8">
        <w:t xml:space="preserve">discussions </w:t>
      </w:r>
      <w:r w:rsidR="00917517">
        <w:t>and planning</w:t>
      </w:r>
      <w:r w:rsidR="002E79F0">
        <w:t xml:space="preserve"> activities currently taking place </w:t>
      </w:r>
      <w:r w:rsidR="004E7DC8">
        <w:t>within CNCS and are subject to change.</w:t>
      </w:r>
      <w:r w:rsidR="00EE4F72">
        <w:t xml:space="preserve"> </w:t>
      </w:r>
      <w:r w:rsidR="005B7573">
        <w:t>T</w:t>
      </w:r>
      <w:r w:rsidR="00EE4F72" w:rsidRPr="00EE4F72">
        <w:t xml:space="preserve">he exact number of respondents will depend on the number of new grantees funded by the </w:t>
      </w:r>
      <w:r w:rsidR="00065A77">
        <w:t xml:space="preserve">SIF </w:t>
      </w:r>
      <w:r w:rsidR="00EE4F72" w:rsidRPr="00EE4F72">
        <w:t>PFS</w:t>
      </w:r>
      <w:r w:rsidR="00EE4F72">
        <w:t xml:space="preserve"> </w:t>
      </w:r>
      <w:r w:rsidR="00D430CC">
        <w:t>p</w:t>
      </w:r>
      <w:r w:rsidR="00EE4F72" w:rsidRPr="00EE4F72">
        <w:t>rogram in 201</w:t>
      </w:r>
      <w:r w:rsidR="005826B1">
        <w:t>6</w:t>
      </w:r>
      <w:r w:rsidR="00EE4F72" w:rsidRPr="00EE4F72">
        <w:t xml:space="preserve"> and 201</w:t>
      </w:r>
      <w:r w:rsidR="005826B1">
        <w:t>7</w:t>
      </w:r>
      <w:r w:rsidR="00EE4F72" w:rsidRPr="00EE4F72">
        <w:t xml:space="preserve"> and the number of </w:t>
      </w:r>
      <w:proofErr w:type="spellStart"/>
      <w:r w:rsidR="00EE4F72" w:rsidRPr="00EE4F72">
        <w:t>subrecipients</w:t>
      </w:r>
      <w:proofErr w:type="spellEnd"/>
      <w:r w:rsidR="00EE4F72" w:rsidRPr="00EE4F72">
        <w:t>/</w:t>
      </w:r>
      <w:r w:rsidR="00BA4D7B">
        <w:t>service r</w:t>
      </w:r>
      <w:r w:rsidR="003B6D11">
        <w:t>ecipient</w:t>
      </w:r>
      <w:r w:rsidR="00EE4F72" w:rsidRPr="00EE4F72">
        <w:t xml:space="preserve">s that each grantee selects to work with </w:t>
      </w:r>
      <w:r w:rsidR="001D0CCB">
        <w:t xml:space="preserve">during </w:t>
      </w:r>
      <w:r w:rsidR="00EE4F72" w:rsidRPr="00EE4F72">
        <w:t>each year of their grant.</w:t>
      </w:r>
    </w:p>
    <w:p w14:paraId="79C3DEF9" w14:textId="55BCAE6B" w:rsidR="00524795" w:rsidRDefault="00B31AD3" w:rsidP="00A25F26">
      <w:pPr>
        <w:spacing w:after="240"/>
      </w:pPr>
      <w:r w:rsidRPr="004C407B">
        <w:t xml:space="preserve">The </w:t>
      </w:r>
      <w:r w:rsidR="002F7931">
        <w:t>estimated</w:t>
      </w:r>
      <w:r w:rsidR="00EF6650">
        <w:t xml:space="preserve"> </w:t>
      </w:r>
      <w:r w:rsidR="00EF6650" w:rsidRPr="00813B66">
        <w:t>20-</w:t>
      </w:r>
      <w:r w:rsidR="00EF6650">
        <w:t>minute</w:t>
      </w:r>
      <w:r w:rsidRPr="004C407B">
        <w:t xml:space="preserve"> time burden per </w:t>
      </w:r>
      <w:r w:rsidR="002E79F0">
        <w:t xml:space="preserve">survey </w:t>
      </w:r>
      <w:r w:rsidRPr="004C407B">
        <w:t xml:space="preserve">participant was </w:t>
      </w:r>
      <w:r w:rsidR="00F93A23" w:rsidRPr="004C407B">
        <w:t xml:space="preserve">based on </w:t>
      </w:r>
      <w:r w:rsidR="005A1CDF" w:rsidRPr="004C407B">
        <w:t xml:space="preserve">a </w:t>
      </w:r>
      <w:r w:rsidR="00A1745B" w:rsidRPr="004C407B">
        <w:t xml:space="preserve">pilot test </w:t>
      </w:r>
      <w:r w:rsidR="005A1CDF" w:rsidRPr="004C407B">
        <w:t xml:space="preserve">of </w:t>
      </w:r>
      <w:r w:rsidR="00983BD7" w:rsidRPr="004C407B">
        <w:t>the survey instrument</w:t>
      </w:r>
      <w:r w:rsidR="002F7931">
        <w:t>s</w:t>
      </w:r>
      <w:r w:rsidR="00983BD7" w:rsidRPr="004C407B">
        <w:t xml:space="preserve"> </w:t>
      </w:r>
      <w:r w:rsidR="005A1CDF" w:rsidRPr="004C407B">
        <w:t xml:space="preserve">with </w:t>
      </w:r>
      <w:r w:rsidR="00813B66">
        <w:t>two</w:t>
      </w:r>
      <w:r w:rsidR="004C407B">
        <w:t xml:space="preserve"> grantees</w:t>
      </w:r>
      <w:r w:rsidR="00D430CC">
        <w:t xml:space="preserve"> and four</w:t>
      </w:r>
      <w:r w:rsidR="005A1CDF" w:rsidRPr="004C407B">
        <w:t xml:space="preserve"> </w:t>
      </w:r>
      <w:proofErr w:type="spellStart"/>
      <w:r w:rsidR="004C407B">
        <w:t>subrecipients</w:t>
      </w:r>
      <w:proofErr w:type="spellEnd"/>
      <w:r w:rsidR="00D430CC">
        <w:t>/</w:t>
      </w:r>
      <w:r w:rsidR="00BA4D7B">
        <w:t>service r</w:t>
      </w:r>
      <w:r w:rsidR="003B6D11">
        <w:t>ecipient</w:t>
      </w:r>
      <w:r w:rsidR="004C407B">
        <w:t>s</w:t>
      </w:r>
      <w:r w:rsidR="002A35BA" w:rsidRPr="004C407B">
        <w:t>.</w:t>
      </w:r>
      <w:r w:rsidR="00813B66">
        <w:t xml:space="preserve"> </w:t>
      </w:r>
      <w:r w:rsidR="00DB4A1D" w:rsidRPr="00ED447E">
        <w:t xml:space="preserve">The </w:t>
      </w:r>
      <w:r w:rsidR="00917517">
        <w:t xml:space="preserve">estimated </w:t>
      </w:r>
      <w:r w:rsidR="00DB4A1D" w:rsidRPr="00ED447E">
        <w:t xml:space="preserve">hourly cost in respondent time was calculated based on </w:t>
      </w:r>
      <w:r w:rsidR="00E54BD7" w:rsidRPr="00ED447E">
        <w:t xml:space="preserve">the median total compensation </w:t>
      </w:r>
      <w:r w:rsidR="00DB4A1D" w:rsidRPr="00ED447E">
        <w:t xml:space="preserve">for </w:t>
      </w:r>
      <w:r w:rsidR="00E54BD7" w:rsidRPr="00ED447E">
        <w:t xml:space="preserve">the President, CEO, or Executive Director of </w:t>
      </w:r>
      <w:r w:rsidR="002E79F0">
        <w:t>the</w:t>
      </w:r>
      <w:r w:rsidR="00FA7598" w:rsidRPr="00ED447E">
        <w:t xml:space="preserve"> </w:t>
      </w:r>
      <w:r w:rsidR="00E54BD7" w:rsidRPr="00ED447E">
        <w:t>eight</w:t>
      </w:r>
      <w:r w:rsidR="00FA7598" w:rsidRPr="00ED447E">
        <w:t xml:space="preserve"> </w:t>
      </w:r>
      <w:r w:rsidR="002E79F0">
        <w:t>2014</w:t>
      </w:r>
      <w:r w:rsidR="00E54BD7" w:rsidRPr="00ED447E">
        <w:t xml:space="preserve"> grantees and</w:t>
      </w:r>
      <w:r w:rsidR="00FA7598" w:rsidRPr="00ED447E">
        <w:t xml:space="preserve"> a s</w:t>
      </w:r>
      <w:r w:rsidR="00DD321B" w:rsidRPr="00ED447E">
        <w:t xml:space="preserve">ample of </w:t>
      </w:r>
      <w:r w:rsidR="00E54BD7" w:rsidRPr="00ED447E">
        <w:t>the</w:t>
      </w:r>
      <w:r w:rsidR="00917517">
        <w:t>ir</w:t>
      </w:r>
      <w:r w:rsidR="00E54BD7" w:rsidRPr="00ED447E">
        <w:t xml:space="preserve"> </w:t>
      </w:r>
      <w:proofErr w:type="spellStart"/>
      <w:r w:rsidR="00E54BD7" w:rsidRPr="00ED447E">
        <w:lastRenderedPageBreak/>
        <w:t>subrecipients</w:t>
      </w:r>
      <w:proofErr w:type="spellEnd"/>
      <w:r w:rsidR="00E54BD7" w:rsidRPr="00ED447E">
        <w:t>/</w:t>
      </w:r>
      <w:r w:rsidR="00BA4D7B">
        <w:t>service r</w:t>
      </w:r>
      <w:r w:rsidR="003B6D11">
        <w:t>ecipient</w:t>
      </w:r>
      <w:r w:rsidR="00E54BD7" w:rsidRPr="00ED447E">
        <w:t>s.</w:t>
      </w:r>
      <w:r w:rsidR="002F4DBE">
        <w:rPr>
          <w:rStyle w:val="FootnoteReference"/>
        </w:rPr>
        <w:footnoteReference w:id="2"/>
      </w:r>
      <w:r w:rsidR="00E54BD7" w:rsidRPr="00ED447E">
        <w:t xml:space="preserve"> </w:t>
      </w:r>
      <w:r w:rsidR="002F7931">
        <w:t xml:space="preserve"> </w:t>
      </w:r>
      <w:r w:rsidR="005839F3" w:rsidRPr="00ED447E">
        <w:t>The total response burden and costs</w:t>
      </w:r>
      <w:r w:rsidR="005839F3" w:rsidRPr="00E54BD7">
        <w:t xml:space="preserve"> for this information collection </w:t>
      </w:r>
      <w:r w:rsidR="00DB4A1D" w:rsidRPr="00E54BD7">
        <w:t xml:space="preserve">are </w:t>
      </w:r>
      <w:r w:rsidR="005839F3" w:rsidRPr="00E54BD7">
        <w:t xml:space="preserve">provided in </w:t>
      </w:r>
      <w:r w:rsidR="00101E2E">
        <w:t xml:space="preserve">Exhibit </w:t>
      </w:r>
      <w:r w:rsidR="0048415B" w:rsidRPr="0048415B">
        <w:t>A.3</w:t>
      </w:r>
      <w:r w:rsidR="005839F3" w:rsidRPr="0048415B">
        <w:t>.</w:t>
      </w:r>
      <w:r w:rsidR="0048415B">
        <w:t xml:space="preserve"> </w:t>
      </w:r>
      <w:r w:rsidR="007A3C4E" w:rsidRPr="00E54BD7">
        <w:t xml:space="preserve"> </w:t>
      </w:r>
      <w:r w:rsidR="00B03DAD" w:rsidRPr="002A31CE">
        <w:t xml:space="preserve">The </w:t>
      </w:r>
      <w:r w:rsidR="002E79F0">
        <w:t xml:space="preserve">estimated </w:t>
      </w:r>
      <w:r w:rsidR="00B03DAD" w:rsidRPr="002A31CE">
        <w:t xml:space="preserve">burden and costs shown in the exhibit are the totals for all categories of </w:t>
      </w:r>
      <w:r w:rsidR="00907049" w:rsidRPr="002A31CE">
        <w:t>respondents</w:t>
      </w:r>
      <w:r w:rsidR="00B03DAD" w:rsidRPr="002A31CE">
        <w:t xml:space="preserve"> for each survey year</w:t>
      </w:r>
      <w:r w:rsidR="00DA1D2F" w:rsidRPr="002A31CE">
        <w:t xml:space="preserve"> and the annualized burden and costs</w:t>
      </w:r>
      <w:r w:rsidR="002A31CE" w:rsidRPr="002A31CE">
        <w:t xml:space="preserve"> over the three</w:t>
      </w:r>
      <w:r w:rsidR="00DA1D2F" w:rsidRPr="002A31CE">
        <w:t xml:space="preserve">-year </w:t>
      </w:r>
      <w:r w:rsidR="00813B66">
        <w:t xml:space="preserve">data collection </w:t>
      </w:r>
      <w:r w:rsidR="00DA1D2F" w:rsidRPr="002A31CE">
        <w:t>period</w:t>
      </w:r>
      <w:r w:rsidR="00B03DAD" w:rsidRPr="002A31CE">
        <w:t>.</w:t>
      </w:r>
    </w:p>
    <w:p w14:paraId="66DBF2CA" w14:textId="59F93F68" w:rsidR="008E1AAF" w:rsidRDefault="008E1AAF">
      <w:pPr>
        <w:spacing w:after="200" w:line="276" w:lineRule="auto"/>
        <w:rPr>
          <w:b/>
          <w:bCs/>
          <w:highlight w:val="yellow"/>
        </w:rPr>
      </w:pPr>
      <w:r>
        <w:rPr>
          <w:b/>
          <w:bCs/>
          <w:highlight w:val="yellow"/>
        </w:rPr>
        <w:br w:type="page"/>
      </w:r>
    </w:p>
    <w:p w14:paraId="7FB5DE3D" w14:textId="77777777" w:rsidR="009C1A33" w:rsidRDefault="009C1A33" w:rsidP="009C1A33">
      <w:pPr>
        <w:spacing w:after="240"/>
        <w:rPr>
          <w:b/>
          <w:bCs/>
        </w:rPr>
        <w:sectPr w:rsidR="009C1A33" w:rsidSect="008B6480">
          <w:footerReference w:type="default" r:id="rId10"/>
          <w:type w:val="continuous"/>
          <w:pgSz w:w="12240" w:h="15840"/>
          <w:pgMar w:top="1440" w:right="1440" w:bottom="1440" w:left="1440" w:header="720" w:footer="720" w:gutter="0"/>
          <w:cols w:space="720"/>
          <w:docGrid w:linePitch="360"/>
        </w:sectPr>
      </w:pPr>
    </w:p>
    <w:p w14:paraId="1025D22F" w14:textId="076B811C" w:rsidR="008E1AAF" w:rsidRPr="00D17849" w:rsidRDefault="008E1AAF" w:rsidP="004C24C7">
      <w:pPr>
        <w:spacing w:after="0"/>
        <w:rPr>
          <w:b/>
        </w:rPr>
      </w:pPr>
      <w:r w:rsidRPr="00D17849">
        <w:rPr>
          <w:b/>
        </w:rPr>
        <w:lastRenderedPageBreak/>
        <w:t>Exhibit A.3: Estimated Respondent Burden for Survey Data Collection Activities</w:t>
      </w:r>
      <w:r w:rsidRPr="00D17849">
        <w:rPr>
          <w:b/>
        </w:rPr>
        <w:br/>
      </w:r>
    </w:p>
    <w:tbl>
      <w:tblPr>
        <w:tblStyle w:val="TableGrid"/>
        <w:tblW w:w="12258" w:type="dxa"/>
        <w:tblLayout w:type="fixed"/>
        <w:tblLook w:val="04A0" w:firstRow="1" w:lastRow="0" w:firstColumn="1" w:lastColumn="0" w:noHBand="0" w:noVBand="1"/>
      </w:tblPr>
      <w:tblGrid>
        <w:gridCol w:w="3438"/>
        <w:gridCol w:w="1440"/>
        <w:gridCol w:w="720"/>
        <w:gridCol w:w="720"/>
        <w:gridCol w:w="720"/>
        <w:gridCol w:w="1260"/>
        <w:gridCol w:w="1350"/>
        <w:gridCol w:w="1350"/>
        <w:gridCol w:w="1260"/>
      </w:tblGrid>
      <w:tr w:rsidR="008E1AAF" w:rsidRPr="00813B66" w14:paraId="53FD4D27" w14:textId="77777777" w:rsidTr="0003684F">
        <w:trPr>
          <w:trHeight w:val="526"/>
        </w:trPr>
        <w:tc>
          <w:tcPr>
            <w:tcW w:w="3438" w:type="dxa"/>
            <w:vMerge w:val="restart"/>
            <w:hideMark/>
          </w:tcPr>
          <w:p w14:paraId="15FD19DC" w14:textId="77777777" w:rsidR="008E1AAF" w:rsidRPr="00813B66" w:rsidRDefault="008E1AAF" w:rsidP="0003684F">
            <w:pPr>
              <w:spacing w:after="0"/>
              <w:rPr>
                <w:b/>
                <w:bCs/>
                <w:sz w:val="22"/>
                <w:szCs w:val="22"/>
              </w:rPr>
            </w:pPr>
            <w:r w:rsidRPr="00813B66">
              <w:rPr>
                <w:b/>
                <w:bCs/>
                <w:sz w:val="22"/>
                <w:szCs w:val="22"/>
              </w:rPr>
              <w:t>Respondent Type</w:t>
            </w:r>
          </w:p>
        </w:tc>
        <w:tc>
          <w:tcPr>
            <w:tcW w:w="1440" w:type="dxa"/>
            <w:vMerge w:val="restart"/>
            <w:hideMark/>
          </w:tcPr>
          <w:p w14:paraId="29D5DD06" w14:textId="77777777" w:rsidR="008E1AAF" w:rsidRPr="00813B66" w:rsidRDefault="008E1AAF" w:rsidP="0003684F">
            <w:pPr>
              <w:spacing w:after="0"/>
              <w:jc w:val="center"/>
              <w:rPr>
                <w:b/>
                <w:bCs/>
                <w:sz w:val="22"/>
                <w:szCs w:val="22"/>
              </w:rPr>
            </w:pPr>
            <w:r w:rsidRPr="00813B66">
              <w:rPr>
                <w:b/>
                <w:bCs/>
                <w:sz w:val="22"/>
                <w:szCs w:val="22"/>
              </w:rPr>
              <w:t>Number of Respondents</w:t>
            </w:r>
          </w:p>
        </w:tc>
        <w:tc>
          <w:tcPr>
            <w:tcW w:w="2160" w:type="dxa"/>
            <w:gridSpan w:val="3"/>
            <w:tcBorders>
              <w:right w:val="single" w:sz="18" w:space="0" w:color="auto"/>
            </w:tcBorders>
          </w:tcPr>
          <w:p w14:paraId="0C8CE954" w14:textId="77777777" w:rsidR="008E1AAF" w:rsidRPr="00813B66" w:rsidRDefault="008E1AAF" w:rsidP="0003684F">
            <w:pPr>
              <w:spacing w:after="0"/>
              <w:jc w:val="center"/>
              <w:rPr>
                <w:b/>
                <w:bCs/>
                <w:sz w:val="22"/>
                <w:szCs w:val="22"/>
              </w:rPr>
            </w:pPr>
            <w:r>
              <w:rPr>
                <w:b/>
                <w:bCs/>
                <w:sz w:val="22"/>
                <w:szCs w:val="22"/>
              </w:rPr>
              <w:t>Respondents per Survey Round</w:t>
            </w:r>
          </w:p>
        </w:tc>
        <w:tc>
          <w:tcPr>
            <w:tcW w:w="1260" w:type="dxa"/>
            <w:vMerge w:val="restart"/>
            <w:tcBorders>
              <w:left w:val="single" w:sz="18" w:space="0" w:color="auto"/>
            </w:tcBorders>
            <w:hideMark/>
          </w:tcPr>
          <w:p w14:paraId="14DFED32" w14:textId="77777777" w:rsidR="008E1AAF" w:rsidRPr="00813B66" w:rsidRDefault="008E1AAF" w:rsidP="0003684F">
            <w:pPr>
              <w:spacing w:after="0"/>
              <w:jc w:val="center"/>
              <w:rPr>
                <w:b/>
                <w:bCs/>
                <w:sz w:val="22"/>
                <w:szCs w:val="22"/>
              </w:rPr>
            </w:pPr>
            <w:r w:rsidRPr="00813B66">
              <w:rPr>
                <w:b/>
                <w:bCs/>
                <w:sz w:val="22"/>
                <w:szCs w:val="22"/>
              </w:rPr>
              <w:t>Total Responses</w:t>
            </w:r>
            <w:r>
              <w:rPr>
                <w:b/>
                <w:bCs/>
                <w:sz w:val="22"/>
                <w:szCs w:val="22"/>
              </w:rPr>
              <w:t xml:space="preserve"> Over Three Years</w:t>
            </w:r>
          </w:p>
        </w:tc>
        <w:tc>
          <w:tcPr>
            <w:tcW w:w="1350" w:type="dxa"/>
            <w:vMerge w:val="restart"/>
            <w:hideMark/>
          </w:tcPr>
          <w:p w14:paraId="6D9B5B0C" w14:textId="77777777" w:rsidR="008E1AAF" w:rsidRPr="00813B66" w:rsidRDefault="008E1AAF" w:rsidP="0003684F">
            <w:pPr>
              <w:spacing w:after="0"/>
              <w:jc w:val="center"/>
              <w:rPr>
                <w:b/>
                <w:bCs/>
                <w:sz w:val="22"/>
                <w:szCs w:val="22"/>
              </w:rPr>
            </w:pPr>
            <w:r w:rsidRPr="00813B66">
              <w:rPr>
                <w:b/>
                <w:bCs/>
                <w:sz w:val="22"/>
                <w:szCs w:val="22"/>
              </w:rPr>
              <w:t>Average Responses</w:t>
            </w:r>
            <w:r>
              <w:rPr>
                <w:b/>
                <w:bCs/>
                <w:sz w:val="22"/>
                <w:szCs w:val="22"/>
              </w:rPr>
              <w:t xml:space="preserve">  per Year</w:t>
            </w:r>
          </w:p>
        </w:tc>
        <w:tc>
          <w:tcPr>
            <w:tcW w:w="1350" w:type="dxa"/>
            <w:vMerge w:val="restart"/>
            <w:hideMark/>
          </w:tcPr>
          <w:p w14:paraId="7C00CAED" w14:textId="77777777" w:rsidR="008E1AAF" w:rsidRPr="00813B66" w:rsidRDefault="008E1AAF" w:rsidP="0003684F">
            <w:pPr>
              <w:spacing w:after="0"/>
              <w:jc w:val="center"/>
              <w:rPr>
                <w:b/>
                <w:bCs/>
                <w:sz w:val="22"/>
                <w:szCs w:val="22"/>
                <w:vertAlign w:val="superscript"/>
              </w:rPr>
            </w:pPr>
            <w:r w:rsidRPr="00813B66">
              <w:rPr>
                <w:b/>
                <w:bCs/>
                <w:sz w:val="22"/>
                <w:szCs w:val="22"/>
              </w:rPr>
              <w:t xml:space="preserve">Average </w:t>
            </w:r>
            <w:r>
              <w:rPr>
                <w:b/>
                <w:bCs/>
                <w:sz w:val="22"/>
                <w:szCs w:val="22"/>
              </w:rPr>
              <w:t>Response</w:t>
            </w:r>
            <w:r w:rsidRPr="00813B66">
              <w:rPr>
                <w:b/>
                <w:bCs/>
                <w:sz w:val="22"/>
                <w:szCs w:val="22"/>
              </w:rPr>
              <w:t xml:space="preserve"> Burden</w:t>
            </w:r>
            <w:r>
              <w:rPr>
                <w:b/>
                <w:bCs/>
                <w:sz w:val="22"/>
                <w:szCs w:val="22"/>
              </w:rPr>
              <w:t xml:space="preserve"> per Year</w:t>
            </w:r>
            <w:r w:rsidRPr="00813B66">
              <w:rPr>
                <w:b/>
                <w:bCs/>
                <w:sz w:val="22"/>
                <w:szCs w:val="22"/>
              </w:rPr>
              <w:t xml:space="preserve"> </w:t>
            </w:r>
            <w:r>
              <w:rPr>
                <w:b/>
                <w:bCs/>
                <w:sz w:val="22"/>
                <w:szCs w:val="22"/>
              </w:rPr>
              <w:t>(</w:t>
            </w:r>
            <w:r w:rsidRPr="00813B66">
              <w:rPr>
                <w:b/>
                <w:bCs/>
                <w:sz w:val="22"/>
                <w:szCs w:val="22"/>
              </w:rPr>
              <w:t>Hours</w:t>
            </w:r>
            <w:r>
              <w:rPr>
                <w:b/>
                <w:bCs/>
                <w:sz w:val="22"/>
                <w:szCs w:val="22"/>
              </w:rPr>
              <w:t>)</w:t>
            </w:r>
            <w:r w:rsidRPr="00813B66">
              <w:rPr>
                <w:b/>
                <w:bCs/>
                <w:sz w:val="22"/>
                <w:szCs w:val="22"/>
                <w:vertAlign w:val="superscript"/>
              </w:rPr>
              <w:t>a</w:t>
            </w:r>
          </w:p>
        </w:tc>
        <w:tc>
          <w:tcPr>
            <w:tcW w:w="1260" w:type="dxa"/>
            <w:vMerge w:val="restart"/>
          </w:tcPr>
          <w:p w14:paraId="4575D1C5" w14:textId="77777777" w:rsidR="008E1AAF" w:rsidRPr="00813B66" w:rsidRDefault="008E1AAF" w:rsidP="0003684F">
            <w:pPr>
              <w:spacing w:after="0"/>
              <w:jc w:val="center"/>
              <w:rPr>
                <w:b/>
                <w:bCs/>
                <w:sz w:val="22"/>
                <w:szCs w:val="22"/>
              </w:rPr>
            </w:pPr>
            <w:r w:rsidRPr="00813B66">
              <w:rPr>
                <w:b/>
                <w:bCs/>
                <w:sz w:val="22"/>
                <w:szCs w:val="22"/>
              </w:rPr>
              <w:t>Average Cost</w:t>
            </w:r>
            <w:r>
              <w:rPr>
                <w:b/>
                <w:bCs/>
                <w:sz w:val="22"/>
                <w:szCs w:val="22"/>
              </w:rPr>
              <w:t xml:space="preserve"> per </w:t>
            </w:r>
            <w:proofErr w:type="spellStart"/>
            <w:r>
              <w:rPr>
                <w:b/>
                <w:bCs/>
                <w:sz w:val="22"/>
                <w:szCs w:val="22"/>
              </w:rPr>
              <w:t>Year</w:t>
            </w:r>
            <w:r w:rsidRPr="00813B66">
              <w:rPr>
                <w:b/>
                <w:bCs/>
                <w:sz w:val="22"/>
                <w:szCs w:val="22"/>
                <w:vertAlign w:val="superscript"/>
              </w:rPr>
              <w:t>b</w:t>
            </w:r>
            <w:proofErr w:type="spellEnd"/>
          </w:p>
        </w:tc>
      </w:tr>
      <w:tr w:rsidR="008E1AAF" w:rsidRPr="00813B66" w14:paraId="7CCFD38D" w14:textId="77777777" w:rsidTr="0003684F">
        <w:trPr>
          <w:trHeight w:val="526"/>
        </w:trPr>
        <w:tc>
          <w:tcPr>
            <w:tcW w:w="3438" w:type="dxa"/>
            <w:vMerge/>
          </w:tcPr>
          <w:p w14:paraId="3785C229" w14:textId="77777777" w:rsidR="008E1AAF" w:rsidRPr="00813B66" w:rsidRDefault="008E1AAF" w:rsidP="0003684F">
            <w:pPr>
              <w:spacing w:after="0"/>
              <w:rPr>
                <w:b/>
                <w:bCs/>
                <w:sz w:val="22"/>
                <w:szCs w:val="22"/>
              </w:rPr>
            </w:pPr>
          </w:p>
        </w:tc>
        <w:tc>
          <w:tcPr>
            <w:tcW w:w="1440" w:type="dxa"/>
            <w:vMerge/>
          </w:tcPr>
          <w:p w14:paraId="21767570" w14:textId="77777777" w:rsidR="008E1AAF" w:rsidRPr="00813B66" w:rsidRDefault="008E1AAF" w:rsidP="0003684F">
            <w:pPr>
              <w:spacing w:after="0"/>
              <w:jc w:val="center"/>
              <w:rPr>
                <w:b/>
                <w:bCs/>
                <w:sz w:val="22"/>
                <w:szCs w:val="22"/>
              </w:rPr>
            </w:pPr>
          </w:p>
        </w:tc>
        <w:tc>
          <w:tcPr>
            <w:tcW w:w="720" w:type="dxa"/>
            <w:vAlign w:val="center"/>
          </w:tcPr>
          <w:p w14:paraId="58841BA8" w14:textId="77777777" w:rsidR="008E1AAF" w:rsidRPr="00813B66" w:rsidRDefault="008E1AAF" w:rsidP="0003684F">
            <w:pPr>
              <w:spacing w:after="0"/>
              <w:jc w:val="center"/>
              <w:rPr>
                <w:b/>
                <w:bCs/>
                <w:sz w:val="22"/>
                <w:szCs w:val="22"/>
              </w:rPr>
            </w:pPr>
            <w:r w:rsidRPr="00813B66">
              <w:rPr>
                <w:b/>
                <w:bCs/>
                <w:sz w:val="22"/>
                <w:szCs w:val="22"/>
              </w:rPr>
              <w:t>2016</w:t>
            </w:r>
          </w:p>
        </w:tc>
        <w:tc>
          <w:tcPr>
            <w:tcW w:w="720" w:type="dxa"/>
            <w:vAlign w:val="center"/>
          </w:tcPr>
          <w:p w14:paraId="5F25F14B" w14:textId="77777777" w:rsidR="008E1AAF" w:rsidRPr="00813B66" w:rsidRDefault="008E1AAF" w:rsidP="0003684F">
            <w:pPr>
              <w:spacing w:after="0"/>
              <w:jc w:val="center"/>
              <w:rPr>
                <w:b/>
                <w:bCs/>
                <w:sz w:val="22"/>
                <w:szCs w:val="22"/>
              </w:rPr>
            </w:pPr>
            <w:r w:rsidRPr="00813B66">
              <w:rPr>
                <w:b/>
                <w:bCs/>
                <w:sz w:val="22"/>
                <w:szCs w:val="22"/>
              </w:rPr>
              <w:t>2017</w:t>
            </w:r>
          </w:p>
        </w:tc>
        <w:tc>
          <w:tcPr>
            <w:tcW w:w="720" w:type="dxa"/>
            <w:tcBorders>
              <w:right w:val="single" w:sz="18" w:space="0" w:color="auto"/>
            </w:tcBorders>
            <w:vAlign w:val="center"/>
          </w:tcPr>
          <w:p w14:paraId="4DA6AE5A" w14:textId="77777777" w:rsidR="008E1AAF" w:rsidRPr="00813B66" w:rsidRDefault="008E1AAF" w:rsidP="0003684F">
            <w:pPr>
              <w:spacing w:after="0"/>
              <w:jc w:val="center"/>
              <w:rPr>
                <w:b/>
                <w:bCs/>
                <w:sz w:val="22"/>
                <w:szCs w:val="22"/>
              </w:rPr>
            </w:pPr>
            <w:r w:rsidRPr="00813B66">
              <w:rPr>
                <w:b/>
                <w:bCs/>
                <w:sz w:val="22"/>
                <w:szCs w:val="22"/>
              </w:rPr>
              <w:t>2018</w:t>
            </w:r>
          </w:p>
        </w:tc>
        <w:tc>
          <w:tcPr>
            <w:tcW w:w="1260" w:type="dxa"/>
            <w:vMerge/>
            <w:tcBorders>
              <w:left w:val="single" w:sz="18" w:space="0" w:color="auto"/>
            </w:tcBorders>
          </w:tcPr>
          <w:p w14:paraId="0E7B7FF3" w14:textId="77777777" w:rsidR="008E1AAF" w:rsidRPr="00813B66" w:rsidRDefault="008E1AAF" w:rsidP="0003684F">
            <w:pPr>
              <w:spacing w:after="0"/>
              <w:rPr>
                <w:b/>
                <w:bCs/>
                <w:sz w:val="22"/>
                <w:szCs w:val="22"/>
              </w:rPr>
            </w:pPr>
          </w:p>
        </w:tc>
        <w:tc>
          <w:tcPr>
            <w:tcW w:w="1350" w:type="dxa"/>
            <w:vMerge/>
          </w:tcPr>
          <w:p w14:paraId="32E84B2B" w14:textId="77777777" w:rsidR="008E1AAF" w:rsidRPr="00813B66" w:rsidRDefault="008E1AAF" w:rsidP="0003684F">
            <w:pPr>
              <w:spacing w:after="0"/>
              <w:rPr>
                <w:b/>
                <w:bCs/>
                <w:sz w:val="22"/>
                <w:szCs w:val="22"/>
              </w:rPr>
            </w:pPr>
          </w:p>
        </w:tc>
        <w:tc>
          <w:tcPr>
            <w:tcW w:w="1350" w:type="dxa"/>
            <w:vMerge/>
          </w:tcPr>
          <w:p w14:paraId="14988BD0" w14:textId="77777777" w:rsidR="008E1AAF" w:rsidRPr="00813B66" w:rsidRDefault="008E1AAF" w:rsidP="0003684F">
            <w:pPr>
              <w:spacing w:after="0"/>
              <w:rPr>
                <w:b/>
                <w:bCs/>
                <w:sz w:val="22"/>
                <w:szCs w:val="22"/>
              </w:rPr>
            </w:pPr>
          </w:p>
        </w:tc>
        <w:tc>
          <w:tcPr>
            <w:tcW w:w="1260" w:type="dxa"/>
            <w:vMerge/>
          </w:tcPr>
          <w:p w14:paraId="3B386036" w14:textId="77777777" w:rsidR="008E1AAF" w:rsidRPr="00813B66" w:rsidRDefault="008E1AAF" w:rsidP="0003684F">
            <w:pPr>
              <w:spacing w:after="0"/>
              <w:rPr>
                <w:b/>
                <w:bCs/>
                <w:sz w:val="22"/>
                <w:szCs w:val="22"/>
              </w:rPr>
            </w:pPr>
          </w:p>
        </w:tc>
      </w:tr>
      <w:tr w:rsidR="008E1AAF" w:rsidRPr="00813B66" w14:paraId="4C84AA76" w14:textId="77777777" w:rsidTr="0003684F">
        <w:trPr>
          <w:trHeight w:val="300"/>
        </w:trPr>
        <w:tc>
          <w:tcPr>
            <w:tcW w:w="3438" w:type="dxa"/>
            <w:noWrap/>
            <w:hideMark/>
          </w:tcPr>
          <w:p w14:paraId="4BF3C38E" w14:textId="77777777" w:rsidR="008E1AAF" w:rsidRPr="00813B66" w:rsidRDefault="008E1AAF" w:rsidP="0003684F">
            <w:pPr>
              <w:spacing w:after="0"/>
              <w:rPr>
                <w:b/>
                <w:sz w:val="22"/>
                <w:szCs w:val="22"/>
              </w:rPr>
            </w:pPr>
            <w:r w:rsidRPr="00813B66">
              <w:rPr>
                <w:b/>
                <w:sz w:val="22"/>
                <w:szCs w:val="22"/>
              </w:rPr>
              <w:t>2014 Grantees</w:t>
            </w:r>
          </w:p>
        </w:tc>
        <w:tc>
          <w:tcPr>
            <w:tcW w:w="1440" w:type="dxa"/>
            <w:noWrap/>
            <w:hideMark/>
          </w:tcPr>
          <w:p w14:paraId="61A1F7D3" w14:textId="77777777" w:rsidR="008E1AAF" w:rsidRPr="00813B66" w:rsidRDefault="008E1AAF" w:rsidP="0003684F">
            <w:pPr>
              <w:spacing w:after="0"/>
              <w:jc w:val="center"/>
              <w:rPr>
                <w:sz w:val="22"/>
                <w:szCs w:val="22"/>
              </w:rPr>
            </w:pPr>
            <w:r w:rsidRPr="00813B66">
              <w:rPr>
                <w:sz w:val="22"/>
                <w:szCs w:val="22"/>
              </w:rPr>
              <w:t>8</w:t>
            </w:r>
          </w:p>
        </w:tc>
        <w:tc>
          <w:tcPr>
            <w:tcW w:w="720" w:type="dxa"/>
            <w:noWrap/>
            <w:vAlign w:val="center"/>
            <w:hideMark/>
          </w:tcPr>
          <w:p w14:paraId="1DAD404E" w14:textId="77777777" w:rsidR="008E1AAF" w:rsidRPr="00813B66" w:rsidRDefault="008E1AAF" w:rsidP="0003684F">
            <w:pPr>
              <w:spacing w:after="0"/>
              <w:jc w:val="center"/>
              <w:rPr>
                <w:sz w:val="22"/>
                <w:szCs w:val="22"/>
              </w:rPr>
            </w:pPr>
            <w:r>
              <w:rPr>
                <w:sz w:val="22"/>
                <w:szCs w:val="22"/>
              </w:rPr>
              <w:t>8</w:t>
            </w:r>
          </w:p>
        </w:tc>
        <w:tc>
          <w:tcPr>
            <w:tcW w:w="720" w:type="dxa"/>
            <w:noWrap/>
            <w:vAlign w:val="center"/>
            <w:hideMark/>
          </w:tcPr>
          <w:p w14:paraId="1A88C455" w14:textId="77777777" w:rsidR="008E1AAF" w:rsidRPr="00813B66" w:rsidRDefault="008E1AAF" w:rsidP="0003684F">
            <w:pPr>
              <w:spacing w:after="0"/>
              <w:jc w:val="center"/>
              <w:rPr>
                <w:sz w:val="22"/>
                <w:szCs w:val="22"/>
              </w:rPr>
            </w:pPr>
            <w:r>
              <w:rPr>
                <w:sz w:val="22"/>
                <w:szCs w:val="22"/>
              </w:rPr>
              <w:t>8</w:t>
            </w:r>
          </w:p>
        </w:tc>
        <w:tc>
          <w:tcPr>
            <w:tcW w:w="720" w:type="dxa"/>
            <w:tcBorders>
              <w:right w:val="single" w:sz="18" w:space="0" w:color="auto"/>
            </w:tcBorders>
            <w:noWrap/>
            <w:vAlign w:val="center"/>
            <w:hideMark/>
          </w:tcPr>
          <w:p w14:paraId="0BE0BC1C" w14:textId="77777777" w:rsidR="008E1AAF" w:rsidRPr="00813B66" w:rsidRDefault="008E1AAF" w:rsidP="0003684F">
            <w:pPr>
              <w:spacing w:after="0"/>
              <w:jc w:val="center"/>
              <w:rPr>
                <w:sz w:val="22"/>
                <w:szCs w:val="22"/>
              </w:rPr>
            </w:pPr>
          </w:p>
        </w:tc>
        <w:tc>
          <w:tcPr>
            <w:tcW w:w="1260" w:type="dxa"/>
            <w:tcBorders>
              <w:left w:val="single" w:sz="18" w:space="0" w:color="auto"/>
            </w:tcBorders>
            <w:noWrap/>
            <w:vAlign w:val="center"/>
            <w:hideMark/>
          </w:tcPr>
          <w:p w14:paraId="479D3FBC" w14:textId="77777777" w:rsidR="008E1AAF" w:rsidRPr="00813B66" w:rsidRDefault="008E1AAF" w:rsidP="0003684F">
            <w:pPr>
              <w:spacing w:after="0"/>
              <w:jc w:val="right"/>
              <w:rPr>
                <w:sz w:val="22"/>
                <w:szCs w:val="22"/>
              </w:rPr>
            </w:pPr>
            <w:r w:rsidRPr="00813B66">
              <w:rPr>
                <w:color w:val="000000"/>
                <w:sz w:val="22"/>
                <w:szCs w:val="22"/>
              </w:rPr>
              <w:t>16</w:t>
            </w:r>
          </w:p>
        </w:tc>
        <w:tc>
          <w:tcPr>
            <w:tcW w:w="1350" w:type="dxa"/>
            <w:noWrap/>
            <w:vAlign w:val="center"/>
            <w:hideMark/>
          </w:tcPr>
          <w:p w14:paraId="76A2E6A9" w14:textId="77777777" w:rsidR="008E1AAF" w:rsidRPr="00813B66" w:rsidRDefault="008E1AAF" w:rsidP="0003684F">
            <w:pPr>
              <w:spacing w:after="0"/>
              <w:jc w:val="right"/>
              <w:rPr>
                <w:sz w:val="22"/>
                <w:szCs w:val="22"/>
              </w:rPr>
            </w:pPr>
            <w:r w:rsidRPr="00813B66">
              <w:rPr>
                <w:sz w:val="22"/>
                <w:szCs w:val="22"/>
              </w:rPr>
              <w:t>5.33</w:t>
            </w:r>
          </w:p>
        </w:tc>
        <w:tc>
          <w:tcPr>
            <w:tcW w:w="1350" w:type="dxa"/>
            <w:noWrap/>
            <w:vAlign w:val="center"/>
            <w:hideMark/>
          </w:tcPr>
          <w:p w14:paraId="6277D9A7" w14:textId="77777777" w:rsidR="008E1AAF" w:rsidRPr="00813B66" w:rsidRDefault="008E1AAF" w:rsidP="0003684F">
            <w:pPr>
              <w:spacing w:after="0"/>
              <w:jc w:val="right"/>
              <w:rPr>
                <w:sz w:val="22"/>
                <w:szCs w:val="22"/>
              </w:rPr>
            </w:pPr>
            <w:r w:rsidRPr="00813B66">
              <w:rPr>
                <w:sz w:val="22"/>
                <w:szCs w:val="22"/>
              </w:rPr>
              <w:t>1.78</w:t>
            </w:r>
          </w:p>
        </w:tc>
        <w:tc>
          <w:tcPr>
            <w:tcW w:w="1260" w:type="dxa"/>
            <w:vAlign w:val="center"/>
          </w:tcPr>
          <w:p w14:paraId="2AE5CA0A" w14:textId="77777777" w:rsidR="008E1AAF" w:rsidRPr="00813B66" w:rsidRDefault="008E1AAF" w:rsidP="0003684F">
            <w:pPr>
              <w:spacing w:after="0"/>
              <w:jc w:val="right"/>
              <w:rPr>
                <w:sz w:val="22"/>
                <w:szCs w:val="22"/>
              </w:rPr>
            </w:pPr>
            <w:r w:rsidRPr="00813B66">
              <w:rPr>
                <w:sz w:val="22"/>
                <w:szCs w:val="22"/>
              </w:rPr>
              <w:t>$151.11</w:t>
            </w:r>
          </w:p>
        </w:tc>
      </w:tr>
      <w:tr w:rsidR="008E1AAF" w:rsidRPr="00813B66" w14:paraId="49581E12" w14:textId="77777777" w:rsidTr="0003684F">
        <w:trPr>
          <w:trHeight w:val="300"/>
        </w:trPr>
        <w:tc>
          <w:tcPr>
            <w:tcW w:w="3438" w:type="dxa"/>
            <w:noWrap/>
            <w:hideMark/>
          </w:tcPr>
          <w:p w14:paraId="188C5FFD" w14:textId="427C13B1" w:rsidR="008E1AAF" w:rsidRPr="00813B66" w:rsidRDefault="008E1AAF" w:rsidP="0003684F">
            <w:pPr>
              <w:spacing w:after="0"/>
              <w:rPr>
                <w:sz w:val="22"/>
                <w:szCs w:val="22"/>
              </w:rPr>
            </w:pPr>
            <w:r>
              <w:rPr>
                <w:sz w:val="22"/>
                <w:szCs w:val="22"/>
              </w:rPr>
              <w:t xml:space="preserve">   </w:t>
            </w:r>
            <w:r w:rsidRPr="00813B66">
              <w:rPr>
                <w:sz w:val="22"/>
                <w:szCs w:val="22"/>
              </w:rPr>
              <w:t xml:space="preserve">RFP 1 </w:t>
            </w:r>
            <w:proofErr w:type="spellStart"/>
            <w:r w:rsidRPr="00813B66">
              <w:rPr>
                <w:sz w:val="22"/>
                <w:szCs w:val="22"/>
              </w:rPr>
              <w:t>Subrecipients</w:t>
            </w:r>
            <w:proofErr w:type="spellEnd"/>
            <w:r w:rsidRPr="00813B66">
              <w:rPr>
                <w:sz w:val="22"/>
                <w:szCs w:val="22"/>
              </w:rPr>
              <w:t>/</w:t>
            </w:r>
            <w:r w:rsidR="003B6D11">
              <w:rPr>
                <w:sz w:val="22"/>
                <w:szCs w:val="22"/>
              </w:rPr>
              <w:t>Service Recipient</w:t>
            </w:r>
            <w:r w:rsidRPr="00813B66">
              <w:rPr>
                <w:sz w:val="22"/>
                <w:szCs w:val="22"/>
              </w:rPr>
              <w:t>s</w:t>
            </w:r>
          </w:p>
        </w:tc>
        <w:tc>
          <w:tcPr>
            <w:tcW w:w="1440" w:type="dxa"/>
            <w:noWrap/>
            <w:hideMark/>
          </w:tcPr>
          <w:p w14:paraId="5C4B2EB2" w14:textId="77777777" w:rsidR="008E1AAF" w:rsidRPr="00813B66" w:rsidRDefault="008E1AAF" w:rsidP="0003684F">
            <w:pPr>
              <w:spacing w:after="0"/>
              <w:jc w:val="center"/>
              <w:rPr>
                <w:sz w:val="22"/>
                <w:szCs w:val="22"/>
              </w:rPr>
            </w:pPr>
            <w:r w:rsidRPr="00813B66">
              <w:rPr>
                <w:sz w:val="22"/>
                <w:szCs w:val="22"/>
              </w:rPr>
              <w:t>55</w:t>
            </w:r>
          </w:p>
        </w:tc>
        <w:tc>
          <w:tcPr>
            <w:tcW w:w="720" w:type="dxa"/>
            <w:noWrap/>
            <w:vAlign w:val="center"/>
            <w:hideMark/>
          </w:tcPr>
          <w:p w14:paraId="4B4B4EEF" w14:textId="77777777" w:rsidR="008E1AAF" w:rsidRPr="00813B66" w:rsidRDefault="008E1AAF" w:rsidP="0003684F">
            <w:pPr>
              <w:spacing w:after="0"/>
              <w:jc w:val="center"/>
              <w:rPr>
                <w:sz w:val="22"/>
                <w:szCs w:val="22"/>
              </w:rPr>
            </w:pPr>
            <w:r>
              <w:rPr>
                <w:sz w:val="22"/>
                <w:szCs w:val="22"/>
              </w:rPr>
              <w:t>55</w:t>
            </w:r>
          </w:p>
        </w:tc>
        <w:tc>
          <w:tcPr>
            <w:tcW w:w="720" w:type="dxa"/>
            <w:noWrap/>
            <w:vAlign w:val="center"/>
            <w:hideMark/>
          </w:tcPr>
          <w:p w14:paraId="232012B9" w14:textId="77777777" w:rsidR="008E1AAF" w:rsidRPr="00813B66" w:rsidRDefault="008E1AAF" w:rsidP="0003684F">
            <w:pPr>
              <w:spacing w:after="0"/>
              <w:jc w:val="center"/>
              <w:rPr>
                <w:sz w:val="22"/>
                <w:szCs w:val="22"/>
              </w:rPr>
            </w:pPr>
            <w:r>
              <w:rPr>
                <w:sz w:val="22"/>
                <w:szCs w:val="22"/>
              </w:rPr>
              <w:t>55</w:t>
            </w:r>
          </w:p>
        </w:tc>
        <w:tc>
          <w:tcPr>
            <w:tcW w:w="720" w:type="dxa"/>
            <w:tcBorders>
              <w:right w:val="single" w:sz="18" w:space="0" w:color="auto"/>
            </w:tcBorders>
            <w:noWrap/>
            <w:vAlign w:val="center"/>
            <w:hideMark/>
          </w:tcPr>
          <w:p w14:paraId="207B0C44" w14:textId="77777777" w:rsidR="008E1AAF" w:rsidRPr="00813B66" w:rsidRDefault="008E1AAF" w:rsidP="0003684F">
            <w:pPr>
              <w:spacing w:after="0"/>
              <w:jc w:val="center"/>
              <w:rPr>
                <w:sz w:val="22"/>
                <w:szCs w:val="22"/>
              </w:rPr>
            </w:pPr>
          </w:p>
        </w:tc>
        <w:tc>
          <w:tcPr>
            <w:tcW w:w="1260" w:type="dxa"/>
            <w:tcBorders>
              <w:left w:val="single" w:sz="18" w:space="0" w:color="auto"/>
            </w:tcBorders>
            <w:noWrap/>
            <w:vAlign w:val="center"/>
            <w:hideMark/>
          </w:tcPr>
          <w:p w14:paraId="2B924400" w14:textId="77777777" w:rsidR="008E1AAF" w:rsidRPr="00813B66" w:rsidRDefault="008E1AAF" w:rsidP="0003684F">
            <w:pPr>
              <w:spacing w:after="0"/>
              <w:jc w:val="right"/>
              <w:rPr>
                <w:sz w:val="22"/>
                <w:szCs w:val="22"/>
              </w:rPr>
            </w:pPr>
            <w:r w:rsidRPr="00813B66">
              <w:rPr>
                <w:color w:val="000000"/>
                <w:sz w:val="22"/>
                <w:szCs w:val="22"/>
              </w:rPr>
              <w:t>110</w:t>
            </w:r>
          </w:p>
        </w:tc>
        <w:tc>
          <w:tcPr>
            <w:tcW w:w="1350" w:type="dxa"/>
            <w:noWrap/>
            <w:vAlign w:val="center"/>
            <w:hideMark/>
          </w:tcPr>
          <w:p w14:paraId="25478FCA" w14:textId="77777777" w:rsidR="008E1AAF" w:rsidRPr="00813B66" w:rsidRDefault="008E1AAF" w:rsidP="0003684F">
            <w:pPr>
              <w:spacing w:after="0"/>
              <w:jc w:val="right"/>
              <w:rPr>
                <w:sz w:val="22"/>
                <w:szCs w:val="22"/>
              </w:rPr>
            </w:pPr>
            <w:r w:rsidRPr="00813B66">
              <w:rPr>
                <w:sz w:val="22"/>
                <w:szCs w:val="22"/>
              </w:rPr>
              <w:t>36.67</w:t>
            </w:r>
          </w:p>
        </w:tc>
        <w:tc>
          <w:tcPr>
            <w:tcW w:w="1350" w:type="dxa"/>
            <w:noWrap/>
            <w:vAlign w:val="center"/>
            <w:hideMark/>
          </w:tcPr>
          <w:p w14:paraId="4563FF6A" w14:textId="77777777" w:rsidR="008E1AAF" w:rsidRPr="00813B66" w:rsidRDefault="008E1AAF" w:rsidP="0003684F">
            <w:pPr>
              <w:spacing w:after="0"/>
              <w:jc w:val="right"/>
              <w:rPr>
                <w:sz w:val="22"/>
                <w:szCs w:val="22"/>
              </w:rPr>
            </w:pPr>
            <w:r w:rsidRPr="00813B66">
              <w:rPr>
                <w:sz w:val="22"/>
                <w:szCs w:val="22"/>
              </w:rPr>
              <w:t>12.22</w:t>
            </w:r>
          </w:p>
        </w:tc>
        <w:tc>
          <w:tcPr>
            <w:tcW w:w="1260" w:type="dxa"/>
            <w:vAlign w:val="center"/>
          </w:tcPr>
          <w:p w14:paraId="284A66D7" w14:textId="77777777" w:rsidR="008E1AAF" w:rsidRPr="00813B66" w:rsidRDefault="008E1AAF" w:rsidP="0003684F">
            <w:pPr>
              <w:spacing w:after="0"/>
              <w:jc w:val="right"/>
              <w:rPr>
                <w:sz w:val="22"/>
                <w:szCs w:val="22"/>
              </w:rPr>
            </w:pPr>
            <w:r w:rsidRPr="00813B66">
              <w:rPr>
                <w:sz w:val="22"/>
                <w:szCs w:val="22"/>
              </w:rPr>
              <w:t>$733.33</w:t>
            </w:r>
          </w:p>
        </w:tc>
      </w:tr>
      <w:tr w:rsidR="008E1AAF" w:rsidRPr="00813B66" w14:paraId="5134C71F" w14:textId="77777777" w:rsidTr="0003684F">
        <w:trPr>
          <w:trHeight w:val="300"/>
        </w:trPr>
        <w:tc>
          <w:tcPr>
            <w:tcW w:w="3438" w:type="dxa"/>
            <w:noWrap/>
            <w:hideMark/>
          </w:tcPr>
          <w:p w14:paraId="54867BD1" w14:textId="2D0C3875" w:rsidR="008E1AAF" w:rsidRPr="00813B66" w:rsidRDefault="008E1AAF" w:rsidP="0003684F">
            <w:pPr>
              <w:spacing w:after="0"/>
              <w:rPr>
                <w:sz w:val="22"/>
                <w:szCs w:val="22"/>
                <w:vertAlign w:val="subscript"/>
              </w:rPr>
            </w:pPr>
            <w:r>
              <w:rPr>
                <w:sz w:val="22"/>
                <w:szCs w:val="22"/>
              </w:rPr>
              <w:t xml:space="preserve">   </w:t>
            </w:r>
            <w:r w:rsidRPr="00813B66">
              <w:rPr>
                <w:sz w:val="22"/>
                <w:szCs w:val="22"/>
              </w:rPr>
              <w:t xml:space="preserve">RFP 2 </w:t>
            </w:r>
            <w:proofErr w:type="spellStart"/>
            <w:r w:rsidRPr="00813B66">
              <w:rPr>
                <w:sz w:val="22"/>
                <w:szCs w:val="22"/>
              </w:rPr>
              <w:t>Subrecipients</w:t>
            </w:r>
            <w:proofErr w:type="spellEnd"/>
            <w:r w:rsidRPr="00813B66">
              <w:rPr>
                <w:sz w:val="22"/>
                <w:szCs w:val="22"/>
              </w:rPr>
              <w:t>/</w:t>
            </w:r>
            <w:r w:rsidR="003B6D11">
              <w:rPr>
                <w:sz w:val="22"/>
                <w:szCs w:val="22"/>
              </w:rPr>
              <w:t>Service Recipient</w:t>
            </w:r>
            <w:r w:rsidRPr="00813B66">
              <w:rPr>
                <w:sz w:val="22"/>
                <w:szCs w:val="22"/>
              </w:rPr>
              <w:t>s</w:t>
            </w:r>
          </w:p>
        </w:tc>
        <w:tc>
          <w:tcPr>
            <w:tcW w:w="1440" w:type="dxa"/>
            <w:noWrap/>
            <w:hideMark/>
          </w:tcPr>
          <w:p w14:paraId="4648F49D" w14:textId="77777777" w:rsidR="008E1AAF" w:rsidRPr="00813B66" w:rsidRDefault="008E1AAF" w:rsidP="0003684F">
            <w:pPr>
              <w:spacing w:after="0"/>
              <w:jc w:val="center"/>
              <w:rPr>
                <w:sz w:val="22"/>
                <w:szCs w:val="22"/>
              </w:rPr>
            </w:pPr>
            <w:r w:rsidRPr="00813B66">
              <w:rPr>
                <w:sz w:val="22"/>
                <w:szCs w:val="22"/>
              </w:rPr>
              <w:t>55</w:t>
            </w:r>
          </w:p>
        </w:tc>
        <w:tc>
          <w:tcPr>
            <w:tcW w:w="720" w:type="dxa"/>
            <w:noWrap/>
            <w:vAlign w:val="center"/>
            <w:hideMark/>
          </w:tcPr>
          <w:p w14:paraId="77DD1641" w14:textId="77777777" w:rsidR="008E1AAF" w:rsidRPr="00813B66" w:rsidRDefault="008E1AAF" w:rsidP="0003684F">
            <w:pPr>
              <w:spacing w:after="0"/>
              <w:jc w:val="center"/>
              <w:rPr>
                <w:sz w:val="22"/>
                <w:szCs w:val="22"/>
              </w:rPr>
            </w:pPr>
            <w:r>
              <w:rPr>
                <w:sz w:val="22"/>
                <w:szCs w:val="22"/>
              </w:rPr>
              <w:t>55</w:t>
            </w:r>
          </w:p>
        </w:tc>
        <w:tc>
          <w:tcPr>
            <w:tcW w:w="720" w:type="dxa"/>
            <w:noWrap/>
            <w:vAlign w:val="center"/>
            <w:hideMark/>
          </w:tcPr>
          <w:p w14:paraId="77ABB90A" w14:textId="77777777" w:rsidR="008E1AAF" w:rsidRPr="00813B66" w:rsidRDefault="008E1AAF" w:rsidP="0003684F">
            <w:pPr>
              <w:spacing w:after="0"/>
              <w:jc w:val="center"/>
              <w:rPr>
                <w:sz w:val="22"/>
                <w:szCs w:val="22"/>
              </w:rPr>
            </w:pPr>
            <w:r>
              <w:rPr>
                <w:sz w:val="22"/>
                <w:szCs w:val="22"/>
              </w:rPr>
              <w:t>55</w:t>
            </w:r>
          </w:p>
        </w:tc>
        <w:tc>
          <w:tcPr>
            <w:tcW w:w="720" w:type="dxa"/>
            <w:tcBorders>
              <w:right w:val="single" w:sz="18" w:space="0" w:color="auto"/>
            </w:tcBorders>
            <w:noWrap/>
            <w:vAlign w:val="center"/>
            <w:hideMark/>
          </w:tcPr>
          <w:p w14:paraId="11E6B789" w14:textId="77777777" w:rsidR="008E1AAF" w:rsidRPr="00813B66" w:rsidRDefault="008E1AAF" w:rsidP="0003684F">
            <w:pPr>
              <w:spacing w:after="0"/>
              <w:jc w:val="center"/>
              <w:rPr>
                <w:sz w:val="22"/>
                <w:szCs w:val="22"/>
              </w:rPr>
            </w:pPr>
          </w:p>
        </w:tc>
        <w:tc>
          <w:tcPr>
            <w:tcW w:w="1260" w:type="dxa"/>
            <w:tcBorders>
              <w:left w:val="single" w:sz="18" w:space="0" w:color="auto"/>
            </w:tcBorders>
            <w:noWrap/>
            <w:vAlign w:val="center"/>
            <w:hideMark/>
          </w:tcPr>
          <w:p w14:paraId="5B1BC2D5" w14:textId="77777777" w:rsidR="008E1AAF" w:rsidRPr="00813B66" w:rsidRDefault="008E1AAF" w:rsidP="0003684F">
            <w:pPr>
              <w:spacing w:after="0"/>
              <w:jc w:val="right"/>
              <w:rPr>
                <w:sz w:val="22"/>
                <w:szCs w:val="22"/>
              </w:rPr>
            </w:pPr>
            <w:r w:rsidRPr="00813B66">
              <w:rPr>
                <w:color w:val="000000"/>
                <w:sz w:val="22"/>
                <w:szCs w:val="22"/>
              </w:rPr>
              <w:t>110</w:t>
            </w:r>
          </w:p>
        </w:tc>
        <w:tc>
          <w:tcPr>
            <w:tcW w:w="1350" w:type="dxa"/>
            <w:noWrap/>
            <w:vAlign w:val="center"/>
            <w:hideMark/>
          </w:tcPr>
          <w:p w14:paraId="530E4AD5" w14:textId="77777777" w:rsidR="008E1AAF" w:rsidRPr="00813B66" w:rsidRDefault="008E1AAF" w:rsidP="0003684F">
            <w:pPr>
              <w:spacing w:after="0"/>
              <w:jc w:val="right"/>
              <w:rPr>
                <w:sz w:val="22"/>
                <w:szCs w:val="22"/>
              </w:rPr>
            </w:pPr>
            <w:r w:rsidRPr="00813B66">
              <w:rPr>
                <w:sz w:val="22"/>
                <w:szCs w:val="22"/>
              </w:rPr>
              <w:t>36.67</w:t>
            </w:r>
          </w:p>
        </w:tc>
        <w:tc>
          <w:tcPr>
            <w:tcW w:w="1350" w:type="dxa"/>
            <w:noWrap/>
            <w:vAlign w:val="center"/>
            <w:hideMark/>
          </w:tcPr>
          <w:p w14:paraId="6659A4F8" w14:textId="77777777" w:rsidR="008E1AAF" w:rsidRPr="00813B66" w:rsidRDefault="008E1AAF" w:rsidP="0003684F">
            <w:pPr>
              <w:spacing w:after="0"/>
              <w:jc w:val="right"/>
              <w:rPr>
                <w:sz w:val="22"/>
                <w:szCs w:val="22"/>
              </w:rPr>
            </w:pPr>
            <w:r w:rsidRPr="00813B66">
              <w:rPr>
                <w:sz w:val="22"/>
                <w:szCs w:val="22"/>
              </w:rPr>
              <w:t>12.22</w:t>
            </w:r>
          </w:p>
        </w:tc>
        <w:tc>
          <w:tcPr>
            <w:tcW w:w="1260" w:type="dxa"/>
            <w:vAlign w:val="center"/>
          </w:tcPr>
          <w:p w14:paraId="181AA4E6" w14:textId="77777777" w:rsidR="008E1AAF" w:rsidRPr="00813B66" w:rsidRDefault="008E1AAF" w:rsidP="0003684F">
            <w:pPr>
              <w:spacing w:after="0"/>
              <w:jc w:val="right"/>
              <w:rPr>
                <w:sz w:val="22"/>
                <w:szCs w:val="22"/>
              </w:rPr>
            </w:pPr>
            <w:r w:rsidRPr="00813B66">
              <w:rPr>
                <w:sz w:val="22"/>
                <w:szCs w:val="22"/>
              </w:rPr>
              <w:t>$733.33</w:t>
            </w:r>
          </w:p>
        </w:tc>
      </w:tr>
      <w:tr w:rsidR="008E1AAF" w:rsidRPr="00813B66" w14:paraId="361376C8" w14:textId="77777777" w:rsidTr="0003684F">
        <w:trPr>
          <w:trHeight w:val="300"/>
        </w:trPr>
        <w:tc>
          <w:tcPr>
            <w:tcW w:w="3438" w:type="dxa"/>
            <w:noWrap/>
            <w:hideMark/>
          </w:tcPr>
          <w:p w14:paraId="70C7D99C" w14:textId="77777777" w:rsidR="008E1AAF" w:rsidRPr="00813B66" w:rsidRDefault="008E1AAF" w:rsidP="0003684F">
            <w:pPr>
              <w:spacing w:after="0"/>
              <w:rPr>
                <w:b/>
                <w:sz w:val="22"/>
                <w:szCs w:val="22"/>
              </w:rPr>
            </w:pPr>
            <w:r w:rsidRPr="00813B66">
              <w:rPr>
                <w:b/>
                <w:sz w:val="22"/>
                <w:szCs w:val="22"/>
              </w:rPr>
              <w:t>2016 Grantees</w:t>
            </w:r>
          </w:p>
        </w:tc>
        <w:tc>
          <w:tcPr>
            <w:tcW w:w="1440" w:type="dxa"/>
            <w:noWrap/>
            <w:hideMark/>
          </w:tcPr>
          <w:p w14:paraId="3DF41E59" w14:textId="77777777" w:rsidR="008E1AAF" w:rsidRPr="00813B66" w:rsidRDefault="008E1AAF" w:rsidP="0003684F">
            <w:pPr>
              <w:spacing w:after="0"/>
              <w:jc w:val="center"/>
              <w:rPr>
                <w:sz w:val="22"/>
                <w:szCs w:val="22"/>
              </w:rPr>
            </w:pPr>
            <w:r w:rsidRPr="00813B66">
              <w:rPr>
                <w:sz w:val="22"/>
                <w:szCs w:val="22"/>
              </w:rPr>
              <w:t>4</w:t>
            </w:r>
          </w:p>
        </w:tc>
        <w:tc>
          <w:tcPr>
            <w:tcW w:w="720" w:type="dxa"/>
            <w:noWrap/>
            <w:vAlign w:val="center"/>
            <w:hideMark/>
          </w:tcPr>
          <w:p w14:paraId="593D0CBB" w14:textId="77777777" w:rsidR="008E1AAF" w:rsidRPr="00813B66" w:rsidRDefault="008E1AAF" w:rsidP="0003684F">
            <w:pPr>
              <w:spacing w:after="0"/>
              <w:jc w:val="center"/>
              <w:rPr>
                <w:sz w:val="22"/>
                <w:szCs w:val="22"/>
              </w:rPr>
            </w:pPr>
            <w:r>
              <w:rPr>
                <w:sz w:val="22"/>
                <w:szCs w:val="22"/>
              </w:rPr>
              <w:t>4</w:t>
            </w:r>
          </w:p>
        </w:tc>
        <w:tc>
          <w:tcPr>
            <w:tcW w:w="720" w:type="dxa"/>
            <w:noWrap/>
            <w:vAlign w:val="center"/>
            <w:hideMark/>
          </w:tcPr>
          <w:p w14:paraId="161E37F4" w14:textId="77777777" w:rsidR="008E1AAF" w:rsidRPr="00813B66" w:rsidRDefault="008E1AAF" w:rsidP="0003684F">
            <w:pPr>
              <w:spacing w:after="0"/>
              <w:jc w:val="center"/>
              <w:rPr>
                <w:sz w:val="22"/>
                <w:szCs w:val="22"/>
              </w:rPr>
            </w:pPr>
            <w:r>
              <w:rPr>
                <w:sz w:val="22"/>
                <w:szCs w:val="22"/>
              </w:rPr>
              <w:t>4</w:t>
            </w:r>
          </w:p>
        </w:tc>
        <w:tc>
          <w:tcPr>
            <w:tcW w:w="720" w:type="dxa"/>
            <w:tcBorders>
              <w:right w:val="single" w:sz="18" w:space="0" w:color="auto"/>
            </w:tcBorders>
            <w:noWrap/>
            <w:vAlign w:val="center"/>
            <w:hideMark/>
          </w:tcPr>
          <w:p w14:paraId="20555333" w14:textId="77777777" w:rsidR="008E1AAF" w:rsidRPr="00813B66" w:rsidRDefault="008E1AAF" w:rsidP="0003684F">
            <w:pPr>
              <w:spacing w:after="0"/>
              <w:jc w:val="center"/>
              <w:rPr>
                <w:sz w:val="22"/>
                <w:szCs w:val="22"/>
              </w:rPr>
            </w:pPr>
            <w:r>
              <w:rPr>
                <w:sz w:val="22"/>
                <w:szCs w:val="22"/>
              </w:rPr>
              <w:t>4</w:t>
            </w:r>
          </w:p>
        </w:tc>
        <w:tc>
          <w:tcPr>
            <w:tcW w:w="1260" w:type="dxa"/>
            <w:tcBorders>
              <w:left w:val="single" w:sz="18" w:space="0" w:color="auto"/>
            </w:tcBorders>
            <w:noWrap/>
            <w:vAlign w:val="center"/>
            <w:hideMark/>
          </w:tcPr>
          <w:p w14:paraId="046590EA" w14:textId="77777777" w:rsidR="008E1AAF" w:rsidRPr="00813B66" w:rsidRDefault="008E1AAF" w:rsidP="0003684F">
            <w:pPr>
              <w:spacing w:after="0"/>
              <w:jc w:val="right"/>
              <w:rPr>
                <w:sz w:val="22"/>
                <w:szCs w:val="22"/>
              </w:rPr>
            </w:pPr>
            <w:r w:rsidRPr="00813B66">
              <w:rPr>
                <w:color w:val="000000"/>
                <w:sz w:val="22"/>
                <w:szCs w:val="22"/>
              </w:rPr>
              <w:t>12</w:t>
            </w:r>
          </w:p>
        </w:tc>
        <w:tc>
          <w:tcPr>
            <w:tcW w:w="1350" w:type="dxa"/>
            <w:noWrap/>
            <w:vAlign w:val="center"/>
            <w:hideMark/>
          </w:tcPr>
          <w:p w14:paraId="47751C20" w14:textId="77777777" w:rsidR="008E1AAF" w:rsidRPr="00813B66" w:rsidRDefault="008E1AAF" w:rsidP="0003684F">
            <w:pPr>
              <w:spacing w:after="0"/>
              <w:jc w:val="right"/>
              <w:rPr>
                <w:sz w:val="22"/>
                <w:szCs w:val="22"/>
              </w:rPr>
            </w:pPr>
            <w:r w:rsidRPr="00813B66">
              <w:rPr>
                <w:sz w:val="22"/>
                <w:szCs w:val="22"/>
              </w:rPr>
              <w:t>4.00</w:t>
            </w:r>
          </w:p>
        </w:tc>
        <w:tc>
          <w:tcPr>
            <w:tcW w:w="1350" w:type="dxa"/>
            <w:noWrap/>
            <w:vAlign w:val="center"/>
            <w:hideMark/>
          </w:tcPr>
          <w:p w14:paraId="72C4DD86" w14:textId="77777777" w:rsidR="008E1AAF" w:rsidRPr="00813B66" w:rsidRDefault="008E1AAF" w:rsidP="0003684F">
            <w:pPr>
              <w:spacing w:after="0"/>
              <w:jc w:val="right"/>
              <w:rPr>
                <w:sz w:val="22"/>
                <w:szCs w:val="22"/>
              </w:rPr>
            </w:pPr>
            <w:r w:rsidRPr="00813B66">
              <w:rPr>
                <w:sz w:val="22"/>
                <w:szCs w:val="22"/>
              </w:rPr>
              <w:t>1.33</w:t>
            </w:r>
          </w:p>
        </w:tc>
        <w:tc>
          <w:tcPr>
            <w:tcW w:w="1260" w:type="dxa"/>
            <w:vAlign w:val="center"/>
          </w:tcPr>
          <w:p w14:paraId="05735F16" w14:textId="77777777" w:rsidR="008E1AAF" w:rsidRPr="00813B66" w:rsidRDefault="008E1AAF" w:rsidP="0003684F">
            <w:pPr>
              <w:spacing w:after="0"/>
              <w:jc w:val="right"/>
              <w:rPr>
                <w:sz w:val="22"/>
                <w:szCs w:val="22"/>
              </w:rPr>
            </w:pPr>
            <w:r w:rsidRPr="00813B66">
              <w:rPr>
                <w:sz w:val="22"/>
                <w:szCs w:val="22"/>
              </w:rPr>
              <w:t>$113.33</w:t>
            </w:r>
          </w:p>
        </w:tc>
      </w:tr>
      <w:tr w:rsidR="008E1AAF" w:rsidRPr="00813B66" w14:paraId="6B71793F" w14:textId="77777777" w:rsidTr="0003684F">
        <w:trPr>
          <w:trHeight w:val="300"/>
        </w:trPr>
        <w:tc>
          <w:tcPr>
            <w:tcW w:w="3438" w:type="dxa"/>
            <w:noWrap/>
            <w:hideMark/>
          </w:tcPr>
          <w:p w14:paraId="23C09B71" w14:textId="48DE9B19" w:rsidR="008E1AAF" w:rsidRPr="00813B66" w:rsidRDefault="008E1AAF" w:rsidP="0003684F">
            <w:pPr>
              <w:spacing w:after="0"/>
              <w:rPr>
                <w:sz w:val="22"/>
                <w:szCs w:val="22"/>
              </w:rPr>
            </w:pPr>
            <w:r>
              <w:rPr>
                <w:sz w:val="22"/>
                <w:szCs w:val="22"/>
              </w:rPr>
              <w:t xml:space="preserve">   </w:t>
            </w:r>
            <w:r w:rsidRPr="00813B66">
              <w:rPr>
                <w:sz w:val="22"/>
                <w:szCs w:val="22"/>
              </w:rPr>
              <w:t xml:space="preserve">RFP 1 </w:t>
            </w:r>
            <w:proofErr w:type="spellStart"/>
            <w:r w:rsidRPr="00813B66">
              <w:rPr>
                <w:sz w:val="22"/>
                <w:szCs w:val="22"/>
              </w:rPr>
              <w:t>Subrecipients</w:t>
            </w:r>
            <w:proofErr w:type="spellEnd"/>
            <w:r w:rsidRPr="00813B66">
              <w:rPr>
                <w:sz w:val="22"/>
                <w:szCs w:val="22"/>
              </w:rPr>
              <w:t>/</w:t>
            </w:r>
            <w:r w:rsidR="003B6D11">
              <w:rPr>
                <w:sz w:val="22"/>
                <w:szCs w:val="22"/>
              </w:rPr>
              <w:t>Service Recipient</w:t>
            </w:r>
            <w:r w:rsidRPr="00813B66">
              <w:rPr>
                <w:sz w:val="22"/>
                <w:szCs w:val="22"/>
              </w:rPr>
              <w:t>s</w:t>
            </w:r>
          </w:p>
        </w:tc>
        <w:tc>
          <w:tcPr>
            <w:tcW w:w="1440" w:type="dxa"/>
            <w:noWrap/>
            <w:hideMark/>
          </w:tcPr>
          <w:p w14:paraId="2F180E27" w14:textId="77777777" w:rsidR="008E1AAF" w:rsidRPr="00813B66" w:rsidRDefault="008E1AAF" w:rsidP="0003684F">
            <w:pPr>
              <w:spacing w:after="0"/>
              <w:jc w:val="center"/>
              <w:rPr>
                <w:sz w:val="22"/>
                <w:szCs w:val="22"/>
              </w:rPr>
            </w:pPr>
            <w:r w:rsidRPr="00813B66">
              <w:rPr>
                <w:sz w:val="22"/>
                <w:szCs w:val="22"/>
              </w:rPr>
              <w:t>28</w:t>
            </w:r>
          </w:p>
        </w:tc>
        <w:tc>
          <w:tcPr>
            <w:tcW w:w="720" w:type="dxa"/>
            <w:noWrap/>
            <w:vAlign w:val="center"/>
            <w:hideMark/>
          </w:tcPr>
          <w:p w14:paraId="48E3A850" w14:textId="77777777" w:rsidR="008E1AAF" w:rsidRPr="00813B66" w:rsidRDefault="008E1AAF" w:rsidP="0003684F">
            <w:pPr>
              <w:spacing w:after="0"/>
              <w:jc w:val="center"/>
              <w:rPr>
                <w:sz w:val="22"/>
                <w:szCs w:val="22"/>
              </w:rPr>
            </w:pPr>
          </w:p>
        </w:tc>
        <w:tc>
          <w:tcPr>
            <w:tcW w:w="720" w:type="dxa"/>
            <w:noWrap/>
            <w:vAlign w:val="center"/>
            <w:hideMark/>
          </w:tcPr>
          <w:p w14:paraId="60BCDD1A" w14:textId="77777777" w:rsidR="008E1AAF" w:rsidRPr="00813B66" w:rsidRDefault="008E1AAF" w:rsidP="0003684F">
            <w:pPr>
              <w:spacing w:after="0"/>
              <w:jc w:val="center"/>
              <w:rPr>
                <w:sz w:val="22"/>
                <w:szCs w:val="22"/>
              </w:rPr>
            </w:pPr>
            <w:r>
              <w:rPr>
                <w:sz w:val="22"/>
                <w:szCs w:val="22"/>
              </w:rPr>
              <w:t>28</w:t>
            </w:r>
          </w:p>
        </w:tc>
        <w:tc>
          <w:tcPr>
            <w:tcW w:w="720" w:type="dxa"/>
            <w:tcBorders>
              <w:right w:val="single" w:sz="18" w:space="0" w:color="auto"/>
            </w:tcBorders>
            <w:noWrap/>
            <w:vAlign w:val="center"/>
            <w:hideMark/>
          </w:tcPr>
          <w:p w14:paraId="487B18B2" w14:textId="77777777" w:rsidR="008E1AAF" w:rsidRPr="00813B66" w:rsidRDefault="008E1AAF" w:rsidP="0003684F">
            <w:pPr>
              <w:spacing w:after="0"/>
              <w:jc w:val="center"/>
              <w:rPr>
                <w:sz w:val="22"/>
                <w:szCs w:val="22"/>
              </w:rPr>
            </w:pPr>
            <w:r>
              <w:rPr>
                <w:sz w:val="22"/>
                <w:szCs w:val="22"/>
              </w:rPr>
              <w:t>28</w:t>
            </w:r>
          </w:p>
        </w:tc>
        <w:tc>
          <w:tcPr>
            <w:tcW w:w="1260" w:type="dxa"/>
            <w:tcBorders>
              <w:left w:val="single" w:sz="18" w:space="0" w:color="auto"/>
            </w:tcBorders>
            <w:noWrap/>
            <w:vAlign w:val="center"/>
            <w:hideMark/>
          </w:tcPr>
          <w:p w14:paraId="356F2DDF" w14:textId="77777777" w:rsidR="008E1AAF" w:rsidRPr="00813B66" w:rsidRDefault="008E1AAF" w:rsidP="0003684F">
            <w:pPr>
              <w:spacing w:after="0"/>
              <w:jc w:val="right"/>
              <w:rPr>
                <w:sz w:val="22"/>
                <w:szCs w:val="22"/>
              </w:rPr>
            </w:pPr>
            <w:r w:rsidRPr="00813B66">
              <w:rPr>
                <w:color w:val="000000"/>
                <w:sz w:val="22"/>
                <w:szCs w:val="22"/>
              </w:rPr>
              <w:t>56</w:t>
            </w:r>
          </w:p>
        </w:tc>
        <w:tc>
          <w:tcPr>
            <w:tcW w:w="1350" w:type="dxa"/>
            <w:noWrap/>
            <w:vAlign w:val="center"/>
            <w:hideMark/>
          </w:tcPr>
          <w:p w14:paraId="053F8940" w14:textId="77777777" w:rsidR="008E1AAF" w:rsidRPr="00813B66" w:rsidRDefault="008E1AAF" w:rsidP="0003684F">
            <w:pPr>
              <w:spacing w:after="0"/>
              <w:jc w:val="right"/>
              <w:rPr>
                <w:sz w:val="22"/>
                <w:szCs w:val="22"/>
              </w:rPr>
            </w:pPr>
            <w:r w:rsidRPr="00813B66">
              <w:rPr>
                <w:sz w:val="22"/>
                <w:szCs w:val="22"/>
              </w:rPr>
              <w:t>18.67</w:t>
            </w:r>
          </w:p>
        </w:tc>
        <w:tc>
          <w:tcPr>
            <w:tcW w:w="1350" w:type="dxa"/>
            <w:noWrap/>
            <w:vAlign w:val="center"/>
            <w:hideMark/>
          </w:tcPr>
          <w:p w14:paraId="7181096E" w14:textId="77777777" w:rsidR="008E1AAF" w:rsidRPr="00813B66" w:rsidRDefault="008E1AAF" w:rsidP="0003684F">
            <w:pPr>
              <w:spacing w:after="0"/>
              <w:jc w:val="right"/>
              <w:rPr>
                <w:sz w:val="22"/>
                <w:szCs w:val="22"/>
              </w:rPr>
            </w:pPr>
            <w:r w:rsidRPr="00813B66">
              <w:rPr>
                <w:sz w:val="22"/>
                <w:szCs w:val="22"/>
              </w:rPr>
              <w:t>6.22</w:t>
            </w:r>
          </w:p>
        </w:tc>
        <w:tc>
          <w:tcPr>
            <w:tcW w:w="1260" w:type="dxa"/>
            <w:vAlign w:val="center"/>
          </w:tcPr>
          <w:p w14:paraId="7E53AF1A" w14:textId="77777777" w:rsidR="008E1AAF" w:rsidRPr="00813B66" w:rsidRDefault="008E1AAF" w:rsidP="0003684F">
            <w:pPr>
              <w:spacing w:after="0"/>
              <w:jc w:val="right"/>
              <w:rPr>
                <w:sz w:val="22"/>
                <w:szCs w:val="22"/>
              </w:rPr>
            </w:pPr>
            <w:r w:rsidRPr="00813B66">
              <w:rPr>
                <w:sz w:val="22"/>
                <w:szCs w:val="22"/>
              </w:rPr>
              <w:t>$373.33</w:t>
            </w:r>
          </w:p>
        </w:tc>
      </w:tr>
      <w:tr w:rsidR="008E1AAF" w:rsidRPr="00813B66" w14:paraId="1F6CEA10" w14:textId="77777777" w:rsidTr="0003684F">
        <w:trPr>
          <w:trHeight w:val="300"/>
        </w:trPr>
        <w:tc>
          <w:tcPr>
            <w:tcW w:w="3438" w:type="dxa"/>
            <w:noWrap/>
            <w:hideMark/>
          </w:tcPr>
          <w:p w14:paraId="7B454903" w14:textId="1EF0E992" w:rsidR="008E1AAF" w:rsidRPr="00813B66" w:rsidRDefault="008E1AAF" w:rsidP="0003684F">
            <w:pPr>
              <w:spacing w:after="0"/>
              <w:rPr>
                <w:sz w:val="22"/>
                <w:szCs w:val="22"/>
              </w:rPr>
            </w:pPr>
            <w:r>
              <w:rPr>
                <w:sz w:val="22"/>
                <w:szCs w:val="22"/>
              </w:rPr>
              <w:t xml:space="preserve">   </w:t>
            </w:r>
            <w:r w:rsidRPr="00813B66">
              <w:rPr>
                <w:sz w:val="22"/>
                <w:szCs w:val="22"/>
              </w:rPr>
              <w:t xml:space="preserve">RFP 2 </w:t>
            </w:r>
            <w:proofErr w:type="spellStart"/>
            <w:r w:rsidRPr="00813B66">
              <w:rPr>
                <w:sz w:val="22"/>
                <w:szCs w:val="22"/>
              </w:rPr>
              <w:t>Subrecipients</w:t>
            </w:r>
            <w:proofErr w:type="spellEnd"/>
            <w:r w:rsidRPr="00813B66">
              <w:rPr>
                <w:sz w:val="22"/>
                <w:szCs w:val="22"/>
              </w:rPr>
              <w:t>/</w:t>
            </w:r>
            <w:r w:rsidR="003B6D11">
              <w:rPr>
                <w:sz w:val="22"/>
                <w:szCs w:val="22"/>
              </w:rPr>
              <w:t>Service Recipient</w:t>
            </w:r>
            <w:r w:rsidRPr="00813B66">
              <w:rPr>
                <w:sz w:val="22"/>
                <w:szCs w:val="22"/>
              </w:rPr>
              <w:t>s</w:t>
            </w:r>
          </w:p>
        </w:tc>
        <w:tc>
          <w:tcPr>
            <w:tcW w:w="1440" w:type="dxa"/>
            <w:noWrap/>
            <w:hideMark/>
          </w:tcPr>
          <w:p w14:paraId="2C0F0448" w14:textId="77777777" w:rsidR="008E1AAF" w:rsidRPr="00813B66" w:rsidRDefault="008E1AAF" w:rsidP="0003684F">
            <w:pPr>
              <w:spacing w:after="0"/>
              <w:jc w:val="center"/>
              <w:rPr>
                <w:sz w:val="22"/>
                <w:szCs w:val="22"/>
              </w:rPr>
            </w:pPr>
            <w:r w:rsidRPr="00813B66">
              <w:rPr>
                <w:sz w:val="22"/>
                <w:szCs w:val="22"/>
              </w:rPr>
              <w:t>28</w:t>
            </w:r>
          </w:p>
        </w:tc>
        <w:tc>
          <w:tcPr>
            <w:tcW w:w="720" w:type="dxa"/>
            <w:noWrap/>
            <w:vAlign w:val="center"/>
            <w:hideMark/>
          </w:tcPr>
          <w:p w14:paraId="5724124D" w14:textId="77777777" w:rsidR="008E1AAF" w:rsidRPr="00813B66" w:rsidRDefault="008E1AAF" w:rsidP="0003684F">
            <w:pPr>
              <w:spacing w:after="0"/>
              <w:jc w:val="center"/>
              <w:rPr>
                <w:sz w:val="22"/>
                <w:szCs w:val="22"/>
              </w:rPr>
            </w:pPr>
          </w:p>
        </w:tc>
        <w:tc>
          <w:tcPr>
            <w:tcW w:w="720" w:type="dxa"/>
            <w:noWrap/>
            <w:vAlign w:val="center"/>
            <w:hideMark/>
          </w:tcPr>
          <w:p w14:paraId="1DDEED24" w14:textId="77777777" w:rsidR="008E1AAF" w:rsidRPr="00813B66" w:rsidRDefault="008E1AAF" w:rsidP="0003684F">
            <w:pPr>
              <w:spacing w:after="0"/>
              <w:jc w:val="center"/>
              <w:rPr>
                <w:sz w:val="22"/>
                <w:szCs w:val="22"/>
              </w:rPr>
            </w:pPr>
          </w:p>
        </w:tc>
        <w:tc>
          <w:tcPr>
            <w:tcW w:w="720" w:type="dxa"/>
            <w:tcBorders>
              <w:right w:val="single" w:sz="18" w:space="0" w:color="auto"/>
            </w:tcBorders>
            <w:noWrap/>
            <w:vAlign w:val="center"/>
            <w:hideMark/>
          </w:tcPr>
          <w:p w14:paraId="0C3C3767" w14:textId="77777777" w:rsidR="008E1AAF" w:rsidRPr="00813B66" w:rsidRDefault="008E1AAF" w:rsidP="0003684F">
            <w:pPr>
              <w:spacing w:after="0"/>
              <w:jc w:val="center"/>
              <w:rPr>
                <w:sz w:val="22"/>
                <w:szCs w:val="22"/>
              </w:rPr>
            </w:pPr>
            <w:r>
              <w:rPr>
                <w:sz w:val="22"/>
                <w:szCs w:val="22"/>
              </w:rPr>
              <w:t>28</w:t>
            </w:r>
          </w:p>
        </w:tc>
        <w:tc>
          <w:tcPr>
            <w:tcW w:w="1260" w:type="dxa"/>
            <w:tcBorders>
              <w:left w:val="single" w:sz="18" w:space="0" w:color="auto"/>
            </w:tcBorders>
            <w:noWrap/>
            <w:vAlign w:val="center"/>
            <w:hideMark/>
          </w:tcPr>
          <w:p w14:paraId="7D261C2B" w14:textId="77777777" w:rsidR="008E1AAF" w:rsidRPr="00813B66" w:rsidRDefault="008E1AAF" w:rsidP="0003684F">
            <w:pPr>
              <w:spacing w:after="0"/>
              <w:jc w:val="right"/>
              <w:rPr>
                <w:sz w:val="22"/>
                <w:szCs w:val="22"/>
              </w:rPr>
            </w:pPr>
            <w:r w:rsidRPr="00813B66">
              <w:rPr>
                <w:color w:val="000000"/>
                <w:sz w:val="22"/>
                <w:szCs w:val="22"/>
              </w:rPr>
              <w:t>28</w:t>
            </w:r>
          </w:p>
        </w:tc>
        <w:tc>
          <w:tcPr>
            <w:tcW w:w="1350" w:type="dxa"/>
            <w:noWrap/>
            <w:vAlign w:val="center"/>
            <w:hideMark/>
          </w:tcPr>
          <w:p w14:paraId="3A138ED7" w14:textId="77777777" w:rsidR="008E1AAF" w:rsidRPr="00813B66" w:rsidRDefault="008E1AAF" w:rsidP="0003684F">
            <w:pPr>
              <w:spacing w:after="0"/>
              <w:jc w:val="right"/>
              <w:rPr>
                <w:sz w:val="22"/>
                <w:szCs w:val="22"/>
              </w:rPr>
            </w:pPr>
            <w:r w:rsidRPr="00813B66">
              <w:rPr>
                <w:sz w:val="22"/>
                <w:szCs w:val="22"/>
              </w:rPr>
              <w:t>9.33</w:t>
            </w:r>
          </w:p>
        </w:tc>
        <w:tc>
          <w:tcPr>
            <w:tcW w:w="1350" w:type="dxa"/>
            <w:noWrap/>
            <w:vAlign w:val="center"/>
            <w:hideMark/>
          </w:tcPr>
          <w:p w14:paraId="1B5B9344" w14:textId="77777777" w:rsidR="008E1AAF" w:rsidRPr="00813B66" w:rsidRDefault="008E1AAF" w:rsidP="0003684F">
            <w:pPr>
              <w:spacing w:after="0"/>
              <w:jc w:val="right"/>
              <w:rPr>
                <w:sz w:val="22"/>
                <w:szCs w:val="22"/>
              </w:rPr>
            </w:pPr>
            <w:r w:rsidRPr="00813B66">
              <w:rPr>
                <w:sz w:val="22"/>
                <w:szCs w:val="22"/>
              </w:rPr>
              <w:t>3.11</w:t>
            </w:r>
          </w:p>
        </w:tc>
        <w:tc>
          <w:tcPr>
            <w:tcW w:w="1260" w:type="dxa"/>
            <w:vAlign w:val="center"/>
          </w:tcPr>
          <w:p w14:paraId="232D6448" w14:textId="77777777" w:rsidR="008E1AAF" w:rsidRPr="00813B66" w:rsidRDefault="008E1AAF" w:rsidP="0003684F">
            <w:pPr>
              <w:spacing w:after="0"/>
              <w:jc w:val="right"/>
              <w:rPr>
                <w:sz w:val="22"/>
                <w:szCs w:val="22"/>
              </w:rPr>
            </w:pPr>
            <w:r w:rsidRPr="00813B66">
              <w:rPr>
                <w:sz w:val="22"/>
                <w:szCs w:val="22"/>
              </w:rPr>
              <w:t>$186.67</w:t>
            </w:r>
          </w:p>
        </w:tc>
      </w:tr>
      <w:tr w:rsidR="008E1AAF" w:rsidRPr="00813B66" w14:paraId="3CD56449" w14:textId="77777777" w:rsidTr="0003684F">
        <w:trPr>
          <w:trHeight w:val="300"/>
        </w:trPr>
        <w:tc>
          <w:tcPr>
            <w:tcW w:w="3438" w:type="dxa"/>
            <w:noWrap/>
            <w:hideMark/>
          </w:tcPr>
          <w:p w14:paraId="305C1B5D" w14:textId="77777777" w:rsidR="008E1AAF" w:rsidRPr="00813B66" w:rsidRDefault="008E1AAF" w:rsidP="0003684F">
            <w:pPr>
              <w:spacing w:after="0"/>
              <w:rPr>
                <w:b/>
                <w:sz w:val="22"/>
                <w:szCs w:val="22"/>
              </w:rPr>
            </w:pPr>
            <w:r w:rsidRPr="00813B66">
              <w:rPr>
                <w:b/>
                <w:sz w:val="22"/>
                <w:szCs w:val="22"/>
              </w:rPr>
              <w:t>2017 Grantees</w:t>
            </w:r>
          </w:p>
        </w:tc>
        <w:tc>
          <w:tcPr>
            <w:tcW w:w="1440" w:type="dxa"/>
            <w:noWrap/>
            <w:hideMark/>
          </w:tcPr>
          <w:p w14:paraId="5892976D" w14:textId="77777777" w:rsidR="008E1AAF" w:rsidRPr="00813B66" w:rsidRDefault="008E1AAF" w:rsidP="0003684F">
            <w:pPr>
              <w:spacing w:after="0"/>
              <w:jc w:val="center"/>
              <w:rPr>
                <w:sz w:val="22"/>
                <w:szCs w:val="22"/>
              </w:rPr>
            </w:pPr>
            <w:r w:rsidRPr="00813B66">
              <w:rPr>
                <w:sz w:val="22"/>
                <w:szCs w:val="22"/>
              </w:rPr>
              <w:t>6</w:t>
            </w:r>
          </w:p>
        </w:tc>
        <w:tc>
          <w:tcPr>
            <w:tcW w:w="720" w:type="dxa"/>
            <w:noWrap/>
            <w:vAlign w:val="center"/>
            <w:hideMark/>
          </w:tcPr>
          <w:p w14:paraId="0AC805DF" w14:textId="77777777" w:rsidR="008E1AAF" w:rsidRPr="00813B66" w:rsidRDefault="008E1AAF" w:rsidP="0003684F">
            <w:pPr>
              <w:spacing w:after="0"/>
              <w:jc w:val="center"/>
              <w:rPr>
                <w:sz w:val="22"/>
                <w:szCs w:val="22"/>
              </w:rPr>
            </w:pPr>
          </w:p>
        </w:tc>
        <w:tc>
          <w:tcPr>
            <w:tcW w:w="720" w:type="dxa"/>
            <w:noWrap/>
            <w:vAlign w:val="center"/>
            <w:hideMark/>
          </w:tcPr>
          <w:p w14:paraId="3695E440" w14:textId="77777777" w:rsidR="008E1AAF" w:rsidRPr="00813B66" w:rsidRDefault="008E1AAF" w:rsidP="0003684F">
            <w:pPr>
              <w:spacing w:after="0"/>
              <w:jc w:val="center"/>
              <w:rPr>
                <w:sz w:val="22"/>
                <w:szCs w:val="22"/>
              </w:rPr>
            </w:pPr>
            <w:r>
              <w:rPr>
                <w:sz w:val="22"/>
                <w:szCs w:val="22"/>
              </w:rPr>
              <w:t>6</w:t>
            </w:r>
          </w:p>
        </w:tc>
        <w:tc>
          <w:tcPr>
            <w:tcW w:w="720" w:type="dxa"/>
            <w:tcBorders>
              <w:right w:val="single" w:sz="18" w:space="0" w:color="auto"/>
            </w:tcBorders>
            <w:noWrap/>
            <w:vAlign w:val="center"/>
            <w:hideMark/>
          </w:tcPr>
          <w:p w14:paraId="2F62337B" w14:textId="77777777" w:rsidR="008E1AAF" w:rsidRPr="00813B66" w:rsidRDefault="008E1AAF" w:rsidP="0003684F">
            <w:pPr>
              <w:spacing w:after="0"/>
              <w:jc w:val="center"/>
              <w:rPr>
                <w:sz w:val="22"/>
                <w:szCs w:val="22"/>
              </w:rPr>
            </w:pPr>
            <w:r>
              <w:rPr>
                <w:sz w:val="22"/>
                <w:szCs w:val="22"/>
              </w:rPr>
              <w:t>6</w:t>
            </w:r>
          </w:p>
        </w:tc>
        <w:tc>
          <w:tcPr>
            <w:tcW w:w="1260" w:type="dxa"/>
            <w:tcBorders>
              <w:left w:val="single" w:sz="18" w:space="0" w:color="auto"/>
            </w:tcBorders>
            <w:noWrap/>
            <w:vAlign w:val="center"/>
            <w:hideMark/>
          </w:tcPr>
          <w:p w14:paraId="655DD36B" w14:textId="77777777" w:rsidR="008E1AAF" w:rsidRPr="00813B66" w:rsidRDefault="008E1AAF" w:rsidP="0003684F">
            <w:pPr>
              <w:spacing w:after="0"/>
              <w:jc w:val="right"/>
              <w:rPr>
                <w:sz w:val="22"/>
                <w:szCs w:val="22"/>
              </w:rPr>
            </w:pPr>
            <w:r w:rsidRPr="00813B66">
              <w:rPr>
                <w:color w:val="000000"/>
                <w:sz w:val="22"/>
                <w:szCs w:val="22"/>
              </w:rPr>
              <w:t>12</w:t>
            </w:r>
          </w:p>
        </w:tc>
        <w:tc>
          <w:tcPr>
            <w:tcW w:w="1350" w:type="dxa"/>
            <w:noWrap/>
            <w:vAlign w:val="center"/>
            <w:hideMark/>
          </w:tcPr>
          <w:p w14:paraId="5B8492A0" w14:textId="77777777" w:rsidR="008E1AAF" w:rsidRPr="00813B66" w:rsidRDefault="008E1AAF" w:rsidP="0003684F">
            <w:pPr>
              <w:spacing w:after="0"/>
              <w:jc w:val="right"/>
              <w:rPr>
                <w:sz w:val="22"/>
                <w:szCs w:val="22"/>
              </w:rPr>
            </w:pPr>
            <w:r w:rsidRPr="00813B66">
              <w:rPr>
                <w:sz w:val="22"/>
                <w:szCs w:val="22"/>
              </w:rPr>
              <w:t>4.00</w:t>
            </w:r>
          </w:p>
        </w:tc>
        <w:tc>
          <w:tcPr>
            <w:tcW w:w="1350" w:type="dxa"/>
            <w:noWrap/>
            <w:vAlign w:val="center"/>
            <w:hideMark/>
          </w:tcPr>
          <w:p w14:paraId="07F9ED67" w14:textId="77777777" w:rsidR="008E1AAF" w:rsidRPr="00813B66" w:rsidRDefault="008E1AAF" w:rsidP="0003684F">
            <w:pPr>
              <w:spacing w:after="0"/>
              <w:jc w:val="right"/>
              <w:rPr>
                <w:sz w:val="22"/>
                <w:szCs w:val="22"/>
              </w:rPr>
            </w:pPr>
            <w:r w:rsidRPr="00813B66">
              <w:rPr>
                <w:sz w:val="22"/>
                <w:szCs w:val="22"/>
              </w:rPr>
              <w:t>1.33</w:t>
            </w:r>
          </w:p>
        </w:tc>
        <w:tc>
          <w:tcPr>
            <w:tcW w:w="1260" w:type="dxa"/>
            <w:vAlign w:val="center"/>
          </w:tcPr>
          <w:p w14:paraId="1A1543C4" w14:textId="77777777" w:rsidR="008E1AAF" w:rsidRPr="00813B66" w:rsidRDefault="008E1AAF" w:rsidP="0003684F">
            <w:pPr>
              <w:spacing w:after="0"/>
              <w:jc w:val="right"/>
              <w:rPr>
                <w:sz w:val="22"/>
                <w:szCs w:val="22"/>
              </w:rPr>
            </w:pPr>
            <w:r w:rsidRPr="00813B66">
              <w:rPr>
                <w:sz w:val="22"/>
                <w:szCs w:val="22"/>
              </w:rPr>
              <w:t>$113.33</w:t>
            </w:r>
          </w:p>
        </w:tc>
      </w:tr>
      <w:tr w:rsidR="008E1AAF" w:rsidRPr="00813B66" w14:paraId="7E5AC4C2" w14:textId="77777777" w:rsidTr="0003684F">
        <w:trPr>
          <w:trHeight w:val="300"/>
        </w:trPr>
        <w:tc>
          <w:tcPr>
            <w:tcW w:w="3438" w:type="dxa"/>
            <w:tcBorders>
              <w:bottom w:val="single" w:sz="4" w:space="0" w:color="auto"/>
            </w:tcBorders>
            <w:noWrap/>
            <w:hideMark/>
          </w:tcPr>
          <w:p w14:paraId="61751331" w14:textId="1B3D5790" w:rsidR="008E1AAF" w:rsidRPr="00813B66" w:rsidRDefault="008E1AAF" w:rsidP="0003684F">
            <w:pPr>
              <w:spacing w:after="0"/>
              <w:rPr>
                <w:sz w:val="22"/>
                <w:szCs w:val="22"/>
              </w:rPr>
            </w:pPr>
            <w:r>
              <w:rPr>
                <w:sz w:val="22"/>
                <w:szCs w:val="22"/>
              </w:rPr>
              <w:t xml:space="preserve">   </w:t>
            </w:r>
            <w:r w:rsidRPr="00813B66">
              <w:rPr>
                <w:sz w:val="22"/>
                <w:szCs w:val="22"/>
              </w:rPr>
              <w:t xml:space="preserve">RFP 1 </w:t>
            </w:r>
            <w:proofErr w:type="spellStart"/>
            <w:r w:rsidRPr="00813B66">
              <w:rPr>
                <w:sz w:val="22"/>
                <w:szCs w:val="22"/>
              </w:rPr>
              <w:t>Subrecipients</w:t>
            </w:r>
            <w:proofErr w:type="spellEnd"/>
            <w:r w:rsidRPr="00813B66">
              <w:rPr>
                <w:sz w:val="22"/>
                <w:szCs w:val="22"/>
              </w:rPr>
              <w:t>/</w:t>
            </w:r>
            <w:r w:rsidR="003B6D11">
              <w:rPr>
                <w:sz w:val="22"/>
                <w:szCs w:val="22"/>
              </w:rPr>
              <w:t>Service Recipient</w:t>
            </w:r>
            <w:r w:rsidRPr="00813B66">
              <w:rPr>
                <w:sz w:val="22"/>
                <w:szCs w:val="22"/>
              </w:rPr>
              <w:t>s</w:t>
            </w:r>
          </w:p>
        </w:tc>
        <w:tc>
          <w:tcPr>
            <w:tcW w:w="1440" w:type="dxa"/>
            <w:tcBorders>
              <w:bottom w:val="single" w:sz="4" w:space="0" w:color="auto"/>
            </w:tcBorders>
            <w:noWrap/>
            <w:hideMark/>
          </w:tcPr>
          <w:p w14:paraId="636E345D" w14:textId="77777777" w:rsidR="008E1AAF" w:rsidRPr="00813B66" w:rsidRDefault="008E1AAF" w:rsidP="0003684F">
            <w:pPr>
              <w:spacing w:after="0"/>
              <w:jc w:val="center"/>
              <w:rPr>
                <w:sz w:val="22"/>
                <w:szCs w:val="22"/>
              </w:rPr>
            </w:pPr>
            <w:r w:rsidRPr="00813B66">
              <w:rPr>
                <w:sz w:val="22"/>
                <w:szCs w:val="22"/>
              </w:rPr>
              <w:t>42</w:t>
            </w:r>
          </w:p>
        </w:tc>
        <w:tc>
          <w:tcPr>
            <w:tcW w:w="720" w:type="dxa"/>
            <w:tcBorders>
              <w:bottom w:val="single" w:sz="4" w:space="0" w:color="auto"/>
            </w:tcBorders>
            <w:noWrap/>
            <w:vAlign w:val="center"/>
            <w:hideMark/>
          </w:tcPr>
          <w:p w14:paraId="15DBAD67" w14:textId="77777777" w:rsidR="008E1AAF" w:rsidRPr="00813B66" w:rsidRDefault="008E1AAF" w:rsidP="0003684F">
            <w:pPr>
              <w:spacing w:after="0"/>
              <w:jc w:val="center"/>
              <w:rPr>
                <w:sz w:val="22"/>
                <w:szCs w:val="22"/>
              </w:rPr>
            </w:pPr>
          </w:p>
        </w:tc>
        <w:tc>
          <w:tcPr>
            <w:tcW w:w="720" w:type="dxa"/>
            <w:tcBorders>
              <w:bottom w:val="single" w:sz="4" w:space="0" w:color="auto"/>
            </w:tcBorders>
            <w:noWrap/>
            <w:vAlign w:val="center"/>
            <w:hideMark/>
          </w:tcPr>
          <w:p w14:paraId="27980530" w14:textId="77777777" w:rsidR="008E1AAF" w:rsidRPr="00813B66" w:rsidRDefault="008E1AAF" w:rsidP="0003684F">
            <w:pPr>
              <w:spacing w:after="0"/>
              <w:jc w:val="center"/>
              <w:rPr>
                <w:sz w:val="22"/>
                <w:szCs w:val="22"/>
              </w:rPr>
            </w:pPr>
          </w:p>
        </w:tc>
        <w:tc>
          <w:tcPr>
            <w:tcW w:w="720" w:type="dxa"/>
            <w:tcBorders>
              <w:bottom w:val="single" w:sz="4" w:space="0" w:color="auto"/>
              <w:right w:val="single" w:sz="18" w:space="0" w:color="auto"/>
            </w:tcBorders>
            <w:noWrap/>
            <w:vAlign w:val="center"/>
            <w:hideMark/>
          </w:tcPr>
          <w:p w14:paraId="0E0BC1D5" w14:textId="7DAAC865" w:rsidR="008E1AAF" w:rsidRPr="00813B66" w:rsidRDefault="002E79F0" w:rsidP="002E79F0">
            <w:pPr>
              <w:spacing w:after="0"/>
              <w:jc w:val="center"/>
              <w:rPr>
                <w:sz w:val="22"/>
                <w:szCs w:val="22"/>
              </w:rPr>
            </w:pPr>
            <w:r>
              <w:rPr>
                <w:sz w:val="22"/>
                <w:szCs w:val="22"/>
              </w:rPr>
              <w:t>42</w:t>
            </w:r>
          </w:p>
        </w:tc>
        <w:tc>
          <w:tcPr>
            <w:tcW w:w="1260" w:type="dxa"/>
            <w:tcBorders>
              <w:left w:val="single" w:sz="18" w:space="0" w:color="auto"/>
              <w:bottom w:val="single" w:sz="4" w:space="0" w:color="auto"/>
            </w:tcBorders>
            <w:noWrap/>
            <w:vAlign w:val="center"/>
            <w:hideMark/>
          </w:tcPr>
          <w:p w14:paraId="7417AF1D" w14:textId="77777777" w:rsidR="008E1AAF" w:rsidRPr="00813B66" w:rsidRDefault="008E1AAF" w:rsidP="0003684F">
            <w:pPr>
              <w:spacing w:after="0"/>
              <w:jc w:val="right"/>
              <w:rPr>
                <w:sz w:val="22"/>
                <w:szCs w:val="22"/>
              </w:rPr>
            </w:pPr>
            <w:r w:rsidRPr="00813B66">
              <w:rPr>
                <w:color w:val="000000"/>
                <w:sz w:val="22"/>
                <w:szCs w:val="22"/>
              </w:rPr>
              <w:t>42</w:t>
            </w:r>
          </w:p>
        </w:tc>
        <w:tc>
          <w:tcPr>
            <w:tcW w:w="1350" w:type="dxa"/>
            <w:tcBorders>
              <w:bottom w:val="single" w:sz="4" w:space="0" w:color="auto"/>
            </w:tcBorders>
            <w:noWrap/>
            <w:vAlign w:val="center"/>
            <w:hideMark/>
          </w:tcPr>
          <w:p w14:paraId="4BA5E837" w14:textId="77777777" w:rsidR="008E1AAF" w:rsidRPr="00813B66" w:rsidRDefault="008E1AAF" w:rsidP="0003684F">
            <w:pPr>
              <w:spacing w:after="0"/>
              <w:jc w:val="right"/>
              <w:rPr>
                <w:sz w:val="22"/>
                <w:szCs w:val="22"/>
              </w:rPr>
            </w:pPr>
            <w:r w:rsidRPr="00813B66">
              <w:rPr>
                <w:sz w:val="22"/>
                <w:szCs w:val="22"/>
              </w:rPr>
              <w:t>14.00</w:t>
            </w:r>
          </w:p>
        </w:tc>
        <w:tc>
          <w:tcPr>
            <w:tcW w:w="1350" w:type="dxa"/>
            <w:tcBorders>
              <w:bottom w:val="single" w:sz="4" w:space="0" w:color="auto"/>
            </w:tcBorders>
            <w:noWrap/>
            <w:vAlign w:val="center"/>
            <w:hideMark/>
          </w:tcPr>
          <w:p w14:paraId="36CA6969" w14:textId="77777777" w:rsidR="008E1AAF" w:rsidRPr="00813B66" w:rsidRDefault="008E1AAF" w:rsidP="0003684F">
            <w:pPr>
              <w:spacing w:after="0"/>
              <w:jc w:val="right"/>
              <w:rPr>
                <w:sz w:val="22"/>
                <w:szCs w:val="22"/>
              </w:rPr>
            </w:pPr>
            <w:r w:rsidRPr="00813B66">
              <w:rPr>
                <w:sz w:val="22"/>
                <w:szCs w:val="22"/>
              </w:rPr>
              <w:t>4.67</w:t>
            </w:r>
          </w:p>
        </w:tc>
        <w:tc>
          <w:tcPr>
            <w:tcW w:w="1260" w:type="dxa"/>
            <w:tcBorders>
              <w:bottom w:val="single" w:sz="4" w:space="0" w:color="auto"/>
            </w:tcBorders>
            <w:vAlign w:val="center"/>
          </w:tcPr>
          <w:p w14:paraId="0E3ABC69" w14:textId="77777777" w:rsidR="008E1AAF" w:rsidRPr="00813B66" w:rsidRDefault="008E1AAF" w:rsidP="0003684F">
            <w:pPr>
              <w:spacing w:after="0"/>
              <w:jc w:val="right"/>
              <w:rPr>
                <w:sz w:val="22"/>
                <w:szCs w:val="22"/>
              </w:rPr>
            </w:pPr>
            <w:r w:rsidRPr="00813B66">
              <w:rPr>
                <w:sz w:val="22"/>
                <w:szCs w:val="22"/>
              </w:rPr>
              <w:t>$280.00</w:t>
            </w:r>
          </w:p>
        </w:tc>
      </w:tr>
      <w:tr w:rsidR="008E1AAF" w:rsidRPr="00813B66" w14:paraId="58E243B9" w14:textId="77777777" w:rsidTr="0003684F">
        <w:trPr>
          <w:trHeight w:val="300"/>
        </w:trPr>
        <w:tc>
          <w:tcPr>
            <w:tcW w:w="3438" w:type="dxa"/>
            <w:tcBorders>
              <w:bottom w:val="single" w:sz="18" w:space="0" w:color="auto"/>
            </w:tcBorders>
            <w:noWrap/>
            <w:hideMark/>
          </w:tcPr>
          <w:p w14:paraId="7B3B44A7" w14:textId="1B54FAC5" w:rsidR="008E1AAF" w:rsidRPr="00813B66" w:rsidRDefault="008E1AAF" w:rsidP="0003684F">
            <w:pPr>
              <w:spacing w:after="0"/>
              <w:rPr>
                <w:sz w:val="22"/>
                <w:szCs w:val="22"/>
                <w:vertAlign w:val="superscript"/>
              </w:rPr>
            </w:pPr>
            <w:r>
              <w:rPr>
                <w:sz w:val="22"/>
                <w:szCs w:val="22"/>
              </w:rPr>
              <w:t xml:space="preserve">   </w:t>
            </w:r>
            <w:r w:rsidRPr="00813B66">
              <w:rPr>
                <w:sz w:val="22"/>
                <w:szCs w:val="22"/>
              </w:rPr>
              <w:t xml:space="preserve">RFP 2 </w:t>
            </w:r>
            <w:proofErr w:type="spellStart"/>
            <w:r w:rsidRPr="00813B66">
              <w:rPr>
                <w:sz w:val="22"/>
                <w:szCs w:val="22"/>
              </w:rPr>
              <w:t>Subrecipients</w:t>
            </w:r>
            <w:proofErr w:type="spellEnd"/>
            <w:r w:rsidRPr="00813B66">
              <w:rPr>
                <w:sz w:val="22"/>
                <w:szCs w:val="22"/>
              </w:rPr>
              <w:t>/</w:t>
            </w:r>
            <w:r w:rsidR="003B6D11">
              <w:rPr>
                <w:sz w:val="22"/>
                <w:szCs w:val="22"/>
              </w:rPr>
              <w:t xml:space="preserve">Service </w:t>
            </w:r>
            <w:proofErr w:type="spellStart"/>
            <w:r w:rsidR="003B6D11">
              <w:rPr>
                <w:sz w:val="22"/>
                <w:szCs w:val="22"/>
              </w:rPr>
              <w:t>Recipient</w:t>
            </w:r>
            <w:r w:rsidRPr="00813B66">
              <w:rPr>
                <w:sz w:val="22"/>
                <w:szCs w:val="22"/>
              </w:rPr>
              <w:t>s</w:t>
            </w:r>
            <w:r w:rsidRPr="00813B66">
              <w:rPr>
                <w:sz w:val="22"/>
                <w:szCs w:val="22"/>
                <w:vertAlign w:val="superscript"/>
              </w:rPr>
              <w:t>c</w:t>
            </w:r>
            <w:proofErr w:type="spellEnd"/>
          </w:p>
        </w:tc>
        <w:tc>
          <w:tcPr>
            <w:tcW w:w="1440" w:type="dxa"/>
            <w:tcBorders>
              <w:bottom w:val="single" w:sz="18" w:space="0" w:color="auto"/>
            </w:tcBorders>
            <w:noWrap/>
            <w:hideMark/>
          </w:tcPr>
          <w:p w14:paraId="2BC5B660" w14:textId="77777777" w:rsidR="008E1AAF" w:rsidRPr="00813B66" w:rsidRDefault="008E1AAF" w:rsidP="0003684F">
            <w:pPr>
              <w:spacing w:after="0"/>
              <w:jc w:val="center"/>
              <w:rPr>
                <w:sz w:val="22"/>
                <w:szCs w:val="22"/>
              </w:rPr>
            </w:pPr>
            <w:r w:rsidRPr="00813B66">
              <w:rPr>
                <w:sz w:val="22"/>
                <w:szCs w:val="22"/>
              </w:rPr>
              <w:t>0</w:t>
            </w:r>
          </w:p>
        </w:tc>
        <w:tc>
          <w:tcPr>
            <w:tcW w:w="720" w:type="dxa"/>
            <w:tcBorders>
              <w:bottom w:val="single" w:sz="18" w:space="0" w:color="auto"/>
            </w:tcBorders>
            <w:noWrap/>
            <w:vAlign w:val="center"/>
            <w:hideMark/>
          </w:tcPr>
          <w:p w14:paraId="5AF25684" w14:textId="77777777" w:rsidR="008E1AAF" w:rsidRPr="00813B66" w:rsidRDefault="008E1AAF" w:rsidP="0003684F">
            <w:pPr>
              <w:spacing w:after="0"/>
              <w:jc w:val="center"/>
              <w:rPr>
                <w:sz w:val="22"/>
                <w:szCs w:val="22"/>
              </w:rPr>
            </w:pPr>
          </w:p>
        </w:tc>
        <w:tc>
          <w:tcPr>
            <w:tcW w:w="720" w:type="dxa"/>
            <w:tcBorders>
              <w:bottom w:val="single" w:sz="18" w:space="0" w:color="auto"/>
            </w:tcBorders>
            <w:noWrap/>
            <w:vAlign w:val="center"/>
            <w:hideMark/>
          </w:tcPr>
          <w:p w14:paraId="1DEDF766" w14:textId="77777777" w:rsidR="008E1AAF" w:rsidRPr="00813B66" w:rsidRDefault="008E1AAF" w:rsidP="0003684F">
            <w:pPr>
              <w:spacing w:after="0"/>
              <w:jc w:val="center"/>
              <w:rPr>
                <w:sz w:val="22"/>
                <w:szCs w:val="22"/>
              </w:rPr>
            </w:pPr>
          </w:p>
        </w:tc>
        <w:tc>
          <w:tcPr>
            <w:tcW w:w="720" w:type="dxa"/>
            <w:tcBorders>
              <w:bottom w:val="single" w:sz="18" w:space="0" w:color="auto"/>
              <w:right w:val="single" w:sz="18" w:space="0" w:color="auto"/>
            </w:tcBorders>
            <w:noWrap/>
            <w:vAlign w:val="center"/>
            <w:hideMark/>
          </w:tcPr>
          <w:p w14:paraId="4D38B7AE" w14:textId="77777777" w:rsidR="008E1AAF" w:rsidRPr="00813B66" w:rsidRDefault="008E1AAF" w:rsidP="0003684F">
            <w:pPr>
              <w:spacing w:after="0"/>
              <w:jc w:val="center"/>
              <w:rPr>
                <w:sz w:val="22"/>
                <w:szCs w:val="22"/>
              </w:rPr>
            </w:pPr>
          </w:p>
        </w:tc>
        <w:tc>
          <w:tcPr>
            <w:tcW w:w="1260" w:type="dxa"/>
            <w:tcBorders>
              <w:left w:val="single" w:sz="18" w:space="0" w:color="auto"/>
              <w:bottom w:val="single" w:sz="18" w:space="0" w:color="auto"/>
            </w:tcBorders>
            <w:noWrap/>
            <w:vAlign w:val="center"/>
            <w:hideMark/>
          </w:tcPr>
          <w:p w14:paraId="13EB6DD3" w14:textId="77777777" w:rsidR="008E1AAF" w:rsidRPr="00813B66" w:rsidRDefault="008E1AAF" w:rsidP="0003684F">
            <w:pPr>
              <w:spacing w:after="0"/>
              <w:jc w:val="right"/>
              <w:rPr>
                <w:sz w:val="22"/>
                <w:szCs w:val="22"/>
              </w:rPr>
            </w:pPr>
            <w:r w:rsidRPr="00813B66">
              <w:rPr>
                <w:color w:val="000000"/>
                <w:sz w:val="22"/>
                <w:szCs w:val="22"/>
              </w:rPr>
              <w:t>0</w:t>
            </w:r>
          </w:p>
        </w:tc>
        <w:tc>
          <w:tcPr>
            <w:tcW w:w="1350" w:type="dxa"/>
            <w:tcBorders>
              <w:bottom w:val="single" w:sz="18" w:space="0" w:color="auto"/>
            </w:tcBorders>
            <w:noWrap/>
            <w:vAlign w:val="center"/>
            <w:hideMark/>
          </w:tcPr>
          <w:p w14:paraId="49E0E270" w14:textId="77777777" w:rsidR="008E1AAF" w:rsidRPr="00813B66" w:rsidRDefault="008E1AAF" w:rsidP="0003684F">
            <w:pPr>
              <w:spacing w:after="0"/>
              <w:jc w:val="right"/>
              <w:rPr>
                <w:sz w:val="22"/>
                <w:szCs w:val="22"/>
              </w:rPr>
            </w:pPr>
            <w:r w:rsidRPr="00813B66">
              <w:rPr>
                <w:sz w:val="22"/>
                <w:szCs w:val="22"/>
              </w:rPr>
              <w:t>0.00</w:t>
            </w:r>
          </w:p>
        </w:tc>
        <w:tc>
          <w:tcPr>
            <w:tcW w:w="1350" w:type="dxa"/>
            <w:tcBorders>
              <w:bottom w:val="single" w:sz="18" w:space="0" w:color="auto"/>
            </w:tcBorders>
            <w:noWrap/>
            <w:vAlign w:val="center"/>
            <w:hideMark/>
          </w:tcPr>
          <w:p w14:paraId="535BB1A9" w14:textId="77777777" w:rsidR="008E1AAF" w:rsidRPr="00813B66" w:rsidRDefault="008E1AAF" w:rsidP="0003684F">
            <w:pPr>
              <w:spacing w:after="0"/>
              <w:jc w:val="right"/>
              <w:rPr>
                <w:sz w:val="22"/>
                <w:szCs w:val="22"/>
              </w:rPr>
            </w:pPr>
            <w:r w:rsidRPr="00813B66">
              <w:rPr>
                <w:sz w:val="22"/>
                <w:szCs w:val="22"/>
              </w:rPr>
              <w:t>0.00</w:t>
            </w:r>
          </w:p>
        </w:tc>
        <w:tc>
          <w:tcPr>
            <w:tcW w:w="1260" w:type="dxa"/>
            <w:tcBorders>
              <w:bottom w:val="single" w:sz="18" w:space="0" w:color="auto"/>
            </w:tcBorders>
            <w:vAlign w:val="center"/>
          </w:tcPr>
          <w:p w14:paraId="7FBB8B77" w14:textId="77777777" w:rsidR="008E1AAF" w:rsidRPr="00813B66" w:rsidRDefault="008E1AAF" w:rsidP="0003684F">
            <w:pPr>
              <w:spacing w:after="0"/>
              <w:jc w:val="right"/>
              <w:rPr>
                <w:sz w:val="22"/>
                <w:szCs w:val="22"/>
              </w:rPr>
            </w:pPr>
            <w:r w:rsidRPr="00813B66">
              <w:rPr>
                <w:sz w:val="22"/>
                <w:szCs w:val="22"/>
              </w:rPr>
              <w:t>$0.00</w:t>
            </w:r>
          </w:p>
        </w:tc>
      </w:tr>
      <w:tr w:rsidR="008E1AAF" w:rsidRPr="00813B66" w14:paraId="12EA1AEB" w14:textId="77777777" w:rsidTr="0003684F">
        <w:trPr>
          <w:trHeight w:val="300"/>
        </w:trPr>
        <w:tc>
          <w:tcPr>
            <w:tcW w:w="3438" w:type="dxa"/>
            <w:tcBorders>
              <w:top w:val="single" w:sz="18" w:space="0" w:color="auto"/>
            </w:tcBorders>
            <w:noWrap/>
            <w:hideMark/>
          </w:tcPr>
          <w:p w14:paraId="7B4CF4D5" w14:textId="603FFF14" w:rsidR="008E1AAF" w:rsidRPr="00813B66" w:rsidRDefault="008E1AAF" w:rsidP="0003684F">
            <w:pPr>
              <w:spacing w:after="0"/>
              <w:rPr>
                <w:b/>
                <w:sz w:val="22"/>
                <w:szCs w:val="22"/>
              </w:rPr>
            </w:pPr>
            <w:r w:rsidRPr="00813B66">
              <w:rPr>
                <w:b/>
                <w:sz w:val="22"/>
                <w:szCs w:val="22"/>
              </w:rPr>
              <w:t>Total</w:t>
            </w:r>
            <w:r w:rsidR="003B3F73">
              <w:rPr>
                <w:b/>
                <w:sz w:val="22"/>
                <w:szCs w:val="22"/>
              </w:rPr>
              <w:t xml:space="preserve"> Burden</w:t>
            </w:r>
          </w:p>
        </w:tc>
        <w:tc>
          <w:tcPr>
            <w:tcW w:w="1440" w:type="dxa"/>
            <w:tcBorders>
              <w:top w:val="single" w:sz="18" w:space="0" w:color="auto"/>
            </w:tcBorders>
            <w:noWrap/>
            <w:hideMark/>
          </w:tcPr>
          <w:p w14:paraId="52598D68" w14:textId="77777777" w:rsidR="008E1AAF" w:rsidRPr="00831BD5" w:rsidRDefault="008E1AAF" w:rsidP="0003684F">
            <w:pPr>
              <w:spacing w:after="0"/>
              <w:jc w:val="center"/>
              <w:rPr>
                <w:b/>
                <w:sz w:val="22"/>
                <w:szCs w:val="22"/>
              </w:rPr>
            </w:pPr>
            <w:r w:rsidRPr="00831BD5">
              <w:rPr>
                <w:b/>
                <w:sz w:val="22"/>
                <w:szCs w:val="22"/>
              </w:rPr>
              <w:t>226</w:t>
            </w:r>
          </w:p>
        </w:tc>
        <w:tc>
          <w:tcPr>
            <w:tcW w:w="720" w:type="dxa"/>
            <w:tcBorders>
              <w:top w:val="single" w:sz="18" w:space="0" w:color="auto"/>
            </w:tcBorders>
            <w:noWrap/>
            <w:hideMark/>
          </w:tcPr>
          <w:p w14:paraId="5092BCB3" w14:textId="77777777" w:rsidR="008E1AAF" w:rsidRPr="00831BD5" w:rsidRDefault="008E1AAF" w:rsidP="0003684F">
            <w:pPr>
              <w:spacing w:after="0"/>
              <w:jc w:val="right"/>
              <w:rPr>
                <w:b/>
                <w:sz w:val="22"/>
                <w:szCs w:val="22"/>
              </w:rPr>
            </w:pPr>
            <w:r w:rsidRPr="00831BD5">
              <w:rPr>
                <w:b/>
                <w:sz w:val="22"/>
                <w:szCs w:val="22"/>
              </w:rPr>
              <w:t>122</w:t>
            </w:r>
          </w:p>
        </w:tc>
        <w:tc>
          <w:tcPr>
            <w:tcW w:w="720" w:type="dxa"/>
            <w:tcBorders>
              <w:top w:val="single" w:sz="18" w:space="0" w:color="auto"/>
            </w:tcBorders>
            <w:noWrap/>
            <w:hideMark/>
          </w:tcPr>
          <w:p w14:paraId="285E0AC7" w14:textId="77777777" w:rsidR="008E1AAF" w:rsidRPr="00831BD5" w:rsidRDefault="008E1AAF" w:rsidP="0003684F">
            <w:pPr>
              <w:spacing w:after="0"/>
              <w:jc w:val="right"/>
              <w:rPr>
                <w:b/>
                <w:sz w:val="22"/>
                <w:szCs w:val="22"/>
              </w:rPr>
            </w:pPr>
            <w:r w:rsidRPr="00831BD5">
              <w:rPr>
                <w:b/>
                <w:sz w:val="22"/>
                <w:szCs w:val="22"/>
              </w:rPr>
              <w:t>156</w:t>
            </w:r>
          </w:p>
        </w:tc>
        <w:tc>
          <w:tcPr>
            <w:tcW w:w="720" w:type="dxa"/>
            <w:tcBorders>
              <w:top w:val="single" w:sz="18" w:space="0" w:color="auto"/>
              <w:right w:val="single" w:sz="18" w:space="0" w:color="auto"/>
            </w:tcBorders>
            <w:noWrap/>
            <w:hideMark/>
          </w:tcPr>
          <w:p w14:paraId="3AD02F69" w14:textId="28F21127" w:rsidR="008E1AAF" w:rsidRPr="00831BD5" w:rsidRDefault="003B3F73" w:rsidP="003B3F73">
            <w:pPr>
              <w:spacing w:after="0"/>
              <w:jc w:val="right"/>
              <w:rPr>
                <w:b/>
                <w:sz w:val="22"/>
                <w:szCs w:val="22"/>
              </w:rPr>
            </w:pPr>
            <w:r w:rsidRPr="00831BD5">
              <w:rPr>
                <w:b/>
                <w:sz w:val="22"/>
                <w:szCs w:val="22"/>
              </w:rPr>
              <w:t>108</w:t>
            </w:r>
          </w:p>
        </w:tc>
        <w:tc>
          <w:tcPr>
            <w:tcW w:w="1260" w:type="dxa"/>
            <w:tcBorders>
              <w:top w:val="single" w:sz="18" w:space="0" w:color="auto"/>
              <w:left w:val="single" w:sz="18" w:space="0" w:color="auto"/>
            </w:tcBorders>
            <w:noWrap/>
            <w:vAlign w:val="center"/>
            <w:hideMark/>
          </w:tcPr>
          <w:p w14:paraId="5FB7B50C" w14:textId="77777777" w:rsidR="008E1AAF" w:rsidRPr="00813B66" w:rsidRDefault="008E1AAF" w:rsidP="0003684F">
            <w:pPr>
              <w:spacing w:after="0"/>
              <w:jc w:val="right"/>
              <w:rPr>
                <w:b/>
                <w:bCs/>
                <w:sz w:val="22"/>
                <w:szCs w:val="22"/>
              </w:rPr>
            </w:pPr>
            <w:r w:rsidRPr="00813B66">
              <w:rPr>
                <w:b/>
                <w:bCs/>
                <w:color w:val="000000"/>
                <w:sz w:val="22"/>
                <w:szCs w:val="22"/>
              </w:rPr>
              <w:t>386</w:t>
            </w:r>
          </w:p>
        </w:tc>
        <w:tc>
          <w:tcPr>
            <w:tcW w:w="1350" w:type="dxa"/>
            <w:tcBorders>
              <w:top w:val="single" w:sz="18" w:space="0" w:color="auto"/>
            </w:tcBorders>
            <w:noWrap/>
            <w:vAlign w:val="center"/>
            <w:hideMark/>
          </w:tcPr>
          <w:p w14:paraId="25A96866" w14:textId="77777777" w:rsidR="008E1AAF" w:rsidRPr="00813B66" w:rsidRDefault="008E1AAF" w:rsidP="0003684F">
            <w:pPr>
              <w:spacing w:after="0"/>
              <w:jc w:val="right"/>
              <w:rPr>
                <w:b/>
                <w:bCs/>
                <w:sz w:val="22"/>
                <w:szCs w:val="22"/>
              </w:rPr>
            </w:pPr>
            <w:r w:rsidRPr="00813B66">
              <w:rPr>
                <w:b/>
                <w:sz w:val="22"/>
                <w:szCs w:val="22"/>
              </w:rPr>
              <w:t>128.67</w:t>
            </w:r>
          </w:p>
        </w:tc>
        <w:tc>
          <w:tcPr>
            <w:tcW w:w="1350" w:type="dxa"/>
            <w:tcBorders>
              <w:top w:val="single" w:sz="18" w:space="0" w:color="auto"/>
            </w:tcBorders>
            <w:noWrap/>
            <w:vAlign w:val="center"/>
            <w:hideMark/>
          </w:tcPr>
          <w:p w14:paraId="6F16DF21" w14:textId="77777777" w:rsidR="008E1AAF" w:rsidRPr="00813B66" w:rsidRDefault="008E1AAF" w:rsidP="0003684F">
            <w:pPr>
              <w:spacing w:after="0"/>
              <w:jc w:val="right"/>
              <w:rPr>
                <w:b/>
                <w:bCs/>
                <w:sz w:val="22"/>
                <w:szCs w:val="22"/>
              </w:rPr>
            </w:pPr>
            <w:r w:rsidRPr="00813B66">
              <w:rPr>
                <w:b/>
                <w:sz w:val="22"/>
                <w:szCs w:val="22"/>
              </w:rPr>
              <w:t>42.89</w:t>
            </w:r>
          </w:p>
        </w:tc>
        <w:tc>
          <w:tcPr>
            <w:tcW w:w="1260" w:type="dxa"/>
            <w:tcBorders>
              <w:top w:val="single" w:sz="18" w:space="0" w:color="auto"/>
            </w:tcBorders>
            <w:vAlign w:val="center"/>
          </w:tcPr>
          <w:p w14:paraId="5B7AD92B" w14:textId="77777777" w:rsidR="008E1AAF" w:rsidRPr="00813B66" w:rsidRDefault="008E1AAF" w:rsidP="0003684F">
            <w:pPr>
              <w:spacing w:after="0"/>
              <w:jc w:val="right"/>
              <w:rPr>
                <w:b/>
                <w:bCs/>
                <w:sz w:val="22"/>
                <w:szCs w:val="22"/>
              </w:rPr>
            </w:pPr>
            <w:r w:rsidRPr="00813B66">
              <w:rPr>
                <w:b/>
                <w:sz w:val="22"/>
                <w:szCs w:val="22"/>
              </w:rPr>
              <w:t>$2,684.44</w:t>
            </w:r>
          </w:p>
        </w:tc>
      </w:tr>
    </w:tbl>
    <w:p w14:paraId="1C7B3BC5" w14:textId="46256004" w:rsidR="00DE4A22" w:rsidRPr="00D16460" w:rsidRDefault="003E4D45" w:rsidP="00DE4A22">
      <w:pPr>
        <w:spacing w:after="0"/>
        <w:rPr>
          <w:sz w:val="22"/>
          <w:szCs w:val="22"/>
        </w:rPr>
      </w:pPr>
      <w:proofErr w:type="spellStart"/>
      <w:proofErr w:type="gramStart"/>
      <w:r>
        <w:rPr>
          <w:vertAlign w:val="superscript"/>
        </w:rPr>
        <w:t>a</w:t>
      </w:r>
      <w:proofErr w:type="spellEnd"/>
      <w:proofErr w:type="gramEnd"/>
      <w:r w:rsidR="006F2F20" w:rsidRPr="003E4D45">
        <w:t xml:space="preserve"> </w:t>
      </w:r>
      <w:r w:rsidR="006F2F20" w:rsidRPr="00D16460">
        <w:rPr>
          <w:sz w:val="22"/>
          <w:szCs w:val="22"/>
        </w:rPr>
        <w:t>Estimated time burden is 20 minutes per response.</w:t>
      </w:r>
      <w:r w:rsidR="00221F15" w:rsidRPr="00D16460">
        <w:rPr>
          <w:sz w:val="22"/>
          <w:szCs w:val="22"/>
        </w:rPr>
        <w:t xml:space="preserve"> </w:t>
      </w:r>
    </w:p>
    <w:p w14:paraId="3F7DEF06" w14:textId="262507AC" w:rsidR="003E4D45" w:rsidRPr="00D16460" w:rsidRDefault="003E4D45" w:rsidP="003E4D45">
      <w:pPr>
        <w:spacing w:after="0"/>
        <w:rPr>
          <w:sz w:val="22"/>
          <w:szCs w:val="22"/>
        </w:rPr>
      </w:pPr>
      <w:proofErr w:type="gramStart"/>
      <w:r w:rsidRPr="00D16460">
        <w:rPr>
          <w:sz w:val="22"/>
          <w:szCs w:val="22"/>
          <w:vertAlign w:val="superscript"/>
        </w:rPr>
        <w:t>b</w:t>
      </w:r>
      <w:proofErr w:type="gramEnd"/>
      <w:r w:rsidR="00DE4A22" w:rsidRPr="00D16460">
        <w:rPr>
          <w:sz w:val="22"/>
          <w:szCs w:val="22"/>
          <w:vertAlign w:val="superscript"/>
        </w:rPr>
        <w:t xml:space="preserve"> </w:t>
      </w:r>
      <w:r w:rsidR="00221F15" w:rsidRPr="00D16460">
        <w:rPr>
          <w:sz w:val="22"/>
          <w:szCs w:val="22"/>
        </w:rPr>
        <w:t>Estimated hourly rate is $</w:t>
      </w:r>
      <w:r w:rsidR="00E60828" w:rsidRPr="00D16460">
        <w:rPr>
          <w:sz w:val="22"/>
          <w:szCs w:val="22"/>
        </w:rPr>
        <w:t>85</w:t>
      </w:r>
      <w:r w:rsidR="00221F15" w:rsidRPr="00D16460">
        <w:rPr>
          <w:sz w:val="22"/>
          <w:szCs w:val="22"/>
        </w:rPr>
        <w:t xml:space="preserve"> for grantee respondents and $</w:t>
      </w:r>
      <w:r w:rsidR="00E60828" w:rsidRPr="00D16460">
        <w:rPr>
          <w:sz w:val="22"/>
          <w:szCs w:val="22"/>
        </w:rPr>
        <w:t>60</w:t>
      </w:r>
      <w:r w:rsidR="00221F15" w:rsidRPr="00D16460">
        <w:rPr>
          <w:sz w:val="22"/>
          <w:szCs w:val="22"/>
        </w:rPr>
        <w:t xml:space="preserve"> for </w:t>
      </w:r>
      <w:proofErr w:type="spellStart"/>
      <w:r w:rsidR="00F70671" w:rsidRPr="00D16460">
        <w:rPr>
          <w:sz w:val="22"/>
          <w:szCs w:val="22"/>
        </w:rPr>
        <w:t>subrecipient</w:t>
      </w:r>
      <w:proofErr w:type="spellEnd"/>
      <w:r w:rsidR="00F70671" w:rsidRPr="00D16460">
        <w:rPr>
          <w:sz w:val="22"/>
          <w:szCs w:val="22"/>
        </w:rPr>
        <w:t>/</w:t>
      </w:r>
      <w:r w:rsidR="00BA4D7B">
        <w:rPr>
          <w:sz w:val="22"/>
          <w:szCs w:val="22"/>
        </w:rPr>
        <w:t>service r</w:t>
      </w:r>
      <w:r w:rsidR="003B6D11">
        <w:rPr>
          <w:sz w:val="22"/>
          <w:szCs w:val="22"/>
        </w:rPr>
        <w:t>ecipient</w:t>
      </w:r>
      <w:r w:rsidR="00F70671" w:rsidRPr="00D16460">
        <w:rPr>
          <w:sz w:val="22"/>
          <w:szCs w:val="22"/>
        </w:rPr>
        <w:t xml:space="preserve"> respondent</w:t>
      </w:r>
      <w:r w:rsidR="00221F15" w:rsidRPr="00D16460">
        <w:rPr>
          <w:sz w:val="22"/>
          <w:szCs w:val="22"/>
        </w:rPr>
        <w:t>s.</w:t>
      </w:r>
    </w:p>
    <w:p w14:paraId="00830E68" w14:textId="75A41C7C" w:rsidR="003E4D45" w:rsidRPr="00D16460" w:rsidRDefault="003E4D45" w:rsidP="003E4D45">
      <w:pPr>
        <w:spacing w:after="240"/>
        <w:rPr>
          <w:sz w:val="22"/>
          <w:szCs w:val="22"/>
        </w:rPr>
      </w:pPr>
      <w:proofErr w:type="gramStart"/>
      <w:r w:rsidRPr="00D16460">
        <w:rPr>
          <w:sz w:val="22"/>
          <w:szCs w:val="22"/>
          <w:vertAlign w:val="superscript"/>
        </w:rPr>
        <w:t>c</w:t>
      </w:r>
      <w:proofErr w:type="gramEnd"/>
      <w:r w:rsidRPr="00D16460">
        <w:rPr>
          <w:sz w:val="22"/>
          <w:szCs w:val="22"/>
        </w:rPr>
        <w:t xml:space="preserve"> The 2017 RFP 2 </w:t>
      </w:r>
      <w:proofErr w:type="spellStart"/>
      <w:r w:rsidRPr="00D16460">
        <w:rPr>
          <w:sz w:val="22"/>
          <w:szCs w:val="22"/>
        </w:rPr>
        <w:t>subrecipients</w:t>
      </w:r>
      <w:proofErr w:type="spellEnd"/>
      <w:r w:rsidRPr="00D16460">
        <w:rPr>
          <w:sz w:val="22"/>
          <w:szCs w:val="22"/>
        </w:rPr>
        <w:t>/</w:t>
      </w:r>
      <w:r w:rsidR="00BA4D7B">
        <w:rPr>
          <w:sz w:val="22"/>
          <w:szCs w:val="22"/>
        </w:rPr>
        <w:t>service r</w:t>
      </w:r>
      <w:r w:rsidR="003B6D11">
        <w:rPr>
          <w:sz w:val="22"/>
          <w:szCs w:val="22"/>
        </w:rPr>
        <w:t>ecipient</w:t>
      </w:r>
      <w:r w:rsidRPr="00D16460">
        <w:rPr>
          <w:sz w:val="22"/>
          <w:szCs w:val="22"/>
        </w:rPr>
        <w:t xml:space="preserve">s </w:t>
      </w:r>
      <w:r w:rsidR="00425B54">
        <w:rPr>
          <w:sz w:val="22"/>
          <w:szCs w:val="22"/>
        </w:rPr>
        <w:t>are expected to be selected in f</w:t>
      </w:r>
      <w:r w:rsidRPr="00D16460">
        <w:rPr>
          <w:sz w:val="22"/>
          <w:szCs w:val="22"/>
        </w:rPr>
        <w:t>all 2018, after th</w:t>
      </w:r>
      <w:r w:rsidR="002E79F0">
        <w:rPr>
          <w:sz w:val="22"/>
          <w:szCs w:val="22"/>
        </w:rPr>
        <w:t>e last round of data collection has been conducted.</w:t>
      </w:r>
      <w:r w:rsidRPr="00D16460">
        <w:rPr>
          <w:sz w:val="22"/>
          <w:szCs w:val="22"/>
        </w:rPr>
        <w:t xml:space="preserve"> </w:t>
      </w:r>
    </w:p>
    <w:p w14:paraId="6D99BA7E" w14:textId="77777777" w:rsidR="003E4D45" w:rsidRPr="00E35FEB" w:rsidRDefault="003E4D45" w:rsidP="00A25F26">
      <w:pPr>
        <w:spacing w:after="240"/>
        <w:sectPr w:rsidR="003E4D45" w:rsidRPr="00E35FEB" w:rsidSect="009C1A33">
          <w:type w:val="continuous"/>
          <w:pgSz w:w="15840" w:h="12240" w:orient="landscape"/>
          <w:pgMar w:top="1440" w:right="1440" w:bottom="1440" w:left="1440" w:header="720" w:footer="720" w:gutter="0"/>
          <w:cols w:space="720"/>
          <w:docGrid w:linePitch="360"/>
        </w:sectPr>
      </w:pPr>
    </w:p>
    <w:p w14:paraId="59CE91EA" w14:textId="77777777" w:rsidR="00B02567" w:rsidRPr="009074DF" w:rsidRDefault="00B02567" w:rsidP="00F87FF9">
      <w:pPr>
        <w:pStyle w:val="Heading2"/>
      </w:pPr>
      <w:bookmarkStart w:id="14" w:name="_Toc436979515"/>
      <w:r w:rsidRPr="009074DF">
        <w:lastRenderedPageBreak/>
        <w:t>A13</w:t>
      </w:r>
      <w:r w:rsidR="002A35BA" w:rsidRPr="009074DF">
        <w:t xml:space="preserve">. </w:t>
      </w:r>
      <w:r w:rsidRPr="009074DF">
        <w:t xml:space="preserve">Estimates of Other Total Annual Cost Burden to </w:t>
      </w:r>
      <w:r w:rsidR="002C61BB" w:rsidRPr="009074DF">
        <w:t>Respondents</w:t>
      </w:r>
      <w:r w:rsidRPr="009074DF">
        <w:t xml:space="preserve"> and Record Keepers</w:t>
      </w:r>
      <w:bookmarkEnd w:id="14"/>
    </w:p>
    <w:p w14:paraId="76B23A1B" w14:textId="46F96F33" w:rsidR="00B35D1D" w:rsidRPr="00530113" w:rsidRDefault="00B35D1D" w:rsidP="00B35D1D">
      <w:r w:rsidRPr="000B100A">
        <w:t xml:space="preserve">The telecommunications costs of the </w:t>
      </w:r>
      <w:r w:rsidR="00487F5C">
        <w:t>survey</w:t>
      </w:r>
      <w:r w:rsidR="00487F5C" w:rsidRPr="000B100A">
        <w:t xml:space="preserve">s </w:t>
      </w:r>
      <w:r w:rsidRPr="000B100A">
        <w:t xml:space="preserve">are considered part of customary and usual business practices. </w:t>
      </w:r>
      <w:r w:rsidR="006203F8">
        <w:t xml:space="preserve">The only cost to respondents will be the time it takes to respond to the survey. </w:t>
      </w:r>
      <w:r w:rsidRPr="000B100A">
        <w:t>The survey will not involve any additional cost burden to respondents or record-keepers, other than that described above.</w:t>
      </w:r>
      <w:r w:rsidRPr="001C4327">
        <w:t> </w:t>
      </w:r>
    </w:p>
    <w:p w14:paraId="4EA78DCF" w14:textId="77777777" w:rsidR="00EC1C8E" w:rsidRPr="009074DF" w:rsidRDefault="00130AB5" w:rsidP="00F87FF9">
      <w:pPr>
        <w:pStyle w:val="Heading2"/>
      </w:pPr>
      <w:bookmarkStart w:id="15" w:name="_Toc436979516"/>
      <w:r w:rsidRPr="009074DF">
        <w:t xml:space="preserve">A14. </w:t>
      </w:r>
      <w:r w:rsidR="00EC1C8E" w:rsidRPr="009074DF">
        <w:t>Estimated Annualized Cost to Federal Government</w:t>
      </w:r>
      <w:bookmarkEnd w:id="15"/>
      <w:r w:rsidR="00A20297" w:rsidRPr="009074DF">
        <w:t xml:space="preserve"> </w:t>
      </w:r>
    </w:p>
    <w:p w14:paraId="0CF82514" w14:textId="33E5BA6F" w:rsidR="00A309D6" w:rsidRPr="009074DF" w:rsidRDefault="00A309D6" w:rsidP="00A25F26">
      <w:r w:rsidRPr="009074DF">
        <w:t xml:space="preserve">The estimated cost to the Federal Government for the </w:t>
      </w:r>
      <w:r w:rsidR="00255A9C">
        <w:t xml:space="preserve">first year of </w:t>
      </w:r>
      <w:r w:rsidRPr="009074DF">
        <w:t xml:space="preserve">SIF </w:t>
      </w:r>
      <w:r w:rsidR="00877A69">
        <w:t>PFS Process E</w:t>
      </w:r>
      <w:r w:rsidR="00C15A6A">
        <w:t xml:space="preserve">valuation survey </w:t>
      </w:r>
      <w:r w:rsidRPr="009074DF">
        <w:t xml:space="preserve">data collection activities is </w:t>
      </w:r>
      <w:r w:rsidRPr="00B54209">
        <w:t>$</w:t>
      </w:r>
      <w:r w:rsidR="00B54209">
        <w:t>52,584</w:t>
      </w:r>
      <w:r w:rsidR="00456350" w:rsidRPr="009074DF">
        <w:t xml:space="preserve"> </w:t>
      </w:r>
      <w:r w:rsidR="00A8481F">
        <w:t xml:space="preserve">-- </w:t>
      </w:r>
      <w:r w:rsidR="00255A9C">
        <w:t xml:space="preserve">this </w:t>
      </w:r>
      <w:r w:rsidR="00A8481F">
        <w:t xml:space="preserve">includes </w:t>
      </w:r>
      <w:r w:rsidR="00255A9C">
        <w:t>activities unique to the first year of data collection such as survey development, pilot testing</w:t>
      </w:r>
      <w:r w:rsidR="003B3F73">
        <w:t xml:space="preserve"> activities</w:t>
      </w:r>
      <w:r w:rsidR="00255A9C">
        <w:t>, and web programming of surveys</w:t>
      </w:r>
      <w:r w:rsidRPr="009074DF">
        <w:t xml:space="preserve">. This is the cost </w:t>
      </w:r>
      <w:r w:rsidR="00443BE9" w:rsidRPr="009074DF">
        <w:t>of</w:t>
      </w:r>
      <w:r w:rsidRPr="009074DF">
        <w:t xml:space="preserve"> </w:t>
      </w:r>
      <w:r w:rsidR="00D655BF">
        <w:t xml:space="preserve">CNCS’s </w:t>
      </w:r>
      <w:r w:rsidR="002D6663" w:rsidRPr="009074DF">
        <w:t xml:space="preserve">Federal contractor, </w:t>
      </w:r>
      <w:proofErr w:type="spellStart"/>
      <w:r w:rsidR="00C15A6A">
        <w:t>Abt</w:t>
      </w:r>
      <w:proofErr w:type="spellEnd"/>
      <w:r w:rsidR="00C15A6A">
        <w:t xml:space="preserve"> Associates</w:t>
      </w:r>
      <w:r w:rsidRPr="009074DF">
        <w:t>, for</w:t>
      </w:r>
      <w:r w:rsidR="00C15A6A">
        <w:t xml:space="preserve"> </w:t>
      </w:r>
      <w:r w:rsidR="00E5291F">
        <w:t>the first</w:t>
      </w:r>
      <w:r w:rsidR="00C15A6A">
        <w:t xml:space="preserve"> round of survey</w:t>
      </w:r>
      <w:r w:rsidRPr="009074DF">
        <w:t xml:space="preserve"> data collection activities associated with this submission.</w:t>
      </w:r>
      <w:r w:rsidR="00EB38F1">
        <w:t xml:space="preserve">  Each subsequent round of survey data collection will </w:t>
      </w:r>
      <w:r w:rsidR="0077332B">
        <w:t xml:space="preserve">cost </w:t>
      </w:r>
      <w:r w:rsidR="00EB38F1">
        <w:t>approximately $13,459.</w:t>
      </w:r>
      <w:r w:rsidR="00255A9C">
        <w:t xml:space="preserve">  The total cost to the Federal Government for the SIF PFS </w:t>
      </w:r>
      <w:r w:rsidR="003B3F73">
        <w:t xml:space="preserve">Program </w:t>
      </w:r>
      <w:r w:rsidR="00255A9C">
        <w:t>Process Evaluation</w:t>
      </w:r>
      <w:r w:rsidR="0077332B">
        <w:t>’s survey data collection</w:t>
      </w:r>
      <w:r w:rsidR="00255A9C">
        <w:t xml:space="preserve"> is $66,043 over a three-year period.</w:t>
      </w:r>
    </w:p>
    <w:p w14:paraId="26B332CE" w14:textId="77777777" w:rsidR="00EC1C8E" w:rsidRPr="009074DF" w:rsidRDefault="00130AB5" w:rsidP="00F87FF9">
      <w:pPr>
        <w:pStyle w:val="Heading2"/>
      </w:pPr>
      <w:bookmarkStart w:id="16" w:name="_Toc436979517"/>
      <w:r w:rsidRPr="009074DF">
        <w:t xml:space="preserve">A15. </w:t>
      </w:r>
      <w:r w:rsidR="00EC1C8E" w:rsidRPr="009074DF">
        <w:t>Reason for Change in Burden</w:t>
      </w:r>
      <w:bookmarkEnd w:id="16"/>
      <w:r w:rsidR="00A20297" w:rsidRPr="009074DF">
        <w:t xml:space="preserve"> </w:t>
      </w:r>
    </w:p>
    <w:p w14:paraId="43B0C7B3" w14:textId="2F4A35EA" w:rsidR="00CD6B94" w:rsidRPr="009074DF" w:rsidRDefault="00CD6B94" w:rsidP="00A25F26">
      <w:pPr>
        <w:spacing w:after="240"/>
      </w:pPr>
      <w:r w:rsidRPr="009074DF">
        <w:t>There are no changes</w:t>
      </w:r>
      <w:r w:rsidR="002A35BA" w:rsidRPr="009074DF">
        <w:t xml:space="preserve">. </w:t>
      </w:r>
      <w:r w:rsidRPr="009074DF">
        <w:t>The</w:t>
      </w:r>
      <w:r w:rsidR="00EB38F1">
        <w:t xml:space="preserve"> surveys </w:t>
      </w:r>
      <w:r w:rsidR="00D479A3" w:rsidRPr="009074DF">
        <w:t xml:space="preserve">described </w:t>
      </w:r>
      <w:r w:rsidRPr="009074DF">
        <w:t xml:space="preserve">in this supporting statement comprise a new </w:t>
      </w:r>
      <w:r w:rsidR="00524795" w:rsidRPr="009074DF">
        <w:t xml:space="preserve">information </w:t>
      </w:r>
      <w:r w:rsidRPr="009074DF">
        <w:t>collection</w:t>
      </w:r>
      <w:r w:rsidR="002A35BA" w:rsidRPr="009074DF">
        <w:t xml:space="preserve">. </w:t>
      </w:r>
    </w:p>
    <w:p w14:paraId="6FEA0713" w14:textId="77777777" w:rsidR="00EC1C8E" w:rsidRDefault="00130AB5" w:rsidP="00F87FF9">
      <w:pPr>
        <w:pStyle w:val="Heading2"/>
      </w:pPr>
      <w:bookmarkStart w:id="17" w:name="_Toc436979518"/>
      <w:r w:rsidRPr="009074DF">
        <w:t xml:space="preserve">A16. </w:t>
      </w:r>
      <w:r w:rsidR="00B2665C" w:rsidRPr="009074DF">
        <w:t xml:space="preserve">Plans for Tabulation and </w:t>
      </w:r>
      <w:r w:rsidR="00EC1C8E" w:rsidRPr="009074DF">
        <w:t>Publication</w:t>
      </w:r>
      <w:r w:rsidRPr="009074DF">
        <w:t xml:space="preserve"> of Results</w:t>
      </w:r>
      <w:r w:rsidR="00A20297" w:rsidRPr="009074DF">
        <w:t xml:space="preserve"> </w:t>
      </w:r>
      <w:r w:rsidR="00C14406" w:rsidRPr="009074DF">
        <w:t xml:space="preserve">and </w:t>
      </w:r>
      <w:r w:rsidR="00E63D0E" w:rsidRPr="009074DF">
        <w:t>Project</w:t>
      </w:r>
      <w:r w:rsidR="00C14406" w:rsidRPr="009074DF">
        <w:t xml:space="preserve"> Time Schedule</w:t>
      </w:r>
      <w:bookmarkEnd w:id="17"/>
    </w:p>
    <w:p w14:paraId="189470F2" w14:textId="015C3313" w:rsidR="007130E0" w:rsidRPr="007130E0" w:rsidRDefault="007130E0" w:rsidP="00446652">
      <w:pPr>
        <w:spacing w:after="240"/>
      </w:pPr>
      <w:r>
        <w:t>This section contains the plans for the project timeline and dissemination and the data analysis.</w:t>
      </w:r>
    </w:p>
    <w:p w14:paraId="57D1537C" w14:textId="233E6026" w:rsidR="00D108D6" w:rsidRPr="00A8481F" w:rsidRDefault="00D108D6" w:rsidP="00D108D6">
      <w:pPr>
        <w:pStyle w:val="Heading3"/>
      </w:pPr>
      <w:bookmarkStart w:id="18" w:name="_Toc415579743"/>
      <w:bookmarkStart w:id="19" w:name="_Toc436979519"/>
      <w:r w:rsidRPr="00A8481F">
        <w:t>A.16.</w:t>
      </w:r>
      <w:r w:rsidR="00056EFC">
        <w:t>1</w:t>
      </w:r>
      <w:r w:rsidRPr="00A8481F">
        <w:t xml:space="preserve"> Project Timeline and Publication Plans</w:t>
      </w:r>
      <w:bookmarkEnd w:id="18"/>
      <w:bookmarkEnd w:id="19"/>
    </w:p>
    <w:p w14:paraId="38651C6B" w14:textId="49200CB6" w:rsidR="00402F91" w:rsidRDefault="00402F91" w:rsidP="00402F91">
      <w:pPr>
        <w:spacing w:after="240"/>
      </w:pPr>
      <w:r w:rsidRPr="009074DF">
        <w:t xml:space="preserve">The schedule for information collection, </w:t>
      </w:r>
      <w:r>
        <w:t xml:space="preserve">data </w:t>
      </w:r>
      <w:r w:rsidRPr="009074DF">
        <w:t>analysis</w:t>
      </w:r>
      <w:r>
        <w:t xml:space="preserve">, </w:t>
      </w:r>
      <w:r w:rsidRPr="009074DF">
        <w:t>reporting</w:t>
      </w:r>
      <w:r w:rsidR="00255A9C">
        <w:t>, and dissemination</w:t>
      </w:r>
      <w:r w:rsidRPr="009074DF">
        <w:t xml:space="preserve"> of results is shown in </w:t>
      </w:r>
      <w:r>
        <w:t>Exhibit A.</w:t>
      </w:r>
      <w:r w:rsidR="00CB55F8">
        <w:t>4.</w:t>
      </w:r>
    </w:p>
    <w:p w14:paraId="689ED20B" w14:textId="68ACC700" w:rsidR="00402F91" w:rsidRPr="00402F91" w:rsidRDefault="00402F91" w:rsidP="00CB55F8">
      <w:pPr>
        <w:spacing w:after="240"/>
        <w:jc w:val="center"/>
        <w:rPr>
          <w:b/>
        </w:rPr>
      </w:pPr>
      <w:r w:rsidRPr="00402F91">
        <w:rPr>
          <w:b/>
        </w:rPr>
        <w:t>Exhibit A.</w:t>
      </w:r>
      <w:r w:rsidR="00CB55F8">
        <w:rPr>
          <w:b/>
        </w:rPr>
        <w:t>4</w:t>
      </w:r>
      <w:r>
        <w:rPr>
          <w:b/>
        </w:rPr>
        <w:t>:  Project Activities and Time Frame</w:t>
      </w:r>
    </w:p>
    <w:tbl>
      <w:tblPr>
        <w:tblStyle w:val="TableGrid"/>
        <w:tblW w:w="0" w:type="auto"/>
        <w:jc w:val="center"/>
        <w:tblLook w:val="04A0" w:firstRow="1" w:lastRow="0" w:firstColumn="1" w:lastColumn="0" w:noHBand="0" w:noVBand="1"/>
      </w:tblPr>
      <w:tblGrid>
        <w:gridCol w:w="5863"/>
        <w:gridCol w:w="3150"/>
      </w:tblGrid>
      <w:tr w:rsidR="00056EFC" w:rsidRPr="00056EFC" w14:paraId="0E0D3FFE" w14:textId="77777777" w:rsidTr="00402F91">
        <w:trPr>
          <w:jc w:val="center"/>
        </w:trPr>
        <w:tc>
          <w:tcPr>
            <w:tcW w:w="5863" w:type="dxa"/>
            <w:tcBorders>
              <w:top w:val="single" w:sz="4" w:space="0" w:color="auto"/>
              <w:left w:val="single" w:sz="4" w:space="0" w:color="auto"/>
              <w:bottom w:val="single" w:sz="4" w:space="0" w:color="auto"/>
              <w:right w:val="single" w:sz="4" w:space="0" w:color="auto"/>
            </w:tcBorders>
            <w:shd w:val="clear" w:color="auto" w:fill="808080"/>
            <w:hideMark/>
          </w:tcPr>
          <w:p w14:paraId="0407246D" w14:textId="72F9DB14" w:rsidR="00056EFC" w:rsidRPr="00056EFC" w:rsidRDefault="003B3F73" w:rsidP="00AE1291">
            <w:pPr>
              <w:spacing w:after="0"/>
              <w:jc w:val="center"/>
              <w:rPr>
                <w:b/>
                <w:color w:val="FFFFFF" w:themeColor="background1"/>
              </w:rPr>
            </w:pPr>
            <w:r>
              <w:rPr>
                <w:b/>
                <w:color w:val="FFFFFF" w:themeColor="background1"/>
              </w:rPr>
              <w:t xml:space="preserve">Project </w:t>
            </w:r>
            <w:r w:rsidR="00056EFC" w:rsidRPr="00056EFC">
              <w:rPr>
                <w:b/>
                <w:color w:val="FFFFFF" w:themeColor="background1"/>
              </w:rPr>
              <w:t>Activity</w:t>
            </w:r>
          </w:p>
        </w:tc>
        <w:tc>
          <w:tcPr>
            <w:tcW w:w="3150" w:type="dxa"/>
            <w:tcBorders>
              <w:top w:val="single" w:sz="4" w:space="0" w:color="auto"/>
              <w:left w:val="single" w:sz="4" w:space="0" w:color="auto"/>
              <w:bottom w:val="single" w:sz="4" w:space="0" w:color="auto"/>
              <w:right w:val="single" w:sz="4" w:space="0" w:color="auto"/>
            </w:tcBorders>
            <w:shd w:val="clear" w:color="auto" w:fill="808080"/>
            <w:hideMark/>
          </w:tcPr>
          <w:p w14:paraId="210D15E2" w14:textId="78CFEAE1" w:rsidR="00056EFC" w:rsidRPr="00056EFC" w:rsidRDefault="00CB55F8" w:rsidP="00AE1291">
            <w:pPr>
              <w:spacing w:after="0"/>
              <w:jc w:val="center"/>
              <w:rPr>
                <w:b/>
                <w:color w:val="FFFFFF" w:themeColor="background1"/>
              </w:rPr>
            </w:pPr>
            <w:r>
              <w:rPr>
                <w:b/>
                <w:color w:val="FFFFFF" w:themeColor="background1"/>
              </w:rPr>
              <w:t>Time F</w:t>
            </w:r>
            <w:r w:rsidR="00056EFC" w:rsidRPr="00056EFC">
              <w:rPr>
                <w:b/>
                <w:color w:val="FFFFFF" w:themeColor="background1"/>
              </w:rPr>
              <w:t>rame</w:t>
            </w:r>
          </w:p>
        </w:tc>
      </w:tr>
      <w:tr w:rsidR="00056EFC" w:rsidRPr="00056EFC" w14:paraId="58309181" w14:textId="77777777" w:rsidTr="00402F91">
        <w:trPr>
          <w:trHeight w:val="314"/>
          <w:jc w:val="center"/>
        </w:trPr>
        <w:tc>
          <w:tcPr>
            <w:tcW w:w="9013"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2D5CB24A" w14:textId="77777777" w:rsidR="00056EFC" w:rsidRPr="00056EFC" w:rsidRDefault="00056EFC" w:rsidP="00AE1291">
            <w:pPr>
              <w:spacing w:after="0"/>
              <w:rPr>
                <w:b/>
              </w:rPr>
            </w:pPr>
            <w:r w:rsidRPr="00056EFC">
              <w:rPr>
                <w:b/>
              </w:rPr>
              <w:t>Year 1 Survey</w:t>
            </w:r>
          </w:p>
        </w:tc>
      </w:tr>
      <w:tr w:rsidR="00056EFC" w:rsidRPr="00056EFC" w14:paraId="24D14046" w14:textId="77777777" w:rsidTr="00402F91">
        <w:trPr>
          <w:jc w:val="center"/>
        </w:trPr>
        <w:tc>
          <w:tcPr>
            <w:tcW w:w="5863" w:type="dxa"/>
            <w:tcBorders>
              <w:top w:val="single" w:sz="4" w:space="0" w:color="auto"/>
              <w:left w:val="single" w:sz="4" w:space="0" w:color="auto"/>
              <w:bottom w:val="single" w:sz="4" w:space="0" w:color="auto"/>
              <w:right w:val="single" w:sz="4" w:space="0" w:color="auto"/>
            </w:tcBorders>
            <w:hideMark/>
          </w:tcPr>
          <w:p w14:paraId="5A4AECC9" w14:textId="77777777" w:rsidR="00056EFC" w:rsidRPr="00056EFC" w:rsidRDefault="00056EFC" w:rsidP="00AE1291">
            <w:pPr>
              <w:spacing w:after="0"/>
            </w:pPr>
            <w:r w:rsidRPr="00056EFC">
              <w:t>Data collection</w:t>
            </w:r>
          </w:p>
        </w:tc>
        <w:tc>
          <w:tcPr>
            <w:tcW w:w="3150" w:type="dxa"/>
            <w:tcBorders>
              <w:top w:val="single" w:sz="4" w:space="0" w:color="auto"/>
              <w:left w:val="single" w:sz="4" w:space="0" w:color="auto"/>
              <w:bottom w:val="single" w:sz="4" w:space="0" w:color="auto"/>
              <w:right w:val="single" w:sz="4" w:space="0" w:color="auto"/>
            </w:tcBorders>
            <w:hideMark/>
          </w:tcPr>
          <w:p w14:paraId="076ABC94" w14:textId="77777777" w:rsidR="00056EFC" w:rsidRPr="00056EFC" w:rsidRDefault="00056EFC" w:rsidP="00AE1291">
            <w:pPr>
              <w:spacing w:after="0"/>
            </w:pPr>
            <w:r w:rsidRPr="00056EFC">
              <w:t>May-June 2016</w:t>
            </w:r>
          </w:p>
        </w:tc>
      </w:tr>
      <w:tr w:rsidR="00056EFC" w:rsidRPr="00056EFC" w14:paraId="716D2150" w14:textId="77777777" w:rsidTr="00402F91">
        <w:trPr>
          <w:jc w:val="center"/>
        </w:trPr>
        <w:tc>
          <w:tcPr>
            <w:tcW w:w="5863" w:type="dxa"/>
            <w:tcBorders>
              <w:top w:val="single" w:sz="4" w:space="0" w:color="auto"/>
              <w:left w:val="single" w:sz="4" w:space="0" w:color="auto"/>
              <w:bottom w:val="single" w:sz="4" w:space="0" w:color="auto"/>
              <w:right w:val="single" w:sz="4" w:space="0" w:color="auto"/>
            </w:tcBorders>
            <w:hideMark/>
          </w:tcPr>
          <w:p w14:paraId="0A9B945A" w14:textId="6D946D6B" w:rsidR="00056EFC" w:rsidRPr="00056EFC" w:rsidRDefault="00056EFC" w:rsidP="00AE1291">
            <w:pPr>
              <w:spacing w:after="0"/>
            </w:pPr>
            <w:r w:rsidRPr="00056EFC">
              <w:t>Data analysis</w:t>
            </w:r>
          </w:p>
        </w:tc>
        <w:tc>
          <w:tcPr>
            <w:tcW w:w="3150" w:type="dxa"/>
            <w:tcBorders>
              <w:top w:val="single" w:sz="4" w:space="0" w:color="auto"/>
              <w:left w:val="single" w:sz="4" w:space="0" w:color="auto"/>
              <w:bottom w:val="single" w:sz="4" w:space="0" w:color="auto"/>
              <w:right w:val="single" w:sz="4" w:space="0" w:color="auto"/>
            </w:tcBorders>
            <w:hideMark/>
          </w:tcPr>
          <w:p w14:paraId="0D96E8C9" w14:textId="77777777" w:rsidR="00056EFC" w:rsidRPr="00056EFC" w:rsidRDefault="00056EFC" w:rsidP="00AE1291">
            <w:pPr>
              <w:spacing w:after="0"/>
            </w:pPr>
            <w:r w:rsidRPr="00056EFC">
              <w:t>June-July 2016</w:t>
            </w:r>
          </w:p>
        </w:tc>
      </w:tr>
      <w:tr w:rsidR="00056EFC" w:rsidRPr="00056EFC" w14:paraId="40D25A68" w14:textId="77777777" w:rsidTr="00402F91">
        <w:trPr>
          <w:jc w:val="center"/>
        </w:trPr>
        <w:tc>
          <w:tcPr>
            <w:tcW w:w="5863" w:type="dxa"/>
            <w:tcBorders>
              <w:top w:val="single" w:sz="4" w:space="0" w:color="auto"/>
              <w:left w:val="single" w:sz="4" w:space="0" w:color="auto"/>
              <w:bottom w:val="single" w:sz="4" w:space="0" w:color="auto"/>
              <w:right w:val="single" w:sz="4" w:space="0" w:color="auto"/>
            </w:tcBorders>
            <w:hideMark/>
          </w:tcPr>
          <w:p w14:paraId="02A3E00B" w14:textId="2140467F" w:rsidR="00056EFC" w:rsidRPr="00056EFC" w:rsidRDefault="00056EFC" w:rsidP="00AE1291">
            <w:pPr>
              <w:spacing w:after="0"/>
            </w:pPr>
            <w:r>
              <w:t>Interim Report p</w:t>
            </w:r>
            <w:r w:rsidRPr="00056EFC">
              <w:t>reparation</w:t>
            </w:r>
          </w:p>
        </w:tc>
        <w:tc>
          <w:tcPr>
            <w:tcW w:w="3150" w:type="dxa"/>
            <w:tcBorders>
              <w:top w:val="single" w:sz="4" w:space="0" w:color="auto"/>
              <w:left w:val="single" w:sz="4" w:space="0" w:color="auto"/>
              <w:bottom w:val="single" w:sz="4" w:space="0" w:color="auto"/>
              <w:right w:val="single" w:sz="4" w:space="0" w:color="auto"/>
            </w:tcBorders>
            <w:hideMark/>
          </w:tcPr>
          <w:p w14:paraId="63D6C1B6" w14:textId="77777777" w:rsidR="00056EFC" w:rsidRPr="00056EFC" w:rsidRDefault="00056EFC" w:rsidP="00AE1291">
            <w:pPr>
              <w:spacing w:after="0"/>
            </w:pPr>
            <w:r w:rsidRPr="00056EFC">
              <w:t>August-September 2016</w:t>
            </w:r>
          </w:p>
        </w:tc>
      </w:tr>
      <w:tr w:rsidR="007130E0" w:rsidRPr="00056EFC" w14:paraId="5AAB7ED1" w14:textId="77777777" w:rsidTr="00402F91">
        <w:trPr>
          <w:jc w:val="center"/>
        </w:trPr>
        <w:tc>
          <w:tcPr>
            <w:tcW w:w="5863" w:type="dxa"/>
            <w:tcBorders>
              <w:top w:val="single" w:sz="4" w:space="0" w:color="auto"/>
              <w:left w:val="single" w:sz="4" w:space="0" w:color="auto"/>
              <w:bottom w:val="single" w:sz="4" w:space="0" w:color="auto"/>
              <w:right w:val="single" w:sz="4" w:space="0" w:color="auto"/>
            </w:tcBorders>
          </w:tcPr>
          <w:p w14:paraId="0953B605" w14:textId="002D113D" w:rsidR="007130E0" w:rsidRDefault="007130E0" w:rsidP="00AE1291">
            <w:pPr>
              <w:spacing w:after="0"/>
            </w:pPr>
            <w:r>
              <w:t>Dissemination</w:t>
            </w:r>
          </w:p>
        </w:tc>
        <w:tc>
          <w:tcPr>
            <w:tcW w:w="3150" w:type="dxa"/>
            <w:tcBorders>
              <w:top w:val="single" w:sz="4" w:space="0" w:color="auto"/>
              <w:left w:val="single" w:sz="4" w:space="0" w:color="auto"/>
              <w:bottom w:val="single" w:sz="4" w:space="0" w:color="auto"/>
              <w:right w:val="single" w:sz="4" w:space="0" w:color="auto"/>
            </w:tcBorders>
          </w:tcPr>
          <w:p w14:paraId="6B7AA226" w14:textId="36D4C9DD" w:rsidR="007130E0" w:rsidRPr="00056EFC" w:rsidRDefault="007130E0" w:rsidP="00AE1291">
            <w:pPr>
              <w:spacing w:after="0"/>
            </w:pPr>
            <w:r>
              <w:t>October 2016</w:t>
            </w:r>
          </w:p>
        </w:tc>
      </w:tr>
      <w:tr w:rsidR="00056EFC" w:rsidRPr="00056EFC" w14:paraId="033D5192" w14:textId="77777777" w:rsidTr="00402F91">
        <w:trPr>
          <w:jc w:val="center"/>
        </w:trPr>
        <w:tc>
          <w:tcPr>
            <w:tcW w:w="9013"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60E318DA" w14:textId="77777777" w:rsidR="00056EFC" w:rsidRPr="00056EFC" w:rsidRDefault="00056EFC" w:rsidP="00AE1291">
            <w:pPr>
              <w:spacing w:after="0"/>
              <w:rPr>
                <w:b/>
              </w:rPr>
            </w:pPr>
            <w:r w:rsidRPr="00056EFC">
              <w:rPr>
                <w:b/>
              </w:rPr>
              <w:t>Year 2 Survey</w:t>
            </w:r>
          </w:p>
        </w:tc>
      </w:tr>
      <w:tr w:rsidR="00056EFC" w:rsidRPr="00056EFC" w14:paraId="00276357" w14:textId="77777777" w:rsidTr="00402F91">
        <w:trPr>
          <w:jc w:val="center"/>
        </w:trPr>
        <w:tc>
          <w:tcPr>
            <w:tcW w:w="5863" w:type="dxa"/>
            <w:tcBorders>
              <w:top w:val="single" w:sz="4" w:space="0" w:color="auto"/>
              <w:left w:val="single" w:sz="4" w:space="0" w:color="auto"/>
              <w:bottom w:val="single" w:sz="4" w:space="0" w:color="auto"/>
              <w:right w:val="single" w:sz="4" w:space="0" w:color="auto"/>
            </w:tcBorders>
            <w:hideMark/>
          </w:tcPr>
          <w:p w14:paraId="626EF081" w14:textId="77777777" w:rsidR="00056EFC" w:rsidRPr="00056EFC" w:rsidRDefault="00056EFC" w:rsidP="00AE1291">
            <w:pPr>
              <w:spacing w:after="0"/>
            </w:pPr>
            <w:r w:rsidRPr="00056EFC">
              <w:t>Data collection</w:t>
            </w:r>
          </w:p>
        </w:tc>
        <w:tc>
          <w:tcPr>
            <w:tcW w:w="3150" w:type="dxa"/>
            <w:tcBorders>
              <w:top w:val="single" w:sz="4" w:space="0" w:color="auto"/>
              <w:left w:val="single" w:sz="4" w:space="0" w:color="auto"/>
              <w:bottom w:val="single" w:sz="4" w:space="0" w:color="auto"/>
              <w:right w:val="single" w:sz="4" w:space="0" w:color="auto"/>
            </w:tcBorders>
            <w:hideMark/>
          </w:tcPr>
          <w:p w14:paraId="550D73FC" w14:textId="77777777" w:rsidR="00056EFC" w:rsidRPr="00056EFC" w:rsidRDefault="00056EFC" w:rsidP="00AE1291">
            <w:pPr>
              <w:spacing w:after="0"/>
            </w:pPr>
            <w:r w:rsidRPr="00056EFC">
              <w:t>May-June 2017</w:t>
            </w:r>
          </w:p>
        </w:tc>
      </w:tr>
      <w:tr w:rsidR="00056EFC" w:rsidRPr="00056EFC" w14:paraId="50CC3512" w14:textId="77777777" w:rsidTr="00402F91">
        <w:trPr>
          <w:jc w:val="center"/>
        </w:trPr>
        <w:tc>
          <w:tcPr>
            <w:tcW w:w="5863" w:type="dxa"/>
            <w:tcBorders>
              <w:top w:val="single" w:sz="4" w:space="0" w:color="auto"/>
              <w:left w:val="single" w:sz="4" w:space="0" w:color="auto"/>
              <w:bottom w:val="single" w:sz="4" w:space="0" w:color="auto"/>
              <w:right w:val="single" w:sz="4" w:space="0" w:color="auto"/>
            </w:tcBorders>
            <w:hideMark/>
          </w:tcPr>
          <w:p w14:paraId="021ABD74" w14:textId="72369C3A" w:rsidR="00056EFC" w:rsidRPr="00056EFC" w:rsidRDefault="00056EFC" w:rsidP="00AE1291">
            <w:pPr>
              <w:spacing w:after="0"/>
            </w:pPr>
            <w:r w:rsidRPr="00056EFC">
              <w:t>Data analysis</w:t>
            </w:r>
          </w:p>
        </w:tc>
        <w:tc>
          <w:tcPr>
            <w:tcW w:w="3150" w:type="dxa"/>
            <w:tcBorders>
              <w:top w:val="single" w:sz="4" w:space="0" w:color="auto"/>
              <w:left w:val="single" w:sz="4" w:space="0" w:color="auto"/>
              <w:bottom w:val="single" w:sz="4" w:space="0" w:color="auto"/>
              <w:right w:val="single" w:sz="4" w:space="0" w:color="auto"/>
            </w:tcBorders>
            <w:hideMark/>
          </w:tcPr>
          <w:p w14:paraId="56E2AB23" w14:textId="77777777" w:rsidR="00056EFC" w:rsidRPr="00056EFC" w:rsidRDefault="00056EFC" w:rsidP="00AE1291">
            <w:pPr>
              <w:spacing w:after="0"/>
            </w:pPr>
            <w:r w:rsidRPr="00056EFC">
              <w:t>June-July 2017</w:t>
            </w:r>
          </w:p>
        </w:tc>
      </w:tr>
      <w:tr w:rsidR="00056EFC" w:rsidRPr="00056EFC" w14:paraId="428FFC84" w14:textId="77777777" w:rsidTr="00402F91">
        <w:trPr>
          <w:jc w:val="center"/>
        </w:trPr>
        <w:tc>
          <w:tcPr>
            <w:tcW w:w="5863" w:type="dxa"/>
            <w:tcBorders>
              <w:top w:val="single" w:sz="4" w:space="0" w:color="auto"/>
              <w:left w:val="single" w:sz="4" w:space="0" w:color="auto"/>
              <w:bottom w:val="single" w:sz="4" w:space="0" w:color="auto"/>
              <w:right w:val="single" w:sz="4" w:space="0" w:color="auto"/>
            </w:tcBorders>
            <w:hideMark/>
          </w:tcPr>
          <w:p w14:paraId="451CC583" w14:textId="602B8E52" w:rsidR="00056EFC" w:rsidRPr="00056EFC" w:rsidRDefault="00056EFC" w:rsidP="00AE1291">
            <w:pPr>
              <w:spacing w:after="0"/>
            </w:pPr>
            <w:r>
              <w:t>Interim Report p</w:t>
            </w:r>
            <w:r w:rsidRPr="00056EFC">
              <w:t>reparation</w:t>
            </w:r>
          </w:p>
        </w:tc>
        <w:tc>
          <w:tcPr>
            <w:tcW w:w="3150" w:type="dxa"/>
            <w:tcBorders>
              <w:top w:val="single" w:sz="4" w:space="0" w:color="auto"/>
              <w:left w:val="single" w:sz="4" w:space="0" w:color="auto"/>
              <w:bottom w:val="single" w:sz="4" w:space="0" w:color="auto"/>
              <w:right w:val="single" w:sz="4" w:space="0" w:color="auto"/>
            </w:tcBorders>
            <w:hideMark/>
          </w:tcPr>
          <w:p w14:paraId="7BD2017C" w14:textId="77777777" w:rsidR="00056EFC" w:rsidRPr="00056EFC" w:rsidRDefault="00056EFC" w:rsidP="00AE1291">
            <w:pPr>
              <w:spacing w:after="0"/>
            </w:pPr>
            <w:r w:rsidRPr="00056EFC">
              <w:t>August-September 2017</w:t>
            </w:r>
          </w:p>
        </w:tc>
      </w:tr>
      <w:tr w:rsidR="007130E0" w:rsidRPr="00056EFC" w14:paraId="723456B4" w14:textId="77777777" w:rsidTr="00402F91">
        <w:trPr>
          <w:jc w:val="center"/>
        </w:trPr>
        <w:tc>
          <w:tcPr>
            <w:tcW w:w="5863" w:type="dxa"/>
            <w:tcBorders>
              <w:top w:val="single" w:sz="4" w:space="0" w:color="auto"/>
              <w:left w:val="single" w:sz="4" w:space="0" w:color="auto"/>
              <w:bottom w:val="single" w:sz="4" w:space="0" w:color="auto"/>
              <w:right w:val="single" w:sz="4" w:space="0" w:color="auto"/>
            </w:tcBorders>
          </w:tcPr>
          <w:p w14:paraId="2094B909" w14:textId="1C08E54B" w:rsidR="007130E0" w:rsidRDefault="007130E0" w:rsidP="00AE1291">
            <w:pPr>
              <w:spacing w:after="0"/>
            </w:pPr>
            <w:r>
              <w:t>Dissemination</w:t>
            </w:r>
          </w:p>
        </w:tc>
        <w:tc>
          <w:tcPr>
            <w:tcW w:w="3150" w:type="dxa"/>
            <w:tcBorders>
              <w:top w:val="single" w:sz="4" w:space="0" w:color="auto"/>
              <w:left w:val="single" w:sz="4" w:space="0" w:color="auto"/>
              <w:bottom w:val="single" w:sz="4" w:space="0" w:color="auto"/>
              <w:right w:val="single" w:sz="4" w:space="0" w:color="auto"/>
            </w:tcBorders>
          </w:tcPr>
          <w:p w14:paraId="048B61D2" w14:textId="6E187618" w:rsidR="007130E0" w:rsidRPr="00056EFC" w:rsidRDefault="007130E0" w:rsidP="00AE1291">
            <w:pPr>
              <w:spacing w:after="0"/>
            </w:pPr>
            <w:r>
              <w:t>October 2017</w:t>
            </w:r>
          </w:p>
        </w:tc>
      </w:tr>
      <w:tr w:rsidR="007130E0" w:rsidRPr="00056EFC" w14:paraId="06D5E2A2" w14:textId="77777777" w:rsidTr="00402F91">
        <w:trPr>
          <w:trHeight w:val="296"/>
          <w:jc w:val="center"/>
        </w:trPr>
        <w:tc>
          <w:tcPr>
            <w:tcW w:w="5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D72135" w14:textId="77777777" w:rsidR="007130E0" w:rsidRPr="00056EFC" w:rsidRDefault="007130E0" w:rsidP="00AE1291">
            <w:pPr>
              <w:spacing w:after="0"/>
              <w:rPr>
                <w:b/>
              </w:rPr>
            </w:pPr>
            <w:r w:rsidRPr="00056EFC">
              <w:rPr>
                <w:b/>
              </w:rPr>
              <w:t xml:space="preserve">Year 3 Survey </w:t>
            </w:r>
          </w:p>
        </w:tc>
        <w:tc>
          <w:tcPr>
            <w:tcW w:w="3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1AC25" w14:textId="77777777" w:rsidR="007130E0" w:rsidRPr="00056EFC" w:rsidRDefault="007130E0" w:rsidP="00AE1291">
            <w:pPr>
              <w:spacing w:after="0"/>
            </w:pPr>
          </w:p>
        </w:tc>
      </w:tr>
      <w:tr w:rsidR="007130E0" w:rsidRPr="00056EFC" w14:paraId="5A1085A8" w14:textId="77777777" w:rsidTr="00402F91">
        <w:trPr>
          <w:trHeight w:val="206"/>
          <w:jc w:val="center"/>
        </w:trPr>
        <w:tc>
          <w:tcPr>
            <w:tcW w:w="5863" w:type="dxa"/>
            <w:tcBorders>
              <w:top w:val="single" w:sz="4" w:space="0" w:color="auto"/>
              <w:left w:val="single" w:sz="4" w:space="0" w:color="auto"/>
              <w:bottom w:val="single" w:sz="4" w:space="0" w:color="auto"/>
              <w:right w:val="single" w:sz="4" w:space="0" w:color="auto"/>
            </w:tcBorders>
            <w:hideMark/>
          </w:tcPr>
          <w:p w14:paraId="56641680" w14:textId="77777777" w:rsidR="007130E0" w:rsidRPr="00056EFC" w:rsidRDefault="007130E0" w:rsidP="00AE1291">
            <w:pPr>
              <w:spacing w:after="0"/>
            </w:pPr>
            <w:r w:rsidRPr="00056EFC">
              <w:t>Data collection</w:t>
            </w:r>
          </w:p>
        </w:tc>
        <w:tc>
          <w:tcPr>
            <w:tcW w:w="3150" w:type="dxa"/>
            <w:tcBorders>
              <w:top w:val="single" w:sz="4" w:space="0" w:color="auto"/>
              <w:left w:val="single" w:sz="4" w:space="0" w:color="auto"/>
              <w:bottom w:val="single" w:sz="4" w:space="0" w:color="auto"/>
              <w:right w:val="single" w:sz="4" w:space="0" w:color="auto"/>
            </w:tcBorders>
            <w:hideMark/>
          </w:tcPr>
          <w:p w14:paraId="58C00870" w14:textId="77777777" w:rsidR="007130E0" w:rsidRPr="00056EFC" w:rsidRDefault="007130E0" w:rsidP="00AE1291">
            <w:pPr>
              <w:spacing w:after="0"/>
            </w:pPr>
            <w:r w:rsidRPr="00056EFC">
              <w:t>May-June 2018</w:t>
            </w:r>
          </w:p>
        </w:tc>
      </w:tr>
      <w:tr w:rsidR="007130E0" w:rsidRPr="00056EFC" w14:paraId="2F9E0B0F" w14:textId="77777777" w:rsidTr="00402F91">
        <w:trPr>
          <w:jc w:val="center"/>
        </w:trPr>
        <w:tc>
          <w:tcPr>
            <w:tcW w:w="5863" w:type="dxa"/>
            <w:tcBorders>
              <w:top w:val="single" w:sz="4" w:space="0" w:color="auto"/>
              <w:left w:val="single" w:sz="4" w:space="0" w:color="auto"/>
              <w:bottom w:val="single" w:sz="4" w:space="0" w:color="auto"/>
              <w:right w:val="single" w:sz="4" w:space="0" w:color="auto"/>
            </w:tcBorders>
            <w:hideMark/>
          </w:tcPr>
          <w:p w14:paraId="46E4571F" w14:textId="34144EBD" w:rsidR="007130E0" w:rsidRPr="00056EFC" w:rsidRDefault="007130E0" w:rsidP="00AE1291">
            <w:pPr>
              <w:spacing w:after="0"/>
            </w:pPr>
            <w:r w:rsidRPr="00056EFC">
              <w:t>Data analysis</w:t>
            </w:r>
          </w:p>
        </w:tc>
        <w:tc>
          <w:tcPr>
            <w:tcW w:w="3150" w:type="dxa"/>
            <w:tcBorders>
              <w:top w:val="single" w:sz="4" w:space="0" w:color="auto"/>
              <w:left w:val="single" w:sz="4" w:space="0" w:color="auto"/>
              <w:bottom w:val="single" w:sz="4" w:space="0" w:color="auto"/>
              <w:right w:val="single" w:sz="4" w:space="0" w:color="auto"/>
            </w:tcBorders>
            <w:hideMark/>
          </w:tcPr>
          <w:p w14:paraId="40EF18FA" w14:textId="77777777" w:rsidR="007130E0" w:rsidRPr="00056EFC" w:rsidRDefault="007130E0" w:rsidP="00AE1291">
            <w:pPr>
              <w:spacing w:after="0"/>
            </w:pPr>
            <w:r w:rsidRPr="00056EFC">
              <w:t>June-July 2018</w:t>
            </w:r>
          </w:p>
        </w:tc>
      </w:tr>
      <w:tr w:rsidR="007130E0" w:rsidRPr="00056EFC" w14:paraId="33DC7564" w14:textId="77777777" w:rsidTr="00402F91">
        <w:trPr>
          <w:jc w:val="center"/>
        </w:trPr>
        <w:tc>
          <w:tcPr>
            <w:tcW w:w="5863" w:type="dxa"/>
            <w:tcBorders>
              <w:top w:val="single" w:sz="4" w:space="0" w:color="auto"/>
              <w:left w:val="single" w:sz="4" w:space="0" w:color="auto"/>
              <w:bottom w:val="single" w:sz="4" w:space="0" w:color="auto"/>
              <w:right w:val="single" w:sz="4" w:space="0" w:color="auto"/>
            </w:tcBorders>
            <w:hideMark/>
          </w:tcPr>
          <w:p w14:paraId="5D1B08ED" w14:textId="4C2A9405" w:rsidR="007130E0" w:rsidRPr="00056EFC" w:rsidRDefault="007130E0" w:rsidP="00AE1291">
            <w:pPr>
              <w:spacing w:after="0"/>
            </w:pPr>
            <w:r w:rsidRPr="00056EFC">
              <w:t xml:space="preserve">Interim Report </w:t>
            </w:r>
            <w:r>
              <w:t>p</w:t>
            </w:r>
            <w:r w:rsidRPr="00056EFC">
              <w:t>reparation</w:t>
            </w:r>
          </w:p>
        </w:tc>
        <w:tc>
          <w:tcPr>
            <w:tcW w:w="3150" w:type="dxa"/>
            <w:tcBorders>
              <w:top w:val="single" w:sz="4" w:space="0" w:color="auto"/>
              <w:left w:val="single" w:sz="4" w:space="0" w:color="auto"/>
              <w:bottom w:val="single" w:sz="4" w:space="0" w:color="auto"/>
              <w:right w:val="single" w:sz="4" w:space="0" w:color="auto"/>
            </w:tcBorders>
            <w:hideMark/>
          </w:tcPr>
          <w:p w14:paraId="71325B10" w14:textId="77777777" w:rsidR="007130E0" w:rsidRPr="00056EFC" w:rsidRDefault="007130E0" w:rsidP="00AE1291">
            <w:pPr>
              <w:spacing w:after="0"/>
            </w:pPr>
            <w:r w:rsidRPr="00056EFC">
              <w:t>August-September 2018</w:t>
            </w:r>
          </w:p>
        </w:tc>
      </w:tr>
      <w:tr w:rsidR="007130E0" w:rsidRPr="00056EFC" w14:paraId="3E531317" w14:textId="77777777" w:rsidTr="00402F91">
        <w:trPr>
          <w:jc w:val="center"/>
        </w:trPr>
        <w:tc>
          <w:tcPr>
            <w:tcW w:w="5863" w:type="dxa"/>
            <w:tcBorders>
              <w:top w:val="single" w:sz="4" w:space="0" w:color="auto"/>
              <w:left w:val="single" w:sz="4" w:space="0" w:color="auto"/>
              <w:bottom w:val="single" w:sz="4" w:space="0" w:color="auto"/>
              <w:right w:val="single" w:sz="4" w:space="0" w:color="auto"/>
            </w:tcBorders>
          </w:tcPr>
          <w:p w14:paraId="51102BBD" w14:textId="7E9D4FF5" w:rsidR="007130E0" w:rsidRPr="00056EFC" w:rsidRDefault="007130E0" w:rsidP="00AE1291">
            <w:pPr>
              <w:spacing w:after="0"/>
            </w:pPr>
            <w:r>
              <w:t>Dissemination</w:t>
            </w:r>
          </w:p>
        </w:tc>
        <w:tc>
          <w:tcPr>
            <w:tcW w:w="3150" w:type="dxa"/>
            <w:tcBorders>
              <w:top w:val="single" w:sz="4" w:space="0" w:color="auto"/>
              <w:left w:val="single" w:sz="4" w:space="0" w:color="auto"/>
              <w:bottom w:val="single" w:sz="4" w:space="0" w:color="auto"/>
              <w:right w:val="single" w:sz="4" w:space="0" w:color="auto"/>
            </w:tcBorders>
          </w:tcPr>
          <w:p w14:paraId="746ABFF5" w14:textId="3ABA9743" w:rsidR="007130E0" w:rsidRPr="00056EFC" w:rsidRDefault="007130E0" w:rsidP="00AE1291">
            <w:pPr>
              <w:spacing w:after="0"/>
            </w:pPr>
            <w:r>
              <w:t>October 2018</w:t>
            </w:r>
          </w:p>
        </w:tc>
      </w:tr>
    </w:tbl>
    <w:p w14:paraId="45EA3FAA" w14:textId="0A1D7145" w:rsidR="00EE5FE1" w:rsidRPr="009074DF" w:rsidRDefault="00EE5FE1" w:rsidP="00EE5FE1">
      <w:pPr>
        <w:pStyle w:val="Heading3"/>
      </w:pPr>
      <w:bookmarkStart w:id="20" w:name="_Toc436979520"/>
      <w:r w:rsidRPr="009074DF">
        <w:lastRenderedPageBreak/>
        <w:t>A.16.2.</w:t>
      </w:r>
      <w:r>
        <w:t xml:space="preserve"> </w:t>
      </w:r>
      <w:r w:rsidRPr="009074DF">
        <w:t>Analysis Plan</w:t>
      </w:r>
      <w:bookmarkEnd w:id="20"/>
    </w:p>
    <w:p w14:paraId="4699291C" w14:textId="0F2DF1B2" w:rsidR="00EE5FE1" w:rsidRPr="00286B87" w:rsidRDefault="00EE5FE1" w:rsidP="00EE5FE1">
      <w:pPr>
        <w:spacing w:after="240"/>
      </w:pPr>
      <w:r w:rsidRPr="00286B87">
        <w:t xml:space="preserve">The analysis plan for the </w:t>
      </w:r>
      <w:r w:rsidR="003B3F73">
        <w:t xml:space="preserve">SIF </w:t>
      </w:r>
      <w:r w:rsidRPr="00286B87">
        <w:t xml:space="preserve">PFS </w:t>
      </w:r>
      <w:r w:rsidR="00BA4D7B">
        <w:t>p</w:t>
      </w:r>
      <w:r w:rsidRPr="00286B87">
        <w:t xml:space="preserve">rogram survey data is based on the research questions listed in Section A.2.1. </w:t>
      </w:r>
      <w:r w:rsidR="00EC27FD">
        <w:t>As stated earlier, the PFS field is new and</w:t>
      </w:r>
      <w:r w:rsidR="00F60885">
        <w:t xml:space="preserve"> the current evidence base on th</w:t>
      </w:r>
      <w:r w:rsidR="00EC27FD">
        <w:t xml:space="preserve">ese </w:t>
      </w:r>
      <w:r w:rsidR="00F60885">
        <w:t>programs is limited</w:t>
      </w:r>
      <w:r w:rsidR="00EC27FD">
        <w:t xml:space="preserve">. Our analyses will provide the actionable information that is needed by CNCS, and the PFS field overall, to </w:t>
      </w:r>
      <w:r w:rsidR="00A06ECF">
        <w:t xml:space="preserve">understand and </w:t>
      </w:r>
      <w:r w:rsidR="00EC27FD">
        <w:t xml:space="preserve">improve implementation </w:t>
      </w:r>
      <w:r w:rsidR="00A06ECF">
        <w:t xml:space="preserve">of the PFS model </w:t>
      </w:r>
      <w:r w:rsidR="00EC27FD">
        <w:t xml:space="preserve">in future grant programs. </w:t>
      </w:r>
    </w:p>
    <w:p w14:paraId="0B33A319" w14:textId="0023F4B8" w:rsidR="003B3F73" w:rsidRPr="00286B87" w:rsidRDefault="00EE5FE1" w:rsidP="00007F24">
      <w:pPr>
        <w:spacing w:after="240"/>
      </w:pPr>
      <w:r w:rsidRPr="00286B87">
        <w:t xml:space="preserve">The data collected from the grantee and </w:t>
      </w:r>
      <w:r w:rsidR="00BA4D7B">
        <w:t>service r</w:t>
      </w:r>
      <w:r w:rsidR="003B6D11">
        <w:t>ecipient</w:t>
      </w:r>
      <w:r w:rsidRPr="00286B87">
        <w:t>/</w:t>
      </w:r>
      <w:proofErr w:type="spellStart"/>
      <w:r w:rsidRPr="00286B87">
        <w:t>subrecipient</w:t>
      </w:r>
      <w:proofErr w:type="spellEnd"/>
      <w:r w:rsidRPr="00286B87">
        <w:t xml:space="preserve"> surveys will be descriptively analyzed in order to document the experiences of </w:t>
      </w:r>
      <w:r w:rsidR="00AB587B">
        <w:t xml:space="preserve">SIF </w:t>
      </w:r>
      <w:r w:rsidRPr="00286B87">
        <w:t xml:space="preserve">PFS </w:t>
      </w:r>
      <w:r w:rsidR="00BA4D7B">
        <w:t>p</w:t>
      </w:r>
      <w:r w:rsidR="00AB587B">
        <w:t xml:space="preserve">rogram </w:t>
      </w:r>
      <w:r w:rsidRPr="00286B87">
        <w:t xml:space="preserve">grantees and </w:t>
      </w:r>
      <w:proofErr w:type="spellStart"/>
      <w:r w:rsidRPr="00286B87">
        <w:t>subrecipients</w:t>
      </w:r>
      <w:proofErr w:type="spellEnd"/>
      <w:r w:rsidRPr="00286B87">
        <w:t>/</w:t>
      </w:r>
      <w:r w:rsidR="00BA4D7B">
        <w:t>service r</w:t>
      </w:r>
      <w:r w:rsidR="003B6D11">
        <w:t>ecipient</w:t>
      </w:r>
      <w:r w:rsidRPr="00286B87">
        <w:t xml:space="preserve">s. This analysis will compare and synthesize results across </w:t>
      </w:r>
      <w:r w:rsidR="00425B54">
        <w:t>each</w:t>
      </w:r>
      <w:r w:rsidRPr="00286B87">
        <w:t xml:space="preserve"> group of </w:t>
      </w:r>
      <w:r>
        <w:t>respondents</w:t>
      </w:r>
      <w:r w:rsidRPr="00286B87">
        <w:t xml:space="preserve"> to form descriptions of “typical” or “composite </w:t>
      </w:r>
      <w:r w:rsidR="00E33B56">
        <w:t>profiles</w:t>
      </w:r>
      <w:r w:rsidRPr="00286B87">
        <w:t xml:space="preserve">” of experiences </w:t>
      </w:r>
      <w:r w:rsidR="00425B54">
        <w:t xml:space="preserve">of grantees and </w:t>
      </w:r>
      <w:proofErr w:type="spellStart"/>
      <w:r w:rsidR="00425B54">
        <w:t>subrecipients</w:t>
      </w:r>
      <w:proofErr w:type="spellEnd"/>
      <w:r w:rsidR="00425B54">
        <w:t>/</w:t>
      </w:r>
      <w:r w:rsidR="00BA4D7B">
        <w:t>service r</w:t>
      </w:r>
      <w:r w:rsidR="003B6D11">
        <w:t>ecipient</w:t>
      </w:r>
      <w:r w:rsidR="00425B54">
        <w:t xml:space="preserve">s </w:t>
      </w:r>
      <w:r w:rsidRPr="00286B87">
        <w:t xml:space="preserve">throughout the </w:t>
      </w:r>
      <w:r w:rsidR="00AB587B">
        <w:t xml:space="preserve">exploration and implementation of </w:t>
      </w:r>
      <w:r w:rsidRPr="00286B87">
        <w:t>PFS pro</w:t>
      </w:r>
      <w:r w:rsidR="00AB587B">
        <w:t>jects</w:t>
      </w:r>
      <w:r w:rsidRPr="00286B87">
        <w:t>. Specifically, these analyses will examine implementation activities in relation to the key research topics of building interest in PFS models, supporting readiness assessment efforts</w:t>
      </w:r>
      <w:r w:rsidR="00381943">
        <w:t>,</w:t>
      </w:r>
      <w:r w:rsidRPr="00286B87">
        <w:t xml:space="preserve"> and designing PFS partnerships and projects. In subsequent years of the survey</w:t>
      </w:r>
      <w:r w:rsidR="00AB587B">
        <w:t>s</w:t>
      </w:r>
      <w:r w:rsidRPr="00286B87">
        <w:t>, the longitudinal aspect of survey</w:t>
      </w:r>
      <w:r w:rsidR="00AB587B">
        <w:t>s</w:t>
      </w:r>
      <w:r w:rsidRPr="00286B87">
        <w:t xml:space="preserve"> will be utilized to gain a better understanding of the key elements and timelines common to a successful PFS project.</w:t>
      </w:r>
      <w:r w:rsidR="00EC27FD">
        <w:t xml:space="preserve">  </w:t>
      </w:r>
    </w:p>
    <w:p w14:paraId="1113EBB0" w14:textId="5A956085" w:rsidR="00EE5FE1" w:rsidRDefault="00EE5FE1" w:rsidP="00EE5FE1">
      <w:pPr>
        <w:autoSpaceDE w:val="0"/>
        <w:autoSpaceDN w:val="0"/>
        <w:adjustRightInd w:val="0"/>
        <w:spacing w:after="0"/>
        <w:rPr>
          <w:rFonts w:eastAsiaTheme="minorHAnsi"/>
          <w:i/>
          <w:iCs/>
          <w:lang w:bidi="he-IL"/>
        </w:rPr>
      </w:pPr>
      <w:r w:rsidRPr="00286B87">
        <w:rPr>
          <w:rFonts w:eastAsiaTheme="minorHAnsi"/>
          <w:i/>
          <w:iCs/>
          <w:lang w:bidi="he-IL"/>
        </w:rPr>
        <w:t>Data Cleaning</w:t>
      </w:r>
      <w:r>
        <w:rPr>
          <w:rFonts w:eastAsiaTheme="minorHAnsi"/>
          <w:i/>
          <w:iCs/>
          <w:lang w:bidi="he-IL"/>
        </w:rPr>
        <w:t xml:space="preserve"> and Analysis Plan</w:t>
      </w:r>
    </w:p>
    <w:p w14:paraId="4445702A" w14:textId="2FA4B977" w:rsidR="00EE5FE1" w:rsidRPr="00286B87" w:rsidRDefault="00EE5FE1" w:rsidP="00EE5FE1">
      <w:pPr>
        <w:pStyle w:val="ListParagraph"/>
        <w:numPr>
          <w:ilvl w:val="0"/>
          <w:numId w:val="40"/>
        </w:numPr>
        <w:autoSpaceDE w:val="0"/>
        <w:autoSpaceDN w:val="0"/>
        <w:adjustRightInd w:val="0"/>
        <w:spacing w:after="0"/>
        <w:rPr>
          <w:rFonts w:eastAsiaTheme="minorHAnsi"/>
        </w:rPr>
      </w:pPr>
      <w:r w:rsidRPr="00286B87">
        <w:rPr>
          <w:rFonts w:eastAsiaTheme="minorHAnsi"/>
          <w:b/>
        </w:rPr>
        <w:t>Data set up and cleaning</w:t>
      </w:r>
      <w:r w:rsidRPr="00286B87">
        <w:rPr>
          <w:rFonts w:eastAsiaTheme="minorHAnsi"/>
        </w:rPr>
        <w:t>. Once the survey</w:t>
      </w:r>
      <w:r w:rsidR="00AB587B">
        <w:rPr>
          <w:rFonts w:eastAsiaTheme="minorHAnsi"/>
        </w:rPr>
        <w:t xml:space="preserve"> administration</w:t>
      </w:r>
      <w:r w:rsidRPr="00286B87">
        <w:rPr>
          <w:rFonts w:eastAsiaTheme="minorHAnsi"/>
        </w:rPr>
        <w:t xml:space="preserve"> period has closed, the data will be downloaded from </w:t>
      </w:r>
      <w:proofErr w:type="spellStart"/>
      <w:r w:rsidRPr="00286B87">
        <w:rPr>
          <w:rFonts w:eastAsiaTheme="minorHAnsi"/>
        </w:rPr>
        <w:t>FluidSurveys</w:t>
      </w:r>
      <w:proofErr w:type="spellEnd"/>
      <w:r w:rsidRPr="00286B87">
        <w:rPr>
          <w:rFonts w:eastAsiaTheme="minorHAnsi"/>
        </w:rPr>
        <w:t>’ secure website and cleaned, applying any post</w:t>
      </w:r>
      <w:r w:rsidR="000B788A">
        <w:rPr>
          <w:rFonts w:eastAsiaTheme="minorHAnsi"/>
        </w:rPr>
        <w:t xml:space="preserve"> </w:t>
      </w:r>
      <w:r w:rsidRPr="00286B87">
        <w:rPr>
          <w:rFonts w:eastAsiaTheme="minorHAnsi"/>
        </w:rPr>
        <w:t xml:space="preserve">coding as needed for the analysis. Data files will be produced </w:t>
      </w:r>
      <w:r w:rsidR="001B2B6F" w:rsidRPr="00286B87">
        <w:rPr>
          <w:rFonts w:eastAsiaTheme="minorHAnsi"/>
        </w:rPr>
        <w:t>in</w:t>
      </w:r>
      <w:r w:rsidR="001B2B6F">
        <w:rPr>
          <w:rFonts w:eastAsiaTheme="minorHAnsi"/>
        </w:rPr>
        <w:t xml:space="preserve"> a single </w:t>
      </w:r>
      <w:r w:rsidRPr="00286B87">
        <w:rPr>
          <w:rFonts w:eastAsiaTheme="minorHAnsi"/>
        </w:rPr>
        <w:t xml:space="preserve">restricted </w:t>
      </w:r>
      <w:r w:rsidR="001B2B6F">
        <w:rPr>
          <w:rFonts w:eastAsiaTheme="minorHAnsi"/>
        </w:rPr>
        <w:t>data set</w:t>
      </w:r>
      <w:r w:rsidRPr="00286B87">
        <w:rPr>
          <w:rFonts w:eastAsiaTheme="minorHAnsi"/>
        </w:rPr>
        <w:t xml:space="preserve">. </w:t>
      </w:r>
    </w:p>
    <w:p w14:paraId="36ECE20F" w14:textId="77777777" w:rsidR="00EE5FE1" w:rsidRPr="00286B87" w:rsidRDefault="00EE5FE1" w:rsidP="00EE5FE1">
      <w:pPr>
        <w:pStyle w:val="ListParagraph"/>
        <w:autoSpaceDE w:val="0"/>
        <w:autoSpaceDN w:val="0"/>
        <w:adjustRightInd w:val="0"/>
        <w:spacing w:after="0"/>
        <w:rPr>
          <w:rFonts w:eastAsiaTheme="minorHAnsi"/>
        </w:rPr>
      </w:pPr>
    </w:p>
    <w:p w14:paraId="4F57E196" w14:textId="256C09C0" w:rsidR="00EE5FE1" w:rsidRDefault="00EE5FE1" w:rsidP="00EE5FE1">
      <w:pPr>
        <w:pStyle w:val="ListParagraph"/>
        <w:numPr>
          <w:ilvl w:val="0"/>
          <w:numId w:val="40"/>
        </w:numPr>
        <w:autoSpaceDE w:val="0"/>
        <w:autoSpaceDN w:val="0"/>
        <w:adjustRightInd w:val="0"/>
        <w:spacing w:after="0"/>
        <w:rPr>
          <w:rFonts w:eastAsiaTheme="minorHAnsi"/>
        </w:rPr>
      </w:pPr>
      <w:r w:rsidRPr="00AB587B">
        <w:rPr>
          <w:rFonts w:eastAsiaTheme="minorHAnsi"/>
          <w:b/>
        </w:rPr>
        <w:t>Response rates and nonresponse bias analysis.</w:t>
      </w:r>
      <w:r w:rsidRPr="00AB587B">
        <w:rPr>
          <w:rFonts w:eastAsiaTheme="minorHAnsi"/>
        </w:rPr>
        <w:t xml:space="preserve"> The data analysis will </w:t>
      </w:r>
      <w:r w:rsidR="00381943" w:rsidRPr="00AB587B">
        <w:rPr>
          <w:rFonts w:eastAsiaTheme="minorHAnsi"/>
        </w:rPr>
        <w:t xml:space="preserve">include the </w:t>
      </w:r>
      <w:r w:rsidRPr="00AB587B">
        <w:rPr>
          <w:rFonts w:eastAsiaTheme="minorHAnsi"/>
        </w:rPr>
        <w:t>calculat</w:t>
      </w:r>
      <w:r w:rsidR="00381943" w:rsidRPr="00AB587B">
        <w:rPr>
          <w:rFonts w:eastAsiaTheme="minorHAnsi"/>
        </w:rPr>
        <w:t>ion of</w:t>
      </w:r>
      <w:r w:rsidRPr="00AB587B">
        <w:rPr>
          <w:rFonts w:eastAsiaTheme="minorHAnsi"/>
        </w:rPr>
        <w:t xml:space="preserve"> response rates (per OMB’s Standards and Guidelines for Statistical Surveys) for the overall sample and for all relevant subgroups to identify any limits of the study’s representativeness to </w:t>
      </w:r>
      <w:r w:rsidR="00065A77">
        <w:rPr>
          <w:rFonts w:eastAsiaTheme="minorHAnsi"/>
        </w:rPr>
        <w:t xml:space="preserve">SIF </w:t>
      </w:r>
      <w:r w:rsidRPr="00AB587B">
        <w:rPr>
          <w:rFonts w:eastAsiaTheme="minorHAnsi"/>
        </w:rPr>
        <w:t xml:space="preserve">PFS </w:t>
      </w:r>
      <w:r w:rsidR="00BA4D7B">
        <w:rPr>
          <w:rFonts w:eastAsiaTheme="minorHAnsi"/>
        </w:rPr>
        <w:t>p</w:t>
      </w:r>
      <w:r w:rsidRPr="00AB587B">
        <w:rPr>
          <w:rFonts w:eastAsiaTheme="minorHAnsi"/>
        </w:rPr>
        <w:t xml:space="preserve">rogram grantees and </w:t>
      </w:r>
      <w:proofErr w:type="spellStart"/>
      <w:r w:rsidRPr="00AB587B">
        <w:rPr>
          <w:rFonts w:eastAsiaTheme="minorHAnsi"/>
        </w:rPr>
        <w:t>subrecipients</w:t>
      </w:r>
      <w:proofErr w:type="spellEnd"/>
      <w:r w:rsidRPr="00AB587B">
        <w:rPr>
          <w:rFonts w:eastAsiaTheme="minorHAnsi"/>
        </w:rPr>
        <w:t>/</w:t>
      </w:r>
      <w:r w:rsidR="00BA4D7B">
        <w:rPr>
          <w:rFonts w:eastAsiaTheme="minorHAnsi"/>
        </w:rPr>
        <w:t>s</w:t>
      </w:r>
      <w:r w:rsidR="003B6D11">
        <w:rPr>
          <w:rFonts w:eastAsiaTheme="minorHAnsi"/>
        </w:rPr>
        <w:t xml:space="preserve">ervice </w:t>
      </w:r>
      <w:r w:rsidR="00BA4D7B">
        <w:rPr>
          <w:rFonts w:eastAsiaTheme="minorHAnsi"/>
        </w:rPr>
        <w:t>r</w:t>
      </w:r>
      <w:r w:rsidR="003B6D11">
        <w:rPr>
          <w:rFonts w:eastAsiaTheme="minorHAnsi"/>
        </w:rPr>
        <w:t>ecipient</w:t>
      </w:r>
      <w:r w:rsidRPr="00AB587B">
        <w:rPr>
          <w:rFonts w:eastAsiaTheme="minorHAnsi"/>
        </w:rPr>
        <w:t xml:space="preserve">s. If the response rate is below 80 percent, a nonresponse and response bias analysis for individual survey items will be conducted. </w:t>
      </w:r>
      <w:r w:rsidR="00AB587B" w:rsidRPr="00AB587B">
        <w:rPr>
          <w:rFonts w:eastAsiaTheme="minorHAnsi"/>
        </w:rPr>
        <w:t xml:space="preserve"> </w:t>
      </w:r>
    </w:p>
    <w:p w14:paraId="36E20F17" w14:textId="77777777" w:rsidR="00AB587B" w:rsidRPr="00AB587B" w:rsidRDefault="00AB587B" w:rsidP="00AB587B">
      <w:pPr>
        <w:pStyle w:val="ListParagraph"/>
        <w:rPr>
          <w:rFonts w:eastAsiaTheme="minorHAnsi"/>
        </w:rPr>
      </w:pPr>
    </w:p>
    <w:p w14:paraId="7976202A" w14:textId="77777777" w:rsidR="00EE5FE1" w:rsidRPr="00286B87" w:rsidRDefault="00EE5FE1" w:rsidP="00EE5FE1">
      <w:pPr>
        <w:pStyle w:val="ListParagraph"/>
        <w:widowControl w:val="0"/>
        <w:numPr>
          <w:ilvl w:val="0"/>
          <w:numId w:val="39"/>
        </w:numPr>
        <w:autoSpaceDE w:val="0"/>
        <w:autoSpaceDN w:val="0"/>
        <w:adjustRightInd w:val="0"/>
        <w:spacing w:after="240"/>
        <w:rPr>
          <w:b/>
        </w:rPr>
      </w:pPr>
      <w:r w:rsidRPr="00286B87">
        <w:rPr>
          <w:b/>
        </w:rPr>
        <w:t xml:space="preserve">Data visualization. </w:t>
      </w:r>
      <w:r w:rsidRPr="00286B87">
        <w:t>Prior to conducting any significance testing, histograms and scatterplots will be used to visually assess the distributions of the variables to be analyzed. These assessments will provide insight into possible patterns in the data as well as indicate potential outliers. Outliers will be identified on a case-by-case basis, and because they may exert an inordinate effect on group means given the small sample sizes of the grantee group, these data points may be censored or excluded as needed to ensure the accuracy of group statistics.</w:t>
      </w:r>
    </w:p>
    <w:p w14:paraId="43BCE1F2" w14:textId="77777777" w:rsidR="00EE5FE1" w:rsidRPr="00286B87" w:rsidRDefault="00EE5FE1" w:rsidP="00EE5FE1">
      <w:pPr>
        <w:pStyle w:val="ListParagraph"/>
        <w:widowControl w:val="0"/>
        <w:autoSpaceDE w:val="0"/>
        <w:autoSpaceDN w:val="0"/>
        <w:adjustRightInd w:val="0"/>
        <w:spacing w:after="240"/>
        <w:rPr>
          <w:b/>
        </w:rPr>
      </w:pPr>
    </w:p>
    <w:p w14:paraId="451B0268" w14:textId="77FDB96B" w:rsidR="00EE5FE1" w:rsidRPr="00286B87" w:rsidRDefault="00EE5FE1" w:rsidP="00EE5FE1">
      <w:pPr>
        <w:pStyle w:val="ListParagraph"/>
        <w:widowControl w:val="0"/>
        <w:numPr>
          <w:ilvl w:val="0"/>
          <w:numId w:val="39"/>
        </w:numPr>
        <w:autoSpaceDE w:val="0"/>
        <w:autoSpaceDN w:val="0"/>
        <w:adjustRightInd w:val="0"/>
        <w:spacing w:after="240"/>
      </w:pPr>
      <w:r w:rsidRPr="00EE5FE1">
        <w:rPr>
          <w:rFonts w:eastAsiaTheme="minorHAnsi"/>
          <w:b/>
        </w:rPr>
        <w:t>Analysis for reporting</w:t>
      </w:r>
      <w:r w:rsidRPr="00EE5FE1">
        <w:rPr>
          <w:rFonts w:eastAsiaTheme="minorHAnsi"/>
        </w:rPr>
        <w:t xml:space="preserve">. Basic descriptive analyses (including frequencies, percentages, means, and standard deviations) will be calculated. Response frequencies (i.e., counts and percentages) for each item and the mean, median, mode, standard deviation, and minimum and maximum values for every survey question will be calculated. </w:t>
      </w:r>
      <w:r w:rsidRPr="00286B87">
        <w:t xml:space="preserve">To the extent possible, subgroups will be compared to test for differences between groups (e.g. using t-tests </w:t>
      </w:r>
      <w:r w:rsidR="00381943">
        <w:t>or c</w:t>
      </w:r>
      <w:r w:rsidRPr="00286B87">
        <w:t xml:space="preserve">hi-squared tests). </w:t>
      </w:r>
      <w:r w:rsidR="001D3BD7">
        <w:t xml:space="preserve">Additional </w:t>
      </w:r>
      <w:r w:rsidR="00381943">
        <w:t>analyses</w:t>
      </w:r>
      <w:r w:rsidR="001D3BD7">
        <w:t xml:space="preserve"> will be determined on an as needed basis</w:t>
      </w:r>
      <w:r w:rsidR="00381943">
        <w:t xml:space="preserve">, as additional hypotheses or areas for exploration emerge over the course of the </w:t>
      </w:r>
      <w:r w:rsidR="00381943">
        <w:lastRenderedPageBreak/>
        <w:t>analysis</w:t>
      </w:r>
      <w:r w:rsidR="001D3BD7">
        <w:t>.</w:t>
      </w:r>
    </w:p>
    <w:p w14:paraId="53603B6A" w14:textId="5BBF34B5" w:rsidR="00AB587B" w:rsidRPr="00286B87" w:rsidRDefault="00AB587B" w:rsidP="00AB587B">
      <w:pPr>
        <w:spacing w:after="240"/>
      </w:pPr>
      <w:bookmarkStart w:id="21" w:name="_Toc436979521"/>
      <w:r w:rsidRPr="00AB587B">
        <w:rPr>
          <w:rFonts w:eastAsiaTheme="minorHAnsi"/>
        </w:rPr>
        <w:t>A detailed description of the plans for analysis of the survey data along with informa</w:t>
      </w:r>
      <w:r w:rsidRPr="00286B87">
        <w:t>tion on weighting due to unit or item nonresponse is presented in Part B</w:t>
      </w:r>
      <w:r>
        <w:t xml:space="preserve"> of this submission</w:t>
      </w:r>
      <w:r w:rsidRPr="00286B87">
        <w:t xml:space="preserve">. </w:t>
      </w:r>
    </w:p>
    <w:p w14:paraId="17E42EE5" w14:textId="77777777" w:rsidR="00EC1C8E" w:rsidRPr="009074DF" w:rsidRDefault="00130AB5" w:rsidP="00F87FF9">
      <w:pPr>
        <w:pStyle w:val="Heading2"/>
      </w:pPr>
      <w:r w:rsidRPr="009074DF">
        <w:t xml:space="preserve">A17. </w:t>
      </w:r>
      <w:r w:rsidR="00EC1C8E" w:rsidRPr="009074DF">
        <w:t xml:space="preserve">Display </w:t>
      </w:r>
      <w:r w:rsidR="00C14406" w:rsidRPr="009074DF">
        <w:t xml:space="preserve">of </w:t>
      </w:r>
      <w:r w:rsidR="00EC1C8E" w:rsidRPr="009074DF">
        <w:t xml:space="preserve">OMB </w:t>
      </w:r>
      <w:r w:rsidR="00C14406" w:rsidRPr="009074DF">
        <w:t>Expiration Date</w:t>
      </w:r>
      <w:bookmarkEnd w:id="21"/>
      <w:r w:rsidR="00A20297" w:rsidRPr="009074DF">
        <w:t xml:space="preserve"> </w:t>
      </w:r>
    </w:p>
    <w:p w14:paraId="27E7B799" w14:textId="5BE80075" w:rsidR="00EC1C8E" w:rsidRPr="009074DF" w:rsidRDefault="00EC1C8E" w:rsidP="00A25F26">
      <w:pPr>
        <w:spacing w:after="240"/>
      </w:pPr>
      <w:r w:rsidRPr="009074DF">
        <w:t>The OMB approval number and expiration dat</w:t>
      </w:r>
      <w:r w:rsidR="00B73A2F" w:rsidRPr="009074DF">
        <w:t>e</w:t>
      </w:r>
      <w:r w:rsidRPr="009074DF">
        <w:t xml:space="preserve"> will be displayed on the survey</w:t>
      </w:r>
      <w:r w:rsidR="003F5A56">
        <w:t>s</w:t>
      </w:r>
      <w:r w:rsidRPr="009074DF">
        <w:t xml:space="preserve"> that </w:t>
      </w:r>
      <w:r w:rsidR="003F5A56">
        <w:t xml:space="preserve">are </w:t>
      </w:r>
      <w:r w:rsidRPr="009074DF">
        <w:t>completed by participants for this study.</w:t>
      </w:r>
    </w:p>
    <w:p w14:paraId="7F7B2917" w14:textId="77777777" w:rsidR="00EC1C8E" w:rsidRPr="009074DF" w:rsidRDefault="00130AB5" w:rsidP="00F87FF9">
      <w:pPr>
        <w:pStyle w:val="Heading2"/>
      </w:pPr>
      <w:bookmarkStart w:id="22" w:name="_Toc436979522"/>
      <w:r w:rsidRPr="009074DF">
        <w:t xml:space="preserve">A18. </w:t>
      </w:r>
      <w:r w:rsidR="00EC1C8E" w:rsidRPr="009074DF">
        <w:t>Exceptions to Certification Statement</w:t>
      </w:r>
      <w:bookmarkEnd w:id="22"/>
      <w:r w:rsidR="00A20297" w:rsidRPr="009074DF">
        <w:t xml:space="preserve"> </w:t>
      </w:r>
    </w:p>
    <w:p w14:paraId="28C0F16B" w14:textId="62F95709" w:rsidR="00A162AA" w:rsidRPr="00EA72F1" w:rsidRDefault="005F2CA7" w:rsidP="00EA72F1">
      <w:pPr>
        <w:spacing w:after="240"/>
      </w:pPr>
      <w:r w:rsidRPr="009074DF">
        <w:t xml:space="preserve">CNCS </w:t>
      </w:r>
      <w:r w:rsidR="00CD6B94" w:rsidRPr="009074DF">
        <w:t>does not request an exception to the certification of this information collection.</w:t>
      </w:r>
    </w:p>
    <w:sectPr w:rsidR="00A162AA" w:rsidRPr="00EA72F1" w:rsidSect="009C1A3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172C32" w15:done="0"/>
  <w15:commentEx w15:paraId="726AF0B4" w15:done="0"/>
  <w15:commentEx w15:paraId="57E86D4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7DC85" w14:textId="77777777" w:rsidR="00A527E4" w:rsidRDefault="00A527E4" w:rsidP="00EC1C8E">
      <w:pPr>
        <w:spacing w:after="0"/>
      </w:pPr>
      <w:r>
        <w:separator/>
      </w:r>
    </w:p>
    <w:p w14:paraId="1E83A133" w14:textId="77777777" w:rsidR="00A527E4" w:rsidRDefault="00A527E4"/>
  </w:endnote>
  <w:endnote w:type="continuationSeparator" w:id="0">
    <w:p w14:paraId="3D7FE1F1" w14:textId="77777777" w:rsidR="00A527E4" w:rsidRDefault="00A527E4" w:rsidP="00EC1C8E">
      <w:pPr>
        <w:spacing w:after="0"/>
      </w:pPr>
      <w:r>
        <w:continuationSeparator/>
      </w:r>
    </w:p>
    <w:p w14:paraId="6E0BBD14" w14:textId="77777777" w:rsidR="00A527E4" w:rsidRDefault="00A52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lbany AMT">
    <w:altName w:val="Arial"/>
    <w:charset w:val="00"/>
    <w:family w:val="swiss"/>
    <w:pitch w:val="variable"/>
    <w:sig w:usb0="00002A87" w:usb1="C0000000" w:usb2="00000008" w:usb3="00000000" w:csb0="000000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4F8D8" w14:textId="77777777" w:rsidR="00A527E4" w:rsidRDefault="00A527E4" w:rsidP="00EC1C8E">
    <w:pPr>
      <w:pStyle w:val="Footer"/>
      <w:jc w:val="center"/>
    </w:pPr>
    <w:r>
      <w:fldChar w:fldCharType="begin"/>
    </w:r>
    <w:r>
      <w:instrText xml:space="preserve"> PAGE   \* MERGEFORMAT </w:instrText>
    </w:r>
    <w:r>
      <w:fldChar w:fldCharType="separate"/>
    </w:r>
    <w:r w:rsidR="009A5AF9">
      <w:rPr>
        <w:noProof/>
      </w:rPr>
      <w:t>9</w:t>
    </w:r>
    <w:r>
      <w:rPr>
        <w:noProof/>
      </w:rPr>
      <w:fldChar w:fldCharType="end"/>
    </w:r>
  </w:p>
  <w:p w14:paraId="702B62F6" w14:textId="77777777" w:rsidR="00A527E4" w:rsidRDefault="00A527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9DB0A" w14:textId="77777777" w:rsidR="00A527E4" w:rsidRDefault="00A527E4" w:rsidP="00EC1C8E">
      <w:pPr>
        <w:spacing w:after="0"/>
      </w:pPr>
      <w:r>
        <w:separator/>
      </w:r>
    </w:p>
    <w:p w14:paraId="74A4FE93" w14:textId="77777777" w:rsidR="00A527E4" w:rsidRDefault="00A527E4"/>
  </w:footnote>
  <w:footnote w:type="continuationSeparator" w:id="0">
    <w:p w14:paraId="0D5B6EB4" w14:textId="77777777" w:rsidR="00A527E4" w:rsidRDefault="00A527E4" w:rsidP="00EC1C8E">
      <w:pPr>
        <w:spacing w:after="0"/>
      </w:pPr>
      <w:r>
        <w:continuationSeparator/>
      </w:r>
    </w:p>
    <w:p w14:paraId="07B299BB" w14:textId="77777777" w:rsidR="00A527E4" w:rsidRDefault="00A527E4"/>
  </w:footnote>
  <w:footnote w:id="1">
    <w:p w14:paraId="2FB7D36A" w14:textId="60101244" w:rsidR="00A527E4" w:rsidRDefault="00A527E4" w:rsidP="00F80015">
      <w:pPr>
        <w:pStyle w:val="FootnoteText"/>
      </w:pPr>
      <w:r>
        <w:rPr>
          <w:rStyle w:val="FootnoteReference"/>
        </w:rPr>
        <w:footnoteRef/>
      </w:r>
      <w:r>
        <w:t xml:space="preserve"> “</w:t>
      </w:r>
      <w:proofErr w:type="spellStart"/>
      <w:r>
        <w:t>Payor</w:t>
      </w:r>
      <w:proofErr w:type="spellEnd"/>
      <w:r>
        <w:t>” is the preferred PFS term for the</w:t>
      </w:r>
      <w:r w:rsidRPr="008A1FA6">
        <w:t xml:space="preserve"> entity that is ultimately responsible for paying investors proportional to the agreed amount based on the level of measureable impact achieved. In </w:t>
      </w:r>
      <w:r>
        <w:t>many</w:t>
      </w:r>
      <w:r w:rsidRPr="008A1FA6">
        <w:t xml:space="preserve"> cases, the pay for success </w:t>
      </w:r>
      <w:proofErr w:type="spellStart"/>
      <w:r w:rsidRPr="008A1FA6">
        <w:t>payor</w:t>
      </w:r>
      <w:proofErr w:type="spellEnd"/>
      <w:r w:rsidRPr="008A1FA6">
        <w:t xml:space="preserve"> is a federal, state</w:t>
      </w:r>
      <w:r>
        <w:t>,</w:t>
      </w:r>
      <w:r w:rsidRPr="008A1FA6">
        <w:t xml:space="preserve"> or local government agency.</w:t>
      </w:r>
    </w:p>
  </w:footnote>
  <w:footnote w:id="2">
    <w:p w14:paraId="43B61A8A" w14:textId="6669E462" w:rsidR="00A527E4" w:rsidRDefault="00A527E4" w:rsidP="00AE1291">
      <w:r>
        <w:rPr>
          <w:rStyle w:val="FootnoteReference"/>
        </w:rPr>
        <w:footnoteRef/>
      </w:r>
      <w:r>
        <w:t xml:space="preserve"> </w:t>
      </w:r>
      <w:r w:rsidRPr="002F4DBE">
        <w:rPr>
          <w:sz w:val="20"/>
          <w:szCs w:val="20"/>
        </w:rPr>
        <w:t>Total compensation was collected from IRS Form 990s for nonprofit organizations and public employee salary databases for governmental organizations</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30E2A7A"/>
    <w:lvl w:ilvl="0">
      <w:start w:val="1"/>
      <w:numFmt w:val="bullet"/>
      <w:pStyle w:val="ListBullet"/>
      <w:lvlText w:val=""/>
      <w:lvlJc w:val="left"/>
      <w:pPr>
        <w:tabs>
          <w:tab w:val="num" w:pos="360"/>
        </w:tabs>
        <w:ind w:left="360" w:hanging="360"/>
      </w:pPr>
      <w:rPr>
        <w:rFonts w:ascii="Wingdings" w:hAnsi="Wingdings" w:hint="default"/>
        <w:b w:val="0"/>
        <w:i w:val="0"/>
        <w:color w:val="0068C6"/>
        <w:sz w:val="22"/>
        <w:szCs w:val="22"/>
      </w:rPr>
    </w:lvl>
  </w:abstractNum>
  <w:abstractNum w:abstractNumId="1">
    <w:nsid w:val="049E5864"/>
    <w:multiLevelType w:val="hybridMultilevel"/>
    <w:tmpl w:val="15DA9C5A"/>
    <w:lvl w:ilvl="0" w:tplc="FB82406E">
      <w:start w:val="1"/>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071436"/>
    <w:multiLevelType w:val="hybridMultilevel"/>
    <w:tmpl w:val="187A5CA6"/>
    <w:lvl w:ilvl="0" w:tplc="BDBC4D3A">
      <w:start w:val="1"/>
      <w:numFmt w:val="bullet"/>
      <w:pStyle w:val="Bullets"/>
      <w:lvlText w:val=""/>
      <w:lvlJc w:val="left"/>
      <w:pPr>
        <w:ind w:left="360" w:hanging="360"/>
      </w:pPr>
      <w:rPr>
        <w:rFonts w:ascii="Symbol" w:hAnsi="Symbol" w:hint="default"/>
        <w:color w:val="1F497D"/>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0B451484"/>
    <w:multiLevelType w:val="hybridMultilevel"/>
    <w:tmpl w:val="8C481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7C45A3"/>
    <w:multiLevelType w:val="hybridMultilevel"/>
    <w:tmpl w:val="7F52D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C61F2A"/>
    <w:multiLevelType w:val="hybridMultilevel"/>
    <w:tmpl w:val="0570EF7E"/>
    <w:lvl w:ilvl="0" w:tplc="FA401042">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E2460A"/>
    <w:multiLevelType w:val="hybridMultilevel"/>
    <w:tmpl w:val="A16AD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E26703"/>
    <w:multiLevelType w:val="hybridMultilevel"/>
    <w:tmpl w:val="E75418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D6691A"/>
    <w:multiLevelType w:val="hybridMultilevel"/>
    <w:tmpl w:val="9A8A1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414168"/>
    <w:multiLevelType w:val="hybridMultilevel"/>
    <w:tmpl w:val="50A655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0252C2"/>
    <w:multiLevelType w:val="hybridMultilevel"/>
    <w:tmpl w:val="25D497FA"/>
    <w:lvl w:ilvl="0" w:tplc="47B08ED2">
      <w:numFmt w:val="bullet"/>
      <w:lvlText w:val=""/>
      <w:lvlJc w:val="left"/>
      <w:pPr>
        <w:tabs>
          <w:tab w:val="num" w:pos="1080"/>
        </w:tabs>
        <w:ind w:left="1080" w:hanging="360"/>
      </w:pPr>
      <w:rPr>
        <w:rFonts w:ascii="Symbol" w:eastAsia="MS Mincho"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E024770"/>
    <w:multiLevelType w:val="hybridMultilevel"/>
    <w:tmpl w:val="34E226EC"/>
    <w:lvl w:ilvl="0" w:tplc="8EA0354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A15F25"/>
    <w:multiLevelType w:val="hybridMultilevel"/>
    <w:tmpl w:val="9EF8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B65F2"/>
    <w:multiLevelType w:val="hybridMultilevel"/>
    <w:tmpl w:val="9214B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8B6066"/>
    <w:multiLevelType w:val="hybridMultilevel"/>
    <w:tmpl w:val="9E5EFD76"/>
    <w:lvl w:ilvl="0" w:tplc="8708B23E">
      <w:start w:val="1"/>
      <w:numFmt w:val="bullet"/>
      <w:pStyle w:val="aatablebullets"/>
      <w:lvlText w:val=""/>
      <w:lvlJc w:val="left"/>
      <w:pPr>
        <w:ind w:left="360" w:hanging="360"/>
      </w:pPr>
      <w:rPr>
        <w:rFonts w:ascii="Symbol" w:hAnsi="Symbol" w:hint="default"/>
        <w:color w:val="DA291C"/>
        <w:sz w:val="18"/>
        <w:szCs w:val="1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3D3B3352"/>
    <w:multiLevelType w:val="hybridMultilevel"/>
    <w:tmpl w:val="2004AD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0962B5"/>
    <w:multiLevelType w:val="hybridMultilevel"/>
    <w:tmpl w:val="333600E4"/>
    <w:lvl w:ilvl="0" w:tplc="92565A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8556F"/>
    <w:multiLevelType w:val="singleLevel"/>
    <w:tmpl w:val="ACFAA626"/>
    <w:lvl w:ilvl="0">
      <w:start w:val="13"/>
      <w:numFmt w:val="decimal"/>
      <w:lvlText w:val="%1."/>
      <w:lvlJc w:val="left"/>
      <w:pPr>
        <w:tabs>
          <w:tab w:val="num" w:pos="420"/>
        </w:tabs>
        <w:ind w:left="420" w:hanging="420"/>
      </w:pPr>
      <w:rPr>
        <w:rFonts w:hint="default"/>
        <w:u w:val="none"/>
      </w:rPr>
    </w:lvl>
  </w:abstractNum>
  <w:abstractNum w:abstractNumId="18">
    <w:nsid w:val="4BB76121"/>
    <w:multiLevelType w:val="hybridMultilevel"/>
    <w:tmpl w:val="F6EC4C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A25095"/>
    <w:multiLevelType w:val="hybridMultilevel"/>
    <w:tmpl w:val="55087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0AE5C13"/>
    <w:multiLevelType w:val="hybridMultilevel"/>
    <w:tmpl w:val="025A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005D3F"/>
    <w:multiLevelType w:val="hybridMultilevel"/>
    <w:tmpl w:val="E1D4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5F4A60"/>
    <w:multiLevelType w:val="hybridMultilevel"/>
    <w:tmpl w:val="037281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FD5CCA"/>
    <w:multiLevelType w:val="hybridMultilevel"/>
    <w:tmpl w:val="F57C3730"/>
    <w:lvl w:ilvl="0" w:tplc="8FE4BD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595157"/>
    <w:multiLevelType w:val="hybridMultilevel"/>
    <w:tmpl w:val="D2E40C5A"/>
    <w:lvl w:ilvl="0" w:tplc="7778BBD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717ADD"/>
    <w:multiLevelType w:val="hybridMultilevel"/>
    <w:tmpl w:val="817849A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BC8486A"/>
    <w:multiLevelType w:val="hybridMultilevel"/>
    <w:tmpl w:val="DD8A8F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C9A3FC3"/>
    <w:multiLevelType w:val="hybridMultilevel"/>
    <w:tmpl w:val="D764B0B4"/>
    <w:lvl w:ilvl="0" w:tplc="FFFFFFFF">
      <w:start w:val="1"/>
      <w:numFmt w:val="bullet"/>
      <w:lvlText w:val="•"/>
      <w:lvlJc w:val="left"/>
      <w:pPr>
        <w:tabs>
          <w:tab w:val="num" w:pos="1440"/>
        </w:tabs>
        <w:ind w:left="1440" w:hanging="360"/>
      </w:pPr>
      <w:rPr>
        <w:rFonts w:ascii="Times New Roman" w:hAnsi="Times New Roman" w:cs="Times New Roman" w:hint="default"/>
        <w:b w:val="0"/>
        <w:i w:val="0"/>
        <w:color w:val="auto"/>
        <w:sz w:val="22"/>
        <w:szCs w:val="22"/>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60322E3A"/>
    <w:multiLevelType w:val="hybridMultilevel"/>
    <w:tmpl w:val="CC7C4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CF7D90"/>
    <w:multiLevelType w:val="hybridMultilevel"/>
    <w:tmpl w:val="B7FCEC38"/>
    <w:lvl w:ilvl="0" w:tplc="8FE4BD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1252C1"/>
    <w:multiLevelType w:val="hybridMultilevel"/>
    <w:tmpl w:val="90C08F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7D0FBD"/>
    <w:multiLevelType w:val="hybridMultilevel"/>
    <w:tmpl w:val="A7FE6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6028C4"/>
    <w:multiLevelType w:val="hybridMultilevel"/>
    <w:tmpl w:val="F9222056"/>
    <w:lvl w:ilvl="0" w:tplc="04090001">
      <w:start w:val="1"/>
      <w:numFmt w:val="bullet"/>
      <w:lvlText w:val=""/>
      <w:lvlJc w:val="left"/>
      <w:pPr>
        <w:ind w:left="360" w:hanging="360"/>
      </w:pPr>
      <w:rPr>
        <w:rFonts w:ascii="Symbol" w:hAnsi="Symbol" w:hint="default"/>
      </w:rPr>
    </w:lvl>
    <w:lvl w:ilvl="1" w:tplc="8B12C5C8">
      <w:start w:val="1"/>
      <w:numFmt w:val="bullet"/>
      <w:lvlText w:val=""/>
      <w:lvlJc w:val="left"/>
      <w:pPr>
        <w:ind w:left="1080" w:hanging="360"/>
      </w:pPr>
      <w:rPr>
        <w:rFonts w:ascii="Symbol" w:hAnsi="Symbol" w:hint="default"/>
        <w:color w:val="FF0000"/>
        <w:sz w:val="18"/>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84D1C76"/>
    <w:multiLevelType w:val="hybridMultilevel"/>
    <w:tmpl w:val="843A1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8A556F"/>
    <w:multiLevelType w:val="hybridMultilevel"/>
    <w:tmpl w:val="FAFAD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9E3E50"/>
    <w:multiLevelType w:val="hybridMultilevel"/>
    <w:tmpl w:val="D2605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3C3220"/>
    <w:multiLevelType w:val="hybridMultilevel"/>
    <w:tmpl w:val="7846A4DC"/>
    <w:lvl w:ilvl="0" w:tplc="8B12C5C8">
      <w:start w:val="1"/>
      <w:numFmt w:val="bullet"/>
      <w:lvlText w:val=""/>
      <w:lvlJc w:val="left"/>
      <w:pPr>
        <w:ind w:left="720" w:hanging="360"/>
      </w:pPr>
      <w:rPr>
        <w:rFonts w:ascii="Symbol" w:hAnsi="Symbol" w:hint="default"/>
        <w:color w:val="FF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DB1B75"/>
    <w:multiLevelType w:val="hybridMultilevel"/>
    <w:tmpl w:val="310E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ED0D51"/>
    <w:multiLevelType w:val="hybridMultilevel"/>
    <w:tmpl w:val="0FB4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AA2802"/>
    <w:multiLevelType w:val="hybridMultilevel"/>
    <w:tmpl w:val="306866C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9"/>
  </w:num>
  <w:num w:numId="4">
    <w:abstractNumId w:val="17"/>
  </w:num>
  <w:num w:numId="5">
    <w:abstractNumId w:val="10"/>
  </w:num>
  <w:num w:numId="6">
    <w:abstractNumId w:val="27"/>
  </w:num>
  <w:num w:numId="7">
    <w:abstractNumId w:val="33"/>
  </w:num>
  <w:num w:numId="8">
    <w:abstractNumId w:val="22"/>
  </w:num>
  <w:num w:numId="9">
    <w:abstractNumId w:val="7"/>
  </w:num>
  <w:num w:numId="10">
    <w:abstractNumId w:val="25"/>
  </w:num>
  <w:num w:numId="11">
    <w:abstractNumId w:val="15"/>
  </w:num>
  <w:num w:numId="12">
    <w:abstractNumId w:val="6"/>
  </w:num>
  <w:num w:numId="13">
    <w:abstractNumId w:val="5"/>
  </w:num>
  <w:num w:numId="14">
    <w:abstractNumId w:val="30"/>
  </w:num>
  <w:num w:numId="15">
    <w:abstractNumId w:val="34"/>
  </w:num>
  <w:num w:numId="16">
    <w:abstractNumId w:val="1"/>
  </w:num>
  <w:num w:numId="17">
    <w:abstractNumId w:val="38"/>
  </w:num>
  <w:num w:numId="18">
    <w:abstractNumId w:val="18"/>
  </w:num>
  <w:num w:numId="19">
    <w:abstractNumId w:val="9"/>
  </w:num>
  <w:num w:numId="20">
    <w:abstractNumId w:val="3"/>
  </w:num>
  <w:num w:numId="21">
    <w:abstractNumId w:val="20"/>
  </w:num>
  <w:num w:numId="22">
    <w:abstractNumId w:val="8"/>
  </w:num>
  <w:num w:numId="23">
    <w:abstractNumId w:val="31"/>
  </w:num>
  <w:num w:numId="24">
    <w:abstractNumId w:val="11"/>
  </w:num>
  <w:num w:numId="25">
    <w:abstractNumId w:val="13"/>
  </w:num>
  <w:num w:numId="26">
    <w:abstractNumId w:val="37"/>
  </w:num>
  <w:num w:numId="27">
    <w:abstractNumId w:val="35"/>
  </w:num>
  <w:num w:numId="28">
    <w:abstractNumId w:val="24"/>
  </w:num>
  <w:num w:numId="29">
    <w:abstractNumId w:val="4"/>
  </w:num>
  <w:num w:numId="30">
    <w:abstractNumId w:val="23"/>
  </w:num>
  <w:num w:numId="31">
    <w:abstractNumId w:val="29"/>
  </w:num>
  <w:num w:numId="32">
    <w:abstractNumId w:val="14"/>
  </w:num>
  <w:num w:numId="33">
    <w:abstractNumId w:val="26"/>
  </w:num>
  <w:num w:numId="34">
    <w:abstractNumId w:val="32"/>
  </w:num>
  <w:num w:numId="35">
    <w:abstractNumId w:val="36"/>
  </w:num>
  <w:num w:numId="36">
    <w:abstractNumId w:val="2"/>
  </w:num>
  <w:num w:numId="37">
    <w:abstractNumId w:val="39"/>
    <w:lvlOverride w:ilvl="0">
      <w:startOverride w:val="1"/>
    </w:lvlOverride>
    <w:lvlOverride w:ilvl="1"/>
    <w:lvlOverride w:ilvl="2"/>
    <w:lvlOverride w:ilvl="3"/>
    <w:lvlOverride w:ilvl="4"/>
    <w:lvlOverride w:ilvl="5"/>
    <w:lvlOverride w:ilvl="6"/>
    <w:lvlOverride w:ilvl="7"/>
    <w:lvlOverride w:ilvl="8"/>
  </w:num>
  <w:num w:numId="38">
    <w:abstractNumId w:val="21"/>
  </w:num>
  <w:num w:numId="39">
    <w:abstractNumId w:val="12"/>
  </w:num>
  <w:num w:numId="40">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ndniapour, Lily">
    <w15:presenceInfo w15:providerId="AD" w15:userId="S-1-5-21-1659004503-1645522239-682003330-21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63482AC-B09F-4B44-8A1E-FD62AFF17FF6}"/>
    <w:docVar w:name="dgnword-eventsink" w:val="133124616"/>
  </w:docVars>
  <w:rsids>
    <w:rsidRoot w:val="0009667A"/>
    <w:rsid w:val="000001EE"/>
    <w:rsid w:val="000005CA"/>
    <w:rsid w:val="00002C85"/>
    <w:rsid w:val="00005727"/>
    <w:rsid w:val="00007F24"/>
    <w:rsid w:val="00011357"/>
    <w:rsid w:val="0001454B"/>
    <w:rsid w:val="0002358A"/>
    <w:rsid w:val="00024162"/>
    <w:rsid w:val="0003157D"/>
    <w:rsid w:val="000348AD"/>
    <w:rsid w:val="00035646"/>
    <w:rsid w:val="0003684F"/>
    <w:rsid w:val="00037A95"/>
    <w:rsid w:val="00044407"/>
    <w:rsid w:val="00044BA4"/>
    <w:rsid w:val="00044C6E"/>
    <w:rsid w:val="00054775"/>
    <w:rsid w:val="00054943"/>
    <w:rsid w:val="00056EFC"/>
    <w:rsid w:val="00060C58"/>
    <w:rsid w:val="00062243"/>
    <w:rsid w:val="00065A77"/>
    <w:rsid w:val="00067C8D"/>
    <w:rsid w:val="00067E74"/>
    <w:rsid w:val="000734E3"/>
    <w:rsid w:val="000767F6"/>
    <w:rsid w:val="0008189D"/>
    <w:rsid w:val="00083062"/>
    <w:rsid w:val="00084C70"/>
    <w:rsid w:val="000924DC"/>
    <w:rsid w:val="00093118"/>
    <w:rsid w:val="00093701"/>
    <w:rsid w:val="0009667A"/>
    <w:rsid w:val="000A064F"/>
    <w:rsid w:val="000A6E76"/>
    <w:rsid w:val="000A7113"/>
    <w:rsid w:val="000B1D39"/>
    <w:rsid w:val="000B6A96"/>
    <w:rsid w:val="000B6ABC"/>
    <w:rsid w:val="000B788A"/>
    <w:rsid w:val="000B7E98"/>
    <w:rsid w:val="000C0CB0"/>
    <w:rsid w:val="000C5694"/>
    <w:rsid w:val="000D4D35"/>
    <w:rsid w:val="000D4E7B"/>
    <w:rsid w:val="000D5581"/>
    <w:rsid w:val="000F0208"/>
    <w:rsid w:val="000F19B2"/>
    <w:rsid w:val="000F38CE"/>
    <w:rsid w:val="000F6C9F"/>
    <w:rsid w:val="00101CA7"/>
    <w:rsid w:val="00101E2E"/>
    <w:rsid w:val="0010554C"/>
    <w:rsid w:val="00105DF0"/>
    <w:rsid w:val="00114A9B"/>
    <w:rsid w:val="00114D56"/>
    <w:rsid w:val="001177DA"/>
    <w:rsid w:val="0012150D"/>
    <w:rsid w:val="0012276F"/>
    <w:rsid w:val="001278F3"/>
    <w:rsid w:val="00130AB5"/>
    <w:rsid w:val="001318B8"/>
    <w:rsid w:val="00135B42"/>
    <w:rsid w:val="00145F74"/>
    <w:rsid w:val="00147104"/>
    <w:rsid w:val="00151358"/>
    <w:rsid w:val="00153E77"/>
    <w:rsid w:val="00162709"/>
    <w:rsid w:val="001668E1"/>
    <w:rsid w:val="00166AC8"/>
    <w:rsid w:val="0017068C"/>
    <w:rsid w:val="00171D15"/>
    <w:rsid w:val="00173CE4"/>
    <w:rsid w:val="00181A2D"/>
    <w:rsid w:val="001923D6"/>
    <w:rsid w:val="0019376F"/>
    <w:rsid w:val="001939AF"/>
    <w:rsid w:val="001A51D7"/>
    <w:rsid w:val="001B2B6F"/>
    <w:rsid w:val="001B42F1"/>
    <w:rsid w:val="001C1A09"/>
    <w:rsid w:val="001C27EC"/>
    <w:rsid w:val="001D0CCB"/>
    <w:rsid w:val="001D167E"/>
    <w:rsid w:val="001D19A4"/>
    <w:rsid w:val="001D3BD7"/>
    <w:rsid w:val="001D4C8A"/>
    <w:rsid w:val="001D5651"/>
    <w:rsid w:val="001E1B79"/>
    <w:rsid w:val="001E657E"/>
    <w:rsid w:val="001F0E84"/>
    <w:rsid w:val="001F1172"/>
    <w:rsid w:val="001F1A73"/>
    <w:rsid w:val="001F2FCC"/>
    <w:rsid w:val="001F4D97"/>
    <w:rsid w:val="001F6252"/>
    <w:rsid w:val="0020464C"/>
    <w:rsid w:val="002066A2"/>
    <w:rsid w:val="0021354A"/>
    <w:rsid w:val="002219A5"/>
    <w:rsid w:val="00221F15"/>
    <w:rsid w:val="00225811"/>
    <w:rsid w:val="00225D30"/>
    <w:rsid w:val="002344AC"/>
    <w:rsid w:val="002376E5"/>
    <w:rsid w:val="002410B4"/>
    <w:rsid w:val="00244C45"/>
    <w:rsid w:val="00255A9C"/>
    <w:rsid w:val="0026545D"/>
    <w:rsid w:val="00266ADE"/>
    <w:rsid w:val="00267599"/>
    <w:rsid w:val="00270025"/>
    <w:rsid w:val="00270CEA"/>
    <w:rsid w:val="00271982"/>
    <w:rsid w:val="00275600"/>
    <w:rsid w:val="002758BE"/>
    <w:rsid w:val="00276813"/>
    <w:rsid w:val="002830D8"/>
    <w:rsid w:val="00284168"/>
    <w:rsid w:val="002866AC"/>
    <w:rsid w:val="0029283B"/>
    <w:rsid w:val="00296AD1"/>
    <w:rsid w:val="002A0BAD"/>
    <w:rsid w:val="002A20D3"/>
    <w:rsid w:val="002A21C2"/>
    <w:rsid w:val="002A29B3"/>
    <w:rsid w:val="002A2D6B"/>
    <w:rsid w:val="002A31CE"/>
    <w:rsid w:val="002A35BA"/>
    <w:rsid w:val="002A6466"/>
    <w:rsid w:val="002A7465"/>
    <w:rsid w:val="002B22EC"/>
    <w:rsid w:val="002C1552"/>
    <w:rsid w:val="002C1EAC"/>
    <w:rsid w:val="002C61BB"/>
    <w:rsid w:val="002D4C04"/>
    <w:rsid w:val="002D6663"/>
    <w:rsid w:val="002D6E23"/>
    <w:rsid w:val="002E00B1"/>
    <w:rsid w:val="002E4398"/>
    <w:rsid w:val="002E79F0"/>
    <w:rsid w:val="002F0612"/>
    <w:rsid w:val="002F1930"/>
    <w:rsid w:val="002F2EAF"/>
    <w:rsid w:val="002F3020"/>
    <w:rsid w:val="002F373F"/>
    <w:rsid w:val="002F4102"/>
    <w:rsid w:val="002F4DBE"/>
    <w:rsid w:val="002F7931"/>
    <w:rsid w:val="00301A91"/>
    <w:rsid w:val="00303F9D"/>
    <w:rsid w:val="00305D76"/>
    <w:rsid w:val="00314D55"/>
    <w:rsid w:val="0032453D"/>
    <w:rsid w:val="00331570"/>
    <w:rsid w:val="00332F3E"/>
    <w:rsid w:val="003377B6"/>
    <w:rsid w:val="00343556"/>
    <w:rsid w:val="00345083"/>
    <w:rsid w:val="00345828"/>
    <w:rsid w:val="00362CEB"/>
    <w:rsid w:val="0037084C"/>
    <w:rsid w:val="00371E6B"/>
    <w:rsid w:val="00381943"/>
    <w:rsid w:val="00384F75"/>
    <w:rsid w:val="00386378"/>
    <w:rsid w:val="00387E41"/>
    <w:rsid w:val="0039114B"/>
    <w:rsid w:val="00394AA9"/>
    <w:rsid w:val="003B110E"/>
    <w:rsid w:val="003B1C94"/>
    <w:rsid w:val="003B3F73"/>
    <w:rsid w:val="003B6406"/>
    <w:rsid w:val="003B66BC"/>
    <w:rsid w:val="003B6D11"/>
    <w:rsid w:val="003B7457"/>
    <w:rsid w:val="003B7A31"/>
    <w:rsid w:val="003C16F7"/>
    <w:rsid w:val="003C2F78"/>
    <w:rsid w:val="003C4D40"/>
    <w:rsid w:val="003C6669"/>
    <w:rsid w:val="003D05C4"/>
    <w:rsid w:val="003D2AAB"/>
    <w:rsid w:val="003D2DFD"/>
    <w:rsid w:val="003D3D69"/>
    <w:rsid w:val="003E0D9F"/>
    <w:rsid w:val="003E129A"/>
    <w:rsid w:val="003E4868"/>
    <w:rsid w:val="003E4D45"/>
    <w:rsid w:val="003E69D9"/>
    <w:rsid w:val="003F045C"/>
    <w:rsid w:val="003F3D60"/>
    <w:rsid w:val="003F41AA"/>
    <w:rsid w:val="003F5A56"/>
    <w:rsid w:val="00402F91"/>
    <w:rsid w:val="0041015E"/>
    <w:rsid w:val="0041059C"/>
    <w:rsid w:val="0041269B"/>
    <w:rsid w:val="004205BC"/>
    <w:rsid w:val="00423241"/>
    <w:rsid w:val="00425B54"/>
    <w:rsid w:val="00434E68"/>
    <w:rsid w:val="0044070A"/>
    <w:rsid w:val="00441681"/>
    <w:rsid w:val="00442BDB"/>
    <w:rsid w:val="00442C51"/>
    <w:rsid w:val="00443BE9"/>
    <w:rsid w:val="00444046"/>
    <w:rsid w:val="004446AC"/>
    <w:rsid w:val="00444722"/>
    <w:rsid w:val="0044574C"/>
    <w:rsid w:val="00446608"/>
    <w:rsid w:val="00446652"/>
    <w:rsid w:val="004479C9"/>
    <w:rsid w:val="004500FA"/>
    <w:rsid w:val="00456350"/>
    <w:rsid w:val="00461272"/>
    <w:rsid w:val="00462196"/>
    <w:rsid w:val="0046301B"/>
    <w:rsid w:val="00464C55"/>
    <w:rsid w:val="00470366"/>
    <w:rsid w:val="004727B4"/>
    <w:rsid w:val="00472B80"/>
    <w:rsid w:val="00473DF6"/>
    <w:rsid w:val="004743E1"/>
    <w:rsid w:val="00474B6C"/>
    <w:rsid w:val="0048337A"/>
    <w:rsid w:val="0048415B"/>
    <w:rsid w:val="00485D51"/>
    <w:rsid w:val="00487CE5"/>
    <w:rsid w:val="00487F5C"/>
    <w:rsid w:val="00487F9A"/>
    <w:rsid w:val="0049028B"/>
    <w:rsid w:val="004969E2"/>
    <w:rsid w:val="004A161C"/>
    <w:rsid w:val="004A7C9D"/>
    <w:rsid w:val="004A7CBE"/>
    <w:rsid w:val="004B1871"/>
    <w:rsid w:val="004B30A5"/>
    <w:rsid w:val="004B30B1"/>
    <w:rsid w:val="004B697A"/>
    <w:rsid w:val="004C24C7"/>
    <w:rsid w:val="004C2A2C"/>
    <w:rsid w:val="004C407B"/>
    <w:rsid w:val="004D2EA3"/>
    <w:rsid w:val="004D3776"/>
    <w:rsid w:val="004D45DA"/>
    <w:rsid w:val="004E1243"/>
    <w:rsid w:val="004E35FA"/>
    <w:rsid w:val="004E382B"/>
    <w:rsid w:val="004E6C9D"/>
    <w:rsid w:val="004E72F7"/>
    <w:rsid w:val="004E7DC8"/>
    <w:rsid w:val="004F12C9"/>
    <w:rsid w:val="004F5711"/>
    <w:rsid w:val="004F6A4F"/>
    <w:rsid w:val="004F6F99"/>
    <w:rsid w:val="00501B7E"/>
    <w:rsid w:val="00506B58"/>
    <w:rsid w:val="00507130"/>
    <w:rsid w:val="00510F8B"/>
    <w:rsid w:val="0051668D"/>
    <w:rsid w:val="00523492"/>
    <w:rsid w:val="00524795"/>
    <w:rsid w:val="00524FC7"/>
    <w:rsid w:val="005313C4"/>
    <w:rsid w:val="00531F5C"/>
    <w:rsid w:val="0054222B"/>
    <w:rsid w:val="00543319"/>
    <w:rsid w:val="005506A7"/>
    <w:rsid w:val="00551B05"/>
    <w:rsid w:val="00554FB8"/>
    <w:rsid w:val="00555BE1"/>
    <w:rsid w:val="00560543"/>
    <w:rsid w:val="00563247"/>
    <w:rsid w:val="00563C13"/>
    <w:rsid w:val="00564743"/>
    <w:rsid w:val="00565335"/>
    <w:rsid w:val="005724AA"/>
    <w:rsid w:val="00573F01"/>
    <w:rsid w:val="005772C2"/>
    <w:rsid w:val="00577576"/>
    <w:rsid w:val="005806B4"/>
    <w:rsid w:val="005806FA"/>
    <w:rsid w:val="005826B1"/>
    <w:rsid w:val="005839F3"/>
    <w:rsid w:val="0058458E"/>
    <w:rsid w:val="005857E3"/>
    <w:rsid w:val="00587D03"/>
    <w:rsid w:val="00590381"/>
    <w:rsid w:val="00591584"/>
    <w:rsid w:val="00595565"/>
    <w:rsid w:val="0059637F"/>
    <w:rsid w:val="00596C97"/>
    <w:rsid w:val="005A1CDF"/>
    <w:rsid w:val="005A1D62"/>
    <w:rsid w:val="005A42A8"/>
    <w:rsid w:val="005A51A1"/>
    <w:rsid w:val="005A56F1"/>
    <w:rsid w:val="005A7794"/>
    <w:rsid w:val="005B0677"/>
    <w:rsid w:val="005B090C"/>
    <w:rsid w:val="005B4DBC"/>
    <w:rsid w:val="005B57AD"/>
    <w:rsid w:val="005B7573"/>
    <w:rsid w:val="005C2462"/>
    <w:rsid w:val="005C2FE0"/>
    <w:rsid w:val="005C37E8"/>
    <w:rsid w:val="005C5361"/>
    <w:rsid w:val="005C5C09"/>
    <w:rsid w:val="005C6809"/>
    <w:rsid w:val="005D24F6"/>
    <w:rsid w:val="005D37E7"/>
    <w:rsid w:val="005D582F"/>
    <w:rsid w:val="005D705C"/>
    <w:rsid w:val="005D7512"/>
    <w:rsid w:val="005D7F10"/>
    <w:rsid w:val="005E38BA"/>
    <w:rsid w:val="005F029D"/>
    <w:rsid w:val="005F1FC9"/>
    <w:rsid w:val="005F2CA7"/>
    <w:rsid w:val="005F60DA"/>
    <w:rsid w:val="0060329B"/>
    <w:rsid w:val="006042AD"/>
    <w:rsid w:val="006147E8"/>
    <w:rsid w:val="006164EC"/>
    <w:rsid w:val="006203F8"/>
    <w:rsid w:val="00620AA6"/>
    <w:rsid w:val="00620AB8"/>
    <w:rsid w:val="00620FF7"/>
    <w:rsid w:val="0063395C"/>
    <w:rsid w:val="00634736"/>
    <w:rsid w:val="006347F8"/>
    <w:rsid w:val="00635E79"/>
    <w:rsid w:val="00641D60"/>
    <w:rsid w:val="00642364"/>
    <w:rsid w:val="00643C42"/>
    <w:rsid w:val="0064599F"/>
    <w:rsid w:val="00645C47"/>
    <w:rsid w:val="00647626"/>
    <w:rsid w:val="00657039"/>
    <w:rsid w:val="00662F52"/>
    <w:rsid w:val="0066387E"/>
    <w:rsid w:val="006703DA"/>
    <w:rsid w:val="00673AD7"/>
    <w:rsid w:val="0067437A"/>
    <w:rsid w:val="006819D8"/>
    <w:rsid w:val="00684566"/>
    <w:rsid w:val="0068459A"/>
    <w:rsid w:val="00685593"/>
    <w:rsid w:val="00686104"/>
    <w:rsid w:val="00687415"/>
    <w:rsid w:val="006876A5"/>
    <w:rsid w:val="0069050A"/>
    <w:rsid w:val="00691533"/>
    <w:rsid w:val="006926AB"/>
    <w:rsid w:val="00692774"/>
    <w:rsid w:val="006A07DE"/>
    <w:rsid w:val="006B1C01"/>
    <w:rsid w:val="006B2A8B"/>
    <w:rsid w:val="006B3041"/>
    <w:rsid w:val="006B3C20"/>
    <w:rsid w:val="006B3DF8"/>
    <w:rsid w:val="006B621E"/>
    <w:rsid w:val="006C1C88"/>
    <w:rsid w:val="006C2202"/>
    <w:rsid w:val="006C3FDA"/>
    <w:rsid w:val="006C4BD3"/>
    <w:rsid w:val="006C6140"/>
    <w:rsid w:val="006C6CCB"/>
    <w:rsid w:val="006C7B2A"/>
    <w:rsid w:val="006D0D88"/>
    <w:rsid w:val="006D4D3F"/>
    <w:rsid w:val="006E1210"/>
    <w:rsid w:val="006E41E6"/>
    <w:rsid w:val="006E4E9E"/>
    <w:rsid w:val="006F2F20"/>
    <w:rsid w:val="006F3EFB"/>
    <w:rsid w:val="00703757"/>
    <w:rsid w:val="00705E96"/>
    <w:rsid w:val="0070685E"/>
    <w:rsid w:val="00710DE0"/>
    <w:rsid w:val="007130E0"/>
    <w:rsid w:val="0072551D"/>
    <w:rsid w:val="00726162"/>
    <w:rsid w:val="00732127"/>
    <w:rsid w:val="00732E8F"/>
    <w:rsid w:val="00736980"/>
    <w:rsid w:val="00740954"/>
    <w:rsid w:val="00740D58"/>
    <w:rsid w:val="00741186"/>
    <w:rsid w:val="00743FED"/>
    <w:rsid w:val="007456BB"/>
    <w:rsid w:val="007460A6"/>
    <w:rsid w:val="00747535"/>
    <w:rsid w:val="00747F01"/>
    <w:rsid w:val="00756D9E"/>
    <w:rsid w:val="00760865"/>
    <w:rsid w:val="007641C0"/>
    <w:rsid w:val="00765849"/>
    <w:rsid w:val="00766031"/>
    <w:rsid w:val="0077332B"/>
    <w:rsid w:val="00775E0D"/>
    <w:rsid w:val="00776E45"/>
    <w:rsid w:val="007805BF"/>
    <w:rsid w:val="007861C3"/>
    <w:rsid w:val="00793354"/>
    <w:rsid w:val="007947FF"/>
    <w:rsid w:val="007A0062"/>
    <w:rsid w:val="007A1CCF"/>
    <w:rsid w:val="007A2C29"/>
    <w:rsid w:val="007A3C4E"/>
    <w:rsid w:val="007A7C7B"/>
    <w:rsid w:val="007B0D23"/>
    <w:rsid w:val="007B1692"/>
    <w:rsid w:val="007B252B"/>
    <w:rsid w:val="007C60D1"/>
    <w:rsid w:val="007C78A4"/>
    <w:rsid w:val="007D68FB"/>
    <w:rsid w:val="007E20BD"/>
    <w:rsid w:val="007F021F"/>
    <w:rsid w:val="007F0C2A"/>
    <w:rsid w:val="007F0FEA"/>
    <w:rsid w:val="007F1D9B"/>
    <w:rsid w:val="007F6061"/>
    <w:rsid w:val="007F6AAD"/>
    <w:rsid w:val="007F7F24"/>
    <w:rsid w:val="008012AC"/>
    <w:rsid w:val="0080445B"/>
    <w:rsid w:val="008069CC"/>
    <w:rsid w:val="00813B66"/>
    <w:rsid w:val="00814A50"/>
    <w:rsid w:val="00817E3A"/>
    <w:rsid w:val="008211EF"/>
    <w:rsid w:val="00822028"/>
    <w:rsid w:val="008246B0"/>
    <w:rsid w:val="0082772E"/>
    <w:rsid w:val="0083107C"/>
    <w:rsid w:val="00831BD5"/>
    <w:rsid w:val="008362DC"/>
    <w:rsid w:val="00840405"/>
    <w:rsid w:val="008444E0"/>
    <w:rsid w:val="0084514E"/>
    <w:rsid w:val="008506D1"/>
    <w:rsid w:val="008614BB"/>
    <w:rsid w:val="008627DA"/>
    <w:rsid w:val="00870A2E"/>
    <w:rsid w:val="008735EA"/>
    <w:rsid w:val="00874A16"/>
    <w:rsid w:val="00877A69"/>
    <w:rsid w:val="00882ACA"/>
    <w:rsid w:val="00893382"/>
    <w:rsid w:val="00895322"/>
    <w:rsid w:val="008A1E78"/>
    <w:rsid w:val="008A3B18"/>
    <w:rsid w:val="008A43D6"/>
    <w:rsid w:val="008B02A1"/>
    <w:rsid w:val="008B0728"/>
    <w:rsid w:val="008B155C"/>
    <w:rsid w:val="008B1BF2"/>
    <w:rsid w:val="008B3743"/>
    <w:rsid w:val="008B3FA2"/>
    <w:rsid w:val="008B435E"/>
    <w:rsid w:val="008B5265"/>
    <w:rsid w:val="008B6480"/>
    <w:rsid w:val="008B6F62"/>
    <w:rsid w:val="008B748C"/>
    <w:rsid w:val="008C0FA7"/>
    <w:rsid w:val="008C3D49"/>
    <w:rsid w:val="008D0D23"/>
    <w:rsid w:val="008D35EC"/>
    <w:rsid w:val="008E1AAF"/>
    <w:rsid w:val="008E26E0"/>
    <w:rsid w:val="008E4831"/>
    <w:rsid w:val="008E70C7"/>
    <w:rsid w:val="008F4091"/>
    <w:rsid w:val="008F589E"/>
    <w:rsid w:val="00900ABB"/>
    <w:rsid w:val="00901AC4"/>
    <w:rsid w:val="00902A1E"/>
    <w:rsid w:val="009030C9"/>
    <w:rsid w:val="009051DD"/>
    <w:rsid w:val="00905A83"/>
    <w:rsid w:val="00907049"/>
    <w:rsid w:val="009074DF"/>
    <w:rsid w:val="00910096"/>
    <w:rsid w:val="00910650"/>
    <w:rsid w:val="00912F9D"/>
    <w:rsid w:val="00916524"/>
    <w:rsid w:val="009173BE"/>
    <w:rsid w:val="00917517"/>
    <w:rsid w:val="00920F34"/>
    <w:rsid w:val="009430AF"/>
    <w:rsid w:val="00943490"/>
    <w:rsid w:val="00944DC4"/>
    <w:rsid w:val="00963A2B"/>
    <w:rsid w:val="00964E50"/>
    <w:rsid w:val="009654F6"/>
    <w:rsid w:val="00970580"/>
    <w:rsid w:val="00971D73"/>
    <w:rsid w:val="00983BD7"/>
    <w:rsid w:val="009854A9"/>
    <w:rsid w:val="00986DCA"/>
    <w:rsid w:val="00992447"/>
    <w:rsid w:val="009A091E"/>
    <w:rsid w:val="009A2850"/>
    <w:rsid w:val="009A34FB"/>
    <w:rsid w:val="009A5AF9"/>
    <w:rsid w:val="009A6504"/>
    <w:rsid w:val="009B14D1"/>
    <w:rsid w:val="009B1A97"/>
    <w:rsid w:val="009B1D7B"/>
    <w:rsid w:val="009B550D"/>
    <w:rsid w:val="009B6A1B"/>
    <w:rsid w:val="009B6C7E"/>
    <w:rsid w:val="009B6ECC"/>
    <w:rsid w:val="009B7517"/>
    <w:rsid w:val="009B7D10"/>
    <w:rsid w:val="009C1A33"/>
    <w:rsid w:val="009C2ACB"/>
    <w:rsid w:val="009C3029"/>
    <w:rsid w:val="009C52EB"/>
    <w:rsid w:val="009D1468"/>
    <w:rsid w:val="009D3F19"/>
    <w:rsid w:val="009D6480"/>
    <w:rsid w:val="009D7B01"/>
    <w:rsid w:val="009E70E1"/>
    <w:rsid w:val="009F08F0"/>
    <w:rsid w:val="009F2791"/>
    <w:rsid w:val="009F3D38"/>
    <w:rsid w:val="009F4F5D"/>
    <w:rsid w:val="009F543E"/>
    <w:rsid w:val="009F6910"/>
    <w:rsid w:val="009F7D7A"/>
    <w:rsid w:val="00A037B6"/>
    <w:rsid w:val="00A03C7C"/>
    <w:rsid w:val="00A055E3"/>
    <w:rsid w:val="00A06583"/>
    <w:rsid w:val="00A06ECF"/>
    <w:rsid w:val="00A07422"/>
    <w:rsid w:val="00A10E91"/>
    <w:rsid w:val="00A12884"/>
    <w:rsid w:val="00A162AA"/>
    <w:rsid w:val="00A16B91"/>
    <w:rsid w:val="00A1745B"/>
    <w:rsid w:val="00A2015D"/>
    <w:rsid w:val="00A20297"/>
    <w:rsid w:val="00A20EAF"/>
    <w:rsid w:val="00A210E2"/>
    <w:rsid w:val="00A23161"/>
    <w:rsid w:val="00A23EE5"/>
    <w:rsid w:val="00A23F74"/>
    <w:rsid w:val="00A24367"/>
    <w:rsid w:val="00A24D87"/>
    <w:rsid w:val="00A24F8E"/>
    <w:rsid w:val="00A25F26"/>
    <w:rsid w:val="00A27725"/>
    <w:rsid w:val="00A30752"/>
    <w:rsid w:val="00A309D6"/>
    <w:rsid w:val="00A31DCE"/>
    <w:rsid w:val="00A36A67"/>
    <w:rsid w:val="00A36F16"/>
    <w:rsid w:val="00A41E62"/>
    <w:rsid w:val="00A46754"/>
    <w:rsid w:val="00A50288"/>
    <w:rsid w:val="00A511C1"/>
    <w:rsid w:val="00A5143B"/>
    <w:rsid w:val="00A527E4"/>
    <w:rsid w:val="00A547FD"/>
    <w:rsid w:val="00A55E57"/>
    <w:rsid w:val="00A6067D"/>
    <w:rsid w:val="00A61E6C"/>
    <w:rsid w:val="00A80927"/>
    <w:rsid w:val="00A82341"/>
    <w:rsid w:val="00A8481F"/>
    <w:rsid w:val="00A85B07"/>
    <w:rsid w:val="00A87BED"/>
    <w:rsid w:val="00A954A5"/>
    <w:rsid w:val="00AA3469"/>
    <w:rsid w:val="00AA3F10"/>
    <w:rsid w:val="00AA71DE"/>
    <w:rsid w:val="00AA7BFC"/>
    <w:rsid w:val="00AB0B4C"/>
    <w:rsid w:val="00AB2FA0"/>
    <w:rsid w:val="00AB587B"/>
    <w:rsid w:val="00AC09AA"/>
    <w:rsid w:val="00AC1771"/>
    <w:rsid w:val="00AC1846"/>
    <w:rsid w:val="00AC1D3F"/>
    <w:rsid w:val="00AD0678"/>
    <w:rsid w:val="00AD0726"/>
    <w:rsid w:val="00AD2327"/>
    <w:rsid w:val="00AD2BBC"/>
    <w:rsid w:val="00AD7B7F"/>
    <w:rsid w:val="00AE0650"/>
    <w:rsid w:val="00AE1291"/>
    <w:rsid w:val="00AE362F"/>
    <w:rsid w:val="00B00F2B"/>
    <w:rsid w:val="00B01AF5"/>
    <w:rsid w:val="00B02567"/>
    <w:rsid w:val="00B02705"/>
    <w:rsid w:val="00B03DAD"/>
    <w:rsid w:val="00B03DDE"/>
    <w:rsid w:val="00B05762"/>
    <w:rsid w:val="00B05C1E"/>
    <w:rsid w:val="00B065D8"/>
    <w:rsid w:val="00B07E38"/>
    <w:rsid w:val="00B1042B"/>
    <w:rsid w:val="00B14053"/>
    <w:rsid w:val="00B20E10"/>
    <w:rsid w:val="00B21587"/>
    <w:rsid w:val="00B218EA"/>
    <w:rsid w:val="00B22B70"/>
    <w:rsid w:val="00B2665C"/>
    <w:rsid w:val="00B26783"/>
    <w:rsid w:val="00B278DC"/>
    <w:rsid w:val="00B31AD3"/>
    <w:rsid w:val="00B31ADD"/>
    <w:rsid w:val="00B35072"/>
    <w:rsid w:val="00B35BE7"/>
    <w:rsid w:val="00B35D1D"/>
    <w:rsid w:val="00B36A76"/>
    <w:rsid w:val="00B42BB7"/>
    <w:rsid w:val="00B4301A"/>
    <w:rsid w:val="00B4558C"/>
    <w:rsid w:val="00B500C3"/>
    <w:rsid w:val="00B51087"/>
    <w:rsid w:val="00B53CCE"/>
    <w:rsid w:val="00B54209"/>
    <w:rsid w:val="00B55F3B"/>
    <w:rsid w:val="00B61169"/>
    <w:rsid w:val="00B6280C"/>
    <w:rsid w:val="00B67326"/>
    <w:rsid w:val="00B7017E"/>
    <w:rsid w:val="00B73A2F"/>
    <w:rsid w:val="00B74310"/>
    <w:rsid w:val="00B77C98"/>
    <w:rsid w:val="00B825C8"/>
    <w:rsid w:val="00B8575A"/>
    <w:rsid w:val="00B85CE9"/>
    <w:rsid w:val="00B87A3B"/>
    <w:rsid w:val="00B909DA"/>
    <w:rsid w:val="00B9166E"/>
    <w:rsid w:val="00B94E0D"/>
    <w:rsid w:val="00B959D1"/>
    <w:rsid w:val="00B96B9B"/>
    <w:rsid w:val="00B97110"/>
    <w:rsid w:val="00BA251E"/>
    <w:rsid w:val="00BA4D7B"/>
    <w:rsid w:val="00BB4462"/>
    <w:rsid w:val="00BB4C0E"/>
    <w:rsid w:val="00BB78B2"/>
    <w:rsid w:val="00BC216E"/>
    <w:rsid w:val="00BC629E"/>
    <w:rsid w:val="00BC68DD"/>
    <w:rsid w:val="00BC77DE"/>
    <w:rsid w:val="00BD4B8F"/>
    <w:rsid w:val="00BD7320"/>
    <w:rsid w:val="00BE2CCD"/>
    <w:rsid w:val="00BE4D03"/>
    <w:rsid w:val="00BF1AD1"/>
    <w:rsid w:val="00BF32D7"/>
    <w:rsid w:val="00BF483D"/>
    <w:rsid w:val="00BF5539"/>
    <w:rsid w:val="00BF7395"/>
    <w:rsid w:val="00C133EF"/>
    <w:rsid w:val="00C14406"/>
    <w:rsid w:val="00C1473E"/>
    <w:rsid w:val="00C15666"/>
    <w:rsid w:val="00C15A6A"/>
    <w:rsid w:val="00C169B9"/>
    <w:rsid w:val="00C200E9"/>
    <w:rsid w:val="00C20572"/>
    <w:rsid w:val="00C253D8"/>
    <w:rsid w:val="00C4100F"/>
    <w:rsid w:val="00C412DC"/>
    <w:rsid w:val="00C42CF4"/>
    <w:rsid w:val="00C44880"/>
    <w:rsid w:val="00C51669"/>
    <w:rsid w:val="00C56AC4"/>
    <w:rsid w:val="00C625F5"/>
    <w:rsid w:val="00C64973"/>
    <w:rsid w:val="00C67034"/>
    <w:rsid w:val="00C6724A"/>
    <w:rsid w:val="00C70F81"/>
    <w:rsid w:val="00C71DE0"/>
    <w:rsid w:val="00C734D6"/>
    <w:rsid w:val="00C768D0"/>
    <w:rsid w:val="00C76A42"/>
    <w:rsid w:val="00C77776"/>
    <w:rsid w:val="00C815ED"/>
    <w:rsid w:val="00C84C1C"/>
    <w:rsid w:val="00C920D8"/>
    <w:rsid w:val="00C958E4"/>
    <w:rsid w:val="00CA0905"/>
    <w:rsid w:val="00CA0DCA"/>
    <w:rsid w:val="00CA3316"/>
    <w:rsid w:val="00CA5653"/>
    <w:rsid w:val="00CA7982"/>
    <w:rsid w:val="00CB1283"/>
    <w:rsid w:val="00CB55F8"/>
    <w:rsid w:val="00CC13CF"/>
    <w:rsid w:val="00CC56AF"/>
    <w:rsid w:val="00CD1FDE"/>
    <w:rsid w:val="00CD4681"/>
    <w:rsid w:val="00CD5F09"/>
    <w:rsid w:val="00CD67C5"/>
    <w:rsid w:val="00CD6B94"/>
    <w:rsid w:val="00CD7A37"/>
    <w:rsid w:val="00CE2BFD"/>
    <w:rsid w:val="00CE6CBF"/>
    <w:rsid w:val="00CE6E61"/>
    <w:rsid w:val="00CF1123"/>
    <w:rsid w:val="00CF2D62"/>
    <w:rsid w:val="00CF68CA"/>
    <w:rsid w:val="00D03E4C"/>
    <w:rsid w:val="00D108D6"/>
    <w:rsid w:val="00D1379B"/>
    <w:rsid w:val="00D13BB3"/>
    <w:rsid w:val="00D16460"/>
    <w:rsid w:val="00D17849"/>
    <w:rsid w:val="00D20EB2"/>
    <w:rsid w:val="00D21D9E"/>
    <w:rsid w:val="00D22933"/>
    <w:rsid w:val="00D2380F"/>
    <w:rsid w:val="00D23FFE"/>
    <w:rsid w:val="00D2508A"/>
    <w:rsid w:val="00D26057"/>
    <w:rsid w:val="00D2726E"/>
    <w:rsid w:val="00D31F94"/>
    <w:rsid w:val="00D34A30"/>
    <w:rsid w:val="00D36449"/>
    <w:rsid w:val="00D430CC"/>
    <w:rsid w:val="00D43F91"/>
    <w:rsid w:val="00D45E01"/>
    <w:rsid w:val="00D479A3"/>
    <w:rsid w:val="00D50C91"/>
    <w:rsid w:val="00D519E6"/>
    <w:rsid w:val="00D554B2"/>
    <w:rsid w:val="00D5722C"/>
    <w:rsid w:val="00D60C2F"/>
    <w:rsid w:val="00D63D2B"/>
    <w:rsid w:val="00D655BF"/>
    <w:rsid w:val="00D705AB"/>
    <w:rsid w:val="00D70EA1"/>
    <w:rsid w:val="00D7259D"/>
    <w:rsid w:val="00D74D01"/>
    <w:rsid w:val="00D76B64"/>
    <w:rsid w:val="00D80FBB"/>
    <w:rsid w:val="00D816AD"/>
    <w:rsid w:val="00D83669"/>
    <w:rsid w:val="00D9070E"/>
    <w:rsid w:val="00D90C05"/>
    <w:rsid w:val="00D93629"/>
    <w:rsid w:val="00D97C88"/>
    <w:rsid w:val="00DA1D2F"/>
    <w:rsid w:val="00DA3270"/>
    <w:rsid w:val="00DA6DB7"/>
    <w:rsid w:val="00DB021C"/>
    <w:rsid w:val="00DB02B1"/>
    <w:rsid w:val="00DB1E2C"/>
    <w:rsid w:val="00DB309A"/>
    <w:rsid w:val="00DB4A1D"/>
    <w:rsid w:val="00DB4BD4"/>
    <w:rsid w:val="00DB550B"/>
    <w:rsid w:val="00DB7277"/>
    <w:rsid w:val="00DB79D2"/>
    <w:rsid w:val="00DC0C14"/>
    <w:rsid w:val="00DC246D"/>
    <w:rsid w:val="00DC3572"/>
    <w:rsid w:val="00DC3DD8"/>
    <w:rsid w:val="00DC6531"/>
    <w:rsid w:val="00DD1654"/>
    <w:rsid w:val="00DD186C"/>
    <w:rsid w:val="00DD321B"/>
    <w:rsid w:val="00DD4747"/>
    <w:rsid w:val="00DD5BF3"/>
    <w:rsid w:val="00DE02E8"/>
    <w:rsid w:val="00DE0788"/>
    <w:rsid w:val="00DE344D"/>
    <w:rsid w:val="00DE3567"/>
    <w:rsid w:val="00DE42EF"/>
    <w:rsid w:val="00DE4885"/>
    <w:rsid w:val="00DE4A22"/>
    <w:rsid w:val="00E01891"/>
    <w:rsid w:val="00E01D0F"/>
    <w:rsid w:val="00E05465"/>
    <w:rsid w:val="00E0562A"/>
    <w:rsid w:val="00E11916"/>
    <w:rsid w:val="00E1385F"/>
    <w:rsid w:val="00E13DDE"/>
    <w:rsid w:val="00E14F2B"/>
    <w:rsid w:val="00E15A61"/>
    <w:rsid w:val="00E236A6"/>
    <w:rsid w:val="00E24823"/>
    <w:rsid w:val="00E33B56"/>
    <w:rsid w:val="00E34CB8"/>
    <w:rsid w:val="00E35FEB"/>
    <w:rsid w:val="00E501AD"/>
    <w:rsid w:val="00E5291F"/>
    <w:rsid w:val="00E5339E"/>
    <w:rsid w:val="00E5440E"/>
    <w:rsid w:val="00E54BD7"/>
    <w:rsid w:val="00E567E9"/>
    <w:rsid w:val="00E57BE3"/>
    <w:rsid w:val="00E60828"/>
    <w:rsid w:val="00E61FB5"/>
    <w:rsid w:val="00E63D0E"/>
    <w:rsid w:val="00E66628"/>
    <w:rsid w:val="00E678FC"/>
    <w:rsid w:val="00E7327A"/>
    <w:rsid w:val="00E76A23"/>
    <w:rsid w:val="00E80C52"/>
    <w:rsid w:val="00E83640"/>
    <w:rsid w:val="00E8382A"/>
    <w:rsid w:val="00E84EB1"/>
    <w:rsid w:val="00E85CFC"/>
    <w:rsid w:val="00E9125E"/>
    <w:rsid w:val="00E91D7E"/>
    <w:rsid w:val="00E92330"/>
    <w:rsid w:val="00E92BB2"/>
    <w:rsid w:val="00E947A6"/>
    <w:rsid w:val="00E968D8"/>
    <w:rsid w:val="00E97052"/>
    <w:rsid w:val="00EA03D1"/>
    <w:rsid w:val="00EA12F2"/>
    <w:rsid w:val="00EA19B6"/>
    <w:rsid w:val="00EA3B7E"/>
    <w:rsid w:val="00EA5F71"/>
    <w:rsid w:val="00EA72F1"/>
    <w:rsid w:val="00EB2BBA"/>
    <w:rsid w:val="00EB343E"/>
    <w:rsid w:val="00EB38F1"/>
    <w:rsid w:val="00EB6897"/>
    <w:rsid w:val="00EC1C8E"/>
    <w:rsid w:val="00EC27FD"/>
    <w:rsid w:val="00EC29DA"/>
    <w:rsid w:val="00EC389F"/>
    <w:rsid w:val="00EC3BF9"/>
    <w:rsid w:val="00EC47E7"/>
    <w:rsid w:val="00EC7BC8"/>
    <w:rsid w:val="00ED2BAC"/>
    <w:rsid w:val="00ED33E7"/>
    <w:rsid w:val="00ED3D4D"/>
    <w:rsid w:val="00ED447E"/>
    <w:rsid w:val="00ED4A0D"/>
    <w:rsid w:val="00ED6246"/>
    <w:rsid w:val="00ED73F2"/>
    <w:rsid w:val="00ED7DD7"/>
    <w:rsid w:val="00EE19AD"/>
    <w:rsid w:val="00EE4523"/>
    <w:rsid w:val="00EE4F72"/>
    <w:rsid w:val="00EE5FE1"/>
    <w:rsid w:val="00EF081F"/>
    <w:rsid w:val="00EF3150"/>
    <w:rsid w:val="00EF35E0"/>
    <w:rsid w:val="00EF4B5A"/>
    <w:rsid w:val="00EF6650"/>
    <w:rsid w:val="00F016D5"/>
    <w:rsid w:val="00F03610"/>
    <w:rsid w:val="00F03C99"/>
    <w:rsid w:val="00F0473C"/>
    <w:rsid w:val="00F0721E"/>
    <w:rsid w:val="00F125E2"/>
    <w:rsid w:val="00F13251"/>
    <w:rsid w:val="00F1528F"/>
    <w:rsid w:val="00F17252"/>
    <w:rsid w:val="00F2107A"/>
    <w:rsid w:val="00F21288"/>
    <w:rsid w:val="00F26662"/>
    <w:rsid w:val="00F26D26"/>
    <w:rsid w:val="00F279D4"/>
    <w:rsid w:val="00F34821"/>
    <w:rsid w:val="00F443DA"/>
    <w:rsid w:val="00F44B27"/>
    <w:rsid w:val="00F50FC8"/>
    <w:rsid w:val="00F5582F"/>
    <w:rsid w:val="00F56C56"/>
    <w:rsid w:val="00F577F7"/>
    <w:rsid w:val="00F60851"/>
    <w:rsid w:val="00F60885"/>
    <w:rsid w:val="00F70671"/>
    <w:rsid w:val="00F74358"/>
    <w:rsid w:val="00F76431"/>
    <w:rsid w:val="00F80015"/>
    <w:rsid w:val="00F80634"/>
    <w:rsid w:val="00F833BC"/>
    <w:rsid w:val="00F841FD"/>
    <w:rsid w:val="00F84A7F"/>
    <w:rsid w:val="00F87FF9"/>
    <w:rsid w:val="00F91269"/>
    <w:rsid w:val="00F935E2"/>
    <w:rsid w:val="00F93A23"/>
    <w:rsid w:val="00F94658"/>
    <w:rsid w:val="00F95A11"/>
    <w:rsid w:val="00F97C98"/>
    <w:rsid w:val="00FA2C13"/>
    <w:rsid w:val="00FA44DD"/>
    <w:rsid w:val="00FA7598"/>
    <w:rsid w:val="00FC0851"/>
    <w:rsid w:val="00FC3FD9"/>
    <w:rsid w:val="00FC5F9E"/>
    <w:rsid w:val="00FC7043"/>
    <w:rsid w:val="00FD0C12"/>
    <w:rsid w:val="00FD5CD5"/>
    <w:rsid w:val="00FD7648"/>
    <w:rsid w:val="00FD76D7"/>
    <w:rsid w:val="00FE3D4D"/>
    <w:rsid w:val="00FF1DAE"/>
    <w:rsid w:val="00FF2F1F"/>
    <w:rsid w:val="00FF4744"/>
    <w:rsid w:val="00FF5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1B18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67A"/>
    <w:pPr>
      <w:spacing w:after="120" w:line="240" w:lineRule="auto"/>
    </w:pPr>
    <w:rPr>
      <w:rFonts w:eastAsia="Times New Roman"/>
      <w:sz w:val="24"/>
      <w:szCs w:val="24"/>
    </w:rPr>
  </w:style>
  <w:style w:type="paragraph" w:styleId="Heading1">
    <w:name w:val="heading 1"/>
    <w:aliases w:val="2nd level"/>
    <w:basedOn w:val="Normal"/>
    <w:next w:val="Normal"/>
    <w:link w:val="Heading1Char"/>
    <w:uiPriority w:val="99"/>
    <w:qFormat/>
    <w:rsid w:val="00CE6CBF"/>
    <w:pPr>
      <w:keepNext/>
      <w:spacing w:before="240" w:after="60"/>
      <w:ind w:left="720" w:hanging="720"/>
      <w:outlineLvl w:val="0"/>
    </w:pPr>
    <w:rPr>
      <w:b/>
      <w:bCs/>
      <w:kern w:val="32"/>
      <w:sz w:val="26"/>
      <w:szCs w:val="32"/>
    </w:rPr>
  </w:style>
  <w:style w:type="paragraph" w:styleId="Heading2">
    <w:name w:val="heading 2"/>
    <w:basedOn w:val="Normal"/>
    <w:next w:val="Normal"/>
    <w:link w:val="Heading2Char"/>
    <w:uiPriority w:val="9"/>
    <w:unhideWhenUsed/>
    <w:qFormat/>
    <w:rsid w:val="00CE6CBF"/>
    <w:pPr>
      <w:keepNext/>
      <w:keepLines/>
      <w:spacing w:before="200" w:after="0" w:line="276" w:lineRule="auto"/>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E6CBF"/>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nd level Char"/>
    <w:basedOn w:val="DefaultParagraphFont"/>
    <w:link w:val="Heading1"/>
    <w:uiPriority w:val="99"/>
    <w:rsid w:val="00CE6CBF"/>
    <w:rPr>
      <w:rFonts w:eastAsia="Times New Roman"/>
      <w:b/>
      <w:bCs/>
      <w:kern w:val="32"/>
      <w:sz w:val="26"/>
      <w:szCs w:val="32"/>
    </w:rPr>
  </w:style>
  <w:style w:type="paragraph" w:styleId="ListBullet">
    <w:name w:val="List Bullet"/>
    <w:basedOn w:val="Normal"/>
    <w:link w:val="ListBulletChar"/>
    <w:rsid w:val="0041269B"/>
    <w:pPr>
      <w:numPr>
        <w:numId w:val="1"/>
      </w:numPr>
    </w:pPr>
    <w:rPr>
      <w:sz w:val="22"/>
      <w:szCs w:val="22"/>
    </w:rPr>
  </w:style>
  <w:style w:type="character" w:customStyle="1" w:styleId="ListBulletChar">
    <w:name w:val="List Bullet Char"/>
    <w:basedOn w:val="DefaultParagraphFont"/>
    <w:link w:val="ListBullet"/>
    <w:rsid w:val="0041269B"/>
    <w:rPr>
      <w:rFonts w:eastAsia="Times New Roman"/>
    </w:rPr>
  </w:style>
  <w:style w:type="paragraph" w:styleId="ListParagraph">
    <w:name w:val="List Paragraph"/>
    <w:basedOn w:val="Normal"/>
    <w:uiPriority w:val="34"/>
    <w:qFormat/>
    <w:rsid w:val="0041269B"/>
    <w:pPr>
      <w:ind w:left="720"/>
      <w:contextualSpacing/>
    </w:pPr>
  </w:style>
  <w:style w:type="paragraph" w:styleId="Header">
    <w:name w:val="header"/>
    <w:basedOn w:val="Normal"/>
    <w:link w:val="HeaderChar"/>
    <w:uiPriority w:val="99"/>
    <w:unhideWhenUsed/>
    <w:rsid w:val="00EC1C8E"/>
    <w:pPr>
      <w:tabs>
        <w:tab w:val="center" w:pos="4680"/>
        <w:tab w:val="right" w:pos="9360"/>
      </w:tabs>
      <w:spacing w:after="0"/>
    </w:pPr>
  </w:style>
  <w:style w:type="character" w:customStyle="1" w:styleId="HeaderChar">
    <w:name w:val="Header Char"/>
    <w:basedOn w:val="DefaultParagraphFont"/>
    <w:link w:val="Header"/>
    <w:uiPriority w:val="99"/>
    <w:rsid w:val="00EC1C8E"/>
    <w:rPr>
      <w:rFonts w:eastAsia="Times New Roman"/>
      <w:sz w:val="24"/>
      <w:szCs w:val="24"/>
    </w:rPr>
  </w:style>
  <w:style w:type="paragraph" w:styleId="Footer">
    <w:name w:val="footer"/>
    <w:basedOn w:val="Normal"/>
    <w:link w:val="FooterChar"/>
    <w:uiPriority w:val="99"/>
    <w:unhideWhenUsed/>
    <w:rsid w:val="00EC1C8E"/>
    <w:pPr>
      <w:tabs>
        <w:tab w:val="center" w:pos="4680"/>
        <w:tab w:val="right" w:pos="9360"/>
      </w:tabs>
      <w:spacing w:after="0"/>
    </w:pPr>
  </w:style>
  <w:style w:type="character" w:customStyle="1" w:styleId="FooterChar">
    <w:name w:val="Footer Char"/>
    <w:basedOn w:val="DefaultParagraphFont"/>
    <w:link w:val="Footer"/>
    <w:uiPriority w:val="99"/>
    <w:rsid w:val="00EC1C8E"/>
    <w:rPr>
      <w:rFonts w:eastAsia="Times New Roman"/>
      <w:sz w:val="24"/>
      <w:szCs w:val="24"/>
    </w:rPr>
  </w:style>
  <w:style w:type="paragraph" w:styleId="BodyTextIndent">
    <w:name w:val="Body Text Indent"/>
    <w:basedOn w:val="Normal"/>
    <w:link w:val="BodyTextIndentChar"/>
    <w:rsid w:val="00B278DC"/>
    <w:pPr>
      <w:widowControl w:val="0"/>
      <w:spacing w:after="0"/>
      <w:ind w:firstLine="720"/>
    </w:pPr>
    <w:rPr>
      <w:snapToGrid w:val="0"/>
      <w:szCs w:val="20"/>
    </w:rPr>
  </w:style>
  <w:style w:type="character" w:customStyle="1" w:styleId="BodyTextIndentChar">
    <w:name w:val="Body Text Indent Char"/>
    <w:basedOn w:val="DefaultParagraphFont"/>
    <w:link w:val="BodyTextIndent"/>
    <w:rsid w:val="00B278DC"/>
    <w:rPr>
      <w:rFonts w:eastAsia="Times New Roman"/>
      <w:snapToGrid w:val="0"/>
      <w:sz w:val="24"/>
      <w:szCs w:val="20"/>
    </w:rPr>
  </w:style>
  <w:style w:type="paragraph" w:styleId="FootnoteText">
    <w:name w:val="footnote text"/>
    <w:aliases w:val="F1,Tablenote Text"/>
    <w:basedOn w:val="Normal"/>
    <w:link w:val="FootnoteTextChar"/>
    <w:uiPriority w:val="99"/>
    <w:rsid w:val="00983BD7"/>
    <w:rPr>
      <w:sz w:val="20"/>
      <w:szCs w:val="20"/>
    </w:rPr>
  </w:style>
  <w:style w:type="character" w:customStyle="1" w:styleId="FootnoteTextChar">
    <w:name w:val="Footnote Text Char"/>
    <w:aliases w:val="F1 Char,Tablenote Text Char"/>
    <w:basedOn w:val="DefaultParagraphFont"/>
    <w:link w:val="FootnoteText"/>
    <w:uiPriority w:val="99"/>
    <w:rsid w:val="00983BD7"/>
    <w:rPr>
      <w:rFonts w:eastAsia="Times New Roman"/>
      <w:sz w:val="20"/>
      <w:szCs w:val="20"/>
    </w:rPr>
  </w:style>
  <w:style w:type="character" w:styleId="FootnoteReference">
    <w:name w:val="footnote reference"/>
    <w:basedOn w:val="DefaultParagraphFont"/>
    <w:uiPriority w:val="99"/>
    <w:rsid w:val="00983BD7"/>
    <w:rPr>
      <w:vertAlign w:val="superscript"/>
    </w:rPr>
  </w:style>
  <w:style w:type="table" w:styleId="TableGrid">
    <w:name w:val="Table Grid"/>
    <w:basedOn w:val="TableNormal"/>
    <w:rsid w:val="00983BD7"/>
    <w:pPr>
      <w:spacing w:after="12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83BD7"/>
    <w:rPr>
      <w:sz w:val="16"/>
      <w:szCs w:val="16"/>
    </w:rPr>
  </w:style>
  <w:style w:type="paragraph" w:styleId="CommentText">
    <w:name w:val="annotation text"/>
    <w:basedOn w:val="Normal"/>
    <w:link w:val="CommentTextChar"/>
    <w:uiPriority w:val="99"/>
    <w:unhideWhenUsed/>
    <w:rsid w:val="00983BD7"/>
    <w:rPr>
      <w:sz w:val="20"/>
      <w:szCs w:val="20"/>
    </w:rPr>
  </w:style>
  <w:style w:type="character" w:customStyle="1" w:styleId="CommentTextChar">
    <w:name w:val="Comment Text Char"/>
    <w:basedOn w:val="DefaultParagraphFont"/>
    <w:link w:val="CommentText"/>
    <w:uiPriority w:val="99"/>
    <w:rsid w:val="00983BD7"/>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983BD7"/>
    <w:rPr>
      <w:b/>
      <w:bCs/>
    </w:rPr>
  </w:style>
  <w:style w:type="character" w:customStyle="1" w:styleId="CommentSubjectChar">
    <w:name w:val="Comment Subject Char"/>
    <w:basedOn w:val="CommentTextChar"/>
    <w:link w:val="CommentSubject"/>
    <w:uiPriority w:val="99"/>
    <w:semiHidden/>
    <w:rsid w:val="00983BD7"/>
    <w:rPr>
      <w:rFonts w:eastAsia="Times New Roman"/>
      <w:b/>
      <w:bCs/>
      <w:sz w:val="20"/>
      <w:szCs w:val="20"/>
    </w:rPr>
  </w:style>
  <w:style w:type="paragraph" w:styleId="BalloonText">
    <w:name w:val="Balloon Text"/>
    <w:basedOn w:val="Normal"/>
    <w:link w:val="BalloonTextChar"/>
    <w:uiPriority w:val="99"/>
    <w:semiHidden/>
    <w:unhideWhenUsed/>
    <w:rsid w:val="00983BD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BD7"/>
    <w:rPr>
      <w:rFonts w:ascii="Tahoma" w:eastAsia="Times New Roman" w:hAnsi="Tahoma" w:cs="Tahoma"/>
      <w:sz w:val="16"/>
      <w:szCs w:val="16"/>
    </w:rPr>
  </w:style>
  <w:style w:type="paragraph" w:styleId="NoSpacing">
    <w:name w:val="No Spacing"/>
    <w:uiPriority w:val="1"/>
    <w:qFormat/>
    <w:rsid w:val="00472B80"/>
    <w:pPr>
      <w:spacing w:after="0" w:line="240" w:lineRule="auto"/>
    </w:pPr>
    <w:rPr>
      <w:rFonts w:eastAsia="Times New Roman"/>
      <w:sz w:val="24"/>
      <w:szCs w:val="24"/>
    </w:rPr>
  </w:style>
  <w:style w:type="character" w:styleId="Hyperlink">
    <w:name w:val="Hyperlink"/>
    <w:uiPriority w:val="99"/>
    <w:rsid w:val="00A162AA"/>
    <w:rPr>
      <w:rFonts w:cs="Times New Roman"/>
      <w:color w:val="0000FF"/>
      <w:u w:val="single"/>
    </w:rPr>
  </w:style>
  <w:style w:type="paragraph" w:customStyle="1" w:styleId="Default">
    <w:name w:val="Default"/>
    <w:rsid w:val="001F2FCC"/>
    <w:pPr>
      <w:autoSpaceDE w:val="0"/>
      <w:autoSpaceDN w:val="0"/>
      <w:adjustRightInd w:val="0"/>
      <w:spacing w:after="0" w:line="240" w:lineRule="auto"/>
    </w:pPr>
    <w:rPr>
      <w:rFonts w:ascii="Georgia" w:hAnsi="Georgia" w:cs="Georgia"/>
      <w:color w:val="000000"/>
      <w:sz w:val="24"/>
      <w:szCs w:val="24"/>
    </w:rPr>
  </w:style>
  <w:style w:type="character" w:customStyle="1" w:styleId="apple-converted-space">
    <w:name w:val="apple-converted-space"/>
    <w:basedOn w:val="DefaultParagraphFont"/>
    <w:rsid w:val="00A23161"/>
  </w:style>
  <w:style w:type="character" w:customStyle="1" w:styleId="Heading2Char">
    <w:name w:val="Heading 2 Char"/>
    <w:basedOn w:val="DefaultParagraphFont"/>
    <w:link w:val="Heading2"/>
    <w:uiPriority w:val="9"/>
    <w:rsid w:val="00CE6CBF"/>
    <w:rPr>
      <w:rFonts w:eastAsiaTheme="majorEastAsia" w:cstheme="majorBidi"/>
      <w:b/>
      <w:bCs/>
      <w:sz w:val="24"/>
      <w:szCs w:val="26"/>
    </w:rPr>
  </w:style>
  <w:style w:type="paragraph" w:customStyle="1" w:styleId="ICFProposalText">
    <w:name w:val="ICF Proposal Text"/>
    <w:basedOn w:val="Normal"/>
    <w:qFormat/>
    <w:rsid w:val="0032453D"/>
    <w:rPr>
      <w:rFonts w:ascii="Arial Narrow" w:hAnsi="Arial Narrow"/>
      <w:sz w:val="21"/>
      <w:szCs w:val="22"/>
    </w:rPr>
  </w:style>
  <w:style w:type="paragraph" w:styleId="Revision">
    <w:name w:val="Revision"/>
    <w:hidden/>
    <w:uiPriority w:val="99"/>
    <w:semiHidden/>
    <w:rsid w:val="005A1CDF"/>
    <w:pPr>
      <w:spacing w:after="0" w:line="240" w:lineRule="auto"/>
    </w:pPr>
    <w:rPr>
      <w:rFonts w:eastAsia="Times New Roman"/>
      <w:sz w:val="24"/>
      <w:szCs w:val="24"/>
    </w:rPr>
  </w:style>
  <w:style w:type="table" w:customStyle="1" w:styleId="TableGrid1">
    <w:name w:val="Table Grid1"/>
    <w:basedOn w:val="TableNormal"/>
    <w:next w:val="TableGrid"/>
    <w:uiPriority w:val="59"/>
    <w:rsid w:val="0073212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B66B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E6CBF"/>
    <w:rPr>
      <w:rFonts w:eastAsiaTheme="majorEastAsia" w:cstheme="majorBidi"/>
      <w:b/>
      <w:sz w:val="24"/>
      <w:szCs w:val="24"/>
    </w:rPr>
  </w:style>
  <w:style w:type="paragraph" w:styleId="TOCHeading">
    <w:name w:val="TOC Heading"/>
    <w:basedOn w:val="Heading1"/>
    <w:next w:val="Normal"/>
    <w:uiPriority w:val="39"/>
    <w:unhideWhenUsed/>
    <w:qFormat/>
    <w:rsid w:val="00CE6CBF"/>
    <w:pPr>
      <w:keepLines/>
      <w:spacing w:after="0" w:line="259" w:lineRule="auto"/>
      <w:ind w:left="0" w:firstLine="0"/>
      <w:outlineLvl w:val="9"/>
    </w:pPr>
    <w:rPr>
      <w:rFonts w:asciiTheme="majorHAnsi" w:eastAsiaTheme="majorEastAsia" w:hAnsiTheme="majorHAnsi" w:cstheme="majorBidi"/>
      <w:b w:val="0"/>
      <w:bCs w:val="0"/>
      <w:color w:val="365F91" w:themeColor="accent1" w:themeShade="BF"/>
      <w:kern w:val="0"/>
      <w:sz w:val="32"/>
    </w:rPr>
  </w:style>
  <w:style w:type="paragraph" w:styleId="TOC1">
    <w:name w:val="toc 1"/>
    <w:basedOn w:val="Normal"/>
    <w:next w:val="Normal"/>
    <w:autoRedefine/>
    <w:uiPriority w:val="39"/>
    <w:unhideWhenUsed/>
    <w:rsid w:val="00CE6CBF"/>
    <w:pPr>
      <w:spacing w:after="100"/>
    </w:pPr>
  </w:style>
  <w:style w:type="paragraph" w:styleId="TOC2">
    <w:name w:val="toc 2"/>
    <w:basedOn w:val="Normal"/>
    <w:next w:val="Normal"/>
    <w:autoRedefine/>
    <w:uiPriority w:val="39"/>
    <w:unhideWhenUsed/>
    <w:rsid w:val="00CE6CBF"/>
    <w:pPr>
      <w:spacing w:after="100"/>
      <w:ind w:left="240"/>
    </w:pPr>
  </w:style>
  <w:style w:type="paragraph" w:styleId="TOC3">
    <w:name w:val="toc 3"/>
    <w:basedOn w:val="Normal"/>
    <w:next w:val="Normal"/>
    <w:autoRedefine/>
    <w:uiPriority w:val="39"/>
    <w:unhideWhenUsed/>
    <w:rsid w:val="00CE6CBF"/>
    <w:pPr>
      <w:spacing w:after="100"/>
      <w:ind w:left="480"/>
    </w:pPr>
  </w:style>
  <w:style w:type="paragraph" w:styleId="BodyText">
    <w:name w:val="Body Text"/>
    <w:basedOn w:val="Normal"/>
    <w:link w:val="BodyTextChar"/>
    <w:uiPriority w:val="99"/>
    <w:unhideWhenUsed/>
    <w:rsid w:val="008B6480"/>
  </w:style>
  <w:style w:type="character" w:customStyle="1" w:styleId="BodyTextChar">
    <w:name w:val="Body Text Char"/>
    <w:basedOn w:val="DefaultParagraphFont"/>
    <w:link w:val="BodyText"/>
    <w:uiPriority w:val="99"/>
    <w:rsid w:val="008B6480"/>
    <w:rPr>
      <w:rFonts w:eastAsia="Times New Roman"/>
      <w:sz w:val="24"/>
      <w:szCs w:val="24"/>
    </w:rPr>
  </w:style>
  <w:style w:type="paragraph" w:customStyle="1" w:styleId="TableText">
    <w:name w:val="Table Text"/>
    <w:basedOn w:val="Normal"/>
    <w:link w:val="TableTextChar"/>
    <w:qFormat/>
    <w:rsid w:val="008B6480"/>
    <w:pPr>
      <w:spacing w:before="40" w:after="40" w:line="264" w:lineRule="auto"/>
    </w:pPr>
    <w:rPr>
      <w:rFonts w:ascii="Arial" w:hAnsi="Arial" w:cs="Arial"/>
      <w:bCs/>
      <w:color w:val="000000"/>
      <w:sz w:val="20"/>
      <w:szCs w:val="20"/>
    </w:rPr>
  </w:style>
  <w:style w:type="paragraph" w:customStyle="1" w:styleId="ExhibitText">
    <w:name w:val="Exhibit Text"/>
    <w:basedOn w:val="TableText"/>
    <w:qFormat/>
    <w:rsid w:val="008B6480"/>
    <w:pPr>
      <w:spacing w:line="240" w:lineRule="auto"/>
    </w:pPr>
    <w:rPr>
      <w:rFonts w:ascii="Arial Narrow" w:hAnsi="Arial Narrow"/>
    </w:rPr>
  </w:style>
  <w:style w:type="paragraph" w:customStyle="1" w:styleId="ExhibitColumnHead">
    <w:name w:val="Exhibit Column Head"/>
    <w:qFormat/>
    <w:rsid w:val="008B6480"/>
    <w:pPr>
      <w:spacing w:after="0" w:line="240" w:lineRule="auto"/>
      <w:jc w:val="center"/>
    </w:pPr>
    <w:rPr>
      <w:rFonts w:ascii="Arial Narrow" w:eastAsia="Times New Roman" w:hAnsi="Arial Narrow" w:cs="Arial"/>
      <w:b/>
      <w:color w:val="000000" w:themeColor="text1"/>
      <w:sz w:val="20"/>
      <w:szCs w:val="20"/>
    </w:rPr>
  </w:style>
  <w:style w:type="character" w:customStyle="1" w:styleId="TableTextChar">
    <w:name w:val="Table Text Char"/>
    <w:link w:val="TableText"/>
    <w:rsid w:val="008B6480"/>
    <w:rPr>
      <w:rFonts w:ascii="Arial" w:eastAsia="Times New Roman" w:hAnsi="Arial" w:cs="Arial"/>
      <w:bCs/>
      <w:color w:val="000000"/>
      <w:sz w:val="20"/>
      <w:szCs w:val="20"/>
    </w:rPr>
  </w:style>
  <w:style w:type="paragraph" w:customStyle="1" w:styleId="aatablebullets">
    <w:name w:val="aa table bullets"/>
    <w:basedOn w:val="Normal"/>
    <w:rsid w:val="008B6480"/>
    <w:pPr>
      <w:numPr>
        <w:numId w:val="32"/>
      </w:numPr>
      <w:spacing w:after="0" w:line="240" w:lineRule="exact"/>
    </w:pPr>
    <w:rPr>
      <w:rFonts w:ascii="Arial Narrow" w:eastAsia="Albany AMT" w:hAnsi="Arial Narrow"/>
      <w:sz w:val="20"/>
    </w:rPr>
  </w:style>
  <w:style w:type="table" w:customStyle="1" w:styleId="TableGrid3">
    <w:name w:val="Table Grid3"/>
    <w:basedOn w:val="TableNormal"/>
    <w:next w:val="TableGrid"/>
    <w:uiPriority w:val="59"/>
    <w:rsid w:val="0057757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BodyText"/>
    <w:rsid w:val="00756D9E"/>
    <w:pPr>
      <w:numPr>
        <w:numId w:val="36"/>
      </w:numPr>
      <w:tabs>
        <w:tab w:val="num" w:pos="360"/>
      </w:tabs>
      <w:ind w:left="720" w:firstLine="0"/>
    </w:pPr>
    <w:rPr>
      <w:rFonts w:ascii="Palatino Linotype" w:eastAsia="Calibri" w:hAnsi="Palatino Linotype"/>
      <w:sz w:val="20"/>
      <w:szCs w:val="20"/>
    </w:rPr>
  </w:style>
  <w:style w:type="paragraph" w:styleId="Caption">
    <w:name w:val="caption"/>
    <w:basedOn w:val="Normal"/>
    <w:next w:val="Normal"/>
    <w:qFormat/>
    <w:rsid w:val="000B788A"/>
    <w:pPr>
      <w:keepNext/>
      <w:keepLines/>
      <w:widowControl w:val="0"/>
      <w:tabs>
        <w:tab w:val="left" w:pos="1440"/>
      </w:tabs>
      <w:spacing w:before="240" w:line="264" w:lineRule="auto"/>
      <w:ind w:left="1440" w:hanging="1440"/>
      <w:jc w:val="center"/>
    </w:pPr>
    <w:rPr>
      <w:rFonts w:ascii="Arial" w:hAnsi="Arial"/>
      <w:bCs/>
      <w:color w:val="1F497D"/>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67A"/>
    <w:pPr>
      <w:spacing w:after="120" w:line="240" w:lineRule="auto"/>
    </w:pPr>
    <w:rPr>
      <w:rFonts w:eastAsia="Times New Roman"/>
      <w:sz w:val="24"/>
      <w:szCs w:val="24"/>
    </w:rPr>
  </w:style>
  <w:style w:type="paragraph" w:styleId="Heading1">
    <w:name w:val="heading 1"/>
    <w:aliases w:val="2nd level"/>
    <w:basedOn w:val="Normal"/>
    <w:next w:val="Normal"/>
    <w:link w:val="Heading1Char"/>
    <w:uiPriority w:val="99"/>
    <w:qFormat/>
    <w:rsid w:val="00CE6CBF"/>
    <w:pPr>
      <w:keepNext/>
      <w:spacing w:before="240" w:after="60"/>
      <w:ind w:left="720" w:hanging="720"/>
      <w:outlineLvl w:val="0"/>
    </w:pPr>
    <w:rPr>
      <w:b/>
      <w:bCs/>
      <w:kern w:val="32"/>
      <w:sz w:val="26"/>
      <w:szCs w:val="32"/>
    </w:rPr>
  </w:style>
  <w:style w:type="paragraph" w:styleId="Heading2">
    <w:name w:val="heading 2"/>
    <w:basedOn w:val="Normal"/>
    <w:next w:val="Normal"/>
    <w:link w:val="Heading2Char"/>
    <w:uiPriority w:val="9"/>
    <w:unhideWhenUsed/>
    <w:qFormat/>
    <w:rsid w:val="00CE6CBF"/>
    <w:pPr>
      <w:keepNext/>
      <w:keepLines/>
      <w:spacing w:before="200" w:after="0" w:line="276" w:lineRule="auto"/>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E6CBF"/>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nd level Char"/>
    <w:basedOn w:val="DefaultParagraphFont"/>
    <w:link w:val="Heading1"/>
    <w:uiPriority w:val="99"/>
    <w:rsid w:val="00CE6CBF"/>
    <w:rPr>
      <w:rFonts w:eastAsia="Times New Roman"/>
      <w:b/>
      <w:bCs/>
      <w:kern w:val="32"/>
      <w:sz w:val="26"/>
      <w:szCs w:val="32"/>
    </w:rPr>
  </w:style>
  <w:style w:type="paragraph" w:styleId="ListBullet">
    <w:name w:val="List Bullet"/>
    <w:basedOn w:val="Normal"/>
    <w:link w:val="ListBulletChar"/>
    <w:rsid w:val="0041269B"/>
    <w:pPr>
      <w:numPr>
        <w:numId w:val="1"/>
      </w:numPr>
    </w:pPr>
    <w:rPr>
      <w:sz w:val="22"/>
      <w:szCs w:val="22"/>
    </w:rPr>
  </w:style>
  <w:style w:type="character" w:customStyle="1" w:styleId="ListBulletChar">
    <w:name w:val="List Bullet Char"/>
    <w:basedOn w:val="DefaultParagraphFont"/>
    <w:link w:val="ListBullet"/>
    <w:rsid w:val="0041269B"/>
    <w:rPr>
      <w:rFonts w:eastAsia="Times New Roman"/>
    </w:rPr>
  </w:style>
  <w:style w:type="paragraph" w:styleId="ListParagraph">
    <w:name w:val="List Paragraph"/>
    <w:basedOn w:val="Normal"/>
    <w:uiPriority w:val="34"/>
    <w:qFormat/>
    <w:rsid w:val="0041269B"/>
    <w:pPr>
      <w:ind w:left="720"/>
      <w:contextualSpacing/>
    </w:pPr>
  </w:style>
  <w:style w:type="paragraph" w:styleId="Header">
    <w:name w:val="header"/>
    <w:basedOn w:val="Normal"/>
    <w:link w:val="HeaderChar"/>
    <w:uiPriority w:val="99"/>
    <w:unhideWhenUsed/>
    <w:rsid w:val="00EC1C8E"/>
    <w:pPr>
      <w:tabs>
        <w:tab w:val="center" w:pos="4680"/>
        <w:tab w:val="right" w:pos="9360"/>
      </w:tabs>
      <w:spacing w:after="0"/>
    </w:pPr>
  </w:style>
  <w:style w:type="character" w:customStyle="1" w:styleId="HeaderChar">
    <w:name w:val="Header Char"/>
    <w:basedOn w:val="DefaultParagraphFont"/>
    <w:link w:val="Header"/>
    <w:uiPriority w:val="99"/>
    <w:rsid w:val="00EC1C8E"/>
    <w:rPr>
      <w:rFonts w:eastAsia="Times New Roman"/>
      <w:sz w:val="24"/>
      <w:szCs w:val="24"/>
    </w:rPr>
  </w:style>
  <w:style w:type="paragraph" w:styleId="Footer">
    <w:name w:val="footer"/>
    <w:basedOn w:val="Normal"/>
    <w:link w:val="FooterChar"/>
    <w:uiPriority w:val="99"/>
    <w:unhideWhenUsed/>
    <w:rsid w:val="00EC1C8E"/>
    <w:pPr>
      <w:tabs>
        <w:tab w:val="center" w:pos="4680"/>
        <w:tab w:val="right" w:pos="9360"/>
      </w:tabs>
      <w:spacing w:after="0"/>
    </w:pPr>
  </w:style>
  <w:style w:type="character" w:customStyle="1" w:styleId="FooterChar">
    <w:name w:val="Footer Char"/>
    <w:basedOn w:val="DefaultParagraphFont"/>
    <w:link w:val="Footer"/>
    <w:uiPriority w:val="99"/>
    <w:rsid w:val="00EC1C8E"/>
    <w:rPr>
      <w:rFonts w:eastAsia="Times New Roman"/>
      <w:sz w:val="24"/>
      <w:szCs w:val="24"/>
    </w:rPr>
  </w:style>
  <w:style w:type="paragraph" w:styleId="BodyTextIndent">
    <w:name w:val="Body Text Indent"/>
    <w:basedOn w:val="Normal"/>
    <w:link w:val="BodyTextIndentChar"/>
    <w:rsid w:val="00B278DC"/>
    <w:pPr>
      <w:widowControl w:val="0"/>
      <w:spacing w:after="0"/>
      <w:ind w:firstLine="720"/>
    </w:pPr>
    <w:rPr>
      <w:snapToGrid w:val="0"/>
      <w:szCs w:val="20"/>
    </w:rPr>
  </w:style>
  <w:style w:type="character" w:customStyle="1" w:styleId="BodyTextIndentChar">
    <w:name w:val="Body Text Indent Char"/>
    <w:basedOn w:val="DefaultParagraphFont"/>
    <w:link w:val="BodyTextIndent"/>
    <w:rsid w:val="00B278DC"/>
    <w:rPr>
      <w:rFonts w:eastAsia="Times New Roman"/>
      <w:snapToGrid w:val="0"/>
      <w:sz w:val="24"/>
      <w:szCs w:val="20"/>
    </w:rPr>
  </w:style>
  <w:style w:type="paragraph" w:styleId="FootnoteText">
    <w:name w:val="footnote text"/>
    <w:aliases w:val="F1,Tablenote Text"/>
    <w:basedOn w:val="Normal"/>
    <w:link w:val="FootnoteTextChar"/>
    <w:uiPriority w:val="99"/>
    <w:rsid w:val="00983BD7"/>
    <w:rPr>
      <w:sz w:val="20"/>
      <w:szCs w:val="20"/>
    </w:rPr>
  </w:style>
  <w:style w:type="character" w:customStyle="1" w:styleId="FootnoteTextChar">
    <w:name w:val="Footnote Text Char"/>
    <w:aliases w:val="F1 Char,Tablenote Text Char"/>
    <w:basedOn w:val="DefaultParagraphFont"/>
    <w:link w:val="FootnoteText"/>
    <w:uiPriority w:val="99"/>
    <w:rsid w:val="00983BD7"/>
    <w:rPr>
      <w:rFonts w:eastAsia="Times New Roman"/>
      <w:sz w:val="20"/>
      <w:szCs w:val="20"/>
    </w:rPr>
  </w:style>
  <w:style w:type="character" w:styleId="FootnoteReference">
    <w:name w:val="footnote reference"/>
    <w:basedOn w:val="DefaultParagraphFont"/>
    <w:uiPriority w:val="99"/>
    <w:rsid w:val="00983BD7"/>
    <w:rPr>
      <w:vertAlign w:val="superscript"/>
    </w:rPr>
  </w:style>
  <w:style w:type="table" w:styleId="TableGrid">
    <w:name w:val="Table Grid"/>
    <w:basedOn w:val="TableNormal"/>
    <w:rsid w:val="00983BD7"/>
    <w:pPr>
      <w:spacing w:after="12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83BD7"/>
    <w:rPr>
      <w:sz w:val="16"/>
      <w:szCs w:val="16"/>
    </w:rPr>
  </w:style>
  <w:style w:type="paragraph" w:styleId="CommentText">
    <w:name w:val="annotation text"/>
    <w:basedOn w:val="Normal"/>
    <w:link w:val="CommentTextChar"/>
    <w:uiPriority w:val="99"/>
    <w:unhideWhenUsed/>
    <w:rsid w:val="00983BD7"/>
    <w:rPr>
      <w:sz w:val="20"/>
      <w:szCs w:val="20"/>
    </w:rPr>
  </w:style>
  <w:style w:type="character" w:customStyle="1" w:styleId="CommentTextChar">
    <w:name w:val="Comment Text Char"/>
    <w:basedOn w:val="DefaultParagraphFont"/>
    <w:link w:val="CommentText"/>
    <w:uiPriority w:val="99"/>
    <w:rsid w:val="00983BD7"/>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983BD7"/>
    <w:rPr>
      <w:b/>
      <w:bCs/>
    </w:rPr>
  </w:style>
  <w:style w:type="character" w:customStyle="1" w:styleId="CommentSubjectChar">
    <w:name w:val="Comment Subject Char"/>
    <w:basedOn w:val="CommentTextChar"/>
    <w:link w:val="CommentSubject"/>
    <w:uiPriority w:val="99"/>
    <w:semiHidden/>
    <w:rsid w:val="00983BD7"/>
    <w:rPr>
      <w:rFonts w:eastAsia="Times New Roman"/>
      <w:b/>
      <w:bCs/>
      <w:sz w:val="20"/>
      <w:szCs w:val="20"/>
    </w:rPr>
  </w:style>
  <w:style w:type="paragraph" w:styleId="BalloonText">
    <w:name w:val="Balloon Text"/>
    <w:basedOn w:val="Normal"/>
    <w:link w:val="BalloonTextChar"/>
    <w:uiPriority w:val="99"/>
    <w:semiHidden/>
    <w:unhideWhenUsed/>
    <w:rsid w:val="00983BD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BD7"/>
    <w:rPr>
      <w:rFonts w:ascii="Tahoma" w:eastAsia="Times New Roman" w:hAnsi="Tahoma" w:cs="Tahoma"/>
      <w:sz w:val="16"/>
      <w:szCs w:val="16"/>
    </w:rPr>
  </w:style>
  <w:style w:type="paragraph" w:styleId="NoSpacing">
    <w:name w:val="No Spacing"/>
    <w:uiPriority w:val="1"/>
    <w:qFormat/>
    <w:rsid w:val="00472B80"/>
    <w:pPr>
      <w:spacing w:after="0" w:line="240" w:lineRule="auto"/>
    </w:pPr>
    <w:rPr>
      <w:rFonts w:eastAsia="Times New Roman"/>
      <w:sz w:val="24"/>
      <w:szCs w:val="24"/>
    </w:rPr>
  </w:style>
  <w:style w:type="character" w:styleId="Hyperlink">
    <w:name w:val="Hyperlink"/>
    <w:uiPriority w:val="99"/>
    <w:rsid w:val="00A162AA"/>
    <w:rPr>
      <w:rFonts w:cs="Times New Roman"/>
      <w:color w:val="0000FF"/>
      <w:u w:val="single"/>
    </w:rPr>
  </w:style>
  <w:style w:type="paragraph" w:customStyle="1" w:styleId="Default">
    <w:name w:val="Default"/>
    <w:rsid w:val="001F2FCC"/>
    <w:pPr>
      <w:autoSpaceDE w:val="0"/>
      <w:autoSpaceDN w:val="0"/>
      <w:adjustRightInd w:val="0"/>
      <w:spacing w:after="0" w:line="240" w:lineRule="auto"/>
    </w:pPr>
    <w:rPr>
      <w:rFonts w:ascii="Georgia" w:hAnsi="Georgia" w:cs="Georgia"/>
      <w:color w:val="000000"/>
      <w:sz w:val="24"/>
      <w:szCs w:val="24"/>
    </w:rPr>
  </w:style>
  <w:style w:type="character" w:customStyle="1" w:styleId="apple-converted-space">
    <w:name w:val="apple-converted-space"/>
    <w:basedOn w:val="DefaultParagraphFont"/>
    <w:rsid w:val="00A23161"/>
  </w:style>
  <w:style w:type="character" w:customStyle="1" w:styleId="Heading2Char">
    <w:name w:val="Heading 2 Char"/>
    <w:basedOn w:val="DefaultParagraphFont"/>
    <w:link w:val="Heading2"/>
    <w:uiPriority w:val="9"/>
    <w:rsid w:val="00CE6CBF"/>
    <w:rPr>
      <w:rFonts w:eastAsiaTheme="majorEastAsia" w:cstheme="majorBidi"/>
      <w:b/>
      <w:bCs/>
      <w:sz w:val="24"/>
      <w:szCs w:val="26"/>
    </w:rPr>
  </w:style>
  <w:style w:type="paragraph" w:customStyle="1" w:styleId="ICFProposalText">
    <w:name w:val="ICF Proposal Text"/>
    <w:basedOn w:val="Normal"/>
    <w:qFormat/>
    <w:rsid w:val="0032453D"/>
    <w:rPr>
      <w:rFonts w:ascii="Arial Narrow" w:hAnsi="Arial Narrow"/>
      <w:sz w:val="21"/>
      <w:szCs w:val="22"/>
    </w:rPr>
  </w:style>
  <w:style w:type="paragraph" w:styleId="Revision">
    <w:name w:val="Revision"/>
    <w:hidden/>
    <w:uiPriority w:val="99"/>
    <w:semiHidden/>
    <w:rsid w:val="005A1CDF"/>
    <w:pPr>
      <w:spacing w:after="0" w:line="240" w:lineRule="auto"/>
    </w:pPr>
    <w:rPr>
      <w:rFonts w:eastAsia="Times New Roman"/>
      <w:sz w:val="24"/>
      <w:szCs w:val="24"/>
    </w:rPr>
  </w:style>
  <w:style w:type="table" w:customStyle="1" w:styleId="TableGrid1">
    <w:name w:val="Table Grid1"/>
    <w:basedOn w:val="TableNormal"/>
    <w:next w:val="TableGrid"/>
    <w:uiPriority w:val="59"/>
    <w:rsid w:val="0073212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B66B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E6CBF"/>
    <w:rPr>
      <w:rFonts w:eastAsiaTheme="majorEastAsia" w:cstheme="majorBidi"/>
      <w:b/>
      <w:sz w:val="24"/>
      <w:szCs w:val="24"/>
    </w:rPr>
  </w:style>
  <w:style w:type="paragraph" w:styleId="TOCHeading">
    <w:name w:val="TOC Heading"/>
    <w:basedOn w:val="Heading1"/>
    <w:next w:val="Normal"/>
    <w:uiPriority w:val="39"/>
    <w:unhideWhenUsed/>
    <w:qFormat/>
    <w:rsid w:val="00CE6CBF"/>
    <w:pPr>
      <w:keepLines/>
      <w:spacing w:after="0" w:line="259" w:lineRule="auto"/>
      <w:ind w:left="0" w:firstLine="0"/>
      <w:outlineLvl w:val="9"/>
    </w:pPr>
    <w:rPr>
      <w:rFonts w:asciiTheme="majorHAnsi" w:eastAsiaTheme="majorEastAsia" w:hAnsiTheme="majorHAnsi" w:cstheme="majorBidi"/>
      <w:b w:val="0"/>
      <w:bCs w:val="0"/>
      <w:color w:val="365F91" w:themeColor="accent1" w:themeShade="BF"/>
      <w:kern w:val="0"/>
      <w:sz w:val="32"/>
    </w:rPr>
  </w:style>
  <w:style w:type="paragraph" w:styleId="TOC1">
    <w:name w:val="toc 1"/>
    <w:basedOn w:val="Normal"/>
    <w:next w:val="Normal"/>
    <w:autoRedefine/>
    <w:uiPriority w:val="39"/>
    <w:unhideWhenUsed/>
    <w:rsid w:val="00CE6CBF"/>
    <w:pPr>
      <w:spacing w:after="100"/>
    </w:pPr>
  </w:style>
  <w:style w:type="paragraph" w:styleId="TOC2">
    <w:name w:val="toc 2"/>
    <w:basedOn w:val="Normal"/>
    <w:next w:val="Normal"/>
    <w:autoRedefine/>
    <w:uiPriority w:val="39"/>
    <w:unhideWhenUsed/>
    <w:rsid w:val="00CE6CBF"/>
    <w:pPr>
      <w:spacing w:after="100"/>
      <w:ind w:left="240"/>
    </w:pPr>
  </w:style>
  <w:style w:type="paragraph" w:styleId="TOC3">
    <w:name w:val="toc 3"/>
    <w:basedOn w:val="Normal"/>
    <w:next w:val="Normal"/>
    <w:autoRedefine/>
    <w:uiPriority w:val="39"/>
    <w:unhideWhenUsed/>
    <w:rsid w:val="00CE6CBF"/>
    <w:pPr>
      <w:spacing w:after="100"/>
      <w:ind w:left="480"/>
    </w:pPr>
  </w:style>
  <w:style w:type="paragraph" w:styleId="BodyText">
    <w:name w:val="Body Text"/>
    <w:basedOn w:val="Normal"/>
    <w:link w:val="BodyTextChar"/>
    <w:uiPriority w:val="99"/>
    <w:unhideWhenUsed/>
    <w:rsid w:val="008B6480"/>
  </w:style>
  <w:style w:type="character" w:customStyle="1" w:styleId="BodyTextChar">
    <w:name w:val="Body Text Char"/>
    <w:basedOn w:val="DefaultParagraphFont"/>
    <w:link w:val="BodyText"/>
    <w:uiPriority w:val="99"/>
    <w:rsid w:val="008B6480"/>
    <w:rPr>
      <w:rFonts w:eastAsia="Times New Roman"/>
      <w:sz w:val="24"/>
      <w:szCs w:val="24"/>
    </w:rPr>
  </w:style>
  <w:style w:type="paragraph" w:customStyle="1" w:styleId="TableText">
    <w:name w:val="Table Text"/>
    <w:basedOn w:val="Normal"/>
    <w:link w:val="TableTextChar"/>
    <w:qFormat/>
    <w:rsid w:val="008B6480"/>
    <w:pPr>
      <w:spacing w:before="40" w:after="40" w:line="264" w:lineRule="auto"/>
    </w:pPr>
    <w:rPr>
      <w:rFonts w:ascii="Arial" w:hAnsi="Arial" w:cs="Arial"/>
      <w:bCs/>
      <w:color w:val="000000"/>
      <w:sz w:val="20"/>
      <w:szCs w:val="20"/>
    </w:rPr>
  </w:style>
  <w:style w:type="paragraph" w:customStyle="1" w:styleId="ExhibitText">
    <w:name w:val="Exhibit Text"/>
    <w:basedOn w:val="TableText"/>
    <w:qFormat/>
    <w:rsid w:val="008B6480"/>
    <w:pPr>
      <w:spacing w:line="240" w:lineRule="auto"/>
    </w:pPr>
    <w:rPr>
      <w:rFonts w:ascii="Arial Narrow" w:hAnsi="Arial Narrow"/>
    </w:rPr>
  </w:style>
  <w:style w:type="paragraph" w:customStyle="1" w:styleId="ExhibitColumnHead">
    <w:name w:val="Exhibit Column Head"/>
    <w:qFormat/>
    <w:rsid w:val="008B6480"/>
    <w:pPr>
      <w:spacing w:after="0" w:line="240" w:lineRule="auto"/>
      <w:jc w:val="center"/>
    </w:pPr>
    <w:rPr>
      <w:rFonts w:ascii="Arial Narrow" w:eastAsia="Times New Roman" w:hAnsi="Arial Narrow" w:cs="Arial"/>
      <w:b/>
      <w:color w:val="000000" w:themeColor="text1"/>
      <w:sz w:val="20"/>
      <w:szCs w:val="20"/>
    </w:rPr>
  </w:style>
  <w:style w:type="character" w:customStyle="1" w:styleId="TableTextChar">
    <w:name w:val="Table Text Char"/>
    <w:link w:val="TableText"/>
    <w:rsid w:val="008B6480"/>
    <w:rPr>
      <w:rFonts w:ascii="Arial" w:eastAsia="Times New Roman" w:hAnsi="Arial" w:cs="Arial"/>
      <w:bCs/>
      <w:color w:val="000000"/>
      <w:sz w:val="20"/>
      <w:szCs w:val="20"/>
    </w:rPr>
  </w:style>
  <w:style w:type="paragraph" w:customStyle="1" w:styleId="aatablebullets">
    <w:name w:val="aa table bullets"/>
    <w:basedOn w:val="Normal"/>
    <w:rsid w:val="008B6480"/>
    <w:pPr>
      <w:numPr>
        <w:numId w:val="32"/>
      </w:numPr>
      <w:spacing w:after="0" w:line="240" w:lineRule="exact"/>
    </w:pPr>
    <w:rPr>
      <w:rFonts w:ascii="Arial Narrow" w:eastAsia="Albany AMT" w:hAnsi="Arial Narrow"/>
      <w:sz w:val="20"/>
    </w:rPr>
  </w:style>
  <w:style w:type="table" w:customStyle="1" w:styleId="TableGrid3">
    <w:name w:val="Table Grid3"/>
    <w:basedOn w:val="TableNormal"/>
    <w:next w:val="TableGrid"/>
    <w:uiPriority w:val="59"/>
    <w:rsid w:val="0057757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BodyText"/>
    <w:rsid w:val="00756D9E"/>
    <w:pPr>
      <w:numPr>
        <w:numId w:val="36"/>
      </w:numPr>
      <w:tabs>
        <w:tab w:val="num" w:pos="360"/>
      </w:tabs>
      <w:ind w:left="720" w:firstLine="0"/>
    </w:pPr>
    <w:rPr>
      <w:rFonts w:ascii="Palatino Linotype" w:eastAsia="Calibri" w:hAnsi="Palatino Linotype"/>
      <w:sz w:val="20"/>
      <w:szCs w:val="20"/>
    </w:rPr>
  </w:style>
  <w:style w:type="paragraph" w:styleId="Caption">
    <w:name w:val="caption"/>
    <w:basedOn w:val="Normal"/>
    <w:next w:val="Normal"/>
    <w:qFormat/>
    <w:rsid w:val="000B788A"/>
    <w:pPr>
      <w:keepNext/>
      <w:keepLines/>
      <w:widowControl w:val="0"/>
      <w:tabs>
        <w:tab w:val="left" w:pos="1440"/>
      </w:tabs>
      <w:spacing w:before="240" w:line="264" w:lineRule="auto"/>
      <w:ind w:left="1440" w:hanging="1440"/>
      <w:jc w:val="center"/>
    </w:pPr>
    <w:rPr>
      <w:rFonts w:ascii="Arial" w:hAnsi="Arial"/>
      <w:bCs/>
      <w:color w:val="1F497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421991">
      <w:bodyDiv w:val="1"/>
      <w:marLeft w:val="0"/>
      <w:marRight w:val="0"/>
      <w:marTop w:val="0"/>
      <w:marBottom w:val="0"/>
      <w:divBdr>
        <w:top w:val="none" w:sz="0" w:space="0" w:color="auto"/>
        <w:left w:val="none" w:sz="0" w:space="0" w:color="auto"/>
        <w:bottom w:val="none" w:sz="0" w:space="0" w:color="auto"/>
        <w:right w:val="none" w:sz="0" w:space="0" w:color="auto"/>
      </w:divBdr>
    </w:div>
    <w:div w:id="349768107">
      <w:bodyDiv w:val="1"/>
      <w:marLeft w:val="0"/>
      <w:marRight w:val="0"/>
      <w:marTop w:val="0"/>
      <w:marBottom w:val="0"/>
      <w:divBdr>
        <w:top w:val="none" w:sz="0" w:space="0" w:color="auto"/>
        <w:left w:val="none" w:sz="0" w:space="0" w:color="auto"/>
        <w:bottom w:val="none" w:sz="0" w:space="0" w:color="auto"/>
        <w:right w:val="none" w:sz="0" w:space="0" w:color="auto"/>
      </w:divBdr>
    </w:div>
    <w:div w:id="540826840">
      <w:bodyDiv w:val="1"/>
      <w:marLeft w:val="0"/>
      <w:marRight w:val="0"/>
      <w:marTop w:val="0"/>
      <w:marBottom w:val="0"/>
      <w:divBdr>
        <w:top w:val="none" w:sz="0" w:space="0" w:color="auto"/>
        <w:left w:val="none" w:sz="0" w:space="0" w:color="auto"/>
        <w:bottom w:val="none" w:sz="0" w:space="0" w:color="auto"/>
        <w:right w:val="none" w:sz="0" w:space="0" w:color="auto"/>
      </w:divBdr>
    </w:div>
    <w:div w:id="580063226">
      <w:bodyDiv w:val="1"/>
      <w:marLeft w:val="0"/>
      <w:marRight w:val="0"/>
      <w:marTop w:val="0"/>
      <w:marBottom w:val="0"/>
      <w:divBdr>
        <w:top w:val="none" w:sz="0" w:space="0" w:color="auto"/>
        <w:left w:val="none" w:sz="0" w:space="0" w:color="auto"/>
        <w:bottom w:val="none" w:sz="0" w:space="0" w:color="auto"/>
        <w:right w:val="none" w:sz="0" w:space="0" w:color="auto"/>
      </w:divBdr>
    </w:div>
    <w:div w:id="695303679">
      <w:bodyDiv w:val="1"/>
      <w:marLeft w:val="0"/>
      <w:marRight w:val="0"/>
      <w:marTop w:val="0"/>
      <w:marBottom w:val="0"/>
      <w:divBdr>
        <w:top w:val="none" w:sz="0" w:space="0" w:color="auto"/>
        <w:left w:val="none" w:sz="0" w:space="0" w:color="auto"/>
        <w:bottom w:val="none" w:sz="0" w:space="0" w:color="auto"/>
        <w:right w:val="none" w:sz="0" w:space="0" w:color="auto"/>
      </w:divBdr>
    </w:div>
    <w:div w:id="918095274">
      <w:bodyDiv w:val="1"/>
      <w:marLeft w:val="0"/>
      <w:marRight w:val="0"/>
      <w:marTop w:val="0"/>
      <w:marBottom w:val="0"/>
      <w:divBdr>
        <w:top w:val="none" w:sz="0" w:space="0" w:color="auto"/>
        <w:left w:val="none" w:sz="0" w:space="0" w:color="auto"/>
        <w:bottom w:val="none" w:sz="0" w:space="0" w:color="auto"/>
        <w:right w:val="none" w:sz="0" w:space="0" w:color="auto"/>
      </w:divBdr>
    </w:div>
    <w:div w:id="985744593">
      <w:bodyDiv w:val="1"/>
      <w:marLeft w:val="0"/>
      <w:marRight w:val="0"/>
      <w:marTop w:val="0"/>
      <w:marBottom w:val="0"/>
      <w:divBdr>
        <w:top w:val="none" w:sz="0" w:space="0" w:color="auto"/>
        <w:left w:val="none" w:sz="0" w:space="0" w:color="auto"/>
        <w:bottom w:val="none" w:sz="0" w:space="0" w:color="auto"/>
        <w:right w:val="none" w:sz="0" w:space="0" w:color="auto"/>
      </w:divBdr>
    </w:div>
    <w:div w:id="1009715891">
      <w:bodyDiv w:val="1"/>
      <w:marLeft w:val="0"/>
      <w:marRight w:val="0"/>
      <w:marTop w:val="0"/>
      <w:marBottom w:val="0"/>
      <w:divBdr>
        <w:top w:val="none" w:sz="0" w:space="0" w:color="auto"/>
        <w:left w:val="none" w:sz="0" w:space="0" w:color="auto"/>
        <w:bottom w:val="none" w:sz="0" w:space="0" w:color="auto"/>
        <w:right w:val="none" w:sz="0" w:space="0" w:color="auto"/>
      </w:divBdr>
    </w:div>
    <w:div w:id="1190141699">
      <w:bodyDiv w:val="1"/>
      <w:marLeft w:val="0"/>
      <w:marRight w:val="0"/>
      <w:marTop w:val="0"/>
      <w:marBottom w:val="0"/>
      <w:divBdr>
        <w:top w:val="none" w:sz="0" w:space="0" w:color="auto"/>
        <w:left w:val="none" w:sz="0" w:space="0" w:color="auto"/>
        <w:bottom w:val="none" w:sz="0" w:space="0" w:color="auto"/>
        <w:right w:val="none" w:sz="0" w:space="0" w:color="auto"/>
      </w:divBdr>
    </w:div>
    <w:div w:id="1385761728">
      <w:bodyDiv w:val="1"/>
      <w:marLeft w:val="0"/>
      <w:marRight w:val="0"/>
      <w:marTop w:val="0"/>
      <w:marBottom w:val="0"/>
      <w:divBdr>
        <w:top w:val="none" w:sz="0" w:space="0" w:color="auto"/>
        <w:left w:val="none" w:sz="0" w:space="0" w:color="auto"/>
        <w:bottom w:val="none" w:sz="0" w:space="0" w:color="auto"/>
        <w:right w:val="none" w:sz="0" w:space="0" w:color="auto"/>
      </w:divBdr>
    </w:div>
    <w:div w:id="1514876788">
      <w:bodyDiv w:val="1"/>
      <w:marLeft w:val="0"/>
      <w:marRight w:val="0"/>
      <w:marTop w:val="0"/>
      <w:marBottom w:val="0"/>
      <w:divBdr>
        <w:top w:val="none" w:sz="0" w:space="0" w:color="auto"/>
        <w:left w:val="none" w:sz="0" w:space="0" w:color="auto"/>
        <w:bottom w:val="none" w:sz="0" w:space="0" w:color="auto"/>
        <w:right w:val="none" w:sz="0" w:space="0" w:color="auto"/>
      </w:divBdr>
    </w:div>
    <w:div w:id="1666590852">
      <w:bodyDiv w:val="1"/>
      <w:marLeft w:val="0"/>
      <w:marRight w:val="0"/>
      <w:marTop w:val="0"/>
      <w:marBottom w:val="0"/>
      <w:divBdr>
        <w:top w:val="none" w:sz="0" w:space="0" w:color="auto"/>
        <w:left w:val="none" w:sz="0" w:space="0" w:color="auto"/>
        <w:bottom w:val="none" w:sz="0" w:space="0" w:color="auto"/>
        <w:right w:val="none" w:sz="0" w:space="0" w:color="auto"/>
      </w:divBdr>
    </w:div>
    <w:div w:id="1865944377">
      <w:bodyDiv w:val="1"/>
      <w:marLeft w:val="0"/>
      <w:marRight w:val="0"/>
      <w:marTop w:val="0"/>
      <w:marBottom w:val="0"/>
      <w:divBdr>
        <w:top w:val="none" w:sz="0" w:space="0" w:color="auto"/>
        <w:left w:val="none" w:sz="0" w:space="0" w:color="auto"/>
        <w:bottom w:val="none" w:sz="0" w:space="0" w:color="auto"/>
        <w:right w:val="none" w:sz="0" w:space="0" w:color="auto"/>
      </w:divBdr>
    </w:div>
    <w:div w:id="1884514989">
      <w:bodyDiv w:val="1"/>
      <w:marLeft w:val="0"/>
      <w:marRight w:val="0"/>
      <w:marTop w:val="0"/>
      <w:marBottom w:val="0"/>
      <w:divBdr>
        <w:top w:val="none" w:sz="0" w:space="0" w:color="auto"/>
        <w:left w:val="none" w:sz="0" w:space="0" w:color="auto"/>
        <w:bottom w:val="none" w:sz="0" w:space="0" w:color="auto"/>
        <w:right w:val="none" w:sz="0" w:space="0" w:color="auto"/>
      </w:divBdr>
    </w:div>
    <w:div w:id="203996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EB927-C274-47ED-BADA-F9CAB821A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14</Pages>
  <Words>4520</Words>
  <Characters>25770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30230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Alicia</dc:creator>
  <cp:lastModifiedBy>Borgstrom, Amy</cp:lastModifiedBy>
  <cp:revision>10</cp:revision>
  <cp:lastPrinted>2016-01-28T21:04:00Z</cp:lastPrinted>
  <dcterms:created xsi:type="dcterms:W3CDTF">2016-02-04T21:26:00Z</dcterms:created>
  <dcterms:modified xsi:type="dcterms:W3CDTF">2016-03-11T15:17:00Z</dcterms:modified>
</cp:coreProperties>
</file>