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F8D1" w14:textId="54CDB279" w:rsidR="0009667A" w:rsidRPr="00AB335B" w:rsidRDefault="0009667A" w:rsidP="005D17A0">
      <w:pPr>
        <w:tabs>
          <w:tab w:val="left" w:pos="360"/>
        </w:tabs>
        <w:jc w:val="center"/>
        <w:rPr>
          <w:b/>
          <w:i/>
        </w:rPr>
      </w:pPr>
      <w:r w:rsidRPr="00AB335B">
        <w:rPr>
          <w:b/>
          <w:i/>
        </w:rPr>
        <w:t>SUPPORTING STATEMENT</w:t>
      </w:r>
    </w:p>
    <w:p w14:paraId="10EE6051" w14:textId="77777777" w:rsidR="0009667A" w:rsidRPr="00AB335B" w:rsidRDefault="0009667A" w:rsidP="0071464C">
      <w:pPr>
        <w:tabs>
          <w:tab w:val="left" w:pos="360"/>
        </w:tabs>
        <w:spacing w:after="0"/>
        <w:jc w:val="center"/>
        <w:rPr>
          <w:b/>
        </w:rPr>
      </w:pPr>
      <w:r w:rsidRPr="00AB335B">
        <w:rPr>
          <w:b/>
        </w:rPr>
        <w:t>For</w:t>
      </w:r>
    </w:p>
    <w:p w14:paraId="23F1B69B" w14:textId="77777777" w:rsidR="0009667A" w:rsidRPr="00AB335B" w:rsidRDefault="0009667A" w:rsidP="0071464C">
      <w:pPr>
        <w:tabs>
          <w:tab w:val="left" w:pos="360"/>
        </w:tabs>
        <w:jc w:val="center"/>
        <w:rPr>
          <w:b/>
        </w:rPr>
      </w:pPr>
      <w:r w:rsidRPr="00AB335B">
        <w:rPr>
          <w:b/>
        </w:rPr>
        <w:t>Paperwork Reduction Act Submission</w:t>
      </w:r>
    </w:p>
    <w:p w14:paraId="0AF70E1C" w14:textId="12C404F9" w:rsidR="0009667A" w:rsidRPr="00AB335B" w:rsidRDefault="0009667A" w:rsidP="0071464C">
      <w:pPr>
        <w:jc w:val="center"/>
        <w:rPr>
          <w:b/>
        </w:rPr>
      </w:pPr>
    </w:p>
    <w:p w14:paraId="42E50BAF" w14:textId="31B77AF1" w:rsidR="0009667A" w:rsidRPr="00AB335B" w:rsidRDefault="00D3763A" w:rsidP="00D3763A">
      <w:pPr>
        <w:jc w:val="center"/>
        <w:rPr>
          <w:b/>
        </w:rPr>
      </w:pPr>
      <w:r>
        <w:rPr>
          <w:b/>
        </w:rPr>
        <w:t>Process Evaluation</w:t>
      </w:r>
      <w:r w:rsidRPr="009074DF">
        <w:rPr>
          <w:b/>
        </w:rPr>
        <w:t xml:space="preserve"> of the Social Innovation Fund (SIF)</w:t>
      </w:r>
      <w:r>
        <w:rPr>
          <w:b/>
        </w:rPr>
        <w:t xml:space="preserve"> Pay for Success (PFS) Program</w:t>
      </w:r>
    </w:p>
    <w:p w14:paraId="67FE054C" w14:textId="77777777" w:rsidR="0009667A" w:rsidRPr="00AB335B" w:rsidRDefault="0009667A" w:rsidP="0071464C">
      <w:pPr>
        <w:tabs>
          <w:tab w:val="left" w:pos="360"/>
        </w:tabs>
        <w:jc w:val="center"/>
        <w:rPr>
          <w:b/>
        </w:rPr>
      </w:pPr>
    </w:p>
    <w:p w14:paraId="171E34D1" w14:textId="77777777" w:rsidR="0009667A" w:rsidRPr="00AB335B" w:rsidRDefault="0009667A" w:rsidP="0071464C">
      <w:pPr>
        <w:tabs>
          <w:tab w:val="left" w:pos="360"/>
        </w:tabs>
        <w:jc w:val="center"/>
        <w:rPr>
          <w:b/>
        </w:rPr>
      </w:pPr>
    </w:p>
    <w:p w14:paraId="7CDCE13B" w14:textId="77777777" w:rsidR="0009667A" w:rsidRPr="00AB335B" w:rsidRDefault="0009667A" w:rsidP="0071464C">
      <w:pPr>
        <w:tabs>
          <w:tab w:val="left" w:pos="360"/>
        </w:tabs>
        <w:jc w:val="center"/>
        <w:rPr>
          <w:b/>
        </w:rPr>
      </w:pPr>
    </w:p>
    <w:p w14:paraId="40B99430" w14:textId="77777777" w:rsidR="0009667A" w:rsidRPr="00AB335B" w:rsidRDefault="0009667A" w:rsidP="0071464C">
      <w:pPr>
        <w:tabs>
          <w:tab w:val="left" w:pos="360"/>
        </w:tabs>
        <w:jc w:val="center"/>
        <w:rPr>
          <w:b/>
        </w:rPr>
      </w:pPr>
    </w:p>
    <w:p w14:paraId="2A76C3BD" w14:textId="77777777" w:rsidR="0009667A" w:rsidRPr="00AB335B" w:rsidRDefault="0009667A" w:rsidP="0071464C">
      <w:pPr>
        <w:tabs>
          <w:tab w:val="left" w:pos="360"/>
        </w:tabs>
        <w:jc w:val="center"/>
        <w:rPr>
          <w:b/>
        </w:rPr>
      </w:pPr>
    </w:p>
    <w:p w14:paraId="293FFC62" w14:textId="77777777" w:rsidR="0009667A" w:rsidRPr="00AB335B" w:rsidRDefault="0009667A" w:rsidP="0071464C">
      <w:pPr>
        <w:tabs>
          <w:tab w:val="left" w:pos="360"/>
        </w:tabs>
        <w:jc w:val="center"/>
        <w:rPr>
          <w:b/>
        </w:rPr>
      </w:pPr>
    </w:p>
    <w:p w14:paraId="16C20376" w14:textId="77777777" w:rsidR="0009667A" w:rsidRPr="00AB335B" w:rsidRDefault="0009667A" w:rsidP="0071464C">
      <w:pPr>
        <w:tabs>
          <w:tab w:val="left" w:pos="360"/>
        </w:tabs>
        <w:jc w:val="center"/>
        <w:rPr>
          <w:b/>
        </w:rPr>
      </w:pPr>
    </w:p>
    <w:p w14:paraId="2C0B80C3" w14:textId="77777777" w:rsidR="0009667A" w:rsidRPr="00AB335B" w:rsidRDefault="005C37E8" w:rsidP="0071464C">
      <w:pPr>
        <w:tabs>
          <w:tab w:val="left" w:pos="360"/>
        </w:tabs>
        <w:jc w:val="center"/>
        <w:rPr>
          <w:b/>
        </w:rPr>
      </w:pPr>
      <w:r w:rsidRPr="00AB335B">
        <w:rPr>
          <w:b/>
        </w:rPr>
        <w:t xml:space="preserve">Part </w:t>
      </w:r>
      <w:r w:rsidR="009E66DF" w:rsidRPr="00AB335B">
        <w:rPr>
          <w:b/>
        </w:rPr>
        <w:t>B</w:t>
      </w:r>
      <w:r w:rsidR="003C4D40" w:rsidRPr="00AB335B">
        <w:rPr>
          <w:b/>
        </w:rPr>
        <w:t xml:space="preserve">. </w:t>
      </w:r>
      <w:r w:rsidR="009D74F0" w:rsidRPr="00AB335B">
        <w:rPr>
          <w:b/>
        </w:rPr>
        <w:t xml:space="preserve">Collection of </w:t>
      </w:r>
      <w:r w:rsidR="000E5C4C" w:rsidRPr="00AB335B">
        <w:rPr>
          <w:b/>
        </w:rPr>
        <w:t>Information</w:t>
      </w:r>
      <w:r w:rsidR="009D74F0" w:rsidRPr="00AB335B">
        <w:rPr>
          <w:b/>
        </w:rPr>
        <w:t xml:space="preserve"> Employing Statistical Methods</w:t>
      </w:r>
    </w:p>
    <w:p w14:paraId="505789D6" w14:textId="77777777" w:rsidR="0009667A" w:rsidRPr="00AB335B" w:rsidRDefault="0009667A" w:rsidP="0071464C">
      <w:pPr>
        <w:tabs>
          <w:tab w:val="left" w:pos="360"/>
        </w:tabs>
        <w:jc w:val="center"/>
        <w:rPr>
          <w:b/>
        </w:rPr>
      </w:pPr>
    </w:p>
    <w:p w14:paraId="494FBE25" w14:textId="77777777" w:rsidR="0009667A" w:rsidRPr="00AB335B" w:rsidRDefault="0009667A" w:rsidP="0071464C">
      <w:pPr>
        <w:tabs>
          <w:tab w:val="left" w:pos="360"/>
        </w:tabs>
        <w:jc w:val="center"/>
        <w:rPr>
          <w:b/>
        </w:rPr>
      </w:pPr>
    </w:p>
    <w:p w14:paraId="133E5E65" w14:textId="77777777" w:rsidR="0009667A" w:rsidRPr="00AB335B" w:rsidRDefault="0009667A" w:rsidP="0071464C">
      <w:pPr>
        <w:tabs>
          <w:tab w:val="left" w:pos="360"/>
        </w:tabs>
        <w:jc w:val="center"/>
        <w:rPr>
          <w:b/>
        </w:rPr>
      </w:pPr>
    </w:p>
    <w:p w14:paraId="5AB81112" w14:textId="77777777" w:rsidR="0009667A" w:rsidRPr="00AB335B" w:rsidRDefault="0009667A" w:rsidP="0071464C">
      <w:pPr>
        <w:tabs>
          <w:tab w:val="left" w:pos="360"/>
        </w:tabs>
        <w:jc w:val="center"/>
        <w:rPr>
          <w:b/>
        </w:rPr>
      </w:pPr>
    </w:p>
    <w:p w14:paraId="6273CB36" w14:textId="77777777" w:rsidR="0009667A" w:rsidRPr="00AB335B" w:rsidRDefault="0009667A" w:rsidP="0071464C">
      <w:pPr>
        <w:tabs>
          <w:tab w:val="left" w:pos="360"/>
        </w:tabs>
        <w:jc w:val="center"/>
        <w:rPr>
          <w:b/>
        </w:rPr>
      </w:pPr>
    </w:p>
    <w:p w14:paraId="0F47B122" w14:textId="77777777" w:rsidR="0009667A" w:rsidRPr="00AB335B" w:rsidRDefault="0009667A" w:rsidP="0071464C">
      <w:pPr>
        <w:tabs>
          <w:tab w:val="left" w:pos="360"/>
        </w:tabs>
        <w:jc w:val="center"/>
        <w:rPr>
          <w:b/>
        </w:rPr>
      </w:pPr>
    </w:p>
    <w:p w14:paraId="4C632903" w14:textId="77777777" w:rsidR="0009667A" w:rsidRPr="00AB335B" w:rsidRDefault="0009667A" w:rsidP="0071464C">
      <w:pPr>
        <w:tabs>
          <w:tab w:val="left" w:pos="360"/>
        </w:tabs>
        <w:jc w:val="center"/>
        <w:rPr>
          <w:b/>
        </w:rPr>
      </w:pPr>
    </w:p>
    <w:p w14:paraId="132932C2" w14:textId="77777777" w:rsidR="0009667A" w:rsidRPr="00AB335B" w:rsidRDefault="0009667A" w:rsidP="0071464C">
      <w:pPr>
        <w:tabs>
          <w:tab w:val="left" w:pos="360"/>
        </w:tabs>
        <w:jc w:val="center"/>
        <w:rPr>
          <w:b/>
        </w:rPr>
      </w:pPr>
    </w:p>
    <w:p w14:paraId="2E8CE7B6" w14:textId="04CF49FF" w:rsidR="0009667A" w:rsidRPr="00AB335B" w:rsidRDefault="0009667A" w:rsidP="0071464C">
      <w:pPr>
        <w:tabs>
          <w:tab w:val="left" w:pos="360"/>
        </w:tabs>
        <w:jc w:val="center"/>
        <w:rPr>
          <w:b/>
        </w:rPr>
      </w:pPr>
      <w:r w:rsidRPr="00AB335B">
        <w:rPr>
          <w:b/>
        </w:rPr>
        <w:t>Submitted by:</w:t>
      </w:r>
    </w:p>
    <w:p w14:paraId="6EA20389" w14:textId="77777777" w:rsidR="0009667A" w:rsidRPr="00AB335B" w:rsidRDefault="0009667A" w:rsidP="0071464C">
      <w:pPr>
        <w:tabs>
          <w:tab w:val="left" w:pos="360"/>
        </w:tabs>
        <w:spacing w:after="0"/>
        <w:jc w:val="center"/>
        <w:rPr>
          <w:b/>
        </w:rPr>
      </w:pPr>
      <w:r w:rsidRPr="00AB335B">
        <w:rPr>
          <w:b/>
        </w:rPr>
        <w:t>Corporation for National &amp; Community Service</w:t>
      </w:r>
    </w:p>
    <w:p w14:paraId="586E977A" w14:textId="77777777" w:rsidR="0009667A" w:rsidRPr="00AB335B" w:rsidRDefault="0009667A" w:rsidP="0071464C">
      <w:pPr>
        <w:tabs>
          <w:tab w:val="left" w:pos="360"/>
        </w:tabs>
        <w:spacing w:after="0"/>
        <w:jc w:val="center"/>
        <w:rPr>
          <w:b/>
        </w:rPr>
      </w:pPr>
      <w:r w:rsidRPr="00AB335B">
        <w:rPr>
          <w:b/>
        </w:rPr>
        <w:t>1201 New York Avenue, NW</w:t>
      </w:r>
      <w:r w:rsidRPr="00AB335B">
        <w:rPr>
          <w:b/>
        </w:rPr>
        <w:br/>
        <w:t>Washington, DC 20525</w:t>
      </w:r>
    </w:p>
    <w:p w14:paraId="25B61523" w14:textId="77777777" w:rsidR="005C37E8" w:rsidRPr="00AB335B" w:rsidRDefault="005C37E8" w:rsidP="0071464C">
      <w:pPr>
        <w:tabs>
          <w:tab w:val="left" w:pos="360"/>
        </w:tabs>
        <w:spacing w:after="0"/>
        <w:jc w:val="center"/>
        <w:rPr>
          <w:b/>
        </w:rPr>
      </w:pPr>
    </w:p>
    <w:p w14:paraId="5555B62E" w14:textId="77777777" w:rsidR="0009667A" w:rsidRPr="00AB335B" w:rsidRDefault="0009667A" w:rsidP="0071464C">
      <w:pPr>
        <w:tabs>
          <w:tab w:val="left" w:pos="360"/>
        </w:tabs>
        <w:jc w:val="center"/>
        <w:rPr>
          <w:b/>
        </w:rPr>
      </w:pPr>
    </w:p>
    <w:p w14:paraId="543AF414" w14:textId="77777777" w:rsidR="0009667A" w:rsidRPr="00AB335B" w:rsidRDefault="0009667A" w:rsidP="0071464C">
      <w:pPr>
        <w:tabs>
          <w:tab w:val="left" w:pos="360"/>
        </w:tabs>
        <w:jc w:val="center"/>
        <w:rPr>
          <w:b/>
          <w:i/>
        </w:rPr>
      </w:pPr>
    </w:p>
    <w:p w14:paraId="74B27649" w14:textId="77777777" w:rsidR="0009667A" w:rsidRPr="00AB335B" w:rsidRDefault="0009667A" w:rsidP="0071464C">
      <w:pPr>
        <w:tabs>
          <w:tab w:val="left" w:pos="360"/>
        </w:tabs>
        <w:jc w:val="center"/>
        <w:rPr>
          <w:b/>
        </w:rPr>
      </w:pPr>
    </w:p>
    <w:p w14:paraId="12029A26" w14:textId="5E77FFF8" w:rsidR="00665787" w:rsidRPr="009349D0" w:rsidRDefault="00E81396" w:rsidP="007B6509">
      <w:pPr>
        <w:jc w:val="center"/>
        <w:rPr>
          <w:b/>
        </w:rPr>
      </w:pPr>
      <w:r>
        <w:rPr>
          <w:b/>
        </w:rPr>
        <w:t>February 5</w:t>
      </w:r>
      <w:r w:rsidR="00DB2FD7">
        <w:rPr>
          <w:b/>
        </w:rPr>
        <w:t>, 2016</w:t>
      </w:r>
    </w:p>
    <w:p w14:paraId="67731218" w14:textId="77777777" w:rsidR="0009667A" w:rsidRPr="009349D0" w:rsidRDefault="0009667A" w:rsidP="0071464C">
      <w:pPr>
        <w:spacing w:after="200"/>
        <w:rPr>
          <w:b/>
          <w:highlight w:val="yellow"/>
        </w:rPr>
      </w:pPr>
      <w:r w:rsidRPr="009349D0">
        <w:rPr>
          <w:b/>
          <w:highlight w:val="yellow"/>
        </w:rPr>
        <w:br w:type="page"/>
      </w:r>
    </w:p>
    <w:sdt>
      <w:sdtPr>
        <w:rPr>
          <w:rFonts w:ascii="Times New Roman" w:eastAsia="Times New Roman" w:hAnsi="Times New Roman" w:cs="Times New Roman"/>
          <w:color w:val="auto"/>
          <w:sz w:val="24"/>
          <w:szCs w:val="24"/>
        </w:rPr>
        <w:id w:val="615265439"/>
        <w:docPartObj>
          <w:docPartGallery w:val="Table of Contents"/>
          <w:docPartUnique/>
        </w:docPartObj>
      </w:sdtPr>
      <w:sdtEndPr>
        <w:rPr>
          <w:b/>
          <w:bCs/>
          <w:noProof/>
        </w:rPr>
      </w:sdtEndPr>
      <w:sdtContent>
        <w:p w14:paraId="4A60D8E4" w14:textId="43BED17B" w:rsidR="00E672B2" w:rsidRDefault="00E672B2">
          <w:pPr>
            <w:pStyle w:val="TOCHeading"/>
          </w:pPr>
          <w:r>
            <w:t>Contents</w:t>
          </w:r>
        </w:p>
        <w:p w14:paraId="2DF868E7" w14:textId="77777777" w:rsidR="000A7C17" w:rsidRDefault="00E672B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36747111" w:history="1">
            <w:r w:rsidR="000A7C17" w:rsidRPr="004A0197">
              <w:rPr>
                <w:rStyle w:val="Hyperlink"/>
                <w:noProof/>
              </w:rPr>
              <w:t>Part B. Collections of Information Employing Statistical Methods</w:t>
            </w:r>
            <w:r w:rsidR="000A7C17">
              <w:rPr>
                <w:noProof/>
                <w:webHidden/>
              </w:rPr>
              <w:tab/>
            </w:r>
            <w:r w:rsidR="000A7C17">
              <w:rPr>
                <w:noProof/>
                <w:webHidden/>
              </w:rPr>
              <w:fldChar w:fldCharType="begin"/>
            </w:r>
            <w:r w:rsidR="000A7C17">
              <w:rPr>
                <w:noProof/>
                <w:webHidden/>
              </w:rPr>
              <w:instrText xml:space="preserve"> PAGEREF _Toc436747111 \h </w:instrText>
            </w:r>
            <w:r w:rsidR="000A7C17">
              <w:rPr>
                <w:noProof/>
                <w:webHidden/>
              </w:rPr>
            </w:r>
            <w:r w:rsidR="000A7C17">
              <w:rPr>
                <w:noProof/>
                <w:webHidden/>
              </w:rPr>
              <w:fldChar w:fldCharType="separate"/>
            </w:r>
            <w:r w:rsidR="000716A3">
              <w:rPr>
                <w:noProof/>
                <w:webHidden/>
              </w:rPr>
              <w:t>3</w:t>
            </w:r>
            <w:r w:rsidR="000A7C17">
              <w:rPr>
                <w:noProof/>
                <w:webHidden/>
              </w:rPr>
              <w:fldChar w:fldCharType="end"/>
            </w:r>
          </w:hyperlink>
        </w:p>
        <w:p w14:paraId="2DDD344B" w14:textId="77777777" w:rsidR="000A7C17" w:rsidRDefault="00095215">
          <w:pPr>
            <w:pStyle w:val="TOC2"/>
            <w:tabs>
              <w:tab w:val="right" w:leader="dot" w:pos="9350"/>
            </w:tabs>
            <w:rPr>
              <w:rFonts w:asciiTheme="minorHAnsi" w:eastAsiaTheme="minorEastAsia" w:hAnsiTheme="minorHAnsi" w:cstheme="minorBidi"/>
              <w:noProof/>
              <w:sz w:val="22"/>
              <w:szCs w:val="22"/>
            </w:rPr>
          </w:pPr>
          <w:hyperlink w:anchor="_Toc436747112" w:history="1">
            <w:r w:rsidR="000A7C17" w:rsidRPr="004A0197">
              <w:rPr>
                <w:rStyle w:val="Hyperlink"/>
                <w:noProof/>
              </w:rPr>
              <w:t>B1. Respondent Universe and Sampling Methods</w:t>
            </w:r>
            <w:r w:rsidR="000A7C17">
              <w:rPr>
                <w:noProof/>
                <w:webHidden/>
              </w:rPr>
              <w:tab/>
            </w:r>
            <w:r w:rsidR="000A7C17">
              <w:rPr>
                <w:noProof/>
                <w:webHidden/>
              </w:rPr>
              <w:fldChar w:fldCharType="begin"/>
            </w:r>
            <w:r w:rsidR="000A7C17">
              <w:rPr>
                <w:noProof/>
                <w:webHidden/>
              </w:rPr>
              <w:instrText xml:space="preserve"> PAGEREF _Toc436747112 \h </w:instrText>
            </w:r>
            <w:r w:rsidR="000A7C17">
              <w:rPr>
                <w:noProof/>
                <w:webHidden/>
              </w:rPr>
            </w:r>
            <w:r w:rsidR="000A7C17">
              <w:rPr>
                <w:noProof/>
                <w:webHidden/>
              </w:rPr>
              <w:fldChar w:fldCharType="separate"/>
            </w:r>
            <w:r w:rsidR="000716A3">
              <w:rPr>
                <w:noProof/>
                <w:webHidden/>
              </w:rPr>
              <w:t>3</w:t>
            </w:r>
            <w:r w:rsidR="000A7C17">
              <w:rPr>
                <w:noProof/>
                <w:webHidden/>
              </w:rPr>
              <w:fldChar w:fldCharType="end"/>
            </w:r>
          </w:hyperlink>
        </w:p>
        <w:p w14:paraId="1A2BFAF0" w14:textId="77777777" w:rsidR="000A7C17" w:rsidRDefault="00095215">
          <w:pPr>
            <w:pStyle w:val="TOC2"/>
            <w:tabs>
              <w:tab w:val="right" w:leader="dot" w:pos="9350"/>
            </w:tabs>
            <w:rPr>
              <w:rFonts w:asciiTheme="minorHAnsi" w:eastAsiaTheme="minorEastAsia" w:hAnsiTheme="minorHAnsi" w:cstheme="minorBidi"/>
              <w:noProof/>
              <w:sz w:val="22"/>
              <w:szCs w:val="22"/>
            </w:rPr>
          </w:pPr>
          <w:hyperlink w:anchor="_Toc436747113" w:history="1">
            <w:r w:rsidR="000A7C17" w:rsidRPr="004A0197">
              <w:rPr>
                <w:rStyle w:val="Hyperlink"/>
                <w:noProof/>
              </w:rPr>
              <w:t>B2. Procedures for the Collection of Information</w:t>
            </w:r>
            <w:r w:rsidR="000A7C17">
              <w:rPr>
                <w:noProof/>
                <w:webHidden/>
              </w:rPr>
              <w:tab/>
            </w:r>
            <w:r w:rsidR="000A7C17">
              <w:rPr>
                <w:noProof/>
                <w:webHidden/>
              </w:rPr>
              <w:fldChar w:fldCharType="begin"/>
            </w:r>
            <w:r w:rsidR="000A7C17">
              <w:rPr>
                <w:noProof/>
                <w:webHidden/>
              </w:rPr>
              <w:instrText xml:space="preserve"> PAGEREF _Toc436747113 \h </w:instrText>
            </w:r>
            <w:r w:rsidR="000A7C17">
              <w:rPr>
                <w:noProof/>
                <w:webHidden/>
              </w:rPr>
            </w:r>
            <w:r w:rsidR="000A7C17">
              <w:rPr>
                <w:noProof/>
                <w:webHidden/>
              </w:rPr>
              <w:fldChar w:fldCharType="separate"/>
            </w:r>
            <w:r w:rsidR="000716A3">
              <w:rPr>
                <w:noProof/>
                <w:webHidden/>
              </w:rPr>
              <w:t>4</w:t>
            </w:r>
            <w:r w:rsidR="000A7C17">
              <w:rPr>
                <w:noProof/>
                <w:webHidden/>
              </w:rPr>
              <w:fldChar w:fldCharType="end"/>
            </w:r>
          </w:hyperlink>
        </w:p>
        <w:p w14:paraId="24468CED" w14:textId="77777777" w:rsidR="000A7C17" w:rsidRDefault="00095215">
          <w:pPr>
            <w:pStyle w:val="TOC2"/>
            <w:tabs>
              <w:tab w:val="right" w:leader="dot" w:pos="9350"/>
            </w:tabs>
            <w:rPr>
              <w:rFonts w:asciiTheme="minorHAnsi" w:eastAsiaTheme="minorEastAsia" w:hAnsiTheme="minorHAnsi" w:cstheme="minorBidi"/>
              <w:noProof/>
              <w:sz w:val="22"/>
              <w:szCs w:val="22"/>
            </w:rPr>
          </w:pPr>
          <w:hyperlink w:anchor="_Toc436747114" w:history="1">
            <w:r w:rsidR="000A7C17" w:rsidRPr="004A0197">
              <w:rPr>
                <w:rStyle w:val="Hyperlink"/>
                <w:noProof/>
              </w:rPr>
              <w:t>B3. Methods to Maximize Response Rates and Deal with Issues of Non-Response</w:t>
            </w:r>
            <w:r w:rsidR="000A7C17">
              <w:rPr>
                <w:noProof/>
                <w:webHidden/>
              </w:rPr>
              <w:tab/>
            </w:r>
            <w:r w:rsidR="000A7C17">
              <w:rPr>
                <w:noProof/>
                <w:webHidden/>
              </w:rPr>
              <w:fldChar w:fldCharType="begin"/>
            </w:r>
            <w:r w:rsidR="000A7C17">
              <w:rPr>
                <w:noProof/>
                <w:webHidden/>
              </w:rPr>
              <w:instrText xml:space="preserve"> PAGEREF _Toc436747114 \h </w:instrText>
            </w:r>
            <w:r w:rsidR="000A7C17">
              <w:rPr>
                <w:noProof/>
                <w:webHidden/>
              </w:rPr>
            </w:r>
            <w:r w:rsidR="000A7C17">
              <w:rPr>
                <w:noProof/>
                <w:webHidden/>
              </w:rPr>
              <w:fldChar w:fldCharType="separate"/>
            </w:r>
            <w:r w:rsidR="000716A3">
              <w:rPr>
                <w:noProof/>
                <w:webHidden/>
              </w:rPr>
              <w:t>5</w:t>
            </w:r>
            <w:r w:rsidR="000A7C17">
              <w:rPr>
                <w:noProof/>
                <w:webHidden/>
              </w:rPr>
              <w:fldChar w:fldCharType="end"/>
            </w:r>
          </w:hyperlink>
        </w:p>
        <w:p w14:paraId="41991B5E" w14:textId="77777777" w:rsidR="000A7C17" w:rsidRDefault="00095215">
          <w:pPr>
            <w:pStyle w:val="TOC2"/>
            <w:tabs>
              <w:tab w:val="right" w:leader="dot" w:pos="9350"/>
            </w:tabs>
            <w:rPr>
              <w:rFonts w:asciiTheme="minorHAnsi" w:eastAsiaTheme="minorEastAsia" w:hAnsiTheme="minorHAnsi" w:cstheme="minorBidi"/>
              <w:noProof/>
              <w:sz w:val="22"/>
              <w:szCs w:val="22"/>
            </w:rPr>
          </w:pPr>
          <w:hyperlink w:anchor="_Toc436747115" w:history="1">
            <w:r w:rsidR="000A7C17" w:rsidRPr="004A0197">
              <w:rPr>
                <w:rStyle w:val="Hyperlink"/>
                <w:noProof/>
              </w:rPr>
              <w:t>B4. Tests of Procedures or Methods to Be Used</w:t>
            </w:r>
            <w:r w:rsidR="000A7C17">
              <w:rPr>
                <w:noProof/>
                <w:webHidden/>
              </w:rPr>
              <w:tab/>
            </w:r>
            <w:r w:rsidR="000A7C17">
              <w:rPr>
                <w:noProof/>
                <w:webHidden/>
              </w:rPr>
              <w:fldChar w:fldCharType="begin"/>
            </w:r>
            <w:r w:rsidR="000A7C17">
              <w:rPr>
                <w:noProof/>
                <w:webHidden/>
              </w:rPr>
              <w:instrText xml:space="preserve"> PAGEREF _Toc436747115 \h </w:instrText>
            </w:r>
            <w:r w:rsidR="000A7C17">
              <w:rPr>
                <w:noProof/>
                <w:webHidden/>
              </w:rPr>
            </w:r>
            <w:r w:rsidR="000A7C17">
              <w:rPr>
                <w:noProof/>
                <w:webHidden/>
              </w:rPr>
              <w:fldChar w:fldCharType="separate"/>
            </w:r>
            <w:r w:rsidR="000716A3">
              <w:rPr>
                <w:noProof/>
                <w:webHidden/>
              </w:rPr>
              <w:t>6</w:t>
            </w:r>
            <w:r w:rsidR="000A7C17">
              <w:rPr>
                <w:noProof/>
                <w:webHidden/>
              </w:rPr>
              <w:fldChar w:fldCharType="end"/>
            </w:r>
          </w:hyperlink>
        </w:p>
        <w:p w14:paraId="29BBB2A0" w14:textId="77777777" w:rsidR="000A7C17" w:rsidRDefault="00095215">
          <w:pPr>
            <w:pStyle w:val="TOC2"/>
            <w:tabs>
              <w:tab w:val="right" w:leader="dot" w:pos="9350"/>
            </w:tabs>
            <w:rPr>
              <w:rFonts w:asciiTheme="minorHAnsi" w:eastAsiaTheme="minorEastAsia" w:hAnsiTheme="minorHAnsi" w:cstheme="minorBidi"/>
              <w:noProof/>
              <w:sz w:val="22"/>
              <w:szCs w:val="22"/>
            </w:rPr>
          </w:pPr>
          <w:hyperlink w:anchor="_Toc436747116" w:history="1">
            <w:r w:rsidR="000A7C17" w:rsidRPr="004A0197">
              <w:rPr>
                <w:rStyle w:val="Hyperlink"/>
                <w:noProof/>
              </w:rPr>
              <w:t>B5. Individuals Consulted on Statistical Aspects of the Design and Organizations/Persons Collecting and Analyzing the Data</w:t>
            </w:r>
            <w:r w:rsidR="000A7C17">
              <w:rPr>
                <w:noProof/>
                <w:webHidden/>
              </w:rPr>
              <w:tab/>
            </w:r>
            <w:r w:rsidR="000A7C17">
              <w:rPr>
                <w:noProof/>
                <w:webHidden/>
              </w:rPr>
              <w:fldChar w:fldCharType="begin"/>
            </w:r>
            <w:r w:rsidR="000A7C17">
              <w:rPr>
                <w:noProof/>
                <w:webHidden/>
              </w:rPr>
              <w:instrText xml:space="preserve"> PAGEREF _Toc436747116 \h </w:instrText>
            </w:r>
            <w:r w:rsidR="000A7C17">
              <w:rPr>
                <w:noProof/>
                <w:webHidden/>
              </w:rPr>
            </w:r>
            <w:r w:rsidR="000A7C17">
              <w:rPr>
                <w:noProof/>
                <w:webHidden/>
              </w:rPr>
              <w:fldChar w:fldCharType="separate"/>
            </w:r>
            <w:r w:rsidR="000716A3">
              <w:rPr>
                <w:noProof/>
                <w:webHidden/>
              </w:rPr>
              <w:t>6</w:t>
            </w:r>
            <w:r w:rsidR="000A7C17">
              <w:rPr>
                <w:noProof/>
                <w:webHidden/>
              </w:rPr>
              <w:fldChar w:fldCharType="end"/>
            </w:r>
          </w:hyperlink>
        </w:p>
        <w:p w14:paraId="006D7A0D" w14:textId="289A5515" w:rsidR="00E672B2" w:rsidRDefault="00E672B2">
          <w:r>
            <w:rPr>
              <w:b/>
              <w:bCs/>
              <w:noProof/>
            </w:rPr>
            <w:fldChar w:fldCharType="end"/>
          </w:r>
        </w:p>
      </w:sdtContent>
    </w:sdt>
    <w:p w14:paraId="5D7A9050" w14:textId="77777777" w:rsidR="00457CBC" w:rsidRDefault="00457CBC" w:rsidP="00012E9B">
      <w:pPr>
        <w:pStyle w:val="BodyText"/>
        <w:rPr>
          <w:b/>
        </w:rPr>
      </w:pPr>
    </w:p>
    <w:p w14:paraId="184E76DD" w14:textId="3CCF771F" w:rsidR="00012E9B" w:rsidRPr="00012E9B" w:rsidRDefault="00095215" w:rsidP="00012E9B">
      <w:pPr>
        <w:pStyle w:val="BodyText"/>
        <w:rPr>
          <w:b/>
        </w:rPr>
      </w:pPr>
      <w:r>
        <w:rPr>
          <w:b/>
        </w:rPr>
        <w:t>Supplemental Information</w:t>
      </w:r>
      <w:bookmarkStart w:id="0" w:name="_GoBack"/>
      <w:bookmarkEnd w:id="0"/>
    </w:p>
    <w:p w14:paraId="41FF4639" w14:textId="77777777" w:rsidR="00457CBC" w:rsidRDefault="00457CBC" w:rsidP="00DF247A">
      <w:pPr>
        <w:pStyle w:val="BodyText"/>
      </w:pPr>
    </w:p>
    <w:p w14:paraId="7328D061" w14:textId="7FFB56E7" w:rsidR="00012E9B" w:rsidRDefault="00DF247A" w:rsidP="00DF247A">
      <w:pPr>
        <w:pStyle w:val="BodyText"/>
      </w:pPr>
      <w:r>
        <w:t xml:space="preserve">Appendix </w:t>
      </w:r>
      <w:r w:rsidR="005134AD">
        <w:t>B</w:t>
      </w:r>
      <w:r w:rsidR="00012E9B">
        <w:t>.1</w:t>
      </w:r>
      <w:r>
        <w:tab/>
      </w:r>
      <w:r w:rsidR="00012E9B">
        <w:tab/>
        <w:t xml:space="preserve">Survey </w:t>
      </w:r>
      <w:r w:rsidR="00610459">
        <w:t>Email Invitations</w:t>
      </w:r>
    </w:p>
    <w:p w14:paraId="7FCF0355" w14:textId="6841D48D" w:rsidR="00012E9B" w:rsidRDefault="00DF247A" w:rsidP="00DF247A">
      <w:pPr>
        <w:pStyle w:val="BodyText"/>
      </w:pPr>
      <w:r>
        <w:t xml:space="preserve">Appendix </w:t>
      </w:r>
      <w:r w:rsidR="005134AD">
        <w:t>B</w:t>
      </w:r>
      <w:r w:rsidR="00012E9B">
        <w:t>.2</w:t>
      </w:r>
      <w:r w:rsidR="00012E9B">
        <w:tab/>
      </w:r>
      <w:r>
        <w:tab/>
      </w:r>
      <w:r w:rsidR="00012E9B">
        <w:t>Study Endorsement Letter from CNCS</w:t>
      </w:r>
    </w:p>
    <w:p w14:paraId="43BFDBE0" w14:textId="0275E5BE" w:rsidR="00012E9B" w:rsidRDefault="00DF247A" w:rsidP="00DF247A">
      <w:pPr>
        <w:pStyle w:val="BodyText"/>
      </w:pPr>
      <w:r>
        <w:t xml:space="preserve">Appendix </w:t>
      </w:r>
      <w:r w:rsidR="005134AD">
        <w:t>B</w:t>
      </w:r>
      <w:r w:rsidR="00E81396">
        <w:t>.3</w:t>
      </w:r>
      <w:r w:rsidR="00E81396">
        <w:tab/>
      </w:r>
      <w:r>
        <w:tab/>
      </w:r>
      <w:r w:rsidR="00012E9B">
        <w:t>Study Fact Sheet</w:t>
      </w:r>
    </w:p>
    <w:p w14:paraId="3262EDED" w14:textId="25624F02" w:rsidR="00012E9B" w:rsidRDefault="00DF247A" w:rsidP="00DF247A">
      <w:pPr>
        <w:pStyle w:val="BodyText"/>
      </w:pPr>
      <w:r>
        <w:t xml:space="preserve">Appendix </w:t>
      </w:r>
      <w:r w:rsidR="005134AD">
        <w:t>B</w:t>
      </w:r>
      <w:r w:rsidR="00012E9B">
        <w:t>.4</w:t>
      </w:r>
      <w:r w:rsidR="00012E9B">
        <w:tab/>
      </w:r>
      <w:r>
        <w:tab/>
      </w:r>
      <w:r w:rsidR="00B56D50">
        <w:t xml:space="preserve">Survey </w:t>
      </w:r>
      <w:r w:rsidR="00012E9B">
        <w:t>Email Reminders</w:t>
      </w:r>
    </w:p>
    <w:p w14:paraId="388FEB50" w14:textId="477DD718" w:rsidR="00012E9B" w:rsidRDefault="00DF247A" w:rsidP="00DF247A">
      <w:pPr>
        <w:pStyle w:val="BodyText"/>
      </w:pPr>
      <w:r>
        <w:t xml:space="preserve">Appendix </w:t>
      </w:r>
      <w:r w:rsidR="005134AD">
        <w:t>B</w:t>
      </w:r>
      <w:r w:rsidR="00012E9B">
        <w:t xml:space="preserve">.5 </w:t>
      </w:r>
      <w:r w:rsidR="00012E9B">
        <w:tab/>
      </w:r>
      <w:r>
        <w:tab/>
      </w:r>
      <w:r w:rsidR="00B56D50">
        <w:t xml:space="preserve">Survey </w:t>
      </w:r>
      <w:r w:rsidR="00012E9B">
        <w:t>Email Thank You Messages</w:t>
      </w:r>
    </w:p>
    <w:p w14:paraId="575B40FD" w14:textId="376113FF" w:rsidR="00012E9B" w:rsidRDefault="00012E9B">
      <w:pPr>
        <w:spacing w:after="200" w:line="276" w:lineRule="auto"/>
      </w:pPr>
      <w:r>
        <w:br w:type="page"/>
      </w:r>
    </w:p>
    <w:p w14:paraId="448A229F" w14:textId="04FF75EA" w:rsidR="00374D25" w:rsidRPr="00AB335B" w:rsidRDefault="00374D25" w:rsidP="0071464C">
      <w:pPr>
        <w:spacing w:after="240"/>
        <w:jc w:val="center"/>
        <w:rPr>
          <w:b/>
        </w:rPr>
      </w:pPr>
      <w:r w:rsidRPr="00AB335B">
        <w:rPr>
          <w:b/>
        </w:rPr>
        <w:lastRenderedPageBreak/>
        <w:t>Supporting Statement</w:t>
      </w:r>
    </w:p>
    <w:p w14:paraId="025F09ED" w14:textId="77777777" w:rsidR="00ED2BAC" w:rsidRPr="00AB335B" w:rsidRDefault="00ED2BAC" w:rsidP="00C5735F">
      <w:pPr>
        <w:pStyle w:val="Heading1"/>
      </w:pPr>
      <w:bookmarkStart w:id="1" w:name="_Toc436747111"/>
      <w:r w:rsidRPr="00AB335B">
        <w:t>Part B. C</w:t>
      </w:r>
      <w:r w:rsidR="00F443DA" w:rsidRPr="00AB335B">
        <w:t>ollections of Information Employing Statistical Methods</w:t>
      </w:r>
      <w:bookmarkEnd w:id="1"/>
    </w:p>
    <w:p w14:paraId="130C8C9C" w14:textId="77777777" w:rsidR="001F2FCC" w:rsidRPr="00D34AB0" w:rsidRDefault="00775E0D" w:rsidP="00C5735F">
      <w:pPr>
        <w:pStyle w:val="Heading2"/>
      </w:pPr>
      <w:bookmarkStart w:id="2" w:name="_Toc436747112"/>
      <w:r w:rsidRPr="00D34AB0">
        <w:t xml:space="preserve">B1. </w:t>
      </w:r>
      <w:r w:rsidR="00ED2BAC" w:rsidRPr="00D34AB0">
        <w:t>Respondent Universe and Sampling Methods</w:t>
      </w:r>
      <w:bookmarkEnd w:id="2"/>
    </w:p>
    <w:p w14:paraId="41AD962B" w14:textId="588081E6" w:rsidR="00D937C4" w:rsidRPr="00D937C4" w:rsidRDefault="007C069F" w:rsidP="00D937C4">
      <w:pPr>
        <w:pStyle w:val="Bullets"/>
        <w:numPr>
          <w:ilvl w:val="0"/>
          <w:numId w:val="0"/>
        </w:numPr>
        <w:rPr>
          <w:rFonts w:ascii="Times New Roman" w:hAnsi="Times New Roman"/>
          <w:sz w:val="24"/>
          <w:szCs w:val="24"/>
        </w:rPr>
      </w:pPr>
      <w:r w:rsidRPr="00D937C4">
        <w:rPr>
          <w:rFonts w:ascii="Times New Roman" w:hAnsi="Times New Roman"/>
          <w:sz w:val="24"/>
          <w:szCs w:val="24"/>
        </w:rPr>
        <w:t>The potential respondent universe for the SIF</w:t>
      </w:r>
      <w:r w:rsidR="006706B0" w:rsidRPr="00D937C4">
        <w:rPr>
          <w:rFonts w:ascii="Times New Roman" w:hAnsi="Times New Roman"/>
          <w:sz w:val="24"/>
          <w:szCs w:val="24"/>
        </w:rPr>
        <w:t xml:space="preserve"> PFS </w:t>
      </w:r>
      <w:r w:rsidR="00DB2FD7">
        <w:rPr>
          <w:rFonts w:ascii="Times New Roman" w:hAnsi="Times New Roman"/>
          <w:sz w:val="24"/>
          <w:szCs w:val="24"/>
        </w:rPr>
        <w:t xml:space="preserve">Program </w:t>
      </w:r>
      <w:r w:rsidR="00504CA7" w:rsidRPr="00D937C4">
        <w:rPr>
          <w:rFonts w:ascii="Times New Roman" w:hAnsi="Times New Roman"/>
          <w:sz w:val="24"/>
          <w:szCs w:val="24"/>
        </w:rPr>
        <w:t>P</w:t>
      </w:r>
      <w:r w:rsidR="006706B0" w:rsidRPr="00D937C4">
        <w:rPr>
          <w:rFonts w:ascii="Times New Roman" w:hAnsi="Times New Roman"/>
          <w:sz w:val="24"/>
          <w:szCs w:val="24"/>
        </w:rPr>
        <w:t xml:space="preserve">rocess </w:t>
      </w:r>
      <w:r w:rsidR="00504CA7" w:rsidRPr="00D937C4">
        <w:rPr>
          <w:rFonts w:ascii="Times New Roman" w:hAnsi="Times New Roman"/>
          <w:sz w:val="24"/>
          <w:szCs w:val="24"/>
        </w:rPr>
        <w:t>E</w:t>
      </w:r>
      <w:r w:rsidR="006706B0" w:rsidRPr="00D937C4">
        <w:rPr>
          <w:rFonts w:ascii="Times New Roman" w:hAnsi="Times New Roman"/>
          <w:sz w:val="24"/>
          <w:szCs w:val="24"/>
        </w:rPr>
        <w:t>valuation surveys</w:t>
      </w:r>
      <w:r w:rsidRPr="00D937C4">
        <w:rPr>
          <w:rFonts w:ascii="Times New Roman" w:hAnsi="Times New Roman"/>
          <w:sz w:val="24"/>
          <w:szCs w:val="24"/>
        </w:rPr>
        <w:t xml:space="preserve"> consists of all </w:t>
      </w:r>
      <w:r w:rsidR="00DC5CCC" w:rsidRPr="00D937C4">
        <w:rPr>
          <w:rFonts w:ascii="Times New Roman" w:hAnsi="Times New Roman"/>
          <w:sz w:val="24"/>
          <w:szCs w:val="24"/>
        </w:rPr>
        <w:t xml:space="preserve">SIF PFS </w:t>
      </w:r>
      <w:r w:rsidRPr="00D937C4">
        <w:rPr>
          <w:rFonts w:ascii="Times New Roman" w:hAnsi="Times New Roman"/>
          <w:sz w:val="24"/>
          <w:szCs w:val="24"/>
        </w:rPr>
        <w:t>grantee</w:t>
      </w:r>
      <w:r w:rsidR="00DC5CCC" w:rsidRPr="00D937C4">
        <w:rPr>
          <w:rFonts w:ascii="Times New Roman" w:hAnsi="Times New Roman"/>
          <w:sz w:val="24"/>
          <w:szCs w:val="24"/>
        </w:rPr>
        <w:t>s</w:t>
      </w:r>
      <w:r w:rsidRPr="00D937C4">
        <w:rPr>
          <w:rFonts w:ascii="Times New Roman" w:hAnsi="Times New Roman"/>
          <w:sz w:val="24"/>
          <w:szCs w:val="24"/>
        </w:rPr>
        <w:t>,</w:t>
      </w:r>
      <w:r w:rsidR="00DC5CCC" w:rsidRPr="00D937C4">
        <w:rPr>
          <w:rFonts w:ascii="Times New Roman" w:hAnsi="Times New Roman"/>
          <w:sz w:val="24"/>
          <w:szCs w:val="24"/>
        </w:rPr>
        <w:t xml:space="preserve"> subrecipients, and s</w:t>
      </w:r>
      <w:r w:rsidR="00DB2FD7">
        <w:rPr>
          <w:rFonts w:ascii="Times New Roman" w:hAnsi="Times New Roman"/>
          <w:sz w:val="24"/>
          <w:szCs w:val="24"/>
        </w:rPr>
        <w:t>ervice recipient</w:t>
      </w:r>
      <w:r w:rsidR="00DC5CCC" w:rsidRPr="00D937C4">
        <w:rPr>
          <w:rFonts w:ascii="Times New Roman" w:hAnsi="Times New Roman"/>
          <w:sz w:val="24"/>
          <w:szCs w:val="24"/>
        </w:rPr>
        <w:t>s.</w:t>
      </w:r>
      <w:r w:rsidR="00BA4F42" w:rsidRPr="00D937C4">
        <w:rPr>
          <w:rFonts w:ascii="Times New Roman" w:hAnsi="Times New Roman"/>
          <w:sz w:val="24"/>
          <w:szCs w:val="24"/>
        </w:rPr>
        <w:t xml:space="preserve"> In </w:t>
      </w:r>
      <w:r w:rsidR="00D937C4" w:rsidRPr="00D937C4">
        <w:rPr>
          <w:rFonts w:ascii="Times New Roman" w:hAnsi="Times New Roman"/>
          <w:sz w:val="24"/>
          <w:szCs w:val="24"/>
        </w:rPr>
        <w:t>October</w:t>
      </w:r>
      <w:r w:rsidR="00BA4F42" w:rsidRPr="00D937C4">
        <w:rPr>
          <w:rFonts w:ascii="Times New Roman" w:hAnsi="Times New Roman"/>
          <w:sz w:val="24"/>
          <w:szCs w:val="24"/>
        </w:rPr>
        <w:t xml:space="preserve"> 201</w:t>
      </w:r>
      <w:r w:rsidR="00D937C4" w:rsidRPr="00D937C4">
        <w:rPr>
          <w:rFonts w:ascii="Times New Roman" w:hAnsi="Times New Roman"/>
          <w:sz w:val="24"/>
          <w:szCs w:val="24"/>
        </w:rPr>
        <w:t xml:space="preserve">4, CNCS funded </w:t>
      </w:r>
      <w:r w:rsidR="00BA4F42" w:rsidRPr="00D937C4">
        <w:rPr>
          <w:rFonts w:ascii="Times New Roman" w:hAnsi="Times New Roman"/>
          <w:sz w:val="24"/>
          <w:szCs w:val="24"/>
        </w:rPr>
        <w:t xml:space="preserve">eight </w:t>
      </w:r>
      <w:r w:rsidR="00D937C4">
        <w:rPr>
          <w:rFonts w:ascii="Times New Roman" w:hAnsi="Times New Roman"/>
          <w:sz w:val="24"/>
          <w:szCs w:val="24"/>
        </w:rPr>
        <w:t xml:space="preserve">SIF PFS </w:t>
      </w:r>
      <w:r w:rsidR="00BA4F42" w:rsidRPr="00D937C4">
        <w:rPr>
          <w:rFonts w:ascii="Times New Roman" w:hAnsi="Times New Roman"/>
          <w:sz w:val="24"/>
          <w:szCs w:val="24"/>
        </w:rPr>
        <w:t>grantees</w:t>
      </w:r>
      <w:r w:rsidR="00E607EC" w:rsidRPr="00D937C4">
        <w:rPr>
          <w:rFonts w:ascii="Times New Roman" w:hAnsi="Times New Roman"/>
          <w:sz w:val="24"/>
          <w:szCs w:val="24"/>
        </w:rPr>
        <w:t xml:space="preserve"> </w:t>
      </w:r>
      <w:r w:rsidR="00D937C4" w:rsidRPr="00D937C4">
        <w:rPr>
          <w:rFonts w:ascii="Times New Roman" w:hAnsi="Times New Roman"/>
          <w:sz w:val="24"/>
          <w:szCs w:val="24"/>
        </w:rPr>
        <w:t xml:space="preserve">for up to three years.  </w:t>
      </w:r>
      <w:r w:rsidR="00E607EC" w:rsidRPr="00D937C4">
        <w:rPr>
          <w:rFonts w:ascii="Times New Roman" w:hAnsi="Times New Roman"/>
          <w:sz w:val="24"/>
          <w:szCs w:val="24"/>
        </w:rPr>
        <w:t xml:space="preserve">Each of these grantees </w:t>
      </w:r>
      <w:r w:rsidR="00D937C4" w:rsidRPr="00D937C4">
        <w:rPr>
          <w:rFonts w:ascii="Times New Roman" w:hAnsi="Times New Roman"/>
          <w:sz w:val="24"/>
          <w:szCs w:val="24"/>
        </w:rPr>
        <w:t>released requests for proposals (RFPs) and</w:t>
      </w:r>
      <w:r w:rsidR="008D1B04">
        <w:rPr>
          <w:rFonts w:ascii="Times New Roman" w:hAnsi="Times New Roman"/>
          <w:sz w:val="24"/>
          <w:szCs w:val="24"/>
        </w:rPr>
        <w:t xml:space="preserve"> collectively</w:t>
      </w:r>
      <w:r w:rsidR="00D937C4" w:rsidRPr="00D937C4">
        <w:rPr>
          <w:rFonts w:ascii="Times New Roman" w:hAnsi="Times New Roman"/>
          <w:sz w:val="24"/>
          <w:szCs w:val="24"/>
        </w:rPr>
        <w:t xml:space="preserve"> selected a group of </w:t>
      </w:r>
      <w:r w:rsidR="00D937C4">
        <w:rPr>
          <w:rFonts w:ascii="Times New Roman" w:hAnsi="Times New Roman"/>
          <w:sz w:val="24"/>
          <w:szCs w:val="24"/>
        </w:rPr>
        <w:t>55</w:t>
      </w:r>
      <w:r w:rsidR="00D937C4" w:rsidRPr="00D937C4">
        <w:rPr>
          <w:rFonts w:ascii="Times New Roman" w:hAnsi="Times New Roman"/>
          <w:sz w:val="24"/>
          <w:szCs w:val="24"/>
        </w:rPr>
        <w:t xml:space="preserve"> subrecipients (to receive </w:t>
      </w:r>
      <w:r w:rsidR="000A7C17">
        <w:rPr>
          <w:rFonts w:ascii="Times New Roman" w:hAnsi="Times New Roman"/>
          <w:sz w:val="24"/>
          <w:szCs w:val="24"/>
        </w:rPr>
        <w:t xml:space="preserve">assistance with </w:t>
      </w:r>
      <w:r w:rsidR="00902368">
        <w:rPr>
          <w:rFonts w:ascii="Times New Roman" w:hAnsi="Times New Roman"/>
          <w:sz w:val="24"/>
          <w:szCs w:val="24"/>
        </w:rPr>
        <w:t xml:space="preserve">feasibility </w:t>
      </w:r>
      <w:r w:rsidR="000A7C17">
        <w:rPr>
          <w:rFonts w:ascii="Times New Roman" w:hAnsi="Times New Roman"/>
          <w:sz w:val="24"/>
          <w:szCs w:val="24"/>
        </w:rPr>
        <w:t xml:space="preserve">assessments and technical assistance for </w:t>
      </w:r>
      <w:r w:rsidR="00902368">
        <w:rPr>
          <w:rFonts w:ascii="Times New Roman" w:hAnsi="Times New Roman"/>
          <w:sz w:val="24"/>
          <w:szCs w:val="24"/>
        </w:rPr>
        <w:t>capacity building</w:t>
      </w:r>
      <w:r w:rsidR="00D937C4" w:rsidRPr="00D937C4">
        <w:rPr>
          <w:rFonts w:ascii="Times New Roman" w:hAnsi="Times New Roman"/>
          <w:sz w:val="24"/>
          <w:szCs w:val="24"/>
        </w:rPr>
        <w:t xml:space="preserve">) and </w:t>
      </w:r>
      <w:r w:rsidR="00DB2FD7">
        <w:rPr>
          <w:rFonts w:ascii="Times New Roman" w:hAnsi="Times New Roman"/>
          <w:sz w:val="24"/>
          <w:szCs w:val="24"/>
        </w:rPr>
        <w:t>service recipient</w:t>
      </w:r>
      <w:r w:rsidR="00D937C4" w:rsidRPr="00D937C4">
        <w:rPr>
          <w:rFonts w:ascii="Times New Roman" w:hAnsi="Times New Roman"/>
          <w:sz w:val="24"/>
          <w:szCs w:val="24"/>
        </w:rPr>
        <w:t>s (to receive transaction structuring assistance and/or receive pass-through funding)</w:t>
      </w:r>
      <w:r w:rsidR="0056688E">
        <w:rPr>
          <w:rFonts w:ascii="Times New Roman" w:hAnsi="Times New Roman"/>
          <w:sz w:val="24"/>
          <w:szCs w:val="24"/>
        </w:rPr>
        <w:t xml:space="preserve"> with the goal of</w:t>
      </w:r>
      <w:r w:rsidR="00012E9B">
        <w:rPr>
          <w:rFonts w:ascii="Times New Roman" w:hAnsi="Times New Roman"/>
          <w:sz w:val="24"/>
          <w:szCs w:val="24"/>
        </w:rPr>
        <w:t xml:space="preserve"> exploring and</w:t>
      </w:r>
      <w:r w:rsidR="0056688E">
        <w:rPr>
          <w:rFonts w:ascii="Times New Roman" w:hAnsi="Times New Roman"/>
          <w:sz w:val="24"/>
          <w:szCs w:val="24"/>
        </w:rPr>
        <w:t xml:space="preserve"> </w:t>
      </w:r>
      <w:r w:rsidR="004647DB">
        <w:rPr>
          <w:rFonts w:ascii="Times New Roman" w:hAnsi="Times New Roman"/>
          <w:sz w:val="24"/>
          <w:szCs w:val="24"/>
        </w:rPr>
        <w:t xml:space="preserve">developing </w:t>
      </w:r>
      <w:r w:rsidR="0056688E">
        <w:rPr>
          <w:rFonts w:ascii="Times New Roman" w:hAnsi="Times New Roman"/>
          <w:sz w:val="24"/>
          <w:szCs w:val="24"/>
        </w:rPr>
        <w:t>PFS projects</w:t>
      </w:r>
      <w:r w:rsidR="00D937C4" w:rsidRPr="00D937C4">
        <w:rPr>
          <w:rFonts w:ascii="Times New Roman" w:hAnsi="Times New Roman"/>
          <w:sz w:val="24"/>
          <w:szCs w:val="24"/>
        </w:rPr>
        <w:t xml:space="preserve">. </w:t>
      </w:r>
    </w:p>
    <w:p w14:paraId="330D5ACD" w14:textId="7F654CC9" w:rsidR="005258A2" w:rsidRDefault="00BA4F42" w:rsidP="007C069F">
      <w:r>
        <w:t xml:space="preserve">The SIF PFS </w:t>
      </w:r>
      <w:r w:rsidR="00D83F4A">
        <w:t>p</w:t>
      </w:r>
      <w:r>
        <w:t xml:space="preserve">rogram </w:t>
      </w:r>
      <w:r w:rsidR="008D1B04">
        <w:t>anticipates selecting</w:t>
      </w:r>
      <w:r w:rsidR="000A7C17">
        <w:t xml:space="preserve"> </w:t>
      </w:r>
      <w:r w:rsidR="00E607EC">
        <w:t xml:space="preserve">approximately </w:t>
      </w:r>
      <w:r w:rsidR="00C761A3">
        <w:t xml:space="preserve">four </w:t>
      </w:r>
      <w:r>
        <w:t>additional</w:t>
      </w:r>
      <w:r w:rsidR="00902368">
        <w:t xml:space="preserve"> </w:t>
      </w:r>
      <w:r w:rsidR="00203662">
        <w:t xml:space="preserve">SIF </w:t>
      </w:r>
      <w:r w:rsidR="00902368">
        <w:t xml:space="preserve">PFS </w:t>
      </w:r>
      <w:r w:rsidR="00C761A3">
        <w:t xml:space="preserve">grantees in </w:t>
      </w:r>
      <w:r w:rsidR="00D937C4">
        <w:t xml:space="preserve">the spring </w:t>
      </w:r>
      <w:r w:rsidR="00C761A3">
        <w:t>201</w:t>
      </w:r>
      <w:r w:rsidR="00623964">
        <w:t>6</w:t>
      </w:r>
      <w:r w:rsidR="00902368">
        <w:t xml:space="preserve"> and </w:t>
      </w:r>
      <w:r w:rsidR="008D1B04">
        <w:t xml:space="preserve">another </w:t>
      </w:r>
      <w:r w:rsidR="00902368">
        <w:t xml:space="preserve">six </w:t>
      </w:r>
      <w:r w:rsidR="00C761A3">
        <w:t xml:space="preserve">in </w:t>
      </w:r>
      <w:r w:rsidR="00D937C4">
        <w:t xml:space="preserve">spring </w:t>
      </w:r>
      <w:r w:rsidR="00C761A3">
        <w:t>201</w:t>
      </w:r>
      <w:r w:rsidR="00623964">
        <w:t>7</w:t>
      </w:r>
      <w:r w:rsidR="00C761A3">
        <w:t xml:space="preserve">. </w:t>
      </w:r>
      <w:r w:rsidR="0077231B">
        <w:t xml:space="preserve">Each of these </w:t>
      </w:r>
      <w:r w:rsidR="008D1B04">
        <w:t xml:space="preserve">ten additional </w:t>
      </w:r>
      <w:r w:rsidR="0077231B">
        <w:t>grantees is expected to fund approximately s</w:t>
      </w:r>
      <w:r w:rsidR="00D937C4">
        <w:t>even</w:t>
      </w:r>
      <w:r w:rsidR="0077231B">
        <w:t xml:space="preserve"> subrecipients/</w:t>
      </w:r>
      <w:r w:rsidR="00DB2FD7">
        <w:t>service recipient</w:t>
      </w:r>
      <w:r w:rsidR="0077231B">
        <w:t xml:space="preserve">s </w:t>
      </w:r>
      <w:r w:rsidR="008D1B04">
        <w:t>to work with</w:t>
      </w:r>
      <w:r w:rsidR="0077231B">
        <w:t xml:space="preserve">.  </w:t>
      </w:r>
      <w:r w:rsidR="00C761A3">
        <w:t xml:space="preserve">The exhibit below </w:t>
      </w:r>
      <w:r w:rsidR="005258A2">
        <w:t>provides the expected number of grantees and subrecipients/</w:t>
      </w:r>
      <w:r w:rsidR="00DB2FD7">
        <w:t>service recipient</w:t>
      </w:r>
      <w:r w:rsidR="005258A2">
        <w:t xml:space="preserve">s </w:t>
      </w:r>
      <w:r w:rsidR="00902368">
        <w:t xml:space="preserve">that will participate </w:t>
      </w:r>
      <w:r w:rsidR="005258A2">
        <w:t xml:space="preserve">in each </w:t>
      </w:r>
      <w:r w:rsidR="00E607EC">
        <w:t xml:space="preserve">survey period </w:t>
      </w:r>
      <w:r w:rsidR="005258A2">
        <w:t xml:space="preserve">during the proposed </w:t>
      </w:r>
      <w:r w:rsidR="00902368">
        <w:t xml:space="preserve">three </w:t>
      </w:r>
      <w:r w:rsidR="00E607EC">
        <w:t xml:space="preserve">annual </w:t>
      </w:r>
      <w:r w:rsidR="005258A2">
        <w:t xml:space="preserve">rounds of </w:t>
      </w:r>
      <w:r w:rsidR="00E607EC">
        <w:t>survey</w:t>
      </w:r>
      <w:r w:rsidR="005258A2">
        <w:t xml:space="preserve"> data collection.</w:t>
      </w:r>
      <w:r w:rsidR="004647DB">
        <w:t xml:space="preserve"> Please note that the number of subrecipients/s</w:t>
      </w:r>
      <w:r w:rsidR="00DB2FD7">
        <w:t>ervice recipients</w:t>
      </w:r>
      <w:r w:rsidR="004647DB">
        <w:t xml:space="preserve"> may change from year to year.</w:t>
      </w:r>
      <w:r w:rsidR="00BD50D2">
        <w:t xml:space="preserve"> </w:t>
      </w:r>
      <w:r w:rsidR="00902368">
        <w:t xml:space="preserve"> </w:t>
      </w:r>
    </w:p>
    <w:p w14:paraId="2888D4E4" w14:textId="77777777" w:rsidR="00203662" w:rsidRDefault="00203662" w:rsidP="007C069F"/>
    <w:p w14:paraId="03A6F256" w14:textId="4405E359" w:rsidR="00902368" w:rsidRDefault="00012E9B" w:rsidP="00902368">
      <w:pPr>
        <w:pStyle w:val="ExhibitText"/>
        <w:keepNext/>
        <w:keepLines/>
        <w:rPr>
          <w:b/>
        </w:rPr>
      </w:pPr>
      <w:r>
        <w:rPr>
          <w:b/>
        </w:rPr>
        <w:t>Exhibit B.</w:t>
      </w:r>
      <w:r w:rsidR="00902368">
        <w:rPr>
          <w:b/>
        </w:rPr>
        <w:t>1</w:t>
      </w:r>
      <w:r w:rsidR="00902368" w:rsidRPr="00880273">
        <w:rPr>
          <w:b/>
        </w:rPr>
        <w:t xml:space="preserve">.  </w:t>
      </w:r>
      <w:r w:rsidR="00902368">
        <w:rPr>
          <w:b/>
        </w:rPr>
        <w:t>Respondents for each Survey Data Collection Period</w:t>
      </w:r>
    </w:p>
    <w:tbl>
      <w:tblPr>
        <w:tblStyle w:val="TableGrid"/>
        <w:tblW w:w="0" w:type="auto"/>
        <w:tblLayout w:type="fixed"/>
        <w:tblLook w:val="04A0" w:firstRow="1" w:lastRow="0" w:firstColumn="1" w:lastColumn="0" w:noHBand="0" w:noVBand="1"/>
      </w:tblPr>
      <w:tblGrid>
        <w:gridCol w:w="3168"/>
        <w:gridCol w:w="2520"/>
        <w:gridCol w:w="1440"/>
        <w:gridCol w:w="810"/>
        <w:gridCol w:w="810"/>
        <w:gridCol w:w="828"/>
      </w:tblGrid>
      <w:tr w:rsidR="00A368A6" w:rsidRPr="003574F0" w14:paraId="5B657D60" w14:textId="4BBB8AC7" w:rsidTr="00E607EC">
        <w:trPr>
          <w:trHeight w:val="378"/>
        </w:trPr>
        <w:tc>
          <w:tcPr>
            <w:tcW w:w="3168" w:type="dxa"/>
            <w:vMerge w:val="restart"/>
            <w:hideMark/>
          </w:tcPr>
          <w:p w14:paraId="5ADE5838" w14:textId="77777777" w:rsidR="00CD4C6E" w:rsidRDefault="00CD4C6E" w:rsidP="00954C92">
            <w:pPr>
              <w:spacing w:after="0"/>
              <w:rPr>
                <w:b/>
                <w:bCs/>
                <w:sz w:val="20"/>
                <w:szCs w:val="20"/>
              </w:rPr>
            </w:pPr>
          </w:p>
          <w:p w14:paraId="1EEB301E" w14:textId="77777777" w:rsidR="00CD4C6E" w:rsidRDefault="00CD4C6E" w:rsidP="00954C92">
            <w:pPr>
              <w:spacing w:after="0"/>
              <w:rPr>
                <w:b/>
                <w:bCs/>
                <w:sz w:val="20"/>
                <w:szCs w:val="20"/>
              </w:rPr>
            </w:pPr>
          </w:p>
          <w:p w14:paraId="3FA1A539" w14:textId="77777777" w:rsidR="00CD4C6E" w:rsidRDefault="00CD4C6E" w:rsidP="00954C92">
            <w:pPr>
              <w:spacing w:after="0"/>
              <w:rPr>
                <w:b/>
                <w:bCs/>
                <w:sz w:val="20"/>
                <w:szCs w:val="20"/>
              </w:rPr>
            </w:pPr>
          </w:p>
          <w:p w14:paraId="4117D823" w14:textId="77777777" w:rsidR="00A368A6" w:rsidRPr="003574F0" w:rsidRDefault="00A368A6" w:rsidP="00954C92">
            <w:pPr>
              <w:spacing w:after="0"/>
              <w:rPr>
                <w:b/>
                <w:bCs/>
                <w:sz w:val="20"/>
                <w:szCs w:val="20"/>
              </w:rPr>
            </w:pPr>
            <w:r w:rsidRPr="003574F0">
              <w:rPr>
                <w:b/>
                <w:bCs/>
                <w:sz w:val="20"/>
                <w:szCs w:val="20"/>
              </w:rPr>
              <w:t>Respondent Type</w:t>
            </w:r>
          </w:p>
        </w:tc>
        <w:tc>
          <w:tcPr>
            <w:tcW w:w="2520" w:type="dxa"/>
            <w:vMerge w:val="restart"/>
          </w:tcPr>
          <w:p w14:paraId="374C49A2" w14:textId="77777777" w:rsidR="00CD4C6E" w:rsidRDefault="00CD4C6E" w:rsidP="00CD4C6E">
            <w:pPr>
              <w:spacing w:after="0"/>
              <w:jc w:val="center"/>
              <w:rPr>
                <w:b/>
                <w:bCs/>
                <w:sz w:val="20"/>
                <w:szCs w:val="20"/>
              </w:rPr>
            </w:pPr>
          </w:p>
          <w:p w14:paraId="04B1A219" w14:textId="77777777" w:rsidR="00CD4C6E" w:rsidRDefault="00CD4C6E" w:rsidP="00CD4C6E">
            <w:pPr>
              <w:spacing w:after="0"/>
              <w:jc w:val="center"/>
              <w:rPr>
                <w:b/>
                <w:bCs/>
                <w:sz w:val="20"/>
                <w:szCs w:val="20"/>
              </w:rPr>
            </w:pPr>
          </w:p>
          <w:p w14:paraId="2DA44F2F" w14:textId="77777777" w:rsidR="00CD4C6E" w:rsidRDefault="00CD4C6E" w:rsidP="00CD4C6E">
            <w:pPr>
              <w:spacing w:after="0"/>
              <w:jc w:val="center"/>
              <w:rPr>
                <w:b/>
                <w:bCs/>
                <w:sz w:val="20"/>
                <w:szCs w:val="20"/>
              </w:rPr>
            </w:pPr>
          </w:p>
          <w:p w14:paraId="075D68BC" w14:textId="4B3BEDE7" w:rsidR="00A368A6" w:rsidRPr="003574F0" w:rsidRDefault="00E607EC" w:rsidP="00CD4C6E">
            <w:pPr>
              <w:spacing w:after="0"/>
              <w:jc w:val="center"/>
              <w:rPr>
                <w:b/>
                <w:bCs/>
                <w:sz w:val="20"/>
                <w:szCs w:val="20"/>
              </w:rPr>
            </w:pPr>
            <w:r w:rsidRPr="003574F0">
              <w:rPr>
                <w:b/>
                <w:bCs/>
                <w:sz w:val="20"/>
                <w:szCs w:val="20"/>
              </w:rPr>
              <w:t>Funding Period</w:t>
            </w:r>
          </w:p>
        </w:tc>
        <w:tc>
          <w:tcPr>
            <w:tcW w:w="1440" w:type="dxa"/>
            <w:vMerge w:val="restart"/>
            <w:hideMark/>
          </w:tcPr>
          <w:p w14:paraId="4ACB9533" w14:textId="0B7F7EAF" w:rsidR="00A368A6" w:rsidRPr="003574F0" w:rsidRDefault="00A368A6" w:rsidP="00DB2FD7">
            <w:pPr>
              <w:spacing w:after="0"/>
              <w:jc w:val="center"/>
              <w:rPr>
                <w:b/>
                <w:bCs/>
                <w:sz w:val="20"/>
                <w:szCs w:val="20"/>
              </w:rPr>
            </w:pPr>
            <w:r w:rsidRPr="003574F0">
              <w:rPr>
                <w:b/>
                <w:bCs/>
                <w:sz w:val="20"/>
                <w:szCs w:val="20"/>
              </w:rPr>
              <w:t>Number of Grantees and Subrecipients/ S</w:t>
            </w:r>
            <w:r w:rsidR="00DB2FD7">
              <w:rPr>
                <w:b/>
                <w:bCs/>
                <w:sz w:val="20"/>
                <w:szCs w:val="20"/>
              </w:rPr>
              <w:t>ervice Recipients</w:t>
            </w:r>
          </w:p>
        </w:tc>
        <w:tc>
          <w:tcPr>
            <w:tcW w:w="2448" w:type="dxa"/>
            <w:gridSpan w:val="3"/>
          </w:tcPr>
          <w:p w14:paraId="754396D2" w14:textId="255B6811" w:rsidR="00A368A6" w:rsidRPr="003574F0" w:rsidRDefault="00A368A6" w:rsidP="00793D8A">
            <w:pPr>
              <w:spacing w:after="0"/>
              <w:jc w:val="center"/>
              <w:rPr>
                <w:b/>
                <w:bCs/>
                <w:sz w:val="20"/>
                <w:szCs w:val="20"/>
              </w:rPr>
            </w:pPr>
            <w:r w:rsidRPr="003574F0">
              <w:rPr>
                <w:b/>
                <w:bCs/>
                <w:sz w:val="20"/>
                <w:szCs w:val="20"/>
              </w:rPr>
              <w:t>Number of Respondents per Survey Period</w:t>
            </w:r>
          </w:p>
        </w:tc>
      </w:tr>
      <w:tr w:rsidR="00E607EC" w:rsidRPr="003574F0" w14:paraId="2F1ACEFC" w14:textId="77777777" w:rsidTr="00E607EC">
        <w:trPr>
          <w:trHeight w:val="378"/>
        </w:trPr>
        <w:tc>
          <w:tcPr>
            <w:tcW w:w="3168" w:type="dxa"/>
            <w:vMerge/>
          </w:tcPr>
          <w:p w14:paraId="07B76B8E" w14:textId="77777777" w:rsidR="00A368A6" w:rsidRPr="003574F0" w:rsidRDefault="00A368A6" w:rsidP="00954C92">
            <w:pPr>
              <w:spacing w:after="0"/>
              <w:rPr>
                <w:b/>
                <w:bCs/>
                <w:sz w:val="20"/>
                <w:szCs w:val="20"/>
              </w:rPr>
            </w:pPr>
          </w:p>
        </w:tc>
        <w:tc>
          <w:tcPr>
            <w:tcW w:w="2520" w:type="dxa"/>
            <w:vMerge/>
          </w:tcPr>
          <w:p w14:paraId="22A5EC32" w14:textId="77777777" w:rsidR="00A368A6" w:rsidRPr="003574F0" w:rsidRDefault="00A368A6" w:rsidP="00CD4C6E">
            <w:pPr>
              <w:spacing w:after="0"/>
              <w:jc w:val="center"/>
              <w:rPr>
                <w:b/>
                <w:bCs/>
                <w:sz w:val="20"/>
                <w:szCs w:val="20"/>
              </w:rPr>
            </w:pPr>
          </w:p>
        </w:tc>
        <w:tc>
          <w:tcPr>
            <w:tcW w:w="1440" w:type="dxa"/>
            <w:vMerge/>
          </w:tcPr>
          <w:p w14:paraId="52630A30" w14:textId="77777777" w:rsidR="00A368A6" w:rsidRPr="003574F0" w:rsidRDefault="00A368A6" w:rsidP="00954C92">
            <w:pPr>
              <w:spacing w:after="0"/>
              <w:rPr>
                <w:b/>
                <w:bCs/>
                <w:sz w:val="20"/>
                <w:szCs w:val="20"/>
              </w:rPr>
            </w:pPr>
          </w:p>
        </w:tc>
        <w:tc>
          <w:tcPr>
            <w:tcW w:w="810" w:type="dxa"/>
          </w:tcPr>
          <w:p w14:paraId="3A3DEEFA" w14:textId="1AE05096" w:rsidR="00A368A6" w:rsidRPr="003574F0" w:rsidRDefault="00A368A6" w:rsidP="00793D8A">
            <w:pPr>
              <w:spacing w:after="0"/>
              <w:jc w:val="center"/>
              <w:rPr>
                <w:b/>
                <w:bCs/>
                <w:sz w:val="20"/>
                <w:szCs w:val="20"/>
              </w:rPr>
            </w:pPr>
            <w:r w:rsidRPr="003574F0">
              <w:rPr>
                <w:b/>
                <w:bCs/>
                <w:sz w:val="20"/>
                <w:szCs w:val="20"/>
              </w:rPr>
              <w:t>Spring 2016</w:t>
            </w:r>
          </w:p>
        </w:tc>
        <w:tc>
          <w:tcPr>
            <w:tcW w:w="810" w:type="dxa"/>
          </w:tcPr>
          <w:p w14:paraId="7505B9EB" w14:textId="2A804B02" w:rsidR="00A368A6" w:rsidRPr="003574F0" w:rsidRDefault="00A368A6" w:rsidP="00793D8A">
            <w:pPr>
              <w:spacing w:after="0"/>
              <w:jc w:val="center"/>
              <w:rPr>
                <w:b/>
                <w:bCs/>
                <w:sz w:val="20"/>
                <w:szCs w:val="20"/>
              </w:rPr>
            </w:pPr>
            <w:r w:rsidRPr="003574F0">
              <w:rPr>
                <w:b/>
                <w:bCs/>
                <w:sz w:val="20"/>
                <w:szCs w:val="20"/>
              </w:rPr>
              <w:t>Spring 2017</w:t>
            </w:r>
          </w:p>
        </w:tc>
        <w:tc>
          <w:tcPr>
            <w:tcW w:w="828" w:type="dxa"/>
          </w:tcPr>
          <w:p w14:paraId="3C8AACFA" w14:textId="16CA4E44" w:rsidR="00A368A6" w:rsidRPr="003574F0" w:rsidRDefault="00A368A6" w:rsidP="00793D8A">
            <w:pPr>
              <w:spacing w:after="0"/>
              <w:jc w:val="center"/>
              <w:rPr>
                <w:b/>
                <w:bCs/>
                <w:sz w:val="20"/>
                <w:szCs w:val="20"/>
              </w:rPr>
            </w:pPr>
            <w:r w:rsidRPr="003574F0">
              <w:rPr>
                <w:b/>
                <w:bCs/>
                <w:sz w:val="20"/>
                <w:szCs w:val="20"/>
              </w:rPr>
              <w:t>Spring 2018</w:t>
            </w:r>
          </w:p>
        </w:tc>
      </w:tr>
      <w:tr w:rsidR="00CD4C6E" w:rsidRPr="003574F0" w14:paraId="526E0446" w14:textId="3CFDE27C" w:rsidTr="00793D8A">
        <w:trPr>
          <w:trHeight w:val="300"/>
        </w:trPr>
        <w:tc>
          <w:tcPr>
            <w:tcW w:w="3168" w:type="dxa"/>
            <w:noWrap/>
            <w:hideMark/>
          </w:tcPr>
          <w:p w14:paraId="5F87AE8E" w14:textId="77777777" w:rsidR="00CD4C6E" w:rsidRPr="00CD4C6E" w:rsidRDefault="00CD4C6E" w:rsidP="00DF247A">
            <w:pPr>
              <w:spacing w:after="0"/>
              <w:jc w:val="center"/>
              <w:rPr>
                <w:b/>
                <w:sz w:val="20"/>
                <w:szCs w:val="20"/>
              </w:rPr>
            </w:pPr>
            <w:r w:rsidRPr="00CD4C6E">
              <w:rPr>
                <w:b/>
                <w:sz w:val="20"/>
                <w:szCs w:val="20"/>
              </w:rPr>
              <w:t>2014 Grantees</w:t>
            </w:r>
          </w:p>
        </w:tc>
        <w:tc>
          <w:tcPr>
            <w:tcW w:w="2520" w:type="dxa"/>
          </w:tcPr>
          <w:p w14:paraId="617E1A1E" w14:textId="3A97151B" w:rsidR="00CD4C6E" w:rsidRPr="00B56D50" w:rsidRDefault="00CD4C6E" w:rsidP="00DF247A">
            <w:pPr>
              <w:spacing w:after="0"/>
              <w:jc w:val="center"/>
              <w:rPr>
                <w:sz w:val="20"/>
                <w:szCs w:val="20"/>
              </w:rPr>
            </w:pPr>
            <w:r w:rsidRPr="00B56D50">
              <w:rPr>
                <w:color w:val="000000"/>
                <w:sz w:val="20"/>
                <w:szCs w:val="20"/>
              </w:rPr>
              <w:t>Fall 2014 to Fall 2017</w:t>
            </w:r>
          </w:p>
        </w:tc>
        <w:tc>
          <w:tcPr>
            <w:tcW w:w="1440" w:type="dxa"/>
            <w:noWrap/>
            <w:vAlign w:val="center"/>
            <w:hideMark/>
          </w:tcPr>
          <w:p w14:paraId="73405FE4" w14:textId="2587B02B" w:rsidR="00CD4C6E" w:rsidRPr="003574F0" w:rsidRDefault="00CD4C6E" w:rsidP="00DF247A">
            <w:pPr>
              <w:spacing w:after="0"/>
              <w:jc w:val="center"/>
              <w:rPr>
                <w:sz w:val="20"/>
                <w:szCs w:val="20"/>
              </w:rPr>
            </w:pPr>
            <w:r w:rsidRPr="003574F0">
              <w:rPr>
                <w:sz w:val="20"/>
                <w:szCs w:val="20"/>
              </w:rPr>
              <w:t>8</w:t>
            </w:r>
          </w:p>
        </w:tc>
        <w:tc>
          <w:tcPr>
            <w:tcW w:w="810" w:type="dxa"/>
            <w:vAlign w:val="center"/>
          </w:tcPr>
          <w:p w14:paraId="72E693F9" w14:textId="20CFA057" w:rsidR="00CD4C6E" w:rsidRPr="003574F0" w:rsidRDefault="00CD4C6E" w:rsidP="00DF247A">
            <w:pPr>
              <w:spacing w:after="0"/>
              <w:jc w:val="center"/>
              <w:rPr>
                <w:sz w:val="20"/>
                <w:szCs w:val="20"/>
              </w:rPr>
            </w:pPr>
            <w:r w:rsidRPr="003574F0">
              <w:rPr>
                <w:sz w:val="20"/>
                <w:szCs w:val="20"/>
              </w:rPr>
              <w:t>8</w:t>
            </w:r>
          </w:p>
        </w:tc>
        <w:tc>
          <w:tcPr>
            <w:tcW w:w="810" w:type="dxa"/>
            <w:vAlign w:val="center"/>
          </w:tcPr>
          <w:p w14:paraId="12C7AB00" w14:textId="6CE04709" w:rsidR="00CD4C6E" w:rsidRPr="003574F0" w:rsidRDefault="00CD4C6E" w:rsidP="00DF247A">
            <w:pPr>
              <w:spacing w:after="0"/>
              <w:jc w:val="center"/>
              <w:rPr>
                <w:sz w:val="20"/>
                <w:szCs w:val="20"/>
              </w:rPr>
            </w:pPr>
            <w:r w:rsidRPr="003574F0">
              <w:rPr>
                <w:sz w:val="20"/>
                <w:szCs w:val="20"/>
              </w:rPr>
              <w:t>8</w:t>
            </w:r>
          </w:p>
        </w:tc>
        <w:tc>
          <w:tcPr>
            <w:tcW w:w="828" w:type="dxa"/>
            <w:vAlign w:val="center"/>
          </w:tcPr>
          <w:p w14:paraId="10F7D5ED" w14:textId="29C3BDF8" w:rsidR="00CD4C6E" w:rsidRPr="003574F0" w:rsidRDefault="00CD4C6E" w:rsidP="00DF247A">
            <w:pPr>
              <w:spacing w:after="0"/>
              <w:jc w:val="center"/>
              <w:rPr>
                <w:sz w:val="20"/>
                <w:szCs w:val="20"/>
              </w:rPr>
            </w:pPr>
            <w:r>
              <w:rPr>
                <w:sz w:val="20"/>
                <w:szCs w:val="20"/>
              </w:rPr>
              <w:t>--</w:t>
            </w:r>
          </w:p>
        </w:tc>
      </w:tr>
      <w:tr w:rsidR="00CD4C6E" w:rsidRPr="003574F0" w14:paraId="37290FF1" w14:textId="0ED69E0C" w:rsidTr="00793D8A">
        <w:trPr>
          <w:trHeight w:val="300"/>
        </w:trPr>
        <w:tc>
          <w:tcPr>
            <w:tcW w:w="3168" w:type="dxa"/>
            <w:noWrap/>
            <w:hideMark/>
          </w:tcPr>
          <w:p w14:paraId="61A6C99E" w14:textId="3F2FF6CF" w:rsidR="00CD4C6E" w:rsidRPr="003574F0" w:rsidRDefault="00CD4C6E" w:rsidP="00DF247A">
            <w:pPr>
              <w:spacing w:after="0"/>
              <w:jc w:val="center"/>
              <w:rPr>
                <w:sz w:val="20"/>
                <w:szCs w:val="20"/>
              </w:rPr>
            </w:pPr>
            <w:r w:rsidRPr="003574F0">
              <w:rPr>
                <w:sz w:val="20"/>
                <w:szCs w:val="20"/>
              </w:rPr>
              <w:t>RFP 1 Subrecipients/S</w:t>
            </w:r>
            <w:r w:rsidR="00DB2FD7">
              <w:rPr>
                <w:sz w:val="20"/>
                <w:szCs w:val="20"/>
              </w:rPr>
              <w:t>ervice Recipients</w:t>
            </w:r>
          </w:p>
        </w:tc>
        <w:tc>
          <w:tcPr>
            <w:tcW w:w="2520" w:type="dxa"/>
          </w:tcPr>
          <w:p w14:paraId="1AE819D6" w14:textId="77777777" w:rsidR="00DF247A" w:rsidRDefault="00DF247A" w:rsidP="00DF247A">
            <w:pPr>
              <w:spacing w:after="0"/>
              <w:jc w:val="center"/>
              <w:rPr>
                <w:color w:val="000000"/>
                <w:sz w:val="20"/>
                <w:szCs w:val="20"/>
              </w:rPr>
            </w:pPr>
          </w:p>
          <w:p w14:paraId="0E7B492E" w14:textId="0AFB18A2" w:rsidR="00CD4C6E" w:rsidRPr="00B56D50" w:rsidDel="00737258" w:rsidRDefault="00CD4C6E" w:rsidP="00DF247A">
            <w:pPr>
              <w:spacing w:after="0"/>
              <w:jc w:val="center"/>
              <w:rPr>
                <w:sz w:val="20"/>
                <w:szCs w:val="20"/>
              </w:rPr>
            </w:pPr>
            <w:r w:rsidRPr="00B56D50">
              <w:rPr>
                <w:color w:val="000000"/>
                <w:sz w:val="20"/>
                <w:szCs w:val="20"/>
              </w:rPr>
              <w:t>Spring 2015 to Fall 2017</w:t>
            </w:r>
          </w:p>
        </w:tc>
        <w:tc>
          <w:tcPr>
            <w:tcW w:w="1440" w:type="dxa"/>
            <w:noWrap/>
            <w:vAlign w:val="center"/>
            <w:hideMark/>
          </w:tcPr>
          <w:p w14:paraId="5691AA95" w14:textId="051DDA1B" w:rsidR="00CD4C6E" w:rsidRPr="003574F0" w:rsidRDefault="00CD4C6E" w:rsidP="00DF247A">
            <w:pPr>
              <w:spacing w:after="0"/>
              <w:jc w:val="center"/>
              <w:rPr>
                <w:sz w:val="20"/>
                <w:szCs w:val="20"/>
              </w:rPr>
            </w:pPr>
            <w:r w:rsidRPr="003574F0">
              <w:rPr>
                <w:sz w:val="20"/>
                <w:szCs w:val="20"/>
              </w:rPr>
              <w:t>55</w:t>
            </w:r>
          </w:p>
        </w:tc>
        <w:tc>
          <w:tcPr>
            <w:tcW w:w="810" w:type="dxa"/>
            <w:vAlign w:val="center"/>
          </w:tcPr>
          <w:p w14:paraId="5A79E7A2" w14:textId="5846F6DB" w:rsidR="00CD4C6E" w:rsidRPr="003574F0" w:rsidRDefault="00CD4C6E" w:rsidP="00DF247A">
            <w:pPr>
              <w:spacing w:after="0"/>
              <w:jc w:val="center"/>
              <w:rPr>
                <w:sz w:val="20"/>
                <w:szCs w:val="20"/>
              </w:rPr>
            </w:pPr>
            <w:r w:rsidRPr="003574F0">
              <w:rPr>
                <w:sz w:val="20"/>
                <w:szCs w:val="20"/>
              </w:rPr>
              <w:t>55</w:t>
            </w:r>
          </w:p>
        </w:tc>
        <w:tc>
          <w:tcPr>
            <w:tcW w:w="810" w:type="dxa"/>
            <w:vAlign w:val="center"/>
          </w:tcPr>
          <w:p w14:paraId="11B81150" w14:textId="731209F2" w:rsidR="00CD4C6E" w:rsidRPr="003574F0" w:rsidRDefault="00CD4C6E" w:rsidP="00DF247A">
            <w:pPr>
              <w:spacing w:after="0"/>
              <w:jc w:val="center"/>
              <w:rPr>
                <w:sz w:val="20"/>
                <w:szCs w:val="20"/>
              </w:rPr>
            </w:pPr>
            <w:r w:rsidRPr="003574F0">
              <w:rPr>
                <w:sz w:val="20"/>
                <w:szCs w:val="20"/>
              </w:rPr>
              <w:t>55</w:t>
            </w:r>
          </w:p>
        </w:tc>
        <w:tc>
          <w:tcPr>
            <w:tcW w:w="828" w:type="dxa"/>
            <w:vAlign w:val="center"/>
          </w:tcPr>
          <w:p w14:paraId="5D7CED46" w14:textId="555BAAC2" w:rsidR="00CD4C6E" w:rsidRPr="003574F0" w:rsidRDefault="00CD4C6E" w:rsidP="00DF247A">
            <w:pPr>
              <w:spacing w:after="0"/>
              <w:jc w:val="center"/>
              <w:rPr>
                <w:sz w:val="20"/>
                <w:szCs w:val="20"/>
              </w:rPr>
            </w:pPr>
            <w:r>
              <w:rPr>
                <w:sz w:val="20"/>
                <w:szCs w:val="20"/>
              </w:rPr>
              <w:t>--</w:t>
            </w:r>
          </w:p>
        </w:tc>
      </w:tr>
      <w:tr w:rsidR="00CD4C6E" w:rsidRPr="003574F0" w14:paraId="69E791CE" w14:textId="1CA76DA6" w:rsidTr="00793D8A">
        <w:trPr>
          <w:trHeight w:val="300"/>
        </w:trPr>
        <w:tc>
          <w:tcPr>
            <w:tcW w:w="3168" w:type="dxa"/>
            <w:noWrap/>
            <w:hideMark/>
          </w:tcPr>
          <w:p w14:paraId="3D556E96" w14:textId="7A112BBE" w:rsidR="00CD4C6E" w:rsidRPr="003574F0" w:rsidRDefault="00CD4C6E" w:rsidP="00DF247A">
            <w:pPr>
              <w:spacing w:after="0"/>
              <w:jc w:val="center"/>
              <w:rPr>
                <w:sz w:val="20"/>
                <w:szCs w:val="20"/>
                <w:vertAlign w:val="subscript"/>
              </w:rPr>
            </w:pPr>
            <w:r w:rsidRPr="003574F0">
              <w:rPr>
                <w:sz w:val="20"/>
                <w:szCs w:val="20"/>
              </w:rPr>
              <w:t>RFP 2 Subrecipients/S</w:t>
            </w:r>
            <w:r w:rsidR="00DB2FD7">
              <w:rPr>
                <w:sz w:val="20"/>
                <w:szCs w:val="20"/>
              </w:rPr>
              <w:t>ervice Recipients</w:t>
            </w:r>
          </w:p>
        </w:tc>
        <w:tc>
          <w:tcPr>
            <w:tcW w:w="2520" w:type="dxa"/>
            <w:vAlign w:val="bottom"/>
          </w:tcPr>
          <w:p w14:paraId="3678F4D5" w14:textId="2C498958" w:rsidR="00CD4C6E" w:rsidRPr="00B56D50" w:rsidDel="00737258" w:rsidRDefault="00CD4C6E" w:rsidP="00DF247A">
            <w:pPr>
              <w:spacing w:after="0"/>
              <w:jc w:val="center"/>
              <w:rPr>
                <w:sz w:val="20"/>
                <w:szCs w:val="20"/>
              </w:rPr>
            </w:pPr>
            <w:r w:rsidRPr="00B56D50">
              <w:rPr>
                <w:color w:val="000000"/>
                <w:sz w:val="20"/>
                <w:szCs w:val="20"/>
              </w:rPr>
              <w:t>Spring 2016 to Fall 2017</w:t>
            </w:r>
          </w:p>
        </w:tc>
        <w:tc>
          <w:tcPr>
            <w:tcW w:w="1440" w:type="dxa"/>
            <w:noWrap/>
            <w:vAlign w:val="center"/>
            <w:hideMark/>
          </w:tcPr>
          <w:p w14:paraId="118048C3" w14:textId="4C40FAE9" w:rsidR="00CD4C6E" w:rsidRPr="003574F0" w:rsidRDefault="00CD4C6E" w:rsidP="00DF247A">
            <w:pPr>
              <w:spacing w:after="0"/>
              <w:jc w:val="center"/>
              <w:rPr>
                <w:sz w:val="20"/>
                <w:szCs w:val="20"/>
              </w:rPr>
            </w:pPr>
            <w:r w:rsidRPr="003574F0">
              <w:rPr>
                <w:sz w:val="20"/>
                <w:szCs w:val="20"/>
              </w:rPr>
              <w:t>55</w:t>
            </w:r>
          </w:p>
        </w:tc>
        <w:tc>
          <w:tcPr>
            <w:tcW w:w="810" w:type="dxa"/>
            <w:vAlign w:val="center"/>
          </w:tcPr>
          <w:p w14:paraId="5E263D43" w14:textId="357913D0" w:rsidR="00CD4C6E" w:rsidRPr="003574F0" w:rsidRDefault="00CD4C6E" w:rsidP="00DF247A">
            <w:pPr>
              <w:spacing w:after="0"/>
              <w:jc w:val="center"/>
              <w:rPr>
                <w:sz w:val="20"/>
                <w:szCs w:val="20"/>
              </w:rPr>
            </w:pPr>
            <w:r w:rsidRPr="003574F0">
              <w:rPr>
                <w:sz w:val="20"/>
                <w:szCs w:val="20"/>
              </w:rPr>
              <w:t>55</w:t>
            </w:r>
          </w:p>
        </w:tc>
        <w:tc>
          <w:tcPr>
            <w:tcW w:w="810" w:type="dxa"/>
            <w:vAlign w:val="center"/>
          </w:tcPr>
          <w:p w14:paraId="7C0929E0" w14:textId="1614757D" w:rsidR="00CD4C6E" w:rsidRPr="003574F0" w:rsidRDefault="00CD4C6E" w:rsidP="00DF247A">
            <w:pPr>
              <w:spacing w:after="0"/>
              <w:jc w:val="center"/>
              <w:rPr>
                <w:sz w:val="20"/>
                <w:szCs w:val="20"/>
              </w:rPr>
            </w:pPr>
            <w:r w:rsidRPr="003574F0">
              <w:rPr>
                <w:sz w:val="20"/>
                <w:szCs w:val="20"/>
              </w:rPr>
              <w:t>55</w:t>
            </w:r>
          </w:p>
        </w:tc>
        <w:tc>
          <w:tcPr>
            <w:tcW w:w="828" w:type="dxa"/>
            <w:vAlign w:val="center"/>
          </w:tcPr>
          <w:p w14:paraId="06985DDB" w14:textId="38B2C23F" w:rsidR="00CD4C6E" w:rsidRPr="003574F0" w:rsidRDefault="00CD4C6E" w:rsidP="00DF247A">
            <w:pPr>
              <w:spacing w:after="0"/>
              <w:jc w:val="center"/>
              <w:rPr>
                <w:sz w:val="20"/>
                <w:szCs w:val="20"/>
              </w:rPr>
            </w:pPr>
            <w:r>
              <w:rPr>
                <w:sz w:val="20"/>
                <w:szCs w:val="20"/>
              </w:rPr>
              <w:t>--</w:t>
            </w:r>
          </w:p>
        </w:tc>
      </w:tr>
      <w:tr w:rsidR="00CD4C6E" w:rsidRPr="003574F0" w14:paraId="11C55169" w14:textId="1E554831" w:rsidTr="00793D8A">
        <w:trPr>
          <w:trHeight w:val="300"/>
        </w:trPr>
        <w:tc>
          <w:tcPr>
            <w:tcW w:w="3168" w:type="dxa"/>
            <w:noWrap/>
            <w:hideMark/>
          </w:tcPr>
          <w:p w14:paraId="73D180DF" w14:textId="52F5FB94" w:rsidR="00CD4C6E" w:rsidRPr="00CD4C6E" w:rsidRDefault="00CD4C6E" w:rsidP="00DF247A">
            <w:pPr>
              <w:spacing w:after="0"/>
              <w:jc w:val="center"/>
              <w:rPr>
                <w:b/>
                <w:sz w:val="20"/>
                <w:szCs w:val="20"/>
              </w:rPr>
            </w:pPr>
            <w:r w:rsidRPr="00CD4C6E">
              <w:rPr>
                <w:b/>
                <w:sz w:val="20"/>
                <w:szCs w:val="20"/>
              </w:rPr>
              <w:t>2016 Grantees</w:t>
            </w:r>
          </w:p>
        </w:tc>
        <w:tc>
          <w:tcPr>
            <w:tcW w:w="2520" w:type="dxa"/>
          </w:tcPr>
          <w:p w14:paraId="3AB2B209" w14:textId="49CD5EC2" w:rsidR="00CD4C6E" w:rsidRPr="00B56D50" w:rsidRDefault="00CD4C6E" w:rsidP="00DF247A">
            <w:pPr>
              <w:spacing w:after="0"/>
              <w:jc w:val="center"/>
              <w:rPr>
                <w:sz w:val="20"/>
                <w:szCs w:val="20"/>
              </w:rPr>
            </w:pPr>
            <w:r w:rsidRPr="00B56D50">
              <w:rPr>
                <w:color w:val="000000"/>
                <w:sz w:val="20"/>
                <w:szCs w:val="20"/>
              </w:rPr>
              <w:t>Spring 2016 to Spring 2019</w:t>
            </w:r>
          </w:p>
        </w:tc>
        <w:tc>
          <w:tcPr>
            <w:tcW w:w="1440" w:type="dxa"/>
            <w:noWrap/>
            <w:vAlign w:val="center"/>
            <w:hideMark/>
          </w:tcPr>
          <w:p w14:paraId="4749E093" w14:textId="59555BE1" w:rsidR="00CD4C6E" w:rsidRPr="003574F0" w:rsidRDefault="00CD4C6E" w:rsidP="00DF247A">
            <w:pPr>
              <w:spacing w:after="0"/>
              <w:jc w:val="center"/>
              <w:rPr>
                <w:sz w:val="20"/>
                <w:szCs w:val="20"/>
              </w:rPr>
            </w:pPr>
            <w:r w:rsidRPr="003574F0">
              <w:rPr>
                <w:sz w:val="20"/>
                <w:szCs w:val="20"/>
              </w:rPr>
              <w:t>4</w:t>
            </w:r>
          </w:p>
        </w:tc>
        <w:tc>
          <w:tcPr>
            <w:tcW w:w="810" w:type="dxa"/>
            <w:vAlign w:val="center"/>
          </w:tcPr>
          <w:p w14:paraId="48BF4B07" w14:textId="00F9EDC1" w:rsidR="00CD4C6E" w:rsidRPr="003574F0" w:rsidRDefault="00CD4C6E" w:rsidP="00DF247A">
            <w:pPr>
              <w:spacing w:after="0"/>
              <w:jc w:val="center"/>
              <w:rPr>
                <w:sz w:val="20"/>
                <w:szCs w:val="20"/>
              </w:rPr>
            </w:pPr>
            <w:r w:rsidRPr="003574F0">
              <w:rPr>
                <w:sz w:val="20"/>
                <w:szCs w:val="20"/>
              </w:rPr>
              <w:t>4</w:t>
            </w:r>
          </w:p>
        </w:tc>
        <w:tc>
          <w:tcPr>
            <w:tcW w:w="810" w:type="dxa"/>
            <w:vAlign w:val="center"/>
          </w:tcPr>
          <w:p w14:paraId="6DAE3377" w14:textId="29EBF788" w:rsidR="00CD4C6E" w:rsidRPr="003574F0" w:rsidRDefault="00CD4C6E" w:rsidP="00DF247A">
            <w:pPr>
              <w:spacing w:after="0"/>
              <w:jc w:val="center"/>
              <w:rPr>
                <w:sz w:val="20"/>
                <w:szCs w:val="20"/>
              </w:rPr>
            </w:pPr>
            <w:r w:rsidRPr="003574F0">
              <w:rPr>
                <w:sz w:val="20"/>
                <w:szCs w:val="20"/>
              </w:rPr>
              <w:t>4</w:t>
            </w:r>
          </w:p>
        </w:tc>
        <w:tc>
          <w:tcPr>
            <w:tcW w:w="828" w:type="dxa"/>
            <w:vAlign w:val="center"/>
          </w:tcPr>
          <w:p w14:paraId="4EF959F6" w14:textId="402333AE" w:rsidR="00CD4C6E" w:rsidRPr="003574F0" w:rsidRDefault="00CD4C6E" w:rsidP="00DF247A">
            <w:pPr>
              <w:spacing w:after="0"/>
              <w:jc w:val="center"/>
              <w:rPr>
                <w:sz w:val="20"/>
                <w:szCs w:val="20"/>
              </w:rPr>
            </w:pPr>
            <w:r>
              <w:rPr>
                <w:sz w:val="20"/>
                <w:szCs w:val="20"/>
              </w:rPr>
              <w:t>4</w:t>
            </w:r>
          </w:p>
        </w:tc>
      </w:tr>
      <w:tr w:rsidR="00CD4C6E" w:rsidRPr="003574F0" w14:paraId="23426700" w14:textId="4EFD0443" w:rsidTr="00793D8A">
        <w:trPr>
          <w:trHeight w:val="300"/>
        </w:trPr>
        <w:tc>
          <w:tcPr>
            <w:tcW w:w="3168" w:type="dxa"/>
            <w:noWrap/>
            <w:hideMark/>
          </w:tcPr>
          <w:p w14:paraId="59D0D593" w14:textId="1AE7B08F" w:rsidR="00CD4C6E" w:rsidRPr="003574F0" w:rsidRDefault="00CD4C6E" w:rsidP="00DF247A">
            <w:pPr>
              <w:spacing w:after="0"/>
              <w:jc w:val="center"/>
              <w:rPr>
                <w:sz w:val="20"/>
                <w:szCs w:val="20"/>
              </w:rPr>
            </w:pPr>
            <w:r w:rsidRPr="003574F0">
              <w:rPr>
                <w:sz w:val="20"/>
                <w:szCs w:val="20"/>
              </w:rPr>
              <w:t>RFP 1 Subrecipients/</w:t>
            </w:r>
            <w:r w:rsidR="00DB2FD7">
              <w:rPr>
                <w:sz w:val="20"/>
                <w:szCs w:val="20"/>
              </w:rPr>
              <w:t>Service Recipient</w:t>
            </w:r>
            <w:r w:rsidRPr="003574F0">
              <w:rPr>
                <w:sz w:val="20"/>
                <w:szCs w:val="20"/>
              </w:rPr>
              <w:t>s</w:t>
            </w:r>
          </w:p>
        </w:tc>
        <w:tc>
          <w:tcPr>
            <w:tcW w:w="2520" w:type="dxa"/>
          </w:tcPr>
          <w:p w14:paraId="5533F258" w14:textId="77777777" w:rsidR="00DF247A" w:rsidRDefault="00DF247A" w:rsidP="00DF247A">
            <w:pPr>
              <w:spacing w:after="0"/>
              <w:jc w:val="center"/>
              <w:rPr>
                <w:color w:val="000000"/>
                <w:sz w:val="20"/>
                <w:szCs w:val="20"/>
              </w:rPr>
            </w:pPr>
          </w:p>
          <w:p w14:paraId="5D24459A" w14:textId="7ED228F8" w:rsidR="00CD4C6E" w:rsidRPr="00B56D50" w:rsidRDefault="00CD4C6E" w:rsidP="00DF247A">
            <w:pPr>
              <w:spacing w:after="0"/>
              <w:jc w:val="center"/>
              <w:rPr>
                <w:sz w:val="20"/>
                <w:szCs w:val="20"/>
              </w:rPr>
            </w:pPr>
            <w:r w:rsidRPr="00B56D50">
              <w:rPr>
                <w:color w:val="000000"/>
                <w:sz w:val="20"/>
                <w:szCs w:val="20"/>
              </w:rPr>
              <w:t>Fall 2016 to Fall 2018</w:t>
            </w:r>
          </w:p>
        </w:tc>
        <w:tc>
          <w:tcPr>
            <w:tcW w:w="1440" w:type="dxa"/>
            <w:noWrap/>
            <w:vAlign w:val="center"/>
            <w:hideMark/>
          </w:tcPr>
          <w:p w14:paraId="3B9E5D97" w14:textId="05EAEE39" w:rsidR="00CD4C6E" w:rsidRPr="003574F0" w:rsidRDefault="00CD4C6E" w:rsidP="00DF247A">
            <w:pPr>
              <w:spacing w:after="0"/>
              <w:jc w:val="center"/>
              <w:rPr>
                <w:sz w:val="20"/>
                <w:szCs w:val="20"/>
              </w:rPr>
            </w:pPr>
            <w:r>
              <w:rPr>
                <w:sz w:val="20"/>
                <w:szCs w:val="20"/>
              </w:rPr>
              <w:t>28</w:t>
            </w:r>
          </w:p>
        </w:tc>
        <w:tc>
          <w:tcPr>
            <w:tcW w:w="810" w:type="dxa"/>
            <w:vAlign w:val="center"/>
          </w:tcPr>
          <w:p w14:paraId="5B996CA2" w14:textId="011BD80F" w:rsidR="00CD4C6E" w:rsidRPr="003574F0" w:rsidRDefault="00CD4C6E" w:rsidP="00DF247A">
            <w:pPr>
              <w:spacing w:after="0"/>
              <w:jc w:val="center"/>
              <w:rPr>
                <w:sz w:val="20"/>
                <w:szCs w:val="20"/>
              </w:rPr>
            </w:pPr>
            <w:r>
              <w:rPr>
                <w:sz w:val="20"/>
                <w:szCs w:val="20"/>
              </w:rPr>
              <w:t>--</w:t>
            </w:r>
          </w:p>
        </w:tc>
        <w:tc>
          <w:tcPr>
            <w:tcW w:w="810" w:type="dxa"/>
            <w:vAlign w:val="center"/>
          </w:tcPr>
          <w:p w14:paraId="27E96B14" w14:textId="5C83DBF2" w:rsidR="00CD4C6E" w:rsidRPr="003574F0" w:rsidRDefault="00CD4C6E" w:rsidP="00DF247A">
            <w:pPr>
              <w:spacing w:after="0"/>
              <w:jc w:val="center"/>
              <w:rPr>
                <w:sz w:val="20"/>
                <w:szCs w:val="20"/>
              </w:rPr>
            </w:pPr>
            <w:r>
              <w:rPr>
                <w:sz w:val="20"/>
                <w:szCs w:val="20"/>
              </w:rPr>
              <w:t>28</w:t>
            </w:r>
          </w:p>
        </w:tc>
        <w:tc>
          <w:tcPr>
            <w:tcW w:w="828" w:type="dxa"/>
            <w:vAlign w:val="center"/>
          </w:tcPr>
          <w:p w14:paraId="40BDAB24" w14:textId="05F9752C" w:rsidR="00CD4C6E" w:rsidRPr="003574F0" w:rsidRDefault="00CD4C6E" w:rsidP="00DF247A">
            <w:pPr>
              <w:spacing w:after="0"/>
              <w:jc w:val="center"/>
              <w:rPr>
                <w:sz w:val="20"/>
                <w:szCs w:val="20"/>
              </w:rPr>
            </w:pPr>
            <w:r>
              <w:rPr>
                <w:sz w:val="20"/>
                <w:szCs w:val="20"/>
              </w:rPr>
              <w:t>28</w:t>
            </w:r>
          </w:p>
        </w:tc>
      </w:tr>
      <w:tr w:rsidR="00CD4C6E" w:rsidRPr="003574F0" w14:paraId="14733783" w14:textId="475B6BDB" w:rsidTr="00793D8A">
        <w:trPr>
          <w:trHeight w:val="300"/>
        </w:trPr>
        <w:tc>
          <w:tcPr>
            <w:tcW w:w="3168" w:type="dxa"/>
            <w:noWrap/>
            <w:hideMark/>
          </w:tcPr>
          <w:p w14:paraId="45763541" w14:textId="4D87EF82" w:rsidR="00CD4C6E" w:rsidRPr="003574F0" w:rsidRDefault="00CD4C6E" w:rsidP="00DF247A">
            <w:pPr>
              <w:spacing w:after="0"/>
              <w:jc w:val="center"/>
              <w:rPr>
                <w:sz w:val="20"/>
                <w:szCs w:val="20"/>
              </w:rPr>
            </w:pPr>
            <w:r w:rsidRPr="003574F0">
              <w:rPr>
                <w:sz w:val="20"/>
                <w:szCs w:val="20"/>
              </w:rPr>
              <w:t>RFP 2 Subrecipients/</w:t>
            </w:r>
            <w:r w:rsidR="00DB2FD7">
              <w:rPr>
                <w:sz w:val="20"/>
                <w:szCs w:val="20"/>
              </w:rPr>
              <w:t>Service Recipient</w:t>
            </w:r>
            <w:r w:rsidRPr="003574F0">
              <w:rPr>
                <w:sz w:val="20"/>
                <w:szCs w:val="20"/>
              </w:rPr>
              <w:t>s</w:t>
            </w:r>
          </w:p>
        </w:tc>
        <w:tc>
          <w:tcPr>
            <w:tcW w:w="2520" w:type="dxa"/>
          </w:tcPr>
          <w:p w14:paraId="44E4FE5F" w14:textId="77777777" w:rsidR="00DF247A" w:rsidRDefault="00DF247A" w:rsidP="00DF247A">
            <w:pPr>
              <w:spacing w:after="0"/>
              <w:jc w:val="center"/>
              <w:rPr>
                <w:color w:val="000000"/>
                <w:sz w:val="20"/>
                <w:szCs w:val="20"/>
              </w:rPr>
            </w:pPr>
          </w:p>
          <w:p w14:paraId="2FAEB83F" w14:textId="15B9304A" w:rsidR="00CD4C6E" w:rsidRPr="00B56D50" w:rsidRDefault="00CD4C6E" w:rsidP="00DF247A">
            <w:pPr>
              <w:spacing w:after="0"/>
              <w:jc w:val="center"/>
              <w:rPr>
                <w:sz w:val="20"/>
                <w:szCs w:val="20"/>
              </w:rPr>
            </w:pPr>
            <w:r w:rsidRPr="00B56D50">
              <w:rPr>
                <w:color w:val="000000"/>
                <w:sz w:val="20"/>
                <w:szCs w:val="20"/>
              </w:rPr>
              <w:t>Fall 2017 to Spring 2019</w:t>
            </w:r>
          </w:p>
        </w:tc>
        <w:tc>
          <w:tcPr>
            <w:tcW w:w="1440" w:type="dxa"/>
            <w:noWrap/>
            <w:vAlign w:val="center"/>
            <w:hideMark/>
          </w:tcPr>
          <w:p w14:paraId="62E5D8AD" w14:textId="46CDC6C5" w:rsidR="00CD4C6E" w:rsidRPr="003574F0" w:rsidRDefault="00CD4C6E" w:rsidP="00DF247A">
            <w:pPr>
              <w:spacing w:after="0"/>
              <w:jc w:val="center"/>
              <w:rPr>
                <w:sz w:val="20"/>
                <w:szCs w:val="20"/>
              </w:rPr>
            </w:pPr>
            <w:r>
              <w:rPr>
                <w:sz w:val="20"/>
                <w:szCs w:val="20"/>
              </w:rPr>
              <w:t>28</w:t>
            </w:r>
          </w:p>
        </w:tc>
        <w:tc>
          <w:tcPr>
            <w:tcW w:w="810" w:type="dxa"/>
            <w:vAlign w:val="center"/>
          </w:tcPr>
          <w:p w14:paraId="194579FE" w14:textId="167AD3CB" w:rsidR="00CD4C6E" w:rsidRPr="003574F0" w:rsidRDefault="00CD4C6E" w:rsidP="00DF247A">
            <w:pPr>
              <w:spacing w:after="0"/>
              <w:jc w:val="center"/>
              <w:rPr>
                <w:sz w:val="20"/>
                <w:szCs w:val="20"/>
              </w:rPr>
            </w:pPr>
            <w:r>
              <w:rPr>
                <w:sz w:val="20"/>
                <w:szCs w:val="20"/>
              </w:rPr>
              <w:t>--</w:t>
            </w:r>
          </w:p>
        </w:tc>
        <w:tc>
          <w:tcPr>
            <w:tcW w:w="810" w:type="dxa"/>
            <w:vAlign w:val="center"/>
          </w:tcPr>
          <w:p w14:paraId="1965B90D" w14:textId="3CD2C8B3" w:rsidR="00CD4C6E" w:rsidRPr="003574F0" w:rsidRDefault="00CD4C6E" w:rsidP="00DF247A">
            <w:pPr>
              <w:spacing w:after="0"/>
              <w:jc w:val="center"/>
              <w:rPr>
                <w:sz w:val="20"/>
                <w:szCs w:val="20"/>
              </w:rPr>
            </w:pPr>
            <w:r>
              <w:rPr>
                <w:sz w:val="20"/>
                <w:szCs w:val="20"/>
              </w:rPr>
              <w:t>--</w:t>
            </w:r>
          </w:p>
        </w:tc>
        <w:tc>
          <w:tcPr>
            <w:tcW w:w="828" w:type="dxa"/>
            <w:vAlign w:val="center"/>
          </w:tcPr>
          <w:p w14:paraId="6E78EEE7" w14:textId="75C5996F" w:rsidR="00CD4C6E" w:rsidRPr="003574F0" w:rsidRDefault="00CD4C6E" w:rsidP="00DF247A">
            <w:pPr>
              <w:spacing w:after="0"/>
              <w:jc w:val="center"/>
              <w:rPr>
                <w:sz w:val="20"/>
                <w:szCs w:val="20"/>
              </w:rPr>
            </w:pPr>
            <w:r>
              <w:rPr>
                <w:sz w:val="20"/>
                <w:szCs w:val="20"/>
              </w:rPr>
              <w:t>28</w:t>
            </w:r>
          </w:p>
        </w:tc>
      </w:tr>
      <w:tr w:rsidR="00CD4C6E" w:rsidRPr="003574F0" w14:paraId="7FD9396E" w14:textId="30720330" w:rsidTr="00793D8A">
        <w:trPr>
          <w:trHeight w:val="300"/>
        </w:trPr>
        <w:tc>
          <w:tcPr>
            <w:tcW w:w="3168" w:type="dxa"/>
            <w:noWrap/>
            <w:hideMark/>
          </w:tcPr>
          <w:p w14:paraId="2325511E" w14:textId="41C13050" w:rsidR="00CD4C6E" w:rsidRPr="00CD4C6E" w:rsidRDefault="00CD4C6E" w:rsidP="00DF247A">
            <w:pPr>
              <w:spacing w:after="0"/>
              <w:jc w:val="center"/>
              <w:rPr>
                <w:b/>
                <w:sz w:val="20"/>
                <w:szCs w:val="20"/>
              </w:rPr>
            </w:pPr>
            <w:r w:rsidRPr="00CD4C6E">
              <w:rPr>
                <w:b/>
                <w:sz w:val="20"/>
                <w:szCs w:val="20"/>
              </w:rPr>
              <w:t>2017 Grantees</w:t>
            </w:r>
          </w:p>
        </w:tc>
        <w:tc>
          <w:tcPr>
            <w:tcW w:w="2520" w:type="dxa"/>
          </w:tcPr>
          <w:p w14:paraId="731C7B17" w14:textId="75B2C216" w:rsidR="00CD4C6E" w:rsidRPr="00B56D50" w:rsidRDefault="00CD4C6E" w:rsidP="00DF247A">
            <w:pPr>
              <w:spacing w:after="0"/>
              <w:jc w:val="center"/>
              <w:rPr>
                <w:sz w:val="20"/>
                <w:szCs w:val="20"/>
              </w:rPr>
            </w:pPr>
            <w:r w:rsidRPr="00B56D50">
              <w:rPr>
                <w:color w:val="000000"/>
                <w:sz w:val="20"/>
                <w:szCs w:val="20"/>
              </w:rPr>
              <w:t>Spring 2017 to Spring 2020</w:t>
            </w:r>
          </w:p>
        </w:tc>
        <w:tc>
          <w:tcPr>
            <w:tcW w:w="1440" w:type="dxa"/>
            <w:noWrap/>
            <w:vAlign w:val="center"/>
            <w:hideMark/>
          </w:tcPr>
          <w:p w14:paraId="69A5AC09" w14:textId="5CDF0700" w:rsidR="00CD4C6E" w:rsidRPr="003574F0" w:rsidRDefault="00CD4C6E" w:rsidP="00DF247A">
            <w:pPr>
              <w:spacing w:after="0"/>
              <w:jc w:val="center"/>
              <w:rPr>
                <w:sz w:val="20"/>
                <w:szCs w:val="20"/>
              </w:rPr>
            </w:pPr>
            <w:r w:rsidRPr="003574F0">
              <w:rPr>
                <w:sz w:val="20"/>
                <w:szCs w:val="20"/>
              </w:rPr>
              <w:t>6</w:t>
            </w:r>
          </w:p>
        </w:tc>
        <w:tc>
          <w:tcPr>
            <w:tcW w:w="810" w:type="dxa"/>
            <w:vAlign w:val="center"/>
          </w:tcPr>
          <w:p w14:paraId="20F1183D" w14:textId="3273907D" w:rsidR="00CD4C6E" w:rsidRPr="003574F0" w:rsidRDefault="00CD4C6E" w:rsidP="00DF247A">
            <w:pPr>
              <w:spacing w:after="0"/>
              <w:jc w:val="center"/>
              <w:rPr>
                <w:sz w:val="20"/>
                <w:szCs w:val="20"/>
              </w:rPr>
            </w:pPr>
            <w:r>
              <w:rPr>
                <w:sz w:val="20"/>
                <w:szCs w:val="20"/>
              </w:rPr>
              <w:t>--</w:t>
            </w:r>
          </w:p>
        </w:tc>
        <w:tc>
          <w:tcPr>
            <w:tcW w:w="810" w:type="dxa"/>
            <w:vAlign w:val="center"/>
          </w:tcPr>
          <w:p w14:paraId="5C3BA0CB" w14:textId="27B337B8" w:rsidR="00CD4C6E" w:rsidRPr="003574F0" w:rsidRDefault="00CD4C6E" w:rsidP="00DF247A">
            <w:pPr>
              <w:spacing w:after="0"/>
              <w:jc w:val="center"/>
              <w:rPr>
                <w:sz w:val="20"/>
                <w:szCs w:val="20"/>
              </w:rPr>
            </w:pPr>
            <w:r>
              <w:rPr>
                <w:sz w:val="20"/>
                <w:szCs w:val="20"/>
              </w:rPr>
              <w:t>6</w:t>
            </w:r>
          </w:p>
        </w:tc>
        <w:tc>
          <w:tcPr>
            <w:tcW w:w="828" w:type="dxa"/>
            <w:vAlign w:val="center"/>
          </w:tcPr>
          <w:p w14:paraId="76947445" w14:textId="1F2095E5" w:rsidR="00CD4C6E" w:rsidRPr="003574F0" w:rsidRDefault="00CD4C6E" w:rsidP="00DF247A">
            <w:pPr>
              <w:spacing w:after="0"/>
              <w:jc w:val="center"/>
              <w:rPr>
                <w:sz w:val="20"/>
                <w:szCs w:val="20"/>
              </w:rPr>
            </w:pPr>
            <w:r>
              <w:rPr>
                <w:sz w:val="20"/>
                <w:szCs w:val="20"/>
              </w:rPr>
              <w:t>6</w:t>
            </w:r>
          </w:p>
        </w:tc>
      </w:tr>
      <w:tr w:rsidR="00CD4C6E" w:rsidRPr="003574F0" w14:paraId="1060629F" w14:textId="383D63D1" w:rsidTr="00793D8A">
        <w:trPr>
          <w:trHeight w:val="300"/>
        </w:trPr>
        <w:tc>
          <w:tcPr>
            <w:tcW w:w="3168" w:type="dxa"/>
            <w:tcBorders>
              <w:bottom w:val="single" w:sz="4" w:space="0" w:color="auto"/>
            </w:tcBorders>
            <w:noWrap/>
            <w:hideMark/>
          </w:tcPr>
          <w:p w14:paraId="4B7D2C11" w14:textId="750E04F2" w:rsidR="00CD4C6E" w:rsidRPr="003574F0" w:rsidRDefault="00CD4C6E" w:rsidP="00DF247A">
            <w:pPr>
              <w:spacing w:after="0"/>
              <w:jc w:val="center"/>
              <w:rPr>
                <w:sz w:val="20"/>
                <w:szCs w:val="20"/>
              </w:rPr>
            </w:pPr>
            <w:r w:rsidRPr="003574F0">
              <w:rPr>
                <w:sz w:val="20"/>
                <w:szCs w:val="20"/>
              </w:rPr>
              <w:t>RFP 1 Subrecipients/</w:t>
            </w:r>
            <w:r w:rsidR="00DB2FD7">
              <w:rPr>
                <w:sz w:val="20"/>
                <w:szCs w:val="20"/>
              </w:rPr>
              <w:t>Service Recipient</w:t>
            </w:r>
            <w:r w:rsidRPr="003574F0">
              <w:rPr>
                <w:sz w:val="20"/>
                <w:szCs w:val="20"/>
              </w:rPr>
              <w:t>s</w:t>
            </w:r>
          </w:p>
        </w:tc>
        <w:tc>
          <w:tcPr>
            <w:tcW w:w="2520" w:type="dxa"/>
            <w:tcBorders>
              <w:bottom w:val="single" w:sz="4" w:space="0" w:color="auto"/>
            </w:tcBorders>
          </w:tcPr>
          <w:p w14:paraId="1D299CDE" w14:textId="77777777" w:rsidR="00DF247A" w:rsidRDefault="00DF247A" w:rsidP="00DF247A">
            <w:pPr>
              <w:spacing w:after="0"/>
              <w:jc w:val="center"/>
              <w:rPr>
                <w:color w:val="000000"/>
                <w:sz w:val="20"/>
                <w:szCs w:val="20"/>
              </w:rPr>
            </w:pPr>
          </w:p>
          <w:p w14:paraId="0CAC4E4A" w14:textId="15FF1FE7" w:rsidR="00CD4C6E" w:rsidRPr="00B56D50" w:rsidRDefault="00CD4C6E" w:rsidP="00DF247A">
            <w:pPr>
              <w:spacing w:after="0"/>
              <w:jc w:val="center"/>
              <w:rPr>
                <w:sz w:val="20"/>
                <w:szCs w:val="20"/>
              </w:rPr>
            </w:pPr>
            <w:r w:rsidRPr="00B56D50">
              <w:rPr>
                <w:color w:val="000000"/>
                <w:sz w:val="20"/>
                <w:szCs w:val="20"/>
              </w:rPr>
              <w:t>Fall 2017 to Fall 2019</w:t>
            </w:r>
          </w:p>
        </w:tc>
        <w:tc>
          <w:tcPr>
            <w:tcW w:w="1440" w:type="dxa"/>
            <w:tcBorders>
              <w:bottom w:val="single" w:sz="4" w:space="0" w:color="auto"/>
            </w:tcBorders>
            <w:noWrap/>
            <w:vAlign w:val="center"/>
            <w:hideMark/>
          </w:tcPr>
          <w:p w14:paraId="1C1072CD" w14:textId="5A5EBFF7" w:rsidR="00CD4C6E" w:rsidRPr="003574F0" w:rsidRDefault="00CD4C6E" w:rsidP="00DF247A">
            <w:pPr>
              <w:spacing w:after="0"/>
              <w:jc w:val="center"/>
              <w:rPr>
                <w:sz w:val="20"/>
                <w:szCs w:val="20"/>
              </w:rPr>
            </w:pPr>
            <w:r w:rsidRPr="003574F0">
              <w:rPr>
                <w:sz w:val="20"/>
                <w:szCs w:val="20"/>
              </w:rPr>
              <w:t>4</w:t>
            </w:r>
            <w:r>
              <w:rPr>
                <w:sz w:val="20"/>
                <w:szCs w:val="20"/>
              </w:rPr>
              <w:t>2</w:t>
            </w:r>
          </w:p>
        </w:tc>
        <w:tc>
          <w:tcPr>
            <w:tcW w:w="810" w:type="dxa"/>
            <w:tcBorders>
              <w:bottom w:val="single" w:sz="4" w:space="0" w:color="auto"/>
            </w:tcBorders>
            <w:vAlign w:val="center"/>
          </w:tcPr>
          <w:p w14:paraId="262B2038" w14:textId="628F671C" w:rsidR="00CD4C6E" w:rsidRPr="003574F0" w:rsidRDefault="00CD4C6E" w:rsidP="00DF247A">
            <w:pPr>
              <w:spacing w:after="0"/>
              <w:jc w:val="center"/>
              <w:rPr>
                <w:sz w:val="20"/>
                <w:szCs w:val="20"/>
              </w:rPr>
            </w:pPr>
            <w:r>
              <w:rPr>
                <w:sz w:val="20"/>
                <w:szCs w:val="20"/>
              </w:rPr>
              <w:t>--</w:t>
            </w:r>
          </w:p>
        </w:tc>
        <w:tc>
          <w:tcPr>
            <w:tcW w:w="810" w:type="dxa"/>
            <w:tcBorders>
              <w:bottom w:val="single" w:sz="4" w:space="0" w:color="auto"/>
            </w:tcBorders>
            <w:vAlign w:val="center"/>
          </w:tcPr>
          <w:p w14:paraId="5F7FCF45" w14:textId="7D6A3E62" w:rsidR="00CD4C6E" w:rsidRPr="003574F0" w:rsidRDefault="00CD4C6E" w:rsidP="00DF247A">
            <w:pPr>
              <w:spacing w:after="0"/>
              <w:jc w:val="center"/>
              <w:rPr>
                <w:sz w:val="20"/>
                <w:szCs w:val="20"/>
              </w:rPr>
            </w:pPr>
            <w:r>
              <w:rPr>
                <w:sz w:val="20"/>
                <w:szCs w:val="20"/>
              </w:rPr>
              <w:t>--</w:t>
            </w:r>
          </w:p>
        </w:tc>
        <w:tc>
          <w:tcPr>
            <w:tcW w:w="828" w:type="dxa"/>
            <w:tcBorders>
              <w:bottom w:val="single" w:sz="4" w:space="0" w:color="auto"/>
            </w:tcBorders>
            <w:vAlign w:val="center"/>
          </w:tcPr>
          <w:p w14:paraId="453F7C7B" w14:textId="748D4680" w:rsidR="00CD4C6E" w:rsidRPr="003574F0" w:rsidRDefault="00007750" w:rsidP="00DF247A">
            <w:pPr>
              <w:spacing w:after="0"/>
              <w:jc w:val="center"/>
              <w:rPr>
                <w:sz w:val="20"/>
                <w:szCs w:val="20"/>
              </w:rPr>
            </w:pPr>
            <w:r>
              <w:rPr>
                <w:sz w:val="20"/>
                <w:szCs w:val="20"/>
              </w:rPr>
              <w:t>42</w:t>
            </w:r>
          </w:p>
        </w:tc>
      </w:tr>
      <w:tr w:rsidR="00CD4C6E" w:rsidRPr="003574F0" w14:paraId="47B32BDA" w14:textId="2F976289" w:rsidTr="00793D8A">
        <w:trPr>
          <w:trHeight w:val="300"/>
        </w:trPr>
        <w:tc>
          <w:tcPr>
            <w:tcW w:w="3168" w:type="dxa"/>
            <w:tcBorders>
              <w:bottom w:val="single" w:sz="18" w:space="0" w:color="auto"/>
            </w:tcBorders>
            <w:noWrap/>
            <w:hideMark/>
          </w:tcPr>
          <w:p w14:paraId="5CB42DC0" w14:textId="6EED266D" w:rsidR="00CD4C6E" w:rsidRPr="003574F0" w:rsidRDefault="00CD4C6E" w:rsidP="00DF247A">
            <w:pPr>
              <w:spacing w:after="0"/>
              <w:jc w:val="center"/>
              <w:rPr>
                <w:sz w:val="20"/>
                <w:szCs w:val="20"/>
                <w:vertAlign w:val="superscript"/>
              </w:rPr>
            </w:pPr>
            <w:r w:rsidRPr="003574F0">
              <w:rPr>
                <w:sz w:val="20"/>
                <w:szCs w:val="20"/>
              </w:rPr>
              <w:t>RFP 2 Subrecipients/</w:t>
            </w:r>
            <w:r w:rsidR="00DB2FD7">
              <w:rPr>
                <w:sz w:val="20"/>
                <w:szCs w:val="20"/>
              </w:rPr>
              <w:t>Service Recipient</w:t>
            </w:r>
            <w:r w:rsidRPr="003574F0">
              <w:rPr>
                <w:sz w:val="20"/>
                <w:szCs w:val="20"/>
              </w:rPr>
              <w:t>s</w:t>
            </w:r>
            <w:r>
              <w:rPr>
                <w:sz w:val="20"/>
                <w:szCs w:val="20"/>
                <w:vertAlign w:val="superscript"/>
              </w:rPr>
              <w:t>a</w:t>
            </w:r>
          </w:p>
        </w:tc>
        <w:tc>
          <w:tcPr>
            <w:tcW w:w="2520" w:type="dxa"/>
            <w:tcBorders>
              <w:bottom w:val="single" w:sz="18" w:space="0" w:color="auto"/>
            </w:tcBorders>
          </w:tcPr>
          <w:p w14:paraId="1FFF6BA3" w14:textId="77777777" w:rsidR="00DF247A" w:rsidRDefault="00DF247A" w:rsidP="00DF247A">
            <w:pPr>
              <w:spacing w:after="0"/>
              <w:jc w:val="center"/>
              <w:rPr>
                <w:color w:val="000000"/>
                <w:sz w:val="20"/>
                <w:szCs w:val="20"/>
              </w:rPr>
            </w:pPr>
          </w:p>
          <w:p w14:paraId="545569B5" w14:textId="4C538C43" w:rsidR="00CD4C6E" w:rsidRPr="003574F0" w:rsidRDefault="00CD4C6E" w:rsidP="00DF247A">
            <w:pPr>
              <w:spacing w:after="0"/>
              <w:jc w:val="center"/>
              <w:rPr>
                <w:sz w:val="20"/>
                <w:szCs w:val="20"/>
              </w:rPr>
            </w:pPr>
            <w:r w:rsidRPr="003574F0">
              <w:rPr>
                <w:color w:val="000000"/>
                <w:sz w:val="20"/>
                <w:szCs w:val="20"/>
              </w:rPr>
              <w:t>Fall 2018 to Spring 2020</w:t>
            </w:r>
          </w:p>
        </w:tc>
        <w:tc>
          <w:tcPr>
            <w:tcW w:w="1440" w:type="dxa"/>
            <w:tcBorders>
              <w:bottom w:val="single" w:sz="18" w:space="0" w:color="auto"/>
            </w:tcBorders>
            <w:noWrap/>
            <w:vAlign w:val="center"/>
            <w:hideMark/>
          </w:tcPr>
          <w:p w14:paraId="074BFD3D" w14:textId="3CF8B69B" w:rsidR="00CD4C6E" w:rsidRPr="003574F0" w:rsidRDefault="00CD4C6E" w:rsidP="00DF247A">
            <w:pPr>
              <w:spacing w:after="0"/>
              <w:jc w:val="center"/>
              <w:rPr>
                <w:sz w:val="20"/>
                <w:szCs w:val="20"/>
              </w:rPr>
            </w:pPr>
            <w:r>
              <w:rPr>
                <w:sz w:val="20"/>
                <w:szCs w:val="20"/>
              </w:rPr>
              <w:t>--</w:t>
            </w:r>
          </w:p>
        </w:tc>
        <w:tc>
          <w:tcPr>
            <w:tcW w:w="810" w:type="dxa"/>
            <w:tcBorders>
              <w:bottom w:val="single" w:sz="18" w:space="0" w:color="auto"/>
            </w:tcBorders>
            <w:vAlign w:val="center"/>
          </w:tcPr>
          <w:p w14:paraId="5DABF22B" w14:textId="591A572E" w:rsidR="00CD4C6E" w:rsidRPr="00203662" w:rsidRDefault="00CD4C6E" w:rsidP="00DF247A">
            <w:pPr>
              <w:spacing w:after="0"/>
              <w:jc w:val="center"/>
              <w:rPr>
                <w:sz w:val="20"/>
                <w:szCs w:val="20"/>
              </w:rPr>
            </w:pPr>
            <w:r w:rsidRPr="00203662">
              <w:rPr>
                <w:sz w:val="20"/>
                <w:szCs w:val="20"/>
              </w:rPr>
              <w:t>--</w:t>
            </w:r>
          </w:p>
        </w:tc>
        <w:tc>
          <w:tcPr>
            <w:tcW w:w="810" w:type="dxa"/>
            <w:tcBorders>
              <w:bottom w:val="single" w:sz="18" w:space="0" w:color="auto"/>
            </w:tcBorders>
            <w:vAlign w:val="center"/>
          </w:tcPr>
          <w:p w14:paraId="287631A4" w14:textId="6FE8411E" w:rsidR="00CD4C6E" w:rsidRPr="00203662" w:rsidRDefault="00CD4C6E" w:rsidP="00DF247A">
            <w:pPr>
              <w:spacing w:after="0"/>
              <w:jc w:val="center"/>
              <w:rPr>
                <w:sz w:val="20"/>
                <w:szCs w:val="20"/>
              </w:rPr>
            </w:pPr>
            <w:r w:rsidRPr="00203662">
              <w:rPr>
                <w:sz w:val="20"/>
                <w:szCs w:val="20"/>
              </w:rPr>
              <w:t>--</w:t>
            </w:r>
          </w:p>
        </w:tc>
        <w:tc>
          <w:tcPr>
            <w:tcW w:w="828" w:type="dxa"/>
            <w:tcBorders>
              <w:bottom w:val="single" w:sz="18" w:space="0" w:color="auto"/>
            </w:tcBorders>
            <w:vAlign w:val="center"/>
          </w:tcPr>
          <w:p w14:paraId="595B2822" w14:textId="3C16FDFB" w:rsidR="00CD4C6E" w:rsidRPr="00203662" w:rsidRDefault="00CD4C6E" w:rsidP="00DF247A">
            <w:pPr>
              <w:spacing w:after="0"/>
              <w:jc w:val="center"/>
              <w:rPr>
                <w:sz w:val="20"/>
                <w:szCs w:val="20"/>
              </w:rPr>
            </w:pPr>
            <w:r w:rsidRPr="00203662">
              <w:rPr>
                <w:sz w:val="20"/>
                <w:szCs w:val="20"/>
              </w:rPr>
              <w:t>--</w:t>
            </w:r>
          </w:p>
        </w:tc>
      </w:tr>
      <w:tr w:rsidR="00CD4C6E" w:rsidRPr="00E607EC" w14:paraId="00DB2428" w14:textId="191F8C1A" w:rsidTr="00793D8A">
        <w:trPr>
          <w:trHeight w:val="300"/>
        </w:trPr>
        <w:tc>
          <w:tcPr>
            <w:tcW w:w="3168" w:type="dxa"/>
            <w:tcBorders>
              <w:top w:val="single" w:sz="18" w:space="0" w:color="auto"/>
            </w:tcBorders>
            <w:noWrap/>
            <w:hideMark/>
          </w:tcPr>
          <w:p w14:paraId="3FA630FF" w14:textId="410623FE" w:rsidR="00CD4C6E" w:rsidRPr="003574F0" w:rsidRDefault="00CD4C6E" w:rsidP="00DF247A">
            <w:pPr>
              <w:spacing w:after="0"/>
              <w:jc w:val="center"/>
              <w:rPr>
                <w:b/>
                <w:sz w:val="20"/>
                <w:szCs w:val="20"/>
              </w:rPr>
            </w:pPr>
            <w:r w:rsidRPr="003574F0">
              <w:rPr>
                <w:b/>
                <w:sz w:val="20"/>
                <w:szCs w:val="20"/>
              </w:rPr>
              <w:t>Total Number of Respondents</w:t>
            </w:r>
          </w:p>
        </w:tc>
        <w:tc>
          <w:tcPr>
            <w:tcW w:w="2520" w:type="dxa"/>
            <w:tcBorders>
              <w:top w:val="single" w:sz="18" w:space="0" w:color="auto"/>
            </w:tcBorders>
          </w:tcPr>
          <w:p w14:paraId="04EE567D" w14:textId="77777777" w:rsidR="00CD4C6E" w:rsidRPr="003574F0" w:rsidDel="00B0773E" w:rsidRDefault="00CD4C6E" w:rsidP="00DF247A">
            <w:pPr>
              <w:spacing w:after="0"/>
              <w:jc w:val="center"/>
              <w:rPr>
                <w:sz w:val="20"/>
                <w:szCs w:val="20"/>
              </w:rPr>
            </w:pPr>
          </w:p>
        </w:tc>
        <w:tc>
          <w:tcPr>
            <w:tcW w:w="1440" w:type="dxa"/>
            <w:tcBorders>
              <w:top w:val="single" w:sz="18" w:space="0" w:color="auto"/>
            </w:tcBorders>
            <w:noWrap/>
            <w:vAlign w:val="center"/>
            <w:hideMark/>
          </w:tcPr>
          <w:p w14:paraId="65B28891" w14:textId="577E697D" w:rsidR="00CD4C6E" w:rsidRPr="00CD4C6E" w:rsidRDefault="00CD4C6E" w:rsidP="00DF247A">
            <w:pPr>
              <w:spacing w:after="0"/>
              <w:jc w:val="center"/>
              <w:rPr>
                <w:sz w:val="20"/>
                <w:szCs w:val="20"/>
                <w:highlight w:val="lightGray"/>
              </w:rPr>
            </w:pPr>
            <w:r w:rsidRPr="00CD4C6E">
              <w:rPr>
                <w:sz w:val="20"/>
                <w:szCs w:val="20"/>
              </w:rPr>
              <w:t>226</w:t>
            </w:r>
          </w:p>
        </w:tc>
        <w:tc>
          <w:tcPr>
            <w:tcW w:w="810" w:type="dxa"/>
            <w:tcBorders>
              <w:top w:val="single" w:sz="18" w:space="0" w:color="auto"/>
            </w:tcBorders>
            <w:vAlign w:val="center"/>
          </w:tcPr>
          <w:p w14:paraId="6A4E7C90" w14:textId="065B8855" w:rsidR="00CD4C6E" w:rsidRPr="00203662" w:rsidRDefault="00CD4C6E" w:rsidP="00DF247A">
            <w:pPr>
              <w:spacing w:after="0"/>
              <w:jc w:val="center"/>
              <w:rPr>
                <w:sz w:val="20"/>
                <w:szCs w:val="20"/>
              </w:rPr>
            </w:pPr>
            <w:r w:rsidRPr="00203662">
              <w:rPr>
                <w:sz w:val="20"/>
                <w:szCs w:val="20"/>
              </w:rPr>
              <w:t>122</w:t>
            </w:r>
          </w:p>
        </w:tc>
        <w:tc>
          <w:tcPr>
            <w:tcW w:w="810" w:type="dxa"/>
            <w:tcBorders>
              <w:top w:val="single" w:sz="18" w:space="0" w:color="auto"/>
            </w:tcBorders>
            <w:vAlign w:val="center"/>
          </w:tcPr>
          <w:p w14:paraId="600D8637" w14:textId="1ECBB333" w:rsidR="00CD4C6E" w:rsidRPr="00203662" w:rsidRDefault="00CD4C6E" w:rsidP="00DF247A">
            <w:pPr>
              <w:spacing w:after="0"/>
              <w:jc w:val="center"/>
              <w:rPr>
                <w:sz w:val="20"/>
                <w:szCs w:val="20"/>
              </w:rPr>
            </w:pPr>
            <w:r w:rsidRPr="00203662">
              <w:rPr>
                <w:sz w:val="20"/>
                <w:szCs w:val="20"/>
              </w:rPr>
              <w:t>156</w:t>
            </w:r>
          </w:p>
        </w:tc>
        <w:tc>
          <w:tcPr>
            <w:tcW w:w="828" w:type="dxa"/>
            <w:tcBorders>
              <w:top w:val="single" w:sz="18" w:space="0" w:color="auto"/>
            </w:tcBorders>
            <w:vAlign w:val="center"/>
          </w:tcPr>
          <w:p w14:paraId="01E2C706" w14:textId="09333D97" w:rsidR="00CD4C6E" w:rsidRPr="00203662" w:rsidRDefault="00007750" w:rsidP="00DF247A">
            <w:pPr>
              <w:spacing w:after="0"/>
              <w:jc w:val="center"/>
              <w:rPr>
                <w:sz w:val="20"/>
                <w:szCs w:val="20"/>
              </w:rPr>
            </w:pPr>
            <w:r>
              <w:rPr>
                <w:sz w:val="20"/>
                <w:szCs w:val="20"/>
              </w:rPr>
              <w:t>108</w:t>
            </w:r>
          </w:p>
        </w:tc>
      </w:tr>
    </w:tbl>
    <w:p w14:paraId="4F30EF3B" w14:textId="774AF2F1" w:rsidR="00BD50D2" w:rsidRPr="00DF247A" w:rsidRDefault="003574F0" w:rsidP="007C069F">
      <w:pPr>
        <w:rPr>
          <w:sz w:val="18"/>
          <w:szCs w:val="18"/>
        </w:rPr>
      </w:pPr>
      <w:r>
        <w:rPr>
          <w:sz w:val="20"/>
          <w:szCs w:val="20"/>
          <w:vertAlign w:val="superscript"/>
        </w:rPr>
        <w:t>a</w:t>
      </w:r>
      <w:r w:rsidRPr="003574F0">
        <w:rPr>
          <w:sz w:val="20"/>
          <w:szCs w:val="20"/>
        </w:rPr>
        <w:t xml:space="preserve"> </w:t>
      </w:r>
      <w:r w:rsidRPr="00DF247A">
        <w:rPr>
          <w:sz w:val="18"/>
          <w:szCs w:val="18"/>
        </w:rPr>
        <w:t>The 2017 RFP 2 subrecipients/</w:t>
      </w:r>
      <w:r w:rsidR="000D628D" w:rsidRPr="00DF247A">
        <w:rPr>
          <w:sz w:val="18"/>
          <w:szCs w:val="18"/>
        </w:rPr>
        <w:t>service recipient</w:t>
      </w:r>
      <w:r w:rsidRPr="00DF247A">
        <w:rPr>
          <w:sz w:val="18"/>
          <w:szCs w:val="18"/>
        </w:rPr>
        <w:t xml:space="preserve">s </w:t>
      </w:r>
      <w:r w:rsidR="00CD4C6E" w:rsidRPr="00DF247A">
        <w:rPr>
          <w:sz w:val="18"/>
          <w:szCs w:val="18"/>
        </w:rPr>
        <w:t>are expected to be selected in f</w:t>
      </w:r>
      <w:r w:rsidRPr="00DF247A">
        <w:rPr>
          <w:sz w:val="18"/>
          <w:szCs w:val="18"/>
        </w:rPr>
        <w:t>all 2018, after the last round of data collection</w:t>
      </w:r>
      <w:r w:rsidR="00CD4C6E" w:rsidRPr="00DF247A">
        <w:rPr>
          <w:sz w:val="18"/>
          <w:szCs w:val="18"/>
        </w:rPr>
        <w:t xml:space="preserve"> has been completed, so they will not be included in the survey</w:t>
      </w:r>
      <w:r w:rsidRPr="00DF247A">
        <w:rPr>
          <w:sz w:val="18"/>
          <w:szCs w:val="18"/>
        </w:rPr>
        <w:t>.</w:t>
      </w:r>
    </w:p>
    <w:p w14:paraId="0D6A9087" w14:textId="77777777" w:rsidR="00E607EC" w:rsidRDefault="00E607EC" w:rsidP="007C069F"/>
    <w:p w14:paraId="74AE28F4" w14:textId="1C66E91D" w:rsidR="007C069F" w:rsidRDefault="00685285" w:rsidP="007C069F">
      <w:pPr>
        <w:rPr>
          <w:rFonts w:eastAsiaTheme="minorHAnsi"/>
        </w:rPr>
      </w:pPr>
      <w:r>
        <w:rPr>
          <w:rFonts w:eastAsiaTheme="minorHAnsi"/>
        </w:rPr>
        <w:t xml:space="preserve">As indicated in Exhibit </w:t>
      </w:r>
      <w:r w:rsidR="00012E9B">
        <w:rPr>
          <w:rFonts w:eastAsiaTheme="minorHAnsi"/>
        </w:rPr>
        <w:t>B.</w:t>
      </w:r>
      <w:r>
        <w:rPr>
          <w:rFonts w:eastAsiaTheme="minorHAnsi"/>
        </w:rPr>
        <w:t>1</w:t>
      </w:r>
      <w:r w:rsidR="002150FF">
        <w:rPr>
          <w:rFonts w:eastAsiaTheme="minorHAnsi"/>
        </w:rPr>
        <w:t>.</w:t>
      </w:r>
      <w:r>
        <w:rPr>
          <w:rFonts w:eastAsiaTheme="minorHAnsi"/>
        </w:rPr>
        <w:t>, t</w:t>
      </w:r>
      <w:r w:rsidR="007C069F" w:rsidRPr="0001555F">
        <w:rPr>
          <w:rFonts w:eastAsiaTheme="minorHAnsi"/>
        </w:rPr>
        <w:t>he</w:t>
      </w:r>
      <w:r w:rsidR="00737258">
        <w:rPr>
          <w:rFonts w:eastAsiaTheme="minorHAnsi"/>
        </w:rPr>
        <w:t xml:space="preserve"> SIF PFS </w:t>
      </w:r>
      <w:r w:rsidR="00D83F4A">
        <w:rPr>
          <w:rFonts w:eastAsiaTheme="minorHAnsi"/>
        </w:rPr>
        <w:t xml:space="preserve">Program </w:t>
      </w:r>
      <w:r w:rsidR="00737258">
        <w:rPr>
          <w:rFonts w:eastAsiaTheme="minorHAnsi"/>
        </w:rPr>
        <w:t>Process</w:t>
      </w:r>
      <w:r w:rsidR="007C069F" w:rsidRPr="0001555F">
        <w:rPr>
          <w:rFonts w:eastAsiaTheme="minorHAnsi"/>
        </w:rPr>
        <w:t xml:space="preserve"> Evaluation will s</w:t>
      </w:r>
      <w:r w:rsidR="00BD50D2" w:rsidRPr="0001555F">
        <w:rPr>
          <w:rFonts w:eastAsiaTheme="minorHAnsi"/>
        </w:rPr>
        <w:t xml:space="preserve">urvey </w:t>
      </w:r>
      <w:r w:rsidR="008A4207">
        <w:rPr>
          <w:rFonts w:eastAsiaTheme="minorHAnsi"/>
        </w:rPr>
        <w:t xml:space="preserve">the entire universe of </w:t>
      </w:r>
      <w:r w:rsidR="00BD50D2" w:rsidRPr="0001555F">
        <w:rPr>
          <w:rFonts w:eastAsiaTheme="minorHAnsi"/>
        </w:rPr>
        <w:t>grantee</w:t>
      </w:r>
      <w:r w:rsidR="008A4207">
        <w:rPr>
          <w:rFonts w:eastAsiaTheme="minorHAnsi"/>
        </w:rPr>
        <w:t>s</w:t>
      </w:r>
      <w:r w:rsidR="00BD50D2" w:rsidRPr="0001555F">
        <w:rPr>
          <w:rFonts w:eastAsiaTheme="minorHAnsi"/>
        </w:rPr>
        <w:t xml:space="preserve"> and subrecipient</w:t>
      </w:r>
      <w:r w:rsidR="008A4207">
        <w:rPr>
          <w:rFonts w:eastAsiaTheme="minorHAnsi"/>
        </w:rPr>
        <w:t>s</w:t>
      </w:r>
      <w:r w:rsidR="00BD50D2" w:rsidRPr="0001555F">
        <w:rPr>
          <w:rFonts w:eastAsiaTheme="minorHAnsi"/>
        </w:rPr>
        <w:t>/</w:t>
      </w:r>
      <w:r w:rsidR="00DB2FD7">
        <w:rPr>
          <w:rFonts w:eastAsiaTheme="minorHAnsi"/>
        </w:rPr>
        <w:t>service recipient</w:t>
      </w:r>
      <w:r w:rsidR="008A4207">
        <w:rPr>
          <w:rFonts w:eastAsiaTheme="minorHAnsi"/>
        </w:rPr>
        <w:t>s</w:t>
      </w:r>
      <w:r w:rsidR="007C069F" w:rsidRPr="0001555F">
        <w:rPr>
          <w:rFonts w:eastAsiaTheme="minorHAnsi"/>
        </w:rPr>
        <w:t xml:space="preserve"> a</w:t>
      </w:r>
      <w:r w:rsidR="00BD50D2" w:rsidRPr="0001555F">
        <w:rPr>
          <w:rFonts w:eastAsiaTheme="minorHAnsi"/>
        </w:rPr>
        <w:t>ctively participating in the</w:t>
      </w:r>
      <w:r w:rsidR="00737258">
        <w:rPr>
          <w:rFonts w:eastAsiaTheme="minorHAnsi"/>
        </w:rPr>
        <w:t xml:space="preserve"> SIF</w:t>
      </w:r>
      <w:r w:rsidR="00BD50D2" w:rsidRPr="0001555F">
        <w:rPr>
          <w:rFonts w:eastAsiaTheme="minorHAnsi"/>
        </w:rPr>
        <w:t xml:space="preserve"> PFS </w:t>
      </w:r>
      <w:r w:rsidR="00DB2FD7">
        <w:rPr>
          <w:rFonts w:eastAsiaTheme="minorHAnsi"/>
        </w:rPr>
        <w:lastRenderedPageBreak/>
        <w:t>p</w:t>
      </w:r>
      <w:r w:rsidR="00BD50D2" w:rsidRPr="0001555F">
        <w:rPr>
          <w:rFonts w:eastAsiaTheme="minorHAnsi"/>
        </w:rPr>
        <w:t xml:space="preserve">rogram during </w:t>
      </w:r>
      <w:r w:rsidR="006706B0">
        <w:rPr>
          <w:rFonts w:eastAsiaTheme="minorHAnsi"/>
        </w:rPr>
        <w:t xml:space="preserve">each </w:t>
      </w:r>
      <w:r w:rsidR="00BD50D2" w:rsidRPr="0001555F">
        <w:rPr>
          <w:rFonts w:eastAsiaTheme="minorHAnsi"/>
        </w:rPr>
        <w:t>data collection period.</w:t>
      </w:r>
      <w:r w:rsidR="007C069F" w:rsidRPr="0001555F">
        <w:rPr>
          <w:rFonts w:eastAsiaTheme="minorHAnsi"/>
        </w:rPr>
        <w:t xml:space="preserve"> </w:t>
      </w:r>
      <w:r w:rsidR="00BD50D2" w:rsidRPr="0001555F">
        <w:rPr>
          <w:rFonts w:eastAsiaTheme="minorHAnsi"/>
        </w:rPr>
        <w:t>Each grantee and subrecipient/</w:t>
      </w:r>
      <w:r w:rsidR="00DB2FD7">
        <w:rPr>
          <w:rFonts w:eastAsiaTheme="minorHAnsi"/>
        </w:rPr>
        <w:t>service recipient</w:t>
      </w:r>
      <w:r w:rsidR="00BD50D2" w:rsidRPr="0001555F">
        <w:rPr>
          <w:rFonts w:eastAsiaTheme="minorHAnsi"/>
        </w:rPr>
        <w:t xml:space="preserve"> will be surve</w:t>
      </w:r>
      <w:r w:rsidR="00260833">
        <w:rPr>
          <w:rFonts w:eastAsiaTheme="minorHAnsi"/>
        </w:rPr>
        <w:t>yed between one and three times</w:t>
      </w:r>
      <w:r w:rsidR="00BD50D2" w:rsidRPr="0001555F">
        <w:rPr>
          <w:rFonts w:eastAsiaTheme="minorHAnsi"/>
        </w:rPr>
        <w:t xml:space="preserve"> </w:t>
      </w:r>
      <w:r w:rsidR="00B56D50">
        <w:rPr>
          <w:rFonts w:eastAsiaTheme="minorHAnsi"/>
        </w:rPr>
        <w:t xml:space="preserve">(depending upon </w:t>
      </w:r>
      <w:r w:rsidR="00781107">
        <w:rPr>
          <w:rFonts w:eastAsiaTheme="minorHAnsi"/>
        </w:rPr>
        <w:t>the cohort in which they were selected</w:t>
      </w:r>
      <w:r w:rsidR="00B56D50">
        <w:rPr>
          <w:rFonts w:eastAsiaTheme="minorHAnsi"/>
        </w:rPr>
        <w:t xml:space="preserve">) </w:t>
      </w:r>
      <w:r w:rsidR="00BD50D2" w:rsidRPr="0001555F">
        <w:rPr>
          <w:rFonts w:eastAsiaTheme="minorHAnsi"/>
        </w:rPr>
        <w:t>to allow for the collection of longitudinal</w:t>
      </w:r>
      <w:r w:rsidR="0007748E">
        <w:rPr>
          <w:rFonts w:eastAsiaTheme="minorHAnsi"/>
        </w:rPr>
        <w:t xml:space="preserve"> data on </w:t>
      </w:r>
      <w:r w:rsidR="00B56D50">
        <w:rPr>
          <w:rFonts w:eastAsiaTheme="minorHAnsi"/>
        </w:rPr>
        <w:t xml:space="preserve">project activities and </w:t>
      </w:r>
      <w:r w:rsidR="0007748E">
        <w:rPr>
          <w:rFonts w:eastAsiaTheme="minorHAnsi"/>
        </w:rPr>
        <w:t xml:space="preserve">program </w:t>
      </w:r>
      <w:r w:rsidR="00D83F4A">
        <w:rPr>
          <w:rFonts w:eastAsiaTheme="minorHAnsi"/>
        </w:rPr>
        <w:t>development</w:t>
      </w:r>
      <w:r w:rsidR="0007748E">
        <w:rPr>
          <w:rFonts w:eastAsiaTheme="minorHAnsi"/>
        </w:rPr>
        <w:t xml:space="preserve">. </w:t>
      </w:r>
      <w:r w:rsidR="00B56D50">
        <w:rPr>
          <w:rFonts w:eastAsiaTheme="minorHAnsi"/>
        </w:rPr>
        <w:t xml:space="preserve"> Since</w:t>
      </w:r>
      <w:r w:rsidR="00C5798F">
        <w:rPr>
          <w:rFonts w:eastAsiaTheme="minorHAnsi"/>
        </w:rPr>
        <w:t xml:space="preserve"> the </w:t>
      </w:r>
      <w:r>
        <w:rPr>
          <w:rFonts w:eastAsiaTheme="minorHAnsi"/>
        </w:rPr>
        <w:t xml:space="preserve">SIF </w:t>
      </w:r>
      <w:r w:rsidR="00C5798F">
        <w:rPr>
          <w:rFonts w:eastAsiaTheme="minorHAnsi"/>
        </w:rPr>
        <w:t xml:space="preserve">PFS </w:t>
      </w:r>
      <w:r w:rsidR="00DB2FD7">
        <w:rPr>
          <w:rFonts w:eastAsiaTheme="minorHAnsi"/>
        </w:rPr>
        <w:t>p</w:t>
      </w:r>
      <w:r w:rsidR="00C5798F">
        <w:rPr>
          <w:rFonts w:eastAsiaTheme="minorHAnsi"/>
        </w:rPr>
        <w:t xml:space="preserve">rogram utilizes a new funding </w:t>
      </w:r>
      <w:r w:rsidR="004647DB">
        <w:rPr>
          <w:rFonts w:eastAsiaTheme="minorHAnsi"/>
        </w:rPr>
        <w:t xml:space="preserve">strategy </w:t>
      </w:r>
      <w:r w:rsidR="006635C3">
        <w:rPr>
          <w:rFonts w:eastAsiaTheme="minorHAnsi"/>
        </w:rPr>
        <w:t>(i.e., Pay for Success) and grantees and subrecipients/</w:t>
      </w:r>
      <w:r w:rsidR="00DB2FD7">
        <w:rPr>
          <w:rFonts w:eastAsiaTheme="minorHAnsi"/>
        </w:rPr>
        <w:t>service recipient</w:t>
      </w:r>
      <w:r w:rsidR="006635C3">
        <w:rPr>
          <w:rFonts w:eastAsiaTheme="minorHAnsi"/>
        </w:rPr>
        <w:t xml:space="preserve">s have different </w:t>
      </w:r>
      <w:r w:rsidR="003276C2">
        <w:rPr>
          <w:rFonts w:eastAsiaTheme="minorHAnsi"/>
        </w:rPr>
        <w:t xml:space="preserve">project goals and </w:t>
      </w:r>
      <w:r w:rsidR="006635C3">
        <w:rPr>
          <w:rFonts w:eastAsiaTheme="minorHAnsi"/>
        </w:rPr>
        <w:t>levels of experience</w:t>
      </w:r>
      <w:r w:rsidR="00B56D50">
        <w:rPr>
          <w:rFonts w:eastAsiaTheme="minorHAnsi"/>
        </w:rPr>
        <w:t>, the</w:t>
      </w:r>
      <w:r w:rsidR="00C5798F">
        <w:rPr>
          <w:rFonts w:eastAsiaTheme="minorHAnsi"/>
        </w:rPr>
        <w:t xml:space="preserve"> </w:t>
      </w:r>
      <w:r w:rsidR="006635C3">
        <w:rPr>
          <w:rFonts w:eastAsiaTheme="minorHAnsi"/>
        </w:rPr>
        <w:t xml:space="preserve">activities and </w:t>
      </w:r>
      <w:r w:rsidR="00781107">
        <w:rPr>
          <w:rFonts w:eastAsiaTheme="minorHAnsi"/>
        </w:rPr>
        <w:t xml:space="preserve">operational </w:t>
      </w:r>
      <w:r w:rsidR="00C5798F">
        <w:rPr>
          <w:rFonts w:eastAsiaTheme="minorHAnsi"/>
        </w:rPr>
        <w:t>trajectories of grantees and subrecipients/</w:t>
      </w:r>
      <w:r w:rsidR="00DB2FD7">
        <w:rPr>
          <w:rFonts w:eastAsiaTheme="minorHAnsi"/>
        </w:rPr>
        <w:t>service recipient</w:t>
      </w:r>
      <w:r w:rsidR="00C5798F">
        <w:rPr>
          <w:rFonts w:eastAsiaTheme="minorHAnsi"/>
        </w:rPr>
        <w:t xml:space="preserve">s </w:t>
      </w:r>
      <w:r w:rsidR="00D83F4A">
        <w:rPr>
          <w:rFonts w:eastAsiaTheme="minorHAnsi"/>
        </w:rPr>
        <w:t>are</w:t>
      </w:r>
      <w:r w:rsidR="00C5798F">
        <w:rPr>
          <w:rFonts w:eastAsiaTheme="minorHAnsi"/>
        </w:rPr>
        <w:t xml:space="preserve"> likely to be extremely varied. As such, </w:t>
      </w:r>
      <w:r w:rsidR="00781107">
        <w:rPr>
          <w:rFonts w:eastAsiaTheme="minorHAnsi"/>
        </w:rPr>
        <w:t xml:space="preserve">targeting </w:t>
      </w:r>
      <w:r w:rsidR="00C5798F">
        <w:rPr>
          <w:rFonts w:eastAsiaTheme="minorHAnsi"/>
        </w:rPr>
        <w:t xml:space="preserve">the entire universe is </w:t>
      </w:r>
      <w:r w:rsidR="00781107">
        <w:rPr>
          <w:rFonts w:eastAsiaTheme="minorHAnsi"/>
        </w:rPr>
        <w:t xml:space="preserve">necessary </w:t>
      </w:r>
      <w:r w:rsidR="00C5798F">
        <w:rPr>
          <w:rFonts w:eastAsiaTheme="minorHAnsi"/>
        </w:rPr>
        <w:t>to collect information on the full range of experiences</w:t>
      </w:r>
      <w:r w:rsidR="006635C3">
        <w:rPr>
          <w:rFonts w:eastAsiaTheme="minorHAnsi"/>
        </w:rPr>
        <w:t xml:space="preserve"> and outcomes of organizations in the SIF PFS </w:t>
      </w:r>
      <w:r w:rsidR="00DB2FD7">
        <w:rPr>
          <w:rFonts w:eastAsiaTheme="minorHAnsi"/>
        </w:rPr>
        <w:t>p</w:t>
      </w:r>
      <w:r w:rsidR="006635C3">
        <w:rPr>
          <w:rFonts w:eastAsiaTheme="minorHAnsi"/>
        </w:rPr>
        <w:t>rogram</w:t>
      </w:r>
      <w:r w:rsidR="00C5798F">
        <w:rPr>
          <w:rFonts w:eastAsiaTheme="minorHAnsi"/>
        </w:rPr>
        <w:t xml:space="preserve">. </w:t>
      </w:r>
    </w:p>
    <w:p w14:paraId="0DAA5902" w14:textId="17653FEB" w:rsidR="00203662" w:rsidRPr="006A4A20" w:rsidRDefault="00781107" w:rsidP="00203662">
      <w:r>
        <w:t xml:space="preserve">We are currently </w:t>
      </w:r>
      <w:r w:rsidRPr="006A4A20">
        <w:t>estimating a 100 percent response rate for the grantee survey and a minimum of an 80 percent response rate for the subrecipient/</w:t>
      </w:r>
      <w:r w:rsidR="00DB2FD7">
        <w:t>service recipient</w:t>
      </w:r>
      <w:r w:rsidRPr="006A4A20">
        <w:t xml:space="preserve"> surveys.</w:t>
      </w:r>
      <w:r>
        <w:t xml:space="preserve"> These estimates are based on  our confidence in the proposed</w:t>
      </w:r>
      <w:r w:rsidR="00203662">
        <w:t xml:space="preserve"> strategies to maximize response rate</w:t>
      </w:r>
      <w:r w:rsidR="00090D7D">
        <w:t>s</w:t>
      </w:r>
      <w:r w:rsidR="00203662">
        <w:t xml:space="preserve"> (as described below) and the cooperation and support</w:t>
      </w:r>
      <w:r>
        <w:t xml:space="preserve"> levels</w:t>
      </w:r>
      <w:r w:rsidR="00203662">
        <w:t xml:space="preserve"> shown to date by the 2014 grantees and their subrecipients/</w:t>
      </w:r>
      <w:r w:rsidR="00DB2FD7">
        <w:t>service recipient</w:t>
      </w:r>
      <w:r w:rsidR="00203662">
        <w:t>s</w:t>
      </w:r>
      <w:r>
        <w:t xml:space="preserve"> when asked to engage in less formal activities</w:t>
      </w:r>
      <w:r w:rsidR="00203662" w:rsidRPr="006A4A20">
        <w:t xml:space="preserve"> (</w:t>
      </w:r>
      <w:r>
        <w:t xml:space="preserve">e.g., </w:t>
      </w:r>
      <w:r w:rsidR="00203662" w:rsidRPr="006A4A20">
        <w:t>site visits and telephone discussions</w:t>
      </w:r>
      <w:r w:rsidR="00685285" w:rsidRPr="006A4A20">
        <w:t>)</w:t>
      </w:r>
      <w:r w:rsidR="00203662" w:rsidRPr="006A4A20">
        <w:t xml:space="preserve">, </w:t>
      </w:r>
    </w:p>
    <w:p w14:paraId="49D516ED" w14:textId="77777777" w:rsidR="00ED2BAC" w:rsidRPr="00397CF3" w:rsidRDefault="00775E0D" w:rsidP="00C5735F">
      <w:pPr>
        <w:pStyle w:val="Heading2"/>
      </w:pPr>
      <w:bookmarkStart w:id="3" w:name="_Toc436747113"/>
      <w:r w:rsidRPr="00397CF3">
        <w:t xml:space="preserve">B2. </w:t>
      </w:r>
      <w:r w:rsidR="00ED2BAC" w:rsidRPr="00397CF3">
        <w:t>Procedures for the Collection of Informati</w:t>
      </w:r>
      <w:r w:rsidR="00ED4A0D" w:rsidRPr="00397CF3">
        <w:t>o</w:t>
      </w:r>
      <w:r w:rsidR="00ED2BAC" w:rsidRPr="00397CF3">
        <w:t>n</w:t>
      </w:r>
      <w:bookmarkEnd w:id="3"/>
    </w:p>
    <w:p w14:paraId="1F2CBB34" w14:textId="384444A4" w:rsidR="004F080A" w:rsidRPr="0087599B" w:rsidRDefault="004F080A" w:rsidP="0071464C">
      <w:pPr>
        <w:spacing w:after="240"/>
      </w:pPr>
      <w:r w:rsidRPr="0087599B">
        <w:t>Since the entire universe of SIF PFS grantees and subrecipients/</w:t>
      </w:r>
      <w:r w:rsidR="00DB2FD7">
        <w:t>service recipient</w:t>
      </w:r>
      <w:r w:rsidRPr="0087599B">
        <w:t xml:space="preserve">s will be surveyed, no </w:t>
      </w:r>
      <w:r w:rsidR="00B160A4">
        <w:t xml:space="preserve">stratification or </w:t>
      </w:r>
      <w:r w:rsidRPr="0087599B">
        <w:t>sample selection</w:t>
      </w:r>
      <w:r w:rsidR="009B2782">
        <w:t xml:space="preserve"> methodologies will be employed. In addition, sampling weights will not be necessary for survey estimates. </w:t>
      </w:r>
      <w:r w:rsidR="0039182B" w:rsidRPr="0039182B">
        <w:t xml:space="preserve"> </w:t>
      </w:r>
    </w:p>
    <w:p w14:paraId="6374A2BE" w14:textId="6C6CA267" w:rsidR="003276C2" w:rsidRDefault="000C0290" w:rsidP="0071464C">
      <w:pPr>
        <w:spacing w:after="240"/>
      </w:pPr>
      <w:r w:rsidRPr="00765E65">
        <w:t>Based on the size and nature of the organizations studied,</w:t>
      </w:r>
      <w:r w:rsidR="00ED09E6" w:rsidRPr="00765E65">
        <w:t xml:space="preserve"> </w:t>
      </w:r>
      <w:r w:rsidRPr="00765E65">
        <w:t xml:space="preserve">it is anticipated </w:t>
      </w:r>
      <w:r w:rsidR="00401DBD" w:rsidRPr="00765E65">
        <w:t xml:space="preserve">that all or nearly all the organizations surveyed will have access to the </w:t>
      </w:r>
      <w:r w:rsidR="00730186">
        <w:t>Internet</w:t>
      </w:r>
      <w:r w:rsidR="00090D7D">
        <w:t>;</w:t>
      </w:r>
      <w:r w:rsidR="00737258">
        <w:t xml:space="preserve"> therefore</w:t>
      </w:r>
      <w:r w:rsidR="00090D7D">
        <w:t>,</w:t>
      </w:r>
      <w:r w:rsidR="00401DBD" w:rsidRPr="00765E65">
        <w:t xml:space="preserve"> communications</w:t>
      </w:r>
      <w:r w:rsidR="00737258">
        <w:t xml:space="preserve"> can be sent</w:t>
      </w:r>
      <w:r w:rsidR="00401DBD" w:rsidRPr="00765E65">
        <w:t xml:space="preserve"> by email and </w:t>
      </w:r>
      <w:r w:rsidR="00737258">
        <w:t xml:space="preserve">respondents </w:t>
      </w:r>
      <w:r w:rsidR="00012E9B">
        <w:t>are expected to</w:t>
      </w:r>
      <w:r w:rsidR="00401DBD" w:rsidRPr="00765E65">
        <w:t xml:space="preserve"> complete the survey</w:t>
      </w:r>
      <w:r w:rsidR="003276C2">
        <w:t>s</w:t>
      </w:r>
      <w:r w:rsidR="00401DBD" w:rsidRPr="00765E65">
        <w:t xml:space="preserve"> online.</w:t>
      </w:r>
      <w:r w:rsidR="005D17A0" w:rsidRPr="00765E65">
        <w:t xml:space="preserve"> </w:t>
      </w:r>
      <w:r w:rsidR="00012E9B">
        <w:t xml:space="preserve"> </w:t>
      </w:r>
      <w:r w:rsidR="00012E9B" w:rsidRPr="0081421A">
        <w:t>The survey</w:t>
      </w:r>
      <w:r w:rsidR="003276C2">
        <w:t>s</w:t>
      </w:r>
      <w:r w:rsidR="00012E9B" w:rsidRPr="0081421A">
        <w:t xml:space="preserve"> will be administered in an online format using </w:t>
      </w:r>
      <w:r w:rsidR="00012E9B">
        <w:t>Fluid</w:t>
      </w:r>
      <w:r w:rsidR="00012E9B" w:rsidRPr="0081421A">
        <w:t>Survey</w:t>
      </w:r>
      <w:r w:rsidR="00012E9B">
        <w:t xml:space="preserve">s </w:t>
      </w:r>
      <w:r w:rsidR="00012E9B" w:rsidRPr="0081421A">
        <w:t>software.</w:t>
      </w:r>
      <w:r w:rsidR="000E1D35" w:rsidRPr="000E1D35">
        <w:t xml:space="preserve"> </w:t>
      </w:r>
      <w:r w:rsidR="000E1D35">
        <w:t>FluidSurveys uses SSL to encrypt survey responses as they are entered and McAfee security scans and firewalls to protect stored data from unauthorized access.</w:t>
      </w:r>
      <w:r w:rsidR="00012E9B" w:rsidRPr="0081421A">
        <w:t xml:space="preserve"> All data exported from </w:t>
      </w:r>
      <w:r w:rsidR="00012E9B">
        <w:t>FluidSurveys</w:t>
      </w:r>
      <w:r w:rsidR="00012E9B" w:rsidRPr="0081421A">
        <w:t xml:space="preserve"> will be kept in a secure </w:t>
      </w:r>
      <w:r w:rsidR="000E1D35">
        <w:t xml:space="preserve">computing environment with </w:t>
      </w:r>
      <w:r w:rsidR="00007750">
        <w:t>restricted</w:t>
      </w:r>
      <w:r w:rsidR="00457CBC">
        <w:t xml:space="preserve"> I</w:t>
      </w:r>
      <w:r w:rsidR="000E1D35">
        <w:t>nternet access</w:t>
      </w:r>
      <w:r w:rsidR="00012E9B" w:rsidRPr="0081421A">
        <w:t xml:space="preserve">. </w:t>
      </w:r>
    </w:p>
    <w:p w14:paraId="0D175226" w14:textId="557D19DF" w:rsidR="00401DBD" w:rsidRDefault="003276C2" w:rsidP="0071464C">
      <w:pPr>
        <w:spacing w:after="240"/>
      </w:pPr>
      <w:r>
        <w:t>H</w:t>
      </w:r>
      <w:r w:rsidR="00401DBD" w:rsidRPr="00765E65">
        <w:t>ard</w:t>
      </w:r>
      <w:r w:rsidR="001E1003" w:rsidRPr="00765E65">
        <w:t>-</w:t>
      </w:r>
      <w:r>
        <w:t xml:space="preserve">copy versions </w:t>
      </w:r>
      <w:r w:rsidR="00401DBD" w:rsidRPr="00765E65">
        <w:t>of the survey</w:t>
      </w:r>
      <w:r>
        <w:t>s</w:t>
      </w:r>
      <w:r w:rsidR="00401DBD" w:rsidRPr="00765E65">
        <w:t xml:space="preserve"> </w:t>
      </w:r>
      <w:r w:rsidR="001E1003" w:rsidRPr="00765E65">
        <w:t xml:space="preserve">will be made </w:t>
      </w:r>
      <w:r w:rsidR="00401DBD" w:rsidRPr="00765E65">
        <w:t xml:space="preserve">available to organizations that do not have </w:t>
      </w:r>
      <w:r w:rsidR="00730186">
        <w:t>Internet</w:t>
      </w:r>
      <w:r w:rsidR="00401DBD" w:rsidRPr="00765E65">
        <w:t xml:space="preserve"> access</w:t>
      </w:r>
      <w:r w:rsidR="001E1003" w:rsidRPr="00765E65">
        <w:t xml:space="preserve">, as well as </w:t>
      </w:r>
      <w:r w:rsidR="00401DBD" w:rsidRPr="00765E65">
        <w:t xml:space="preserve">to </w:t>
      </w:r>
      <w:r w:rsidR="001E1003" w:rsidRPr="00765E65">
        <w:t xml:space="preserve">those </w:t>
      </w:r>
      <w:r w:rsidR="00401DBD" w:rsidRPr="00765E65">
        <w:t xml:space="preserve">that prefer to respond using a </w:t>
      </w:r>
      <w:r w:rsidR="00762EC6" w:rsidRPr="00765E65">
        <w:t>hard</w:t>
      </w:r>
      <w:r w:rsidR="001E1003" w:rsidRPr="00765E65">
        <w:t>-</w:t>
      </w:r>
      <w:r w:rsidR="00401DBD" w:rsidRPr="00765E65">
        <w:t>copy version of the survey.</w:t>
      </w:r>
      <w:r w:rsidR="005D17A0" w:rsidRPr="00765E65">
        <w:t xml:space="preserve"> </w:t>
      </w:r>
    </w:p>
    <w:p w14:paraId="44C23ABD" w14:textId="37D0C4D3" w:rsidR="00506EB2" w:rsidRDefault="00E30DA3" w:rsidP="00C5798F">
      <w:pPr>
        <w:spacing w:after="240"/>
      </w:pPr>
      <w:r w:rsidRPr="0081421A">
        <w:t>The survey communications will be undertaken in several steps.</w:t>
      </w:r>
      <w:r w:rsidR="00506EB2">
        <w:rPr>
          <w:rFonts w:eastAsiaTheme="minorHAnsi"/>
        </w:rPr>
        <w:t xml:space="preserve"> </w:t>
      </w:r>
      <w:r w:rsidR="0077215F">
        <w:rPr>
          <w:rFonts w:eastAsiaTheme="minorHAnsi"/>
        </w:rPr>
        <w:t xml:space="preserve">The </w:t>
      </w:r>
      <w:r w:rsidR="00506EB2">
        <w:rPr>
          <w:rFonts w:eastAsiaTheme="minorHAnsi"/>
        </w:rPr>
        <w:t xml:space="preserve">evaluation contractor will </w:t>
      </w:r>
      <w:r w:rsidR="0077215F">
        <w:rPr>
          <w:rFonts w:eastAsiaTheme="minorHAnsi"/>
        </w:rPr>
        <w:t xml:space="preserve">initially </w:t>
      </w:r>
      <w:r w:rsidR="007851C2">
        <w:t xml:space="preserve">send </w:t>
      </w:r>
      <w:r w:rsidR="00506EB2">
        <w:t xml:space="preserve">the </w:t>
      </w:r>
      <w:r w:rsidR="003276C2">
        <w:t xml:space="preserve">grantee </w:t>
      </w:r>
      <w:r w:rsidR="00506EB2">
        <w:t xml:space="preserve">contact person </w:t>
      </w:r>
      <w:r w:rsidR="007851C2">
        <w:t xml:space="preserve">an </w:t>
      </w:r>
      <w:r w:rsidR="00685285">
        <w:t xml:space="preserve">email </w:t>
      </w:r>
      <w:r w:rsidR="00FB2E62">
        <w:t>two</w:t>
      </w:r>
      <w:r w:rsidR="00506EB2">
        <w:t xml:space="preserve"> weeks prior to the </w:t>
      </w:r>
      <w:r w:rsidR="003276C2">
        <w:t xml:space="preserve">start of the </w:t>
      </w:r>
      <w:r w:rsidR="00685285">
        <w:t xml:space="preserve">survey data collection </w:t>
      </w:r>
      <w:r w:rsidR="00506EB2">
        <w:t xml:space="preserve">period. The email will remind grantees of the purpose </w:t>
      </w:r>
      <w:r w:rsidR="0077215F">
        <w:t xml:space="preserve">of, </w:t>
      </w:r>
      <w:r w:rsidR="00506EB2">
        <w:t>and plans for the grantee and subrecipient/</w:t>
      </w:r>
      <w:r w:rsidR="00DB2FD7">
        <w:t>service recipient</w:t>
      </w:r>
      <w:r w:rsidR="00506EB2">
        <w:t xml:space="preserve"> surveys and notify them the date that the grantee and subrecipient/</w:t>
      </w:r>
      <w:r w:rsidR="00DB2FD7">
        <w:t>service recipient</w:t>
      </w:r>
      <w:r w:rsidR="00506EB2">
        <w:t xml:space="preserve"> survey data collection will begin.  At this time, we will ask the grantees to communicate with their subrecipients/</w:t>
      </w:r>
      <w:r w:rsidR="00DB2FD7">
        <w:t>service recipient</w:t>
      </w:r>
      <w:r w:rsidR="00506EB2">
        <w:t>s by email or telephone to notify them of the upcoming survey and ask for their support and cooperation.</w:t>
      </w:r>
    </w:p>
    <w:p w14:paraId="7368FFA9" w14:textId="5F1B98C9" w:rsidR="00BC3932" w:rsidRDefault="00273887" w:rsidP="00C5798F">
      <w:pPr>
        <w:spacing w:after="240"/>
      </w:pPr>
      <w:r>
        <w:t>A</w:t>
      </w:r>
      <w:r w:rsidRPr="003276C2">
        <w:t xml:space="preserve">t the time of the survey data collection, the evaluation contractor will send an email </w:t>
      </w:r>
      <w:r w:rsidR="00061941" w:rsidRPr="003276C2">
        <w:t>(</w:t>
      </w:r>
      <w:r w:rsidR="003276C2">
        <w:t xml:space="preserve">Appendix </w:t>
      </w:r>
      <w:r w:rsidR="005134AD">
        <w:t>B</w:t>
      </w:r>
      <w:r w:rsidR="003276C2">
        <w:t>.1</w:t>
      </w:r>
      <w:r>
        <w:t xml:space="preserve">) to all </w:t>
      </w:r>
      <w:r w:rsidR="00C5798F">
        <w:t>grantees and subrecipients/</w:t>
      </w:r>
      <w:r w:rsidR="00DB2FD7">
        <w:t>service recipient</w:t>
      </w:r>
      <w:r w:rsidR="00C5798F">
        <w:t>s</w:t>
      </w:r>
      <w:r w:rsidR="00C5798F" w:rsidRPr="0081421A">
        <w:t xml:space="preserve"> </w:t>
      </w:r>
      <w:r w:rsidR="00061941">
        <w:t>to inform them that the survey data collection is beginning,</w:t>
      </w:r>
      <w:r>
        <w:t xml:space="preserve"> </w:t>
      </w:r>
      <w:r w:rsidR="00C5798F" w:rsidRPr="0081421A">
        <w:t xml:space="preserve">provide information </w:t>
      </w:r>
      <w:r w:rsidR="00C5798F">
        <w:t>about</w:t>
      </w:r>
      <w:r w:rsidR="00C5798F" w:rsidRPr="0081421A">
        <w:t xml:space="preserve"> the survey’s purpose</w:t>
      </w:r>
      <w:r w:rsidR="00061941">
        <w:t>,</w:t>
      </w:r>
      <w:r>
        <w:t xml:space="preserve"> and </w:t>
      </w:r>
      <w:r w:rsidR="003276C2">
        <w:t>ask for their</w:t>
      </w:r>
      <w:r>
        <w:t xml:space="preserve"> participat</w:t>
      </w:r>
      <w:r w:rsidR="003276C2">
        <w:t>ion</w:t>
      </w:r>
      <w:r>
        <w:t xml:space="preserve">.  The email will include a </w:t>
      </w:r>
      <w:r w:rsidR="00012E9B" w:rsidRPr="0081421A">
        <w:t>link to the survey URL</w:t>
      </w:r>
      <w:r w:rsidR="00012E9B">
        <w:t xml:space="preserve"> and a </w:t>
      </w:r>
      <w:r>
        <w:t>study email a</w:t>
      </w:r>
      <w:r w:rsidR="00061941">
        <w:t>ddress that the respondents can use to communicate with the evaluation team if</w:t>
      </w:r>
      <w:r w:rsidR="00C5798F" w:rsidRPr="0081421A">
        <w:t xml:space="preserve"> they have questions or want more information</w:t>
      </w:r>
      <w:r>
        <w:t xml:space="preserve"> about the survey</w:t>
      </w:r>
      <w:r w:rsidR="00C5798F" w:rsidRPr="0081421A">
        <w:t xml:space="preserve">. </w:t>
      </w:r>
      <w:r w:rsidR="00061941">
        <w:t xml:space="preserve"> </w:t>
      </w:r>
      <w:r w:rsidR="00012E9B">
        <w:t xml:space="preserve">A letter of endorsement for the evaluation from CNCS </w:t>
      </w:r>
      <w:r w:rsidR="00012E9B">
        <w:lastRenderedPageBreak/>
        <w:t xml:space="preserve">(Appendix </w:t>
      </w:r>
      <w:r w:rsidR="005134AD">
        <w:t>B</w:t>
      </w:r>
      <w:r w:rsidR="00012E9B">
        <w:t>.2) will be included as an attachment to the email</w:t>
      </w:r>
      <w:r w:rsidR="003276C2">
        <w:t xml:space="preserve"> along with a study fact sheet </w:t>
      </w:r>
      <w:r w:rsidR="005134AD">
        <w:t>(Appendix B</w:t>
      </w:r>
      <w:r w:rsidR="00012E9B">
        <w:t>.3) that provides additional information about the evaluation.</w:t>
      </w:r>
    </w:p>
    <w:p w14:paraId="066A957F" w14:textId="63C3BFFA" w:rsidR="00C5798F" w:rsidRPr="0081421A" w:rsidRDefault="00C5798F" w:rsidP="00C5798F">
      <w:pPr>
        <w:spacing w:after="240"/>
      </w:pPr>
      <w:r>
        <w:t>Previous communications with grantees and subrecipients/</w:t>
      </w:r>
      <w:r w:rsidR="00DB2FD7">
        <w:t>service recipient</w:t>
      </w:r>
      <w:r>
        <w:t>s ha</w:t>
      </w:r>
      <w:r w:rsidR="00DF247A">
        <w:t>ve</w:t>
      </w:r>
      <w:r>
        <w:t xml:space="preserve"> </w:t>
      </w:r>
      <w:r w:rsidR="0039182B">
        <w:t>indicated that the</w:t>
      </w:r>
      <w:r w:rsidRPr="0081421A">
        <w:t xml:space="preserve"> appropriate </w:t>
      </w:r>
      <w:r w:rsidR="00090D7D">
        <w:t>point of contact</w:t>
      </w:r>
      <w:r w:rsidRPr="0081421A">
        <w:t xml:space="preserve"> is the </w:t>
      </w:r>
      <w:r w:rsidR="00B54BF6">
        <w:t>SIF PFS program contact</w:t>
      </w:r>
      <w:r w:rsidR="00061941">
        <w:t xml:space="preserve"> </w:t>
      </w:r>
      <w:r w:rsidR="00DF247A">
        <w:t>person for</w:t>
      </w:r>
      <w:r w:rsidR="00061941">
        <w:t xml:space="preserve"> the </w:t>
      </w:r>
      <w:r w:rsidR="00090D7D">
        <w:t xml:space="preserve">grantee </w:t>
      </w:r>
      <w:r w:rsidR="00BC3932">
        <w:t>or subrecipient/</w:t>
      </w:r>
      <w:r w:rsidR="00DB2FD7">
        <w:t>service recipient</w:t>
      </w:r>
      <w:r w:rsidR="00BC3932">
        <w:t xml:space="preserve"> organization</w:t>
      </w:r>
      <w:r w:rsidR="00E40CE1">
        <w:t xml:space="preserve">. All survey related correspondence about the survey </w:t>
      </w:r>
      <w:r w:rsidRPr="0081421A">
        <w:t xml:space="preserve">will be directed </w:t>
      </w:r>
      <w:r w:rsidR="00BC3932">
        <w:t xml:space="preserve">to </w:t>
      </w:r>
      <w:r w:rsidR="00E40CE1">
        <w:t>that point of contact</w:t>
      </w:r>
      <w:r w:rsidR="00291093">
        <w:t xml:space="preserve">. </w:t>
      </w:r>
    </w:p>
    <w:p w14:paraId="122E2CEA" w14:textId="67A8C74A" w:rsidR="00C5798F" w:rsidRPr="00AB335B" w:rsidRDefault="00C5798F" w:rsidP="00C5798F">
      <w:pPr>
        <w:spacing w:after="240"/>
      </w:pPr>
      <w:r>
        <w:t xml:space="preserve">For respondents </w:t>
      </w:r>
      <w:r w:rsidR="00E40CE1">
        <w:t>requesting a</w:t>
      </w:r>
      <w:r>
        <w:t xml:space="preserve"> hard-copy survey, </w:t>
      </w:r>
      <w:r w:rsidR="00E40CE1">
        <w:t>(</w:t>
      </w:r>
      <w:r>
        <w:t xml:space="preserve">either because they do not have email and </w:t>
      </w:r>
      <w:r w:rsidR="00730186">
        <w:t>Internet</w:t>
      </w:r>
      <w:r>
        <w:t xml:space="preserve"> access or because they prefer to respond via hard copy</w:t>
      </w:r>
      <w:r w:rsidR="00E40CE1">
        <w:t>)</w:t>
      </w:r>
      <w:r>
        <w:t xml:space="preserve">, the </w:t>
      </w:r>
      <w:r w:rsidR="00E40CE1">
        <w:t xml:space="preserve">instrument </w:t>
      </w:r>
      <w:r>
        <w:t xml:space="preserve">will be mailed, along with a </w:t>
      </w:r>
      <w:r w:rsidRPr="0081421A">
        <w:t xml:space="preserve">self-addressed stamped envelope for easy return. </w:t>
      </w:r>
      <w:r w:rsidR="00E40CE1">
        <w:t xml:space="preserve">Completed hard copy surveys </w:t>
      </w:r>
      <w:r w:rsidRPr="0081421A">
        <w:t xml:space="preserve">will be </w:t>
      </w:r>
      <w:r w:rsidR="00E40CE1">
        <w:t xml:space="preserve">manually </w:t>
      </w:r>
      <w:r w:rsidRPr="0081421A">
        <w:t>entered into the programmed instrument upon receipt.</w:t>
      </w:r>
    </w:p>
    <w:p w14:paraId="107DC907" w14:textId="50F24A2F" w:rsidR="00C5798F" w:rsidRPr="00AB335B" w:rsidRDefault="00E40CE1" w:rsidP="00C5798F">
      <w:pPr>
        <w:spacing w:after="240"/>
      </w:pPr>
      <w:r>
        <w:t>Survey receipt</w:t>
      </w:r>
      <w:r w:rsidR="00C5798F" w:rsidRPr="009349D0">
        <w:t xml:space="preserve"> will be closely monitored</w:t>
      </w:r>
      <w:r>
        <w:t xml:space="preserve"> by evaluation staff</w:t>
      </w:r>
      <w:r w:rsidR="00C5798F" w:rsidRPr="009349D0">
        <w:t xml:space="preserve">, including tracking the response rates and checking the surveys </w:t>
      </w:r>
      <w:r w:rsidR="00090D7D">
        <w:t xml:space="preserve">for completeness </w:t>
      </w:r>
      <w:r>
        <w:t>and cons</w:t>
      </w:r>
      <w:r w:rsidR="00BC3932">
        <w:t>istency. As needed, follow-up e</w:t>
      </w:r>
      <w:r>
        <w:t>mail reminders</w:t>
      </w:r>
      <w:r w:rsidR="00BC3932">
        <w:t xml:space="preserve"> will be sent</w:t>
      </w:r>
      <w:r w:rsidR="00C5798F" w:rsidRPr="00AB335B">
        <w:t xml:space="preserve"> </w:t>
      </w:r>
      <w:r w:rsidR="005134AD">
        <w:t>(Appendix B</w:t>
      </w:r>
      <w:r w:rsidR="003276C2">
        <w:t xml:space="preserve">.4) </w:t>
      </w:r>
      <w:r w:rsidR="00C5798F" w:rsidRPr="00AB335B">
        <w:t xml:space="preserve">to obtain completed surveys or </w:t>
      </w:r>
      <w:r w:rsidR="00BC3932">
        <w:t>identify an alternate point of contact/respondent if needed</w:t>
      </w:r>
      <w:r w:rsidR="00C5798F" w:rsidRPr="00AB335B">
        <w:t>. Undeliverable</w:t>
      </w:r>
      <w:r w:rsidR="00090D7D">
        <w:t xml:space="preserve"> message</w:t>
      </w:r>
      <w:r w:rsidR="00C5798F" w:rsidRPr="00AB335B">
        <w:t xml:space="preserve">s </w:t>
      </w:r>
      <w:r w:rsidR="00B0773E">
        <w:t>will also</w:t>
      </w:r>
      <w:r w:rsidR="00C5798F" w:rsidRPr="00AB335B">
        <w:t xml:space="preserve"> be monitored and telephone or </w:t>
      </w:r>
      <w:r w:rsidR="00BC3932">
        <w:t>e</w:t>
      </w:r>
      <w:r w:rsidR="00C5798F" w:rsidRPr="00AB335B">
        <w:t>mail will be used to contact those organizations.</w:t>
      </w:r>
    </w:p>
    <w:p w14:paraId="55329523" w14:textId="7A4EF4C9" w:rsidR="00C5798F" w:rsidRPr="00AB335B" w:rsidRDefault="00E22C9E" w:rsidP="00C5798F">
      <w:pPr>
        <w:spacing w:after="240"/>
      </w:pPr>
      <w:r>
        <w:t xml:space="preserve">Respondents will be given four weeks to complete the survey. </w:t>
      </w:r>
      <w:r w:rsidR="00C5798F" w:rsidRPr="00AB335B">
        <w:t xml:space="preserve">Response rates will be monitored </w:t>
      </w:r>
      <w:r w:rsidR="00B52309">
        <w:t>weekly</w:t>
      </w:r>
      <w:r w:rsidR="00C5798F" w:rsidRPr="00AB335B">
        <w:t xml:space="preserve"> to determine if that period is sufficient or if additional time or follow-up would enhance the response rate.</w:t>
      </w:r>
      <w:r w:rsidR="00B52309">
        <w:t xml:space="preserve"> </w:t>
      </w:r>
      <w:r w:rsidR="00C5798F" w:rsidRPr="00AB335B">
        <w:t xml:space="preserve">Respondents will be sent a “thank you” </w:t>
      </w:r>
      <w:r w:rsidR="00B52309">
        <w:t xml:space="preserve">email message (Appendix </w:t>
      </w:r>
      <w:r w:rsidR="005134AD">
        <w:t>B</w:t>
      </w:r>
      <w:r w:rsidR="00B52309">
        <w:t xml:space="preserve">.5) </w:t>
      </w:r>
      <w:r w:rsidR="00C5798F" w:rsidRPr="00AB335B">
        <w:t>for their participation</w:t>
      </w:r>
      <w:r w:rsidR="00B52309">
        <w:t xml:space="preserve"> in the survey</w:t>
      </w:r>
      <w:r w:rsidR="00C5798F" w:rsidRPr="00AB335B">
        <w:t xml:space="preserve">. </w:t>
      </w:r>
    </w:p>
    <w:p w14:paraId="10904000" w14:textId="33459CE6" w:rsidR="00C5798F" w:rsidRPr="00AB335B" w:rsidRDefault="00E544BB" w:rsidP="00C5798F">
      <w:pPr>
        <w:spacing w:after="240"/>
      </w:pPr>
      <w:r>
        <w:t xml:space="preserve">A </w:t>
      </w:r>
      <w:r w:rsidRPr="00AB335B">
        <w:t>similar survey administration procedure will be followed</w:t>
      </w:r>
      <w:r>
        <w:t xml:space="preserve"> f</w:t>
      </w:r>
      <w:r w:rsidR="0039182B">
        <w:t>or the</w:t>
      </w:r>
      <w:r w:rsidR="00C5798F" w:rsidRPr="00AB335B">
        <w:t xml:space="preserve"> </w:t>
      </w:r>
      <w:r>
        <w:t>second and third round of surveys in 2017 and 2018.</w:t>
      </w:r>
      <w:r w:rsidR="00C5798F" w:rsidRPr="00AB335B">
        <w:t xml:space="preserve"> </w:t>
      </w:r>
      <w:r>
        <w:t xml:space="preserve"> </w:t>
      </w:r>
      <w:r w:rsidR="00C5798F" w:rsidRPr="00AB335B">
        <w:t>To facilitate responses and minimize burden</w:t>
      </w:r>
      <w:r>
        <w:t xml:space="preserve"> for respondents who completed the survey in a previous year</w:t>
      </w:r>
      <w:r w:rsidR="00C5798F" w:rsidRPr="00AB335B">
        <w:t xml:space="preserve">, the </w:t>
      </w:r>
      <w:r>
        <w:t>r</w:t>
      </w:r>
      <w:r w:rsidR="00C5798F">
        <w:t xml:space="preserve">ound 2 </w:t>
      </w:r>
      <w:r>
        <w:t xml:space="preserve">and 3 </w:t>
      </w:r>
      <w:r w:rsidR="00C5798F" w:rsidRPr="00AB335B">
        <w:t xml:space="preserve">surveys will be customized </w:t>
      </w:r>
      <w:r w:rsidR="00C5798F">
        <w:t>to include the information th</w:t>
      </w:r>
      <w:r>
        <w:t xml:space="preserve">at survey respondents </w:t>
      </w:r>
      <w:r w:rsidR="00C5798F" w:rsidRPr="00AB335B">
        <w:t xml:space="preserve">provided in the </w:t>
      </w:r>
      <w:r>
        <w:t>previous r</w:t>
      </w:r>
      <w:r w:rsidR="00C5798F">
        <w:t xml:space="preserve">ound </w:t>
      </w:r>
      <w:r>
        <w:t>of</w:t>
      </w:r>
      <w:r w:rsidR="00C5798F" w:rsidRPr="00AB335B">
        <w:t xml:space="preserve"> survey</w:t>
      </w:r>
      <w:r>
        <w:t>s</w:t>
      </w:r>
      <w:r w:rsidR="00C5798F" w:rsidRPr="00AB335B">
        <w:t xml:space="preserve">, with a request </w:t>
      </w:r>
      <w:r>
        <w:t xml:space="preserve">for respondents </w:t>
      </w:r>
      <w:r w:rsidR="00C5798F" w:rsidRPr="00AB335B">
        <w:t xml:space="preserve">to report </w:t>
      </w:r>
      <w:r>
        <w:t xml:space="preserve">updates or </w:t>
      </w:r>
      <w:r w:rsidR="00C5798F" w:rsidRPr="00AB335B">
        <w:t>changes since the</w:t>
      </w:r>
      <w:r>
        <w:t>ir</w:t>
      </w:r>
      <w:r w:rsidR="00C5798F" w:rsidRPr="00AB335B">
        <w:t xml:space="preserve"> earlier response.</w:t>
      </w:r>
    </w:p>
    <w:p w14:paraId="718C9BA1" w14:textId="77777777" w:rsidR="00ED2BAC" w:rsidRPr="00021EC2" w:rsidRDefault="00775E0D" w:rsidP="00C5735F">
      <w:pPr>
        <w:pStyle w:val="Heading2"/>
      </w:pPr>
      <w:bookmarkStart w:id="4" w:name="_Toc436747114"/>
      <w:r w:rsidRPr="00021EC2">
        <w:t xml:space="preserve">B3. </w:t>
      </w:r>
      <w:r w:rsidR="00ED2BAC" w:rsidRPr="00021EC2">
        <w:t>Methods to Maximize Response Rates and Deal with Issues of Non-Response</w:t>
      </w:r>
      <w:bookmarkEnd w:id="4"/>
    </w:p>
    <w:p w14:paraId="22AE04E7" w14:textId="4120AAC1" w:rsidR="00520F5C" w:rsidRPr="00AB335B" w:rsidRDefault="00520F5C" w:rsidP="00520F5C">
      <w:pPr>
        <w:spacing w:after="240"/>
      </w:pPr>
      <w:r>
        <w:t>T</w:t>
      </w:r>
      <w:r w:rsidRPr="00AB335B">
        <w:t xml:space="preserve">he survey administration focuses on establishing trust, </w:t>
      </w:r>
      <w:r w:rsidR="00EE0F03">
        <w:t>communicating</w:t>
      </w:r>
      <w:r w:rsidR="00EE0F03" w:rsidRPr="00AB335B">
        <w:t xml:space="preserve"> </w:t>
      </w:r>
      <w:r w:rsidRPr="00AB335B">
        <w:t xml:space="preserve">benefits, and </w:t>
      </w:r>
      <w:r w:rsidR="00EE0F03">
        <w:t>limiting</w:t>
      </w:r>
      <w:r w:rsidR="00EE0F03" w:rsidRPr="00AB335B">
        <w:t xml:space="preserve"> </w:t>
      </w:r>
      <w:r w:rsidRPr="00AB335B">
        <w:t>costs of survey participation. The messages to respondents will emphasize trust by communicating the legitimacy and importance of the data collection and the information they provide</w:t>
      </w:r>
      <w:r w:rsidR="00DF2FEF">
        <w:t>.</w:t>
      </w:r>
      <w:r w:rsidRPr="00AB335B">
        <w:t xml:space="preserve"> Benefits of participation will be</w:t>
      </w:r>
      <w:r w:rsidR="00EE0F03">
        <w:t xml:space="preserve"> emphasized</w:t>
      </w:r>
      <w:r w:rsidRPr="00AB335B">
        <w:t xml:space="preserve"> by collecting information </w:t>
      </w:r>
      <w:r w:rsidR="00EE0F03">
        <w:t xml:space="preserve">that is central to the </w:t>
      </w:r>
      <w:r w:rsidR="00D83F4A">
        <w:t xml:space="preserve">development, </w:t>
      </w:r>
      <w:r w:rsidR="00EE0F03">
        <w:t xml:space="preserve">implementation, and oversight of PFS </w:t>
      </w:r>
      <w:r w:rsidR="00D83F4A">
        <w:t>activities</w:t>
      </w:r>
      <w:r w:rsidR="00EE0F03">
        <w:t xml:space="preserve"> that can ultimately benefit </w:t>
      </w:r>
      <w:r w:rsidR="00DF2FEF">
        <w:t>all PFS</w:t>
      </w:r>
      <w:r w:rsidR="00EE0F03">
        <w:t xml:space="preserve"> practitioners and policy makers. </w:t>
      </w:r>
      <w:r w:rsidRPr="00AB335B">
        <w:t xml:space="preserve"> Costs of participation will be minimized by making the survey </w:t>
      </w:r>
      <w:r w:rsidR="00EE0F03">
        <w:t>readily available in multiple formats (e.g., online and hard copy) as well as</w:t>
      </w:r>
      <w:r w:rsidR="00BC3932">
        <w:t xml:space="preserve"> </w:t>
      </w:r>
      <w:r w:rsidRPr="00AB335B">
        <w:t xml:space="preserve">easy to complete (short, well-designed, </w:t>
      </w:r>
      <w:r w:rsidR="00BC3932">
        <w:t>and program</w:t>
      </w:r>
      <w:r w:rsidR="00DF2FEF">
        <w:t>m</w:t>
      </w:r>
      <w:r w:rsidR="00BC3932">
        <w:t>ed</w:t>
      </w:r>
      <w:r w:rsidRPr="00AB335B">
        <w:t xml:space="preserve"> for online submission)</w:t>
      </w:r>
      <w:r w:rsidR="00EE0F03">
        <w:t>.</w:t>
      </w:r>
      <w:r w:rsidRPr="00AB335B">
        <w:t xml:space="preserve"> </w:t>
      </w:r>
    </w:p>
    <w:p w14:paraId="6FF58B9D" w14:textId="483612C3" w:rsidR="00E45D52" w:rsidRPr="00021EC2" w:rsidRDefault="00E45D52" w:rsidP="00E45D52">
      <w:pPr>
        <w:rPr>
          <w:bCs/>
        </w:rPr>
      </w:pPr>
      <w:r w:rsidRPr="00021EC2">
        <w:t xml:space="preserve">The </w:t>
      </w:r>
      <w:r w:rsidR="00C90FE6" w:rsidRPr="00021EC2">
        <w:t xml:space="preserve">SIF PFS </w:t>
      </w:r>
      <w:r w:rsidR="00536864">
        <w:t xml:space="preserve">Program </w:t>
      </w:r>
      <w:r w:rsidR="00C90FE6" w:rsidRPr="00021EC2">
        <w:t>Process Evaluation will employ</w:t>
      </w:r>
      <w:r w:rsidRPr="00021EC2">
        <w:t xml:space="preserve"> a number of strategies to maximize response rates while maintaining cost control. Survey data col</w:t>
      </w:r>
      <w:r w:rsidR="00C90FE6" w:rsidRPr="00021EC2">
        <w:t xml:space="preserve">lection </w:t>
      </w:r>
      <w:r w:rsidR="00090D7D">
        <w:t>will be conducted</w:t>
      </w:r>
      <w:r w:rsidR="00090D7D" w:rsidRPr="00021EC2">
        <w:t xml:space="preserve"> </w:t>
      </w:r>
      <w:r w:rsidR="00C90FE6" w:rsidRPr="00021EC2">
        <w:t>primaril</w:t>
      </w:r>
      <w:r w:rsidR="00D47DE0" w:rsidRPr="00021EC2">
        <w:t xml:space="preserve">y </w:t>
      </w:r>
      <w:r w:rsidR="00EE0F03">
        <w:t>online</w:t>
      </w:r>
      <w:r w:rsidRPr="00021EC2">
        <w:t>, which</w:t>
      </w:r>
      <w:r w:rsidR="00090D7D">
        <w:t xml:space="preserve"> will</w:t>
      </w:r>
      <w:r w:rsidRPr="00021EC2">
        <w:t xml:space="preserve"> reduce data collection costs and minimize respondent burden. </w:t>
      </w:r>
      <w:r w:rsidRPr="00021EC2">
        <w:rPr>
          <w:bCs/>
        </w:rPr>
        <w:t xml:space="preserve">Once the appropriate respondents have been identified, each respondent will be emailed an individualized survey link and will have </w:t>
      </w:r>
      <w:r w:rsidR="00E544BB">
        <w:rPr>
          <w:bCs/>
        </w:rPr>
        <w:t>up to four</w:t>
      </w:r>
      <w:r w:rsidRPr="00021EC2">
        <w:rPr>
          <w:bCs/>
        </w:rPr>
        <w:t xml:space="preserve"> weeks to</w:t>
      </w:r>
      <w:r w:rsidR="00EE0F03">
        <w:rPr>
          <w:bCs/>
        </w:rPr>
        <w:t xml:space="preserve"> complete</w:t>
      </w:r>
      <w:r w:rsidRPr="00021EC2">
        <w:rPr>
          <w:bCs/>
        </w:rPr>
        <w:t xml:space="preserve"> the survey at their convenience. Follow</w:t>
      </w:r>
      <w:r w:rsidR="00090D7D">
        <w:rPr>
          <w:bCs/>
        </w:rPr>
        <w:t>-</w:t>
      </w:r>
      <w:r w:rsidRPr="00021EC2">
        <w:rPr>
          <w:bCs/>
        </w:rPr>
        <w:t xml:space="preserve">up email reminders, tailored to non-respondents, will be </w:t>
      </w:r>
      <w:r w:rsidR="00090D7D">
        <w:rPr>
          <w:bCs/>
        </w:rPr>
        <w:t>used</w:t>
      </w:r>
      <w:r w:rsidRPr="00021EC2">
        <w:rPr>
          <w:bCs/>
        </w:rPr>
        <w:t xml:space="preserve">. </w:t>
      </w:r>
      <w:r w:rsidR="00A56804">
        <w:rPr>
          <w:bCs/>
        </w:rPr>
        <w:t xml:space="preserve"> </w:t>
      </w:r>
      <w:r w:rsidRPr="00021EC2">
        <w:rPr>
          <w:bCs/>
        </w:rPr>
        <w:t xml:space="preserve">We assume that all respondents will have work email addresses and access to the </w:t>
      </w:r>
      <w:r w:rsidR="00457CBC">
        <w:rPr>
          <w:bCs/>
        </w:rPr>
        <w:t>I</w:t>
      </w:r>
      <w:r w:rsidRPr="00021EC2">
        <w:rPr>
          <w:bCs/>
        </w:rPr>
        <w:t xml:space="preserve">nternet. </w:t>
      </w:r>
      <w:r w:rsidR="00A56804">
        <w:rPr>
          <w:bCs/>
        </w:rPr>
        <w:t xml:space="preserve"> </w:t>
      </w:r>
      <w:r w:rsidRPr="00021EC2">
        <w:rPr>
          <w:bCs/>
        </w:rPr>
        <w:t>Reminders</w:t>
      </w:r>
      <w:r w:rsidR="0005710D" w:rsidRPr="0005710D">
        <w:rPr>
          <w:bCs/>
        </w:rPr>
        <w:t xml:space="preserve"> </w:t>
      </w:r>
      <w:r w:rsidR="0005710D">
        <w:rPr>
          <w:bCs/>
        </w:rPr>
        <w:t xml:space="preserve">will be sent to </w:t>
      </w:r>
      <w:r w:rsidR="0005710D">
        <w:rPr>
          <w:bCs/>
        </w:rPr>
        <w:lastRenderedPageBreak/>
        <w:t>non</w:t>
      </w:r>
      <w:r w:rsidR="0005710D" w:rsidRPr="00021EC2">
        <w:rPr>
          <w:bCs/>
        </w:rPr>
        <w:t>respondents</w:t>
      </w:r>
      <w:r w:rsidRPr="00021EC2">
        <w:rPr>
          <w:bCs/>
        </w:rPr>
        <w:t xml:space="preserve">, in the form of a </w:t>
      </w:r>
      <w:r w:rsidR="00A56804">
        <w:rPr>
          <w:bCs/>
        </w:rPr>
        <w:t xml:space="preserve">telephone </w:t>
      </w:r>
      <w:r w:rsidRPr="00021EC2">
        <w:rPr>
          <w:bCs/>
        </w:rPr>
        <w:t xml:space="preserve">call or personalized </w:t>
      </w:r>
      <w:r w:rsidR="00A56804">
        <w:rPr>
          <w:bCs/>
        </w:rPr>
        <w:t xml:space="preserve">email </w:t>
      </w:r>
      <w:r w:rsidRPr="00021EC2">
        <w:rPr>
          <w:bCs/>
        </w:rPr>
        <w:t xml:space="preserve">outreach from </w:t>
      </w:r>
      <w:r w:rsidR="00E544BB">
        <w:rPr>
          <w:bCs/>
        </w:rPr>
        <w:t xml:space="preserve">the </w:t>
      </w:r>
      <w:r w:rsidR="00D47DE0" w:rsidRPr="00021EC2">
        <w:rPr>
          <w:bCs/>
        </w:rPr>
        <w:t xml:space="preserve">study </w:t>
      </w:r>
      <w:r w:rsidR="00E544BB">
        <w:rPr>
          <w:bCs/>
        </w:rPr>
        <w:t>team</w:t>
      </w:r>
      <w:r w:rsidR="006F0B55">
        <w:rPr>
          <w:bCs/>
        </w:rPr>
        <w:t xml:space="preserve">. </w:t>
      </w:r>
      <w:r w:rsidRPr="00021EC2">
        <w:rPr>
          <w:bCs/>
        </w:rPr>
        <w:t>The surveys a</w:t>
      </w:r>
      <w:r w:rsidR="00021EC2" w:rsidRPr="00021EC2">
        <w:rPr>
          <w:bCs/>
        </w:rPr>
        <w:t>re expected to take on average 2</w:t>
      </w:r>
      <w:r w:rsidRPr="00021EC2">
        <w:rPr>
          <w:bCs/>
        </w:rPr>
        <w:t>0 minutes or less per respondent.</w:t>
      </w:r>
    </w:p>
    <w:p w14:paraId="0F21D30A" w14:textId="6846E7CA" w:rsidR="00E45D52" w:rsidRDefault="00E45D52" w:rsidP="00E45D52">
      <w:r w:rsidRPr="00FF7FF0">
        <w:t xml:space="preserve">Survey nonresponse will be handled in accordance with OMB’s Standards and Guidelines for Statistical Surveys, particularly sections 1.3 and 3.2. </w:t>
      </w:r>
      <w:r w:rsidR="00314959">
        <w:t>Unit n</w:t>
      </w:r>
      <w:r w:rsidR="00314959" w:rsidRPr="00AB335B">
        <w:t xml:space="preserve">on-response adjustments will be useful to ensure that weighted totals match population totals for </w:t>
      </w:r>
      <w:r w:rsidR="00314959">
        <w:t>both the grantee and subrecipient/</w:t>
      </w:r>
      <w:r w:rsidR="00DB2FD7">
        <w:t>service recipient</w:t>
      </w:r>
      <w:r w:rsidR="00314959">
        <w:t xml:space="preserve"> </w:t>
      </w:r>
      <w:r w:rsidR="00314959" w:rsidRPr="00AB335B">
        <w:t xml:space="preserve">groups. </w:t>
      </w:r>
      <w:r w:rsidRPr="00FF7FF0">
        <w:t xml:space="preserve">To assess the impact of nonresponse bias in this study, we will conduct statistical analysis to identify any characteristics of respondents that are correlated with response. </w:t>
      </w:r>
      <w:r w:rsidR="00314959">
        <w:t xml:space="preserve">If, as anticipated, the </w:t>
      </w:r>
      <w:r w:rsidR="00314959" w:rsidRPr="00AB335B">
        <w:t>levels of non-response</w:t>
      </w:r>
      <w:r w:rsidR="00314959">
        <w:t xml:space="preserve"> are low</w:t>
      </w:r>
      <w:r w:rsidR="00314959" w:rsidRPr="00AB335B">
        <w:t xml:space="preserve">, the non-response adjustment will be a simple </w:t>
      </w:r>
      <w:r w:rsidR="00DB56C1">
        <w:t>inverse probability weight</w:t>
      </w:r>
      <w:r w:rsidR="00314959" w:rsidRPr="00AB335B">
        <w:t xml:space="preserve"> adjustment so that the sums of the weights attached to responding records match the total number of records in the population weight.</w:t>
      </w:r>
      <w:r w:rsidR="00DB56C1">
        <w:t xml:space="preserve"> </w:t>
      </w:r>
      <w:r w:rsidR="00DB56C1" w:rsidRPr="00AB335B">
        <w:t xml:space="preserve">Specifically, the non-response weight would be </w:t>
      </w:r>
      <m:oMath>
        <m:r>
          <w:rPr>
            <w:rFonts w:ascii="Cambria Math" w:hAnsi="Cambria Math"/>
          </w:rPr>
          <m:t>w=N/</m:t>
        </m:r>
        <m:sSub>
          <m:sSubPr>
            <m:ctrlPr>
              <w:rPr>
                <w:rFonts w:ascii="Cambria Math" w:hAnsi="Cambria Math"/>
                <w:i/>
              </w:rPr>
            </m:ctrlPr>
          </m:sSubPr>
          <m:e>
            <m:r>
              <w:rPr>
                <w:rFonts w:ascii="Cambria Math" w:hAnsi="Cambria Math"/>
              </w:rPr>
              <m:t>n</m:t>
            </m:r>
          </m:e>
          <m:sub>
            <m:r>
              <w:rPr>
                <w:rFonts w:ascii="Cambria Math" w:hAnsi="Cambria Math"/>
              </w:rPr>
              <m:t>C</m:t>
            </m:r>
          </m:sub>
        </m:sSub>
      </m:oMath>
      <w:r w:rsidR="00DB56C1" w:rsidRPr="00AB335B">
        <w:t xml:space="preserve">, where </w:t>
      </w:r>
      <m:oMath>
        <m:r>
          <w:rPr>
            <w:rFonts w:ascii="Cambria Math" w:hAnsi="Cambria Math"/>
          </w:rPr>
          <m:t>N</m:t>
        </m:r>
      </m:oMath>
      <w:r w:rsidR="00DB56C1" w:rsidRPr="009349D0">
        <w:t xml:space="preserve"> is the total pop</w:t>
      </w:r>
      <w:r w:rsidR="001A6282">
        <w:t>ulation size for the group (</w:t>
      </w:r>
      <w:r w:rsidR="00DB56C1" w:rsidRPr="009349D0">
        <w:t xml:space="preserve">grantees or </w:t>
      </w:r>
      <w:r w:rsidR="00DB56C1">
        <w:t>subrecipients/</w:t>
      </w:r>
      <w:r w:rsidR="00DB2FD7">
        <w:t>service recipient</w:t>
      </w:r>
      <w:r w:rsidR="00DB56C1">
        <w:t>s</w:t>
      </w:r>
      <w:r w:rsidR="00DB56C1" w:rsidRPr="009349D0">
        <w:t xml:space="preserve">) and </w:t>
      </w:r>
      <m:oMath>
        <m:sSub>
          <m:sSubPr>
            <m:ctrlPr>
              <w:rPr>
                <w:rFonts w:ascii="Cambria Math" w:hAnsi="Cambria Math"/>
                <w:i/>
              </w:rPr>
            </m:ctrlPr>
          </m:sSubPr>
          <m:e>
            <m:r>
              <w:rPr>
                <w:rFonts w:ascii="Cambria Math" w:hAnsi="Cambria Math"/>
              </w:rPr>
              <m:t>n</m:t>
            </m:r>
          </m:e>
          <m:sub>
            <m:r>
              <w:rPr>
                <w:rFonts w:ascii="Cambria Math" w:hAnsi="Cambria Math"/>
              </w:rPr>
              <m:t>C</m:t>
            </m:r>
          </m:sub>
        </m:sSub>
      </m:oMath>
      <w:r w:rsidR="00DB56C1" w:rsidRPr="00AB335B">
        <w:t xml:space="preserve"> is the number of responding organizations in that group. </w:t>
      </w:r>
      <w:r w:rsidRPr="00FF7FF0">
        <w:t xml:space="preserve">Using a logistic regression model, we will create inverse probability weights for each respondent to adjust </w:t>
      </w:r>
      <w:r w:rsidR="00DA5906" w:rsidRPr="00FF7FF0">
        <w:t>the results for nonrespondents.</w:t>
      </w:r>
      <w:r w:rsidR="00793D8A">
        <w:t xml:space="preserve"> We will also conduct a sensitivity analysis to determine the level of variation between the unadjusted results and the weighted results.  </w:t>
      </w:r>
    </w:p>
    <w:p w14:paraId="308A6144" w14:textId="41C7C72E" w:rsidR="00DB6B5A" w:rsidRDefault="00DB6B5A" w:rsidP="00DB6B5A">
      <w:pPr>
        <w:spacing w:after="240"/>
      </w:pPr>
      <w:r w:rsidRPr="00AB335B">
        <w:t>In addition to handling uni</w:t>
      </w:r>
      <w:r w:rsidR="00314959">
        <w:t>t non-response</w:t>
      </w:r>
      <w:r w:rsidRPr="00AB335B">
        <w:t xml:space="preserve">, item non-response will </w:t>
      </w:r>
      <w:r>
        <w:t xml:space="preserve">also </w:t>
      </w:r>
      <w:r w:rsidRPr="00AB335B">
        <w:t xml:space="preserve">be investigated. The first step will be to identify items with high proportions of missing responses. Data drawn from such items may be </w:t>
      </w:r>
      <w:r>
        <w:t>excluded from the</w:t>
      </w:r>
      <w:r w:rsidRPr="00AB335B">
        <w:t xml:space="preserve"> analysis. Alternatively, for key survey items with high missing rates, the analysis </w:t>
      </w:r>
      <w:r>
        <w:t>will</w:t>
      </w:r>
      <w:r w:rsidRPr="00AB335B">
        <w:t xml:space="preserve"> explore whether there are any predictors, in terms of other survey responses or auxiliary/frame data that could indicate differences in who chooses to respond to these questions. </w:t>
      </w:r>
    </w:p>
    <w:p w14:paraId="5A45B66D" w14:textId="77777777" w:rsidR="00ED2BAC" w:rsidRPr="003D1AC7" w:rsidRDefault="00A162AA" w:rsidP="00C5735F">
      <w:pPr>
        <w:pStyle w:val="Heading2"/>
      </w:pPr>
      <w:bookmarkStart w:id="5" w:name="_Toc436747115"/>
      <w:r w:rsidRPr="003D1AC7">
        <w:t xml:space="preserve">B4. </w:t>
      </w:r>
      <w:r w:rsidR="00ED2BAC" w:rsidRPr="003D1AC7">
        <w:t>Tests of Procedures o</w:t>
      </w:r>
      <w:r w:rsidR="002B510A" w:rsidRPr="003D1AC7">
        <w:t>r</w:t>
      </w:r>
      <w:r w:rsidR="00ED2BAC" w:rsidRPr="003D1AC7">
        <w:t xml:space="preserve"> Methods </w:t>
      </w:r>
      <w:r w:rsidR="002B510A" w:rsidRPr="003D1AC7">
        <w:t>to Be Used</w:t>
      </w:r>
      <w:bookmarkEnd w:id="5"/>
    </w:p>
    <w:p w14:paraId="49E782AA" w14:textId="58AADA21" w:rsidR="00B40CF0" w:rsidRDefault="0053702F" w:rsidP="00B40CF0">
      <w:pPr>
        <w:pStyle w:val="BodyText"/>
      </w:pPr>
      <w:r w:rsidRPr="003D1AC7">
        <w:t xml:space="preserve">A pilot test of the </w:t>
      </w:r>
      <w:r w:rsidR="003D1AC7" w:rsidRPr="003D1AC7">
        <w:t xml:space="preserve">grantee </w:t>
      </w:r>
      <w:r w:rsidRPr="003D1AC7">
        <w:t>survey w</w:t>
      </w:r>
      <w:r w:rsidR="000D628D">
        <w:t>as</w:t>
      </w:r>
      <w:r w:rsidRPr="003D1AC7">
        <w:t xml:space="preserve"> conducted </w:t>
      </w:r>
      <w:r w:rsidR="003D1AC7" w:rsidRPr="003D1AC7">
        <w:t xml:space="preserve">in </w:t>
      </w:r>
      <w:r w:rsidR="007B6509">
        <w:t xml:space="preserve">late </w:t>
      </w:r>
      <w:r w:rsidR="001427D8">
        <w:t>January</w:t>
      </w:r>
      <w:r w:rsidR="003D1AC7" w:rsidRPr="003D1AC7">
        <w:t xml:space="preserve"> 201</w:t>
      </w:r>
      <w:r w:rsidR="008A1C79">
        <w:t>6</w:t>
      </w:r>
      <w:r w:rsidR="003D1AC7">
        <w:t xml:space="preserve"> </w:t>
      </w:r>
      <w:r w:rsidRPr="003D1AC7">
        <w:t xml:space="preserve">with </w:t>
      </w:r>
      <w:r w:rsidR="00DB2FD7">
        <w:t>two</w:t>
      </w:r>
      <w:r w:rsidR="0005710D" w:rsidRPr="003D1AC7">
        <w:t xml:space="preserve"> </w:t>
      </w:r>
      <w:r w:rsidRPr="003D1AC7">
        <w:t>grantee</w:t>
      </w:r>
      <w:r w:rsidR="007E4955" w:rsidRPr="003D1AC7">
        <w:t>s</w:t>
      </w:r>
      <w:r w:rsidR="003D1AC7" w:rsidRPr="003D1AC7">
        <w:t>, one of each</w:t>
      </w:r>
      <w:r w:rsidR="00922603">
        <w:t xml:space="preserve"> grant</w:t>
      </w:r>
      <w:r w:rsidR="003D1AC7" w:rsidRPr="003D1AC7">
        <w:t xml:space="preserve"> type </w:t>
      </w:r>
      <w:r w:rsidR="003D1AC7">
        <w:t>funded by CNCS</w:t>
      </w:r>
      <w:r w:rsidR="001427D8">
        <w:t xml:space="preserve"> (feasibility </w:t>
      </w:r>
      <w:r w:rsidR="00DB2FD7">
        <w:t>assessment</w:t>
      </w:r>
      <w:r w:rsidR="001427D8">
        <w:t>/capacity building and transaction s</w:t>
      </w:r>
      <w:r w:rsidR="003D1AC7" w:rsidRPr="003D1AC7">
        <w:t>tructuring)</w:t>
      </w:r>
      <w:r w:rsidR="003D1AC7">
        <w:t>. At the same time, a</w:t>
      </w:r>
      <w:r w:rsidR="003D1AC7" w:rsidRPr="003D1AC7">
        <w:t xml:space="preserve"> pilot test </w:t>
      </w:r>
      <w:r w:rsidR="001427D8">
        <w:t>of the subrecipient/</w:t>
      </w:r>
      <w:r w:rsidR="00DB2FD7">
        <w:t xml:space="preserve">service recipient </w:t>
      </w:r>
      <w:r w:rsidR="001427D8">
        <w:t xml:space="preserve">survey </w:t>
      </w:r>
      <w:r w:rsidR="003D1AC7" w:rsidRPr="003D1AC7">
        <w:t>w</w:t>
      </w:r>
      <w:r w:rsidR="000D628D">
        <w:t>as</w:t>
      </w:r>
      <w:r w:rsidR="003D1AC7" w:rsidRPr="003D1AC7">
        <w:t xml:space="preserve"> conducted with </w:t>
      </w:r>
      <w:r w:rsidR="00DB2FD7">
        <w:t>four</w:t>
      </w:r>
      <w:r w:rsidR="00B40CF0">
        <w:t xml:space="preserve"> </w:t>
      </w:r>
      <w:r w:rsidR="003D1AC7" w:rsidRPr="003D1AC7">
        <w:t>subrecipients</w:t>
      </w:r>
      <w:r w:rsidR="00DB2FD7">
        <w:t>/service recipients</w:t>
      </w:r>
      <w:r w:rsidR="003D1AC7" w:rsidRPr="003D1AC7">
        <w:t xml:space="preserve">.  </w:t>
      </w:r>
      <w:r w:rsidR="00B40CF0">
        <w:t>Pilot test r</w:t>
      </w:r>
      <w:r w:rsidR="00B40CF0" w:rsidRPr="004F2C4B">
        <w:t xml:space="preserve">espondents were asked to comment on the </w:t>
      </w:r>
      <w:r w:rsidR="00B40CF0">
        <w:t xml:space="preserve">content and </w:t>
      </w:r>
      <w:r w:rsidR="00B40CF0" w:rsidRPr="004F2C4B">
        <w:t xml:space="preserve">clarity of the </w:t>
      </w:r>
      <w:r w:rsidR="00B40CF0">
        <w:t xml:space="preserve">survey </w:t>
      </w:r>
      <w:r w:rsidR="00B40CF0" w:rsidRPr="004F2C4B">
        <w:t>questions and</w:t>
      </w:r>
      <w:r w:rsidR="00B40CF0">
        <w:t xml:space="preserve"> to</w:t>
      </w:r>
      <w:r w:rsidR="00B40CF0" w:rsidRPr="004F2C4B">
        <w:t xml:space="preserve"> identify any problems or issues with the wording or ordering of questions. Respondents were also asked individualized follow-up questions about any missing, unclear or inconsistent responses they provided in their surveys</w:t>
      </w:r>
      <w:r w:rsidR="00B40CF0">
        <w:t xml:space="preserve"> and</w:t>
      </w:r>
      <w:r w:rsidR="00B40CF0">
        <w:rPr>
          <w:rFonts w:eastAsiaTheme="minorHAnsi"/>
        </w:rPr>
        <w:t xml:space="preserve"> the estimated time it took them to complete the surveys</w:t>
      </w:r>
      <w:r w:rsidR="00B40CF0" w:rsidRPr="003D1AC7">
        <w:rPr>
          <w:rFonts w:eastAsiaTheme="minorHAnsi"/>
        </w:rPr>
        <w:t>.</w:t>
      </w:r>
      <w:r w:rsidR="00B40CF0">
        <w:rPr>
          <w:rFonts w:eastAsiaTheme="minorHAnsi"/>
        </w:rPr>
        <w:t xml:space="preserve"> </w:t>
      </w:r>
    </w:p>
    <w:p w14:paraId="63EF8C07" w14:textId="60E30229" w:rsidR="0084720F" w:rsidRPr="0084720F" w:rsidRDefault="00B40CF0" w:rsidP="0084720F">
      <w:pPr>
        <w:pStyle w:val="BodyText"/>
      </w:pPr>
      <w:r w:rsidRPr="0084720F">
        <w:t xml:space="preserve">Overall, respondents indicated that the survey </w:t>
      </w:r>
      <w:r w:rsidR="0084720F" w:rsidRPr="0084720F">
        <w:t xml:space="preserve">format was easy to follow and the </w:t>
      </w:r>
      <w:r w:rsidRPr="0084720F">
        <w:t xml:space="preserve">questions </w:t>
      </w:r>
      <w:r w:rsidR="0084720F" w:rsidRPr="0084720F">
        <w:t xml:space="preserve">were appropriate for their organization. </w:t>
      </w:r>
      <w:r w:rsidR="00B60DAD">
        <w:t xml:space="preserve"> One of the general</w:t>
      </w:r>
      <w:r w:rsidR="0084720F" w:rsidRPr="0084720F">
        <w:t xml:space="preserve"> suggestions </w:t>
      </w:r>
      <w:r w:rsidR="00095EC3">
        <w:t xml:space="preserve">made </w:t>
      </w:r>
      <w:r w:rsidR="00B60DAD">
        <w:t>was to</w:t>
      </w:r>
      <w:r w:rsidR="0084720F" w:rsidRPr="0084720F">
        <w:t xml:space="preserve"> provid</w:t>
      </w:r>
      <w:r w:rsidR="00B60DAD">
        <w:t>e</w:t>
      </w:r>
      <w:r w:rsidR="0084720F" w:rsidRPr="0084720F">
        <w:t xml:space="preserve"> a list of items (</w:t>
      </w:r>
      <w:r w:rsidR="00B60DAD">
        <w:t xml:space="preserve">e.g., </w:t>
      </w:r>
      <w:r w:rsidR="0084720F" w:rsidRPr="0084720F">
        <w:t>staffing list, timeline) in the survey instructions that were needed to complete specific questions in the surveys</w:t>
      </w:r>
      <w:r w:rsidR="00B60DAD">
        <w:t>.  Respondents reported that knowing beforehand what information was needed for these questions</w:t>
      </w:r>
      <w:r w:rsidR="0084720F" w:rsidRPr="0084720F">
        <w:t xml:space="preserve"> would have reduced the amount of time </w:t>
      </w:r>
      <w:r w:rsidR="00B60DAD">
        <w:t xml:space="preserve">they spent gathering this information or </w:t>
      </w:r>
      <w:r w:rsidR="00095EC3">
        <w:t>obtaining</w:t>
      </w:r>
      <w:r w:rsidR="00B60DAD">
        <w:t xml:space="preserve"> this information from colleagues in their organization.  </w:t>
      </w:r>
      <w:r w:rsidR="0084720F" w:rsidRPr="0084720F">
        <w:t>As a res</w:t>
      </w:r>
      <w:r w:rsidR="00B60DAD">
        <w:t>ult of pilot testing, a list of item</w:t>
      </w:r>
      <w:r w:rsidR="00095EC3">
        <w:t>s</w:t>
      </w:r>
      <w:r w:rsidR="00B60DAD">
        <w:t xml:space="preserve"> needed to answer the survey </w:t>
      </w:r>
      <w:r w:rsidR="00095EC3">
        <w:t xml:space="preserve">questions </w:t>
      </w:r>
      <w:r w:rsidR="00B60DAD">
        <w:t>was added to t</w:t>
      </w:r>
      <w:r w:rsidR="0084720F" w:rsidRPr="0084720F">
        <w:t>he survey instructions.</w:t>
      </w:r>
    </w:p>
    <w:p w14:paraId="050E171A" w14:textId="71399ABD" w:rsidR="00B60DAD" w:rsidRDefault="00B60DAD" w:rsidP="003A2558">
      <w:r>
        <w:t>Respondents also ha</w:t>
      </w:r>
      <w:r w:rsidR="00976BF0">
        <w:t>d</w:t>
      </w:r>
      <w:r>
        <w:t xml:space="preserve"> specific comments </w:t>
      </w:r>
      <w:r w:rsidR="00224615">
        <w:t>on questions, requests</w:t>
      </w:r>
      <w:r>
        <w:t xml:space="preserve"> to clarify certain </w:t>
      </w:r>
      <w:r w:rsidR="00224615">
        <w:t xml:space="preserve">terms, and suggestions to </w:t>
      </w:r>
      <w:r>
        <w:t>add response categories</w:t>
      </w:r>
      <w:r w:rsidR="00224615">
        <w:t xml:space="preserve"> or simplify questions</w:t>
      </w:r>
      <w:r>
        <w:t>.  For example, one of the government subrecipients wasn’t sure how to define their</w:t>
      </w:r>
      <w:r w:rsidRPr="00EC5B0E">
        <w:t xml:space="preserve"> “organization” for the purposes of the survey. </w:t>
      </w:r>
      <w:r w:rsidR="00224615">
        <w:t xml:space="preserve"> </w:t>
      </w:r>
      <w:r w:rsidR="00095EC3">
        <w:t xml:space="preserve">As a result, </w:t>
      </w:r>
      <w:r w:rsidR="00224615">
        <w:t xml:space="preserve">“hover-over” text boxes </w:t>
      </w:r>
      <w:r w:rsidR="00095EC3">
        <w:t xml:space="preserve">were added </w:t>
      </w:r>
      <w:r w:rsidR="00224615">
        <w:t xml:space="preserve">to </w:t>
      </w:r>
      <w:r w:rsidR="00095EC3">
        <w:t xml:space="preserve">clarify or define </w:t>
      </w:r>
      <w:r w:rsidR="00224615">
        <w:t xml:space="preserve">specific terms in both surveys. </w:t>
      </w:r>
      <w:r w:rsidR="00224615" w:rsidRPr="004F2C4B">
        <w:t xml:space="preserve">Additionally, many of the questions asking for </w:t>
      </w:r>
      <w:r w:rsidR="00224615">
        <w:t xml:space="preserve">month and year of project activities </w:t>
      </w:r>
      <w:r w:rsidR="00224615" w:rsidRPr="004F2C4B">
        <w:lastRenderedPageBreak/>
        <w:t xml:space="preserve">were </w:t>
      </w:r>
      <w:r w:rsidR="003A2558">
        <w:t xml:space="preserve">left blank or reported by respondents to be </w:t>
      </w:r>
      <w:r w:rsidR="00224615" w:rsidRPr="004F2C4B">
        <w:t>difficult to answer</w:t>
      </w:r>
      <w:r w:rsidR="00224615">
        <w:t xml:space="preserve"> due to</w:t>
      </w:r>
      <w:r w:rsidR="00224615" w:rsidRPr="004F2C4B">
        <w:t xml:space="preserve"> organizational turnover </w:t>
      </w:r>
      <w:r w:rsidR="00224615">
        <w:t xml:space="preserve">or </w:t>
      </w:r>
      <w:r w:rsidR="003A2558">
        <w:t xml:space="preserve">incomplete records. </w:t>
      </w:r>
      <w:r w:rsidR="00224615" w:rsidRPr="004F2C4B">
        <w:t xml:space="preserve"> As a result</w:t>
      </w:r>
      <w:r w:rsidR="00095EC3">
        <w:t>,</w:t>
      </w:r>
      <w:r w:rsidR="00224615" w:rsidRPr="004F2C4B">
        <w:t xml:space="preserve"> </w:t>
      </w:r>
      <w:r w:rsidR="00224615">
        <w:t xml:space="preserve">whenever possible, </w:t>
      </w:r>
      <w:r w:rsidR="00224615" w:rsidRPr="004F2C4B">
        <w:t>ques</w:t>
      </w:r>
      <w:r w:rsidR="00095EC3">
        <w:t xml:space="preserve">tions asking for specific month and </w:t>
      </w:r>
      <w:r w:rsidR="00224615" w:rsidRPr="004F2C4B">
        <w:t>year responses were deleted or simplified to ask whether an event had oc</w:t>
      </w:r>
      <w:r w:rsidR="00095EC3">
        <w:t xml:space="preserve">curred, and if so was it before or </w:t>
      </w:r>
      <w:r w:rsidR="00224615" w:rsidRPr="004F2C4B">
        <w:t xml:space="preserve">after involvement in SIF PFS program. </w:t>
      </w:r>
    </w:p>
    <w:p w14:paraId="3D95116F" w14:textId="7A59E573" w:rsidR="00B60DAD" w:rsidRPr="004F2C4B" w:rsidRDefault="00095EC3" w:rsidP="00B60DAD">
      <w:pPr>
        <w:pStyle w:val="BodyText"/>
      </w:pPr>
      <w:r>
        <w:t>R</w:t>
      </w:r>
      <w:r w:rsidR="00B60DAD" w:rsidRPr="004F2C4B">
        <w:t xml:space="preserve">espondents said </w:t>
      </w:r>
      <w:r>
        <w:t xml:space="preserve">specific questions about </w:t>
      </w:r>
      <w:r w:rsidRPr="004F2C4B">
        <w:t>the organization’s budget (both overall and share of budget allocated to PFS activities</w:t>
      </w:r>
      <w:r>
        <w:t xml:space="preserve">) </w:t>
      </w:r>
      <w:r w:rsidR="00B60DAD" w:rsidRPr="004F2C4B">
        <w:t>were the most difficult and tim</w:t>
      </w:r>
      <w:r>
        <w:t xml:space="preserve">e-consuming to answer. </w:t>
      </w:r>
      <w:r w:rsidR="00B60DAD" w:rsidRPr="004F2C4B">
        <w:t xml:space="preserve"> </w:t>
      </w:r>
      <w:r w:rsidR="003A2558">
        <w:t>The</w:t>
      </w:r>
      <w:r w:rsidR="00976BF0">
        <w:t>se</w:t>
      </w:r>
      <w:r w:rsidR="003A2558">
        <w:t xml:space="preserve"> budget questions were intended to indicate organization size and commitment of resources to PFS</w:t>
      </w:r>
      <w:r>
        <w:t>.  However, these questions</w:t>
      </w:r>
      <w:r w:rsidR="003A2558">
        <w:t xml:space="preserve"> </w:t>
      </w:r>
      <w:r w:rsidR="00B60DAD" w:rsidRPr="004F2C4B">
        <w:t>were removed from the survey</w:t>
      </w:r>
      <w:r>
        <w:t>s</w:t>
      </w:r>
      <w:r w:rsidR="00B60DAD" w:rsidRPr="004F2C4B">
        <w:t xml:space="preserve"> </w:t>
      </w:r>
      <w:r w:rsidR="003A2558">
        <w:t xml:space="preserve">since questions about </w:t>
      </w:r>
      <w:r w:rsidR="00B60DAD" w:rsidRPr="004F2C4B">
        <w:t>staffing</w:t>
      </w:r>
      <w:r w:rsidR="003A2558">
        <w:t xml:space="preserve"> will provide information about</w:t>
      </w:r>
      <w:r w:rsidR="00B60DAD" w:rsidRPr="004F2C4B">
        <w:t xml:space="preserve"> both organization size and commitment t</w:t>
      </w:r>
      <w:r w:rsidR="00B60DAD">
        <w:t xml:space="preserve">o PFS </w:t>
      </w:r>
      <w:r w:rsidR="003A2558">
        <w:t xml:space="preserve">and were </w:t>
      </w:r>
      <w:r w:rsidR="00976BF0">
        <w:t>able to be answered more accurately and easily by respondents</w:t>
      </w:r>
      <w:r w:rsidR="003A2558">
        <w:t>.</w:t>
      </w:r>
      <w:r w:rsidR="00B60DAD" w:rsidRPr="004F2C4B">
        <w:t xml:space="preserve"> </w:t>
      </w:r>
    </w:p>
    <w:p w14:paraId="0F39CC91" w14:textId="65C46C14" w:rsidR="007B6509" w:rsidRDefault="007B6509" w:rsidP="007B6509">
      <w:pPr>
        <w:pStyle w:val="BodyText"/>
      </w:pPr>
      <w:r>
        <w:t xml:space="preserve">Across all respondents, the average time </w:t>
      </w:r>
      <w:r w:rsidR="0064202E">
        <w:t xml:space="preserve">needed </w:t>
      </w:r>
      <w:r>
        <w:t xml:space="preserve">to complete the surveys was 27 minutes.  The survey completion times were longer than anticipated, primarily due to the time respondents reported spending searching for information and waiting for responses from others in their organizations on budget questions. </w:t>
      </w:r>
    </w:p>
    <w:p w14:paraId="10556363" w14:textId="206E20A8" w:rsidR="007B6509" w:rsidRPr="004F2C4B" w:rsidRDefault="007B6509" w:rsidP="007B6509">
      <w:r>
        <w:t xml:space="preserve">It is expected that the changes made to the survey (adding instructions to gather relevant documents before starting, adding definitions, removing the budget questions, and removing the month/year responses will reduce response time by an average of </w:t>
      </w:r>
      <w:r w:rsidR="00151647">
        <w:t>5 to 10</w:t>
      </w:r>
      <w:r>
        <w:t xml:space="preserve"> minutes, bringing the estimated time for completion to approximately 20 minutes. </w:t>
      </w:r>
    </w:p>
    <w:p w14:paraId="0460C387" w14:textId="77777777" w:rsidR="007B6509" w:rsidRPr="003D1AC7" w:rsidRDefault="007B6509" w:rsidP="003D1AC7">
      <w:pPr>
        <w:autoSpaceDE w:val="0"/>
        <w:autoSpaceDN w:val="0"/>
        <w:adjustRightInd w:val="0"/>
        <w:spacing w:after="0"/>
      </w:pPr>
    </w:p>
    <w:p w14:paraId="22E3C3F2" w14:textId="36E5CC78" w:rsidR="00A162AA" w:rsidRPr="005C1FA9" w:rsidRDefault="00A162AA" w:rsidP="00C5735F">
      <w:pPr>
        <w:pStyle w:val="Heading2"/>
      </w:pPr>
      <w:bookmarkStart w:id="6" w:name="_Toc436747116"/>
      <w:r w:rsidRPr="005C1FA9">
        <w:t>B5.</w:t>
      </w:r>
      <w:r w:rsidR="005D17A0" w:rsidRPr="005C1FA9">
        <w:t xml:space="preserve"> </w:t>
      </w:r>
      <w:r w:rsidR="00ED2BAC" w:rsidRPr="005C1FA9">
        <w:t>Individuals Consulted on Statistical Aspects of the Design and Organizations/Persons Collecting and Analyzing the Data</w:t>
      </w:r>
      <w:bookmarkEnd w:id="6"/>
    </w:p>
    <w:p w14:paraId="22C31E23" w14:textId="1E4145DF" w:rsidR="00366205" w:rsidRDefault="00366205" w:rsidP="00366205">
      <w:r>
        <w:t>Abt Associates</w:t>
      </w:r>
      <w:r w:rsidRPr="00E63082">
        <w:t xml:space="preserve"> has been </w:t>
      </w:r>
      <w:r>
        <w:t xml:space="preserve">contracted to administer the </w:t>
      </w:r>
      <w:r w:rsidR="00506092">
        <w:t xml:space="preserve">first round of the </w:t>
      </w:r>
      <w:r>
        <w:t>survey</w:t>
      </w:r>
      <w:r w:rsidR="00506092">
        <w:t>s</w:t>
      </w:r>
      <w:r w:rsidR="00BD67CA">
        <w:t xml:space="preserve"> </w:t>
      </w:r>
      <w:r>
        <w:t>and analyze the data</w:t>
      </w:r>
      <w:r w:rsidRPr="00E63082">
        <w:t xml:space="preserve">. The </w:t>
      </w:r>
      <w:r>
        <w:t>key staff</w:t>
      </w:r>
      <w:r w:rsidRPr="00E63082">
        <w:t xml:space="preserve"> </w:t>
      </w:r>
      <w:r>
        <w:t>a</w:t>
      </w:r>
      <w:r w:rsidR="00B143DE">
        <w:t xml:space="preserve">ssigned to </w:t>
      </w:r>
      <w:r>
        <w:t>this project are</w:t>
      </w:r>
      <w:r w:rsidR="00B514D6">
        <w:t>:</w:t>
      </w:r>
    </w:p>
    <w:p w14:paraId="4C08CBFF" w14:textId="77777777" w:rsidR="000716A3" w:rsidRDefault="000716A3" w:rsidP="000716A3">
      <w:pPr>
        <w:spacing w:after="0"/>
      </w:pPr>
      <w:r>
        <w:t>Marjorie Levin</w:t>
      </w:r>
    </w:p>
    <w:p w14:paraId="7C78611C" w14:textId="77777777" w:rsidR="000716A3" w:rsidRDefault="000716A3" w:rsidP="000716A3">
      <w:pPr>
        <w:spacing w:after="0"/>
      </w:pPr>
      <w:r>
        <w:t>Project Director</w:t>
      </w:r>
    </w:p>
    <w:p w14:paraId="37BE0263" w14:textId="77777777" w:rsidR="000716A3" w:rsidRDefault="000716A3" w:rsidP="000716A3">
      <w:pPr>
        <w:spacing w:after="0"/>
      </w:pPr>
      <w:r>
        <w:t>Abt Associates Inc.</w:t>
      </w:r>
    </w:p>
    <w:p w14:paraId="0F6E70B3" w14:textId="77777777" w:rsidR="000716A3" w:rsidRDefault="00095215" w:rsidP="000716A3">
      <w:pPr>
        <w:spacing w:after="0"/>
      </w:pPr>
      <w:hyperlink r:id="rId9" w:history="1">
        <w:r w:rsidR="000716A3" w:rsidRPr="008E3E32">
          <w:rPr>
            <w:rStyle w:val="Hyperlink"/>
          </w:rPr>
          <w:t>Marjorie_Levin@abtassoc.com</w:t>
        </w:r>
      </w:hyperlink>
    </w:p>
    <w:p w14:paraId="1AE6499D" w14:textId="77777777" w:rsidR="000716A3" w:rsidRDefault="000716A3" w:rsidP="000716A3">
      <w:pPr>
        <w:spacing w:after="0"/>
      </w:pPr>
      <w:r>
        <w:t>617-349-2819</w:t>
      </w:r>
    </w:p>
    <w:p w14:paraId="27F32940" w14:textId="77777777" w:rsidR="00B514D6" w:rsidRDefault="00B514D6" w:rsidP="00B514D6">
      <w:pPr>
        <w:spacing w:after="0"/>
      </w:pPr>
    </w:p>
    <w:p w14:paraId="53005922" w14:textId="0F821695" w:rsidR="00B514D6" w:rsidRDefault="00B514D6" w:rsidP="00B514D6">
      <w:pPr>
        <w:spacing w:after="0"/>
      </w:pPr>
      <w:r>
        <w:t>Allan Porowski</w:t>
      </w:r>
    </w:p>
    <w:p w14:paraId="4F6843D1" w14:textId="4B34BDE3" w:rsidR="00B514D6" w:rsidRDefault="00B514D6" w:rsidP="00B514D6">
      <w:pPr>
        <w:spacing w:after="0"/>
      </w:pPr>
      <w:r>
        <w:t>Principal Investigator</w:t>
      </w:r>
    </w:p>
    <w:p w14:paraId="6DFE9A4A" w14:textId="77777777" w:rsidR="00B514D6" w:rsidRDefault="00B514D6" w:rsidP="00B514D6">
      <w:pPr>
        <w:spacing w:after="0"/>
      </w:pPr>
      <w:r>
        <w:t>Abt Associates Inc.</w:t>
      </w:r>
    </w:p>
    <w:p w14:paraId="60CA07D2" w14:textId="40E6F0E6" w:rsidR="00B514D6" w:rsidRDefault="00095215" w:rsidP="00B514D6">
      <w:pPr>
        <w:spacing w:after="0"/>
      </w:pPr>
      <w:hyperlink r:id="rId10" w:history="1">
        <w:r w:rsidR="00B514D6" w:rsidRPr="00DE303C">
          <w:rPr>
            <w:rStyle w:val="Hyperlink"/>
          </w:rPr>
          <w:t>Allan_Porowski@abtassoc.com</w:t>
        </w:r>
      </w:hyperlink>
    </w:p>
    <w:p w14:paraId="3FCDCE6F" w14:textId="419ADF87" w:rsidR="00B514D6" w:rsidRDefault="00B514D6" w:rsidP="00B514D6">
      <w:pPr>
        <w:spacing w:after="0"/>
      </w:pPr>
      <w:r>
        <w:t>301-347-5050</w:t>
      </w:r>
    </w:p>
    <w:p w14:paraId="36823379" w14:textId="77777777" w:rsidR="00B514D6" w:rsidRDefault="00B514D6" w:rsidP="00B514D6">
      <w:pPr>
        <w:spacing w:after="0"/>
      </w:pPr>
    </w:p>
    <w:p w14:paraId="09B669B0" w14:textId="5A55A9E6" w:rsidR="00B514D6" w:rsidRDefault="00B514D6" w:rsidP="00B514D6">
      <w:pPr>
        <w:spacing w:after="0"/>
      </w:pPr>
      <w:r>
        <w:t>Cristina Booker</w:t>
      </w:r>
    </w:p>
    <w:p w14:paraId="36013C9C" w14:textId="42E057CC" w:rsidR="00B514D6" w:rsidRDefault="00B514D6" w:rsidP="00B514D6">
      <w:pPr>
        <w:spacing w:after="0"/>
      </w:pPr>
      <w:r>
        <w:t>Data Analysis Task Lead</w:t>
      </w:r>
    </w:p>
    <w:p w14:paraId="687F04EF" w14:textId="77777777" w:rsidR="00B514D6" w:rsidRDefault="00B514D6" w:rsidP="00B514D6">
      <w:pPr>
        <w:spacing w:after="0"/>
      </w:pPr>
      <w:r>
        <w:t>Abt Associates Inc.</w:t>
      </w:r>
    </w:p>
    <w:p w14:paraId="03DB84A9" w14:textId="3CC0ACB3" w:rsidR="00B514D6" w:rsidRDefault="00095215" w:rsidP="00B514D6">
      <w:pPr>
        <w:spacing w:after="0"/>
      </w:pPr>
      <w:hyperlink r:id="rId11" w:history="1">
        <w:r w:rsidR="00B514D6" w:rsidRPr="00DE303C">
          <w:rPr>
            <w:rStyle w:val="Hyperlink"/>
          </w:rPr>
          <w:t>Cristina_Booker@abtassoc.com</w:t>
        </w:r>
      </w:hyperlink>
    </w:p>
    <w:p w14:paraId="6AB27F43" w14:textId="5215DC7E" w:rsidR="00366205" w:rsidRDefault="00B514D6" w:rsidP="00BC7146">
      <w:pPr>
        <w:spacing w:after="0"/>
      </w:pPr>
      <w:r>
        <w:t>617-349-2681</w:t>
      </w:r>
    </w:p>
    <w:p w14:paraId="4166784F" w14:textId="77777777" w:rsidR="008077D0" w:rsidRDefault="008077D0" w:rsidP="00BC7146">
      <w:pPr>
        <w:spacing w:after="0"/>
      </w:pPr>
    </w:p>
    <w:p w14:paraId="2BB89C26" w14:textId="77777777" w:rsidR="00BC7146" w:rsidRPr="00E63082" w:rsidRDefault="00BC7146" w:rsidP="00BC7146">
      <w:pPr>
        <w:spacing w:after="0"/>
      </w:pPr>
    </w:p>
    <w:p w14:paraId="0C878E06" w14:textId="281DC629" w:rsidR="00852184" w:rsidRDefault="00366205" w:rsidP="00852184">
      <w:r w:rsidRPr="00E63082">
        <w:lastRenderedPageBreak/>
        <w:t xml:space="preserve">CNCS </w:t>
      </w:r>
      <w:r w:rsidR="00682EA4">
        <w:t>has</w:t>
      </w:r>
      <w:r w:rsidRPr="00E63082">
        <w:t xml:space="preserve"> </w:t>
      </w:r>
      <w:r>
        <w:t>collaborate</w:t>
      </w:r>
      <w:r w:rsidR="00682EA4">
        <w:t>d</w:t>
      </w:r>
      <w:r>
        <w:t xml:space="preserve"> </w:t>
      </w:r>
      <w:r w:rsidR="00730186">
        <w:t>with the Abt team in</w:t>
      </w:r>
      <w:r>
        <w:t xml:space="preserve"> all stages of the </w:t>
      </w:r>
      <w:r w:rsidR="00682EA4">
        <w:t>evaluation</w:t>
      </w:r>
      <w:r>
        <w:t>. The individual</w:t>
      </w:r>
      <w:r w:rsidRPr="00E63082">
        <w:t xml:space="preserve"> at CNCS assigned to this project </w:t>
      </w:r>
      <w:r>
        <w:t>is</w:t>
      </w:r>
      <w:r w:rsidR="00852184">
        <w:t>:</w:t>
      </w:r>
    </w:p>
    <w:p w14:paraId="51616292" w14:textId="059B836E" w:rsidR="00852184" w:rsidRDefault="00852184" w:rsidP="00852184">
      <w:pPr>
        <w:spacing w:after="0"/>
      </w:pPr>
      <w:r>
        <w:t>Lily Zandniapour</w:t>
      </w:r>
    </w:p>
    <w:p w14:paraId="200F64FD" w14:textId="7DEBAE26" w:rsidR="00852184" w:rsidRDefault="00852184" w:rsidP="00852184">
      <w:pPr>
        <w:spacing w:after="0"/>
      </w:pPr>
      <w:r>
        <w:t>Project Office</w:t>
      </w:r>
      <w:r w:rsidR="00682EA4">
        <w:t>r</w:t>
      </w:r>
      <w:r w:rsidR="001B671B">
        <w:t>/Contract Officer Representative</w:t>
      </w:r>
    </w:p>
    <w:p w14:paraId="298A3D07" w14:textId="6910D594" w:rsidR="00852184" w:rsidRDefault="00852184" w:rsidP="00852184">
      <w:pPr>
        <w:spacing w:after="0"/>
      </w:pPr>
      <w:r>
        <w:t>Corporation for National and Community Service</w:t>
      </w:r>
    </w:p>
    <w:p w14:paraId="27BA2EEC" w14:textId="21725813" w:rsidR="00852184" w:rsidRDefault="00095215" w:rsidP="00852184">
      <w:pPr>
        <w:spacing w:after="0"/>
      </w:pPr>
      <w:hyperlink r:id="rId12" w:history="1">
        <w:r w:rsidR="00852184" w:rsidRPr="00DE303C">
          <w:rPr>
            <w:rStyle w:val="Hyperlink"/>
          </w:rPr>
          <w:t>LZandniapour@cns.gov</w:t>
        </w:r>
      </w:hyperlink>
    </w:p>
    <w:p w14:paraId="2D3002B9" w14:textId="7021EFDD" w:rsidR="00A162AA" w:rsidRDefault="00852184" w:rsidP="0071464C">
      <w:pPr>
        <w:spacing w:after="0"/>
      </w:pPr>
      <w:r>
        <w:t>202-606-6939</w:t>
      </w:r>
    </w:p>
    <w:p w14:paraId="73095676" w14:textId="77777777" w:rsidR="00DB6B5A" w:rsidRDefault="00DB6B5A" w:rsidP="0071464C">
      <w:pPr>
        <w:spacing w:after="0"/>
      </w:pPr>
    </w:p>
    <w:p w14:paraId="4846F1B7" w14:textId="77777777" w:rsidR="00DB6B5A" w:rsidRPr="00DA5206" w:rsidRDefault="00DB6B5A" w:rsidP="007E4955">
      <w:pPr>
        <w:pStyle w:val="Heading1"/>
        <w:ind w:left="0" w:firstLine="0"/>
      </w:pPr>
    </w:p>
    <w:sectPr w:rsidR="00DB6B5A" w:rsidRPr="00DA5206" w:rsidSect="003F41AA">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FA5946" w15:done="0"/>
  <w15:commentEx w15:paraId="1BC542EA" w15:done="0"/>
  <w15:commentEx w15:paraId="4C57C634" w15:done="0"/>
  <w15:commentEx w15:paraId="2FE999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13251" w14:textId="77777777" w:rsidR="00E0761F" w:rsidRDefault="00E0761F" w:rsidP="00EC1C8E">
      <w:pPr>
        <w:spacing w:after="0"/>
      </w:pPr>
      <w:r>
        <w:separator/>
      </w:r>
    </w:p>
    <w:p w14:paraId="43E4289D" w14:textId="77777777" w:rsidR="00E0761F" w:rsidRDefault="00E0761F"/>
  </w:endnote>
  <w:endnote w:type="continuationSeparator" w:id="0">
    <w:p w14:paraId="75A4074B" w14:textId="77777777" w:rsidR="00E0761F" w:rsidRDefault="00E0761F" w:rsidP="00EC1C8E">
      <w:pPr>
        <w:spacing w:after="0"/>
      </w:pPr>
      <w:r>
        <w:continuationSeparator/>
      </w:r>
    </w:p>
    <w:p w14:paraId="30B8C394" w14:textId="77777777" w:rsidR="00E0761F" w:rsidRDefault="00E07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2BF7B" w14:textId="77777777" w:rsidR="00BC27B7" w:rsidRDefault="00BC27B7" w:rsidP="00EC1C8E">
    <w:pPr>
      <w:pStyle w:val="Footer"/>
      <w:jc w:val="center"/>
    </w:pPr>
    <w:r>
      <w:fldChar w:fldCharType="begin"/>
    </w:r>
    <w:r>
      <w:instrText xml:space="preserve"> PAGE   \* MERGEFORMAT </w:instrText>
    </w:r>
    <w:r>
      <w:fldChar w:fldCharType="separate"/>
    </w:r>
    <w:r w:rsidR="00095215">
      <w:rPr>
        <w:noProof/>
      </w:rPr>
      <w:t>2</w:t>
    </w:r>
    <w:r>
      <w:rPr>
        <w:noProof/>
      </w:rPr>
      <w:fldChar w:fldCharType="end"/>
    </w:r>
  </w:p>
  <w:p w14:paraId="32C8CD9E" w14:textId="77777777" w:rsidR="00BC27B7" w:rsidRDefault="00BC2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38F3F" w14:textId="77777777" w:rsidR="00E0761F" w:rsidRDefault="00E0761F" w:rsidP="00EC1C8E">
      <w:pPr>
        <w:spacing w:after="0"/>
      </w:pPr>
      <w:r>
        <w:separator/>
      </w:r>
    </w:p>
    <w:p w14:paraId="40CB3A6E" w14:textId="77777777" w:rsidR="00E0761F" w:rsidRDefault="00E0761F"/>
  </w:footnote>
  <w:footnote w:type="continuationSeparator" w:id="0">
    <w:p w14:paraId="7DA622B8" w14:textId="77777777" w:rsidR="00E0761F" w:rsidRDefault="00E0761F" w:rsidP="00EC1C8E">
      <w:pPr>
        <w:spacing w:after="0"/>
      </w:pPr>
      <w:r>
        <w:continuationSeparator/>
      </w:r>
    </w:p>
    <w:p w14:paraId="698EF74F" w14:textId="77777777" w:rsidR="00E0761F" w:rsidRDefault="00E076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0E2A7A"/>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2B220BB"/>
    <w:multiLevelType w:val="hybridMultilevel"/>
    <w:tmpl w:val="C440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9E5864"/>
    <w:multiLevelType w:val="hybridMultilevel"/>
    <w:tmpl w:val="15DA9C5A"/>
    <w:lvl w:ilvl="0" w:tplc="FB82406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71436"/>
    <w:multiLevelType w:val="hybridMultilevel"/>
    <w:tmpl w:val="187A5CA6"/>
    <w:lvl w:ilvl="0" w:tplc="BDBC4D3A">
      <w:start w:val="1"/>
      <w:numFmt w:val="bullet"/>
      <w:pStyle w:val="Bullets"/>
      <w:lvlText w:val=""/>
      <w:lvlJc w:val="left"/>
      <w:pPr>
        <w:ind w:left="360" w:hanging="360"/>
      </w:pPr>
      <w:rPr>
        <w:rFonts w:ascii="Symbol" w:hAnsi="Symbol" w:hint="default"/>
        <w:color w:val="1F497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61F2A"/>
    <w:multiLevelType w:val="hybridMultilevel"/>
    <w:tmpl w:val="0570EF7E"/>
    <w:lvl w:ilvl="0" w:tplc="FA40104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2460A"/>
    <w:multiLevelType w:val="hybridMultilevel"/>
    <w:tmpl w:val="A16A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26703"/>
    <w:multiLevelType w:val="hybridMultilevel"/>
    <w:tmpl w:val="E7541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2F0408"/>
    <w:multiLevelType w:val="hybridMultilevel"/>
    <w:tmpl w:val="45C63800"/>
    <w:lvl w:ilvl="0" w:tplc="2A5A2F5C">
      <w:start w:val="3"/>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E21A58"/>
    <w:multiLevelType w:val="hybridMultilevel"/>
    <w:tmpl w:val="9F9465AA"/>
    <w:lvl w:ilvl="0" w:tplc="C2DCFE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252C2"/>
    <w:multiLevelType w:val="hybridMultilevel"/>
    <w:tmpl w:val="25D497FA"/>
    <w:lvl w:ilvl="0" w:tplc="47B08ED2">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EA24085"/>
    <w:multiLevelType w:val="hybridMultilevel"/>
    <w:tmpl w:val="C7B4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30DF2"/>
    <w:multiLevelType w:val="hybridMultilevel"/>
    <w:tmpl w:val="774AF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B3352"/>
    <w:multiLevelType w:val="hybridMultilevel"/>
    <w:tmpl w:val="2004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962B5"/>
    <w:multiLevelType w:val="hybridMultilevel"/>
    <w:tmpl w:val="333600E4"/>
    <w:lvl w:ilvl="0" w:tplc="92565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6">
    <w:nsid w:val="4EA25095"/>
    <w:multiLevelType w:val="hybridMultilevel"/>
    <w:tmpl w:val="5508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87051C"/>
    <w:multiLevelType w:val="hybridMultilevel"/>
    <w:tmpl w:val="743EF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5F4A60"/>
    <w:multiLevelType w:val="hybridMultilevel"/>
    <w:tmpl w:val="03728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9A3FC3"/>
    <w:multiLevelType w:val="hybridMultilevel"/>
    <w:tmpl w:val="D764B0B4"/>
    <w:lvl w:ilvl="0" w:tplc="FFFFFFFF">
      <w:start w:val="1"/>
      <w:numFmt w:val="bullet"/>
      <w:lvlText w:val="•"/>
      <w:lvlJc w:val="left"/>
      <w:pPr>
        <w:tabs>
          <w:tab w:val="num" w:pos="1440"/>
        </w:tabs>
        <w:ind w:left="1440" w:hanging="360"/>
      </w:pPr>
      <w:rPr>
        <w:rFonts w:ascii="Times New Roman" w:hAnsi="Times New Roman" w:cs="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41252C1"/>
    <w:multiLevelType w:val="hybridMultilevel"/>
    <w:tmpl w:val="90C08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D1C76"/>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A556F"/>
    <w:multiLevelType w:val="hybridMultilevel"/>
    <w:tmpl w:val="FAFAD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ED0D51"/>
    <w:multiLevelType w:val="hybridMultilevel"/>
    <w:tmpl w:val="0FB4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6"/>
  </w:num>
  <w:num w:numId="4">
    <w:abstractNumId w:val="15"/>
  </w:num>
  <w:num w:numId="5">
    <w:abstractNumId w:val="9"/>
  </w:num>
  <w:num w:numId="6">
    <w:abstractNumId w:val="20"/>
  </w:num>
  <w:num w:numId="7">
    <w:abstractNumId w:val="22"/>
  </w:num>
  <w:num w:numId="8">
    <w:abstractNumId w:val="18"/>
  </w:num>
  <w:num w:numId="9">
    <w:abstractNumId w:val="6"/>
  </w:num>
  <w:num w:numId="10">
    <w:abstractNumId w:val="19"/>
  </w:num>
  <w:num w:numId="11">
    <w:abstractNumId w:val="13"/>
  </w:num>
  <w:num w:numId="12">
    <w:abstractNumId w:val="5"/>
  </w:num>
  <w:num w:numId="13">
    <w:abstractNumId w:val="4"/>
  </w:num>
  <w:num w:numId="14">
    <w:abstractNumId w:val="21"/>
  </w:num>
  <w:num w:numId="15">
    <w:abstractNumId w:val="23"/>
  </w:num>
  <w:num w:numId="16">
    <w:abstractNumId w:val="2"/>
  </w:num>
  <w:num w:numId="17">
    <w:abstractNumId w:val="24"/>
  </w:num>
  <w:num w:numId="18">
    <w:abstractNumId w:val="17"/>
  </w:num>
  <w:num w:numId="19">
    <w:abstractNumId w:val="1"/>
  </w:num>
  <w:num w:numId="20">
    <w:abstractNumId w:val="11"/>
  </w:num>
  <w:num w:numId="21">
    <w:abstractNumId w:val="7"/>
  </w:num>
  <w:num w:numId="22">
    <w:abstractNumId w:val="8"/>
  </w:num>
  <w:num w:numId="23">
    <w:abstractNumId w:val="12"/>
  </w:num>
  <w:num w:numId="24">
    <w:abstractNumId w:val="10"/>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niapour, Lily">
    <w15:presenceInfo w15:providerId="AD" w15:userId="S-1-5-21-1659004503-1645522239-682003330-21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0BB724D-E23A-46BF-BB24-C1965730A46D}"/>
    <w:docVar w:name="dgnword-eventsink" w:val="142508672"/>
  </w:docVars>
  <w:rsids>
    <w:rsidRoot w:val="0009667A"/>
    <w:rsid w:val="00002C85"/>
    <w:rsid w:val="000039D2"/>
    <w:rsid w:val="00005727"/>
    <w:rsid w:val="00006E97"/>
    <w:rsid w:val="00007750"/>
    <w:rsid w:val="00012E9B"/>
    <w:rsid w:val="0001454B"/>
    <w:rsid w:val="0001555F"/>
    <w:rsid w:val="00021EC2"/>
    <w:rsid w:val="00031F26"/>
    <w:rsid w:val="000367DE"/>
    <w:rsid w:val="00037FC3"/>
    <w:rsid w:val="00044BA4"/>
    <w:rsid w:val="00054D81"/>
    <w:rsid w:val="0005710D"/>
    <w:rsid w:val="00061941"/>
    <w:rsid w:val="00065315"/>
    <w:rsid w:val="000716A3"/>
    <w:rsid w:val="00071F42"/>
    <w:rsid w:val="000767F6"/>
    <w:rsid w:val="0007748E"/>
    <w:rsid w:val="0008189D"/>
    <w:rsid w:val="00084755"/>
    <w:rsid w:val="00087349"/>
    <w:rsid w:val="00090D7D"/>
    <w:rsid w:val="00095215"/>
    <w:rsid w:val="00095EC3"/>
    <w:rsid w:val="0009667A"/>
    <w:rsid w:val="00097440"/>
    <w:rsid w:val="000A064F"/>
    <w:rsid w:val="000A0C9E"/>
    <w:rsid w:val="000A49C4"/>
    <w:rsid w:val="000A4E5C"/>
    <w:rsid w:val="000A7344"/>
    <w:rsid w:val="000A7C17"/>
    <w:rsid w:val="000B2506"/>
    <w:rsid w:val="000C0290"/>
    <w:rsid w:val="000C15E1"/>
    <w:rsid w:val="000D4800"/>
    <w:rsid w:val="000D4D35"/>
    <w:rsid w:val="000D628D"/>
    <w:rsid w:val="000E1A13"/>
    <w:rsid w:val="000E1D35"/>
    <w:rsid w:val="000E2226"/>
    <w:rsid w:val="000E3422"/>
    <w:rsid w:val="000E5C4C"/>
    <w:rsid w:val="000E6D1F"/>
    <w:rsid w:val="000F38CE"/>
    <w:rsid w:val="000F65DB"/>
    <w:rsid w:val="001030E5"/>
    <w:rsid w:val="00114A9B"/>
    <w:rsid w:val="00114F7D"/>
    <w:rsid w:val="00126169"/>
    <w:rsid w:val="0012692A"/>
    <w:rsid w:val="00130AB5"/>
    <w:rsid w:val="00134417"/>
    <w:rsid w:val="001347A6"/>
    <w:rsid w:val="00137281"/>
    <w:rsid w:val="00137D6C"/>
    <w:rsid w:val="001427D8"/>
    <w:rsid w:val="00146C5B"/>
    <w:rsid w:val="00151358"/>
    <w:rsid w:val="00151647"/>
    <w:rsid w:val="00166AC8"/>
    <w:rsid w:val="00173C10"/>
    <w:rsid w:val="00176C1F"/>
    <w:rsid w:val="00181A2D"/>
    <w:rsid w:val="001939AF"/>
    <w:rsid w:val="001A0596"/>
    <w:rsid w:val="001A495D"/>
    <w:rsid w:val="001A6282"/>
    <w:rsid w:val="001B1D4E"/>
    <w:rsid w:val="001B671B"/>
    <w:rsid w:val="001C1380"/>
    <w:rsid w:val="001C1A09"/>
    <w:rsid w:val="001C27EE"/>
    <w:rsid w:val="001C6E95"/>
    <w:rsid w:val="001D0B37"/>
    <w:rsid w:val="001D167E"/>
    <w:rsid w:val="001D54E4"/>
    <w:rsid w:val="001D5651"/>
    <w:rsid w:val="001E1003"/>
    <w:rsid w:val="001E1B79"/>
    <w:rsid w:val="001E2ACE"/>
    <w:rsid w:val="001E553C"/>
    <w:rsid w:val="001F1172"/>
    <w:rsid w:val="001F2FCC"/>
    <w:rsid w:val="001F4D97"/>
    <w:rsid w:val="001F755D"/>
    <w:rsid w:val="002027D2"/>
    <w:rsid w:val="00203662"/>
    <w:rsid w:val="0020464C"/>
    <w:rsid w:val="002048AF"/>
    <w:rsid w:val="002052D8"/>
    <w:rsid w:val="0020643D"/>
    <w:rsid w:val="002150FF"/>
    <w:rsid w:val="00220FBE"/>
    <w:rsid w:val="00224615"/>
    <w:rsid w:val="002344AC"/>
    <w:rsid w:val="002348DA"/>
    <w:rsid w:val="00244C45"/>
    <w:rsid w:val="002530DA"/>
    <w:rsid w:val="00253391"/>
    <w:rsid w:val="00260833"/>
    <w:rsid w:val="0026687C"/>
    <w:rsid w:val="00270368"/>
    <w:rsid w:val="00271163"/>
    <w:rsid w:val="00273887"/>
    <w:rsid w:val="00275726"/>
    <w:rsid w:val="00287A1B"/>
    <w:rsid w:val="00291093"/>
    <w:rsid w:val="00293D78"/>
    <w:rsid w:val="002A00BB"/>
    <w:rsid w:val="002A218F"/>
    <w:rsid w:val="002A5097"/>
    <w:rsid w:val="002A6466"/>
    <w:rsid w:val="002A7465"/>
    <w:rsid w:val="002B2CA5"/>
    <w:rsid w:val="002B3761"/>
    <w:rsid w:val="002B510A"/>
    <w:rsid w:val="002C124E"/>
    <w:rsid w:val="002C1552"/>
    <w:rsid w:val="002C1EAC"/>
    <w:rsid w:val="002C61BB"/>
    <w:rsid w:val="002D748A"/>
    <w:rsid w:val="002F1CF0"/>
    <w:rsid w:val="002F3020"/>
    <w:rsid w:val="002F736B"/>
    <w:rsid w:val="00303B2B"/>
    <w:rsid w:val="0030570E"/>
    <w:rsid w:val="00305D76"/>
    <w:rsid w:val="00311D5F"/>
    <w:rsid w:val="00314959"/>
    <w:rsid w:val="00322B24"/>
    <w:rsid w:val="0032453D"/>
    <w:rsid w:val="003276C2"/>
    <w:rsid w:val="003375B0"/>
    <w:rsid w:val="00340219"/>
    <w:rsid w:val="00342F75"/>
    <w:rsid w:val="003574F0"/>
    <w:rsid w:val="003650AE"/>
    <w:rsid w:val="00365520"/>
    <w:rsid w:val="00366205"/>
    <w:rsid w:val="00371E6B"/>
    <w:rsid w:val="00374D25"/>
    <w:rsid w:val="0039182B"/>
    <w:rsid w:val="00393CE6"/>
    <w:rsid w:val="00397CF3"/>
    <w:rsid w:val="003A2558"/>
    <w:rsid w:val="003B1C94"/>
    <w:rsid w:val="003B58FF"/>
    <w:rsid w:val="003C03CF"/>
    <w:rsid w:val="003C1EE1"/>
    <w:rsid w:val="003C4D40"/>
    <w:rsid w:val="003D1AC7"/>
    <w:rsid w:val="003D3D69"/>
    <w:rsid w:val="003D56CE"/>
    <w:rsid w:val="003D6BD4"/>
    <w:rsid w:val="003D7D0E"/>
    <w:rsid w:val="003D7EC7"/>
    <w:rsid w:val="003E2ACB"/>
    <w:rsid w:val="003F045C"/>
    <w:rsid w:val="003F41AA"/>
    <w:rsid w:val="003F4DA0"/>
    <w:rsid w:val="003F5C66"/>
    <w:rsid w:val="00401DBD"/>
    <w:rsid w:val="00410BA5"/>
    <w:rsid w:val="0041269B"/>
    <w:rsid w:val="00417A7A"/>
    <w:rsid w:val="0042376B"/>
    <w:rsid w:val="0043451A"/>
    <w:rsid w:val="00442053"/>
    <w:rsid w:val="00443BE9"/>
    <w:rsid w:val="004446AC"/>
    <w:rsid w:val="0044574C"/>
    <w:rsid w:val="004545B5"/>
    <w:rsid w:val="00454DAD"/>
    <w:rsid w:val="00456350"/>
    <w:rsid w:val="00457CBC"/>
    <w:rsid w:val="0046301B"/>
    <w:rsid w:val="004647DB"/>
    <w:rsid w:val="00465522"/>
    <w:rsid w:val="00467D3E"/>
    <w:rsid w:val="00472B80"/>
    <w:rsid w:val="004743E1"/>
    <w:rsid w:val="00474B6C"/>
    <w:rsid w:val="00475ED8"/>
    <w:rsid w:val="0048697A"/>
    <w:rsid w:val="00496116"/>
    <w:rsid w:val="004969E2"/>
    <w:rsid w:val="004A16C1"/>
    <w:rsid w:val="004A5A20"/>
    <w:rsid w:val="004A72B1"/>
    <w:rsid w:val="004A7C9D"/>
    <w:rsid w:val="004B5AD7"/>
    <w:rsid w:val="004C2A2C"/>
    <w:rsid w:val="004C67A5"/>
    <w:rsid w:val="004D2081"/>
    <w:rsid w:val="004E184C"/>
    <w:rsid w:val="004E2931"/>
    <w:rsid w:val="004F080A"/>
    <w:rsid w:val="004F12C9"/>
    <w:rsid w:val="004F6F33"/>
    <w:rsid w:val="00500C8F"/>
    <w:rsid w:val="00500CFE"/>
    <w:rsid w:val="0050357E"/>
    <w:rsid w:val="00504CA7"/>
    <w:rsid w:val="00506092"/>
    <w:rsid w:val="00506EB2"/>
    <w:rsid w:val="00507130"/>
    <w:rsid w:val="005134AD"/>
    <w:rsid w:val="00514A3F"/>
    <w:rsid w:val="0051668D"/>
    <w:rsid w:val="00520F5C"/>
    <w:rsid w:val="00523492"/>
    <w:rsid w:val="00524795"/>
    <w:rsid w:val="005258A2"/>
    <w:rsid w:val="00531F5C"/>
    <w:rsid w:val="00532255"/>
    <w:rsid w:val="00536864"/>
    <w:rsid w:val="0053702F"/>
    <w:rsid w:val="0054222B"/>
    <w:rsid w:val="0054300B"/>
    <w:rsid w:val="005506A7"/>
    <w:rsid w:val="00551FE0"/>
    <w:rsid w:val="005559B9"/>
    <w:rsid w:val="00557221"/>
    <w:rsid w:val="00562540"/>
    <w:rsid w:val="00563BE8"/>
    <w:rsid w:val="00563FA3"/>
    <w:rsid w:val="0056688E"/>
    <w:rsid w:val="00570159"/>
    <w:rsid w:val="00573F01"/>
    <w:rsid w:val="005806B4"/>
    <w:rsid w:val="005839F3"/>
    <w:rsid w:val="005867B9"/>
    <w:rsid w:val="00590381"/>
    <w:rsid w:val="00595565"/>
    <w:rsid w:val="00595987"/>
    <w:rsid w:val="005A1CDF"/>
    <w:rsid w:val="005A1D62"/>
    <w:rsid w:val="005B5D13"/>
    <w:rsid w:val="005C14DA"/>
    <w:rsid w:val="005C1FA9"/>
    <w:rsid w:val="005C37E8"/>
    <w:rsid w:val="005C3DB7"/>
    <w:rsid w:val="005C5C09"/>
    <w:rsid w:val="005C6809"/>
    <w:rsid w:val="005D17A0"/>
    <w:rsid w:val="005D1AEA"/>
    <w:rsid w:val="005D7512"/>
    <w:rsid w:val="005F0266"/>
    <w:rsid w:val="005F06F1"/>
    <w:rsid w:val="005F1F5E"/>
    <w:rsid w:val="005F2CA7"/>
    <w:rsid w:val="005F37A0"/>
    <w:rsid w:val="00604458"/>
    <w:rsid w:val="00606899"/>
    <w:rsid w:val="00607296"/>
    <w:rsid w:val="00610459"/>
    <w:rsid w:val="00611FB4"/>
    <w:rsid w:val="00612946"/>
    <w:rsid w:val="00620FF7"/>
    <w:rsid w:val="00623964"/>
    <w:rsid w:val="00624D1F"/>
    <w:rsid w:val="0063191D"/>
    <w:rsid w:val="0063228B"/>
    <w:rsid w:val="00634603"/>
    <w:rsid w:val="00635E79"/>
    <w:rsid w:val="0064202E"/>
    <w:rsid w:val="0064339D"/>
    <w:rsid w:val="0064599F"/>
    <w:rsid w:val="00647626"/>
    <w:rsid w:val="0065242A"/>
    <w:rsid w:val="006530B6"/>
    <w:rsid w:val="00657039"/>
    <w:rsid w:val="00657130"/>
    <w:rsid w:val="006635C3"/>
    <w:rsid w:val="00663FE6"/>
    <w:rsid w:val="006648FE"/>
    <w:rsid w:val="00665787"/>
    <w:rsid w:val="00667A10"/>
    <w:rsid w:val="00670664"/>
    <w:rsid w:val="006706B0"/>
    <w:rsid w:val="00670E18"/>
    <w:rsid w:val="006819D8"/>
    <w:rsid w:val="006825F5"/>
    <w:rsid w:val="00682EA4"/>
    <w:rsid w:val="00685285"/>
    <w:rsid w:val="00687A51"/>
    <w:rsid w:val="006926AB"/>
    <w:rsid w:val="00692774"/>
    <w:rsid w:val="00694ADA"/>
    <w:rsid w:val="006A07DE"/>
    <w:rsid w:val="006A182F"/>
    <w:rsid w:val="006A4A20"/>
    <w:rsid w:val="006A4B90"/>
    <w:rsid w:val="006A55A4"/>
    <w:rsid w:val="006A717D"/>
    <w:rsid w:val="006B3C20"/>
    <w:rsid w:val="006C6140"/>
    <w:rsid w:val="006D4D3F"/>
    <w:rsid w:val="006E1210"/>
    <w:rsid w:val="006E6C59"/>
    <w:rsid w:val="006E7836"/>
    <w:rsid w:val="006F0B55"/>
    <w:rsid w:val="00700184"/>
    <w:rsid w:val="00705F15"/>
    <w:rsid w:val="0070685E"/>
    <w:rsid w:val="00712D36"/>
    <w:rsid w:val="0071315C"/>
    <w:rsid w:val="0071464C"/>
    <w:rsid w:val="00723B93"/>
    <w:rsid w:val="00724EBF"/>
    <w:rsid w:val="00730186"/>
    <w:rsid w:val="00732E8F"/>
    <w:rsid w:val="00737258"/>
    <w:rsid w:val="00740D58"/>
    <w:rsid w:val="00743C2F"/>
    <w:rsid w:val="007456BB"/>
    <w:rsid w:val="00747535"/>
    <w:rsid w:val="007508C4"/>
    <w:rsid w:val="00752EA8"/>
    <w:rsid w:val="0075362F"/>
    <w:rsid w:val="00762EC6"/>
    <w:rsid w:val="007639D7"/>
    <w:rsid w:val="00765E65"/>
    <w:rsid w:val="00766031"/>
    <w:rsid w:val="00767A61"/>
    <w:rsid w:val="007711B9"/>
    <w:rsid w:val="0077215F"/>
    <w:rsid w:val="0077231B"/>
    <w:rsid w:val="007746E5"/>
    <w:rsid w:val="00775E0D"/>
    <w:rsid w:val="007805BF"/>
    <w:rsid w:val="00781107"/>
    <w:rsid w:val="00784F2C"/>
    <w:rsid w:val="007851C2"/>
    <w:rsid w:val="00792385"/>
    <w:rsid w:val="00793D8A"/>
    <w:rsid w:val="00795D26"/>
    <w:rsid w:val="007A2A74"/>
    <w:rsid w:val="007A44DB"/>
    <w:rsid w:val="007A6B6B"/>
    <w:rsid w:val="007B1692"/>
    <w:rsid w:val="007B24F2"/>
    <w:rsid w:val="007B2C13"/>
    <w:rsid w:val="007B6509"/>
    <w:rsid w:val="007C069F"/>
    <w:rsid w:val="007C5166"/>
    <w:rsid w:val="007D162D"/>
    <w:rsid w:val="007D1A54"/>
    <w:rsid w:val="007E144D"/>
    <w:rsid w:val="007E4955"/>
    <w:rsid w:val="007E6EE8"/>
    <w:rsid w:val="007F0C2A"/>
    <w:rsid w:val="007F0FEA"/>
    <w:rsid w:val="007F12DD"/>
    <w:rsid w:val="007F2467"/>
    <w:rsid w:val="007F63DD"/>
    <w:rsid w:val="007F6F63"/>
    <w:rsid w:val="007F7F24"/>
    <w:rsid w:val="00801959"/>
    <w:rsid w:val="008069C1"/>
    <w:rsid w:val="008069CC"/>
    <w:rsid w:val="00807313"/>
    <w:rsid w:val="008077D0"/>
    <w:rsid w:val="0081421A"/>
    <w:rsid w:val="008206AD"/>
    <w:rsid w:val="008213F4"/>
    <w:rsid w:val="0082244D"/>
    <w:rsid w:val="0082351A"/>
    <w:rsid w:val="008241C4"/>
    <w:rsid w:val="008246B0"/>
    <w:rsid w:val="00824766"/>
    <w:rsid w:val="0082772E"/>
    <w:rsid w:val="00830981"/>
    <w:rsid w:val="0084720F"/>
    <w:rsid w:val="00850527"/>
    <w:rsid w:val="008506D1"/>
    <w:rsid w:val="00852184"/>
    <w:rsid w:val="008627DA"/>
    <w:rsid w:val="008637A2"/>
    <w:rsid w:val="00867E8E"/>
    <w:rsid w:val="008707DA"/>
    <w:rsid w:val="008739FA"/>
    <w:rsid w:val="0087599B"/>
    <w:rsid w:val="008814A8"/>
    <w:rsid w:val="0089013A"/>
    <w:rsid w:val="00893E0E"/>
    <w:rsid w:val="00895322"/>
    <w:rsid w:val="008A18DB"/>
    <w:rsid w:val="008A1C79"/>
    <w:rsid w:val="008A4207"/>
    <w:rsid w:val="008A7B9D"/>
    <w:rsid w:val="008B1FE6"/>
    <w:rsid w:val="008B748C"/>
    <w:rsid w:val="008C7735"/>
    <w:rsid w:val="008D1B04"/>
    <w:rsid w:val="008E0927"/>
    <w:rsid w:val="008E43A1"/>
    <w:rsid w:val="008F45DE"/>
    <w:rsid w:val="00900ABB"/>
    <w:rsid w:val="00901AC4"/>
    <w:rsid w:val="00902368"/>
    <w:rsid w:val="00905495"/>
    <w:rsid w:val="00905A83"/>
    <w:rsid w:val="009061ED"/>
    <w:rsid w:val="0090738F"/>
    <w:rsid w:val="00912E09"/>
    <w:rsid w:val="00912F9D"/>
    <w:rsid w:val="00916524"/>
    <w:rsid w:val="00922603"/>
    <w:rsid w:val="009349D0"/>
    <w:rsid w:val="009444E8"/>
    <w:rsid w:val="00944DC4"/>
    <w:rsid w:val="00953B38"/>
    <w:rsid w:val="0095748A"/>
    <w:rsid w:val="00963A2B"/>
    <w:rsid w:val="009641A9"/>
    <w:rsid w:val="00964E50"/>
    <w:rsid w:val="00973D1F"/>
    <w:rsid w:val="009761D8"/>
    <w:rsid w:val="00976BF0"/>
    <w:rsid w:val="00983BD7"/>
    <w:rsid w:val="00991992"/>
    <w:rsid w:val="00992447"/>
    <w:rsid w:val="0099581D"/>
    <w:rsid w:val="00995E54"/>
    <w:rsid w:val="00997537"/>
    <w:rsid w:val="009A1C0B"/>
    <w:rsid w:val="009A291E"/>
    <w:rsid w:val="009A333E"/>
    <w:rsid w:val="009A3B89"/>
    <w:rsid w:val="009A4A1D"/>
    <w:rsid w:val="009A6504"/>
    <w:rsid w:val="009B1A97"/>
    <w:rsid w:val="009B2782"/>
    <w:rsid w:val="009B6A1B"/>
    <w:rsid w:val="009B6C7E"/>
    <w:rsid w:val="009C2ACB"/>
    <w:rsid w:val="009C52EB"/>
    <w:rsid w:val="009D142F"/>
    <w:rsid w:val="009D350A"/>
    <w:rsid w:val="009D6CE6"/>
    <w:rsid w:val="009D74F0"/>
    <w:rsid w:val="009E07DB"/>
    <w:rsid w:val="009E194F"/>
    <w:rsid w:val="009E66DF"/>
    <w:rsid w:val="009F08F0"/>
    <w:rsid w:val="009F2791"/>
    <w:rsid w:val="00A015A3"/>
    <w:rsid w:val="00A037B6"/>
    <w:rsid w:val="00A04D25"/>
    <w:rsid w:val="00A07422"/>
    <w:rsid w:val="00A14D5F"/>
    <w:rsid w:val="00A162AA"/>
    <w:rsid w:val="00A2015D"/>
    <w:rsid w:val="00A20297"/>
    <w:rsid w:val="00A20EAF"/>
    <w:rsid w:val="00A23161"/>
    <w:rsid w:val="00A23EE5"/>
    <w:rsid w:val="00A243C1"/>
    <w:rsid w:val="00A26642"/>
    <w:rsid w:val="00A26C10"/>
    <w:rsid w:val="00A27725"/>
    <w:rsid w:val="00A309D6"/>
    <w:rsid w:val="00A30C74"/>
    <w:rsid w:val="00A31DCE"/>
    <w:rsid w:val="00A32FC5"/>
    <w:rsid w:val="00A368A6"/>
    <w:rsid w:val="00A36A67"/>
    <w:rsid w:val="00A36F16"/>
    <w:rsid w:val="00A428A8"/>
    <w:rsid w:val="00A56804"/>
    <w:rsid w:val="00A56B2E"/>
    <w:rsid w:val="00A6067D"/>
    <w:rsid w:val="00A64544"/>
    <w:rsid w:val="00A7040F"/>
    <w:rsid w:val="00A709F7"/>
    <w:rsid w:val="00A71569"/>
    <w:rsid w:val="00A80927"/>
    <w:rsid w:val="00A80AFF"/>
    <w:rsid w:val="00A80E3E"/>
    <w:rsid w:val="00A87BED"/>
    <w:rsid w:val="00A9540F"/>
    <w:rsid w:val="00A95C94"/>
    <w:rsid w:val="00AA15A4"/>
    <w:rsid w:val="00AA520B"/>
    <w:rsid w:val="00AB2B36"/>
    <w:rsid w:val="00AB335B"/>
    <w:rsid w:val="00AC1846"/>
    <w:rsid w:val="00AD2327"/>
    <w:rsid w:val="00AD5C71"/>
    <w:rsid w:val="00AD7B7F"/>
    <w:rsid w:val="00AE45B7"/>
    <w:rsid w:val="00AF5DBE"/>
    <w:rsid w:val="00B00BBF"/>
    <w:rsid w:val="00B00F2B"/>
    <w:rsid w:val="00B02567"/>
    <w:rsid w:val="00B068EF"/>
    <w:rsid w:val="00B0773E"/>
    <w:rsid w:val="00B143DE"/>
    <w:rsid w:val="00B160A4"/>
    <w:rsid w:val="00B2665C"/>
    <w:rsid w:val="00B278DC"/>
    <w:rsid w:val="00B27DC6"/>
    <w:rsid w:val="00B31AD3"/>
    <w:rsid w:val="00B348FA"/>
    <w:rsid w:val="00B40CF0"/>
    <w:rsid w:val="00B4202D"/>
    <w:rsid w:val="00B514D6"/>
    <w:rsid w:val="00B52309"/>
    <w:rsid w:val="00B54BF6"/>
    <w:rsid w:val="00B55F3B"/>
    <w:rsid w:val="00B56D50"/>
    <w:rsid w:val="00B60DAD"/>
    <w:rsid w:val="00B61169"/>
    <w:rsid w:val="00B6280C"/>
    <w:rsid w:val="00B67326"/>
    <w:rsid w:val="00B73A2F"/>
    <w:rsid w:val="00B74213"/>
    <w:rsid w:val="00B74310"/>
    <w:rsid w:val="00B75336"/>
    <w:rsid w:val="00B9166E"/>
    <w:rsid w:val="00B94E0D"/>
    <w:rsid w:val="00B97110"/>
    <w:rsid w:val="00BA28A1"/>
    <w:rsid w:val="00BA47A8"/>
    <w:rsid w:val="00BA4F42"/>
    <w:rsid w:val="00BB4C0E"/>
    <w:rsid w:val="00BB6D58"/>
    <w:rsid w:val="00BC208B"/>
    <w:rsid w:val="00BC27B7"/>
    <w:rsid w:val="00BC3932"/>
    <w:rsid w:val="00BC629E"/>
    <w:rsid w:val="00BC7146"/>
    <w:rsid w:val="00BC77DE"/>
    <w:rsid w:val="00BD50D2"/>
    <w:rsid w:val="00BD67CA"/>
    <w:rsid w:val="00BE2CCD"/>
    <w:rsid w:val="00BF5490"/>
    <w:rsid w:val="00BF76C5"/>
    <w:rsid w:val="00C017D6"/>
    <w:rsid w:val="00C06A15"/>
    <w:rsid w:val="00C07BA5"/>
    <w:rsid w:val="00C14406"/>
    <w:rsid w:val="00C169B9"/>
    <w:rsid w:val="00C17E51"/>
    <w:rsid w:val="00C246D3"/>
    <w:rsid w:val="00C335D1"/>
    <w:rsid w:val="00C34090"/>
    <w:rsid w:val="00C34261"/>
    <w:rsid w:val="00C42CF4"/>
    <w:rsid w:val="00C44880"/>
    <w:rsid w:val="00C5735F"/>
    <w:rsid w:val="00C5798F"/>
    <w:rsid w:val="00C60554"/>
    <w:rsid w:val="00C734D6"/>
    <w:rsid w:val="00C761A3"/>
    <w:rsid w:val="00C82743"/>
    <w:rsid w:val="00C90BF7"/>
    <w:rsid w:val="00C90FE6"/>
    <w:rsid w:val="00C93714"/>
    <w:rsid w:val="00C958E4"/>
    <w:rsid w:val="00C95B5F"/>
    <w:rsid w:val="00CA1F2C"/>
    <w:rsid w:val="00CA7982"/>
    <w:rsid w:val="00CB266E"/>
    <w:rsid w:val="00CB799A"/>
    <w:rsid w:val="00CD4C6E"/>
    <w:rsid w:val="00CD570B"/>
    <w:rsid w:val="00CD6B94"/>
    <w:rsid w:val="00CE2BA7"/>
    <w:rsid w:val="00CE2BA8"/>
    <w:rsid w:val="00CE3FA1"/>
    <w:rsid w:val="00CE68AD"/>
    <w:rsid w:val="00CF03D8"/>
    <w:rsid w:val="00CF2D62"/>
    <w:rsid w:val="00CF333F"/>
    <w:rsid w:val="00CF58E6"/>
    <w:rsid w:val="00CF592E"/>
    <w:rsid w:val="00D04353"/>
    <w:rsid w:val="00D05265"/>
    <w:rsid w:val="00D17775"/>
    <w:rsid w:val="00D203AD"/>
    <w:rsid w:val="00D221A6"/>
    <w:rsid w:val="00D2508A"/>
    <w:rsid w:val="00D34A30"/>
    <w:rsid w:val="00D34AB0"/>
    <w:rsid w:val="00D35D32"/>
    <w:rsid w:val="00D3763A"/>
    <w:rsid w:val="00D41ACC"/>
    <w:rsid w:val="00D44F41"/>
    <w:rsid w:val="00D479A3"/>
    <w:rsid w:val="00D47D2E"/>
    <w:rsid w:val="00D47DE0"/>
    <w:rsid w:val="00D50ADC"/>
    <w:rsid w:val="00D52BC8"/>
    <w:rsid w:val="00D52D2F"/>
    <w:rsid w:val="00D60C2F"/>
    <w:rsid w:val="00D61573"/>
    <w:rsid w:val="00D675A4"/>
    <w:rsid w:val="00D71178"/>
    <w:rsid w:val="00D7203F"/>
    <w:rsid w:val="00D73E43"/>
    <w:rsid w:val="00D83F4A"/>
    <w:rsid w:val="00D90C94"/>
    <w:rsid w:val="00D937C4"/>
    <w:rsid w:val="00D947FC"/>
    <w:rsid w:val="00D978EE"/>
    <w:rsid w:val="00DA5206"/>
    <w:rsid w:val="00DA5906"/>
    <w:rsid w:val="00DB021C"/>
    <w:rsid w:val="00DB27E2"/>
    <w:rsid w:val="00DB2FD7"/>
    <w:rsid w:val="00DB309A"/>
    <w:rsid w:val="00DB550B"/>
    <w:rsid w:val="00DB56C1"/>
    <w:rsid w:val="00DB6B5A"/>
    <w:rsid w:val="00DC06B4"/>
    <w:rsid w:val="00DC246D"/>
    <w:rsid w:val="00DC356A"/>
    <w:rsid w:val="00DC4C6E"/>
    <w:rsid w:val="00DC5CCC"/>
    <w:rsid w:val="00DC7280"/>
    <w:rsid w:val="00DD186C"/>
    <w:rsid w:val="00DD2BE1"/>
    <w:rsid w:val="00DD4747"/>
    <w:rsid w:val="00DD5BF3"/>
    <w:rsid w:val="00DE2B6B"/>
    <w:rsid w:val="00DE3567"/>
    <w:rsid w:val="00DE42EF"/>
    <w:rsid w:val="00DF247A"/>
    <w:rsid w:val="00DF2FEF"/>
    <w:rsid w:val="00DF5214"/>
    <w:rsid w:val="00E01697"/>
    <w:rsid w:val="00E01891"/>
    <w:rsid w:val="00E01D0F"/>
    <w:rsid w:val="00E02316"/>
    <w:rsid w:val="00E0761F"/>
    <w:rsid w:val="00E11D2D"/>
    <w:rsid w:val="00E20694"/>
    <w:rsid w:val="00E22C9E"/>
    <w:rsid w:val="00E24823"/>
    <w:rsid w:val="00E3032F"/>
    <w:rsid w:val="00E30DA3"/>
    <w:rsid w:val="00E345A3"/>
    <w:rsid w:val="00E34CB8"/>
    <w:rsid w:val="00E361F0"/>
    <w:rsid w:val="00E40CE1"/>
    <w:rsid w:val="00E45D52"/>
    <w:rsid w:val="00E4669C"/>
    <w:rsid w:val="00E52AD3"/>
    <w:rsid w:val="00E544BB"/>
    <w:rsid w:val="00E54779"/>
    <w:rsid w:val="00E567E9"/>
    <w:rsid w:val="00E57BE3"/>
    <w:rsid w:val="00E607EC"/>
    <w:rsid w:val="00E60D0B"/>
    <w:rsid w:val="00E61FB5"/>
    <w:rsid w:val="00E63786"/>
    <w:rsid w:val="00E63D0E"/>
    <w:rsid w:val="00E65F9D"/>
    <w:rsid w:val="00E672B2"/>
    <w:rsid w:val="00E80C52"/>
    <w:rsid w:val="00E81396"/>
    <w:rsid w:val="00E82A18"/>
    <w:rsid w:val="00E83001"/>
    <w:rsid w:val="00E83640"/>
    <w:rsid w:val="00E852F5"/>
    <w:rsid w:val="00E8793D"/>
    <w:rsid w:val="00E947A6"/>
    <w:rsid w:val="00EB05AA"/>
    <w:rsid w:val="00EB2D3D"/>
    <w:rsid w:val="00EB343E"/>
    <w:rsid w:val="00EC18D3"/>
    <w:rsid w:val="00EC1C8E"/>
    <w:rsid w:val="00EC389F"/>
    <w:rsid w:val="00EC3BF9"/>
    <w:rsid w:val="00EC7BC8"/>
    <w:rsid w:val="00ED09E6"/>
    <w:rsid w:val="00ED2BAC"/>
    <w:rsid w:val="00ED4A0D"/>
    <w:rsid w:val="00ED5DF1"/>
    <w:rsid w:val="00EE0F03"/>
    <w:rsid w:val="00EE2742"/>
    <w:rsid w:val="00EF081F"/>
    <w:rsid w:val="00EF3150"/>
    <w:rsid w:val="00EF4FC6"/>
    <w:rsid w:val="00F03610"/>
    <w:rsid w:val="00F03810"/>
    <w:rsid w:val="00F04641"/>
    <w:rsid w:val="00F0721E"/>
    <w:rsid w:val="00F10190"/>
    <w:rsid w:val="00F11FE2"/>
    <w:rsid w:val="00F125E2"/>
    <w:rsid w:val="00F1528F"/>
    <w:rsid w:val="00F15A8D"/>
    <w:rsid w:val="00F17252"/>
    <w:rsid w:val="00F21288"/>
    <w:rsid w:val="00F35539"/>
    <w:rsid w:val="00F43E06"/>
    <w:rsid w:val="00F443DA"/>
    <w:rsid w:val="00F577F7"/>
    <w:rsid w:val="00F62EF3"/>
    <w:rsid w:val="00F81368"/>
    <w:rsid w:val="00F84A7F"/>
    <w:rsid w:val="00F86A75"/>
    <w:rsid w:val="00F9241A"/>
    <w:rsid w:val="00F94658"/>
    <w:rsid w:val="00F95EC0"/>
    <w:rsid w:val="00FB2E62"/>
    <w:rsid w:val="00FC0851"/>
    <w:rsid w:val="00FC1CA5"/>
    <w:rsid w:val="00FC5F9E"/>
    <w:rsid w:val="00FD090A"/>
    <w:rsid w:val="00FD7648"/>
    <w:rsid w:val="00FD76D7"/>
    <w:rsid w:val="00FF2483"/>
    <w:rsid w:val="00FF2F1F"/>
    <w:rsid w:val="00FF4744"/>
    <w:rsid w:val="00FF4F8B"/>
    <w:rsid w:val="00FF59CF"/>
    <w:rsid w:val="00FF7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3E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F03D8"/>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F03D8"/>
    <w:pPr>
      <w:keepNext/>
      <w:keepLines/>
      <w:spacing w:before="200" w:after="0" w:line="276"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F03D8"/>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uiPriority w:val="59"/>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semiHidden/>
    <w:unhideWhenUsed/>
    <w:rsid w:val="00983BD7"/>
    <w:rPr>
      <w:sz w:val="20"/>
      <w:szCs w:val="20"/>
    </w:rPr>
  </w:style>
  <w:style w:type="character" w:customStyle="1" w:styleId="CommentTextChar">
    <w:name w:val="Comment Text Char"/>
    <w:basedOn w:val="DefaultParagraphFont"/>
    <w:link w:val="CommentText"/>
    <w:uiPriority w:val="99"/>
    <w:semiHidden/>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F03D8"/>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character" w:styleId="PlaceholderText">
    <w:name w:val="Placeholder Text"/>
    <w:basedOn w:val="DefaultParagraphFont"/>
    <w:uiPriority w:val="99"/>
    <w:semiHidden/>
    <w:rsid w:val="00E361F0"/>
    <w:rPr>
      <w:color w:val="808080"/>
    </w:rPr>
  </w:style>
  <w:style w:type="table" w:customStyle="1" w:styleId="TableGrid1">
    <w:name w:val="Table Grid1"/>
    <w:basedOn w:val="TableNormal"/>
    <w:next w:val="TableGrid"/>
    <w:uiPriority w:val="59"/>
    <w:rsid w:val="005F1F5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7A51"/>
    <w:pPr>
      <w:keepLines/>
      <w:spacing w:after="0" w:line="259" w:lineRule="auto"/>
      <w:ind w:left="0" w:firstLine="0"/>
      <w:outlineLvl w:val="9"/>
    </w:pPr>
    <w:rPr>
      <w:rFonts w:asciiTheme="majorHAnsi" w:eastAsiaTheme="majorEastAsia" w:hAnsiTheme="majorHAnsi" w:cstheme="majorBidi"/>
      <w:b w:val="0"/>
      <w:bCs w:val="0"/>
      <w:color w:val="4F81BD" w:themeColor="accent1"/>
      <w:kern w:val="0"/>
      <w:sz w:val="28"/>
    </w:rPr>
  </w:style>
  <w:style w:type="paragraph" w:styleId="TOC1">
    <w:name w:val="toc 1"/>
    <w:basedOn w:val="Normal"/>
    <w:next w:val="Normal"/>
    <w:autoRedefine/>
    <w:uiPriority w:val="39"/>
    <w:unhideWhenUsed/>
    <w:rsid w:val="00E672B2"/>
    <w:pPr>
      <w:spacing w:after="100"/>
    </w:pPr>
  </w:style>
  <w:style w:type="paragraph" w:styleId="TOC2">
    <w:name w:val="toc 2"/>
    <w:basedOn w:val="Normal"/>
    <w:next w:val="Normal"/>
    <w:autoRedefine/>
    <w:uiPriority w:val="39"/>
    <w:unhideWhenUsed/>
    <w:rsid w:val="00E672B2"/>
    <w:pPr>
      <w:spacing w:after="100"/>
      <w:ind w:left="240"/>
    </w:pPr>
  </w:style>
  <w:style w:type="paragraph" w:customStyle="1" w:styleId="ExhibitText">
    <w:name w:val="Exhibit Text"/>
    <w:basedOn w:val="Normal"/>
    <w:qFormat/>
    <w:rsid w:val="007C069F"/>
    <w:pPr>
      <w:spacing w:before="40" w:after="40" w:line="264" w:lineRule="auto"/>
    </w:pPr>
    <w:rPr>
      <w:rFonts w:ascii="Arial" w:hAnsi="Arial" w:cs="Arial"/>
      <w:bCs/>
      <w:color w:val="000000"/>
      <w:sz w:val="20"/>
      <w:szCs w:val="20"/>
    </w:rPr>
  </w:style>
  <w:style w:type="paragraph" w:customStyle="1" w:styleId="Bullets">
    <w:name w:val="Bullets"/>
    <w:basedOn w:val="BodyText"/>
    <w:rsid w:val="00D937C4"/>
    <w:pPr>
      <w:numPr>
        <w:numId w:val="25"/>
      </w:numPr>
      <w:ind w:left="720"/>
    </w:pPr>
    <w:rPr>
      <w:rFonts w:ascii="Palatino Linotype" w:eastAsia="Calibri" w:hAnsi="Palatino Linotype"/>
      <w:sz w:val="20"/>
      <w:szCs w:val="20"/>
    </w:rPr>
  </w:style>
  <w:style w:type="paragraph" w:styleId="BodyText">
    <w:name w:val="Body Text"/>
    <w:basedOn w:val="Normal"/>
    <w:link w:val="BodyTextChar"/>
    <w:uiPriority w:val="99"/>
    <w:unhideWhenUsed/>
    <w:rsid w:val="00D937C4"/>
  </w:style>
  <w:style w:type="character" w:customStyle="1" w:styleId="BodyTextChar">
    <w:name w:val="Body Text Char"/>
    <w:basedOn w:val="DefaultParagraphFont"/>
    <w:link w:val="BodyText"/>
    <w:uiPriority w:val="99"/>
    <w:rsid w:val="00D937C4"/>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F03D8"/>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F03D8"/>
    <w:pPr>
      <w:keepNext/>
      <w:keepLines/>
      <w:spacing w:before="200" w:after="0" w:line="276"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F03D8"/>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uiPriority w:val="59"/>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semiHidden/>
    <w:unhideWhenUsed/>
    <w:rsid w:val="00983BD7"/>
    <w:rPr>
      <w:sz w:val="20"/>
      <w:szCs w:val="20"/>
    </w:rPr>
  </w:style>
  <w:style w:type="character" w:customStyle="1" w:styleId="CommentTextChar">
    <w:name w:val="Comment Text Char"/>
    <w:basedOn w:val="DefaultParagraphFont"/>
    <w:link w:val="CommentText"/>
    <w:uiPriority w:val="99"/>
    <w:semiHidden/>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F03D8"/>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character" w:styleId="PlaceholderText">
    <w:name w:val="Placeholder Text"/>
    <w:basedOn w:val="DefaultParagraphFont"/>
    <w:uiPriority w:val="99"/>
    <w:semiHidden/>
    <w:rsid w:val="00E361F0"/>
    <w:rPr>
      <w:color w:val="808080"/>
    </w:rPr>
  </w:style>
  <w:style w:type="table" w:customStyle="1" w:styleId="TableGrid1">
    <w:name w:val="Table Grid1"/>
    <w:basedOn w:val="TableNormal"/>
    <w:next w:val="TableGrid"/>
    <w:uiPriority w:val="59"/>
    <w:rsid w:val="005F1F5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7A51"/>
    <w:pPr>
      <w:keepLines/>
      <w:spacing w:after="0" w:line="259" w:lineRule="auto"/>
      <w:ind w:left="0" w:firstLine="0"/>
      <w:outlineLvl w:val="9"/>
    </w:pPr>
    <w:rPr>
      <w:rFonts w:asciiTheme="majorHAnsi" w:eastAsiaTheme="majorEastAsia" w:hAnsiTheme="majorHAnsi" w:cstheme="majorBidi"/>
      <w:b w:val="0"/>
      <w:bCs w:val="0"/>
      <w:color w:val="4F81BD" w:themeColor="accent1"/>
      <w:kern w:val="0"/>
      <w:sz w:val="28"/>
    </w:rPr>
  </w:style>
  <w:style w:type="paragraph" w:styleId="TOC1">
    <w:name w:val="toc 1"/>
    <w:basedOn w:val="Normal"/>
    <w:next w:val="Normal"/>
    <w:autoRedefine/>
    <w:uiPriority w:val="39"/>
    <w:unhideWhenUsed/>
    <w:rsid w:val="00E672B2"/>
    <w:pPr>
      <w:spacing w:after="100"/>
    </w:pPr>
  </w:style>
  <w:style w:type="paragraph" w:styleId="TOC2">
    <w:name w:val="toc 2"/>
    <w:basedOn w:val="Normal"/>
    <w:next w:val="Normal"/>
    <w:autoRedefine/>
    <w:uiPriority w:val="39"/>
    <w:unhideWhenUsed/>
    <w:rsid w:val="00E672B2"/>
    <w:pPr>
      <w:spacing w:after="100"/>
      <w:ind w:left="240"/>
    </w:pPr>
  </w:style>
  <w:style w:type="paragraph" w:customStyle="1" w:styleId="ExhibitText">
    <w:name w:val="Exhibit Text"/>
    <w:basedOn w:val="Normal"/>
    <w:qFormat/>
    <w:rsid w:val="007C069F"/>
    <w:pPr>
      <w:spacing w:before="40" w:after="40" w:line="264" w:lineRule="auto"/>
    </w:pPr>
    <w:rPr>
      <w:rFonts w:ascii="Arial" w:hAnsi="Arial" w:cs="Arial"/>
      <w:bCs/>
      <w:color w:val="000000"/>
      <w:sz w:val="20"/>
      <w:szCs w:val="20"/>
    </w:rPr>
  </w:style>
  <w:style w:type="paragraph" w:customStyle="1" w:styleId="Bullets">
    <w:name w:val="Bullets"/>
    <w:basedOn w:val="BodyText"/>
    <w:rsid w:val="00D937C4"/>
    <w:pPr>
      <w:numPr>
        <w:numId w:val="25"/>
      </w:numPr>
      <w:ind w:left="720"/>
    </w:pPr>
    <w:rPr>
      <w:rFonts w:ascii="Palatino Linotype" w:eastAsia="Calibri" w:hAnsi="Palatino Linotype"/>
      <w:sz w:val="20"/>
      <w:szCs w:val="20"/>
    </w:rPr>
  </w:style>
  <w:style w:type="paragraph" w:styleId="BodyText">
    <w:name w:val="Body Text"/>
    <w:basedOn w:val="Normal"/>
    <w:link w:val="BodyTextChar"/>
    <w:uiPriority w:val="99"/>
    <w:unhideWhenUsed/>
    <w:rsid w:val="00D937C4"/>
  </w:style>
  <w:style w:type="character" w:customStyle="1" w:styleId="BodyTextChar">
    <w:name w:val="Body Text Char"/>
    <w:basedOn w:val="DefaultParagraphFont"/>
    <w:link w:val="BodyText"/>
    <w:uiPriority w:val="99"/>
    <w:rsid w:val="00D937C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8313">
      <w:bodyDiv w:val="1"/>
      <w:marLeft w:val="0"/>
      <w:marRight w:val="0"/>
      <w:marTop w:val="0"/>
      <w:marBottom w:val="0"/>
      <w:divBdr>
        <w:top w:val="none" w:sz="0" w:space="0" w:color="auto"/>
        <w:left w:val="none" w:sz="0" w:space="0" w:color="auto"/>
        <w:bottom w:val="none" w:sz="0" w:space="0" w:color="auto"/>
        <w:right w:val="none" w:sz="0" w:space="0" w:color="auto"/>
      </w:divBdr>
    </w:div>
    <w:div w:id="281766531">
      <w:bodyDiv w:val="1"/>
      <w:marLeft w:val="0"/>
      <w:marRight w:val="0"/>
      <w:marTop w:val="0"/>
      <w:marBottom w:val="0"/>
      <w:divBdr>
        <w:top w:val="none" w:sz="0" w:space="0" w:color="auto"/>
        <w:left w:val="none" w:sz="0" w:space="0" w:color="auto"/>
        <w:bottom w:val="none" w:sz="0" w:space="0" w:color="auto"/>
        <w:right w:val="none" w:sz="0" w:space="0" w:color="auto"/>
      </w:divBdr>
    </w:div>
    <w:div w:id="614291074">
      <w:bodyDiv w:val="1"/>
      <w:marLeft w:val="0"/>
      <w:marRight w:val="0"/>
      <w:marTop w:val="0"/>
      <w:marBottom w:val="0"/>
      <w:divBdr>
        <w:top w:val="none" w:sz="0" w:space="0" w:color="auto"/>
        <w:left w:val="none" w:sz="0" w:space="0" w:color="auto"/>
        <w:bottom w:val="none" w:sz="0" w:space="0" w:color="auto"/>
        <w:right w:val="none" w:sz="0" w:space="0" w:color="auto"/>
      </w:divBdr>
    </w:div>
    <w:div w:id="661202370">
      <w:bodyDiv w:val="1"/>
      <w:marLeft w:val="0"/>
      <w:marRight w:val="0"/>
      <w:marTop w:val="0"/>
      <w:marBottom w:val="0"/>
      <w:divBdr>
        <w:top w:val="none" w:sz="0" w:space="0" w:color="auto"/>
        <w:left w:val="none" w:sz="0" w:space="0" w:color="auto"/>
        <w:bottom w:val="none" w:sz="0" w:space="0" w:color="auto"/>
        <w:right w:val="none" w:sz="0" w:space="0" w:color="auto"/>
      </w:divBdr>
    </w:div>
    <w:div w:id="1473064733">
      <w:bodyDiv w:val="1"/>
      <w:marLeft w:val="0"/>
      <w:marRight w:val="0"/>
      <w:marTop w:val="0"/>
      <w:marBottom w:val="0"/>
      <w:divBdr>
        <w:top w:val="none" w:sz="0" w:space="0" w:color="auto"/>
        <w:left w:val="none" w:sz="0" w:space="0" w:color="auto"/>
        <w:bottom w:val="none" w:sz="0" w:space="0" w:color="auto"/>
        <w:right w:val="none" w:sz="0" w:space="0" w:color="auto"/>
      </w:divBdr>
    </w:div>
    <w:div w:id="1666590852">
      <w:bodyDiv w:val="1"/>
      <w:marLeft w:val="0"/>
      <w:marRight w:val="0"/>
      <w:marTop w:val="0"/>
      <w:marBottom w:val="0"/>
      <w:divBdr>
        <w:top w:val="none" w:sz="0" w:space="0" w:color="auto"/>
        <w:left w:val="none" w:sz="0" w:space="0" w:color="auto"/>
        <w:bottom w:val="none" w:sz="0" w:space="0" w:color="auto"/>
        <w:right w:val="none" w:sz="0" w:space="0" w:color="auto"/>
      </w:divBdr>
    </w:div>
    <w:div w:id="1827092200">
      <w:bodyDiv w:val="1"/>
      <w:marLeft w:val="0"/>
      <w:marRight w:val="0"/>
      <w:marTop w:val="0"/>
      <w:marBottom w:val="0"/>
      <w:divBdr>
        <w:top w:val="none" w:sz="0" w:space="0" w:color="auto"/>
        <w:left w:val="none" w:sz="0" w:space="0" w:color="auto"/>
        <w:bottom w:val="none" w:sz="0" w:space="0" w:color="auto"/>
        <w:right w:val="none" w:sz="0" w:space="0" w:color="auto"/>
      </w:divBdr>
    </w:div>
    <w:div w:id="20399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Zandniapour@cns.gov"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istina_Booker@abtasso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llan_Porowski@abtassoc.com" TargetMode="External"/><Relationship Id="rId4" Type="http://schemas.microsoft.com/office/2007/relationships/stylesWithEffects" Target="stylesWithEffects.xml"/><Relationship Id="rId9" Type="http://schemas.openxmlformats.org/officeDocument/2006/relationships/hyperlink" Target="mailto:Marjorie_Levin@abtasso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B4DE-FE9D-4DED-8E1F-EEE45B88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Alicia</dc:creator>
  <cp:lastModifiedBy>Borgstrom, Amy</cp:lastModifiedBy>
  <cp:revision>5</cp:revision>
  <cp:lastPrinted>2015-12-09T20:57:00Z</cp:lastPrinted>
  <dcterms:created xsi:type="dcterms:W3CDTF">2016-02-05T00:44:00Z</dcterms:created>
  <dcterms:modified xsi:type="dcterms:W3CDTF">2016-03-11T14:28:00Z</dcterms:modified>
</cp:coreProperties>
</file>