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DB" w:rsidRDefault="005B6ADB" w:rsidP="005B6ADB">
      <w:pPr>
        <w:tabs>
          <w:tab w:val="center" w:pos="4680"/>
        </w:tabs>
        <w:jc w:val="center"/>
        <w:rPr>
          <w:rFonts w:ascii="Times New Roman" w:hAnsi="Times New Roman"/>
        </w:rPr>
      </w:pPr>
      <w:r>
        <w:rPr>
          <w:rFonts w:ascii="Times New Roman" w:hAnsi="Times New Roman"/>
        </w:rPr>
        <w:t xml:space="preserve">SUPPORTING STATEMENT  </w:t>
      </w:r>
    </w:p>
    <w:p w:rsidR="005B6ADB" w:rsidRDefault="00485697" w:rsidP="00485697">
      <w:pPr>
        <w:tabs>
          <w:tab w:val="center" w:pos="4680"/>
        </w:tabs>
        <w:jc w:val="center"/>
        <w:rPr>
          <w:rFonts w:ascii="Times New Roman" w:hAnsi="Times New Roman"/>
        </w:rPr>
      </w:pPr>
      <w:r>
        <w:rPr>
          <w:rFonts w:ascii="Times New Roman" w:hAnsi="Times New Roman"/>
        </w:rPr>
        <w:t>Recordkeeping for Timely Deposit Insurance Determination</w:t>
      </w:r>
    </w:p>
    <w:p w:rsidR="008C29DB" w:rsidRDefault="00175B53" w:rsidP="00485697">
      <w:pPr>
        <w:tabs>
          <w:tab w:val="center" w:pos="4680"/>
        </w:tabs>
        <w:jc w:val="center"/>
        <w:rPr>
          <w:rFonts w:ascii="Times New Roman" w:hAnsi="Times New Roman"/>
        </w:rPr>
      </w:pPr>
      <w:r>
        <w:rPr>
          <w:rFonts w:ascii="Times New Roman" w:hAnsi="Times New Roman"/>
        </w:rPr>
        <w:t xml:space="preserve">(OMB Control No. </w:t>
      </w:r>
      <w:r w:rsidR="008C29DB">
        <w:rPr>
          <w:rFonts w:ascii="Times New Roman" w:hAnsi="Times New Roman"/>
        </w:rPr>
        <w:t>3064-NEW</w:t>
      </w:r>
      <w:r>
        <w:rPr>
          <w:rFonts w:ascii="Times New Roman" w:hAnsi="Times New Roman"/>
        </w:rPr>
        <w:t>)</w:t>
      </w:r>
    </w:p>
    <w:p w:rsidR="005B6ADB"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rPr>
      </w:pPr>
      <w:bookmarkStart w:id="0" w:name="_GoBack"/>
      <w:bookmarkEnd w:id="0"/>
    </w:p>
    <w:p w:rsidR="005B6ADB"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5B6ADB"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5B6ADB" w:rsidRDefault="00175B53" w:rsidP="0043292B">
      <w:pPr>
        <w:ind w:firstLine="720"/>
        <w:rPr>
          <w:rFonts w:ascii="Times New Roman" w:hAnsi="Times New Roman"/>
        </w:rPr>
      </w:pPr>
      <w:r>
        <w:rPr>
          <w:rFonts w:ascii="Times New Roman" w:hAnsi="Times New Roman"/>
          <w:szCs w:val="24"/>
        </w:rPr>
        <w:t>The FDIC is requesting approval from the OMB to establish a new information collection comprised of reporting and recordkeeping requirements contained in a notice of proposed rulemaking on</w:t>
      </w:r>
      <w:r w:rsidR="005B6ADB">
        <w:rPr>
          <w:rFonts w:ascii="Times New Roman" w:hAnsi="Times New Roman"/>
        </w:rPr>
        <w:t xml:space="preserve"> “</w:t>
      </w:r>
      <w:r w:rsidR="005B6ADB" w:rsidRPr="00D17686">
        <w:rPr>
          <w:rFonts w:ascii="Times New Roman" w:hAnsi="Times New Roman"/>
        </w:rPr>
        <w:t xml:space="preserve">Recordkeeping </w:t>
      </w:r>
      <w:r w:rsidR="005B6ADB">
        <w:rPr>
          <w:rFonts w:ascii="Times New Roman" w:hAnsi="Times New Roman"/>
        </w:rPr>
        <w:t>f</w:t>
      </w:r>
      <w:r w:rsidR="005B6ADB" w:rsidRPr="00D17686">
        <w:rPr>
          <w:rFonts w:ascii="Times New Roman" w:hAnsi="Times New Roman"/>
        </w:rPr>
        <w:t>or Timely Deposit Insurance Determination</w:t>
      </w:r>
      <w:r w:rsidR="005B6ADB">
        <w:rPr>
          <w:rFonts w:ascii="Times New Roman" w:hAnsi="Times New Roman"/>
        </w:rPr>
        <w:t xml:space="preserve">” </w:t>
      </w:r>
      <w:r>
        <w:rPr>
          <w:rFonts w:ascii="Times New Roman" w:hAnsi="Times New Roman"/>
        </w:rPr>
        <w:t>that</w:t>
      </w:r>
      <w:r w:rsidR="005B6ADB">
        <w:rPr>
          <w:rFonts w:ascii="Times New Roman" w:hAnsi="Times New Roman"/>
        </w:rPr>
        <w:t xml:space="preserve"> would require </w:t>
      </w:r>
      <w:r w:rsidR="005B6ADB" w:rsidRPr="00D17686">
        <w:rPr>
          <w:rFonts w:ascii="Times New Roman" w:hAnsi="Times New Roman"/>
        </w:rPr>
        <w:t>insured depository institutions</w:t>
      </w:r>
      <w:r w:rsidR="005B6ADB">
        <w:rPr>
          <w:rFonts w:ascii="Times New Roman" w:hAnsi="Times New Roman"/>
        </w:rPr>
        <w:t xml:space="preserve"> (“IDIs”)</w:t>
      </w:r>
      <w:r w:rsidR="005B6ADB" w:rsidRPr="00D17686">
        <w:rPr>
          <w:rFonts w:ascii="Times New Roman" w:hAnsi="Times New Roman"/>
        </w:rPr>
        <w:t xml:space="preserve"> that have two million or more deposit accounts </w:t>
      </w:r>
      <w:r w:rsidR="005B6ADB">
        <w:rPr>
          <w:rFonts w:ascii="Times New Roman" w:hAnsi="Times New Roman"/>
        </w:rPr>
        <w:t>(“covered institutions”)</w:t>
      </w:r>
      <w:r>
        <w:rPr>
          <w:rFonts w:ascii="Times New Roman" w:hAnsi="Times New Roman"/>
        </w:rPr>
        <w:t xml:space="preserve">, for all deposit accounts: </w:t>
      </w:r>
      <w:r w:rsidR="005B6ADB" w:rsidRPr="00D17686">
        <w:rPr>
          <w:rFonts w:ascii="Times New Roman" w:hAnsi="Times New Roman"/>
        </w:rPr>
        <w:t>(</w:t>
      </w:r>
      <w:r w:rsidR="005B6ADB">
        <w:rPr>
          <w:rFonts w:ascii="Times New Roman" w:hAnsi="Times New Roman"/>
        </w:rPr>
        <w:t>1</w:t>
      </w:r>
      <w:r w:rsidR="005B6ADB" w:rsidRPr="00D17686">
        <w:rPr>
          <w:rFonts w:ascii="Times New Roman" w:hAnsi="Times New Roman"/>
        </w:rPr>
        <w:t>) to maintain complete and accurate data on each depositor’s ownership interest</w:t>
      </w:r>
      <w:r>
        <w:rPr>
          <w:rFonts w:ascii="Times New Roman" w:hAnsi="Times New Roman"/>
        </w:rPr>
        <w:t>,</w:t>
      </w:r>
      <w:r w:rsidR="005B6ADB" w:rsidRPr="00D17686">
        <w:rPr>
          <w:rFonts w:ascii="Times New Roman" w:hAnsi="Times New Roman"/>
        </w:rPr>
        <w:t xml:space="preserve"> by right and capacity</w:t>
      </w:r>
      <w:r>
        <w:rPr>
          <w:rFonts w:ascii="Times New Roman" w:hAnsi="Times New Roman"/>
        </w:rPr>
        <w:t>;</w:t>
      </w:r>
      <w:r w:rsidR="005B6ADB" w:rsidRPr="00D17686">
        <w:rPr>
          <w:rFonts w:ascii="Times New Roman" w:hAnsi="Times New Roman"/>
        </w:rPr>
        <w:t xml:space="preserve"> and (</w:t>
      </w:r>
      <w:r w:rsidR="005B6ADB">
        <w:rPr>
          <w:rFonts w:ascii="Times New Roman" w:hAnsi="Times New Roman"/>
        </w:rPr>
        <w:t>2</w:t>
      </w:r>
      <w:r w:rsidR="005B6ADB" w:rsidRPr="00D17686">
        <w:rPr>
          <w:rFonts w:ascii="Times New Roman" w:hAnsi="Times New Roman"/>
        </w:rPr>
        <w:t>) to develop the capability</w:t>
      </w:r>
      <w:r>
        <w:rPr>
          <w:rFonts w:ascii="Times New Roman" w:hAnsi="Times New Roman"/>
        </w:rPr>
        <w:t>,</w:t>
      </w:r>
      <w:r w:rsidR="005B6ADB" w:rsidRPr="00D17686">
        <w:rPr>
          <w:rFonts w:ascii="Times New Roman" w:hAnsi="Times New Roman"/>
        </w:rPr>
        <w:t xml:space="preserve"> </w:t>
      </w:r>
      <w:r w:rsidR="005B6ADB">
        <w:rPr>
          <w:rFonts w:ascii="Times New Roman" w:hAnsi="Times New Roman"/>
        </w:rPr>
        <w:t>using their information technology systems (“IT systems”)</w:t>
      </w:r>
      <w:r>
        <w:rPr>
          <w:rFonts w:ascii="Times New Roman" w:hAnsi="Times New Roman"/>
        </w:rPr>
        <w:t>,</w:t>
      </w:r>
      <w:r w:rsidR="005B6ADB">
        <w:rPr>
          <w:rFonts w:ascii="Times New Roman" w:hAnsi="Times New Roman"/>
        </w:rPr>
        <w:t xml:space="preserve"> </w:t>
      </w:r>
      <w:r w:rsidR="005B6ADB" w:rsidRPr="00D17686">
        <w:rPr>
          <w:rFonts w:ascii="Times New Roman" w:hAnsi="Times New Roman"/>
        </w:rPr>
        <w:t>to calculate the insured and uninsured amounts for each deposit owner</w:t>
      </w:r>
      <w:r>
        <w:rPr>
          <w:rFonts w:ascii="Times New Roman" w:hAnsi="Times New Roman"/>
        </w:rPr>
        <w:t>,</w:t>
      </w:r>
      <w:r w:rsidR="005B6ADB" w:rsidRPr="00D17686">
        <w:rPr>
          <w:rFonts w:ascii="Times New Roman" w:hAnsi="Times New Roman"/>
        </w:rPr>
        <w:t xml:space="preserve"> by ownership right and capacity</w:t>
      </w:r>
      <w:r>
        <w:rPr>
          <w:rFonts w:ascii="Times New Roman" w:hAnsi="Times New Roman"/>
        </w:rPr>
        <w:t>.</w:t>
      </w:r>
    </w:p>
    <w:p w:rsidR="005B6ADB"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5B6ADB" w:rsidRDefault="005B6ADB" w:rsidP="005B6ADB">
      <w:pPr>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5B6ADB" w:rsidRDefault="005B6ADB" w:rsidP="005B6ADB">
      <w:pPr>
        <w:rPr>
          <w:rFonts w:ascii="Times New Roman" w:hAnsi="Times New Roman"/>
        </w:rPr>
      </w:pPr>
    </w:p>
    <w:p w:rsidR="005B6ADB" w:rsidRDefault="005B6ADB" w:rsidP="005B6ADB">
      <w:pPr>
        <w:ind w:left="120" w:firstLine="60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5B6ADB" w:rsidRDefault="005B6ADB" w:rsidP="005B6ADB">
      <w:pPr>
        <w:rPr>
          <w:rFonts w:ascii="Times New Roman" w:hAnsi="Times New Roman"/>
        </w:rPr>
      </w:pPr>
    </w:p>
    <w:p w:rsidR="005B6ADB" w:rsidRDefault="005B6ADB" w:rsidP="005B6ADB">
      <w:pPr>
        <w:rPr>
          <w:rFonts w:ascii="Times New Roman" w:hAnsi="Times New Roman"/>
        </w:rPr>
      </w:pPr>
      <w:r>
        <w:rPr>
          <w:rFonts w:ascii="Times New Roman" w:hAnsi="Times New Roman"/>
        </w:rPr>
        <w:tab/>
        <w:t>D</w:t>
      </w:r>
      <w:r w:rsidRPr="00310D89">
        <w:rPr>
          <w:rFonts w:ascii="Times New Roman" w:hAnsi="Times New Roman"/>
        </w:rPr>
        <w:t>eposits have become more concentrated</w:t>
      </w:r>
      <w:r>
        <w:rPr>
          <w:rFonts w:ascii="Times New Roman" w:hAnsi="Times New Roman"/>
        </w:rPr>
        <w:t xml:space="preserve"> in large IDIs</w:t>
      </w:r>
      <w:r w:rsidRPr="00310D89">
        <w:rPr>
          <w:rFonts w:ascii="Times New Roman" w:hAnsi="Times New Roman"/>
        </w:rPr>
        <w:t xml:space="preserve">.  From 2008 through 2014, the largest number of deposit accounts held at a single IDI increased 42 per cent, and the number of deposit accounts at the </w:t>
      </w:r>
      <w:r>
        <w:rPr>
          <w:rFonts w:ascii="Times New Roman" w:hAnsi="Times New Roman"/>
        </w:rPr>
        <w:t>ten</w:t>
      </w:r>
      <w:r w:rsidRPr="00310D89">
        <w:rPr>
          <w:rFonts w:ascii="Times New Roman" w:hAnsi="Times New Roman"/>
        </w:rPr>
        <w:t xml:space="preserve"> </w:t>
      </w:r>
      <w:r>
        <w:rPr>
          <w:rFonts w:ascii="Times New Roman" w:hAnsi="Times New Roman"/>
        </w:rPr>
        <w:t>IDIs</w:t>
      </w:r>
      <w:r w:rsidRPr="00310D89">
        <w:rPr>
          <w:rFonts w:ascii="Times New Roman" w:hAnsi="Times New Roman"/>
        </w:rPr>
        <w:t xml:space="preserve"> having the most deposit accounts increased 25 percent.  </w:t>
      </w:r>
      <w:r>
        <w:rPr>
          <w:rFonts w:ascii="Times New Roman" w:hAnsi="Times New Roman"/>
        </w:rPr>
        <w:t xml:space="preserve">The increased concentration of deposits is partly a function of the IDIs’ internal growth, but it is also attributable to acquisitions during this time period.  </w:t>
      </w:r>
      <w:proofErr w:type="gramStart"/>
      <w:r w:rsidRPr="00310D89">
        <w:rPr>
          <w:rFonts w:ascii="Times New Roman" w:hAnsi="Times New Roman"/>
        </w:rPr>
        <w:t>As a result</w:t>
      </w:r>
      <w:proofErr w:type="gramEnd"/>
      <w:r w:rsidRPr="00310D89">
        <w:rPr>
          <w:rFonts w:ascii="Times New Roman" w:hAnsi="Times New Roman"/>
        </w:rPr>
        <w:t xml:space="preserve"> of this concentration, many </w:t>
      </w:r>
      <w:r>
        <w:rPr>
          <w:rFonts w:ascii="Times New Roman" w:hAnsi="Times New Roman"/>
        </w:rPr>
        <w:t>IDIs</w:t>
      </w:r>
      <w:r w:rsidRPr="00310D89">
        <w:rPr>
          <w:rFonts w:ascii="Times New Roman" w:hAnsi="Times New Roman"/>
        </w:rPr>
        <w:t xml:space="preserve"> are even more complex than before, </w:t>
      </w:r>
      <w:r w:rsidR="00EB35A7">
        <w:rPr>
          <w:rFonts w:ascii="Times New Roman" w:hAnsi="Times New Roman"/>
        </w:rPr>
        <w:t>resulting in</w:t>
      </w:r>
      <w:r w:rsidR="00EB35A7" w:rsidRPr="00310D89">
        <w:rPr>
          <w:rFonts w:ascii="Times New Roman" w:hAnsi="Times New Roman"/>
        </w:rPr>
        <w:t xml:space="preserve"> </w:t>
      </w:r>
      <w:r w:rsidRPr="00310D89">
        <w:rPr>
          <w:rFonts w:ascii="Times New Roman" w:hAnsi="Times New Roman"/>
        </w:rPr>
        <w:t xml:space="preserve">greater potential for significant </w:t>
      </w:r>
      <w:r w:rsidR="00EB35A7">
        <w:rPr>
          <w:rFonts w:ascii="Times New Roman" w:hAnsi="Times New Roman"/>
        </w:rPr>
        <w:t xml:space="preserve">internal </w:t>
      </w:r>
      <w:r w:rsidRPr="00310D89">
        <w:rPr>
          <w:rFonts w:ascii="Times New Roman" w:hAnsi="Times New Roman"/>
        </w:rPr>
        <w:t>IT systems disparities as well as data accuracy and completeness problems.</w:t>
      </w:r>
      <w:r>
        <w:rPr>
          <w:rFonts w:ascii="Times New Roman" w:hAnsi="Times New Roman"/>
        </w:rPr>
        <w:t xml:space="preserve">  </w:t>
      </w:r>
      <w:r w:rsidRPr="00310D89">
        <w:rPr>
          <w:rFonts w:ascii="Times New Roman" w:hAnsi="Times New Roman"/>
        </w:rPr>
        <w:t xml:space="preserve">Larger institutions are generally more complex, have more deposit accounts, greater geographic dispersion, more diverse systems, and more </w:t>
      </w:r>
      <w:r>
        <w:rPr>
          <w:rFonts w:ascii="Times New Roman" w:hAnsi="Times New Roman"/>
        </w:rPr>
        <w:t xml:space="preserve">data quality </w:t>
      </w:r>
      <w:r w:rsidRPr="00310D89">
        <w:rPr>
          <w:rFonts w:ascii="Times New Roman" w:hAnsi="Times New Roman"/>
        </w:rPr>
        <w:t xml:space="preserve">issues.  Because </w:t>
      </w:r>
      <w:r w:rsidR="00EB35A7">
        <w:rPr>
          <w:rFonts w:ascii="Times New Roman" w:hAnsi="Times New Roman"/>
        </w:rPr>
        <w:t>the perception that FDIC could be delayed</w:t>
      </w:r>
      <w:r w:rsidR="00EB35A7" w:rsidRPr="00310D89">
        <w:rPr>
          <w:rFonts w:ascii="Times New Roman" w:hAnsi="Times New Roman"/>
        </w:rPr>
        <w:t xml:space="preserve"> </w:t>
      </w:r>
      <w:r w:rsidRPr="00310D89">
        <w:rPr>
          <w:rFonts w:ascii="Times New Roman" w:hAnsi="Times New Roman"/>
        </w:rPr>
        <w:t xml:space="preserve">in </w:t>
      </w:r>
      <w:r w:rsidR="00EB35A7">
        <w:rPr>
          <w:rFonts w:ascii="Times New Roman" w:hAnsi="Times New Roman"/>
        </w:rPr>
        <w:t xml:space="preserve">making deposit </w:t>
      </w:r>
      <w:r w:rsidRPr="00310D89">
        <w:rPr>
          <w:rFonts w:ascii="Times New Roman" w:hAnsi="Times New Roman"/>
        </w:rPr>
        <w:t>insurance determinations</w:t>
      </w:r>
      <w:r w:rsidR="00EB35A7">
        <w:rPr>
          <w:rFonts w:ascii="Times New Roman" w:hAnsi="Times New Roman"/>
        </w:rPr>
        <w:t xml:space="preserve"> in the event of the failure of an IDI</w:t>
      </w:r>
      <w:r w:rsidRPr="00310D89">
        <w:rPr>
          <w:rFonts w:ascii="Times New Roman" w:hAnsi="Times New Roman"/>
        </w:rPr>
        <w:t xml:space="preserve"> could lead to bank runs or other systemic problems, the FDIC believes that improved strategies must be implemented to ensure prompt deposit insurance determinations upon the failure of </w:t>
      </w:r>
      <w:r>
        <w:rPr>
          <w:rFonts w:ascii="Times New Roman" w:hAnsi="Times New Roman"/>
        </w:rPr>
        <w:t>an IDI</w:t>
      </w:r>
      <w:r w:rsidRPr="00310D89">
        <w:rPr>
          <w:rFonts w:ascii="Times New Roman" w:hAnsi="Times New Roman"/>
        </w:rPr>
        <w:t xml:space="preserve"> with a large number of deposit accounts.</w:t>
      </w:r>
      <w:r>
        <w:rPr>
          <w:rFonts w:ascii="Times New Roman" w:hAnsi="Times New Roman"/>
        </w:rPr>
        <w:t xml:space="preserve">  </w:t>
      </w:r>
      <w:r w:rsidRPr="00310D89">
        <w:rPr>
          <w:rFonts w:ascii="Times New Roman" w:hAnsi="Times New Roman"/>
        </w:rPr>
        <w:t xml:space="preserve">The FDIC believes that requiring covered institutions to enhance their deposit account data and </w:t>
      </w:r>
      <w:r w:rsidR="00A457EB">
        <w:rPr>
          <w:rFonts w:ascii="Times New Roman" w:hAnsi="Times New Roman"/>
        </w:rPr>
        <w:t xml:space="preserve">to </w:t>
      </w:r>
      <w:r w:rsidRPr="00310D89">
        <w:rPr>
          <w:rFonts w:ascii="Times New Roman" w:hAnsi="Times New Roman"/>
        </w:rPr>
        <w:t xml:space="preserve">upgrade their IT systems </w:t>
      </w:r>
      <w:r w:rsidR="0027282C" w:rsidRPr="00310D89">
        <w:rPr>
          <w:rFonts w:ascii="Times New Roman" w:hAnsi="Times New Roman"/>
        </w:rPr>
        <w:t>would address many of these issues</w:t>
      </w:r>
      <w:r w:rsidR="00A457EB">
        <w:rPr>
          <w:rFonts w:ascii="Times New Roman" w:hAnsi="Times New Roman"/>
        </w:rPr>
        <w:t>.  Under the proposed framework, t</w:t>
      </w:r>
      <w:r w:rsidRPr="00310D89">
        <w:rPr>
          <w:rFonts w:ascii="Times New Roman" w:hAnsi="Times New Roman"/>
        </w:rPr>
        <w:t xml:space="preserve">he FDIC </w:t>
      </w:r>
      <w:r w:rsidR="0027282C">
        <w:rPr>
          <w:rFonts w:ascii="Times New Roman" w:hAnsi="Times New Roman"/>
        </w:rPr>
        <w:t>would be able to</w:t>
      </w:r>
      <w:r w:rsidR="0027282C" w:rsidRPr="00310D89">
        <w:rPr>
          <w:rFonts w:ascii="Times New Roman" w:hAnsi="Times New Roman"/>
        </w:rPr>
        <w:t xml:space="preserve"> </w:t>
      </w:r>
      <w:r w:rsidRPr="00310D89">
        <w:rPr>
          <w:rFonts w:ascii="Times New Roman" w:hAnsi="Times New Roman"/>
        </w:rPr>
        <w:t xml:space="preserve">perform the deposit insurance determination on all or </w:t>
      </w:r>
      <w:r>
        <w:rPr>
          <w:rFonts w:ascii="Times New Roman" w:hAnsi="Times New Roman"/>
        </w:rPr>
        <w:t xml:space="preserve">a significant subset </w:t>
      </w:r>
      <w:r w:rsidRPr="00310D89">
        <w:rPr>
          <w:rFonts w:ascii="Times New Roman" w:hAnsi="Times New Roman"/>
        </w:rPr>
        <w:t xml:space="preserve">of </w:t>
      </w:r>
      <w:r>
        <w:rPr>
          <w:rFonts w:ascii="Times New Roman" w:hAnsi="Times New Roman"/>
        </w:rPr>
        <w:t>those covered institutions’</w:t>
      </w:r>
      <w:r w:rsidRPr="00310D89">
        <w:rPr>
          <w:rFonts w:ascii="Times New Roman" w:hAnsi="Times New Roman"/>
        </w:rPr>
        <w:t xml:space="preserve"> deposit accounts without </w:t>
      </w:r>
      <w:r w:rsidR="00EB35A7">
        <w:rPr>
          <w:rFonts w:ascii="Times New Roman" w:hAnsi="Times New Roman"/>
        </w:rPr>
        <w:t xml:space="preserve">the significant delay that </w:t>
      </w:r>
      <w:r w:rsidR="00A457EB">
        <w:rPr>
          <w:rFonts w:ascii="Times New Roman" w:hAnsi="Times New Roman"/>
        </w:rPr>
        <w:t>could</w:t>
      </w:r>
      <w:r w:rsidR="00EB35A7">
        <w:rPr>
          <w:rFonts w:ascii="Times New Roman" w:hAnsi="Times New Roman"/>
        </w:rPr>
        <w:t xml:space="preserve"> be occasioned by </w:t>
      </w:r>
      <w:r w:rsidRPr="00310D89">
        <w:rPr>
          <w:rFonts w:ascii="Times New Roman" w:hAnsi="Times New Roman"/>
        </w:rPr>
        <w:t xml:space="preserve">a data transfer </w:t>
      </w:r>
      <w:r>
        <w:rPr>
          <w:rFonts w:ascii="Times New Roman" w:hAnsi="Times New Roman"/>
        </w:rPr>
        <w:lastRenderedPageBreak/>
        <w:t>to the FDIC</w:t>
      </w:r>
      <w:r w:rsidR="0027282C">
        <w:rPr>
          <w:rFonts w:ascii="Times New Roman" w:hAnsi="Times New Roman"/>
        </w:rPr>
        <w:t>.</w:t>
      </w:r>
    </w:p>
    <w:p w:rsidR="005B6ADB" w:rsidRDefault="005B6ADB" w:rsidP="008D0DCF">
      <w:pPr>
        <w:widowControl/>
        <w:rPr>
          <w:rFonts w:ascii="Times New Roman" w:hAnsi="Times New Roman"/>
        </w:rPr>
      </w:pPr>
    </w:p>
    <w:p w:rsidR="005B6ADB" w:rsidRDefault="005B6ADB" w:rsidP="005B6ADB">
      <w:pPr>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5B6ADB" w:rsidRDefault="005B6ADB" w:rsidP="005B6ADB">
      <w:pPr>
        <w:rPr>
          <w:rFonts w:ascii="Times New Roman" w:hAnsi="Times New Roman"/>
        </w:rPr>
      </w:pPr>
    </w:p>
    <w:p w:rsidR="005B6ADB" w:rsidRDefault="0027282C" w:rsidP="005B6ADB">
      <w:pPr>
        <w:pStyle w:val="BodyTextIndent"/>
        <w:ind w:left="0" w:firstLine="720"/>
      </w:pPr>
      <w:r>
        <w:t xml:space="preserve">The information collected under the proposed rule will be used </w:t>
      </w:r>
      <w:r w:rsidR="005B6ADB">
        <w:t xml:space="preserve">by the FDIC to determine the amount of deposit insurance available to each depositor for each of his or her deposit accounts in the event of </w:t>
      </w:r>
      <w:r>
        <w:t xml:space="preserve">a </w:t>
      </w:r>
      <w:r w:rsidR="005B6ADB">
        <w:t xml:space="preserve">covered institution’s failure.  Much of this information is already collected by all IDIs under existing statutory or regulatory requirements.  The </w:t>
      </w:r>
      <w:r w:rsidR="0043292B">
        <w:t>proposed rule</w:t>
      </w:r>
      <w:r w:rsidR="005B6ADB">
        <w:t xml:space="preserve"> would impose a new information collection requirement to the extent that covered institutions don’t presently collect information </w:t>
      </w:r>
      <w:r w:rsidR="00485697">
        <w:t>from depositors that is needed by the FDIC to make a deposit insurance determination, and to the extent that covered institutions would need to keep their deposit records in a format that is accessible by the FDIC, using a covered institution’s IT system, in the event of a covered institution’s failure</w:t>
      </w:r>
      <w:r w:rsidR="005B6ADB">
        <w:t>.  Such information may include identifying information for beneficial owners of deposits held in the name of an agent at a covered institution</w:t>
      </w:r>
      <w:r w:rsidR="00485697">
        <w:t>, and identifying information for beneficiaries of trust accounts</w:t>
      </w:r>
      <w:r w:rsidR="005B6ADB">
        <w:t xml:space="preserve">. </w:t>
      </w:r>
    </w:p>
    <w:p w:rsidR="005B6ADB" w:rsidRDefault="005B6ADB" w:rsidP="005B6ADB">
      <w:pPr>
        <w:pStyle w:val="BodyTextIndent"/>
        <w:ind w:left="0" w:firstLine="720"/>
      </w:pPr>
    </w:p>
    <w:p w:rsidR="005B6ADB" w:rsidRDefault="005B6ADB" w:rsidP="005B6ADB">
      <w:pPr>
        <w:pStyle w:val="BodyTextIndent"/>
        <w:ind w:left="0" w:firstLine="720"/>
      </w:pPr>
      <w:r>
        <w:t>The FDIC would also collect from each covered institution</w:t>
      </w:r>
      <w:r w:rsidR="00485697">
        <w:t>, on an annual basis,</w:t>
      </w:r>
      <w:r w:rsidR="0043292B">
        <w:t xml:space="preserve"> a certification</w:t>
      </w:r>
      <w:r>
        <w:t xml:space="preserve"> </w:t>
      </w:r>
      <w:r w:rsidR="0043292B">
        <w:t>that the covered institution is in</w:t>
      </w:r>
      <w:r>
        <w:t xml:space="preserve"> complian</w:t>
      </w:r>
      <w:r w:rsidR="0043292B">
        <w:t xml:space="preserve">ce with the proposed rule’s requirements as well as </w:t>
      </w:r>
      <w:r>
        <w:t xml:space="preserve">a summary deposit insurance coverage report.  Alternatively, the FDIC would collect </w:t>
      </w:r>
      <w:r w:rsidR="0043292B">
        <w:t xml:space="preserve">an application for relief from the proposed rule’s requirements, which would include </w:t>
      </w:r>
      <w:r>
        <w:t xml:space="preserve">information that substantiates </w:t>
      </w:r>
      <w:r w:rsidR="0043292B">
        <w:t>the</w:t>
      </w:r>
      <w:r>
        <w:t xml:space="preserve"> covered institution’s </w:t>
      </w:r>
      <w:r w:rsidR="00EB2629">
        <w:t>inability to comply</w:t>
      </w:r>
      <w:r>
        <w:t>.</w:t>
      </w:r>
    </w:p>
    <w:p w:rsidR="005B6ADB" w:rsidRDefault="005B6ADB" w:rsidP="005B6ADB">
      <w:pPr>
        <w:rPr>
          <w:rFonts w:ascii="Times New Roman" w:hAnsi="Times New Roman"/>
        </w:rPr>
      </w:pPr>
    </w:p>
    <w:p w:rsidR="005B6ADB" w:rsidRDefault="005B6ADB" w:rsidP="005B6ADB">
      <w:pPr>
        <w:ind w:left="240"/>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Reduce Burden</w:t>
      </w:r>
    </w:p>
    <w:p w:rsidR="005B6ADB" w:rsidRDefault="005B6ADB" w:rsidP="005B6ADB">
      <w:pPr>
        <w:rPr>
          <w:rFonts w:ascii="Times New Roman" w:hAnsi="Times New Roman"/>
        </w:rPr>
      </w:pPr>
    </w:p>
    <w:p w:rsidR="005B6ADB" w:rsidRDefault="0027282C" w:rsidP="005B6ADB">
      <w:pPr>
        <w:ind w:firstLine="720"/>
        <w:rPr>
          <w:rFonts w:ascii="Times New Roman" w:hAnsi="Times New Roman"/>
        </w:rPr>
      </w:pPr>
      <w:r>
        <w:rPr>
          <w:rFonts w:ascii="Times New Roman" w:hAnsi="Times New Roman"/>
          <w:szCs w:val="24"/>
        </w:rPr>
        <w:t>Banks may use technology to the extent feasible and/or desirable or appropriate to make the required reports and to maintain the required records</w:t>
      </w:r>
      <w:r w:rsidDel="0027282C">
        <w:rPr>
          <w:rFonts w:ascii="Times New Roman" w:hAnsi="Times New Roman"/>
        </w:rPr>
        <w:t xml:space="preserve"> </w:t>
      </w:r>
    </w:p>
    <w:p w:rsidR="008D0DCF" w:rsidRDefault="008D0DCF" w:rsidP="005B6ADB">
      <w:pPr>
        <w:ind w:firstLine="720"/>
        <w:rPr>
          <w:rFonts w:ascii="Times New Roman" w:hAnsi="Times New Roman"/>
        </w:rPr>
      </w:pPr>
    </w:p>
    <w:p w:rsidR="005B6ADB" w:rsidRDefault="005B6ADB" w:rsidP="005B6ADB">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Duplication</w:t>
      </w:r>
      <w:r w:rsidR="00EB2629">
        <w:rPr>
          <w:rFonts w:ascii="Times New Roman" w:hAnsi="Times New Roman"/>
          <w:u w:val="single"/>
        </w:rPr>
        <w:t xml:space="preserve"> of Information</w:t>
      </w:r>
    </w:p>
    <w:p w:rsidR="005B6ADB" w:rsidRDefault="005B6ADB" w:rsidP="005B6ADB">
      <w:pPr>
        <w:pStyle w:val="BodyTextIndent"/>
      </w:pPr>
    </w:p>
    <w:p w:rsidR="00FF765D" w:rsidRDefault="005B6ADB" w:rsidP="00FF765D">
      <w:pPr>
        <w:widowControl/>
        <w:ind w:firstLine="720"/>
        <w:rPr>
          <w:rFonts w:ascii="Times New Roman" w:hAnsi="Times New Roman"/>
        </w:rPr>
      </w:pPr>
      <w:r w:rsidRPr="00FF765D">
        <w:rPr>
          <w:rFonts w:ascii="Times New Roman" w:hAnsi="Times New Roman"/>
        </w:rPr>
        <w:t xml:space="preserve">The information that the FDIC would collect from covered institutions to verify compliance with the </w:t>
      </w:r>
      <w:r w:rsidR="0043292B" w:rsidRPr="00FF765D">
        <w:rPr>
          <w:rFonts w:ascii="Times New Roman" w:hAnsi="Times New Roman"/>
        </w:rPr>
        <w:t>proposed rule</w:t>
      </w:r>
      <w:r w:rsidRPr="00FF765D">
        <w:rPr>
          <w:rFonts w:ascii="Times New Roman" w:hAnsi="Times New Roman"/>
        </w:rPr>
        <w:t xml:space="preserve">’s requirements, or that substantiates a covered institution’s relief from compliance, is not available by other means. </w:t>
      </w:r>
      <w:r w:rsidR="00710E54">
        <w:rPr>
          <w:rFonts w:ascii="Times New Roman" w:hAnsi="Times New Roman"/>
        </w:rPr>
        <w:t>The reporting and recordkeeping requirements in the proposed rule are new and are not otherwise duplicated.</w:t>
      </w:r>
    </w:p>
    <w:p w:rsidR="008D0DCF" w:rsidRPr="00FF765D" w:rsidRDefault="008D0DCF" w:rsidP="00FF765D">
      <w:pPr>
        <w:widowControl/>
        <w:ind w:firstLine="720"/>
        <w:rPr>
          <w:rFonts w:ascii="Times New Roman" w:hAnsi="Times New Roman"/>
        </w:rPr>
      </w:pPr>
    </w:p>
    <w:p w:rsidR="005B6ADB" w:rsidRDefault="005B6ADB" w:rsidP="005B6ADB">
      <w:pPr>
        <w:ind w:left="810" w:hanging="9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Minimizing the Burden on Small Banks</w:t>
      </w:r>
    </w:p>
    <w:p w:rsidR="005B6ADB" w:rsidRDefault="005B6ADB" w:rsidP="005B6ADB">
      <w:pPr>
        <w:rPr>
          <w:rFonts w:ascii="Times New Roman" w:hAnsi="Times New Roman"/>
        </w:rPr>
      </w:pPr>
    </w:p>
    <w:p w:rsidR="005B6ADB" w:rsidRDefault="005B6ADB" w:rsidP="005B6ADB">
      <w:pPr>
        <w:pStyle w:val="BodyTextIndent"/>
        <w:ind w:left="0" w:firstLine="720"/>
      </w:pPr>
      <w:r>
        <w:t>The rule will not impact small banks.  By definition, a covered institution is an IDI that has two million or more deposit accounts.  None of the potential covered institutions would be a small bank.</w:t>
      </w:r>
    </w:p>
    <w:p w:rsidR="005B6ADB" w:rsidRDefault="005B6ADB" w:rsidP="005B6ADB">
      <w:pPr>
        <w:ind w:left="840" w:hanging="600"/>
        <w:rPr>
          <w:rFonts w:ascii="Times New Roman" w:hAnsi="Times New Roman"/>
        </w:rPr>
      </w:pPr>
    </w:p>
    <w:p w:rsidR="005B6ADB" w:rsidRDefault="005B6ADB" w:rsidP="005B6ADB">
      <w:pPr>
        <w:ind w:left="840" w:hanging="1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5B6ADB" w:rsidRDefault="005B6ADB" w:rsidP="005B6ADB">
      <w:pPr>
        <w:rPr>
          <w:rFonts w:ascii="Times New Roman" w:hAnsi="Times New Roman"/>
        </w:rPr>
      </w:pPr>
    </w:p>
    <w:p w:rsidR="00FE2F13" w:rsidRPr="00FE2F13" w:rsidRDefault="005B6ADB" w:rsidP="00FE2F13">
      <w:pPr>
        <w:pStyle w:val="BodyTextIndent"/>
        <w:ind w:left="0" w:firstLine="720"/>
      </w:pPr>
      <w:r>
        <w:t>Less frequent collection of such information could result in a greater likelihood that information would be incorrect and therefore useless to the FDIC should it need to make a deposit insurance determination in the event of a covered institution’s failure</w:t>
      </w:r>
      <w:proofErr w:type="gramStart"/>
      <w:r>
        <w:t xml:space="preserve">. </w:t>
      </w:r>
      <w:proofErr w:type="gramEnd"/>
      <w:r w:rsidR="00FE2F13" w:rsidRPr="00FE2F13">
        <w:t xml:space="preserve">If this information were collected less frequently, then the FDIC would have a lower level of confidence that a covered institution maintains accurate and complete deposit records and an IT system that would facilitate the FDIC’s timely deposit insurance determination process upon the covered institution’s failure. </w:t>
      </w:r>
    </w:p>
    <w:p w:rsidR="005B6ADB" w:rsidRDefault="005B6ADB" w:rsidP="005B6ADB">
      <w:pPr>
        <w:pStyle w:val="BodyTextIndent"/>
        <w:ind w:left="0" w:firstLine="720"/>
      </w:pPr>
    </w:p>
    <w:p w:rsidR="005B6ADB" w:rsidRDefault="005B6ADB" w:rsidP="008D0DCF">
      <w:pPr>
        <w:pStyle w:val="BodyTextIndent"/>
      </w:pPr>
      <w:r>
        <w:t>7.</w:t>
      </w:r>
      <w:r>
        <w:tab/>
      </w:r>
      <w:r>
        <w:rPr>
          <w:u w:val="single"/>
        </w:rPr>
        <w:t>Special Circumstances</w:t>
      </w:r>
    </w:p>
    <w:p w:rsidR="005B6ADB" w:rsidRDefault="005B6ADB" w:rsidP="005B6ADB">
      <w:pPr>
        <w:rPr>
          <w:rFonts w:ascii="Times New Roman" w:hAnsi="Times New Roman"/>
        </w:rPr>
      </w:pPr>
    </w:p>
    <w:p w:rsidR="005B6ADB" w:rsidRDefault="005B6ADB" w:rsidP="00FF765D">
      <w:pPr>
        <w:pStyle w:val="BodyTextIndent"/>
      </w:pPr>
      <w:proofErr w:type="gramStart"/>
      <w:r>
        <w:t>None.</w:t>
      </w:r>
      <w:proofErr w:type="gramEnd"/>
      <w:r>
        <w:t xml:space="preserve"> </w:t>
      </w:r>
    </w:p>
    <w:p w:rsidR="005B6ADB" w:rsidRDefault="005B6ADB" w:rsidP="005B6ADB">
      <w:pPr>
        <w:rPr>
          <w:rFonts w:ascii="Times New Roman" w:hAnsi="Times New Roman"/>
        </w:rPr>
      </w:pPr>
    </w:p>
    <w:p w:rsidR="005B6ADB" w:rsidRDefault="005B6ADB" w:rsidP="005B6ADB">
      <w:pPr>
        <w:ind w:left="840" w:hanging="1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Consultation with Persons Outside the FDIC</w:t>
      </w:r>
    </w:p>
    <w:p w:rsidR="005B6ADB" w:rsidRDefault="005B6ADB" w:rsidP="005B6ADB">
      <w:pPr>
        <w:rPr>
          <w:rFonts w:ascii="Times New Roman" w:hAnsi="Times New Roman"/>
        </w:rPr>
      </w:pPr>
    </w:p>
    <w:p w:rsidR="005B6ADB" w:rsidRDefault="005B6ADB" w:rsidP="005B6ADB">
      <w:pPr>
        <w:pStyle w:val="BodyTextIndent"/>
        <w:ind w:left="0" w:firstLine="720"/>
      </w:pPr>
      <w:r>
        <w:t xml:space="preserve">The FDIC published an Advanced Notice of Proposed Rulemaking in the Federal Register seeking comment on such a new regulatory requirement on April 28, 2015 (80 Fed. </w:t>
      </w:r>
      <w:proofErr w:type="gramStart"/>
      <w:r>
        <w:t>Reg. 23478).</w:t>
      </w:r>
      <w:proofErr w:type="gramEnd"/>
      <w:r>
        <w:t xml:space="preserve"> </w:t>
      </w:r>
      <w:r w:rsidR="00264A3B">
        <w:t xml:space="preserve"> </w:t>
      </w:r>
      <w:r w:rsidR="0046039D" w:rsidRPr="0046039D">
        <w:t xml:space="preserve">The FDIC received ten comment letters from trade associations, banks, a law firm, companies which provide related bank services, and individuals.  </w:t>
      </w:r>
      <w:r w:rsidR="0046039D">
        <w:t>FDIC s</w:t>
      </w:r>
      <w:r w:rsidR="0046039D" w:rsidRPr="0046039D">
        <w:t>taff also participated in meetings and conference calls with financial services industry representatives.</w:t>
      </w:r>
      <w:r w:rsidR="00EB2629">
        <w:t xml:space="preserve">  The FDIC considered these comments during its development of the proposed rule and seeks further comment through issuance of the NPR.</w:t>
      </w:r>
    </w:p>
    <w:p w:rsidR="005B6ADB" w:rsidRDefault="005B6ADB" w:rsidP="005B6ADB">
      <w:pPr>
        <w:ind w:left="1440"/>
        <w:rPr>
          <w:rFonts w:ascii="Times New Roman" w:hAnsi="Times New Roman"/>
        </w:rPr>
      </w:pPr>
    </w:p>
    <w:p w:rsidR="005B6ADB" w:rsidRDefault="005B6ADB" w:rsidP="005B6ADB">
      <w:pPr>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5B6ADB" w:rsidRDefault="005B6ADB" w:rsidP="005B6ADB">
      <w:pPr>
        <w:rPr>
          <w:rFonts w:ascii="Times New Roman" w:hAnsi="Times New Roman"/>
        </w:rPr>
      </w:pPr>
    </w:p>
    <w:p w:rsidR="005B6ADB" w:rsidRDefault="005B6ADB" w:rsidP="00FF765D">
      <w:pPr>
        <w:ind w:firstLine="720"/>
        <w:rPr>
          <w:rFonts w:ascii="Times New Roman" w:hAnsi="Times New Roman"/>
        </w:rPr>
      </w:pPr>
      <w:r>
        <w:rPr>
          <w:rFonts w:ascii="Times New Roman" w:hAnsi="Times New Roman"/>
        </w:rPr>
        <w:t>Not applicable.</w:t>
      </w:r>
    </w:p>
    <w:p w:rsidR="005B6ADB" w:rsidRDefault="005B6ADB" w:rsidP="005B6ADB">
      <w:pPr>
        <w:rPr>
          <w:rFonts w:ascii="Times New Roman" w:hAnsi="Times New Roman"/>
        </w:rPr>
      </w:pPr>
    </w:p>
    <w:p w:rsidR="005B6ADB" w:rsidRDefault="005B6ADB" w:rsidP="005B6ADB">
      <w:pPr>
        <w:ind w:left="840" w:hanging="1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Confidentiality</w:t>
      </w:r>
    </w:p>
    <w:p w:rsidR="005B6ADB" w:rsidRDefault="005B6ADB" w:rsidP="005B6ADB">
      <w:pPr>
        <w:rPr>
          <w:rFonts w:ascii="Times New Roman" w:hAnsi="Times New Roman"/>
        </w:rPr>
      </w:pPr>
    </w:p>
    <w:p w:rsidR="005B6ADB" w:rsidRDefault="00EB2629" w:rsidP="00FF765D">
      <w:pPr>
        <w:pStyle w:val="BodyTextIndent"/>
        <w:ind w:left="0" w:firstLine="720"/>
      </w:pPr>
      <w:r w:rsidRPr="00EB2629">
        <w:t>Information will be kept private to the extent allowed by law</w:t>
      </w:r>
      <w:r w:rsidR="005B6ADB">
        <w:t>.</w:t>
      </w:r>
    </w:p>
    <w:p w:rsidR="00EB2629" w:rsidRDefault="00EB2629" w:rsidP="00EB2629">
      <w:pPr>
        <w:widowControl/>
        <w:rPr>
          <w:rFonts w:ascii="Times New Roman" w:hAnsi="Times New Roman"/>
        </w:rPr>
      </w:pPr>
    </w:p>
    <w:p w:rsidR="005B6ADB" w:rsidRDefault="005B6ADB" w:rsidP="00FF765D">
      <w:pPr>
        <w:widowControl/>
        <w:ind w:left="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Information of a Sensitive Nature</w:t>
      </w:r>
    </w:p>
    <w:p w:rsidR="005B6ADB" w:rsidRDefault="005B6ADB" w:rsidP="005B6ADB">
      <w:pPr>
        <w:rPr>
          <w:rFonts w:ascii="Times New Roman" w:hAnsi="Times New Roman"/>
        </w:rPr>
      </w:pPr>
    </w:p>
    <w:p w:rsidR="005B6ADB" w:rsidRDefault="005B6ADB" w:rsidP="005B6ADB">
      <w:pPr>
        <w:pStyle w:val="BodyTextIndent"/>
        <w:ind w:left="0" w:firstLine="720"/>
      </w:pPr>
      <w:r>
        <w:t xml:space="preserve">The NPR would require covered institutions to ensure that their deposit records contain sufficient information to identify owners of deposits.  Such information would include personal and sensitive information such as the owner’s social security number, among other things.  To the extent that a covered institution does not have that information, it would be required by the NPR to obtain it. </w:t>
      </w:r>
    </w:p>
    <w:p w:rsidR="005B6ADB" w:rsidRDefault="005B6ADB" w:rsidP="005B6ADB">
      <w:pPr>
        <w:pStyle w:val="BodyTextIndent"/>
        <w:ind w:left="0" w:firstLine="720"/>
      </w:pPr>
    </w:p>
    <w:p w:rsidR="005B6ADB" w:rsidRDefault="005B6ADB" w:rsidP="005B6ADB">
      <w:pPr>
        <w:pStyle w:val="BodyTextIndent"/>
        <w:ind w:left="0" w:firstLine="720"/>
      </w:pPr>
      <w:r>
        <w:t xml:space="preserve">The information that covered institutions would need to provide to the FDIC to demonstrate compliance with the NPR’s requirements would be aggregated in a summary report and is not expected to be sensitive in nature. </w:t>
      </w:r>
    </w:p>
    <w:p w:rsidR="005B6ADB" w:rsidRDefault="005B6ADB" w:rsidP="005B6ADB">
      <w:pPr>
        <w:rPr>
          <w:rFonts w:ascii="Times New Roman" w:hAnsi="Times New Roman"/>
        </w:rPr>
      </w:pPr>
    </w:p>
    <w:p w:rsidR="005B6ADB" w:rsidRDefault="005B6ADB" w:rsidP="005B6ADB">
      <w:pPr>
        <w:ind w:left="840" w:hanging="1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Hour Burden and Annual Costs</w:t>
      </w:r>
      <w:r>
        <w:rPr>
          <w:rFonts w:ascii="Times New Roman" w:hAnsi="Times New Roman"/>
        </w:rPr>
        <w:tab/>
      </w:r>
    </w:p>
    <w:p w:rsidR="005B6ADB" w:rsidRDefault="005B6ADB" w:rsidP="005B6ADB">
      <w:pPr>
        <w:rPr>
          <w:rFonts w:ascii="Times New Roman" w:hAnsi="Times New Roman"/>
        </w:rPr>
      </w:pPr>
      <w:r>
        <w:rPr>
          <w:rFonts w:ascii="Times New Roman" w:hAnsi="Times New Roman"/>
        </w:rPr>
        <w:tab/>
      </w:r>
    </w:p>
    <w:p w:rsidR="005C2F8B" w:rsidRDefault="005C2F8B" w:rsidP="005C2F8B">
      <w:pPr>
        <w:ind w:firstLine="720"/>
        <w:rPr>
          <w:rFonts w:ascii="Times New Roman" w:hAnsi="Times New Roman"/>
          <w:szCs w:val="24"/>
        </w:rPr>
      </w:pPr>
      <w:r>
        <w:rPr>
          <w:rFonts w:ascii="Times New Roman" w:hAnsi="Times New Roman"/>
          <w:szCs w:val="24"/>
        </w:rPr>
        <w:t>The estimated burden for the respondents for implementing the collection of information is 3,131,262 hours. The estimated ongoing annual burden for the respondents is 53,495 hours. The total estimated burden in the first year is 3,184,757 hours. There is no current reporting burden.</w:t>
      </w:r>
    </w:p>
    <w:p w:rsidR="005C2F8B" w:rsidRDefault="005C2F8B" w:rsidP="005C2F8B">
      <w:pPr>
        <w:ind w:firstLine="720"/>
        <w:rPr>
          <w:rFonts w:ascii="Times New Roman" w:hAnsi="Times New Roman"/>
          <w:szCs w:val="24"/>
        </w:rPr>
      </w:pPr>
    </w:p>
    <w:p w:rsidR="005C2F8B" w:rsidRDefault="005C2F8B" w:rsidP="005C2F8B">
      <w:pPr>
        <w:rPr>
          <w:rFonts w:ascii="Times New Roman" w:hAnsi="Times New Roman"/>
          <w:szCs w:val="24"/>
        </w:rPr>
      </w:pPr>
      <w:r>
        <w:rPr>
          <w:rFonts w:ascii="Times New Roman" w:hAnsi="Times New Roman"/>
          <w:szCs w:val="24"/>
        </w:rPr>
        <w:t>Table 1: Implementation Burden</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1489"/>
        <w:gridCol w:w="1400"/>
        <w:gridCol w:w="1399"/>
        <w:gridCol w:w="1400"/>
      </w:tblGrid>
      <w:tr w:rsidR="005C2F8B" w:rsidRPr="00D35169" w:rsidTr="000C3567">
        <w:trPr>
          <w:trHeight w:val="935"/>
        </w:trPr>
        <w:tc>
          <w:tcPr>
            <w:tcW w:w="3888" w:type="dxa"/>
            <w:vAlign w:val="center"/>
          </w:tcPr>
          <w:p w:rsidR="005C2F8B" w:rsidRPr="00D35169" w:rsidRDefault="005C2F8B" w:rsidP="000C3567">
            <w:pPr>
              <w:rPr>
                <w:rFonts w:ascii="Times New Roman" w:eastAsia="Melior" w:hAnsi="Times New Roman"/>
                <w:b/>
                <w:snapToGrid/>
                <w:szCs w:val="24"/>
              </w:rPr>
            </w:pPr>
            <w:r w:rsidRPr="00D35169">
              <w:rPr>
                <w:rFonts w:ascii="Times New Roman" w:hAnsi="Times New Roman"/>
                <w:szCs w:val="24"/>
              </w:rPr>
              <w:br w:type="page"/>
            </w:r>
            <w:r w:rsidRPr="00D35169">
              <w:rPr>
                <w:rFonts w:ascii="Times New Roman" w:hAnsi="Times New Roman"/>
                <w:szCs w:val="24"/>
              </w:rPr>
              <w:br w:type="page"/>
            </w:r>
            <w:r w:rsidRPr="00D35169">
              <w:rPr>
                <w:rFonts w:ascii="Times New Roman" w:hAnsi="Times New Roman"/>
                <w:szCs w:val="24"/>
              </w:rPr>
              <w:br w:type="page"/>
            </w:r>
          </w:p>
        </w:tc>
        <w:tc>
          <w:tcPr>
            <w:tcW w:w="1489"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Number</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of respondents</w:t>
            </w:r>
            <w:r w:rsidRPr="00D35169">
              <w:rPr>
                <w:rStyle w:val="FootnoteReference"/>
                <w:i/>
                <w:color w:val="000000"/>
                <w:szCs w:val="24"/>
                <w:vertAlign w:val="superscript"/>
              </w:rPr>
              <w:footnoteReference w:id="1"/>
            </w:r>
          </w:p>
        </w:tc>
        <w:tc>
          <w:tcPr>
            <w:tcW w:w="1400"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annual frequency</w:t>
            </w:r>
          </w:p>
        </w:tc>
        <w:tc>
          <w:tcPr>
            <w:tcW w:w="1399"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average hours</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per response</w:t>
            </w:r>
            <w:r w:rsidRPr="001037A9">
              <w:rPr>
                <w:rStyle w:val="FootnoteReference"/>
                <w:i/>
                <w:color w:val="000000"/>
                <w:szCs w:val="24"/>
                <w:vertAlign w:val="superscript"/>
              </w:rPr>
              <w:footnoteReference w:id="2"/>
            </w:r>
          </w:p>
        </w:tc>
        <w:tc>
          <w:tcPr>
            <w:tcW w:w="1400"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total</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annual burden hours</w:t>
            </w:r>
          </w:p>
        </w:tc>
      </w:tr>
      <w:tr w:rsidR="005C2F8B" w:rsidRPr="00D35169" w:rsidTr="000C3567">
        <w:trPr>
          <w:trHeight w:val="306"/>
        </w:trPr>
        <w:tc>
          <w:tcPr>
            <w:tcW w:w="3888" w:type="dxa"/>
            <w:vAlign w:val="center"/>
          </w:tcPr>
          <w:p w:rsidR="005C2F8B" w:rsidRPr="00C239ED" w:rsidRDefault="005C2F8B" w:rsidP="000C3567">
            <w:pPr>
              <w:rPr>
                <w:rFonts w:ascii="Times New Roman" w:hAnsi="Times New Roman"/>
                <w:b/>
                <w:i/>
                <w:szCs w:val="24"/>
              </w:rPr>
            </w:pPr>
            <w:r w:rsidRPr="00C239ED">
              <w:rPr>
                <w:rFonts w:ascii="Times New Roman" w:hAnsi="Times New Roman"/>
                <w:b/>
                <w:i/>
                <w:szCs w:val="24"/>
              </w:rPr>
              <w:t>Current</w:t>
            </w:r>
          </w:p>
        </w:tc>
        <w:tc>
          <w:tcPr>
            <w:tcW w:w="148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D35169" w:rsidRDefault="005C2F8B" w:rsidP="000C3567">
            <w:pPr>
              <w:jc w:val="center"/>
              <w:rPr>
                <w:rFonts w:ascii="Times New Roman" w:hAnsi="Times New Roman"/>
                <w:i/>
                <w:color w:val="000000"/>
                <w:szCs w:val="24"/>
              </w:rPr>
            </w:pPr>
          </w:p>
        </w:tc>
        <w:tc>
          <w:tcPr>
            <w:tcW w:w="139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D35169" w:rsidRDefault="005C2F8B" w:rsidP="000C3567">
            <w:pPr>
              <w:jc w:val="center"/>
              <w:rPr>
                <w:rFonts w:ascii="Times New Roman" w:hAnsi="Times New Roman"/>
                <w:i/>
                <w:color w:val="000000"/>
                <w:szCs w:val="24"/>
              </w:rPr>
            </w:pPr>
          </w:p>
        </w:tc>
      </w:tr>
      <w:tr w:rsidR="005C2F8B" w:rsidRPr="00D35169" w:rsidTr="000C3567">
        <w:trPr>
          <w:trHeight w:val="306"/>
        </w:trPr>
        <w:tc>
          <w:tcPr>
            <w:tcW w:w="3888" w:type="dxa"/>
            <w:vAlign w:val="center"/>
          </w:tcPr>
          <w:p w:rsidR="005C2F8B" w:rsidRDefault="005C2F8B" w:rsidP="000C3567">
            <w:pPr>
              <w:rPr>
                <w:rFonts w:ascii="Times New Roman" w:hAnsi="Times New Roman"/>
                <w:szCs w:val="24"/>
              </w:rPr>
            </w:pPr>
            <w:r>
              <w:rPr>
                <w:rFonts w:ascii="Times New Roman" w:hAnsi="Times New Roman"/>
                <w:szCs w:val="24"/>
              </w:rPr>
              <w:t>No current requirements</w:t>
            </w:r>
          </w:p>
        </w:tc>
        <w:tc>
          <w:tcPr>
            <w:tcW w:w="1489"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400"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399"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400"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r>
      <w:tr w:rsidR="005C2F8B" w:rsidRPr="00D35169" w:rsidTr="000C3567">
        <w:trPr>
          <w:trHeight w:val="306"/>
        </w:trPr>
        <w:tc>
          <w:tcPr>
            <w:tcW w:w="3888" w:type="dxa"/>
            <w:vAlign w:val="center"/>
          </w:tcPr>
          <w:p w:rsidR="005C2F8B" w:rsidRPr="001952B1" w:rsidRDefault="005C2F8B" w:rsidP="000C3567">
            <w:pPr>
              <w:rPr>
                <w:rFonts w:ascii="Times New Roman" w:hAnsi="Times New Roman"/>
                <w:i/>
                <w:szCs w:val="24"/>
              </w:rPr>
            </w:pPr>
            <w:r w:rsidRPr="001952B1">
              <w:rPr>
                <w:rFonts w:ascii="Times New Roman" w:hAnsi="Times New Roman"/>
                <w:i/>
                <w:szCs w:val="24"/>
              </w:rPr>
              <w:t>Current Total</w:t>
            </w:r>
          </w:p>
        </w:tc>
        <w:tc>
          <w:tcPr>
            <w:tcW w:w="1489" w:type="dxa"/>
            <w:vAlign w:val="bottom"/>
          </w:tcPr>
          <w:p w:rsidR="005C2F8B" w:rsidRPr="00D35169" w:rsidRDefault="005C2F8B" w:rsidP="000C3567">
            <w:pPr>
              <w:jc w:val="right"/>
              <w:rPr>
                <w:rFonts w:ascii="Times New Roman" w:hAnsi="Times New Roman"/>
                <w:i/>
                <w:color w:val="000000"/>
                <w:szCs w:val="24"/>
              </w:rPr>
            </w:pPr>
          </w:p>
        </w:tc>
        <w:tc>
          <w:tcPr>
            <w:tcW w:w="1400" w:type="dxa"/>
            <w:vAlign w:val="bottom"/>
          </w:tcPr>
          <w:p w:rsidR="005C2F8B" w:rsidRPr="001952B1" w:rsidRDefault="005C2F8B" w:rsidP="000C3567">
            <w:pPr>
              <w:jc w:val="right"/>
              <w:rPr>
                <w:rFonts w:ascii="Times New Roman" w:hAnsi="Times New Roman"/>
                <w:color w:val="000000"/>
                <w:szCs w:val="24"/>
              </w:rPr>
            </w:pPr>
          </w:p>
        </w:tc>
        <w:tc>
          <w:tcPr>
            <w:tcW w:w="1399" w:type="dxa"/>
            <w:vAlign w:val="bottom"/>
          </w:tcPr>
          <w:p w:rsidR="005C2F8B" w:rsidRPr="001952B1"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i/>
                <w:color w:val="000000"/>
                <w:szCs w:val="24"/>
              </w:rPr>
            </w:pPr>
            <w:r w:rsidRPr="00E12975">
              <w:rPr>
                <w:rFonts w:ascii="Times New Roman" w:hAnsi="Times New Roman"/>
                <w:i/>
                <w:color w:val="000000"/>
                <w:szCs w:val="24"/>
              </w:rPr>
              <w:t>0</w:t>
            </w:r>
          </w:p>
        </w:tc>
      </w:tr>
      <w:tr w:rsidR="005C2F8B" w:rsidRPr="00D35169" w:rsidTr="000C3567">
        <w:trPr>
          <w:trHeight w:val="306"/>
        </w:trPr>
        <w:tc>
          <w:tcPr>
            <w:tcW w:w="3888" w:type="dxa"/>
            <w:vAlign w:val="center"/>
          </w:tcPr>
          <w:p w:rsidR="005C2F8B" w:rsidRDefault="005C2F8B" w:rsidP="000C3567">
            <w:pPr>
              <w:jc w:val="right"/>
              <w:rPr>
                <w:rFonts w:ascii="Times New Roman" w:hAnsi="Times New Roman"/>
                <w:szCs w:val="24"/>
              </w:rPr>
            </w:pPr>
          </w:p>
        </w:tc>
        <w:tc>
          <w:tcPr>
            <w:tcW w:w="148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344F38" w:rsidRDefault="005C2F8B" w:rsidP="000C3567">
            <w:pPr>
              <w:jc w:val="center"/>
              <w:rPr>
                <w:rFonts w:ascii="Times New Roman" w:hAnsi="Times New Roman"/>
                <w:color w:val="000000"/>
                <w:szCs w:val="24"/>
              </w:rPr>
            </w:pPr>
          </w:p>
        </w:tc>
        <w:tc>
          <w:tcPr>
            <w:tcW w:w="1399" w:type="dxa"/>
            <w:vAlign w:val="center"/>
          </w:tcPr>
          <w:p w:rsidR="005C2F8B" w:rsidRPr="00344F38" w:rsidRDefault="005C2F8B" w:rsidP="000C3567">
            <w:pPr>
              <w:jc w:val="center"/>
              <w:rPr>
                <w:rFonts w:ascii="Times New Roman" w:hAnsi="Times New Roman"/>
                <w:color w:val="000000"/>
                <w:szCs w:val="24"/>
              </w:rPr>
            </w:pPr>
          </w:p>
        </w:tc>
        <w:tc>
          <w:tcPr>
            <w:tcW w:w="1400" w:type="dxa"/>
            <w:vAlign w:val="center"/>
          </w:tcPr>
          <w:p w:rsidR="005C2F8B" w:rsidRPr="00344F38" w:rsidRDefault="005C2F8B" w:rsidP="000C3567">
            <w:pPr>
              <w:jc w:val="center"/>
              <w:rPr>
                <w:rFonts w:ascii="Times New Roman" w:hAnsi="Times New Roman"/>
                <w:color w:val="000000"/>
                <w:szCs w:val="24"/>
              </w:rPr>
            </w:pPr>
          </w:p>
        </w:tc>
      </w:tr>
      <w:tr w:rsidR="005C2F8B" w:rsidRPr="00D35169" w:rsidTr="000C3567">
        <w:trPr>
          <w:trHeight w:val="306"/>
        </w:trPr>
        <w:tc>
          <w:tcPr>
            <w:tcW w:w="3888" w:type="dxa"/>
            <w:tcBorders>
              <w:bottom w:val="nil"/>
            </w:tcBorders>
            <w:vAlign w:val="center"/>
          </w:tcPr>
          <w:p w:rsidR="005C2F8B" w:rsidRPr="00C239ED" w:rsidRDefault="005C2F8B" w:rsidP="000C3567">
            <w:pPr>
              <w:rPr>
                <w:rFonts w:ascii="Times New Roman" w:hAnsi="Times New Roman"/>
                <w:b/>
                <w:i/>
                <w:szCs w:val="24"/>
              </w:rPr>
            </w:pPr>
            <w:r w:rsidRPr="00C239ED">
              <w:rPr>
                <w:rFonts w:ascii="Times New Roman" w:hAnsi="Times New Roman"/>
                <w:b/>
                <w:i/>
                <w:szCs w:val="24"/>
              </w:rPr>
              <w:t>Proposed</w:t>
            </w:r>
          </w:p>
        </w:tc>
        <w:tc>
          <w:tcPr>
            <w:tcW w:w="1489"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400"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399"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400" w:type="dxa"/>
            <w:tcBorders>
              <w:bottom w:val="nil"/>
            </w:tcBorders>
            <w:vAlign w:val="center"/>
          </w:tcPr>
          <w:p w:rsidR="005C2F8B" w:rsidRPr="00D35169" w:rsidRDefault="005C2F8B" w:rsidP="000C3567">
            <w:pPr>
              <w:jc w:val="center"/>
              <w:rPr>
                <w:rFonts w:ascii="Times New Roman" w:hAnsi="Times New Roman"/>
                <w:i/>
                <w:color w:val="000000"/>
                <w:szCs w:val="24"/>
              </w:rPr>
            </w:pP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Lowest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19,857</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238,281</w:t>
            </w: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Middle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32,789</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393,473</w:t>
            </w: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Highest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208,292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2,499,508</w:t>
            </w:r>
          </w:p>
        </w:tc>
      </w:tr>
      <w:tr w:rsidR="005C2F8B" w:rsidRPr="00D35169" w:rsidTr="000C3567">
        <w:trPr>
          <w:trHeight w:val="252"/>
        </w:trPr>
        <w:tc>
          <w:tcPr>
            <w:tcW w:w="3888" w:type="dxa"/>
            <w:vAlign w:val="bottom"/>
          </w:tcPr>
          <w:p w:rsidR="005C2F8B" w:rsidRPr="00E70EF5" w:rsidRDefault="005C2F8B" w:rsidP="000C3567">
            <w:pPr>
              <w:rPr>
                <w:rFonts w:ascii="Times New Roman" w:eastAsia="Melior" w:hAnsi="Times New Roman"/>
                <w:i/>
                <w:snapToGrid/>
                <w:szCs w:val="24"/>
              </w:rPr>
            </w:pP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i/>
                <w:color w:val="000000"/>
                <w:szCs w:val="24"/>
              </w:rPr>
            </w:pPr>
          </w:p>
        </w:tc>
      </w:tr>
      <w:tr w:rsidR="005C2F8B" w:rsidRPr="00D35169" w:rsidTr="000C3567">
        <w:trPr>
          <w:trHeight w:val="252"/>
        </w:trPr>
        <w:tc>
          <w:tcPr>
            <w:tcW w:w="3888" w:type="dxa"/>
            <w:vAlign w:val="bottom"/>
          </w:tcPr>
          <w:p w:rsidR="005C2F8B" w:rsidRPr="00E70EF5" w:rsidRDefault="005C2F8B" w:rsidP="000C3567">
            <w:pPr>
              <w:rPr>
                <w:rFonts w:ascii="Times New Roman" w:eastAsia="Melior" w:hAnsi="Times New Roman"/>
                <w:i/>
                <w:snapToGrid/>
                <w:szCs w:val="24"/>
              </w:rPr>
            </w:pPr>
            <w:r w:rsidRPr="00E70EF5">
              <w:rPr>
                <w:rFonts w:ascii="Times New Roman" w:eastAsia="Melior" w:hAnsi="Times New Roman"/>
                <w:i/>
                <w:snapToGrid/>
                <w:szCs w:val="24"/>
              </w:rPr>
              <w:t>Proposed T</w:t>
            </w:r>
            <w:r w:rsidRPr="00E70EF5">
              <w:rPr>
                <w:rFonts w:ascii="Times New Roman" w:hAnsi="Times New Roman"/>
                <w:i/>
                <w:color w:val="000000"/>
                <w:szCs w:val="24"/>
              </w:rPr>
              <w:t>otal</w:t>
            </w:r>
          </w:p>
        </w:tc>
        <w:tc>
          <w:tcPr>
            <w:tcW w:w="1489"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36</w:t>
            </w:r>
          </w:p>
        </w:tc>
        <w:tc>
          <w:tcPr>
            <w:tcW w:w="1400"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1</w:t>
            </w:r>
          </w:p>
        </w:tc>
        <w:tc>
          <w:tcPr>
            <w:tcW w:w="1399"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86,979</w:t>
            </w:r>
          </w:p>
        </w:tc>
        <w:tc>
          <w:tcPr>
            <w:tcW w:w="1400" w:type="dxa"/>
            <w:vAlign w:val="bottom"/>
          </w:tcPr>
          <w:p w:rsidR="005C2F8B" w:rsidRPr="00E12975" w:rsidRDefault="005C2F8B" w:rsidP="000C3567">
            <w:pPr>
              <w:jc w:val="right"/>
              <w:rPr>
                <w:rFonts w:ascii="Times New Roman" w:hAnsi="Times New Roman"/>
                <w:i/>
                <w:color w:val="000000"/>
                <w:szCs w:val="24"/>
              </w:rPr>
            </w:pPr>
            <w:r>
              <w:rPr>
                <w:rFonts w:ascii="Times New Roman" w:hAnsi="Times New Roman"/>
                <w:i/>
                <w:color w:val="000000"/>
                <w:szCs w:val="24"/>
              </w:rPr>
              <w:t>3,131,262</w:t>
            </w:r>
          </w:p>
        </w:tc>
      </w:tr>
      <w:tr w:rsidR="005C2F8B" w:rsidRPr="00D35169" w:rsidTr="000C3567">
        <w:trPr>
          <w:trHeight w:val="252"/>
        </w:trPr>
        <w:tc>
          <w:tcPr>
            <w:tcW w:w="3888" w:type="dxa"/>
            <w:vAlign w:val="bottom"/>
          </w:tcPr>
          <w:p w:rsidR="005C2F8B" w:rsidRDefault="005C2F8B" w:rsidP="000C3567">
            <w:pPr>
              <w:rPr>
                <w:rFonts w:ascii="Times New Roman" w:eastAsia="Melior" w:hAnsi="Times New Roman"/>
                <w:snapToGrid/>
                <w:szCs w:val="24"/>
              </w:rPr>
            </w:pP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r>
      <w:tr w:rsidR="005C2F8B" w:rsidRPr="00D35169" w:rsidTr="000C3567">
        <w:trPr>
          <w:trHeight w:val="252"/>
        </w:trPr>
        <w:tc>
          <w:tcPr>
            <w:tcW w:w="3888" w:type="dxa"/>
            <w:vAlign w:val="bottom"/>
          </w:tcPr>
          <w:p w:rsidR="005C2F8B" w:rsidRPr="00D35169" w:rsidRDefault="005C2F8B" w:rsidP="000C3567">
            <w:pPr>
              <w:rPr>
                <w:rFonts w:ascii="Times New Roman" w:eastAsia="Melior" w:hAnsi="Times New Roman"/>
                <w:snapToGrid/>
                <w:szCs w:val="24"/>
              </w:rPr>
            </w:pPr>
            <w:r>
              <w:rPr>
                <w:rFonts w:ascii="Times New Roman" w:eastAsia="Melior" w:hAnsi="Times New Roman"/>
                <w:i/>
                <w:snapToGrid/>
                <w:szCs w:val="24"/>
              </w:rPr>
              <w:t>Change</w:t>
            </w: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D35169"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b/>
                <w:i/>
                <w:color w:val="000000"/>
                <w:szCs w:val="24"/>
              </w:rPr>
            </w:pPr>
            <w:r>
              <w:rPr>
                <w:rFonts w:ascii="Times New Roman" w:hAnsi="Times New Roman"/>
                <w:i/>
                <w:color w:val="000000"/>
                <w:szCs w:val="24"/>
              </w:rPr>
              <w:t>3,131,262</w:t>
            </w:r>
          </w:p>
        </w:tc>
      </w:tr>
      <w:tr w:rsidR="005C2F8B" w:rsidRPr="00D35169" w:rsidTr="000C3567">
        <w:trPr>
          <w:trHeight w:val="278"/>
        </w:trPr>
        <w:tc>
          <w:tcPr>
            <w:tcW w:w="3888" w:type="dxa"/>
            <w:vAlign w:val="bottom"/>
          </w:tcPr>
          <w:p w:rsidR="005C2F8B" w:rsidRPr="00D35169" w:rsidRDefault="005C2F8B" w:rsidP="000C3567">
            <w:pPr>
              <w:jc w:val="right"/>
              <w:rPr>
                <w:rFonts w:ascii="Times New Roman" w:eastAsia="Melior" w:hAnsi="Times New Roman"/>
                <w:i/>
                <w:snapToGrid/>
                <w:szCs w:val="24"/>
              </w:rPr>
            </w:pPr>
          </w:p>
        </w:tc>
        <w:tc>
          <w:tcPr>
            <w:tcW w:w="1489" w:type="dxa"/>
            <w:vAlign w:val="bottom"/>
          </w:tcPr>
          <w:p w:rsidR="005C2F8B" w:rsidRPr="00D35169" w:rsidRDefault="005C2F8B" w:rsidP="000C3567">
            <w:pPr>
              <w:jc w:val="center"/>
              <w:rPr>
                <w:rFonts w:ascii="Times New Roman" w:hAnsi="Times New Roman"/>
                <w:color w:val="000000"/>
                <w:szCs w:val="24"/>
              </w:rPr>
            </w:pPr>
          </w:p>
        </w:tc>
        <w:tc>
          <w:tcPr>
            <w:tcW w:w="1400" w:type="dxa"/>
            <w:vAlign w:val="bottom"/>
          </w:tcPr>
          <w:p w:rsidR="005C2F8B" w:rsidRPr="00D35169" w:rsidRDefault="005C2F8B" w:rsidP="000C3567">
            <w:pPr>
              <w:jc w:val="center"/>
              <w:rPr>
                <w:rFonts w:ascii="Times New Roman" w:hAnsi="Times New Roman"/>
                <w:color w:val="000000"/>
                <w:szCs w:val="24"/>
              </w:rPr>
            </w:pPr>
          </w:p>
        </w:tc>
        <w:tc>
          <w:tcPr>
            <w:tcW w:w="1399" w:type="dxa"/>
            <w:vAlign w:val="bottom"/>
          </w:tcPr>
          <w:p w:rsidR="005C2F8B" w:rsidRPr="00D35169" w:rsidRDefault="005C2F8B" w:rsidP="000C3567">
            <w:pPr>
              <w:jc w:val="center"/>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r>
    </w:tbl>
    <w:p w:rsidR="005C2F8B" w:rsidRDefault="005C2F8B" w:rsidP="005C2F8B">
      <w:pPr>
        <w:rPr>
          <w:szCs w:val="24"/>
        </w:rPr>
      </w:pPr>
    </w:p>
    <w:p w:rsidR="005C2F8B" w:rsidRDefault="005C2F8B" w:rsidP="005C2F8B">
      <w:pPr>
        <w:widowControl/>
        <w:rPr>
          <w:szCs w:val="24"/>
        </w:rPr>
      </w:pPr>
      <w:r>
        <w:rPr>
          <w:szCs w:val="24"/>
        </w:rPr>
        <w:br w:type="page"/>
      </w:r>
    </w:p>
    <w:p w:rsidR="005C2F8B" w:rsidRPr="00D35169" w:rsidRDefault="005C2F8B" w:rsidP="005C2F8B">
      <w:pPr>
        <w:rPr>
          <w:szCs w:val="24"/>
        </w:rPr>
      </w:pPr>
    </w:p>
    <w:p w:rsidR="005C2F8B" w:rsidRPr="00D35169" w:rsidRDefault="005C2F8B" w:rsidP="005C2F8B">
      <w:pPr>
        <w:widowControl/>
        <w:rPr>
          <w:rFonts w:ascii="Times New Roman" w:hAnsi="Times New Roman"/>
          <w:szCs w:val="24"/>
        </w:rPr>
      </w:pPr>
      <w:r>
        <w:rPr>
          <w:rFonts w:ascii="Times New Roman" w:hAnsi="Times New Roman"/>
          <w:szCs w:val="24"/>
        </w:rPr>
        <w:t>Table 2: Ongoing Annual Burden</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1489"/>
        <w:gridCol w:w="1400"/>
        <w:gridCol w:w="1399"/>
        <w:gridCol w:w="1400"/>
      </w:tblGrid>
      <w:tr w:rsidR="005C2F8B" w:rsidRPr="00D35169" w:rsidTr="000C3567">
        <w:trPr>
          <w:trHeight w:val="935"/>
        </w:trPr>
        <w:tc>
          <w:tcPr>
            <w:tcW w:w="3888" w:type="dxa"/>
            <w:vAlign w:val="center"/>
          </w:tcPr>
          <w:p w:rsidR="005C2F8B" w:rsidRPr="00D35169" w:rsidRDefault="005C2F8B" w:rsidP="000C3567">
            <w:pPr>
              <w:rPr>
                <w:rFonts w:ascii="Times New Roman" w:eastAsia="Melior" w:hAnsi="Times New Roman"/>
                <w:b/>
                <w:snapToGrid/>
                <w:szCs w:val="24"/>
              </w:rPr>
            </w:pPr>
            <w:r w:rsidRPr="00D35169">
              <w:rPr>
                <w:rFonts w:ascii="Times New Roman" w:hAnsi="Times New Roman"/>
                <w:szCs w:val="24"/>
              </w:rPr>
              <w:br w:type="page"/>
            </w:r>
            <w:r w:rsidRPr="00D35169">
              <w:rPr>
                <w:rFonts w:ascii="Times New Roman" w:hAnsi="Times New Roman"/>
                <w:szCs w:val="24"/>
              </w:rPr>
              <w:br w:type="page"/>
            </w:r>
            <w:r w:rsidRPr="00D35169">
              <w:rPr>
                <w:rFonts w:ascii="Times New Roman" w:hAnsi="Times New Roman"/>
                <w:szCs w:val="24"/>
              </w:rPr>
              <w:br w:type="page"/>
            </w:r>
          </w:p>
        </w:tc>
        <w:tc>
          <w:tcPr>
            <w:tcW w:w="1489"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Number</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of respondents</w:t>
            </w:r>
            <w:r w:rsidRPr="00D35169">
              <w:rPr>
                <w:rStyle w:val="FootnoteReference"/>
                <w:i/>
                <w:color w:val="000000"/>
                <w:szCs w:val="24"/>
                <w:vertAlign w:val="superscript"/>
              </w:rPr>
              <w:footnoteReference w:id="3"/>
            </w:r>
          </w:p>
        </w:tc>
        <w:tc>
          <w:tcPr>
            <w:tcW w:w="1400"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annual frequency</w:t>
            </w:r>
          </w:p>
        </w:tc>
        <w:tc>
          <w:tcPr>
            <w:tcW w:w="1399"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average hours</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per response</w:t>
            </w:r>
            <w:r w:rsidRPr="001037A9">
              <w:rPr>
                <w:rStyle w:val="FootnoteReference"/>
                <w:i/>
                <w:color w:val="000000"/>
                <w:szCs w:val="24"/>
                <w:vertAlign w:val="superscript"/>
              </w:rPr>
              <w:footnoteReference w:id="4"/>
            </w:r>
          </w:p>
        </w:tc>
        <w:tc>
          <w:tcPr>
            <w:tcW w:w="1400" w:type="dxa"/>
            <w:vAlign w:val="bottom"/>
          </w:tcPr>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Estimated total</w:t>
            </w:r>
          </w:p>
          <w:p w:rsidR="005C2F8B" w:rsidRPr="00D35169" w:rsidRDefault="005C2F8B" w:rsidP="000C3567">
            <w:pPr>
              <w:jc w:val="center"/>
              <w:rPr>
                <w:rFonts w:ascii="Times New Roman" w:hAnsi="Times New Roman"/>
                <w:i/>
                <w:color w:val="000000"/>
                <w:szCs w:val="24"/>
              </w:rPr>
            </w:pPr>
            <w:r w:rsidRPr="00D35169">
              <w:rPr>
                <w:rFonts w:ascii="Times New Roman" w:hAnsi="Times New Roman"/>
                <w:i/>
                <w:color w:val="000000"/>
                <w:szCs w:val="24"/>
              </w:rPr>
              <w:t>annual burden hours</w:t>
            </w:r>
          </w:p>
        </w:tc>
      </w:tr>
      <w:tr w:rsidR="005C2F8B" w:rsidRPr="00D35169" w:rsidTr="000C3567">
        <w:trPr>
          <w:trHeight w:val="306"/>
        </w:trPr>
        <w:tc>
          <w:tcPr>
            <w:tcW w:w="3888" w:type="dxa"/>
            <w:vAlign w:val="center"/>
          </w:tcPr>
          <w:p w:rsidR="005C2F8B" w:rsidRPr="00C239ED" w:rsidRDefault="005C2F8B" w:rsidP="000C3567">
            <w:pPr>
              <w:rPr>
                <w:rFonts w:ascii="Times New Roman" w:hAnsi="Times New Roman"/>
                <w:b/>
                <w:i/>
                <w:szCs w:val="24"/>
              </w:rPr>
            </w:pPr>
            <w:r w:rsidRPr="00C239ED">
              <w:rPr>
                <w:rFonts w:ascii="Times New Roman" w:hAnsi="Times New Roman"/>
                <w:b/>
                <w:i/>
                <w:szCs w:val="24"/>
              </w:rPr>
              <w:t>Current</w:t>
            </w:r>
          </w:p>
        </w:tc>
        <w:tc>
          <w:tcPr>
            <w:tcW w:w="148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D35169" w:rsidRDefault="005C2F8B" w:rsidP="000C3567">
            <w:pPr>
              <w:jc w:val="center"/>
              <w:rPr>
                <w:rFonts w:ascii="Times New Roman" w:hAnsi="Times New Roman"/>
                <w:i/>
                <w:color w:val="000000"/>
                <w:szCs w:val="24"/>
              </w:rPr>
            </w:pPr>
          </w:p>
        </w:tc>
        <w:tc>
          <w:tcPr>
            <w:tcW w:w="139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D35169" w:rsidRDefault="005C2F8B" w:rsidP="000C3567">
            <w:pPr>
              <w:jc w:val="center"/>
              <w:rPr>
                <w:rFonts w:ascii="Times New Roman" w:hAnsi="Times New Roman"/>
                <w:i/>
                <w:color w:val="000000"/>
                <w:szCs w:val="24"/>
              </w:rPr>
            </w:pPr>
          </w:p>
        </w:tc>
      </w:tr>
      <w:tr w:rsidR="005C2F8B" w:rsidRPr="00D35169" w:rsidTr="000C3567">
        <w:trPr>
          <w:trHeight w:val="306"/>
        </w:trPr>
        <w:tc>
          <w:tcPr>
            <w:tcW w:w="3888" w:type="dxa"/>
            <w:vAlign w:val="center"/>
          </w:tcPr>
          <w:p w:rsidR="005C2F8B" w:rsidRDefault="005C2F8B" w:rsidP="000C3567">
            <w:pPr>
              <w:rPr>
                <w:rFonts w:ascii="Times New Roman" w:hAnsi="Times New Roman"/>
                <w:szCs w:val="24"/>
              </w:rPr>
            </w:pPr>
            <w:r>
              <w:rPr>
                <w:rFonts w:ascii="Times New Roman" w:hAnsi="Times New Roman"/>
                <w:szCs w:val="24"/>
              </w:rPr>
              <w:t>No current requirements</w:t>
            </w:r>
          </w:p>
        </w:tc>
        <w:tc>
          <w:tcPr>
            <w:tcW w:w="1489"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400"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399"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c>
          <w:tcPr>
            <w:tcW w:w="1400" w:type="dxa"/>
            <w:vAlign w:val="bottom"/>
          </w:tcPr>
          <w:p w:rsidR="005C2F8B" w:rsidRPr="001952B1" w:rsidRDefault="005C2F8B" w:rsidP="000C3567">
            <w:pPr>
              <w:jc w:val="right"/>
              <w:rPr>
                <w:rFonts w:ascii="Times New Roman" w:hAnsi="Times New Roman"/>
                <w:color w:val="000000"/>
                <w:szCs w:val="24"/>
              </w:rPr>
            </w:pPr>
            <w:r>
              <w:rPr>
                <w:rFonts w:ascii="Times New Roman" w:hAnsi="Times New Roman"/>
                <w:color w:val="000000"/>
                <w:szCs w:val="24"/>
              </w:rPr>
              <w:t>0</w:t>
            </w:r>
          </w:p>
        </w:tc>
      </w:tr>
      <w:tr w:rsidR="005C2F8B" w:rsidRPr="00D35169" w:rsidTr="000C3567">
        <w:trPr>
          <w:trHeight w:val="306"/>
        </w:trPr>
        <w:tc>
          <w:tcPr>
            <w:tcW w:w="3888" w:type="dxa"/>
            <w:vAlign w:val="center"/>
          </w:tcPr>
          <w:p w:rsidR="005C2F8B" w:rsidRPr="001952B1" w:rsidRDefault="005C2F8B" w:rsidP="000C3567">
            <w:pPr>
              <w:rPr>
                <w:rFonts w:ascii="Times New Roman" w:hAnsi="Times New Roman"/>
                <w:i/>
                <w:szCs w:val="24"/>
              </w:rPr>
            </w:pPr>
            <w:r w:rsidRPr="001952B1">
              <w:rPr>
                <w:rFonts w:ascii="Times New Roman" w:hAnsi="Times New Roman"/>
                <w:i/>
                <w:szCs w:val="24"/>
              </w:rPr>
              <w:t>Current Total</w:t>
            </w:r>
          </w:p>
        </w:tc>
        <w:tc>
          <w:tcPr>
            <w:tcW w:w="1489" w:type="dxa"/>
            <w:vAlign w:val="bottom"/>
          </w:tcPr>
          <w:p w:rsidR="005C2F8B" w:rsidRPr="00D35169" w:rsidRDefault="005C2F8B" w:rsidP="000C3567">
            <w:pPr>
              <w:jc w:val="right"/>
              <w:rPr>
                <w:rFonts w:ascii="Times New Roman" w:hAnsi="Times New Roman"/>
                <w:i/>
                <w:color w:val="000000"/>
                <w:szCs w:val="24"/>
              </w:rPr>
            </w:pPr>
          </w:p>
        </w:tc>
        <w:tc>
          <w:tcPr>
            <w:tcW w:w="1400" w:type="dxa"/>
            <w:vAlign w:val="bottom"/>
          </w:tcPr>
          <w:p w:rsidR="005C2F8B" w:rsidRPr="001952B1" w:rsidRDefault="005C2F8B" w:rsidP="000C3567">
            <w:pPr>
              <w:jc w:val="right"/>
              <w:rPr>
                <w:rFonts w:ascii="Times New Roman" w:hAnsi="Times New Roman"/>
                <w:color w:val="000000"/>
                <w:szCs w:val="24"/>
              </w:rPr>
            </w:pPr>
          </w:p>
        </w:tc>
        <w:tc>
          <w:tcPr>
            <w:tcW w:w="1399" w:type="dxa"/>
            <w:vAlign w:val="bottom"/>
          </w:tcPr>
          <w:p w:rsidR="005C2F8B" w:rsidRPr="001952B1"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i/>
                <w:color w:val="000000"/>
                <w:szCs w:val="24"/>
              </w:rPr>
            </w:pPr>
            <w:r w:rsidRPr="00E12975">
              <w:rPr>
                <w:rFonts w:ascii="Times New Roman" w:hAnsi="Times New Roman"/>
                <w:i/>
                <w:color w:val="000000"/>
                <w:szCs w:val="24"/>
              </w:rPr>
              <w:t>0</w:t>
            </w:r>
          </w:p>
        </w:tc>
      </w:tr>
      <w:tr w:rsidR="005C2F8B" w:rsidRPr="00D35169" w:rsidTr="000C3567">
        <w:trPr>
          <w:trHeight w:val="306"/>
        </w:trPr>
        <w:tc>
          <w:tcPr>
            <w:tcW w:w="3888" w:type="dxa"/>
            <w:vAlign w:val="center"/>
          </w:tcPr>
          <w:p w:rsidR="005C2F8B" w:rsidRDefault="005C2F8B" w:rsidP="000C3567">
            <w:pPr>
              <w:jc w:val="right"/>
              <w:rPr>
                <w:rFonts w:ascii="Times New Roman" w:hAnsi="Times New Roman"/>
                <w:szCs w:val="24"/>
              </w:rPr>
            </w:pPr>
          </w:p>
        </w:tc>
        <w:tc>
          <w:tcPr>
            <w:tcW w:w="1489" w:type="dxa"/>
            <w:vAlign w:val="center"/>
          </w:tcPr>
          <w:p w:rsidR="005C2F8B" w:rsidRPr="00D35169" w:rsidRDefault="005C2F8B" w:rsidP="000C3567">
            <w:pPr>
              <w:jc w:val="center"/>
              <w:rPr>
                <w:rFonts w:ascii="Times New Roman" w:hAnsi="Times New Roman"/>
                <w:i/>
                <w:color w:val="000000"/>
                <w:szCs w:val="24"/>
              </w:rPr>
            </w:pPr>
          </w:p>
        </w:tc>
        <w:tc>
          <w:tcPr>
            <w:tcW w:w="1400" w:type="dxa"/>
            <w:vAlign w:val="center"/>
          </w:tcPr>
          <w:p w:rsidR="005C2F8B" w:rsidRPr="00344F38" w:rsidRDefault="005C2F8B" w:rsidP="000C3567">
            <w:pPr>
              <w:jc w:val="center"/>
              <w:rPr>
                <w:rFonts w:ascii="Times New Roman" w:hAnsi="Times New Roman"/>
                <w:color w:val="000000"/>
                <w:szCs w:val="24"/>
              </w:rPr>
            </w:pPr>
          </w:p>
        </w:tc>
        <w:tc>
          <w:tcPr>
            <w:tcW w:w="1399" w:type="dxa"/>
            <w:vAlign w:val="center"/>
          </w:tcPr>
          <w:p w:rsidR="005C2F8B" w:rsidRPr="00344F38" w:rsidRDefault="005C2F8B" w:rsidP="000C3567">
            <w:pPr>
              <w:jc w:val="center"/>
              <w:rPr>
                <w:rFonts w:ascii="Times New Roman" w:hAnsi="Times New Roman"/>
                <w:color w:val="000000"/>
                <w:szCs w:val="24"/>
              </w:rPr>
            </w:pPr>
          </w:p>
        </w:tc>
        <w:tc>
          <w:tcPr>
            <w:tcW w:w="1400" w:type="dxa"/>
            <w:vAlign w:val="center"/>
          </w:tcPr>
          <w:p w:rsidR="005C2F8B" w:rsidRPr="00344F38" w:rsidRDefault="005C2F8B" w:rsidP="000C3567">
            <w:pPr>
              <w:jc w:val="center"/>
              <w:rPr>
                <w:rFonts w:ascii="Times New Roman" w:hAnsi="Times New Roman"/>
                <w:color w:val="000000"/>
                <w:szCs w:val="24"/>
              </w:rPr>
            </w:pPr>
          </w:p>
        </w:tc>
      </w:tr>
      <w:tr w:rsidR="005C2F8B" w:rsidRPr="00D35169" w:rsidTr="000C3567">
        <w:trPr>
          <w:trHeight w:val="306"/>
        </w:trPr>
        <w:tc>
          <w:tcPr>
            <w:tcW w:w="3888" w:type="dxa"/>
            <w:tcBorders>
              <w:bottom w:val="nil"/>
            </w:tcBorders>
            <w:vAlign w:val="center"/>
          </w:tcPr>
          <w:p w:rsidR="005C2F8B" w:rsidRPr="00C239ED" w:rsidRDefault="005C2F8B" w:rsidP="000C3567">
            <w:pPr>
              <w:rPr>
                <w:rFonts w:ascii="Times New Roman" w:hAnsi="Times New Roman"/>
                <w:b/>
                <w:i/>
                <w:szCs w:val="24"/>
              </w:rPr>
            </w:pPr>
            <w:r w:rsidRPr="00C239ED">
              <w:rPr>
                <w:rFonts w:ascii="Times New Roman" w:hAnsi="Times New Roman"/>
                <w:b/>
                <w:i/>
                <w:szCs w:val="24"/>
              </w:rPr>
              <w:t>Proposed</w:t>
            </w:r>
          </w:p>
        </w:tc>
        <w:tc>
          <w:tcPr>
            <w:tcW w:w="1489"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400"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399" w:type="dxa"/>
            <w:tcBorders>
              <w:bottom w:val="nil"/>
            </w:tcBorders>
            <w:vAlign w:val="center"/>
          </w:tcPr>
          <w:p w:rsidR="005C2F8B" w:rsidRPr="00D35169" w:rsidRDefault="005C2F8B" w:rsidP="000C3567">
            <w:pPr>
              <w:jc w:val="center"/>
              <w:rPr>
                <w:rFonts w:ascii="Times New Roman" w:hAnsi="Times New Roman"/>
                <w:i/>
                <w:color w:val="000000"/>
                <w:szCs w:val="24"/>
              </w:rPr>
            </w:pPr>
          </w:p>
        </w:tc>
        <w:tc>
          <w:tcPr>
            <w:tcW w:w="1400" w:type="dxa"/>
            <w:tcBorders>
              <w:bottom w:val="nil"/>
            </w:tcBorders>
            <w:vAlign w:val="center"/>
          </w:tcPr>
          <w:p w:rsidR="005C2F8B" w:rsidRPr="00D35169" w:rsidRDefault="005C2F8B" w:rsidP="000C3567">
            <w:pPr>
              <w:jc w:val="center"/>
              <w:rPr>
                <w:rFonts w:ascii="Times New Roman" w:hAnsi="Times New Roman"/>
                <w:i/>
                <w:color w:val="000000"/>
                <w:szCs w:val="24"/>
              </w:rPr>
            </w:pP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Lowest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1,460</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17,526</w:t>
            </w: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Middle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1,456</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17,475</w:t>
            </w:r>
          </w:p>
        </w:tc>
      </w:tr>
      <w:tr w:rsidR="005C2F8B" w:rsidRPr="00C829D7" w:rsidTr="000C3567">
        <w:trPr>
          <w:trHeight w:val="278"/>
        </w:trPr>
        <w:tc>
          <w:tcPr>
            <w:tcW w:w="3888" w:type="dxa"/>
            <w:tcBorders>
              <w:top w:val="nil"/>
              <w:bottom w:val="nil"/>
            </w:tcBorders>
            <w:vAlign w:val="bottom"/>
          </w:tcPr>
          <w:p w:rsidR="005C2F8B" w:rsidRPr="00C829D7" w:rsidRDefault="005C2F8B" w:rsidP="000C3567">
            <w:pPr>
              <w:rPr>
                <w:rFonts w:ascii="Times New Roman" w:eastAsia="Melior" w:hAnsi="Times New Roman"/>
                <w:snapToGrid/>
                <w:szCs w:val="24"/>
              </w:rPr>
            </w:pPr>
            <w:r>
              <w:rPr>
                <w:rFonts w:ascii="Times New Roman" w:eastAsia="Melior" w:hAnsi="Times New Roman"/>
                <w:snapToGrid/>
                <w:szCs w:val="24"/>
              </w:rPr>
              <w:t>Highest Complexity Institutions</w:t>
            </w:r>
          </w:p>
        </w:tc>
        <w:tc>
          <w:tcPr>
            <w:tcW w:w="148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12</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sidRPr="00C829D7">
              <w:rPr>
                <w:rFonts w:ascii="Times New Roman" w:hAnsi="Times New Roman"/>
                <w:color w:val="000000"/>
                <w:szCs w:val="24"/>
              </w:rPr>
              <w:t>1</w:t>
            </w:r>
          </w:p>
        </w:tc>
        <w:tc>
          <w:tcPr>
            <w:tcW w:w="1399"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1,541</w:t>
            </w:r>
          </w:p>
        </w:tc>
        <w:tc>
          <w:tcPr>
            <w:tcW w:w="1400" w:type="dxa"/>
            <w:tcBorders>
              <w:top w:val="nil"/>
              <w:bottom w:val="nil"/>
            </w:tcBorders>
            <w:vAlign w:val="bottom"/>
          </w:tcPr>
          <w:p w:rsidR="005C2F8B" w:rsidRPr="00C829D7" w:rsidRDefault="005C2F8B" w:rsidP="000C3567">
            <w:pPr>
              <w:jc w:val="right"/>
              <w:rPr>
                <w:rFonts w:ascii="Times New Roman" w:hAnsi="Times New Roman"/>
                <w:color w:val="000000"/>
                <w:szCs w:val="24"/>
              </w:rPr>
            </w:pPr>
            <w:r>
              <w:rPr>
                <w:rFonts w:ascii="Times New Roman" w:hAnsi="Times New Roman"/>
                <w:color w:val="000000"/>
                <w:szCs w:val="24"/>
              </w:rPr>
              <w:t>18,494</w:t>
            </w:r>
          </w:p>
        </w:tc>
      </w:tr>
      <w:tr w:rsidR="005C2F8B" w:rsidRPr="00D35169" w:rsidTr="000C3567">
        <w:trPr>
          <w:trHeight w:val="252"/>
        </w:trPr>
        <w:tc>
          <w:tcPr>
            <w:tcW w:w="3888" w:type="dxa"/>
            <w:vAlign w:val="bottom"/>
          </w:tcPr>
          <w:p w:rsidR="005C2F8B" w:rsidRPr="00E70EF5" w:rsidRDefault="005C2F8B" w:rsidP="000C3567">
            <w:pPr>
              <w:rPr>
                <w:rFonts w:ascii="Times New Roman" w:eastAsia="Melior" w:hAnsi="Times New Roman"/>
                <w:i/>
                <w:snapToGrid/>
                <w:szCs w:val="24"/>
              </w:rPr>
            </w:pP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i/>
                <w:color w:val="000000"/>
                <w:szCs w:val="24"/>
              </w:rPr>
            </w:pPr>
          </w:p>
        </w:tc>
      </w:tr>
      <w:tr w:rsidR="005C2F8B" w:rsidRPr="00D35169" w:rsidTr="000C3567">
        <w:trPr>
          <w:trHeight w:val="252"/>
        </w:trPr>
        <w:tc>
          <w:tcPr>
            <w:tcW w:w="3888" w:type="dxa"/>
            <w:vAlign w:val="bottom"/>
          </w:tcPr>
          <w:p w:rsidR="005C2F8B" w:rsidRPr="00E70EF5" w:rsidRDefault="005C2F8B" w:rsidP="000C3567">
            <w:pPr>
              <w:rPr>
                <w:rFonts w:ascii="Times New Roman" w:eastAsia="Melior" w:hAnsi="Times New Roman"/>
                <w:i/>
                <w:snapToGrid/>
                <w:szCs w:val="24"/>
              </w:rPr>
            </w:pPr>
            <w:r w:rsidRPr="00E70EF5">
              <w:rPr>
                <w:rFonts w:ascii="Times New Roman" w:eastAsia="Melior" w:hAnsi="Times New Roman"/>
                <w:i/>
                <w:snapToGrid/>
                <w:szCs w:val="24"/>
              </w:rPr>
              <w:t xml:space="preserve">Proposed </w:t>
            </w:r>
            <w:r>
              <w:rPr>
                <w:rFonts w:ascii="Times New Roman" w:hAnsi="Times New Roman"/>
                <w:i/>
                <w:color w:val="000000"/>
                <w:szCs w:val="24"/>
              </w:rPr>
              <w:t>Ongoing Annual Burden</w:t>
            </w:r>
          </w:p>
        </w:tc>
        <w:tc>
          <w:tcPr>
            <w:tcW w:w="1489"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36</w:t>
            </w:r>
          </w:p>
        </w:tc>
        <w:tc>
          <w:tcPr>
            <w:tcW w:w="1400"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1</w:t>
            </w:r>
          </w:p>
        </w:tc>
        <w:tc>
          <w:tcPr>
            <w:tcW w:w="1399" w:type="dxa"/>
            <w:vAlign w:val="bottom"/>
          </w:tcPr>
          <w:p w:rsidR="005C2F8B" w:rsidRDefault="005C2F8B" w:rsidP="000C3567">
            <w:pPr>
              <w:jc w:val="right"/>
              <w:rPr>
                <w:rFonts w:ascii="Times New Roman" w:hAnsi="Times New Roman"/>
                <w:color w:val="000000"/>
                <w:szCs w:val="24"/>
              </w:rPr>
            </w:pPr>
            <w:r>
              <w:rPr>
                <w:rFonts w:ascii="Times New Roman" w:hAnsi="Times New Roman"/>
                <w:color w:val="000000"/>
                <w:szCs w:val="24"/>
              </w:rPr>
              <w:t>1,486</w:t>
            </w:r>
          </w:p>
        </w:tc>
        <w:tc>
          <w:tcPr>
            <w:tcW w:w="1400" w:type="dxa"/>
            <w:vAlign w:val="bottom"/>
          </w:tcPr>
          <w:p w:rsidR="005C2F8B" w:rsidRPr="00E12975" w:rsidRDefault="005C2F8B" w:rsidP="000C3567">
            <w:pPr>
              <w:jc w:val="right"/>
              <w:rPr>
                <w:rFonts w:ascii="Times New Roman" w:hAnsi="Times New Roman"/>
                <w:i/>
                <w:color w:val="000000"/>
                <w:szCs w:val="24"/>
              </w:rPr>
            </w:pPr>
            <w:r>
              <w:rPr>
                <w:rFonts w:ascii="Times New Roman" w:hAnsi="Times New Roman"/>
                <w:i/>
                <w:color w:val="000000"/>
                <w:szCs w:val="24"/>
              </w:rPr>
              <w:t>53,495</w:t>
            </w:r>
          </w:p>
        </w:tc>
      </w:tr>
      <w:tr w:rsidR="005C2F8B" w:rsidRPr="00D35169" w:rsidTr="000C3567">
        <w:trPr>
          <w:trHeight w:val="252"/>
        </w:trPr>
        <w:tc>
          <w:tcPr>
            <w:tcW w:w="3888" w:type="dxa"/>
            <w:vAlign w:val="bottom"/>
          </w:tcPr>
          <w:p w:rsidR="005C2F8B" w:rsidRDefault="005C2F8B" w:rsidP="000C3567">
            <w:pPr>
              <w:rPr>
                <w:rFonts w:ascii="Times New Roman" w:eastAsia="Melior" w:hAnsi="Times New Roman"/>
                <w:snapToGrid/>
                <w:szCs w:val="24"/>
              </w:rPr>
            </w:pP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r>
      <w:tr w:rsidR="005C2F8B" w:rsidRPr="00D35169" w:rsidTr="000C3567">
        <w:trPr>
          <w:trHeight w:val="252"/>
        </w:trPr>
        <w:tc>
          <w:tcPr>
            <w:tcW w:w="3888" w:type="dxa"/>
            <w:vAlign w:val="bottom"/>
          </w:tcPr>
          <w:p w:rsidR="005C2F8B" w:rsidRPr="00D35169" w:rsidRDefault="005C2F8B" w:rsidP="000C3567">
            <w:pPr>
              <w:rPr>
                <w:rFonts w:ascii="Times New Roman" w:eastAsia="Melior" w:hAnsi="Times New Roman"/>
                <w:snapToGrid/>
                <w:szCs w:val="24"/>
              </w:rPr>
            </w:pPr>
            <w:r>
              <w:rPr>
                <w:rFonts w:ascii="Times New Roman" w:eastAsia="Melior" w:hAnsi="Times New Roman"/>
                <w:i/>
                <w:snapToGrid/>
                <w:szCs w:val="24"/>
              </w:rPr>
              <w:t>Change</w:t>
            </w:r>
          </w:p>
        </w:tc>
        <w:tc>
          <w:tcPr>
            <w:tcW w:w="148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D35169" w:rsidRDefault="005C2F8B" w:rsidP="000C3567">
            <w:pPr>
              <w:jc w:val="right"/>
              <w:rPr>
                <w:rFonts w:ascii="Times New Roman" w:hAnsi="Times New Roman"/>
                <w:color w:val="000000"/>
                <w:szCs w:val="24"/>
              </w:rPr>
            </w:pPr>
          </w:p>
        </w:tc>
        <w:tc>
          <w:tcPr>
            <w:tcW w:w="1399" w:type="dxa"/>
            <w:vAlign w:val="bottom"/>
          </w:tcPr>
          <w:p w:rsidR="005C2F8B" w:rsidRDefault="005C2F8B" w:rsidP="000C3567">
            <w:pPr>
              <w:jc w:val="right"/>
              <w:rPr>
                <w:rFonts w:ascii="Times New Roman" w:hAnsi="Times New Roman"/>
                <w:color w:val="000000"/>
                <w:szCs w:val="24"/>
              </w:rPr>
            </w:pPr>
          </w:p>
        </w:tc>
        <w:tc>
          <w:tcPr>
            <w:tcW w:w="1400" w:type="dxa"/>
            <w:vAlign w:val="bottom"/>
          </w:tcPr>
          <w:p w:rsidR="005C2F8B" w:rsidRPr="00E12975" w:rsidRDefault="005C2F8B" w:rsidP="000C3567">
            <w:pPr>
              <w:jc w:val="right"/>
              <w:rPr>
                <w:rFonts w:ascii="Times New Roman" w:hAnsi="Times New Roman"/>
                <w:b/>
                <w:i/>
                <w:color w:val="000000"/>
                <w:szCs w:val="24"/>
              </w:rPr>
            </w:pPr>
            <w:r>
              <w:rPr>
                <w:rFonts w:ascii="Times New Roman" w:hAnsi="Times New Roman"/>
                <w:i/>
                <w:color w:val="000000"/>
                <w:szCs w:val="24"/>
              </w:rPr>
              <w:t>53,495</w:t>
            </w:r>
          </w:p>
        </w:tc>
      </w:tr>
      <w:tr w:rsidR="005C2F8B" w:rsidRPr="00D35169" w:rsidTr="000C3567">
        <w:trPr>
          <w:trHeight w:val="278"/>
        </w:trPr>
        <w:tc>
          <w:tcPr>
            <w:tcW w:w="3888" w:type="dxa"/>
            <w:vAlign w:val="bottom"/>
          </w:tcPr>
          <w:p w:rsidR="005C2F8B" w:rsidRPr="00D35169" w:rsidRDefault="005C2F8B" w:rsidP="000C3567">
            <w:pPr>
              <w:jc w:val="right"/>
              <w:rPr>
                <w:rFonts w:ascii="Times New Roman" w:eastAsia="Melior" w:hAnsi="Times New Roman"/>
                <w:i/>
                <w:snapToGrid/>
                <w:szCs w:val="24"/>
              </w:rPr>
            </w:pPr>
          </w:p>
        </w:tc>
        <w:tc>
          <w:tcPr>
            <w:tcW w:w="1489" w:type="dxa"/>
            <w:vAlign w:val="bottom"/>
          </w:tcPr>
          <w:p w:rsidR="005C2F8B" w:rsidRPr="00D35169" w:rsidRDefault="005C2F8B" w:rsidP="000C3567">
            <w:pPr>
              <w:jc w:val="center"/>
              <w:rPr>
                <w:rFonts w:ascii="Times New Roman" w:hAnsi="Times New Roman"/>
                <w:color w:val="000000"/>
                <w:szCs w:val="24"/>
              </w:rPr>
            </w:pPr>
          </w:p>
        </w:tc>
        <w:tc>
          <w:tcPr>
            <w:tcW w:w="1400" w:type="dxa"/>
            <w:vAlign w:val="bottom"/>
          </w:tcPr>
          <w:p w:rsidR="005C2F8B" w:rsidRPr="00D35169" w:rsidRDefault="005C2F8B" w:rsidP="000C3567">
            <w:pPr>
              <w:jc w:val="center"/>
              <w:rPr>
                <w:rFonts w:ascii="Times New Roman" w:hAnsi="Times New Roman"/>
                <w:color w:val="000000"/>
                <w:szCs w:val="24"/>
              </w:rPr>
            </w:pPr>
          </w:p>
        </w:tc>
        <w:tc>
          <w:tcPr>
            <w:tcW w:w="1399" w:type="dxa"/>
            <w:vAlign w:val="bottom"/>
          </w:tcPr>
          <w:p w:rsidR="005C2F8B" w:rsidRPr="00D35169" w:rsidRDefault="005C2F8B" w:rsidP="000C3567">
            <w:pPr>
              <w:jc w:val="center"/>
              <w:rPr>
                <w:rFonts w:ascii="Times New Roman" w:hAnsi="Times New Roman"/>
                <w:color w:val="000000"/>
                <w:szCs w:val="24"/>
              </w:rPr>
            </w:pPr>
          </w:p>
        </w:tc>
        <w:tc>
          <w:tcPr>
            <w:tcW w:w="1400" w:type="dxa"/>
            <w:vAlign w:val="bottom"/>
          </w:tcPr>
          <w:p w:rsidR="005C2F8B" w:rsidRDefault="005C2F8B" w:rsidP="000C3567">
            <w:pPr>
              <w:jc w:val="right"/>
              <w:rPr>
                <w:rFonts w:ascii="Times New Roman" w:hAnsi="Times New Roman"/>
                <w:color w:val="000000"/>
                <w:szCs w:val="24"/>
              </w:rPr>
            </w:pPr>
          </w:p>
        </w:tc>
      </w:tr>
    </w:tbl>
    <w:p w:rsidR="005C2F8B" w:rsidRDefault="005C2F8B" w:rsidP="005B6ADB">
      <w:pPr>
        <w:ind w:firstLine="600"/>
        <w:outlineLvl w:val="0"/>
        <w:rPr>
          <w:rFonts w:ascii="Times New Roman" w:hAnsi="Times New Roman"/>
        </w:rPr>
      </w:pPr>
    </w:p>
    <w:p w:rsidR="005C2F8B" w:rsidRDefault="005C2F8B" w:rsidP="005B6ADB">
      <w:pPr>
        <w:ind w:firstLine="600"/>
        <w:outlineLvl w:val="0"/>
        <w:rPr>
          <w:rFonts w:ascii="Times New Roman" w:hAnsi="Times New Roman"/>
        </w:rPr>
      </w:pPr>
    </w:p>
    <w:p w:rsidR="005B6ADB" w:rsidRDefault="005B6ADB" w:rsidP="005B6ADB">
      <w:pPr>
        <w:ind w:firstLine="600"/>
        <w:outlineLvl w:val="0"/>
        <w:rPr>
          <w:rFonts w:ascii="Times New Roman" w:hAnsi="Times New Roman"/>
          <w:u w:val="single"/>
        </w:rPr>
      </w:pPr>
      <w:r>
        <w:rPr>
          <w:rFonts w:ascii="Times New Roman" w:hAnsi="Times New Roman"/>
        </w:rPr>
        <w:t>13.</w:t>
      </w:r>
      <w:r>
        <w:rPr>
          <w:rFonts w:ascii="Times New Roman" w:hAnsi="Times New Roman"/>
        </w:rPr>
        <w:tab/>
      </w:r>
      <w:r>
        <w:rPr>
          <w:rFonts w:ascii="Times New Roman" w:hAnsi="Times New Roman"/>
          <w:u w:val="single"/>
        </w:rPr>
        <w:t>Capital, Start-Up and Maintenance Costs</w:t>
      </w:r>
    </w:p>
    <w:p w:rsidR="00FF765D" w:rsidRDefault="00FF765D" w:rsidP="00FF765D">
      <w:pPr>
        <w:widowControl/>
        <w:ind w:firstLine="600"/>
        <w:rPr>
          <w:rFonts w:ascii="Times New Roman" w:hAnsi="Times New Roman"/>
          <w:szCs w:val="24"/>
        </w:rPr>
      </w:pPr>
    </w:p>
    <w:p w:rsidR="005C2F8B" w:rsidRPr="00711F6B" w:rsidRDefault="005C2F8B" w:rsidP="00FF765D">
      <w:pPr>
        <w:widowControl/>
        <w:ind w:firstLine="600"/>
        <w:rPr>
          <w:rFonts w:ascii="Times New Roman" w:hAnsi="Times New Roman"/>
          <w:szCs w:val="24"/>
        </w:rPr>
      </w:pPr>
      <w:r>
        <w:rPr>
          <w:rFonts w:ascii="Times New Roman" w:hAnsi="Times New Roman"/>
          <w:szCs w:val="24"/>
        </w:rPr>
        <w:t>Estimated implementation costs for the respondents are $319.2 million. Ongoing reporting costs for the respondents are estimated to be $8.6 million per year.</w:t>
      </w:r>
    </w:p>
    <w:p w:rsidR="005B6ADB" w:rsidRDefault="005B6ADB" w:rsidP="005B6ADB">
      <w:pPr>
        <w:rPr>
          <w:rFonts w:ascii="Times New Roman" w:hAnsi="Times New Roman"/>
        </w:rPr>
      </w:pPr>
    </w:p>
    <w:p w:rsidR="005B6ADB" w:rsidRDefault="005B6ADB" w:rsidP="005B6ADB">
      <w:pPr>
        <w:ind w:firstLine="600"/>
        <w:outlineLvl w:val="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Estimated Annual Cost to the Federal Government</w:t>
      </w:r>
    </w:p>
    <w:p w:rsidR="005B6ADB" w:rsidRDefault="005B6ADB" w:rsidP="005B6ADB">
      <w:pPr>
        <w:rPr>
          <w:rFonts w:ascii="Times New Roman" w:hAnsi="Times New Roman"/>
        </w:rPr>
      </w:pPr>
    </w:p>
    <w:p w:rsidR="005B6ADB" w:rsidRDefault="005B6ADB" w:rsidP="005B6ADB">
      <w:pPr>
        <w:outlineLvl w:val="0"/>
        <w:rPr>
          <w:rFonts w:ascii="Times New Roman" w:hAnsi="Times New Roman"/>
        </w:rPr>
      </w:pPr>
      <w:r>
        <w:rPr>
          <w:rFonts w:ascii="Times New Roman" w:hAnsi="Times New Roman"/>
        </w:rPr>
        <w:tab/>
        <w:t xml:space="preserve">Should the proposed rule be adopted, the FDIC would begin actively supervising covered institutions for compliance two years after the effective date.  </w:t>
      </w:r>
      <w:r w:rsidRPr="00F60773">
        <w:rPr>
          <w:rFonts w:ascii="Times New Roman" w:hAnsi="Times New Roman"/>
        </w:rPr>
        <w:t xml:space="preserve">The current annual cost to the FDIC </w:t>
      </w:r>
      <w:r>
        <w:rPr>
          <w:rFonts w:ascii="Times New Roman" w:hAnsi="Times New Roman"/>
        </w:rPr>
        <w:t>related to ensuring compliance</w:t>
      </w:r>
      <w:r w:rsidRPr="00F60773">
        <w:rPr>
          <w:rFonts w:ascii="Times New Roman" w:hAnsi="Times New Roman"/>
        </w:rPr>
        <w:t xml:space="preserve"> is estimated to be $</w:t>
      </w:r>
      <w:r>
        <w:rPr>
          <w:rFonts w:ascii="Times New Roman" w:hAnsi="Times New Roman"/>
        </w:rPr>
        <w:t>4.325</w:t>
      </w:r>
      <w:r w:rsidRPr="00F60773">
        <w:rPr>
          <w:rFonts w:ascii="Times New Roman" w:hAnsi="Times New Roman"/>
        </w:rPr>
        <w:t xml:space="preserve"> million.  This amount includes the cost of</w:t>
      </w:r>
      <w:r>
        <w:rPr>
          <w:rFonts w:ascii="Times New Roman" w:hAnsi="Times New Roman"/>
        </w:rPr>
        <w:t xml:space="preserve"> reviewing covered institutions’ filings and conducting on-site testing.  A covered institution would be required to certify annually that its IT system is capable of calculating deposit insurance available on deposit accounts.  </w:t>
      </w:r>
      <w:r w:rsidRPr="0070469E">
        <w:rPr>
          <w:rFonts w:ascii="Times New Roman" w:hAnsi="Times New Roman"/>
        </w:rPr>
        <w:t xml:space="preserve"> </w:t>
      </w:r>
      <w:r>
        <w:rPr>
          <w:rFonts w:ascii="Times New Roman" w:hAnsi="Times New Roman"/>
        </w:rPr>
        <w:t>It would need to provide an attestation letter signed by its Board of Directors   along with a deposit in</w:t>
      </w:r>
      <w:r w:rsidR="00FF765D">
        <w:rPr>
          <w:rFonts w:ascii="Times New Roman" w:hAnsi="Times New Roman"/>
        </w:rPr>
        <w:t>surance coverage summary report</w:t>
      </w:r>
      <w:r>
        <w:rPr>
          <w:rFonts w:ascii="Times New Roman" w:hAnsi="Times New Roman"/>
        </w:rPr>
        <w:t xml:space="preserve">. The total costs for the FDIC associated with review of these annual filings are estimated to be </w:t>
      </w:r>
      <w:r w:rsidR="00140BE0">
        <w:rPr>
          <w:rFonts w:ascii="Times New Roman" w:hAnsi="Times New Roman"/>
        </w:rPr>
        <w:t xml:space="preserve">approximately </w:t>
      </w:r>
      <w:r>
        <w:rPr>
          <w:rFonts w:ascii="Times New Roman" w:hAnsi="Times New Roman"/>
        </w:rPr>
        <w:t>$525,000.  The FDIC would also perform an on-site visit annually in order to validate compliance. Once compliance has been confirmed, the FDIC would schedule on-site visits less frequently unless there is a material change to a covered institution’s IT system, deposit-taking operations or financial condition.  The on-site visit also encompasses other IT reviews and capability validations, so the added costs associated with the proposed rule would be low. The FDIC estimates that total costs associated with the annual on-site testing would be $3.8 million.  The costs could be reduced by scheduling less frequent compliance visits if the covered institution has been found by the FDIC to be fully compliant and by combining reviews with ongoing supervisory examinations.</w:t>
      </w:r>
    </w:p>
    <w:p w:rsidR="00430992" w:rsidRDefault="00430992" w:rsidP="005B6ADB">
      <w:pPr>
        <w:rPr>
          <w:rFonts w:ascii="Times New Roman" w:hAnsi="Times New Roman"/>
        </w:rPr>
      </w:pPr>
    </w:p>
    <w:p w:rsidR="005B6ADB" w:rsidRDefault="005B6ADB" w:rsidP="005B6ADB">
      <w:pPr>
        <w:ind w:firstLine="600"/>
        <w:outlineLvl w:val="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5B6ADB" w:rsidRDefault="005B6ADB" w:rsidP="005B6ADB">
      <w:pPr>
        <w:rPr>
          <w:rFonts w:ascii="Times New Roman" w:hAnsi="Times New Roman"/>
        </w:rPr>
      </w:pPr>
      <w:r>
        <w:rPr>
          <w:rFonts w:ascii="Times New Roman" w:hAnsi="Times New Roman"/>
        </w:rPr>
        <w:tab/>
      </w:r>
      <w:r>
        <w:rPr>
          <w:rFonts w:ascii="Times New Roman" w:hAnsi="Times New Roman"/>
        </w:rPr>
        <w:tab/>
      </w:r>
    </w:p>
    <w:p w:rsidR="005B6ADB" w:rsidRDefault="00890D39" w:rsidP="005B6ADB">
      <w:pPr>
        <w:ind w:left="1440"/>
        <w:rPr>
          <w:rFonts w:ascii="Times New Roman" w:hAnsi="Times New Roman"/>
        </w:rPr>
      </w:pPr>
      <w:r>
        <w:rPr>
          <w:rFonts w:ascii="Times New Roman" w:hAnsi="Times New Roman"/>
        </w:rPr>
        <w:t>New recordkeeping and reporting requirements contained in regulation.</w:t>
      </w:r>
      <w:r w:rsidR="005B6ADB">
        <w:rPr>
          <w:rFonts w:ascii="Times New Roman" w:hAnsi="Times New Roman"/>
        </w:rPr>
        <w:t xml:space="preserve"> </w:t>
      </w:r>
    </w:p>
    <w:p w:rsidR="005B6ADB" w:rsidRDefault="005B6ADB" w:rsidP="005B6ADB">
      <w:pPr>
        <w:ind w:left="1440"/>
        <w:rPr>
          <w:rFonts w:ascii="Times New Roman" w:hAnsi="Times New Roman"/>
        </w:rPr>
      </w:pPr>
    </w:p>
    <w:p w:rsidR="005B6ADB" w:rsidRDefault="005B6ADB" w:rsidP="008D0DCF">
      <w:pPr>
        <w:ind w:firstLine="600"/>
        <w:outlineLvl w:val="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Publication.</w:t>
      </w:r>
    </w:p>
    <w:p w:rsidR="005B6ADB" w:rsidRDefault="005B6ADB" w:rsidP="005B6ADB">
      <w:pPr>
        <w:ind w:left="240"/>
        <w:rPr>
          <w:rFonts w:ascii="Times New Roman" w:hAnsi="Times New Roman"/>
        </w:rPr>
      </w:pPr>
    </w:p>
    <w:p w:rsidR="005B6ADB" w:rsidRDefault="005B6ADB" w:rsidP="005B6ADB">
      <w:pPr>
        <w:ind w:left="720" w:firstLine="720"/>
        <w:outlineLvl w:val="0"/>
        <w:rPr>
          <w:rFonts w:ascii="Times New Roman" w:hAnsi="Times New Roman"/>
        </w:rPr>
      </w:pPr>
      <w:r>
        <w:rPr>
          <w:rFonts w:ascii="Times New Roman" w:hAnsi="Times New Roman"/>
        </w:rPr>
        <w:t>Not applicable.</w:t>
      </w:r>
    </w:p>
    <w:p w:rsidR="005B6ADB" w:rsidRDefault="005B6ADB" w:rsidP="005B6ADB">
      <w:pPr>
        <w:rPr>
          <w:rFonts w:ascii="Times New Roman" w:hAnsi="Times New Roman"/>
        </w:rPr>
      </w:pPr>
    </w:p>
    <w:p w:rsidR="005B6ADB" w:rsidRDefault="005B6ADB" w:rsidP="008D0DCF">
      <w:pPr>
        <w:ind w:firstLine="600"/>
        <w:outlineLvl w:val="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Display of Expiration Dates</w:t>
      </w:r>
    </w:p>
    <w:p w:rsidR="005B6ADB" w:rsidRDefault="005B6ADB" w:rsidP="005B6ADB">
      <w:pPr>
        <w:rPr>
          <w:rFonts w:ascii="Times New Roman" w:hAnsi="Times New Roman"/>
        </w:rPr>
      </w:pPr>
    </w:p>
    <w:p w:rsidR="005B6ADB" w:rsidRDefault="00890D39" w:rsidP="005B6ADB">
      <w:pPr>
        <w:ind w:left="720" w:firstLine="720"/>
        <w:outlineLvl w:val="0"/>
        <w:rPr>
          <w:rFonts w:ascii="Times New Roman" w:hAnsi="Times New Roman"/>
        </w:rPr>
      </w:pPr>
      <w:r>
        <w:rPr>
          <w:rFonts w:ascii="Times New Roman" w:hAnsi="Times New Roman"/>
        </w:rPr>
        <w:t xml:space="preserve">The OMB Control Number and </w:t>
      </w:r>
      <w:r w:rsidR="00B36B8D">
        <w:rPr>
          <w:rFonts w:ascii="Times New Roman" w:hAnsi="Times New Roman"/>
        </w:rPr>
        <w:t xml:space="preserve">expiration date for this collection of information will be displayed when the Final Rule is published in the </w:t>
      </w:r>
      <w:r w:rsidR="00B36B8D" w:rsidRPr="008D0DCF">
        <w:rPr>
          <w:rFonts w:ascii="Times New Roman" w:hAnsi="Times New Roman"/>
          <w:i/>
        </w:rPr>
        <w:t>Federal Register</w:t>
      </w:r>
      <w:r w:rsidR="005B6ADB">
        <w:rPr>
          <w:rFonts w:ascii="Times New Roman" w:hAnsi="Times New Roman"/>
        </w:rPr>
        <w:t>.</w:t>
      </w:r>
    </w:p>
    <w:p w:rsidR="005B6ADB" w:rsidRDefault="005B6ADB" w:rsidP="005B6ADB">
      <w:pPr>
        <w:rPr>
          <w:rFonts w:ascii="Times New Roman" w:hAnsi="Times New Roman"/>
        </w:rPr>
      </w:pPr>
    </w:p>
    <w:p w:rsidR="005B6ADB" w:rsidRDefault="005B6ADB" w:rsidP="005B6ADB">
      <w:pPr>
        <w:ind w:firstLine="600"/>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5B6ADB" w:rsidRDefault="005B6ADB" w:rsidP="005B6ADB">
      <w:pPr>
        <w:ind w:left="600" w:firstLine="120"/>
        <w:rPr>
          <w:rFonts w:ascii="Times New Roman" w:hAnsi="Times New Roman"/>
        </w:rPr>
      </w:pPr>
    </w:p>
    <w:p w:rsidR="005B6ADB" w:rsidRDefault="005B6ADB" w:rsidP="005B6ADB">
      <w:pPr>
        <w:ind w:left="1320" w:firstLine="120"/>
        <w:outlineLvl w:val="0"/>
        <w:rPr>
          <w:rFonts w:ascii="Times New Roman" w:hAnsi="Times New Roman"/>
        </w:rPr>
      </w:pPr>
      <w:proofErr w:type="gramStart"/>
      <w:r>
        <w:rPr>
          <w:rFonts w:ascii="Times New Roman" w:hAnsi="Times New Roman"/>
        </w:rPr>
        <w:t>None.</w:t>
      </w:r>
      <w:proofErr w:type="gramEnd"/>
    </w:p>
    <w:p w:rsidR="005B6ADB" w:rsidRDefault="005B6ADB" w:rsidP="005B6ADB">
      <w:pPr>
        <w:ind w:left="600" w:firstLine="840"/>
        <w:rPr>
          <w:rFonts w:ascii="Times New Roman" w:hAnsi="Times New Roman"/>
        </w:rPr>
      </w:pPr>
    </w:p>
    <w:p w:rsidR="005B6ADB" w:rsidRDefault="005B6ADB" w:rsidP="005B6ADB">
      <w:pPr>
        <w:rPr>
          <w:rFonts w:ascii="Times New Roman" w:hAnsi="Times New Roman"/>
        </w:rPr>
      </w:pPr>
      <w:r>
        <w:rPr>
          <w:rFonts w:ascii="Times New Roman" w:hAnsi="Times New Roman"/>
        </w:rPr>
        <w:t>B.</w:t>
      </w:r>
      <w:r>
        <w:rPr>
          <w:rFonts w:ascii="Times New Roman" w:hAnsi="Times New Roman"/>
        </w:rPr>
        <w:tab/>
      </w:r>
      <w:r w:rsidR="00BB14E4" w:rsidRPr="00FF765D">
        <w:rPr>
          <w:rFonts w:ascii="Times New Roman" w:hAnsi="Times New Roman"/>
          <w:u w:val="single"/>
        </w:rPr>
        <w:t xml:space="preserve">Collection of Information Employing </w:t>
      </w:r>
      <w:r w:rsidRPr="00FF765D">
        <w:rPr>
          <w:rFonts w:ascii="Times New Roman" w:hAnsi="Times New Roman"/>
          <w:u w:val="single"/>
        </w:rPr>
        <w:t>Statisti</w:t>
      </w:r>
      <w:r>
        <w:rPr>
          <w:rFonts w:ascii="Times New Roman" w:hAnsi="Times New Roman"/>
          <w:u w:val="single"/>
        </w:rPr>
        <w:t>cal Methods</w:t>
      </w:r>
    </w:p>
    <w:p w:rsidR="005B6ADB" w:rsidRDefault="005B6ADB" w:rsidP="005B6ADB"/>
    <w:p w:rsidR="00BB14E4" w:rsidRPr="00FF765D" w:rsidRDefault="00BB14E4" w:rsidP="005B6ADB">
      <w:pPr>
        <w:rPr>
          <w:rFonts w:ascii="Times New Roman" w:hAnsi="Times New Roman"/>
        </w:rPr>
      </w:pPr>
      <w:r>
        <w:tab/>
      </w:r>
      <w:r w:rsidRPr="00FF765D">
        <w:rPr>
          <w:rFonts w:ascii="Times New Roman" w:hAnsi="Times New Roman"/>
        </w:rPr>
        <w:t>Not applicable.</w:t>
      </w:r>
    </w:p>
    <w:p w:rsidR="00C06831" w:rsidRDefault="00741321"/>
    <w:sectPr w:rsidR="00C068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AD" w:rsidRDefault="00EF4BAD" w:rsidP="0043292B">
      <w:r>
        <w:separator/>
      </w:r>
    </w:p>
  </w:endnote>
  <w:endnote w:type="continuationSeparator" w:id="0">
    <w:p w:rsidR="00EF4BAD" w:rsidRDefault="00EF4BAD" w:rsidP="0043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rsidR="0043292B" w:rsidRPr="0043292B" w:rsidRDefault="0043292B">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741321">
          <w:rPr>
            <w:rFonts w:ascii="Times New Roman" w:hAnsi="Times New Roman"/>
            <w:noProof/>
          </w:rPr>
          <w:t>1</w:t>
        </w:r>
        <w:r w:rsidRPr="0043292B">
          <w:rPr>
            <w:rFonts w:ascii="Times New Roman" w:hAnsi="Times New Roman"/>
            <w:noProof/>
          </w:rPr>
          <w:fldChar w:fldCharType="end"/>
        </w:r>
      </w:p>
    </w:sdtContent>
  </w:sdt>
  <w:p w:rsidR="0043292B" w:rsidRDefault="00432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AD" w:rsidRDefault="00EF4BAD" w:rsidP="0043292B">
      <w:r>
        <w:separator/>
      </w:r>
    </w:p>
  </w:footnote>
  <w:footnote w:type="continuationSeparator" w:id="0">
    <w:p w:rsidR="00EF4BAD" w:rsidRDefault="00EF4BAD" w:rsidP="0043292B">
      <w:r>
        <w:continuationSeparator/>
      </w:r>
    </w:p>
  </w:footnote>
  <w:footnote w:id="1">
    <w:p w:rsidR="005C2F8B" w:rsidRPr="00843D71" w:rsidRDefault="005C2F8B" w:rsidP="005C2F8B">
      <w:pPr>
        <w:widowControl/>
        <w:autoSpaceDE w:val="0"/>
        <w:autoSpaceDN w:val="0"/>
        <w:adjustRightInd w:val="0"/>
        <w:rPr>
          <w:rFonts w:ascii="Times New Roman" w:hAnsi="Times New Roman"/>
          <w:sz w:val="20"/>
        </w:rPr>
      </w:pPr>
      <w:r w:rsidRPr="00843D71">
        <w:rPr>
          <w:rStyle w:val="FootnoteReference"/>
          <w:sz w:val="20"/>
          <w:vertAlign w:val="superscript"/>
        </w:rPr>
        <w:footnoteRef/>
      </w:r>
      <w:r w:rsidRPr="00843D71">
        <w:rPr>
          <w:rFonts w:ascii="Times New Roman" w:hAnsi="Times New Roman"/>
          <w:sz w:val="20"/>
        </w:rPr>
        <w:t xml:space="preserve">  None of the respondents required to comply with the rule are small entities as defined by the Small Business Administration (i.</w:t>
      </w:r>
      <w:r>
        <w:rPr>
          <w:rFonts w:ascii="Times New Roman" w:hAnsi="Times New Roman"/>
          <w:sz w:val="20"/>
        </w:rPr>
        <w:t>e., entities with less than $550 million in total assets).</w:t>
      </w:r>
    </w:p>
  </w:footnote>
  <w:footnote w:id="2">
    <w:p w:rsidR="005C2F8B" w:rsidRDefault="005C2F8B" w:rsidP="005C2F8B">
      <w:pPr>
        <w:pStyle w:val="FootnoteText"/>
      </w:pPr>
      <w:r w:rsidRPr="001037A9">
        <w:rPr>
          <w:rStyle w:val="FootnoteReference"/>
          <w:vertAlign w:val="superscript"/>
        </w:rPr>
        <w:footnoteRef/>
      </w:r>
      <w:r w:rsidRPr="001037A9">
        <w:rPr>
          <w:rStyle w:val="FootnoteReference"/>
          <w:vertAlign w:val="superscript"/>
        </w:rPr>
        <w:t xml:space="preserve"> </w:t>
      </w:r>
      <w:proofErr w:type="gramStart"/>
      <w:r w:rsidRPr="001037A9">
        <w:rPr>
          <w:rFonts w:ascii="Times New Roman" w:hAnsi="Times New Roman"/>
        </w:rPr>
        <w:t>Rounded to the nearest hour.</w:t>
      </w:r>
      <w:proofErr w:type="gramEnd"/>
    </w:p>
  </w:footnote>
  <w:footnote w:id="3">
    <w:p w:rsidR="005C2F8B" w:rsidRPr="00843D71" w:rsidRDefault="005C2F8B" w:rsidP="005C2F8B">
      <w:pPr>
        <w:widowControl/>
        <w:autoSpaceDE w:val="0"/>
        <w:autoSpaceDN w:val="0"/>
        <w:adjustRightInd w:val="0"/>
        <w:rPr>
          <w:rFonts w:ascii="Times New Roman" w:hAnsi="Times New Roman"/>
          <w:sz w:val="20"/>
        </w:rPr>
      </w:pPr>
      <w:r w:rsidRPr="00843D71">
        <w:rPr>
          <w:rStyle w:val="FootnoteReference"/>
          <w:sz w:val="20"/>
          <w:vertAlign w:val="superscript"/>
        </w:rPr>
        <w:footnoteRef/>
      </w:r>
      <w:r w:rsidRPr="00843D71">
        <w:rPr>
          <w:rFonts w:ascii="Times New Roman" w:hAnsi="Times New Roman"/>
          <w:sz w:val="20"/>
        </w:rPr>
        <w:t xml:space="preserve">  None of the respondents required to comply with the rule are small entities as defined by the Small Business Administration (i.</w:t>
      </w:r>
      <w:r>
        <w:rPr>
          <w:rFonts w:ascii="Times New Roman" w:hAnsi="Times New Roman"/>
          <w:sz w:val="20"/>
        </w:rPr>
        <w:t>e., entities with less than $550 million in total assets).</w:t>
      </w:r>
    </w:p>
  </w:footnote>
  <w:footnote w:id="4">
    <w:p w:rsidR="005C2F8B" w:rsidRDefault="005C2F8B" w:rsidP="005C2F8B">
      <w:pPr>
        <w:pStyle w:val="FootnoteText"/>
      </w:pPr>
      <w:r w:rsidRPr="001037A9">
        <w:rPr>
          <w:rStyle w:val="FootnoteReference"/>
          <w:vertAlign w:val="superscript"/>
        </w:rPr>
        <w:footnoteRef/>
      </w:r>
      <w:r w:rsidRPr="001037A9">
        <w:rPr>
          <w:rStyle w:val="FootnoteReference"/>
          <w:vertAlign w:val="superscript"/>
        </w:rPr>
        <w:t xml:space="preserve"> </w:t>
      </w:r>
      <w:proofErr w:type="gramStart"/>
      <w:r w:rsidRPr="001037A9">
        <w:rPr>
          <w:rFonts w:ascii="Times New Roman" w:hAnsi="Times New Roman"/>
        </w:rPr>
        <w:t>Rounded to the nearest hour.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D1" w:rsidRPr="000C08D1" w:rsidRDefault="000C08D1" w:rsidP="000C08D1">
    <w:pPr>
      <w:pStyle w:val="Heade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proofState w:spelling="clean" w:grammar="clean"/>
  <w:revisionView w:markup="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14D30"/>
    <w:rsid w:val="00016ADD"/>
    <w:rsid w:val="00072165"/>
    <w:rsid w:val="000C08D1"/>
    <w:rsid w:val="000E3D3B"/>
    <w:rsid w:val="00140BE0"/>
    <w:rsid w:val="0016381D"/>
    <w:rsid w:val="00175B53"/>
    <w:rsid w:val="001E5D60"/>
    <w:rsid w:val="00243FB8"/>
    <w:rsid w:val="00264A3B"/>
    <w:rsid w:val="0027282C"/>
    <w:rsid w:val="0027402E"/>
    <w:rsid w:val="00351584"/>
    <w:rsid w:val="004061A7"/>
    <w:rsid w:val="00430992"/>
    <w:rsid w:val="0043292B"/>
    <w:rsid w:val="00453D9F"/>
    <w:rsid w:val="0046039D"/>
    <w:rsid w:val="00485697"/>
    <w:rsid w:val="00580133"/>
    <w:rsid w:val="005A74B3"/>
    <w:rsid w:val="005B6ADB"/>
    <w:rsid w:val="005C2F8B"/>
    <w:rsid w:val="005E6DF2"/>
    <w:rsid w:val="00710E54"/>
    <w:rsid w:val="00741321"/>
    <w:rsid w:val="0081291F"/>
    <w:rsid w:val="00846FAE"/>
    <w:rsid w:val="00862321"/>
    <w:rsid w:val="00890D39"/>
    <w:rsid w:val="008C29DB"/>
    <w:rsid w:val="008D0DCF"/>
    <w:rsid w:val="008D51BB"/>
    <w:rsid w:val="0099214F"/>
    <w:rsid w:val="009F14EB"/>
    <w:rsid w:val="00A07788"/>
    <w:rsid w:val="00A23009"/>
    <w:rsid w:val="00A3239E"/>
    <w:rsid w:val="00A457EB"/>
    <w:rsid w:val="00A51807"/>
    <w:rsid w:val="00B36B8D"/>
    <w:rsid w:val="00B41388"/>
    <w:rsid w:val="00BB14E4"/>
    <w:rsid w:val="00BB2BDF"/>
    <w:rsid w:val="00C00193"/>
    <w:rsid w:val="00C26713"/>
    <w:rsid w:val="00CB02E4"/>
    <w:rsid w:val="00E47A76"/>
    <w:rsid w:val="00E96FB5"/>
    <w:rsid w:val="00EB2629"/>
    <w:rsid w:val="00EB35A7"/>
    <w:rsid w:val="00EF4BAD"/>
    <w:rsid w:val="00F64E83"/>
    <w:rsid w:val="00FB45D5"/>
    <w:rsid w:val="00FE2F13"/>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
    <w:uiPriority w:val="99"/>
    <w:rsid w:val="00B41388"/>
    <w:rPr>
      <w:rFonts w:ascii="Times New Roman" w:hAnsi="Times New Roman"/>
    </w:rPr>
  </w:style>
  <w:style w:type="paragraph" w:styleId="FootnoteText">
    <w:name w:val="footnote text"/>
    <w:aliases w:val="ft"/>
    <w:basedOn w:val="Normal"/>
    <w:link w:val="FootnoteTextChar"/>
    <w:uiPriority w:val="99"/>
    <w:rsid w:val="00B41388"/>
    <w:rPr>
      <w:sz w:val="20"/>
    </w:rPr>
  </w:style>
  <w:style w:type="character" w:customStyle="1" w:styleId="FootnoteTextChar">
    <w:name w:val="Footnote Text Char"/>
    <w:aliases w:val="ft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
    <w:uiPriority w:val="99"/>
    <w:rsid w:val="00B41388"/>
    <w:rPr>
      <w:rFonts w:ascii="Times New Roman" w:hAnsi="Times New Roman"/>
    </w:rPr>
  </w:style>
  <w:style w:type="paragraph" w:styleId="FootnoteText">
    <w:name w:val="footnote text"/>
    <w:aliases w:val="ft"/>
    <w:basedOn w:val="Normal"/>
    <w:link w:val="FootnoteTextChar"/>
    <w:uiPriority w:val="99"/>
    <w:rsid w:val="00B41388"/>
    <w:rPr>
      <w:sz w:val="20"/>
    </w:rPr>
  </w:style>
  <w:style w:type="character" w:customStyle="1" w:styleId="FootnoteTextChar">
    <w:name w:val="Footnote Text Char"/>
    <w:aliases w:val="ft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EE70-A9A5-401B-9D7A-347241CF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2016-03-01T18:57:00Z</dcterms:created>
  <dcterms:modified xsi:type="dcterms:W3CDTF">2016-03-01T18:57:00Z</dcterms:modified>
</cp:coreProperties>
</file>