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BC" w:rsidRPr="00CC721F" w:rsidRDefault="005035BC" w:rsidP="005035BC">
      <w:pPr>
        <w:rPr>
          <w:b/>
        </w:rPr>
      </w:pPr>
    </w:p>
    <w:p w:rsidR="005035BC" w:rsidRPr="00CC721F" w:rsidRDefault="005035BC" w:rsidP="005035BC">
      <w:pPr>
        <w:autoSpaceDE w:val="0"/>
        <w:autoSpaceDN w:val="0"/>
        <w:adjustRightInd w:val="0"/>
        <w:rPr>
          <w:b/>
        </w:rPr>
      </w:pPr>
    </w:p>
    <w:p w:rsidR="005035BC" w:rsidRPr="00CC721F" w:rsidRDefault="005035BC" w:rsidP="005035BC">
      <w:pPr>
        <w:autoSpaceDE w:val="0"/>
        <w:autoSpaceDN w:val="0"/>
        <w:adjustRightInd w:val="0"/>
        <w:rPr>
          <w:b/>
        </w:rPr>
      </w:pPr>
      <w:r w:rsidRPr="00CC721F">
        <w:rPr>
          <w:b/>
        </w:rPr>
        <w:t>B. Collections of Information Employing</w:t>
      </w:r>
      <w:r>
        <w:rPr>
          <w:b/>
        </w:rPr>
        <w:t xml:space="preserve"> </w:t>
      </w:r>
      <w:r w:rsidRPr="00CC721F">
        <w:rPr>
          <w:b/>
        </w:rPr>
        <w:t>Statistical Methods</w:t>
      </w:r>
    </w:p>
    <w:p w:rsidR="005035BC" w:rsidRPr="00CC721F" w:rsidRDefault="005035BC" w:rsidP="005035BC">
      <w:pPr>
        <w:autoSpaceDE w:val="0"/>
        <w:autoSpaceDN w:val="0"/>
        <w:adjustRightInd w:val="0"/>
      </w:pPr>
    </w:p>
    <w:p w:rsidR="005035BC" w:rsidRPr="00CC721F" w:rsidRDefault="005035BC" w:rsidP="005035BC">
      <w:pPr>
        <w:autoSpaceDE w:val="0"/>
        <w:autoSpaceDN w:val="0"/>
        <w:adjustRightInd w:val="0"/>
        <w:rPr>
          <w:i/>
        </w:rPr>
      </w:pPr>
      <w:r w:rsidRPr="00CC721F">
        <w:rPr>
          <w:i/>
        </w:rPr>
        <w:t>The agency should be prepared to justify its decision not to use statistical methods in any case where such methods might reduce burden or improve accuracy of results.  When the question “Does this ICR contain surveys, censuses or employ statistical methods” is checked, "Yes," the following documentation should be included in the Supporting Statement to the extent that it applies to the methods proposed:</w:t>
      </w:r>
    </w:p>
    <w:p w:rsidR="005035BC" w:rsidRPr="00CC721F" w:rsidRDefault="005035BC" w:rsidP="005035BC">
      <w:pPr>
        <w:autoSpaceDE w:val="0"/>
        <w:autoSpaceDN w:val="0"/>
        <w:adjustRightInd w:val="0"/>
      </w:pPr>
    </w:p>
    <w:p w:rsidR="005035BC" w:rsidRDefault="005035BC" w:rsidP="005035BC">
      <w:pPr>
        <w:tabs>
          <w:tab w:val="right" w:pos="360"/>
          <w:tab w:val="left" w:pos="720"/>
        </w:tabs>
        <w:autoSpaceDE w:val="0"/>
        <w:autoSpaceDN w:val="0"/>
        <w:adjustRightInd w:val="0"/>
        <w:ind w:left="720" w:hanging="720"/>
        <w:rPr>
          <w:i/>
        </w:rPr>
      </w:pPr>
      <w:r w:rsidRPr="00CC721F">
        <w:rPr>
          <w:i/>
        </w:rPr>
        <w:tab/>
        <w:t>1.</w:t>
      </w:r>
      <w:r w:rsidRPr="00CC721F">
        <w:rPr>
          <w:i/>
        </w:rPr>
        <w:tab/>
      </w:r>
      <w:r w:rsidRPr="00EB493E">
        <w:rPr>
          <w:i/>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r>
        <w:rPr>
          <w:i/>
        </w:rPr>
        <w:t xml:space="preserve">     </w:t>
      </w:r>
    </w:p>
    <w:p w:rsidR="005035BC" w:rsidRDefault="005035BC" w:rsidP="005035BC">
      <w:pPr>
        <w:tabs>
          <w:tab w:val="right" w:pos="360"/>
          <w:tab w:val="left" w:pos="720"/>
        </w:tabs>
        <w:autoSpaceDE w:val="0"/>
        <w:autoSpaceDN w:val="0"/>
        <w:adjustRightInd w:val="0"/>
        <w:ind w:left="720" w:hanging="720"/>
        <w:jc w:val="both"/>
        <w:rPr>
          <w:i/>
        </w:rPr>
      </w:pPr>
    </w:p>
    <w:p w:rsidR="005035BC" w:rsidRDefault="005035BC" w:rsidP="005035BC">
      <w:pPr>
        <w:tabs>
          <w:tab w:val="right" w:pos="360"/>
        </w:tabs>
        <w:autoSpaceDE w:val="0"/>
        <w:autoSpaceDN w:val="0"/>
        <w:adjustRightInd w:val="0"/>
        <w:jc w:val="both"/>
      </w:pPr>
      <w:r>
        <w:t>The potential respondent universe includes principal investigators (PIs) serving on NSF-funded SEES and non-SEES projects. The respondents’ projects must start on or after January 1, 2010, the inception of the SEES initiative, and end on or before August 31, 2016, to allow sufficient information to be collected for this evaluation. SEES PIs will be asked to respond to the survey for the study if their SEES projects are funded by SEES programs selected for the comparative analyses. The selection of respondents to the survey includes three steps: (1) selecting comparable SEES and non-SEES programs, (2) selecting comparable SEES and non-SEES projects, and (3) selecting PIs to respond to the survey.</w:t>
      </w:r>
    </w:p>
    <w:p w:rsidR="005035BC" w:rsidRDefault="005035BC" w:rsidP="005035BC">
      <w:pPr>
        <w:tabs>
          <w:tab w:val="right" w:pos="360"/>
        </w:tabs>
        <w:autoSpaceDE w:val="0"/>
        <w:autoSpaceDN w:val="0"/>
        <w:adjustRightInd w:val="0"/>
        <w:jc w:val="both"/>
      </w:pPr>
    </w:p>
    <w:p w:rsidR="005035BC" w:rsidRPr="00A0586A" w:rsidRDefault="005035BC" w:rsidP="005035BC">
      <w:pPr>
        <w:tabs>
          <w:tab w:val="right" w:pos="360"/>
        </w:tabs>
        <w:autoSpaceDE w:val="0"/>
        <w:autoSpaceDN w:val="0"/>
        <w:adjustRightInd w:val="0"/>
        <w:jc w:val="both"/>
        <w:rPr>
          <w:u w:val="single"/>
        </w:rPr>
      </w:pPr>
      <w:r w:rsidRPr="00A0586A">
        <w:rPr>
          <w:u w:val="single"/>
        </w:rPr>
        <w:t xml:space="preserve">Selecting comparable SEES and non-SEES programs </w:t>
      </w:r>
    </w:p>
    <w:p w:rsidR="005035BC" w:rsidRDefault="005035BC" w:rsidP="005035BC">
      <w:pPr>
        <w:tabs>
          <w:tab w:val="right" w:pos="360"/>
        </w:tabs>
        <w:autoSpaceDE w:val="0"/>
        <w:autoSpaceDN w:val="0"/>
        <w:adjustRightInd w:val="0"/>
        <w:jc w:val="both"/>
      </w:pPr>
    </w:p>
    <w:p w:rsidR="005035BC" w:rsidRDefault="005035BC" w:rsidP="005035BC">
      <w:pPr>
        <w:tabs>
          <w:tab w:val="right" w:pos="360"/>
        </w:tabs>
        <w:autoSpaceDE w:val="0"/>
        <w:autoSpaceDN w:val="0"/>
        <w:adjustRightInd w:val="0"/>
        <w:jc w:val="both"/>
      </w:pPr>
      <w:r>
        <w:t xml:space="preserve">There are 17 SEES programs, established at different time since 2010, that have different themes, focus on different scientific goals, and target different audiences; not all SEES programs have comparable programs at NSF and, as the Statement of Work suggests, a sample of SEES programs needs to be selected for the comparative analyses. </w:t>
      </w:r>
    </w:p>
    <w:p w:rsidR="005035BC" w:rsidRDefault="005035BC" w:rsidP="005035BC">
      <w:pPr>
        <w:tabs>
          <w:tab w:val="right" w:pos="360"/>
        </w:tabs>
        <w:autoSpaceDE w:val="0"/>
        <w:autoSpaceDN w:val="0"/>
        <w:adjustRightInd w:val="0"/>
        <w:jc w:val="both"/>
      </w:pPr>
    </w:p>
    <w:p w:rsidR="005035BC" w:rsidRDefault="005035BC" w:rsidP="005035BC">
      <w:pPr>
        <w:tabs>
          <w:tab w:val="right" w:pos="360"/>
        </w:tabs>
        <w:autoSpaceDE w:val="0"/>
        <w:autoSpaceDN w:val="0"/>
        <w:adjustRightInd w:val="0"/>
        <w:jc w:val="both"/>
      </w:pPr>
      <w:r>
        <w:t xml:space="preserve">Several data sources have been used to select the SEES programs and their comparable non-SEES programs for the comparative analyses. The Statement of Work listed comparable programs for six SEES programs. Focus groups with 12 SEES program officers were held in September 2014, during which some non-SEES programs were suggested as comparable. In March 2015, a program officer survey was administered to program officers who have worked with SEES programs at NSF, to collect recommendations on comparable non-SEES programs. NSF program officers suggested 15 SEES programs with 47 potential </w:t>
      </w:r>
      <w:proofErr w:type="spellStart"/>
      <w:r>
        <w:t>comparables</w:t>
      </w:r>
      <w:proofErr w:type="spellEnd"/>
      <w:r>
        <w:t xml:space="preserve">. These programs fall across two program categories: programs with projects focusing on domain-specific research activities and programs with projects focusing on education partnerships or collaboration activities. </w:t>
      </w:r>
    </w:p>
    <w:p w:rsidR="005035BC" w:rsidRDefault="005035BC" w:rsidP="005035BC">
      <w:pPr>
        <w:tabs>
          <w:tab w:val="right" w:pos="360"/>
        </w:tabs>
        <w:autoSpaceDE w:val="0"/>
        <w:autoSpaceDN w:val="0"/>
        <w:adjustRightInd w:val="0"/>
        <w:jc w:val="both"/>
      </w:pPr>
    </w:p>
    <w:p w:rsidR="005035BC" w:rsidRPr="004F2E6C" w:rsidRDefault="005035BC" w:rsidP="005035BC">
      <w:pPr>
        <w:pStyle w:val="Caption"/>
        <w:keepNext/>
        <w:rPr>
          <w:rFonts w:ascii="Times New Roman" w:hAnsi="Times New Roman" w:cs="Times New Roman"/>
          <w:sz w:val="24"/>
          <w:szCs w:val="24"/>
        </w:rPr>
      </w:pPr>
      <w:r w:rsidRPr="004F2E6C">
        <w:rPr>
          <w:rFonts w:ascii="Times New Roman" w:hAnsi="Times New Roman" w:cs="Times New Roman"/>
          <w:sz w:val="24"/>
          <w:szCs w:val="24"/>
        </w:rPr>
        <w:lastRenderedPageBreak/>
        <w:t xml:space="preserve">Table </w:t>
      </w:r>
      <w:r w:rsidRPr="004F2E6C">
        <w:rPr>
          <w:rFonts w:ascii="Times New Roman" w:hAnsi="Times New Roman" w:cs="Times New Roman"/>
          <w:sz w:val="24"/>
          <w:szCs w:val="24"/>
        </w:rPr>
        <w:fldChar w:fldCharType="begin"/>
      </w:r>
      <w:r w:rsidRPr="004F2E6C">
        <w:rPr>
          <w:rFonts w:ascii="Times New Roman" w:hAnsi="Times New Roman" w:cs="Times New Roman"/>
          <w:sz w:val="24"/>
          <w:szCs w:val="24"/>
        </w:rPr>
        <w:instrText xml:space="preserve"> SEQ Table \* ARABIC </w:instrText>
      </w:r>
      <w:r w:rsidRPr="004F2E6C">
        <w:rPr>
          <w:rFonts w:ascii="Times New Roman" w:hAnsi="Times New Roman" w:cs="Times New Roman"/>
          <w:sz w:val="24"/>
          <w:szCs w:val="24"/>
        </w:rPr>
        <w:fldChar w:fldCharType="separate"/>
      </w:r>
      <w:r w:rsidRPr="004F2E6C">
        <w:rPr>
          <w:rFonts w:ascii="Times New Roman" w:hAnsi="Times New Roman" w:cs="Times New Roman"/>
          <w:noProof/>
          <w:sz w:val="24"/>
          <w:szCs w:val="24"/>
        </w:rPr>
        <w:t>1</w:t>
      </w:r>
      <w:r w:rsidRPr="004F2E6C">
        <w:rPr>
          <w:rFonts w:ascii="Times New Roman" w:hAnsi="Times New Roman" w:cs="Times New Roman"/>
          <w:noProof/>
          <w:sz w:val="24"/>
          <w:szCs w:val="24"/>
        </w:rPr>
        <w:fldChar w:fldCharType="end"/>
      </w:r>
      <w:r w:rsidRPr="004F2E6C">
        <w:rPr>
          <w:rFonts w:ascii="Times New Roman" w:hAnsi="Times New Roman" w:cs="Times New Roman"/>
          <w:sz w:val="24"/>
          <w:szCs w:val="24"/>
        </w:rPr>
        <w:t xml:space="preserve"> Potential Respondent Universe</w:t>
      </w:r>
    </w:p>
    <w:tbl>
      <w:tblPr>
        <w:tblStyle w:val="TableGrid"/>
        <w:tblW w:w="5000" w:type="pct"/>
        <w:tblLook w:val="04A0" w:firstRow="1" w:lastRow="0" w:firstColumn="1" w:lastColumn="0" w:noHBand="0" w:noVBand="1"/>
      </w:tblPr>
      <w:tblGrid>
        <w:gridCol w:w="2071"/>
        <w:gridCol w:w="456"/>
        <w:gridCol w:w="2772"/>
        <w:gridCol w:w="456"/>
        <w:gridCol w:w="1056"/>
        <w:gridCol w:w="2539"/>
      </w:tblGrid>
      <w:tr w:rsidR="005035BC" w:rsidRPr="004F2E6C" w:rsidTr="00784BF1">
        <w:tc>
          <w:tcPr>
            <w:tcW w:w="1119" w:type="pct"/>
          </w:tcPr>
          <w:p w:rsidR="005035BC" w:rsidRPr="004F2E6C" w:rsidRDefault="005035BC" w:rsidP="00784BF1">
            <w:pPr>
              <w:autoSpaceDE w:val="0"/>
              <w:autoSpaceDN w:val="0"/>
              <w:adjustRightInd w:val="0"/>
              <w:rPr>
                <w:b/>
              </w:rPr>
            </w:pPr>
            <w:r w:rsidRPr="004F2E6C">
              <w:rPr>
                <w:b/>
              </w:rPr>
              <w:t xml:space="preserve">Program </w:t>
            </w:r>
          </w:p>
        </w:tc>
        <w:tc>
          <w:tcPr>
            <w:tcW w:w="243" w:type="pct"/>
          </w:tcPr>
          <w:p w:rsidR="005035BC" w:rsidRPr="004F2E6C" w:rsidRDefault="005035BC" w:rsidP="00784BF1">
            <w:pPr>
              <w:autoSpaceDE w:val="0"/>
              <w:autoSpaceDN w:val="0"/>
              <w:adjustRightInd w:val="0"/>
              <w:rPr>
                <w:i/>
              </w:rPr>
            </w:pPr>
            <w:r w:rsidRPr="004F2E6C">
              <w:rPr>
                <w:i/>
              </w:rPr>
              <w:t>J</w:t>
            </w:r>
          </w:p>
        </w:tc>
        <w:tc>
          <w:tcPr>
            <w:tcW w:w="1494" w:type="pct"/>
          </w:tcPr>
          <w:p w:rsidR="005035BC" w:rsidRPr="004F2E6C" w:rsidRDefault="005035BC" w:rsidP="00784BF1">
            <w:pPr>
              <w:autoSpaceDE w:val="0"/>
              <w:autoSpaceDN w:val="0"/>
              <w:adjustRightInd w:val="0"/>
              <w:ind w:left="-18"/>
              <w:rPr>
                <w:b/>
              </w:rPr>
            </w:pPr>
            <w:r w:rsidRPr="004F2E6C">
              <w:rPr>
                <w:b/>
              </w:rPr>
              <w:t xml:space="preserve">Program Activity </w:t>
            </w:r>
          </w:p>
        </w:tc>
        <w:tc>
          <w:tcPr>
            <w:tcW w:w="255" w:type="pct"/>
          </w:tcPr>
          <w:p w:rsidR="005035BC" w:rsidRPr="004F2E6C" w:rsidRDefault="005035BC" w:rsidP="00784BF1">
            <w:pPr>
              <w:autoSpaceDE w:val="0"/>
              <w:autoSpaceDN w:val="0"/>
              <w:adjustRightInd w:val="0"/>
            </w:pPr>
            <w:r w:rsidRPr="004F2E6C">
              <w:rPr>
                <w:i/>
              </w:rPr>
              <w:t>j</w:t>
            </w:r>
          </w:p>
        </w:tc>
        <w:tc>
          <w:tcPr>
            <w:tcW w:w="520" w:type="pct"/>
          </w:tcPr>
          <w:p w:rsidR="005035BC" w:rsidRPr="004F2E6C" w:rsidRDefault="005035BC" w:rsidP="00784BF1">
            <w:pPr>
              <w:autoSpaceDE w:val="0"/>
              <w:autoSpaceDN w:val="0"/>
              <w:adjustRightInd w:val="0"/>
            </w:pPr>
            <w:r w:rsidRPr="004F2E6C">
              <w:rPr>
                <w:b/>
              </w:rPr>
              <w:t xml:space="preserve">Projects </w:t>
            </w:r>
            <w:r w:rsidRPr="004F2E6C">
              <w:t>(</w:t>
            </w:r>
            <w:r w:rsidRPr="004F2E6C">
              <w:rPr>
                <w:i/>
              </w:rPr>
              <w:t>n</w:t>
            </w:r>
            <w:r w:rsidRPr="004F2E6C">
              <w:t>)</w:t>
            </w:r>
          </w:p>
        </w:tc>
        <w:tc>
          <w:tcPr>
            <w:tcW w:w="1369" w:type="pct"/>
          </w:tcPr>
          <w:p w:rsidR="005035BC" w:rsidRPr="004F2E6C" w:rsidRDefault="005035BC" w:rsidP="00784BF1">
            <w:pPr>
              <w:autoSpaceDE w:val="0"/>
              <w:autoSpaceDN w:val="0"/>
              <w:adjustRightInd w:val="0"/>
            </w:pPr>
            <w:r w:rsidRPr="004F2E6C">
              <w:rPr>
                <w:b/>
              </w:rPr>
              <w:t>Potential Projects and PI Respondents</w:t>
            </w:r>
            <w:r w:rsidRPr="004F2E6C">
              <w:t xml:space="preserve"> (</w:t>
            </w:r>
            <w:r w:rsidRPr="004F2E6C">
              <w:rPr>
                <w:i/>
              </w:rPr>
              <w:t>N</w:t>
            </w:r>
            <w:r w:rsidRPr="004F2E6C">
              <w:t>)</w:t>
            </w:r>
          </w:p>
        </w:tc>
      </w:tr>
      <w:tr w:rsidR="005035BC" w:rsidRPr="004F2E6C" w:rsidTr="00784BF1">
        <w:tc>
          <w:tcPr>
            <w:tcW w:w="1119" w:type="pct"/>
            <w:vMerge w:val="restart"/>
            <w:vAlign w:val="center"/>
          </w:tcPr>
          <w:p w:rsidR="005035BC" w:rsidRPr="004F2E6C" w:rsidRDefault="005035BC" w:rsidP="00784BF1">
            <w:pPr>
              <w:autoSpaceDE w:val="0"/>
              <w:autoSpaceDN w:val="0"/>
              <w:adjustRightInd w:val="0"/>
            </w:pPr>
            <w:r w:rsidRPr="004F2E6C">
              <w:t>SEES Programs</w:t>
            </w:r>
          </w:p>
        </w:tc>
        <w:tc>
          <w:tcPr>
            <w:tcW w:w="243" w:type="pct"/>
            <w:vMerge w:val="restart"/>
            <w:vAlign w:val="center"/>
          </w:tcPr>
          <w:p w:rsidR="005035BC" w:rsidRPr="004F2E6C" w:rsidRDefault="005035BC" w:rsidP="00784BF1">
            <w:pPr>
              <w:autoSpaceDE w:val="0"/>
              <w:autoSpaceDN w:val="0"/>
              <w:adjustRightInd w:val="0"/>
              <w:jc w:val="center"/>
            </w:pPr>
            <w:r w:rsidRPr="004F2E6C">
              <w:t>15</w:t>
            </w:r>
          </w:p>
        </w:tc>
        <w:tc>
          <w:tcPr>
            <w:tcW w:w="1494" w:type="pct"/>
          </w:tcPr>
          <w:p w:rsidR="005035BC" w:rsidRPr="004F2E6C" w:rsidRDefault="005035BC" w:rsidP="00784BF1">
            <w:pPr>
              <w:autoSpaceDE w:val="0"/>
              <w:autoSpaceDN w:val="0"/>
              <w:adjustRightInd w:val="0"/>
            </w:pPr>
            <w:r w:rsidRPr="004F2E6C">
              <w:t>Domain-specific scientific research activities</w:t>
            </w:r>
          </w:p>
        </w:tc>
        <w:tc>
          <w:tcPr>
            <w:tcW w:w="255" w:type="pct"/>
            <w:vAlign w:val="center"/>
          </w:tcPr>
          <w:p w:rsidR="005035BC" w:rsidRPr="004F2E6C" w:rsidRDefault="005035BC" w:rsidP="00784BF1">
            <w:pPr>
              <w:autoSpaceDE w:val="0"/>
              <w:autoSpaceDN w:val="0"/>
              <w:adjustRightInd w:val="0"/>
              <w:jc w:val="center"/>
            </w:pPr>
            <w:r w:rsidRPr="004F2E6C">
              <w:t>10</w:t>
            </w:r>
          </w:p>
        </w:tc>
        <w:tc>
          <w:tcPr>
            <w:tcW w:w="520" w:type="pct"/>
            <w:vAlign w:val="center"/>
          </w:tcPr>
          <w:p w:rsidR="005035BC" w:rsidRPr="004F2E6C" w:rsidRDefault="005035BC" w:rsidP="00784BF1">
            <w:pPr>
              <w:autoSpaceDE w:val="0"/>
              <w:autoSpaceDN w:val="0"/>
              <w:adjustRightInd w:val="0"/>
              <w:jc w:val="center"/>
            </w:pPr>
            <w:r w:rsidRPr="004F2E6C">
              <w:t>323</w:t>
            </w:r>
          </w:p>
        </w:tc>
        <w:tc>
          <w:tcPr>
            <w:tcW w:w="1369" w:type="pct"/>
            <w:vMerge w:val="restart"/>
            <w:vAlign w:val="center"/>
          </w:tcPr>
          <w:p w:rsidR="005035BC" w:rsidRPr="004F2E6C" w:rsidRDefault="005035BC" w:rsidP="00784BF1">
            <w:pPr>
              <w:autoSpaceDE w:val="0"/>
              <w:autoSpaceDN w:val="0"/>
              <w:adjustRightInd w:val="0"/>
              <w:jc w:val="center"/>
              <w:rPr>
                <w:b/>
              </w:rPr>
            </w:pPr>
            <w:r w:rsidRPr="004F2E6C">
              <w:rPr>
                <w:b/>
              </w:rPr>
              <w:t>408</w:t>
            </w:r>
          </w:p>
        </w:tc>
      </w:tr>
      <w:tr w:rsidR="005035BC" w:rsidRPr="004F2E6C" w:rsidTr="00784BF1">
        <w:tc>
          <w:tcPr>
            <w:tcW w:w="1119" w:type="pct"/>
            <w:vMerge/>
            <w:vAlign w:val="center"/>
          </w:tcPr>
          <w:p w:rsidR="005035BC" w:rsidRPr="004F2E6C" w:rsidRDefault="005035BC" w:rsidP="00784BF1">
            <w:pPr>
              <w:autoSpaceDE w:val="0"/>
              <w:autoSpaceDN w:val="0"/>
              <w:adjustRightInd w:val="0"/>
            </w:pPr>
          </w:p>
        </w:tc>
        <w:tc>
          <w:tcPr>
            <w:tcW w:w="243" w:type="pct"/>
            <w:vMerge/>
            <w:vAlign w:val="center"/>
          </w:tcPr>
          <w:p w:rsidR="005035BC" w:rsidRPr="004F2E6C" w:rsidRDefault="005035BC" w:rsidP="00784BF1">
            <w:pPr>
              <w:autoSpaceDE w:val="0"/>
              <w:autoSpaceDN w:val="0"/>
              <w:adjustRightInd w:val="0"/>
              <w:jc w:val="center"/>
            </w:pPr>
          </w:p>
        </w:tc>
        <w:tc>
          <w:tcPr>
            <w:tcW w:w="1494" w:type="pct"/>
          </w:tcPr>
          <w:p w:rsidR="005035BC" w:rsidRPr="004F2E6C" w:rsidRDefault="005035BC" w:rsidP="00784BF1">
            <w:pPr>
              <w:autoSpaceDE w:val="0"/>
              <w:autoSpaceDN w:val="0"/>
              <w:adjustRightInd w:val="0"/>
            </w:pPr>
            <w:r w:rsidRPr="004F2E6C">
              <w:t>Education, partnership, collaboration activities</w:t>
            </w:r>
          </w:p>
        </w:tc>
        <w:tc>
          <w:tcPr>
            <w:tcW w:w="255" w:type="pct"/>
            <w:vAlign w:val="center"/>
          </w:tcPr>
          <w:p w:rsidR="005035BC" w:rsidRPr="004F2E6C" w:rsidRDefault="005035BC" w:rsidP="00784BF1">
            <w:pPr>
              <w:autoSpaceDE w:val="0"/>
              <w:autoSpaceDN w:val="0"/>
              <w:adjustRightInd w:val="0"/>
              <w:jc w:val="center"/>
            </w:pPr>
            <w:r w:rsidRPr="004F2E6C">
              <w:t>5</w:t>
            </w:r>
          </w:p>
        </w:tc>
        <w:tc>
          <w:tcPr>
            <w:tcW w:w="520" w:type="pct"/>
            <w:vAlign w:val="center"/>
          </w:tcPr>
          <w:p w:rsidR="005035BC" w:rsidRPr="004F2E6C" w:rsidRDefault="005035BC" w:rsidP="00784BF1">
            <w:pPr>
              <w:autoSpaceDE w:val="0"/>
              <w:autoSpaceDN w:val="0"/>
              <w:adjustRightInd w:val="0"/>
              <w:jc w:val="center"/>
            </w:pPr>
            <w:r w:rsidRPr="004F2E6C">
              <w:t>85</w:t>
            </w:r>
          </w:p>
        </w:tc>
        <w:tc>
          <w:tcPr>
            <w:tcW w:w="1369" w:type="pct"/>
            <w:vMerge/>
            <w:vAlign w:val="center"/>
          </w:tcPr>
          <w:p w:rsidR="005035BC" w:rsidRPr="004F2E6C" w:rsidRDefault="005035BC" w:rsidP="00784BF1">
            <w:pPr>
              <w:autoSpaceDE w:val="0"/>
              <w:autoSpaceDN w:val="0"/>
              <w:adjustRightInd w:val="0"/>
              <w:jc w:val="center"/>
              <w:rPr>
                <w:b/>
              </w:rPr>
            </w:pPr>
          </w:p>
        </w:tc>
      </w:tr>
      <w:tr w:rsidR="005035BC" w:rsidRPr="004F2E6C" w:rsidTr="00784BF1">
        <w:trPr>
          <w:trHeight w:val="278"/>
        </w:trPr>
        <w:tc>
          <w:tcPr>
            <w:tcW w:w="1119" w:type="pct"/>
            <w:vMerge w:val="restart"/>
            <w:vAlign w:val="center"/>
          </w:tcPr>
          <w:p w:rsidR="005035BC" w:rsidRPr="004F2E6C" w:rsidRDefault="005035BC" w:rsidP="00784BF1">
            <w:pPr>
              <w:autoSpaceDE w:val="0"/>
              <w:autoSpaceDN w:val="0"/>
              <w:adjustRightInd w:val="0"/>
            </w:pPr>
            <w:r w:rsidRPr="004F2E6C">
              <w:t>Comparable Non-SEES Programs</w:t>
            </w:r>
          </w:p>
        </w:tc>
        <w:tc>
          <w:tcPr>
            <w:tcW w:w="243" w:type="pct"/>
            <w:vMerge w:val="restart"/>
            <w:vAlign w:val="center"/>
          </w:tcPr>
          <w:p w:rsidR="005035BC" w:rsidRPr="004F2E6C" w:rsidRDefault="005035BC" w:rsidP="00784BF1">
            <w:pPr>
              <w:autoSpaceDE w:val="0"/>
              <w:autoSpaceDN w:val="0"/>
              <w:adjustRightInd w:val="0"/>
              <w:jc w:val="center"/>
            </w:pPr>
            <w:r w:rsidRPr="004F2E6C">
              <w:t>48</w:t>
            </w:r>
          </w:p>
        </w:tc>
        <w:tc>
          <w:tcPr>
            <w:tcW w:w="1494" w:type="pct"/>
          </w:tcPr>
          <w:p w:rsidR="005035BC" w:rsidRPr="004F2E6C" w:rsidRDefault="005035BC" w:rsidP="00784BF1">
            <w:pPr>
              <w:autoSpaceDE w:val="0"/>
              <w:autoSpaceDN w:val="0"/>
              <w:adjustRightInd w:val="0"/>
            </w:pPr>
            <w:r w:rsidRPr="004F2E6C">
              <w:t>Domain-specific scientific research activities</w:t>
            </w:r>
          </w:p>
        </w:tc>
        <w:tc>
          <w:tcPr>
            <w:tcW w:w="255" w:type="pct"/>
            <w:vAlign w:val="center"/>
          </w:tcPr>
          <w:p w:rsidR="005035BC" w:rsidRPr="004F2E6C" w:rsidRDefault="005035BC" w:rsidP="00784BF1">
            <w:pPr>
              <w:autoSpaceDE w:val="0"/>
              <w:autoSpaceDN w:val="0"/>
              <w:adjustRightInd w:val="0"/>
              <w:jc w:val="center"/>
            </w:pPr>
            <w:r w:rsidRPr="004F2E6C">
              <w:t>38</w:t>
            </w:r>
          </w:p>
        </w:tc>
        <w:tc>
          <w:tcPr>
            <w:tcW w:w="520" w:type="pct"/>
            <w:vAlign w:val="center"/>
          </w:tcPr>
          <w:p w:rsidR="005035BC" w:rsidRPr="004F2E6C" w:rsidRDefault="005035BC" w:rsidP="00784BF1">
            <w:pPr>
              <w:autoSpaceDE w:val="0"/>
              <w:autoSpaceDN w:val="0"/>
              <w:adjustRightInd w:val="0"/>
              <w:jc w:val="center"/>
            </w:pPr>
            <w:r w:rsidRPr="004F2E6C">
              <w:t>2206</w:t>
            </w:r>
          </w:p>
        </w:tc>
        <w:tc>
          <w:tcPr>
            <w:tcW w:w="1369" w:type="pct"/>
            <w:vMerge w:val="restart"/>
            <w:vAlign w:val="center"/>
          </w:tcPr>
          <w:p w:rsidR="005035BC" w:rsidRPr="004F2E6C" w:rsidRDefault="005035BC" w:rsidP="00784BF1">
            <w:pPr>
              <w:autoSpaceDE w:val="0"/>
              <w:autoSpaceDN w:val="0"/>
              <w:adjustRightInd w:val="0"/>
              <w:jc w:val="center"/>
              <w:rPr>
                <w:b/>
              </w:rPr>
            </w:pPr>
            <w:r w:rsidRPr="004F2E6C">
              <w:rPr>
                <w:b/>
              </w:rPr>
              <w:t>2629</w:t>
            </w:r>
          </w:p>
        </w:tc>
      </w:tr>
      <w:tr w:rsidR="005035BC" w:rsidRPr="004F2E6C" w:rsidTr="00784BF1">
        <w:trPr>
          <w:trHeight w:val="277"/>
        </w:trPr>
        <w:tc>
          <w:tcPr>
            <w:tcW w:w="1119" w:type="pct"/>
            <w:vMerge/>
          </w:tcPr>
          <w:p w:rsidR="005035BC" w:rsidRPr="004F2E6C" w:rsidRDefault="005035BC" w:rsidP="00784BF1">
            <w:pPr>
              <w:autoSpaceDE w:val="0"/>
              <w:autoSpaceDN w:val="0"/>
              <w:adjustRightInd w:val="0"/>
            </w:pPr>
          </w:p>
        </w:tc>
        <w:tc>
          <w:tcPr>
            <w:tcW w:w="243" w:type="pct"/>
            <w:vMerge/>
          </w:tcPr>
          <w:p w:rsidR="005035BC" w:rsidRPr="004F2E6C" w:rsidRDefault="005035BC" w:rsidP="00784BF1">
            <w:pPr>
              <w:autoSpaceDE w:val="0"/>
              <w:autoSpaceDN w:val="0"/>
              <w:adjustRightInd w:val="0"/>
            </w:pPr>
          </w:p>
        </w:tc>
        <w:tc>
          <w:tcPr>
            <w:tcW w:w="1494" w:type="pct"/>
          </w:tcPr>
          <w:p w:rsidR="005035BC" w:rsidRPr="004F2E6C" w:rsidRDefault="005035BC" w:rsidP="00784BF1">
            <w:pPr>
              <w:autoSpaceDE w:val="0"/>
              <w:autoSpaceDN w:val="0"/>
              <w:adjustRightInd w:val="0"/>
            </w:pPr>
            <w:r w:rsidRPr="004F2E6C">
              <w:t>Education, partnership, collaboration activities</w:t>
            </w:r>
          </w:p>
        </w:tc>
        <w:tc>
          <w:tcPr>
            <w:tcW w:w="255" w:type="pct"/>
            <w:vAlign w:val="center"/>
          </w:tcPr>
          <w:p w:rsidR="005035BC" w:rsidRPr="004F2E6C" w:rsidRDefault="005035BC" w:rsidP="00784BF1">
            <w:pPr>
              <w:autoSpaceDE w:val="0"/>
              <w:autoSpaceDN w:val="0"/>
              <w:adjustRightInd w:val="0"/>
              <w:jc w:val="center"/>
            </w:pPr>
            <w:r w:rsidRPr="004F2E6C">
              <w:t>10</w:t>
            </w:r>
          </w:p>
        </w:tc>
        <w:tc>
          <w:tcPr>
            <w:tcW w:w="520" w:type="pct"/>
            <w:vAlign w:val="center"/>
          </w:tcPr>
          <w:p w:rsidR="005035BC" w:rsidRPr="004F2E6C" w:rsidRDefault="005035BC" w:rsidP="00784BF1">
            <w:pPr>
              <w:autoSpaceDE w:val="0"/>
              <w:autoSpaceDN w:val="0"/>
              <w:adjustRightInd w:val="0"/>
              <w:jc w:val="center"/>
            </w:pPr>
            <w:r w:rsidRPr="004F2E6C">
              <w:t>423</w:t>
            </w:r>
          </w:p>
        </w:tc>
        <w:tc>
          <w:tcPr>
            <w:tcW w:w="1369" w:type="pct"/>
            <w:vMerge/>
          </w:tcPr>
          <w:p w:rsidR="005035BC" w:rsidRPr="004F2E6C" w:rsidRDefault="005035BC" w:rsidP="00784BF1">
            <w:pPr>
              <w:autoSpaceDE w:val="0"/>
              <w:autoSpaceDN w:val="0"/>
              <w:adjustRightInd w:val="0"/>
              <w:jc w:val="center"/>
            </w:pPr>
          </w:p>
        </w:tc>
      </w:tr>
    </w:tbl>
    <w:p w:rsidR="005035BC" w:rsidRPr="004F2E6C" w:rsidRDefault="005035BC" w:rsidP="005035BC">
      <w:pPr>
        <w:autoSpaceDE w:val="0"/>
        <w:autoSpaceDN w:val="0"/>
        <w:adjustRightInd w:val="0"/>
        <w:ind w:left="720"/>
      </w:pPr>
    </w:p>
    <w:p w:rsidR="005035BC" w:rsidRDefault="005035BC" w:rsidP="005035BC">
      <w:pPr>
        <w:tabs>
          <w:tab w:val="right" w:pos="360"/>
        </w:tabs>
        <w:autoSpaceDE w:val="0"/>
        <w:autoSpaceDN w:val="0"/>
        <w:adjustRightInd w:val="0"/>
        <w:jc w:val="both"/>
      </w:pPr>
      <w:r>
        <w:t>The evaluation team further screened the SEES and comparable non-SEES programs against four criteria that reflect the overall programmatic and research goals of the SEES initiative:</w:t>
      </w:r>
    </w:p>
    <w:p w:rsidR="005035BC" w:rsidRDefault="005035BC" w:rsidP="005035BC">
      <w:pPr>
        <w:pStyle w:val="ListParagraph"/>
        <w:numPr>
          <w:ilvl w:val="0"/>
          <w:numId w:val="1"/>
        </w:numPr>
        <w:tabs>
          <w:tab w:val="right" w:pos="360"/>
        </w:tabs>
        <w:autoSpaceDE w:val="0"/>
        <w:autoSpaceDN w:val="0"/>
        <w:adjustRightInd w:val="0"/>
        <w:jc w:val="both"/>
      </w:pPr>
      <w:r w:rsidRPr="0023566E">
        <w:t>Does the comparable program focus on environmental sustainability?</w:t>
      </w:r>
    </w:p>
    <w:p w:rsidR="005035BC" w:rsidRDefault="005035BC" w:rsidP="005035BC">
      <w:pPr>
        <w:pStyle w:val="ListParagraph"/>
        <w:numPr>
          <w:ilvl w:val="0"/>
          <w:numId w:val="1"/>
        </w:numPr>
        <w:tabs>
          <w:tab w:val="right" w:pos="360"/>
        </w:tabs>
        <w:autoSpaceDE w:val="0"/>
        <w:autoSpaceDN w:val="0"/>
        <w:adjustRightInd w:val="0"/>
        <w:jc w:val="both"/>
      </w:pPr>
      <w:r w:rsidRPr="0023566E">
        <w:t>Does the comparable program focus on similar environmental topics?</w:t>
      </w:r>
    </w:p>
    <w:p w:rsidR="005035BC" w:rsidRDefault="005035BC" w:rsidP="005035BC">
      <w:pPr>
        <w:pStyle w:val="ListParagraph"/>
        <w:numPr>
          <w:ilvl w:val="0"/>
          <w:numId w:val="1"/>
        </w:numPr>
        <w:tabs>
          <w:tab w:val="right" w:pos="360"/>
        </w:tabs>
        <w:autoSpaceDE w:val="0"/>
        <w:autoSpaceDN w:val="0"/>
        <w:adjustRightInd w:val="0"/>
        <w:jc w:val="both"/>
      </w:pPr>
      <w:r w:rsidRPr="0023566E">
        <w:t>Does the comparable program focus on interdisciplinary collaboration?</w:t>
      </w:r>
    </w:p>
    <w:p w:rsidR="005035BC" w:rsidRDefault="005035BC" w:rsidP="005035BC">
      <w:pPr>
        <w:pStyle w:val="ListParagraph"/>
        <w:numPr>
          <w:ilvl w:val="0"/>
          <w:numId w:val="1"/>
        </w:numPr>
        <w:tabs>
          <w:tab w:val="right" w:pos="360"/>
        </w:tabs>
        <w:autoSpaceDE w:val="0"/>
        <w:autoSpaceDN w:val="0"/>
        <w:adjustRightInd w:val="0"/>
        <w:jc w:val="both"/>
      </w:pPr>
      <w:r w:rsidRPr="0023566E">
        <w:t>Does the comparable program focus on integrating social, economic</w:t>
      </w:r>
      <w:r>
        <w:t>,</w:t>
      </w:r>
      <w:r w:rsidRPr="0023566E">
        <w:t xml:space="preserve"> and behavioral dimensions</w:t>
      </w:r>
      <w:r>
        <w:t xml:space="preserve"> of research</w:t>
      </w:r>
      <w:r w:rsidRPr="0023566E">
        <w:t>?</w:t>
      </w:r>
    </w:p>
    <w:p w:rsidR="005035BC" w:rsidRDefault="005035BC" w:rsidP="005035BC">
      <w:pPr>
        <w:autoSpaceDE w:val="0"/>
        <w:autoSpaceDN w:val="0"/>
        <w:adjustRightInd w:val="0"/>
        <w:jc w:val="both"/>
      </w:pPr>
    </w:p>
    <w:p w:rsidR="005035BC" w:rsidRDefault="005035BC" w:rsidP="005035BC">
      <w:pPr>
        <w:tabs>
          <w:tab w:val="right" w:pos="360"/>
        </w:tabs>
        <w:autoSpaceDE w:val="0"/>
        <w:autoSpaceDN w:val="0"/>
        <w:adjustRightInd w:val="0"/>
        <w:jc w:val="both"/>
      </w:pPr>
      <w:r>
        <w:t xml:space="preserve">With our evolving understanding of SEES through a historical review of SEES programs and a comparative analysis of SEES solicitation language, we selected 10 SEES programs and 10 primary comparable non-SEES programs for the comparative analyses as shown below. For some of the 10 selected SEES programs, there are secondary and tertiary comparable non-SEES programs. In the event that no or an insufficient number of comparable projects are found within the primary non-SEES programs, projects in the secondary or tertiary can be used. </w:t>
      </w:r>
    </w:p>
    <w:p w:rsidR="005035BC" w:rsidRDefault="005035BC" w:rsidP="005035BC">
      <w:pPr>
        <w:tabs>
          <w:tab w:val="right" w:pos="360"/>
        </w:tabs>
        <w:autoSpaceDE w:val="0"/>
        <w:autoSpaceDN w:val="0"/>
        <w:adjustRightInd w:val="0"/>
      </w:pPr>
    </w:p>
    <w:p w:rsidR="005035BC" w:rsidRPr="003D1622" w:rsidRDefault="005035BC" w:rsidP="005035BC">
      <w:pPr>
        <w:pStyle w:val="Caption"/>
        <w:keepNext/>
        <w:rPr>
          <w:sz w:val="22"/>
          <w:szCs w:val="22"/>
        </w:rPr>
      </w:pPr>
      <w:r w:rsidRPr="003D1622">
        <w:rPr>
          <w:sz w:val="22"/>
          <w:szCs w:val="22"/>
        </w:rPr>
        <w:t>Table 2 Selected Matched SEES and Non-SEES Programs (Primary Matches)</w:t>
      </w:r>
    </w:p>
    <w:tbl>
      <w:tblPr>
        <w:tblW w:w="0" w:type="auto"/>
        <w:jc w:val="center"/>
        <w:tblLook w:val="04A0" w:firstRow="1" w:lastRow="0" w:firstColumn="1" w:lastColumn="0" w:noHBand="0" w:noVBand="1"/>
      </w:tblPr>
      <w:tblGrid>
        <w:gridCol w:w="3320"/>
        <w:gridCol w:w="1098"/>
        <w:gridCol w:w="3852"/>
        <w:gridCol w:w="1070"/>
      </w:tblGrid>
      <w:tr w:rsidR="005035BC" w:rsidRPr="004F2E6C" w:rsidTr="00784BF1">
        <w:trPr>
          <w:trHeight w:val="300"/>
          <w:jc w:val="center"/>
        </w:trPr>
        <w:tc>
          <w:tcPr>
            <w:tcW w:w="3320" w:type="dxa"/>
            <w:tcBorders>
              <w:top w:val="single" w:sz="12" w:space="0" w:color="auto"/>
              <w:left w:val="single" w:sz="8" w:space="0" w:color="999999"/>
              <w:bottom w:val="single" w:sz="12" w:space="0" w:color="auto"/>
              <w:right w:val="single" w:sz="4" w:space="0" w:color="auto"/>
            </w:tcBorders>
            <w:shd w:val="clear" w:color="auto" w:fill="auto"/>
            <w:vAlign w:val="center"/>
            <w:hideMark/>
          </w:tcPr>
          <w:p w:rsidR="005035BC" w:rsidRPr="004F2E6C" w:rsidRDefault="005035BC" w:rsidP="00784BF1">
            <w:pPr>
              <w:jc w:val="center"/>
              <w:rPr>
                <w:b/>
                <w:bCs/>
                <w:color w:val="000000"/>
                <w:lang w:eastAsia="zh-CN"/>
              </w:rPr>
            </w:pPr>
            <w:r w:rsidRPr="004F2E6C">
              <w:rPr>
                <w:b/>
                <w:bCs/>
                <w:color w:val="000000"/>
                <w:lang w:eastAsia="zh-CN"/>
              </w:rPr>
              <w:t>SEES Program</w:t>
            </w:r>
          </w:p>
          <w:p w:rsidR="005035BC" w:rsidRPr="004F2E6C" w:rsidRDefault="005035BC" w:rsidP="00784BF1">
            <w:pPr>
              <w:jc w:val="center"/>
              <w:rPr>
                <w:b/>
                <w:bCs/>
                <w:color w:val="000000"/>
                <w:lang w:eastAsia="zh-CN"/>
              </w:rPr>
            </w:pPr>
          </w:p>
        </w:tc>
        <w:tc>
          <w:tcPr>
            <w:tcW w:w="1098" w:type="dxa"/>
            <w:tcBorders>
              <w:top w:val="single" w:sz="12" w:space="0" w:color="auto"/>
              <w:left w:val="nil"/>
              <w:bottom w:val="single" w:sz="12" w:space="0" w:color="auto"/>
              <w:right w:val="single" w:sz="2" w:space="0" w:color="auto"/>
            </w:tcBorders>
          </w:tcPr>
          <w:p w:rsidR="005035BC" w:rsidRPr="004F2E6C" w:rsidRDefault="005035BC" w:rsidP="00784BF1">
            <w:pPr>
              <w:jc w:val="center"/>
              <w:rPr>
                <w:b/>
                <w:bCs/>
                <w:color w:val="000000"/>
                <w:lang w:eastAsia="zh-CN"/>
              </w:rPr>
            </w:pPr>
            <w:r>
              <w:rPr>
                <w:b/>
                <w:bCs/>
                <w:color w:val="000000"/>
                <w:lang w:eastAsia="zh-CN"/>
              </w:rPr>
              <w:t>Number of SEES Projects</w:t>
            </w:r>
          </w:p>
        </w:tc>
        <w:tc>
          <w:tcPr>
            <w:tcW w:w="3852" w:type="dxa"/>
            <w:tcBorders>
              <w:top w:val="single" w:sz="12" w:space="0" w:color="auto"/>
              <w:left w:val="single" w:sz="2" w:space="0" w:color="auto"/>
              <w:bottom w:val="single" w:sz="12" w:space="0" w:color="auto"/>
              <w:right w:val="single" w:sz="8" w:space="0" w:color="999999"/>
            </w:tcBorders>
            <w:shd w:val="clear" w:color="auto" w:fill="auto"/>
            <w:vAlign w:val="center"/>
            <w:hideMark/>
          </w:tcPr>
          <w:p w:rsidR="005035BC" w:rsidRPr="004F2E6C" w:rsidRDefault="005035BC" w:rsidP="00784BF1">
            <w:pPr>
              <w:jc w:val="center"/>
              <w:rPr>
                <w:b/>
                <w:bCs/>
                <w:color w:val="000000"/>
                <w:lang w:eastAsia="zh-CN"/>
              </w:rPr>
            </w:pPr>
            <w:r w:rsidRPr="004F2E6C">
              <w:rPr>
                <w:b/>
                <w:bCs/>
                <w:color w:val="000000"/>
                <w:lang w:eastAsia="zh-CN"/>
              </w:rPr>
              <w:t>Non-SEES Comparative Program</w:t>
            </w:r>
          </w:p>
          <w:p w:rsidR="005035BC" w:rsidRPr="004F2E6C" w:rsidRDefault="005035BC" w:rsidP="00784BF1">
            <w:pPr>
              <w:jc w:val="center"/>
              <w:rPr>
                <w:b/>
                <w:bCs/>
                <w:color w:val="000000"/>
                <w:lang w:eastAsia="zh-CN"/>
              </w:rPr>
            </w:pPr>
          </w:p>
        </w:tc>
        <w:tc>
          <w:tcPr>
            <w:tcW w:w="1070" w:type="dxa"/>
            <w:tcBorders>
              <w:top w:val="single" w:sz="12" w:space="0" w:color="auto"/>
              <w:left w:val="nil"/>
              <w:bottom w:val="single" w:sz="12" w:space="0" w:color="auto"/>
              <w:right w:val="single" w:sz="8" w:space="0" w:color="999999"/>
            </w:tcBorders>
          </w:tcPr>
          <w:p w:rsidR="005035BC" w:rsidRPr="004F2E6C" w:rsidRDefault="005035BC" w:rsidP="00784BF1">
            <w:pPr>
              <w:jc w:val="center"/>
              <w:rPr>
                <w:b/>
                <w:bCs/>
                <w:color w:val="000000"/>
                <w:lang w:eastAsia="zh-CN"/>
              </w:rPr>
            </w:pPr>
            <w:r>
              <w:rPr>
                <w:b/>
                <w:bCs/>
                <w:color w:val="000000"/>
                <w:lang w:eastAsia="zh-CN"/>
              </w:rPr>
              <w:t>Number of Non-SEES Projects</w:t>
            </w:r>
          </w:p>
        </w:tc>
      </w:tr>
      <w:tr w:rsidR="005035BC" w:rsidRPr="004F2E6C" w:rsidTr="00784BF1">
        <w:trPr>
          <w:trHeight w:val="300"/>
          <w:jc w:val="center"/>
        </w:trPr>
        <w:tc>
          <w:tcPr>
            <w:tcW w:w="3320" w:type="dxa"/>
            <w:tcBorders>
              <w:top w:val="single" w:sz="12" w:space="0" w:color="auto"/>
              <w:left w:val="single" w:sz="8" w:space="0" w:color="999999"/>
              <w:bottom w:val="nil"/>
              <w:right w:val="single" w:sz="4" w:space="0" w:color="auto"/>
            </w:tcBorders>
            <w:shd w:val="clear" w:color="000000" w:fill="D0CECE"/>
            <w:vAlign w:val="center"/>
            <w:hideMark/>
          </w:tcPr>
          <w:p w:rsidR="005035BC" w:rsidRPr="004F2E6C" w:rsidRDefault="005035BC" w:rsidP="00784BF1">
            <w:pPr>
              <w:rPr>
                <w:color w:val="000000"/>
                <w:lang w:eastAsia="zh-CN"/>
              </w:rPr>
            </w:pPr>
            <w:r w:rsidRPr="004F2E6C">
              <w:rPr>
                <w:color w:val="000000"/>
                <w:lang w:eastAsia="zh-CN"/>
              </w:rPr>
              <w:t xml:space="preserve">SEES Fellows </w:t>
            </w:r>
          </w:p>
        </w:tc>
        <w:tc>
          <w:tcPr>
            <w:tcW w:w="1098" w:type="dxa"/>
            <w:tcBorders>
              <w:top w:val="single" w:sz="12" w:space="0" w:color="auto"/>
              <w:left w:val="nil"/>
              <w:bottom w:val="nil"/>
              <w:right w:val="single" w:sz="2" w:space="0" w:color="auto"/>
            </w:tcBorders>
            <w:shd w:val="clear" w:color="000000" w:fill="D0CECE"/>
          </w:tcPr>
          <w:p w:rsidR="005035BC" w:rsidRPr="004F2E6C" w:rsidRDefault="005035BC" w:rsidP="00784BF1">
            <w:pPr>
              <w:jc w:val="center"/>
              <w:rPr>
                <w:color w:val="000000"/>
                <w:lang w:eastAsia="zh-CN"/>
              </w:rPr>
            </w:pPr>
            <w:r>
              <w:rPr>
                <w:color w:val="000000"/>
                <w:lang w:eastAsia="zh-CN"/>
              </w:rPr>
              <w:t>43</w:t>
            </w:r>
          </w:p>
        </w:tc>
        <w:tc>
          <w:tcPr>
            <w:tcW w:w="3852" w:type="dxa"/>
            <w:tcBorders>
              <w:top w:val="single" w:sz="12" w:space="0" w:color="auto"/>
              <w:left w:val="single" w:sz="2" w:space="0" w:color="auto"/>
              <w:bottom w:val="nil"/>
              <w:right w:val="single" w:sz="8" w:space="0" w:color="999999"/>
            </w:tcBorders>
            <w:shd w:val="clear" w:color="000000" w:fill="D0CECE"/>
            <w:vAlign w:val="center"/>
            <w:hideMark/>
          </w:tcPr>
          <w:p w:rsidR="005035BC" w:rsidRPr="004F2E6C" w:rsidRDefault="005035BC" w:rsidP="00784BF1">
            <w:pPr>
              <w:rPr>
                <w:color w:val="000000"/>
                <w:lang w:eastAsia="zh-CN"/>
              </w:rPr>
            </w:pPr>
            <w:r w:rsidRPr="004F2E6C">
              <w:rPr>
                <w:color w:val="000000"/>
                <w:lang w:eastAsia="zh-CN"/>
              </w:rPr>
              <w:t xml:space="preserve">AGS Fellowship </w:t>
            </w:r>
          </w:p>
        </w:tc>
        <w:tc>
          <w:tcPr>
            <w:tcW w:w="1070" w:type="dxa"/>
            <w:tcBorders>
              <w:top w:val="single" w:sz="12" w:space="0" w:color="auto"/>
              <w:left w:val="nil"/>
              <w:bottom w:val="nil"/>
              <w:right w:val="single" w:sz="8" w:space="0" w:color="999999"/>
            </w:tcBorders>
            <w:shd w:val="clear" w:color="000000" w:fill="D0CECE"/>
          </w:tcPr>
          <w:p w:rsidR="005035BC" w:rsidRPr="004F2E6C" w:rsidRDefault="005035BC" w:rsidP="00784BF1">
            <w:pPr>
              <w:jc w:val="center"/>
              <w:rPr>
                <w:color w:val="000000"/>
                <w:lang w:eastAsia="zh-CN"/>
              </w:rPr>
            </w:pPr>
            <w:r>
              <w:rPr>
                <w:color w:val="000000"/>
                <w:lang w:eastAsia="zh-CN"/>
              </w:rPr>
              <w:t>33</w:t>
            </w:r>
          </w:p>
        </w:tc>
      </w:tr>
      <w:tr w:rsidR="005035BC" w:rsidRPr="004F2E6C" w:rsidTr="00784BF1">
        <w:trPr>
          <w:trHeight w:val="300"/>
          <w:jc w:val="center"/>
        </w:trPr>
        <w:tc>
          <w:tcPr>
            <w:tcW w:w="3320" w:type="dxa"/>
            <w:tcBorders>
              <w:top w:val="nil"/>
              <w:left w:val="single" w:sz="8" w:space="0" w:color="999999"/>
              <w:bottom w:val="nil"/>
              <w:right w:val="single" w:sz="4" w:space="0" w:color="auto"/>
            </w:tcBorders>
            <w:shd w:val="clear" w:color="auto" w:fill="auto"/>
            <w:vAlign w:val="center"/>
            <w:hideMark/>
          </w:tcPr>
          <w:p w:rsidR="005035BC" w:rsidRPr="004F2E6C" w:rsidRDefault="005035BC" w:rsidP="00784BF1">
            <w:pPr>
              <w:rPr>
                <w:color w:val="000000"/>
                <w:lang w:eastAsia="zh-CN"/>
              </w:rPr>
            </w:pPr>
            <w:r w:rsidRPr="004F2E6C">
              <w:rPr>
                <w:color w:val="000000"/>
                <w:lang w:eastAsia="zh-CN"/>
              </w:rPr>
              <w:t>Dimensions of Biodiversity</w:t>
            </w:r>
          </w:p>
        </w:tc>
        <w:tc>
          <w:tcPr>
            <w:tcW w:w="1098" w:type="dxa"/>
            <w:tcBorders>
              <w:top w:val="nil"/>
              <w:left w:val="nil"/>
              <w:bottom w:val="nil"/>
              <w:right w:val="single" w:sz="2" w:space="0" w:color="auto"/>
            </w:tcBorders>
          </w:tcPr>
          <w:p w:rsidR="005035BC" w:rsidRPr="004F2E6C" w:rsidRDefault="005035BC" w:rsidP="00784BF1">
            <w:pPr>
              <w:jc w:val="center"/>
              <w:rPr>
                <w:color w:val="000000"/>
                <w:lang w:eastAsia="zh-CN"/>
              </w:rPr>
            </w:pPr>
            <w:r>
              <w:rPr>
                <w:color w:val="000000"/>
                <w:lang w:eastAsia="zh-CN"/>
              </w:rPr>
              <w:t>29</w:t>
            </w:r>
          </w:p>
        </w:tc>
        <w:tc>
          <w:tcPr>
            <w:tcW w:w="3852" w:type="dxa"/>
            <w:tcBorders>
              <w:top w:val="nil"/>
              <w:left w:val="single" w:sz="2" w:space="0" w:color="auto"/>
              <w:bottom w:val="nil"/>
              <w:right w:val="single" w:sz="8" w:space="0" w:color="999999"/>
            </w:tcBorders>
            <w:shd w:val="clear" w:color="auto" w:fill="auto"/>
            <w:vAlign w:val="center"/>
            <w:hideMark/>
          </w:tcPr>
          <w:p w:rsidR="005035BC" w:rsidRPr="004F2E6C" w:rsidRDefault="005035BC" w:rsidP="00784BF1">
            <w:pPr>
              <w:rPr>
                <w:color w:val="000000"/>
                <w:lang w:eastAsia="zh-CN"/>
              </w:rPr>
            </w:pPr>
            <w:r w:rsidRPr="004F2E6C">
              <w:rPr>
                <w:color w:val="000000"/>
                <w:lang w:eastAsia="zh-CN"/>
              </w:rPr>
              <w:t xml:space="preserve">Population and Community Ecology </w:t>
            </w:r>
          </w:p>
        </w:tc>
        <w:tc>
          <w:tcPr>
            <w:tcW w:w="1070" w:type="dxa"/>
            <w:tcBorders>
              <w:top w:val="nil"/>
              <w:left w:val="nil"/>
              <w:bottom w:val="nil"/>
              <w:right w:val="single" w:sz="8" w:space="0" w:color="999999"/>
            </w:tcBorders>
          </w:tcPr>
          <w:p w:rsidR="005035BC" w:rsidRPr="004F2E6C" w:rsidRDefault="005035BC" w:rsidP="00784BF1">
            <w:pPr>
              <w:jc w:val="center"/>
              <w:rPr>
                <w:color w:val="000000"/>
                <w:lang w:eastAsia="zh-CN"/>
              </w:rPr>
            </w:pPr>
            <w:r>
              <w:rPr>
                <w:color w:val="000000"/>
                <w:lang w:eastAsia="zh-CN"/>
              </w:rPr>
              <w:t>32</w:t>
            </w:r>
          </w:p>
        </w:tc>
      </w:tr>
      <w:tr w:rsidR="005035BC" w:rsidRPr="004F2E6C" w:rsidTr="00784BF1">
        <w:trPr>
          <w:trHeight w:val="300"/>
          <w:jc w:val="center"/>
        </w:trPr>
        <w:tc>
          <w:tcPr>
            <w:tcW w:w="3320" w:type="dxa"/>
            <w:tcBorders>
              <w:top w:val="nil"/>
              <w:left w:val="single" w:sz="8" w:space="0" w:color="999999"/>
              <w:bottom w:val="nil"/>
              <w:right w:val="single" w:sz="4" w:space="0" w:color="auto"/>
            </w:tcBorders>
            <w:shd w:val="clear" w:color="000000" w:fill="D0CECE"/>
            <w:vAlign w:val="center"/>
            <w:hideMark/>
          </w:tcPr>
          <w:p w:rsidR="005035BC" w:rsidRPr="004F2E6C" w:rsidRDefault="005035BC" w:rsidP="00784BF1">
            <w:pPr>
              <w:rPr>
                <w:color w:val="000000"/>
                <w:lang w:eastAsia="zh-CN"/>
              </w:rPr>
            </w:pPr>
            <w:r w:rsidRPr="004F2E6C">
              <w:rPr>
                <w:color w:val="000000"/>
                <w:lang w:eastAsia="zh-CN"/>
              </w:rPr>
              <w:t>WSC</w:t>
            </w:r>
          </w:p>
        </w:tc>
        <w:tc>
          <w:tcPr>
            <w:tcW w:w="1098" w:type="dxa"/>
            <w:tcBorders>
              <w:top w:val="nil"/>
              <w:left w:val="nil"/>
              <w:bottom w:val="nil"/>
              <w:right w:val="single" w:sz="2" w:space="0" w:color="auto"/>
            </w:tcBorders>
            <w:shd w:val="clear" w:color="000000" w:fill="D0CECE"/>
          </w:tcPr>
          <w:p w:rsidR="005035BC" w:rsidRPr="004F2E6C" w:rsidRDefault="005035BC" w:rsidP="00784BF1">
            <w:pPr>
              <w:jc w:val="center"/>
              <w:rPr>
                <w:color w:val="000000"/>
                <w:lang w:eastAsia="zh-CN"/>
              </w:rPr>
            </w:pPr>
            <w:r>
              <w:rPr>
                <w:color w:val="000000"/>
                <w:lang w:eastAsia="zh-CN"/>
              </w:rPr>
              <w:t>23</w:t>
            </w:r>
          </w:p>
        </w:tc>
        <w:tc>
          <w:tcPr>
            <w:tcW w:w="3852" w:type="dxa"/>
            <w:tcBorders>
              <w:top w:val="nil"/>
              <w:left w:val="single" w:sz="2" w:space="0" w:color="auto"/>
              <w:bottom w:val="nil"/>
              <w:right w:val="single" w:sz="8" w:space="0" w:color="999999"/>
            </w:tcBorders>
            <w:shd w:val="clear" w:color="000000" w:fill="D0CECE"/>
            <w:vAlign w:val="center"/>
            <w:hideMark/>
          </w:tcPr>
          <w:p w:rsidR="005035BC" w:rsidRPr="004F2E6C" w:rsidRDefault="005035BC" w:rsidP="00784BF1">
            <w:pPr>
              <w:rPr>
                <w:color w:val="000000"/>
                <w:lang w:eastAsia="zh-CN"/>
              </w:rPr>
            </w:pPr>
            <w:r w:rsidRPr="004F2E6C">
              <w:rPr>
                <w:color w:val="000000"/>
                <w:lang w:eastAsia="zh-CN"/>
              </w:rPr>
              <w:t>Hydrological Sciences</w:t>
            </w:r>
          </w:p>
        </w:tc>
        <w:tc>
          <w:tcPr>
            <w:tcW w:w="1070" w:type="dxa"/>
            <w:tcBorders>
              <w:top w:val="nil"/>
              <w:left w:val="nil"/>
              <w:bottom w:val="nil"/>
              <w:right w:val="single" w:sz="8" w:space="0" w:color="999999"/>
            </w:tcBorders>
            <w:shd w:val="clear" w:color="000000" w:fill="D0CECE"/>
          </w:tcPr>
          <w:p w:rsidR="005035BC" w:rsidRPr="004F2E6C" w:rsidRDefault="005035BC" w:rsidP="00784BF1">
            <w:pPr>
              <w:jc w:val="center"/>
              <w:rPr>
                <w:color w:val="000000"/>
                <w:lang w:eastAsia="zh-CN"/>
              </w:rPr>
            </w:pPr>
            <w:r>
              <w:rPr>
                <w:color w:val="000000"/>
                <w:lang w:eastAsia="zh-CN"/>
              </w:rPr>
              <w:t>25</w:t>
            </w:r>
          </w:p>
        </w:tc>
      </w:tr>
      <w:tr w:rsidR="005035BC" w:rsidRPr="004F2E6C" w:rsidTr="00784BF1">
        <w:trPr>
          <w:trHeight w:val="300"/>
          <w:jc w:val="center"/>
        </w:trPr>
        <w:tc>
          <w:tcPr>
            <w:tcW w:w="3320" w:type="dxa"/>
            <w:tcBorders>
              <w:top w:val="nil"/>
              <w:left w:val="single" w:sz="8" w:space="0" w:color="999999"/>
              <w:bottom w:val="nil"/>
              <w:right w:val="single" w:sz="4" w:space="0" w:color="auto"/>
            </w:tcBorders>
            <w:shd w:val="clear" w:color="auto" w:fill="auto"/>
            <w:vAlign w:val="center"/>
            <w:hideMark/>
          </w:tcPr>
          <w:p w:rsidR="005035BC" w:rsidRPr="004F2E6C" w:rsidRDefault="005035BC" w:rsidP="00784BF1">
            <w:pPr>
              <w:rPr>
                <w:color w:val="000000"/>
                <w:lang w:eastAsia="zh-CN"/>
              </w:rPr>
            </w:pPr>
            <w:r w:rsidRPr="004F2E6C">
              <w:rPr>
                <w:color w:val="000000"/>
                <w:lang w:eastAsia="zh-CN"/>
              </w:rPr>
              <w:t>Cyber SEES</w:t>
            </w:r>
          </w:p>
        </w:tc>
        <w:tc>
          <w:tcPr>
            <w:tcW w:w="1098" w:type="dxa"/>
            <w:tcBorders>
              <w:top w:val="nil"/>
              <w:left w:val="nil"/>
              <w:bottom w:val="nil"/>
              <w:right w:val="single" w:sz="2" w:space="0" w:color="auto"/>
            </w:tcBorders>
          </w:tcPr>
          <w:p w:rsidR="005035BC" w:rsidRPr="004F2E6C" w:rsidRDefault="005035BC" w:rsidP="00784BF1">
            <w:pPr>
              <w:jc w:val="center"/>
              <w:rPr>
                <w:color w:val="000000"/>
                <w:lang w:eastAsia="zh-CN"/>
              </w:rPr>
            </w:pPr>
            <w:r>
              <w:rPr>
                <w:color w:val="000000"/>
                <w:lang w:eastAsia="zh-CN"/>
              </w:rPr>
              <w:t>14</w:t>
            </w:r>
          </w:p>
        </w:tc>
        <w:tc>
          <w:tcPr>
            <w:tcW w:w="3852" w:type="dxa"/>
            <w:tcBorders>
              <w:top w:val="nil"/>
              <w:left w:val="single" w:sz="2" w:space="0" w:color="auto"/>
              <w:bottom w:val="nil"/>
              <w:right w:val="single" w:sz="8" w:space="0" w:color="999999"/>
            </w:tcBorders>
            <w:shd w:val="clear" w:color="auto" w:fill="auto"/>
            <w:vAlign w:val="center"/>
            <w:hideMark/>
          </w:tcPr>
          <w:p w:rsidR="005035BC" w:rsidRPr="004F2E6C" w:rsidRDefault="005035BC" w:rsidP="00784BF1">
            <w:pPr>
              <w:rPr>
                <w:color w:val="000000"/>
                <w:lang w:eastAsia="zh-CN"/>
              </w:rPr>
            </w:pPr>
            <w:r w:rsidRPr="004F2E6C">
              <w:rPr>
                <w:color w:val="000000"/>
                <w:lang w:eastAsia="zh-CN"/>
              </w:rPr>
              <w:t xml:space="preserve">Cyber-Physical Systems </w:t>
            </w:r>
          </w:p>
        </w:tc>
        <w:tc>
          <w:tcPr>
            <w:tcW w:w="1070" w:type="dxa"/>
            <w:tcBorders>
              <w:top w:val="nil"/>
              <w:left w:val="nil"/>
              <w:bottom w:val="nil"/>
              <w:right w:val="single" w:sz="8" w:space="0" w:color="999999"/>
            </w:tcBorders>
          </w:tcPr>
          <w:p w:rsidR="005035BC" w:rsidRPr="004F2E6C" w:rsidRDefault="005035BC" w:rsidP="00784BF1">
            <w:pPr>
              <w:jc w:val="center"/>
              <w:rPr>
                <w:color w:val="000000"/>
                <w:lang w:eastAsia="zh-CN"/>
              </w:rPr>
            </w:pPr>
            <w:r>
              <w:rPr>
                <w:color w:val="000000"/>
                <w:lang w:eastAsia="zh-CN"/>
              </w:rPr>
              <w:t>21</w:t>
            </w:r>
          </w:p>
        </w:tc>
      </w:tr>
      <w:tr w:rsidR="005035BC" w:rsidRPr="004F2E6C" w:rsidTr="00784BF1">
        <w:trPr>
          <w:trHeight w:val="300"/>
          <w:jc w:val="center"/>
        </w:trPr>
        <w:tc>
          <w:tcPr>
            <w:tcW w:w="3320" w:type="dxa"/>
            <w:tcBorders>
              <w:top w:val="nil"/>
              <w:left w:val="single" w:sz="8" w:space="0" w:color="999999"/>
              <w:bottom w:val="nil"/>
              <w:right w:val="single" w:sz="4" w:space="0" w:color="auto"/>
            </w:tcBorders>
            <w:shd w:val="clear" w:color="000000" w:fill="D0CECE"/>
            <w:vAlign w:val="center"/>
            <w:hideMark/>
          </w:tcPr>
          <w:p w:rsidR="005035BC" w:rsidRPr="004F2E6C" w:rsidRDefault="005035BC" w:rsidP="00784BF1">
            <w:pPr>
              <w:rPr>
                <w:color w:val="000000"/>
                <w:lang w:eastAsia="zh-CN"/>
              </w:rPr>
            </w:pPr>
            <w:r w:rsidRPr="004F2E6C">
              <w:rPr>
                <w:color w:val="000000"/>
                <w:lang w:eastAsia="zh-CN"/>
              </w:rPr>
              <w:t>Hazard SEES</w:t>
            </w:r>
          </w:p>
        </w:tc>
        <w:tc>
          <w:tcPr>
            <w:tcW w:w="1098" w:type="dxa"/>
            <w:tcBorders>
              <w:top w:val="nil"/>
              <w:left w:val="nil"/>
              <w:bottom w:val="nil"/>
              <w:right w:val="single" w:sz="2" w:space="0" w:color="auto"/>
            </w:tcBorders>
            <w:shd w:val="clear" w:color="000000" w:fill="D0CECE"/>
          </w:tcPr>
          <w:p w:rsidR="005035BC" w:rsidRPr="004F2E6C" w:rsidRDefault="005035BC" w:rsidP="00784BF1">
            <w:pPr>
              <w:jc w:val="center"/>
              <w:rPr>
                <w:color w:val="000000"/>
                <w:lang w:eastAsia="zh-CN"/>
              </w:rPr>
            </w:pPr>
            <w:r>
              <w:rPr>
                <w:color w:val="000000"/>
                <w:lang w:eastAsia="zh-CN"/>
              </w:rPr>
              <w:t>3</w:t>
            </w:r>
          </w:p>
        </w:tc>
        <w:tc>
          <w:tcPr>
            <w:tcW w:w="3852" w:type="dxa"/>
            <w:tcBorders>
              <w:top w:val="nil"/>
              <w:left w:val="single" w:sz="2" w:space="0" w:color="auto"/>
              <w:bottom w:val="nil"/>
              <w:right w:val="single" w:sz="8" w:space="0" w:color="999999"/>
            </w:tcBorders>
            <w:shd w:val="clear" w:color="000000" w:fill="D0CECE"/>
            <w:vAlign w:val="center"/>
            <w:hideMark/>
          </w:tcPr>
          <w:p w:rsidR="005035BC" w:rsidRPr="004F2E6C" w:rsidRDefault="005035BC" w:rsidP="00784BF1">
            <w:pPr>
              <w:rPr>
                <w:color w:val="000000"/>
                <w:lang w:eastAsia="zh-CN"/>
              </w:rPr>
            </w:pPr>
            <w:r w:rsidRPr="004F2E6C">
              <w:rPr>
                <w:color w:val="000000"/>
                <w:lang w:eastAsia="zh-CN"/>
              </w:rPr>
              <w:t>Engineering for Natural Hazards</w:t>
            </w:r>
          </w:p>
        </w:tc>
        <w:tc>
          <w:tcPr>
            <w:tcW w:w="1070" w:type="dxa"/>
            <w:tcBorders>
              <w:top w:val="nil"/>
              <w:left w:val="nil"/>
              <w:bottom w:val="nil"/>
              <w:right w:val="single" w:sz="8" w:space="0" w:color="999999"/>
            </w:tcBorders>
            <w:shd w:val="clear" w:color="000000" w:fill="D0CECE"/>
          </w:tcPr>
          <w:p w:rsidR="005035BC" w:rsidRPr="004F2E6C" w:rsidRDefault="005035BC" w:rsidP="00784BF1">
            <w:pPr>
              <w:jc w:val="center"/>
              <w:rPr>
                <w:color w:val="000000"/>
                <w:lang w:eastAsia="zh-CN"/>
              </w:rPr>
            </w:pPr>
            <w:r>
              <w:rPr>
                <w:color w:val="000000"/>
                <w:lang w:eastAsia="zh-CN"/>
              </w:rPr>
              <w:t>25</w:t>
            </w:r>
          </w:p>
        </w:tc>
      </w:tr>
      <w:tr w:rsidR="005035BC" w:rsidRPr="004F2E6C" w:rsidTr="00784BF1">
        <w:trPr>
          <w:trHeight w:val="300"/>
          <w:jc w:val="center"/>
        </w:trPr>
        <w:tc>
          <w:tcPr>
            <w:tcW w:w="3320" w:type="dxa"/>
            <w:tcBorders>
              <w:top w:val="nil"/>
              <w:left w:val="single" w:sz="8" w:space="0" w:color="999999"/>
              <w:bottom w:val="nil"/>
              <w:right w:val="single" w:sz="4" w:space="0" w:color="auto"/>
            </w:tcBorders>
            <w:shd w:val="clear" w:color="auto" w:fill="auto"/>
            <w:vAlign w:val="center"/>
            <w:hideMark/>
          </w:tcPr>
          <w:p w:rsidR="005035BC" w:rsidRPr="004F2E6C" w:rsidRDefault="005035BC" w:rsidP="00784BF1">
            <w:pPr>
              <w:rPr>
                <w:color w:val="000000"/>
                <w:lang w:eastAsia="zh-CN"/>
              </w:rPr>
            </w:pPr>
            <w:proofErr w:type="spellStart"/>
            <w:r w:rsidRPr="004F2E6C">
              <w:rPr>
                <w:color w:val="000000"/>
                <w:lang w:eastAsia="zh-CN"/>
              </w:rPr>
              <w:t>EaSM</w:t>
            </w:r>
            <w:proofErr w:type="spellEnd"/>
          </w:p>
        </w:tc>
        <w:tc>
          <w:tcPr>
            <w:tcW w:w="1098" w:type="dxa"/>
            <w:tcBorders>
              <w:top w:val="nil"/>
              <w:left w:val="nil"/>
              <w:bottom w:val="nil"/>
              <w:right w:val="single" w:sz="2" w:space="0" w:color="auto"/>
            </w:tcBorders>
          </w:tcPr>
          <w:p w:rsidR="005035BC" w:rsidRPr="004F2E6C" w:rsidRDefault="005035BC" w:rsidP="00784BF1">
            <w:pPr>
              <w:jc w:val="center"/>
              <w:rPr>
                <w:color w:val="000000"/>
                <w:lang w:eastAsia="zh-CN"/>
              </w:rPr>
            </w:pPr>
            <w:r>
              <w:rPr>
                <w:color w:val="000000"/>
                <w:lang w:eastAsia="zh-CN"/>
              </w:rPr>
              <w:t>32</w:t>
            </w:r>
          </w:p>
        </w:tc>
        <w:tc>
          <w:tcPr>
            <w:tcW w:w="3852" w:type="dxa"/>
            <w:tcBorders>
              <w:top w:val="nil"/>
              <w:left w:val="single" w:sz="2" w:space="0" w:color="auto"/>
              <w:bottom w:val="nil"/>
              <w:right w:val="single" w:sz="8" w:space="0" w:color="999999"/>
            </w:tcBorders>
            <w:shd w:val="clear" w:color="auto" w:fill="auto"/>
            <w:vAlign w:val="center"/>
            <w:hideMark/>
          </w:tcPr>
          <w:p w:rsidR="005035BC" w:rsidRPr="004F2E6C" w:rsidRDefault="005035BC" w:rsidP="00784BF1">
            <w:pPr>
              <w:rPr>
                <w:color w:val="000000"/>
                <w:lang w:eastAsia="zh-CN"/>
              </w:rPr>
            </w:pPr>
            <w:r w:rsidRPr="004F2E6C">
              <w:rPr>
                <w:color w:val="000000"/>
                <w:lang w:eastAsia="zh-CN"/>
              </w:rPr>
              <w:t xml:space="preserve">Climate and Large Scale Dynamics </w:t>
            </w:r>
          </w:p>
        </w:tc>
        <w:tc>
          <w:tcPr>
            <w:tcW w:w="1070" w:type="dxa"/>
            <w:tcBorders>
              <w:top w:val="nil"/>
              <w:left w:val="nil"/>
              <w:bottom w:val="nil"/>
              <w:right w:val="single" w:sz="8" w:space="0" w:color="999999"/>
            </w:tcBorders>
          </w:tcPr>
          <w:p w:rsidR="005035BC" w:rsidRPr="004F2E6C" w:rsidRDefault="005035BC" w:rsidP="00784BF1">
            <w:pPr>
              <w:jc w:val="center"/>
              <w:rPr>
                <w:color w:val="000000"/>
                <w:lang w:eastAsia="zh-CN"/>
              </w:rPr>
            </w:pPr>
            <w:r>
              <w:rPr>
                <w:color w:val="000000"/>
                <w:lang w:eastAsia="zh-CN"/>
              </w:rPr>
              <w:t>47</w:t>
            </w:r>
          </w:p>
        </w:tc>
      </w:tr>
      <w:tr w:rsidR="005035BC" w:rsidRPr="004F2E6C" w:rsidTr="00784BF1">
        <w:trPr>
          <w:trHeight w:val="300"/>
          <w:jc w:val="center"/>
        </w:trPr>
        <w:tc>
          <w:tcPr>
            <w:tcW w:w="3320" w:type="dxa"/>
            <w:tcBorders>
              <w:top w:val="nil"/>
              <w:left w:val="single" w:sz="8" w:space="0" w:color="999999"/>
              <w:bottom w:val="nil"/>
              <w:right w:val="single" w:sz="4" w:space="0" w:color="auto"/>
            </w:tcBorders>
            <w:shd w:val="clear" w:color="000000" w:fill="D0CECE"/>
            <w:vAlign w:val="center"/>
            <w:hideMark/>
          </w:tcPr>
          <w:p w:rsidR="005035BC" w:rsidRPr="004F2E6C" w:rsidRDefault="005035BC" w:rsidP="00784BF1">
            <w:pPr>
              <w:rPr>
                <w:color w:val="000000"/>
                <w:lang w:eastAsia="zh-CN"/>
              </w:rPr>
            </w:pPr>
            <w:r w:rsidRPr="004F2E6C">
              <w:rPr>
                <w:color w:val="000000"/>
                <w:lang w:eastAsia="zh-CN"/>
              </w:rPr>
              <w:t xml:space="preserve">Sustainable Energy Pathways </w:t>
            </w:r>
          </w:p>
        </w:tc>
        <w:tc>
          <w:tcPr>
            <w:tcW w:w="1098" w:type="dxa"/>
            <w:tcBorders>
              <w:top w:val="nil"/>
              <w:left w:val="nil"/>
              <w:bottom w:val="nil"/>
              <w:right w:val="single" w:sz="2" w:space="0" w:color="auto"/>
            </w:tcBorders>
            <w:shd w:val="clear" w:color="000000" w:fill="D0CECE"/>
          </w:tcPr>
          <w:p w:rsidR="005035BC" w:rsidRPr="004F2E6C" w:rsidRDefault="005035BC" w:rsidP="00784BF1">
            <w:pPr>
              <w:jc w:val="center"/>
              <w:rPr>
                <w:color w:val="000000"/>
                <w:lang w:eastAsia="zh-CN"/>
              </w:rPr>
            </w:pPr>
            <w:r>
              <w:rPr>
                <w:color w:val="000000"/>
                <w:lang w:eastAsia="zh-CN"/>
              </w:rPr>
              <w:t>20</w:t>
            </w:r>
          </w:p>
        </w:tc>
        <w:tc>
          <w:tcPr>
            <w:tcW w:w="3852" w:type="dxa"/>
            <w:tcBorders>
              <w:top w:val="nil"/>
              <w:left w:val="single" w:sz="2" w:space="0" w:color="auto"/>
              <w:bottom w:val="nil"/>
              <w:right w:val="single" w:sz="8" w:space="0" w:color="999999"/>
            </w:tcBorders>
            <w:shd w:val="clear" w:color="000000" w:fill="D0CECE"/>
            <w:vAlign w:val="center"/>
            <w:hideMark/>
          </w:tcPr>
          <w:p w:rsidR="005035BC" w:rsidRPr="004F2E6C" w:rsidRDefault="005035BC" w:rsidP="00784BF1">
            <w:pPr>
              <w:rPr>
                <w:color w:val="000000"/>
                <w:lang w:eastAsia="zh-CN"/>
              </w:rPr>
            </w:pPr>
            <w:r w:rsidRPr="004F2E6C">
              <w:rPr>
                <w:color w:val="000000"/>
                <w:lang w:eastAsia="zh-CN"/>
              </w:rPr>
              <w:t xml:space="preserve">Energy for Sustainability </w:t>
            </w:r>
          </w:p>
        </w:tc>
        <w:tc>
          <w:tcPr>
            <w:tcW w:w="1070" w:type="dxa"/>
            <w:tcBorders>
              <w:top w:val="nil"/>
              <w:left w:val="nil"/>
              <w:bottom w:val="nil"/>
              <w:right w:val="single" w:sz="8" w:space="0" w:color="999999"/>
            </w:tcBorders>
            <w:shd w:val="clear" w:color="000000" w:fill="D0CECE"/>
          </w:tcPr>
          <w:p w:rsidR="005035BC" w:rsidRPr="004F2E6C" w:rsidRDefault="005035BC" w:rsidP="00784BF1">
            <w:pPr>
              <w:jc w:val="center"/>
              <w:rPr>
                <w:color w:val="000000"/>
                <w:lang w:eastAsia="zh-CN"/>
              </w:rPr>
            </w:pPr>
            <w:r>
              <w:rPr>
                <w:color w:val="000000"/>
                <w:lang w:eastAsia="zh-CN"/>
              </w:rPr>
              <w:t>34</w:t>
            </w:r>
          </w:p>
        </w:tc>
      </w:tr>
      <w:tr w:rsidR="005035BC" w:rsidRPr="004F2E6C" w:rsidTr="00784BF1">
        <w:trPr>
          <w:trHeight w:val="300"/>
          <w:jc w:val="center"/>
        </w:trPr>
        <w:tc>
          <w:tcPr>
            <w:tcW w:w="3320" w:type="dxa"/>
            <w:tcBorders>
              <w:top w:val="nil"/>
              <w:left w:val="single" w:sz="8" w:space="0" w:color="999999"/>
              <w:right w:val="single" w:sz="4" w:space="0" w:color="auto"/>
            </w:tcBorders>
            <w:shd w:val="clear" w:color="auto" w:fill="auto"/>
            <w:vAlign w:val="center"/>
            <w:hideMark/>
          </w:tcPr>
          <w:p w:rsidR="005035BC" w:rsidRPr="004F2E6C" w:rsidRDefault="005035BC" w:rsidP="00784BF1">
            <w:pPr>
              <w:rPr>
                <w:color w:val="000000"/>
                <w:lang w:eastAsia="zh-CN"/>
              </w:rPr>
            </w:pPr>
            <w:r w:rsidRPr="004F2E6C">
              <w:rPr>
                <w:color w:val="000000"/>
                <w:lang w:eastAsia="zh-CN"/>
              </w:rPr>
              <w:t>Ocean Acidification</w:t>
            </w:r>
          </w:p>
        </w:tc>
        <w:tc>
          <w:tcPr>
            <w:tcW w:w="1098" w:type="dxa"/>
            <w:tcBorders>
              <w:top w:val="nil"/>
              <w:left w:val="nil"/>
              <w:right w:val="single" w:sz="2" w:space="0" w:color="auto"/>
            </w:tcBorders>
          </w:tcPr>
          <w:p w:rsidR="005035BC" w:rsidRPr="004F2E6C" w:rsidRDefault="005035BC" w:rsidP="00784BF1">
            <w:pPr>
              <w:jc w:val="center"/>
              <w:rPr>
                <w:color w:val="000000"/>
                <w:lang w:eastAsia="zh-CN"/>
              </w:rPr>
            </w:pPr>
            <w:r>
              <w:rPr>
                <w:color w:val="000000"/>
                <w:lang w:eastAsia="zh-CN"/>
              </w:rPr>
              <w:t>48</w:t>
            </w:r>
          </w:p>
        </w:tc>
        <w:tc>
          <w:tcPr>
            <w:tcW w:w="3852" w:type="dxa"/>
            <w:tcBorders>
              <w:top w:val="nil"/>
              <w:left w:val="single" w:sz="2" w:space="0" w:color="auto"/>
              <w:right w:val="single" w:sz="8" w:space="0" w:color="999999"/>
            </w:tcBorders>
            <w:shd w:val="clear" w:color="auto" w:fill="auto"/>
            <w:vAlign w:val="center"/>
            <w:hideMark/>
          </w:tcPr>
          <w:p w:rsidR="005035BC" w:rsidRPr="004F2E6C" w:rsidRDefault="005035BC" w:rsidP="00784BF1">
            <w:pPr>
              <w:rPr>
                <w:color w:val="000000"/>
                <w:lang w:eastAsia="zh-CN"/>
              </w:rPr>
            </w:pPr>
            <w:r w:rsidRPr="004F2E6C">
              <w:rPr>
                <w:color w:val="000000"/>
                <w:lang w:eastAsia="zh-CN"/>
              </w:rPr>
              <w:t xml:space="preserve">Chemical Oceanography </w:t>
            </w:r>
          </w:p>
        </w:tc>
        <w:tc>
          <w:tcPr>
            <w:tcW w:w="1070" w:type="dxa"/>
            <w:tcBorders>
              <w:top w:val="nil"/>
              <w:left w:val="nil"/>
              <w:right w:val="single" w:sz="8" w:space="0" w:color="999999"/>
            </w:tcBorders>
          </w:tcPr>
          <w:p w:rsidR="005035BC" w:rsidRPr="004F2E6C" w:rsidRDefault="005035BC" w:rsidP="00784BF1">
            <w:pPr>
              <w:jc w:val="center"/>
              <w:rPr>
                <w:color w:val="000000"/>
                <w:lang w:eastAsia="zh-CN"/>
              </w:rPr>
            </w:pPr>
            <w:r>
              <w:rPr>
                <w:color w:val="000000"/>
                <w:lang w:eastAsia="zh-CN"/>
              </w:rPr>
              <w:t>48</w:t>
            </w:r>
          </w:p>
        </w:tc>
      </w:tr>
      <w:tr w:rsidR="005035BC" w:rsidRPr="004F2E6C" w:rsidTr="00784BF1">
        <w:trPr>
          <w:trHeight w:val="300"/>
          <w:jc w:val="center"/>
        </w:trPr>
        <w:tc>
          <w:tcPr>
            <w:tcW w:w="3320" w:type="dxa"/>
            <w:tcBorders>
              <w:top w:val="nil"/>
              <w:left w:val="single" w:sz="8" w:space="0" w:color="999999"/>
              <w:bottom w:val="single" w:sz="12" w:space="0" w:color="auto"/>
              <w:right w:val="single" w:sz="4" w:space="0" w:color="auto"/>
            </w:tcBorders>
            <w:shd w:val="clear" w:color="000000" w:fill="D0CECE"/>
            <w:vAlign w:val="center"/>
            <w:hideMark/>
          </w:tcPr>
          <w:p w:rsidR="005035BC" w:rsidRPr="004F2E6C" w:rsidRDefault="005035BC" w:rsidP="00784BF1">
            <w:pPr>
              <w:rPr>
                <w:color w:val="000000"/>
                <w:lang w:eastAsia="zh-CN"/>
              </w:rPr>
            </w:pPr>
            <w:r w:rsidRPr="004F2E6C">
              <w:rPr>
                <w:color w:val="000000"/>
                <w:lang w:eastAsia="zh-CN"/>
              </w:rPr>
              <w:t>Arctic SEES</w:t>
            </w:r>
          </w:p>
        </w:tc>
        <w:tc>
          <w:tcPr>
            <w:tcW w:w="1098" w:type="dxa"/>
            <w:tcBorders>
              <w:top w:val="nil"/>
              <w:left w:val="nil"/>
              <w:bottom w:val="single" w:sz="12" w:space="0" w:color="auto"/>
              <w:right w:val="single" w:sz="2" w:space="0" w:color="auto"/>
            </w:tcBorders>
            <w:shd w:val="clear" w:color="000000" w:fill="D0CECE"/>
          </w:tcPr>
          <w:p w:rsidR="005035BC" w:rsidRPr="004F2E6C" w:rsidRDefault="005035BC" w:rsidP="00784BF1">
            <w:pPr>
              <w:jc w:val="center"/>
              <w:rPr>
                <w:color w:val="000000"/>
                <w:lang w:eastAsia="zh-CN"/>
              </w:rPr>
            </w:pPr>
            <w:r>
              <w:rPr>
                <w:color w:val="000000"/>
                <w:lang w:eastAsia="zh-CN"/>
              </w:rPr>
              <w:t>3</w:t>
            </w:r>
          </w:p>
        </w:tc>
        <w:tc>
          <w:tcPr>
            <w:tcW w:w="3852" w:type="dxa"/>
            <w:tcBorders>
              <w:top w:val="nil"/>
              <w:left w:val="single" w:sz="2" w:space="0" w:color="auto"/>
              <w:bottom w:val="single" w:sz="12" w:space="0" w:color="auto"/>
              <w:right w:val="single" w:sz="8" w:space="0" w:color="999999"/>
            </w:tcBorders>
            <w:shd w:val="clear" w:color="000000" w:fill="D0CECE"/>
            <w:vAlign w:val="center"/>
            <w:hideMark/>
          </w:tcPr>
          <w:p w:rsidR="005035BC" w:rsidRPr="004F2E6C" w:rsidRDefault="005035BC" w:rsidP="00784BF1">
            <w:pPr>
              <w:rPr>
                <w:color w:val="000000"/>
                <w:lang w:eastAsia="zh-CN"/>
              </w:rPr>
            </w:pPr>
            <w:r w:rsidRPr="004F2E6C">
              <w:rPr>
                <w:color w:val="000000"/>
                <w:lang w:eastAsia="zh-CN"/>
              </w:rPr>
              <w:t xml:space="preserve">Arctic System Science </w:t>
            </w:r>
          </w:p>
        </w:tc>
        <w:tc>
          <w:tcPr>
            <w:tcW w:w="1070" w:type="dxa"/>
            <w:tcBorders>
              <w:top w:val="nil"/>
              <w:left w:val="nil"/>
              <w:bottom w:val="single" w:sz="12" w:space="0" w:color="auto"/>
              <w:right w:val="single" w:sz="8" w:space="0" w:color="999999"/>
            </w:tcBorders>
            <w:shd w:val="clear" w:color="000000" w:fill="D0CECE"/>
          </w:tcPr>
          <w:p w:rsidR="005035BC" w:rsidRPr="004F2E6C" w:rsidRDefault="005035BC" w:rsidP="00784BF1">
            <w:pPr>
              <w:jc w:val="center"/>
              <w:rPr>
                <w:color w:val="000000"/>
                <w:lang w:eastAsia="zh-CN"/>
              </w:rPr>
            </w:pPr>
            <w:r>
              <w:rPr>
                <w:color w:val="000000"/>
                <w:lang w:eastAsia="zh-CN"/>
              </w:rPr>
              <w:t>8</w:t>
            </w:r>
          </w:p>
        </w:tc>
      </w:tr>
      <w:tr w:rsidR="005035BC" w:rsidRPr="000957BE" w:rsidTr="00784BF1">
        <w:trPr>
          <w:trHeight w:val="300"/>
          <w:jc w:val="center"/>
        </w:trPr>
        <w:tc>
          <w:tcPr>
            <w:tcW w:w="3320" w:type="dxa"/>
            <w:tcBorders>
              <w:top w:val="single" w:sz="12" w:space="0" w:color="auto"/>
              <w:left w:val="single" w:sz="8" w:space="0" w:color="999999"/>
              <w:bottom w:val="single" w:sz="18" w:space="0" w:color="auto"/>
              <w:right w:val="single" w:sz="4" w:space="0" w:color="auto"/>
            </w:tcBorders>
            <w:shd w:val="clear" w:color="000000" w:fill="D0CECE"/>
            <w:vAlign w:val="center"/>
          </w:tcPr>
          <w:p w:rsidR="005035BC" w:rsidRPr="000957BE" w:rsidRDefault="005035BC" w:rsidP="00784BF1">
            <w:pPr>
              <w:jc w:val="right"/>
              <w:rPr>
                <w:b/>
                <w:color w:val="000000"/>
                <w:lang w:eastAsia="zh-CN"/>
              </w:rPr>
            </w:pPr>
            <w:r w:rsidRPr="000957BE">
              <w:rPr>
                <w:b/>
                <w:color w:val="000000"/>
                <w:lang w:eastAsia="zh-CN"/>
              </w:rPr>
              <w:t>Total</w:t>
            </w:r>
          </w:p>
        </w:tc>
        <w:tc>
          <w:tcPr>
            <w:tcW w:w="1098" w:type="dxa"/>
            <w:tcBorders>
              <w:top w:val="single" w:sz="12" w:space="0" w:color="auto"/>
              <w:left w:val="nil"/>
              <w:bottom w:val="single" w:sz="18" w:space="0" w:color="auto"/>
              <w:right w:val="single" w:sz="2" w:space="0" w:color="auto"/>
            </w:tcBorders>
            <w:shd w:val="clear" w:color="000000" w:fill="D0CECE"/>
          </w:tcPr>
          <w:p w:rsidR="005035BC" w:rsidRPr="000957BE" w:rsidRDefault="005035BC" w:rsidP="00784BF1">
            <w:pPr>
              <w:jc w:val="center"/>
              <w:rPr>
                <w:b/>
                <w:color w:val="000000"/>
                <w:lang w:eastAsia="zh-CN"/>
              </w:rPr>
            </w:pPr>
            <w:r w:rsidRPr="000957BE">
              <w:rPr>
                <w:b/>
                <w:color w:val="000000"/>
                <w:lang w:eastAsia="zh-CN"/>
              </w:rPr>
              <w:t>215</w:t>
            </w:r>
          </w:p>
        </w:tc>
        <w:tc>
          <w:tcPr>
            <w:tcW w:w="3852" w:type="dxa"/>
            <w:tcBorders>
              <w:top w:val="single" w:sz="12" w:space="0" w:color="auto"/>
              <w:left w:val="single" w:sz="2" w:space="0" w:color="auto"/>
              <w:bottom w:val="single" w:sz="18" w:space="0" w:color="auto"/>
              <w:right w:val="single" w:sz="8" w:space="0" w:color="999999"/>
            </w:tcBorders>
            <w:shd w:val="clear" w:color="000000" w:fill="D0CECE"/>
            <w:vAlign w:val="center"/>
          </w:tcPr>
          <w:p w:rsidR="005035BC" w:rsidRPr="000957BE" w:rsidRDefault="005035BC" w:rsidP="00784BF1">
            <w:pPr>
              <w:rPr>
                <w:b/>
                <w:color w:val="000000"/>
                <w:lang w:eastAsia="zh-CN"/>
              </w:rPr>
            </w:pPr>
          </w:p>
        </w:tc>
        <w:tc>
          <w:tcPr>
            <w:tcW w:w="1070" w:type="dxa"/>
            <w:tcBorders>
              <w:top w:val="single" w:sz="12" w:space="0" w:color="auto"/>
              <w:left w:val="nil"/>
              <w:bottom w:val="single" w:sz="18" w:space="0" w:color="auto"/>
              <w:right w:val="single" w:sz="8" w:space="0" w:color="999999"/>
            </w:tcBorders>
            <w:shd w:val="clear" w:color="000000" w:fill="D0CECE"/>
          </w:tcPr>
          <w:p w:rsidR="005035BC" w:rsidRPr="000957BE" w:rsidRDefault="005035BC" w:rsidP="00784BF1">
            <w:pPr>
              <w:jc w:val="center"/>
              <w:rPr>
                <w:b/>
                <w:color w:val="000000"/>
                <w:lang w:eastAsia="zh-CN"/>
              </w:rPr>
            </w:pPr>
            <w:r w:rsidRPr="000957BE">
              <w:rPr>
                <w:b/>
                <w:color w:val="000000"/>
                <w:lang w:eastAsia="zh-CN"/>
              </w:rPr>
              <w:t>273</w:t>
            </w:r>
          </w:p>
        </w:tc>
      </w:tr>
    </w:tbl>
    <w:p w:rsidR="005035BC" w:rsidRDefault="005035BC" w:rsidP="005035BC">
      <w:pPr>
        <w:tabs>
          <w:tab w:val="right" w:pos="360"/>
        </w:tabs>
        <w:autoSpaceDE w:val="0"/>
        <w:autoSpaceDN w:val="0"/>
        <w:adjustRightInd w:val="0"/>
      </w:pPr>
    </w:p>
    <w:p w:rsidR="005035BC" w:rsidRDefault="005035BC" w:rsidP="005035BC">
      <w:pPr>
        <w:tabs>
          <w:tab w:val="right" w:pos="360"/>
        </w:tabs>
        <w:autoSpaceDE w:val="0"/>
        <w:autoSpaceDN w:val="0"/>
        <w:adjustRightInd w:val="0"/>
        <w:jc w:val="both"/>
      </w:pPr>
      <w:r>
        <w:rPr>
          <w:u w:val="single"/>
        </w:rPr>
        <w:lastRenderedPageBreak/>
        <w:t>S</w:t>
      </w:r>
      <w:r w:rsidRPr="00A61884">
        <w:rPr>
          <w:u w:val="single"/>
        </w:rPr>
        <w:t>electing comparable SEES and non-SEES projects</w:t>
      </w:r>
      <w:r w:rsidRPr="00592C55" w:rsidDel="00A61884">
        <w:rPr>
          <w:u w:val="single"/>
        </w:rPr>
        <w:t xml:space="preserve"> </w:t>
      </w:r>
    </w:p>
    <w:p w:rsidR="005035BC" w:rsidRDefault="005035BC" w:rsidP="005035BC">
      <w:pPr>
        <w:tabs>
          <w:tab w:val="right" w:pos="360"/>
        </w:tabs>
        <w:autoSpaceDE w:val="0"/>
        <w:autoSpaceDN w:val="0"/>
        <w:adjustRightInd w:val="0"/>
        <w:jc w:val="both"/>
      </w:pPr>
    </w:p>
    <w:p w:rsidR="005035BC" w:rsidRDefault="005035BC" w:rsidP="005035BC">
      <w:pPr>
        <w:tabs>
          <w:tab w:val="right" w:pos="360"/>
        </w:tabs>
        <w:autoSpaceDE w:val="0"/>
        <w:autoSpaceDN w:val="0"/>
        <w:adjustRightInd w:val="0"/>
        <w:jc w:val="both"/>
      </w:pPr>
      <w:r w:rsidRPr="005113C3">
        <w:t xml:space="preserve">Once SEES and comparable non-SEES programs </w:t>
      </w:r>
      <w:r>
        <w:t>were</w:t>
      </w:r>
      <w:r w:rsidRPr="005113C3">
        <w:t xml:space="preserve"> identified, projects within these programs </w:t>
      </w:r>
      <w:r>
        <w:t xml:space="preserve">were compiled for matching. All projects in the selected SEES programs are included in the sample. There are 215 projects in the 9 selected SEES programs, as shown in the table above. Each SEES project will have one or two matched non-SEES projects that focus on a related substantive domain with similar project duration and award size. Assuming half of the SEES projects (107 projects) have one matched non-SEES project each, and the other SEES projects (108) have two matches, the comparative analyses will have a sample of 538 projects, 215 SEES projects and 323 non-SEES projects (107*1+108*2). </w:t>
      </w:r>
    </w:p>
    <w:p w:rsidR="005035BC" w:rsidRDefault="005035BC" w:rsidP="005035BC">
      <w:pPr>
        <w:tabs>
          <w:tab w:val="right" w:pos="360"/>
        </w:tabs>
        <w:autoSpaceDE w:val="0"/>
        <w:autoSpaceDN w:val="0"/>
        <w:adjustRightInd w:val="0"/>
        <w:jc w:val="both"/>
      </w:pPr>
    </w:p>
    <w:p w:rsidR="005035BC" w:rsidRPr="00A0586A" w:rsidRDefault="005035BC" w:rsidP="005035BC">
      <w:pPr>
        <w:tabs>
          <w:tab w:val="right" w:pos="360"/>
        </w:tabs>
        <w:autoSpaceDE w:val="0"/>
        <w:autoSpaceDN w:val="0"/>
        <w:adjustRightInd w:val="0"/>
        <w:jc w:val="both"/>
        <w:rPr>
          <w:u w:val="single"/>
        </w:rPr>
      </w:pPr>
      <w:r>
        <w:rPr>
          <w:u w:val="single"/>
        </w:rPr>
        <w:t>S</w:t>
      </w:r>
      <w:r w:rsidRPr="00A0586A">
        <w:rPr>
          <w:u w:val="single"/>
        </w:rPr>
        <w:t>electing PIs to respond to the survey</w:t>
      </w:r>
    </w:p>
    <w:p w:rsidR="005035BC" w:rsidRDefault="005035BC" w:rsidP="005035BC">
      <w:pPr>
        <w:tabs>
          <w:tab w:val="right" w:pos="360"/>
        </w:tabs>
        <w:autoSpaceDE w:val="0"/>
        <w:autoSpaceDN w:val="0"/>
        <w:adjustRightInd w:val="0"/>
        <w:jc w:val="both"/>
      </w:pPr>
    </w:p>
    <w:p w:rsidR="005035BC" w:rsidRDefault="005035BC" w:rsidP="005035BC">
      <w:pPr>
        <w:tabs>
          <w:tab w:val="right" w:pos="360"/>
        </w:tabs>
        <w:autoSpaceDE w:val="0"/>
        <w:autoSpaceDN w:val="0"/>
        <w:adjustRightInd w:val="0"/>
        <w:jc w:val="both"/>
      </w:pPr>
      <w:r>
        <w:t xml:space="preserve">PIs on the selected SEES and non-SEES projects will be contacted to respond to the survey. In the case of multiple PIs serving on a project, we will select the PI NSF uses as the primary point of contact for the project. Therefore, the total number of respondents to be contacted for the survey is 538 PIs. With a response rate of 80%, the final analytic sample size is expected to be 430 PIs. </w:t>
      </w:r>
    </w:p>
    <w:p w:rsidR="005035BC" w:rsidRDefault="005035BC" w:rsidP="005035BC">
      <w:pPr>
        <w:tabs>
          <w:tab w:val="right" w:pos="360"/>
        </w:tabs>
        <w:autoSpaceDE w:val="0"/>
        <w:autoSpaceDN w:val="0"/>
        <w:adjustRightInd w:val="0"/>
        <w:jc w:val="both"/>
      </w:pPr>
    </w:p>
    <w:p w:rsidR="005035BC" w:rsidRPr="00CC721F" w:rsidRDefault="005035BC" w:rsidP="005035BC">
      <w:pPr>
        <w:tabs>
          <w:tab w:val="right" w:pos="360"/>
          <w:tab w:val="left" w:pos="720"/>
        </w:tabs>
        <w:autoSpaceDE w:val="0"/>
        <w:autoSpaceDN w:val="0"/>
        <w:adjustRightInd w:val="0"/>
        <w:ind w:left="720" w:hanging="720"/>
        <w:jc w:val="both"/>
        <w:rPr>
          <w:i/>
        </w:rPr>
      </w:pPr>
      <w:r w:rsidRPr="00CC721F">
        <w:rPr>
          <w:i/>
        </w:rPr>
        <w:tab/>
        <w:t>2.</w:t>
      </w:r>
      <w:r w:rsidRPr="00CC721F">
        <w:rPr>
          <w:i/>
        </w:rPr>
        <w:tab/>
        <w:t xml:space="preserve">Describe the procedures for the collection of information including: </w:t>
      </w:r>
    </w:p>
    <w:p w:rsidR="005035BC" w:rsidRPr="00CC721F" w:rsidRDefault="005035BC" w:rsidP="005035BC">
      <w:pPr>
        <w:tabs>
          <w:tab w:val="left" w:pos="720"/>
          <w:tab w:val="left" w:pos="1080"/>
        </w:tabs>
        <w:autoSpaceDE w:val="0"/>
        <w:autoSpaceDN w:val="0"/>
        <w:adjustRightInd w:val="0"/>
        <w:ind w:left="1080" w:hanging="1080"/>
        <w:jc w:val="both"/>
        <w:rPr>
          <w:i/>
        </w:rPr>
      </w:pPr>
      <w:r w:rsidRPr="00CC721F">
        <w:rPr>
          <w:i/>
        </w:rPr>
        <w:tab/>
        <w:t>*</w:t>
      </w:r>
      <w:r w:rsidRPr="00CC721F">
        <w:rPr>
          <w:i/>
        </w:rPr>
        <w:tab/>
        <w:t>Statistical methodology for stratification and sample selection,</w:t>
      </w:r>
    </w:p>
    <w:p w:rsidR="005035BC" w:rsidRPr="00CC721F" w:rsidRDefault="005035BC" w:rsidP="005035BC">
      <w:pPr>
        <w:tabs>
          <w:tab w:val="left" w:pos="720"/>
          <w:tab w:val="left" w:pos="1080"/>
        </w:tabs>
        <w:autoSpaceDE w:val="0"/>
        <w:autoSpaceDN w:val="0"/>
        <w:adjustRightInd w:val="0"/>
        <w:ind w:left="1080" w:hanging="1080"/>
        <w:jc w:val="both"/>
        <w:rPr>
          <w:i/>
        </w:rPr>
      </w:pPr>
      <w:r w:rsidRPr="00CC721F">
        <w:rPr>
          <w:i/>
        </w:rPr>
        <w:tab/>
        <w:t>*</w:t>
      </w:r>
      <w:r w:rsidRPr="00CC721F">
        <w:rPr>
          <w:i/>
        </w:rPr>
        <w:tab/>
        <w:t xml:space="preserve">Estimation procedure, </w:t>
      </w:r>
    </w:p>
    <w:p w:rsidR="005035BC" w:rsidRPr="00CC721F" w:rsidRDefault="005035BC" w:rsidP="005035BC">
      <w:pPr>
        <w:tabs>
          <w:tab w:val="left" w:pos="720"/>
          <w:tab w:val="left" w:pos="1080"/>
        </w:tabs>
        <w:autoSpaceDE w:val="0"/>
        <w:autoSpaceDN w:val="0"/>
        <w:adjustRightInd w:val="0"/>
        <w:ind w:left="1080" w:hanging="1080"/>
        <w:jc w:val="both"/>
        <w:rPr>
          <w:i/>
        </w:rPr>
      </w:pPr>
      <w:r w:rsidRPr="00CC721F">
        <w:rPr>
          <w:i/>
        </w:rPr>
        <w:tab/>
        <w:t>*</w:t>
      </w:r>
      <w:r w:rsidRPr="00CC721F">
        <w:rPr>
          <w:i/>
        </w:rPr>
        <w:tab/>
        <w:t>Degree of accuracy needed for the purpose described in the justification,</w:t>
      </w:r>
    </w:p>
    <w:p w:rsidR="005035BC" w:rsidRPr="00CC721F" w:rsidRDefault="005035BC" w:rsidP="005035BC">
      <w:pPr>
        <w:tabs>
          <w:tab w:val="left" w:pos="720"/>
          <w:tab w:val="left" w:pos="1080"/>
        </w:tabs>
        <w:autoSpaceDE w:val="0"/>
        <w:autoSpaceDN w:val="0"/>
        <w:adjustRightInd w:val="0"/>
        <w:ind w:left="1080" w:hanging="1080"/>
        <w:jc w:val="both"/>
        <w:rPr>
          <w:i/>
        </w:rPr>
      </w:pPr>
      <w:r w:rsidRPr="00CC721F">
        <w:rPr>
          <w:i/>
        </w:rPr>
        <w:tab/>
        <w:t>*</w:t>
      </w:r>
      <w:r w:rsidRPr="00CC721F">
        <w:rPr>
          <w:i/>
        </w:rPr>
        <w:tab/>
        <w:t>Unusual problems requiring specialized sampling procedures, and</w:t>
      </w:r>
    </w:p>
    <w:p w:rsidR="005035BC" w:rsidRPr="00CC721F" w:rsidRDefault="005035BC" w:rsidP="005035BC">
      <w:pPr>
        <w:tabs>
          <w:tab w:val="left" w:pos="720"/>
          <w:tab w:val="left" w:pos="1080"/>
        </w:tabs>
        <w:autoSpaceDE w:val="0"/>
        <w:autoSpaceDN w:val="0"/>
        <w:adjustRightInd w:val="0"/>
        <w:ind w:left="1080" w:hanging="1080"/>
        <w:jc w:val="both"/>
      </w:pPr>
      <w:r w:rsidRPr="00CC721F">
        <w:rPr>
          <w:i/>
        </w:rPr>
        <w:tab/>
        <w:t>*</w:t>
      </w:r>
      <w:r w:rsidRPr="00CC721F">
        <w:rPr>
          <w:i/>
        </w:rPr>
        <w:tab/>
        <w:t>Any use of periodic (less frequent than annual) data collection cycles to reduce burden.</w:t>
      </w:r>
    </w:p>
    <w:p w:rsidR="005035BC" w:rsidRPr="00CC721F" w:rsidRDefault="005035BC" w:rsidP="005035BC">
      <w:pPr>
        <w:autoSpaceDE w:val="0"/>
        <w:autoSpaceDN w:val="0"/>
        <w:adjustRightInd w:val="0"/>
        <w:ind w:left="720"/>
        <w:jc w:val="both"/>
      </w:pPr>
    </w:p>
    <w:p w:rsidR="005035BC" w:rsidRDefault="005035BC" w:rsidP="005035BC">
      <w:pPr>
        <w:jc w:val="both"/>
      </w:pPr>
      <w:r>
        <w:t>To estimate the sample size needed for this study, the research team conducted a model-based power analysis based on a two-level linear model. The research team assumed</w:t>
      </w:r>
      <w:r w:rsidRPr="00C30881">
        <w:t xml:space="preserve"> a fixed effect two-level model where projects at </w:t>
      </w:r>
      <w:r>
        <w:t>L</w:t>
      </w:r>
      <w:r w:rsidRPr="00C30881">
        <w:t xml:space="preserve">evel 1 are modeled with the treatment effect and </w:t>
      </w:r>
      <w:r>
        <w:t>a vector of</w:t>
      </w:r>
      <w:r w:rsidRPr="00C30881">
        <w:t xml:space="preserve"> covariates. The matched programs will be the </w:t>
      </w:r>
      <w:r>
        <w:t>L</w:t>
      </w:r>
      <w:r w:rsidRPr="00C30881">
        <w:t>evel</w:t>
      </w:r>
      <w:r>
        <w:t xml:space="preserve"> </w:t>
      </w:r>
      <w:r w:rsidRPr="00C30881">
        <w:t>2 unit of analysis with up to three program grouping dummy covariates.</w:t>
      </w:r>
      <w:r>
        <w:t xml:space="preserve"> </w:t>
      </w:r>
    </w:p>
    <w:p w:rsidR="005035BC" w:rsidRDefault="005035BC" w:rsidP="005035BC">
      <w:pPr>
        <w:jc w:val="both"/>
      </w:pPr>
    </w:p>
    <w:p w:rsidR="005035BC" w:rsidRPr="00CE685F" w:rsidRDefault="005035BC" w:rsidP="005035BC">
      <w:pPr>
        <w:jc w:val="both"/>
        <w:rPr>
          <w:rFonts w:eastAsiaTheme="minorEastAsia"/>
        </w:rPr>
      </w:pPr>
      <w:r>
        <w:t xml:space="preserve">Level 1 (project level):                                     </w:t>
      </w:r>
    </w:p>
    <w:p w:rsidR="005035BC" w:rsidRPr="00CE685F" w:rsidRDefault="005035BC" w:rsidP="005035BC">
      <w:pPr>
        <w:jc w:val="both"/>
        <w:rPr>
          <w:color w:val="000000"/>
        </w:rPr>
      </w:pPr>
      <w:r>
        <w:rPr>
          <w:rFonts w:eastAsiaTheme="minorEastAsia"/>
        </w:rPr>
        <w:t xml:space="preserve">                  </w:t>
      </w:r>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0j</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1j</m:t>
            </m:r>
          </m:sub>
        </m:sSub>
        <m:d>
          <m:dPr>
            <m:ctrlPr>
              <w:rPr>
                <w:rFonts w:ascii="Cambria Math" w:hAnsi="Cambria Math"/>
                <w:i/>
              </w:rPr>
            </m:ctrlPr>
          </m:dPr>
          <m:e>
            <m:r>
              <w:rPr>
                <w:rFonts w:ascii="Cambria Math" w:hAnsi="Cambria Math"/>
              </w:rPr>
              <m:t>SEES</m:t>
            </m:r>
          </m:e>
        </m:d>
        <m:r>
          <w:rPr>
            <w:rFonts w:ascii="Cambria Math" w:hAnsi="Cambria Math"/>
          </w:rPr>
          <m:t>+</m:t>
        </m:r>
        <m:nary>
          <m:naryPr>
            <m:chr m:val="∑"/>
            <m:limLoc m:val="undOvr"/>
            <m:ctrlPr>
              <w:rPr>
                <w:rFonts w:ascii="Cambria Math" w:hAnsi="Cambria Math"/>
                <w:i/>
              </w:rPr>
            </m:ctrlPr>
          </m:naryPr>
          <m:sub>
            <m:r>
              <w:rPr>
                <w:rFonts w:ascii="Cambria Math" w:hAnsi="Cambria Math"/>
              </w:rPr>
              <m:t>2</m:t>
            </m:r>
          </m:sub>
          <m:sup>
            <m:r>
              <w:rPr>
                <w:rFonts w:ascii="Cambria Math" w:hAnsi="Cambria Math"/>
              </w:rPr>
              <m:t>p</m:t>
            </m:r>
          </m:sup>
          <m:e>
            <m:sSub>
              <m:sSubPr>
                <m:ctrlPr>
                  <w:rPr>
                    <w:rFonts w:ascii="Cambria Math" w:hAnsi="Cambria Math"/>
                    <w:i/>
                  </w:rPr>
                </m:ctrlPr>
              </m:sSubPr>
              <m:e>
                <m:r>
                  <w:rPr>
                    <w:rFonts w:ascii="Cambria Math" w:hAnsi="Cambria Math"/>
                  </w:rPr>
                  <m:t>β</m:t>
                </m:r>
              </m:e>
              <m:sub>
                <m:r>
                  <w:rPr>
                    <w:rFonts w:ascii="Cambria Math" w:hAnsi="Cambria Math"/>
                  </w:rPr>
                  <m:t>pj</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ij</m:t>
                </m:r>
              </m:sub>
            </m:sSub>
          </m:e>
        </m:nary>
      </m:oMath>
    </w:p>
    <w:p w:rsidR="005035BC" w:rsidRDefault="005035BC" w:rsidP="005035BC">
      <w:pPr>
        <w:jc w:val="both"/>
        <w:rPr>
          <w:noProof/>
          <w:color w:val="000000"/>
        </w:rPr>
      </w:pPr>
      <w:r>
        <w:t xml:space="preserve">Level 2 (program level):  </w:t>
      </w:r>
      <w:r>
        <w:rPr>
          <w:noProof/>
          <w:color w:val="000000"/>
        </w:rPr>
        <w:t xml:space="preserve"> </w:t>
      </w:r>
    </w:p>
    <w:p w:rsidR="005035BC" w:rsidRPr="00CE685F" w:rsidRDefault="005035BC" w:rsidP="005035BC">
      <w:pPr>
        <w:jc w:val="both"/>
        <w:rPr>
          <w:noProof/>
          <w:color w:val="000000"/>
        </w:rPr>
      </w:pPr>
      <m:oMathPara>
        <m:oMathParaPr>
          <m:jc m:val="left"/>
        </m:oMathParaPr>
        <m:oMath>
          <m:sSub>
            <m:sSubPr>
              <m:ctrlPr>
                <w:rPr>
                  <w:rFonts w:ascii="Cambria Math" w:hAnsi="Cambria Math"/>
                  <w:i/>
                  <w:noProof/>
                  <w:color w:val="000000"/>
                </w:rPr>
              </m:ctrlPr>
            </m:sSubPr>
            <m:e>
              <m:r>
                <m:rPr>
                  <m:sty m:val="p"/>
                </m:rPr>
                <w:rPr>
                  <w:rFonts w:ascii="Cambria Math" w:eastAsiaTheme="minorEastAsia" w:hAnsi="Cambria Math"/>
                </w:rPr>
                <m:t xml:space="preserve">                  </m:t>
              </m:r>
              <m:r>
                <w:rPr>
                  <w:rFonts w:ascii="Cambria Math" w:hAnsi="Cambria Math"/>
                  <w:noProof/>
                  <w:color w:val="000000"/>
                </w:rPr>
                <m:t>β</m:t>
              </m:r>
            </m:e>
            <m:sub>
              <m:r>
                <w:rPr>
                  <w:rFonts w:ascii="Cambria Math" w:hAnsi="Cambria Math"/>
                  <w:noProof/>
                  <w:color w:val="000000"/>
                </w:rPr>
                <m:t>0j</m:t>
              </m:r>
            </m:sub>
          </m:sSub>
          <m:r>
            <w:rPr>
              <w:rFonts w:ascii="Cambria Math" w:hAnsi="Cambria Math"/>
              <w:noProof/>
              <w:color w:val="000000"/>
            </w:rPr>
            <m:t>=</m:t>
          </m:r>
          <m:sSub>
            <m:sSubPr>
              <m:ctrlPr>
                <w:rPr>
                  <w:rFonts w:ascii="Cambria Math" w:hAnsi="Cambria Math"/>
                  <w:i/>
                  <w:noProof/>
                  <w:color w:val="000000"/>
                </w:rPr>
              </m:ctrlPr>
            </m:sSubPr>
            <m:e>
              <m:r>
                <w:rPr>
                  <w:rFonts w:ascii="Cambria Math" w:hAnsi="Cambria Math"/>
                  <w:noProof/>
                  <w:color w:val="000000"/>
                </w:rPr>
                <m:t>γ</m:t>
              </m:r>
            </m:e>
            <m:sub>
              <m:r>
                <w:rPr>
                  <w:rFonts w:ascii="Cambria Math" w:hAnsi="Cambria Math"/>
                  <w:noProof/>
                  <w:color w:val="000000"/>
                </w:rPr>
                <m:t>00</m:t>
              </m:r>
            </m:sub>
          </m:sSub>
        </m:oMath>
      </m:oMathPara>
    </w:p>
    <w:p w:rsidR="005035BC" w:rsidRPr="00CE685F" w:rsidRDefault="005035BC" w:rsidP="005035BC">
      <w:pPr>
        <w:jc w:val="both"/>
        <w:rPr>
          <w:noProof/>
          <w:color w:val="000000"/>
        </w:rPr>
      </w:pPr>
      <m:oMathPara>
        <m:oMathParaPr>
          <m:jc m:val="left"/>
        </m:oMathParaPr>
        <m:oMath>
          <m:sSub>
            <m:sSubPr>
              <m:ctrlPr>
                <w:rPr>
                  <w:rFonts w:ascii="Cambria Math" w:hAnsi="Cambria Math"/>
                  <w:i/>
                  <w:noProof/>
                  <w:color w:val="000000"/>
                </w:rPr>
              </m:ctrlPr>
            </m:sSubPr>
            <m:e>
              <m:r>
                <m:rPr>
                  <m:sty m:val="p"/>
                </m:rPr>
                <w:rPr>
                  <w:rFonts w:ascii="Cambria Math" w:eastAsiaTheme="minorEastAsia" w:hAnsi="Cambria Math"/>
                </w:rPr>
                <m:t xml:space="preserve">                  </m:t>
              </m:r>
              <m:r>
                <w:rPr>
                  <w:rFonts w:ascii="Cambria Math" w:hAnsi="Cambria Math"/>
                  <w:noProof/>
                  <w:color w:val="000000"/>
                </w:rPr>
                <m:t>β</m:t>
              </m:r>
            </m:e>
            <m:sub>
              <m:r>
                <w:rPr>
                  <w:rFonts w:ascii="Cambria Math" w:hAnsi="Cambria Math"/>
                  <w:noProof/>
                  <w:color w:val="000000"/>
                </w:rPr>
                <m:t>1j</m:t>
              </m:r>
            </m:sub>
          </m:sSub>
          <m:r>
            <w:rPr>
              <w:rFonts w:ascii="Cambria Math" w:hAnsi="Cambria Math"/>
              <w:noProof/>
              <w:color w:val="000000"/>
            </w:rPr>
            <m:t>=</m:t>
          </m:r>
          <m:sSub>
            <m:sSubPr>
              <m:ctrlPr>
                <w:rPr>
                  <w:rFonts w:ascii="Cambria Math" w:hAnsi="Cambria Math"/>
                  <w:i/>
                  <w:noProof/>
                  <w:color w:val="000000"/>
                </w:rPr>
              </m:ctrlPr>
            </m:sSubPr>
            <m:e>
              <m:r>
                <w:rPr>
                  <w:rFonts w:ascii="Cambria Math" w:hAnsi="Cambria Math"/>
                  <w:noProof/>
                  <w:color w:val="000000"/>
                </w:rPr>
                <m:t>γ</m:t>
              </m:r>
            </m:e>
            <m:sub>
              <m:r>
                <w:rPr>
                  <w:rFonts w:ascii="Cambria Math" w:hAnsi="Cambria Math"/>
                  <w:noProof/>
                  <w:color w:val="000000"/>
                </w:rPr>
                <m:t>10</m:t>
              </m:r>
            </m:sub>
          </m:sSub>
          <m:r>
            <w:rPr>
              <w:rFonts w:ascii="Cambria Math" w:hAnsi="Cambria Math"/>
              <w:noProof/>
              <w:color w:val="000000"/>
            </w:rPr>
            <m:t>+</m:t>
          </m:r>
          <m:nary>
            <m:naryPr>
              <m:chr m:val="∑"/>
              <m:limLoc m:val="subSup"/>
              <m:ctrlPr>
                <w:rPr>
                  <w:rFonts w:ascii="Cambria Math" w:hAnsi="Cambria Math"/>
                  <w:i/>
                  <w:noProof/>
                  <w:color w:val="000000"/>
                </w:rPr>
              </m:ctrlPr>
            </m:naryPr>
            <m:sub>
              <m:r>
                <w:rPr>
                  <w:rFonts w:ascii="Cambria Math" w:hAnsi="Cambria Math"/>
                  <w:noProof/>
                  <w:color w:val="000000"/>
                </w:rPr>
                <m:t>1</m:t>
              </m:r>
            </m:sub>
            <m:sup>
              <m:r>
                <w:rPr>
                  <w:rFonts w:ascii="Cambria Math" w:hAnsi="Cambria Math"/>
                  <w:noProof/>
                  <w:color w:val="000000"/>
                </w:rPr>
                <m:t>q</m:t>
              </m:r>
            </m:sup>
            <m:e>
              <m:sSub>
                <m:sSubPr>
                  <m:ctrlPr>
                    <w:rPr>
                      <w:rFonts w:ascii="Cambria Math" w:hAnsi="Cambria Math"/>
                      <w:i/>
                      <w:noProof/>
                      <w:color w:val="000000"/>
                    </w:rPr>
                  </m:ctrlPr>
                </m:sSubPr>
                <m:e>
                  <m:r>
                    <w:rPr>
                      <w:rFonts w:ascii="Cambria Math" w:hAnsi="Cambria Math"/>
                      <w:noProof/>
                      <w:color w:val="000000"/>
                    </w:rPr>
                    <m:t>γ</m:t>
                  </m:r>
                </m:e>
                <m:sub>
                  <m:r>
                    <w:rPr>
                      <w:rFonts w:ascii="Cambria Math" w:hAnsi="Cambria Math"/>
                      <w:noProof/>
                      <w:color w:val="000000"/>
                    </w:rPr>
                    <m:t>1q</m:t>
                  </m:r>
                </m:sub>
              </m:sSub>
              <m:sSub>
                <m:sSubPr>
                  <m:ctrlPr>
                    <w:rPr>
                      <w:rFonts w:ascii="Cambria Math" w:hAnsi="Cambria Math"/>
                      <w:i/>
                      <w:noProof/>
                      <w:color w:val="000000"/>
                    </w:rPr>
                  </m:ctrlPr>
                </m:sSubPr>
                <m:e>
                  <m:r>
                    <w:rPr>
                      <w:rFonts w:ascii="Cambria Math" w:hAnsi="Cambria Math"/>
                      <w:noProof/>
                      <w:color w:val="000000"/>
                    </w:rPr>
                    <m:t>w</m:t>
                  </m:r>
                </m:e>
                <m:sub>
                  <m:r>
                    <w:rPr>
                      <w:rFonts w:ascii="Cambria Math" w:hAnsi="Cambria Math"/>
                      <w:noProof/>
                      <w:color w:val="000000"/>
                    </w:rPr>
                    <m:t>1q</m:t>
                  </m:r>
                </m:sub>
              </m:sSub>
            </m:e>
          </m:nary>
          <m:r>
            <w:rPr>
              <w:rFonts w:ascii="Cambria Math" w:hAnsi="Cambria Math"/>
              <w:noProof/>
              <w:color w:val="000000"/>
            </w:rPr>
            <m:t>+</m:t>
          </m:r>
          <m:sSub>
            <m:sSubPr>
              <m:ctrlPr>
                <w:rPr>
                  <w:rFonts w:ascii="Cambria Math" w:hAnsi="Cambria Math"/>
                  <w:i/>
                  <w:noProof/>
                  <w:color w:val="000000"/>
                </w:rPr>
              </m:ctrlPr>
            </m:sSubPr>
            <m:e>
              <m:r>
                <w:rPr>
                  <w:rFonts w:ascii="Cambria Math" w:hAnsi="Cambria Math"/>
                  <w:noProof/>
                  <w:color w:val="000000"/>
                </w:rPr>
                <m:t>u</m:t>
              </m:r>
            </m:e>
            <m:sub>
              <m:r>
                <w:rPr>
                  <w:rFonts w:ascii="Cambria Math" w:hAnsi="Cambria Math"/>
                  <w:noProof/>
                  <w:color w:val="000000"/>
                </w:rPr>
                <m:t>0j</m:t>
              </m:r>
            </m:sub>
          </m:sSub>
        </m:oMath>
      </m:oMathPara>
    </w:p>
    <w:p w:rsidR="005035BC" w:rsidRPr="00CE685F" w:rsidRDefault="005035BC" w:rsidP="005035BC">
      <w:pPr>
        <w:jc w:val="both"/>
        <w:rPr>
          <w:noProof/>
          <w:color w:val="000000"/>
        </w:rPr>
      </w:pPr>
      <m:oMathPara>
        <m:oMathParaPr>
          <m:jc m:val="left"/>
        </m:oMathParaPr>
        <m:oMath>
          <m:sSub>
            <m:sSubPr>
              <m:ctrlPr>
                <w:rPr>
                  <w:rFonts w:ascii="Cambria Math" w:hAnsi="Cambria Math"/>
                  <w:i/>
                  <w:noProof/>
                  <w:color w:val="000000"/>
                </w:rPr>
              </m:ctrlPr>
            </m:sSubPr>
            <m:e>
              <m:r>
                <m:rPr>
                  <m:sty m:val="p"/>
                </m:rPr>
                <w:rPr>
                  <w:rFonts w:ascii="Cambria Math" w:eastAsiaTheme="minorEastAsia" w:hAnsi="Cambria Math"/>
                </w:rPr>
                <m:t xml:space="preserve">                  </m:t>
              </m:r>
              <m:r>
                <w:rPr>
                  <w:rFonts w:ascii="Cambria Math" w:hAnsi="Cambria Math"/>
                  <w:noProof/>
                  <w:color w:val="000000"/>
                </w:rPr>
                <m:t>β</m:t>
              </m:r>
            </m:e>
            <m:sub>
              <m:r>
                <w:rPr>
                  <w:rFonts w:ascii="Cambria Math" w:hAnsi="Cambria Math"/>
                  <w:noProof/>
                  <w:color w:val="000000"/>
                </w:rPr>
                <m:t>pj</m:t>
              </m:r>
            </m:sub>
          </m:sSub>
          <m:r>
            <w:rPr>
              <w:rFonts w:ascii="Cambria Math" w:hAnsi="Cambria Math"/>
              <w:noProof/>
              <w:color w:val="000000"/>
            </w:rPr>
            <m:t>=</m:t>
          </m:r>
          <m:sSub>
            <m:sSubPr>
              <m:ctrlPr>
                <w:rPr>
                  <w:rFonts w:ascii="Cambria Math" w:hAnsi="Cambria Math"/>
                  <w:i/>
                  <w:noProof/>
                  <w:color w:val="000000"/>
                </w:rPr>
              </m:ctrlPr>
            </m:sSubPr>
            <m:e>
              <m:r>
                <w:rPr>
                  <w:rFonts w:ascii="Cambria Math" w:hAnsi="Cambria Math"/>
                  <w:noProof/>
                  <w:color w:val="000000"/>
                </w:rPr>
                <m:t>γ</m:t>
              </m:r>
            </m:e>
            <m:sub>
              <m:r>
                <w:rPr>
                  <w:rFonts w:ascii="Cambria Math" w:hAnsi="Cambria Math"/>
                  <w:noProof/>
                  <w:color w:val="000000"/>
                </w:rPr>
                <m:t>p0</m:t>
              </m:r>
            </m:sub>
          </m:sSub>
        </m:oMath>
      </m:oMathPara>
    </w:p>
    <w:p w:rsidR="005035BC" w:rsidRDefault="005035BC" w:rsidP="005035BC">
      <w:pPr>
        <w:jc w:val="both"/>
      </w:pPr>
    </w:p>
    <w:p w:rsidR="005035BC" w:rsidRDefault="005035BC" w:rsidP="005035BC">
      <w:pPr>
        <w:jc w:val="both"/>
        <w:rPr>
          <w:rFonts w:eastAsiaTheme="minorEastAsia"/>
        </w:rPr>
      </w:pPr>
      <w:r>
        <w:t xml:space="preserve">where, in the Level 1 model, </w:t>
      </w:r>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 xml:space="preserve"> </m:t>
        </m:r>
      </m:oMath>
      <w:r>
        <w:rPr>
          <w:rFonts w:eastAsiaTheme="minorEastAsia"/>
        </w:rPr>
        <w:t xml:space="preserve">is the outcome measure of the </w:t>
      </w:r>
      <w:proofErr w:type="spellStart"/>
      <w:r w:rsidRPr="00CE685F">
        <w:rPr>
          <w:rFonts w:eastAsiaTheme="minorEastAsia"/>
          <w:i/>
        </w:rPr>
        <w:t>i</w:t>
      </w:r>
      <w:r w:rsidRPr="00A0586A">
        <w:rPr>
          <w:rFonts w:eastAsiaTheme="minorEastAsia"/>
          <w:vertAlign w:val="superscript"/>
        </w:rPr>
        <w:t>th</w:t>
      </w:r>
      <w:proofErr w:type="spellEnd"/>
      <w:r>
        <w:rPr>
          <w:rFonts w:eastAsiaTheme="minorEastAsia"/>
        </w:rPr>
        <w:t xml:space="preserve"> project in the </w:t>
      </w:r>
      <w:proofErr w:type="spellStart"/>
      <w:r w:rsidRPr="00CE685F">
        <w:rPr>
          <w:rFonts w:eastAsiaTheme="minorEastAsia"/>
          <w:i/>
        </w:rPr>
        <w:t>j</w:t>
      </w:r>
      <w:r w:rsidRPr="00A0586A">
        <w:rPr>
          <w:rFonts w:eastAsiaTheme="minorEastAsia"/>
          <w:vertAlign w:val="superscript"/>
        </w:rPr>
        <w:t>th</w:t>
      </w:r>
      <w:proofErr w:type="spellEnd"/>
      <w:r>
        <w:rPr>
          <w:rFonts w:eastAsiaTheme="minorEastAsia"/>
        </w:rPr>
        <w:t xml:space="preserve"> program,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oj</m:t>
            </m:r>
          </m:sub>
        </m:sSub>
        <m:r>
          <w:rPr>
            <w:rFonts w:ascii="Cambria Math" w:eastAsiaTheme="minorEastAsia" w:hAnsi="Cambria Math"/>
          </w:rPr>
          <m:t xml:space="preserve"> </m:t>
        </m:r>
      </m:oMath>
      <w:r>
        <w:rPr>
          <w:rFonts w:eastAsiaTheme="minorEastAsia"/>
        </w:rPr>
        <w:t xml:space="preserve">is the conditional project-specific intercept,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1j</m:t>
            </m:r>
          </m:sub>
        </m:sSub>
      </m:oMath>
      <w:r>
        <w:rPr>
          <w:rFonts w:eastAsiaTheme="minorEastAsia"/>
        </w:rPr>
        <w:t xml:space="preserve"> is the effect of SEES, and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pj</m:t>
            </m:r>
          </m:sub>
        </m:sSub>
      </m:oMath>
      <w:r>
        <w:rPr>
          <w:rFonts w:eastAsiaTheme="minorEastAsia"/>
        </w:rPr>
        <w:t xml:space="preserve"> is the effects of the </w:t>
      </w:r>
      <w:proofErr w:type="spellStart"/>
      <w:r w:rsidRPr="00462CAD">
        <w:rPr>
          <w:rFonts w:eastAsiaTheme="minorEastAsia"/>
          <w:i/>
        </w:rPr>
        <w:t>p</w:t>
      </w:r>
      <w:r w:rsidRPr="00A0586A">
        <w:rPr>
          <w:rFonts w:eastAsiaTheme="minorEastAsia"/>
          <w:vertAlign w:val="superscript"/>
        </w:rPr>
        <w:t>th</w:t>
      </w:r>
      <w:proofErr w:type="spellEnd"/>
      <w:r>
        <w:rPr>
          <w:rFonts w:eastAsiaTheme="minorEastAsia"/>
        </w:rPr>
        <w:t xml:space="preserve"> project-level predictor on the outcome. The Level 2 model specifies the SEES program effects as a function of program-level covariates</w:t>
      </w:r>
      <w:proofErr w:type="gramStart"/>
      <w:r>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1q</m:t>
            </m:r>
          </m:sub>
        </m:sSub>
      </m:oMath>
      <w:r>
        <w:rPr>
          <w:rFonts w:eastAsiaTheme="minorEastAsia"/>
        </w:rPr>
        <w:t>.</w:t>
      </w:r>
    </w:p>
    <w:p w:rsidR="005035BC" w:rsidRDefault="005035BC" w:rsidP="005035BC">
      <w:pPr>
        <w:autoSpaceDE w:val="0"/>
        <w:autoSpaceDN w:val="0"/>
        <w:adjustRightInd w:val="0"/>
        <w:jc w:val="both"/>
      </w:pPr>
    </w:p>
    <w:p w:rsidR="005035BC" w:rsidRDefault="005035BC" w:rsidP="005035BC">
      <w:pPr>
        <w:autoSpaceDE w:val="0"/>
        <w:autoSpaceDN w:val="0"/>
        <w:adjustRightInd w:val="0"/>
        <w:jc w:val="both"/>
      </w:pPr>
      <w:r>
        <w:lastRenderedPageBreak/>
        <w:t>The power analysis based on the two-level linear model shows that, given an average of 20 projects per program and 18 programs, we will</w:t>
      </w:r>
      <w:r w:rsidRPr="00C30881">
        <w:t xml:space="preserve"> detect effect sizes of 0.2</w:t>
      </w:r>
      <w:r>
        <w:t>5</w:t>
      </w:r>
      <w:r w:rsidRPr="00C30881">
        <w:t xml:space="preserve"> with 80% confidence</w:t>
      </w:r>
      <w:r>
        <w:t>, assuming 40% projects are SEES and project-level covariates explain 30% of variance in project outcomes.</w:t>
      </w:r>
    </w:p>
    <w:p w:rsidR="005035BC" w:rsidRPr="00CC721F" w:rsidRDefault="005035BC" w:rsidP="005035BC">
      <w:pPr>
        <w:autoSpaceDE w:val="0"/>
        <w:autoSpaceDN w:val="0"/>
        <w:adjustRightInd w:val="0"/>
        <w:ind w:left="720"/>
        <w:jc w:val="both"/>
      </w:pPr>
    </w:p>
    <w:p w:rsidR="005035BC" w:rsidRPr="00CC721F" w:rsidRDefault="005035BC" w:rsidP="005035BC">
      <w:pPr>
        <w:tabs>
          <w:tab w:val="right" w:pos="360"/>
          <w:tab w:val="left" w:pos="720"/>
        </w:tabs>
        <w:autoSpaceDE w:val="0"/>
        <w:autoSpaceDN w:val="0"/>
        <w:adjustRightInd w:val="0"/>
        <w:ind w:left="720" w:hanging="720"/>
        <w:rPr>
          <w:i/>
        </w:rPr>
      </w:pPr>
      <w:r w:rsidRPr="00CC721F">
        <w:rPr>
          <w:i/>
        </w:rPr>
        <w:tab/>
        <w:t>3.</w:t>
      </w:r>
      <w:r w:rsidRPr="00CC721F">
        <w:rPr>
          <w:i/>
        </w:rPr>
        <w:tab/>
      </w:r>
      <w:r w:rsidRPr="00EB493E">
        <w:rPr>
          <w: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5035BC" w:rsidRDefault="005035BC" w:rsidP="005035BC">
      <w:pPr>
        <w:autoSpaceDE w:val="0"/>
        <w:autoSpaceDN w:val="0"/>
        <w:adjustRightInd w:val="0"/>
        <w:rPr>
          <w:color w:val="FF0000"/>
        </w:rPr>
      </w:pPr>
    </w:p>
    <w:p w:rsidR="005035BC" w:rsidRPr="00CC721F" w:rsidRDefault="005035BC" w:rsidP="005035BC">
      <w:pPr>
        <w:jc w:val="both"/>
      </w:pPr>
      <w:r>
        <w:t xml:space="preserve">When developing the survey instrument, the research team mapped the survey questions to specific research questions to ensure all questions will collect information needed for the study.  The survey questionnaire has been revised based on feedback from eight PIs in a pretest. To onboard PIs to respond to the survey, a pre-survey email message will be delivered to PIs of projects selected for the comparative analyses. The email message will be sent through the NSF server in order to avoid messages being blocked by the recipients’ email servers. Email from NSF also tends to encourage timely responses from PIs. The message will provide PIs with information on the evaluation project, as well as an overview of the online survey. Unique survey URLs will be created for each respondent, allowing the research team to track survey responses and provide target follow-up, as needed. After the completion of the survey, the research team may conduct follow-up interviews with PIs to clarify their responses to open-ended questions and ask additional questions to check the reliability of the responses as well as the accuracy of our interpretations of the responses. </w:t>
      </w:r>
    </w:p>
    <w:p w:rsidR="005035BC" w:rsidRPr="00CC721F" w:rsidRDefault="005035BC" w:rsidP="005035BC">
      <w:pPr>
        <w:autoSpaceDE w:val="0"/>
        <w:autoSpaceDN w:val="0"/>
        <w:adjustRightInd w:val="0"/>
        <w:ind w:left="720"/>
        <w:jc w:val="both"/>
      </w:pPr>
    </w:p>
    <w:p w:rsidR="005035BC" w:rsidRPr="00CC721F" w:rsidRDefault="005035BC" w:rsidP="005035BC">
      <w:pPr>
        <w:tabs>
          <w:tab w:val="right" w:pos="360"/>
          <w:tab w:val="left" w:pos="720"/>
        </w:tabs>
        <w:autoSpaceDE w:val="0"/>
        <w:autoSpaceDN w:val="0"/>
        <w:adjustRightInd w:val="0"/>
        <w:ind w:left="720" w:hanging="720"/>
        <w:rPr>
          <w:i/>
        </w:rPr>
      </w:pPr>
      <w:r w:rsidRPr="00CC721F">
        <w:rPr>
          <w:i/>
        </w:rPr>
        <w:tab/>
        <w:t>4.</w:t>
      </w:r>
      <w:r w:rsidRPr="00CC721F">
        <w:rPr>
          <w:i/>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5035BC" w:rsidRPr="00CC721F" w:rsidRDefault="005035BC" w:rsidP="005035BC">
      <w:pPr>
        <w:autoSpaceDE w:val="0"/>
        <w:autoSpaceDN w:val="0"/>
        <w:adjustRightInd w:val="0"/>
        <w:ind w:left="720"/>
      </w:pPr>
    </w:p>
    <w:p w:rsidR="005035BC" w:rsidRDefault="005035BC" w:rsidP="005035BC">
      <w:r w:rsidRPr="00CC721F">
        <w:t>The research team conduct</w:t>
      </w:r>
      <w:r>
        <w:t>ed</w:t>
      </w:r>
      <w:r w:rsidRPr="00CC721F">
        <w:t xml:space="preserve"> a pretest of the contact procedures and the</w:t>
      </w:r>
      <w:r>
        <w:t xml:space="preserve"> online survey with</w:t>
      </w:r>
      <w:r w:rsidRPr="00CC721F">
        <w:t xml:space="preserve"> </w:t>
      </w:r>
      <w:r>
        <w:t>eight</w:t>
      </w:r>
      <w:r w:rsidRPr="00CC721F">
        <w:t xml:space="preserve"> PIs</w:t>
      </w:r>
      <w:r>
        <w:t xml:space="preserve"> on SEES projects</w:t>
      </w:r>
      <w:r w:rsidRPr="00CC721F">
        <w:t xml:space="preserve">. The </w:t>
      </w:r>
      <w:r>
        <w:t>pre</w:t>
      </w:r>
      <w:r w:rsidRPr="00CC721F">
        <w:t xml:space="preserve">test </w:t>
      </w:r>
      <w:r>
        <w:t>allowed</w:t>
      </w:r>
      <w:r w:rsidRPr="00CC721F">
        <w:t xml:space="preserve"> us to </w:t>
      </w:r>
      <w:r>
        <w:t>better understand</w:t>
      </w:r>
      <w:r w:rsidRPr="00CC721F">
        <w:t xml:space="preserve"> the </w:t>
      </w:r>
      <w:r>
        <w:t xml:space="preserve">time </w:t>
      </w:r>
      <w:r w:rsidRPr="00CC721F">
        <w:t>it t</w:t>
      </w:r>
      <w:r>
        <w:t>ook</w:t>
      </w:r>
      <w:r w:rsidRPr="00CC721F">
        <w:t xml:space="preserve"> respondents to complete the </w:t>
      </w:r>
      <w:r>
        <w:t>survey</w:t>
      </w:r>
      <w:r w:rsidRPr="00CC721F">
        <w:t xml:space="preserve">. We </w:t>
      </w:r>
      <w:r>
        <w:t>also asked</w:t>
      </w:r>
      <w:r w:rsidRPr="00CC721F">
        <w:t xml:space="preserve"> respondents </w:t>
      </w:r>
      <w:r>
        <w:t xml:space="preserve">about </w:t>
      </w:r>
      <w:r w:rsidRPr="00CC721F">
        <w:t>their perceptions of the questions, whether any wording created confusion about specific questions, whether certain questions would not be applicable to their situation, recommendations to clarify certain terms</w:t>
      </w:r>
      <w:r>
        <w:t>,</w:t>
      </w:r>
      <w:r w:rsidRPr="00CC721F">
        <w:t xml:space="preserve"> and other valuable feedback. </w:t>
      </w:r>
      <w:r>
        <w:t>Specifically, during the pretest, we probed the following eight questions to ensure high quality of the survey instrument:</w:t>
      </w:r>
    </w:p>
    <w:p w:rsidR="005035BC" w:rsidRDefault="005035BC" w:rsidP="005035BC"/>
    <w:p w:rsidR="005035BC" w:rsidRPr="004D4612" w:rsidRDefault="005035BC" w:rsidP="005035BC">
      <w:pPr>
        <w:pStyle w:val="ListParagraph"/>
        <w:numPr>
          <w:ilvl w:val="0"/>
          <w:numId w:val="2"/>
        </w:numPr>
        <w:spacing w:after="160" w:line="259" w:lineRule="auto"/>
      </w:pPr>
      <w:r w:rsidRPr="004D4612">
        <w:t xml:space="preserve">How long does it take you to complete the survey? Is there any question unnecessary or redundant? </w:t>
      </w:r>
    </w:p>
    <w:p w:rsidR="005035BC" w:rsidRPr="004D4612" w:rsidRDefault="005035BC" w:rsidP="005035BC">
      <w:pPr>
        <w:pStyle w:val="ListParagraph"/>
        <w:numPr>
          <w:ilvl w:val="0"/>
          <w:numId w:val="2"/>
        </w:numPr>
        <w:spacing w:after="160" w:line="259" w:lineRule="auto"/>
      </w:pPr>
      <w:r w:rsidRPr="004D4612">
        <w:t xml:space="preserve">Is there any question </w:t>
      </w:r>
      <w:r>
        <w:t xml:space="preserve">that </w:t>
      </w:r>
      <w:r w:rsidRPr="004D4612">
        <w:t>causes confusion? How did you interpret these questions? How would you change the question to make it clear?</w:t>
      </w:r>
    </w:p>
    <w:p w:rsidR="005035BC" w:rsidRPr="004D4612" w:rsidRDefault="005035BC" w:rsidP="005035BC">
      <w:pPr>
        <w:pStyle w:val="ListParagraph"/>
        <w:numPr>
          <w:ilvl w:val="0"/>
          <w:numId w:val="2"/>
        </w:numPr>
        <w:spacing w:after="160" w:line="259" w:lineRule="auto"/>
      </w:pPr>
      <w:r w:rsidRPr="004D4612">
        <w:t>Is there any question hard to answer because you couldn’t recall?</w:t>
      </w:r>
    </w:p>
    <w:p w:rsidR="005035BC" w:rsidRPr="004D4612" w:rsidRDefault="005035BC" w:rsidP="005035BC">
      <w:pPr>
        <w:pStyle w:val="ListParagraph"/>
        <w:numPr>
          <w:ilvl w:val="0"/>
          <w:numId w:val="2"/>
        </w:numPr>
        <w:spacing w:after="160" w:line="259" w:lineRule="auto"/>
      </w:pPr>
      <w:r w:rsidRPr="004D4612">
        <w:t>Is there any question hard to answer because you were not sure</w:t>
      </w:r>
      <w:r>
        <w:t xml:space="preserve"> about</w:t>
      </w:r>
      <w:r w:rsidRPr="004D4612">
        <w:t xml:space="preserve"> the accuracy of the information?</w:t>
      </w:r>
    </w:p>
    <w:p w:rsidR="005035BC" w:rsidRPr="004D4612" w:rsidRDefault="005035BC" w:rsidP="005035BC">
      <w:pPr>
        <w:pStyle w:val="ListParagraph"/>
        <w:numPr>
          <w:ilvl w:val="0"/>
          <w:numId w:val="2"/>
        </w:numPr>
        <w:spacing w:after="160" w:line="259" w:lineRule="auto"/>
      </w:pPr>
      <w:r w:rsidRPr="004D4612">
        <w:t xml:space="preserve">Do you feel any questions </w:t>
      </w:r>
      <w:r>
        <w:t xml:space="preserve">are </w:t>
      </w:r>
      <w:r w:rsidRPr="004D4612">
        <w:t>out of order? Or, do you have any suggestions on the sequence of the questions?</w:t>
      </w:r>
    </w:p>
    <w:p w:rsidR="005035BC" w:rsidRPr="004D4612" w:rsidRDefault="005035BC" w:rsidP="005035BC">
      <w:pPr>
        <w:pStyle w:val="ListParagraph"/>
        <w:numPr>
          <w:ilvl w:val="0"/>
          <w:numId w:val="2"/>
        </w:numPr>
        <w:spacing w:after="160" w:line="259" w:lineRule="auto"/>
      </w:pPr>
      <w:r w:rsidRPr="004D4612">
        <w:lastRenderedPageBreak/>
        <w:t>Is there any question you think may lead to biased responses?</w:t>
      </w:r>
    </w:p>
    <w:p w:rsidR="005035BC" w:rsidRPr="004D4612" w:rsidRDefault="005035BC" w:rsidP="005035BC">
      <w:pPr>
        <w:pStyle w:val="ListParagraph"/>
        <w:numPr>
          <w:ilvl w:val="0"/>
          <w:numId w:val="2"/>
        </w:numPr>
        <w:spacing w:after="160" w:line="259" w:lineRule="auto"/>
      </w:pPr>
      <w:r w:rsidRPr="004D4612">
        <w:t>Have we overlooked any important questions?</w:t>
      </w:r>
    </w:p>
    <w:p w:rsidR="005035BC" w:rsidRDefault="005035BC" w:rsidP="005035BC">
      <w:pPr>
        <w:pStyle w:val="ListParagraph"/>
        <w:numPr>
          <w:ilvl w:val="0"/>
          <w:numId w:val="2"/>
        </w:numPr>
        <w:spacing w:after="160" w:line="259" w:lineRule="auto"/>
      </w:pPr>
      <w:r w:rsidRPr="004D4612">
        <w:t>Are there other revisions you’d like to suggest?</w:t>
      </w:r>
    </w:p>
    <w:p w:rsidR="005035BC" w:rsidRPr="00CC721F" w:rsidRDefault="005035BC" w:rsidP="005035BC">
      <w:pPr>
        <w:autoSpaceDE w:val="0"/>
        <w:autoSpaceDN w:val="0"/>
        <w:adjustRightInd w:val="0"/>
      </w:pPr>
    </w:p>
    <w:p w:rsidR="005035BC" w:rsidRPr="00CC721F" w:rsidRDefault="005035BC" w:rsidP="005035BC">
      <w:pPr>
        <w:autoSpaceDE w:val="0"/>
        <w:autoSpaceDN w:val="0"/>
        <w:adjustRightInd w:val="0"/>
      </w:pPr>
      <w:r w:rsidRPr="00CC721F">
        <w:t xml:space="preserve">With the input received from the pilot surveys, the </w:t>
      </w:r>
      <w:r>
        <w:t>instrument</w:t>
      </w:r>
      <w:r w:rsidRPr="00CC721F">
        <w:t xml:space="preserve"> </w:t>
      </w:r>
      <w:r>
        <w:t>was</w:t>
      </w:r>
      <w:r w:rsidRPr="00CC721F">
        <w:t xml:space="preserve"> revised to </w:t>
      </w:r>
      <w:r>
        <w:t>better capture data needed for the comparative analyses</w:t>
      </w:r>
      <w:r w:rsidRPr="00CC721F">
        <w:t xml:space="preserve">.  </w:t>
      </w:r>
    </w:p>
    <w:p w:rsidR="005035BC" w:rsidRPr="00CC721F" w:rsidRDefault="005035BC" w:rsidP="005035BC">
      <w:pPr>
        <w:autoSpaceDE w:val="0"/>
        <w:autoSpaceDN w:val="0"/>
        <w:adjustRightInd w:val="0"/>
      </w:pPr>
    </w:p>
    <w:p w:rsidR="005035BC" w:rsidRPr="00CC721F" w:rsidRDefault="005035BC" w:rsidP="005035BC">
      <w:pPr>
        <w:tabs>
          <w:tab w:val="right" w:pos="360"/>
          <w:tab w:val="left" w:pos="720"/>
        </w:tabs>
        <w:ind w:left="720" w:hanging="720"/>
        <w:rPr>
          <w:i/>
        </w:rPr>
      </w:pPr>
      <w:r w:rsidRPr="00CC721F">
        <w:rPr>
          <w:i/>
        </w:rPr>
        <w:tab/>
        <w:t>5.</w:t>
      </w:r>
      <w:r w:rsidRPr="00CC721F">
        <w:rPr>
          <w:i/>
        </w:rPr>
        <w:tab/>
        <w:t>Provide the name and telephone number of individuals consulted on statistical aspects of the design and the name of the agency unit, contractor(s), grantee(s), or other person(s) who will actually collect and/or analyze the information for the agency.</w:t>
      </w:r>
    </w:p>
    <w:p w:rsidR="005035BC" w:rsidRPr="00CC721F" w:rsidRDefault="005035BC" w:rsidP="005035BC">
      <w:pPr>
        <w:shd w:val="clear" w:color="auto" w:fill="FFFFFF"/>
      </w:pPr>
    </w:p>
    <w:p w:rsidR="005035BC" w:rsidRPr="00CC721F" w:rsidRDefault="005035BC" w:rsidP="005035BC">
      <w:pPr>
        <w:shd w:val="clear" w:color="auto" w:fill="FFFFFF"/>
        <w:contextualSpacing/>
        <w:jc w:val="both"/>
      </w:pPr>
      <w:r w:rsidRPr="00CC721F">
        <w:t>The National Science Foundation has contracted with the Manhattan Strategy Group (MSG) to conduct the Evaluation of the SEES Portfolio of Programs. MSG will be responsible for all data collection and analysis. The network analysis portion of the study will be conducted by a subcontractor, the National Opinion Research Center (NORC) at the University of Chicago.</w:t>
      </w:r>
    </w:p>
    <w:p w:rsidR="005035BC" w:rsidRPr="00CC721F" w:rsidRDefault="005035BC" w:rsidP="005035BC">
      <w:pPr>
        <w:ind w:left="720"/>
      </w:pPr>
    </w:p>
    <w:p w:rsidR="005035BC" w:rsidRDefault="005035BC" w:rsidP="005035BC">
      <w:r w:rsidRPr="00CC721F">
        <w:t>Dan Geller, Ph</w:t>
      </w:r>
      <w:r>
        <w:t>.</w:t>
      </w:r>
      <w:r w:rsidRPr="00CC721F">
        <w:t>D</w:t>
      </w:r>
      <w:r>
        <w:t>.</w:t>
      </w:r>
      <w:r w:rsidRPr="00CC721F">
        <w:t>, Director of Evaluation Services</w:t>
      </w:r>
      <w:r>
        <w:t xml:space="preserve">, </w:t>
      </w:r>
      <w:r w:rsidRPr="00CC721F">
        <w:t xml:space="preserve">Manhattan Strategy Group </w:t>
      </w:r>
    </w:p>
    <w:p w:rsidR="005035BC" w:rsidRDefault="005035BC" w:rsidP="005035BC">
      <w:r>
        <w:t xml:space="preserve">Email: </w:t>
      </w:r>
      <w:hyperlink r:id="rId5" w:history="1">
        <w:r w:rsidRPr="00CC721F">
          <w:rPr>
            <w:rStyle w:val="Hyperlink"/>
          </w:rPr>
          <w:t>dgeller@manhattanstrategy.com</w:t>
        </w:r>
      </w:hyperlink>
      <w:r w:rsidRPr="00CC721F">
        <w:t xml:space="preserve"> </w:t>
      </w:r>
    </w:p>
    <w:p w:rsidR="005035BC" w:rsidRPr="00CC721F" w:rsidRDefault="005035BC" w:rsidP="005035BC">
      <w:r>
        <w:t xml:space="preserve">Office: </w:t>
      </w:r>
      <w:r w:rsidRPr="00CC721F">
        <w:t>301-828-1348</w:t>
      </w:r>
    </w:p>
    <w:p w:rsidR="005035BC" w:rsidRPr="00CC721F" w:rsidRDefault="005035BC" w:rsidP="005035BC">
      <w:pPr>
        <w:ind w:left="720"/>
      </w:pPr>
    </w:p>
    <w:p w:rsidR="005035BC" w:rsidRDefault="005035BC" w:rsidP="005035BC">
      <w:r w:rsidRPr="00CC721F">
        <w:t>Ying Zhang, Ph</w:t>
      </w:r>
      <w:r>
        <w:t>.</w:t>
      </w:r>
      <w:r w:rsidRPr="00CC721F">
        <w:t>D</w:t>
      </w:r>
      <w:r>
        <w:t>.</w:t>
      </w:r>
      <w:r w:rsidRPr="00CC721F">
        <w:t>, Project Manager</w:t>
      </w:r>
      <w:r>
        <w:t xml:space="preserve">, </w:t>
      </w:r>
      <w:r w:rsidRPr="00CC721F">
        <w:t xml:space="preserve">Manhattan Strategy Group </w:t>
      </w:r>
    </w:p>
    <w:p w:rsidR="005035BC" w:rsidRDefault="005035BC" w:rsidP="005035BC">
      <w:r>
        <w:t xml:space="preserve">Email: </w:t>
      </w:r>
      <w:hyperlink r:id="rId6" w:history="1">
        <w:r w:rsidRPr="00CC721F">
          <w:rPr>
            <w:rStyle w:val="Hyperlink"/>
          </w:rPr>
          <w:t>yzhang@manhattanstrategy.com</w:t>
        </w:r>
      </w:hyperlink>
      <w:r w:rsidRPr="00CC721F">
        <w:t xml:space="preserve"> </w:t>
      </w:r>
    </w:p>
    <w:p w:rsidR="005035BC" w:rsidRPr="00CC721F" w:rsidRDefault="005035BC" w:rsidP="005035BC">
      <w:r>
        <w:t xml:space="preserve">Office: </w:t>
      </w:r>
      <w:r w:rsidRPr="00CC721F">
        <w:t>301-828-1346</w:t>
      </w:r>
    </w:p>
    <w:p w:rsidR="005035BC" w:rsidRPr="00CC721F" w:rsidRDefault="005035BC" w:rsidP="005035BC"/>
    <w:p w:rsidR="005035BC" w:rsidRPr="00A0586A" w:rsidRDefault="005035BC" w:rsidP="005035BC">
      <w:r w:rsidRPr="00A0586A">
        <w:t>Kevin Brown, Ph.D., Senior Research Scientist, NORC</w:t>
      </w:r>
    </w:p>
    <w:p w:rsidR="005035BC" w:rsidRPr="00CC721F" w:rsidRDefault="005035BC" w:rsidP="005035BC">
      <w:pPr>
        <w:rPr>
          <w:rStyle w:val="Hyperlink"/>
        </w:rPr>
      </w:pPr>
      <w:r w:rsidRPr="00A0586A">
        <w:t>Email:</w:t>
      </w:r>
      <w:r w:rsidRPr="00CC721F">
        <w:rPr>
          <w:color w:val="000000"/>
        </w:rPr>
        <w:t xml:space="preserve"> </w:t>
      </w:r>
      <w:hyperlink r:id="rId7" w:history="1">
        <w:r w:rsidRPr="00CC721F">
          <w:rPr>
            <w:rStyle w:val="Hyperlink"/>
          </w:rPr>
          <w:t>Brown-Kevin@norc.org</w:t>
        </w:r>
      </w:hyperlink>
    </w:p>
    <w:p w:rsidR="004A6DF4" w:rsidRDefault="004A6DF4">
      <w:bookmarkStart w:id="0" w:name="_GoBack"/>
      <w:bookmarkEnd w:id="0"/>
    </w:p>
    <w:sectPr w:rsidR="004A6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68DC"/>
    <w:multiLevelType w:val="hybridMultilevel"/>
    <w:tmpl w:val="10389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76E31"/>
    <w:multiLevelType w:val="hybridMultilevel"/>
    <w:tmpl w:val="3334DBE6"/>
    <w:lvl w:ilvl="0" w:tplc="3BEAF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BC"/>
    <w:rsid w:val="003D1348"/>
    <w:rsid w:val="004A6DF4"/>
    <w:rsid w:val="005035BC"/>
    <w:rsid w:val="008A5DDA"/>
    <w:rsid w:val="00D4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4F55C-9654-49EC-9727-E5909B5F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5BC"/>
    <w:pPr>
      <w:spacing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35BC"/>
    <w:pPr>
      <w:ind w:left="720"/>
      <w:contextualSpacing/>
    </w:pPr>
  </w:style>
  <w:style w:type="character" w:customStyle="1" w:styleId="ListParagraphChar">
    <w:name w:val="List Paragraph Char"/>
    <w:basedOn w:val="DefaultParagraphFont"/>
    <w:link w:val="ListParagraph"/>
    <w:uiPriority w:val="34"/>
    <w:locked/>
    <w:rsid w:val="005035B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35BC"/>
    <w:rPr>
      <w:color w:val="0000FF"/>
      <w:u w:val="single"/>
    </w:rPr>
  </w:style>
  <w:style w:type="table" w:styleId="TableGrid">
    <w:name w:val="Table Grid"/>
    <w:basedOn w:val="TableNormal"/>
    <w:uiPriority w:val="59"/>
    <w:rsid w:val="005035BC"/>
    <w:pPr>
      <w:spacing w:line="240" w:lineRule="auto"/>
      <w:ind w:left="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035BC"/>
    <w:pPr>
      <w:spacing w:after="200"/>
    </w:pPr>
    <w:rPr>
      <w:rFonts w:asciiTheme="minorHAnsi" w:eastAsiaTheme="minorHAnsi" w:hAnsiTheme="minorHAnsi" w:cstheme="minorBidi"/>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own-Kevin@nor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zhang@manhattanstrategy.com" TargetMode="External"/><Relationship Id="rId5" Type="http://schemas.openxmlformats.org/officeDocument/2006/relationships/hyperlink" Target="mailto:dgeller@manhattanstrateg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Plimpton, Suzanne H.</dc:creator>
  <cp:keywords/>
  <dc:description/>
  <cp:lastModifiedBy>Plimpton, Suzanne H.</cp:lastModifiedBy>
  <cp:revision>1</cp:revision>
  <dcterms:created xsi:type="dcterms:W3CDTF">2016-03-09T22:24:00Z</dcterms:created>
  <dcterms:modified xsi:type="dcterms:W3CDTF">2016-03-09T22:26:00Z</dcterms:modified>
</cp:coreProperties>
</file>