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2DA" w:rsidRPr="005C363F" w:rsidRDefault="00A40A86" w:rsidP="00A40A86">
      <w:pPr>
        <w:pStyle w:val="Title"/>
        <w:spacing w:after="240"/>
      </w:pPr>
      <w:r w:rsidRPr="00205696">
        <w:rPr>
          <w:rFonts w:ascii="Times New Roman" w:hAnsi="Times New Roman"/>
          <w:szCs w:val="24"/>
          <w:u w:val="none"/>
        </w:rPr>
        <w:t xml:space="preserve">SUPPORTING STATEMENT </w:t>
      </w:r>
      <w:r w:rsidRPr="00205696">
        <w:rPr>
          <w:rFonts w:ascii="Times New Roman" w:hAnsi="Times New Roman"/>
          <w:szCs w:val="24"/>
          <w:u w:val="none"/>
        </w:rPr>
        <w:br/>
        <w:t>for the Paperwork Reduction Act Information Collection Submission for Rule 17a-</w:t>
      </w:r>
      <w:r>
        <w:rPr>
          <w:rFonts w:ascii="Times New Roman" w:hAnsi="Times New Roman"/>
          <w:szCs w:val="24"/>
          <w:u w:val="none"/>
        </w:rPr>
        <w:t>4</w:t>
      </w:r>
    </w:p>
    <w:p w:rsidR="00A002DA" w:rsidRPr="005C363F" w:rsidRDefault="00A002DA">
      <w:pPr>
        <w:keepNext/>
        <w:rPr>
          <w:b/>
          <w:caps/>
        </w:rPr>
      </w:pPr>
      <w:r w:rsidRPr="005C363F">
        <w:rPr>
          <w:b/>
          <w:caps/>
        </w:rPr>
        <w:t>A.</w:t>
      </w:r>
      <w:r w:rsidRPr="005C363F">
        <w:rPr>
          <w:b/>
          <w:caps/>
        </w:rPr>
        <w:tab/>
      </w:r>
      <w:r w:rsidRPr="00A4006B">
        <w:rPr>
          <w:b/>
          <w:caps/>
        </w:rPr>
        <w:t>Justification</w:t>
      </w:r>
    </w:p>
    <w:p w:rsidR="00A002DA" w:rsidRPr="005C363F" w:rsidRDefault="00A002DA">
      <w:pPr>
        <w:keepNext/>
      </w:pPr>
    </w:p>
    <w:p w:rsidR="00A002DA" w:rsidRPr="00A4006B" w:rsidRDefault="00A002DA">
      <w:pPr>
        <w:keepNext/>
        <w:ind w:firstLine="720"/>
        <w:rPr>
          <w:b/>
        </w:rPr>
      </w:pPr>
      <w:r w:rsidRPr="005C363F">
        <w:rPr>
          <w:b/>
        </w:rPr>
        <w:t>1.</w:t>
      </w:r>
      <w:r w:rsidRPr="005C363F">
        <w:rPr>
          <w:b/>
        </w:rPr>
        <w:tab/>
      </w:r>
      <w:r w:rsidRPr="00A4006B">
        <w:rPr>
          <w:b/>
        </w:rPr>
        <w:t>Necessity of Information Collection</w:t>
      </w:r>
    </w:p>
    <w:p w:rsidR="00A002DA" w:rsidRPr="005C363F" w:rsidRDefault="00A002DA">
      <w:pPr>
        <w:keepNext/>
      </w:pPr>
    </w:p>
    <w:p w:rsidR="00A002DA" w:rsidRPr="005C363F" w:rsidRDefault="00A40A86" w:rsidP="00A40A86">
      <w:pPr>
        <w:pStyle w:val="BodyTextIndent3"/>
        <w:spacing w:after="240"/>
      </w:pPr>
      <w:r w:rsidRPr="00205696">
        <w:rPr>
          <w:rFonts w:ascii="Times New Roman" w:hAnsi="Times New Roman"/>
        </w:rPr>
        <w:t>In the ordinary course of their business, all broker-dealers must maintain certain books and records reflecting, among other things, income and expenses, assets and liabilities, daily trading activity</w:t>
      </w:r>
      <w:r w:rsidR="00D027FA">
        <w:rPr>
          <w:rFonts w:ascii="Times New Roman" w:hAnsi="Times New Roman"/>
        </w:rPr>
        <w:t>,</w:t>
      </w:r>
      <w:r w:rsidRPr="00205696">
        <w:rPr>
          <w:rFonts w:ascii="Times New Roman" w:hAnsi="Times New Roman"/>
        </w:rPr>
        <w:t xml:space="preserve"> and the status of customer and firm accounts.  These books and records are, for the most part, standard and would be kept by any prudent individual en</w:t>
      </w:r>
      <w:r>
        <w:rPr>
          <w:rFonts w:ascii="Times New Roman" w:hAnsi="Times New Roman"/>
        </w:rPr>
        <w:t>gaging in a securities business.</w:t>
      </w:r>
      <w:r w:rsidR="003E5809">
        <w:rPr>
          <w:rFonts w:ascii="Times New Roman" w:hAnsi="Times New Roman"/>
        </w:rPr>
        <w:t xml:space="preserve"> </w:t>
      </w:r>
    </w:p>
    <w:p w:rsidR="00A002DA" w:rsidRPr="005C363F" w:rsidRDefault="00A002DA" w:rsidP="00EB7C03">
      <w:r w:rsidRPr="005C363F">
        <w:tab/>
        <w:t xml:space="preserve">The Commission is statutorily authorized by </w:t>
      </w:r>
      <w:r w:rsidR="008D4797">
        <w:t>s</w:t>
      </w:r>
      <w:r w:rsidRPr="005C363F">
        <w:t>ections 17(a)</w:t>
      </w:r>
      <w:r w:rsidRPr="005C363F">
        <w:rPr>
          <w:rStyle w:val="FootnoteReference"/>
        </w:rPr>
        <w:footnoteReference w:id="1"/>
      </w:r>
      <w:r w:rsidRPr="005C363F">
        <w:t xml:space="preserve"> and 23(a)</w:t>
      </w:r>
      <w:r w:rsidRPr="005C363F">
        <w:rPr>
          <w:rStyle w:val="FootnoteReference"/>
        </w:rPr>
        <w:footnoteReference w:id="2"/>
      </w:r>
      <w:r w:rsidRPr="005C363F">
        <w:t xml:space="preserve"> of the Securities Exchange Act of 1934 (“Exchange Act”) to promulgate rules and regulations regarding the maintenance and preservation of books and records o</w:t>
      </w:r>
      <w:r w:rsidR="007110BE">
        <w:t>f exchange members</w:t>
      </w:r>
      <w:r w:rsidR="00713D47">
        <w:t xml:space="preserve"> and</w:t>
      </w:r>
      <w:r w:rsidR="007110BE">
        <w:t xml:space="preserve"> broker-</w:t>
      </w:r>
      <w:r w:rsidRPr="005C363F">
        <w:t>dealers.</w:t>
      </w:r>
      <w:r w:rsidR="00EB7C03">
        <w:t xml:space="preserve">  Section 17(a)(1) provides in </w:t>
      </w:r>
      <w:r w:rsidRPr="005C363F">
        <w:t>part</w:t>
      </w:r>
      <w:r w:rsidR="00EB7C03">
        <w:t xml:space="preserve"> that </w:t>
      </w:r>
      <w:r w:rsidRPr="005C363F">
        <w:t>all members of a national securities exch</w:t>
      </w:r>
      <w:r w:rsidR="007110BE">
        <w:t>ange and registered broker-</w:t>
      </w:r>
      <w:r w:rsidRPr="005C363F">
        <w:t xml:space="preserve">dealers </w:t>
      </w:r>
      <w:r w:rsidR="00EB7C03">
        <w:t>“</w:t>
      </w:r>
      <w:r w:rsidRPr="005C363F">
        <w:t>shall make and keep for prescribed periods such records</w:t>
      </w:r>
      <w:r w:rsidR="007110BE">
        <w:t>...</w:t>
      </w:r>
      <w:r w:rsidRPr="005C363F">
        <w:t>as the Commission, by rule, prescribes as necessary or appropriate in the public interest, for the protection of investors, or otherwise in fur</w:t>
      </w:r>
      <w:r w:rsidR="00713D47">
        <w:t xml:space="preserve">therance of the purposes of </w:t>
      </w:r>
      <w:r w:rsidRPr="005C363F">
        <w:t>[</w:t>
      </w:r>
      <w:r w:rsidR="00713D47">
        <w:t xml:space="preserve">the </w:t>
      </w:r>
      <w:r w:rsidRPr="005C363F">
        <w:t>Exchange Act].”</w:t>
      </w:r>
    </w:p>
    <w:p w:rsidR="00A002DA" w:rsidRPr="005C363F" w:rsidRDefault="00A002DA"/>
    <w:p w:rsidR="00A002DA" w:rsidRDefault="00A002DA">
      <w:r w:rsidRPr="005C363F">
        <w:tab/>
      </w:r>
      <w:r w:rsidR="007110BE">
        <w:t xml:space="preserve">In </w:t>
      </w:r>
      <w:r w:rsidR="00291618">
        <w:t>1939</w:t>
      </w:r>
      <w:r w:rsidR="007110BE">
        <w:t>, t</w:t>
      </w:r>
      <w:r w:rsidRPr="005C363F">
        <w:t xml:space="preserve">o standardize recordkeeping practices throughout the industry, </w:t>
      </w:r>
      <w:r w:rsidR="00291618">
        <w:t xml:space="preserve">the Commission </w:t>
      </w:r>
      <w:r w:rsidRPr="005C363F">
        <w:t xml:space="preserve">adopted </w:t>
      </w:r>
      <w:r w:rsidR="00360191" w:rsidRPr="005C363F">
        <w:t>Rules</w:t>
      </w:r>
      <w:r w:rsidR="00BC1307" w:rsidRPr="005C363F">
        <w:t xml:space="preserve"> </w:t>
      </w:r>
      <w:r w:rsidR="00360191" w:rsidRPr="005C363F">
        <w:t xml:space="preserve">17a-3 and </w:t>
      </w:r>
      <w:r w:rsidR="0003274D" w:rsidRPr="005C363F">
        <w:t>1</w:t>
      </w:r>
      <w:r w:rsidRPr="005C363F">
        <w:t>7a-4</w:t>
      </w:r>
      <w:r w:rsidR="00291618">
        <w:t xml:space="preserve"> under the Exchange Act</w:t>
      </w:r>
      <w:r w:rsidRPr="005C363F">
        <w:t xml:space="preserve">, which codified and specified minimum standards with respect to business records that </w:t>
      </w:r>
      <w:r w:rsidR="007110BE">
        <w:t xml:space="preserve">a </w:t>
      </w:r>
      <w:r w:rsidRPr="005C363F">
        <w:t>broker-dealer must create and maintain.</w:t>
      </w:r>
      <w:r w:rsidR="00291618" w:rsidRPr="005C363F">
        <w:rPr>
          <w:rStyle w:val="FootnoteReference"/>
        </w:rPr>
        <w:footnoteReference w:id="3"/>
      </w:r>
      <w:r w:rsidRPr="005C363F">
        <w:t xml:space="preserve">  </w:t>
      </w:r>
      <w:r w:rsidR="007E6415" w:rsidRPr="005C363F">
        <w:t>Rule 17a-3 requires exchange members</w:t>
      </w:r>
      <w:r w:rsidR="00713D47">
        <w:t xml:space="preserve"> and</w:t>
      </w:r>
      <w:r w:rsidR="007E6415" w:rsidRPr="005C363F">
        <w:t xml:space="preserve"> </w:t>
      </w:r>
      <w:r w:rsidR="007110BE">
        <w:t>broker-</w:t>
      </w:r>
      <w:r w:rsidR="007E6415" w:rsidRPr="005C363F">
        <w:t xml:space="preserve">dealers to make and keep current certain </w:t>
      </w:r>
      <w:r w:rsidR="00444FA8" w:rsidRPr="005C363F">
        <w:t xml:space="preserve">records relating to a </w:t>
      </w:r>
      <w:r w:rsidR="00713D47">
        <w:t>member’s or broker-</w:t>
      </w:r>
      <w:r w:rsidR="00444FA8" w:rsidRPr="005C363F">
        <w:t xml:space="preserve">dealer’s financial condition and </w:t>
      </w:r>
      <w:r w:rsidR="00966E8F" w:rsidRPr="005C363F">
        <w:t>operations</w:t>
      </w:r>
      <w:r w:rsidR="00444FA8" w:rsidRPr="005C363F">
        <w:t xml:space="preserve">.  </w:t>
      </w:r>
      <w:r w:rsidRPr="005C363F">
        <w:t xml:space="preserve">Rule 17a-4 requires broker-dealers to preserve, for prescribed periods of time, certain records required to be created under Rule 17a-3 and certain other Commission rules.  In addition, Rule 17a-4 requires broker-dealers to preserve other records that may be created or received by the broker-dealer in the ordinary course of its business for prescribed periods of time.  </w:t>
      </w:r>
    </w:p>
    <w:p w:rsidR="00291618" w:rsidRPr="00205696" w:rsidRDefault="00291618" w:rsidP="00291618"/>
    <w:p w:rsidR="003E5809" w:rsidRDefault="00291618" w:rsidP="00291618">
      <w:pPr>
        <w:ind w:firstLine="720"/>
      </w:pPr>
      <w:r w:rsidRPr="00205696">
        <w:t>On April 17, 2014, the Commission proposed amendments to its recordkeeping and reporting rules for broker-dealers as well as new recordkeeping and reporting rules (the “SBS Recordkeeping Release”)</w:t>
      </w:r>
      <w:r w:rsidRPr="00205696">
        <w:rPr>
          <w:rStyle w:val="FootnoteReference"/>
        </w:rPr>
        <w:footnoteReference w:id="4"/>
      </w:r>
      <w:r w:rsidRPr="00205696">
        <w:t xml:space="preserve"> for security-based swap dealers (“SBSDs”) and major security-based swap participants (“MSBSPs”) pursuant </w:t>
      </w:r>
      <w:proofErr w:type="gramStart"/>
      <w:r w:rsidRPr="00205696">
        <w:t>to  its</w:t>
      </w:r>
      <w:proofErr w:type="gramEnd"/>
      <w:r w:rsidRPr="00205696">
        <w:t xml:space="preserve"> authority in </w:t>
      </w:r>
      <w:r w:rsidR="008D4797">
        <w:t>s</w:t>
      </w:r>
      <w:r w:rsidRPr="00205696">
        <w:t>ections 17(a) and 15F(f) of the Exchange Act.</w:t>
      </w:r>
      <w:r w:rsidRPr="00205696">
        <w:rPr>
          <w:rStyle w:val="FootnoteReference"/>
        </w:rPr>
        <w:footnoteReference w:id="5"/>
      </w:r>
      <w:r w:rsidRPr="00205696">
        <w:t xml:space="preserve">  More specifically, the proposed amendments to Rule 17a-</w:t>
      </w:r>
      <w:r>
        <w:t>4</w:t>
      </w:r>
      <w:r w:rsidRPr="00205696">
        <w:t xml:space="preserve"> (in conjunction with </w:t>
      </w:r>
      <w:r w:rsidRPr="00205696">
        <w:lastRenderedPageBreak/>
        <w:t>the proposed amendments to Rule 17a-</w:t>
      </w:r>
      <w:r>
        <w:t>3</w:t>
      </w:r>
      <w:r w:rsidRPr="00205696">
        <w:t>) would establish additional recordkeeping requirements applicable to broker-dealers, including those that are dually registered as an SBSD or MSBSP, to the extent they engage in security-based swap or swap activities.</w:t>
      </w:r>
      <w:r w:rsidRPr="00205696">
        <w:rPr>
          <w:rStyle w:val="FootnoteReference"/>
        </w:rPr>
        <w:footnoteReference w:id="6"/>
      </w:r>
      <w:r w:rsidRPr="00205696">
        <w:t xml:space="preserve">  </w:t>
      </w:r>
    </w:p>
    <w:p w:rsidR="003E5809" w:rsidRPr="00651A8B" w:rsidRDefault="003E5809" w:rsidP="00291618">
      <w:pPr>
        <w:ind w:firstLine="720"/>
        <w:rPr>
          <w:b/>
        </w:rPr>
      </w:pPr>
    </w:p>
    <w:p w:rsidR="00291618" w:rsidRDefault="00B40328" w:rsidP="003E5809">
      <w:pPr>
        <w:ind w:firstLine="720"/>
        <w:rPr>
          <w:rFonts w:eastAsiaTheme="minorHAnsi"/>
        </w:rPr>
      </w:pPr>
      <w:r>
        <w:rPr>
          <w:rFonts w:eastAsiaTheme="minorHAnsi"/>
        </w:rPr>
        <w:t>The Commission is proposing certain amendments</w:t>
      </w:r>
      <w:r w:rsidR="003E5809" w:rsidRPr="003E5809">
        <w:rPr>
          <w:rFonts w:eastAsiaTheme="minorHAnsi"/>
        </w:rPr>
        <w:t xml:space="preserve"> to Rule 17a-4 </w:t>
      </w:r>
      <w:r>
        <w:rPr>
          <w:rFonts w:eastAsiaTheme="minorHAnsi"/>
        </w:rPr>
        <w:t xml:space="preserve">that </w:t>
      </w:r>
      <w:r w:rsidR="003E5809" w:rsidRPr="003E5809">
        <w:rPr>
          <w:rFonts w:eastAsiaTheme="minorHAnsi"/>
        </w:rPr>
        <w:t>would require broker-dealer SBSDs and broker-dealer MSBSPs to retain certain new records</w:t>
      </w:r>
      <w:r>
        <w:rPr>
          <w:rFonts w:eastAsiaTheme="minorHAnsi"/>
        </w:rPr>
        <w:t>,</w:t>
      </w:r>
      <w:r w:rsidR="003E5809" w:rsidRPr="003E5809">
        <w:rPr>
          <w:rFonts w:eastAsiaTheme="minorHAnsi"/>
        </w:rPr>
        <w:t xml:space="preserve"> but would no longer require them to retain other records required to be kept by non-SBSD/MSBSP broker-dealers.  Specifically, broker-dealer SBSDs and broker-dealer MSBSPs </w:t>
      </w:r>
      <w:r w:rsidR="00B30903">
        <w:rPr>
          <w:rFonts w:eastAsiaTheme="minorHAnsi"/>
        </w:rPr>
        <w:t>would be required to</w:t>
      </w:r>
      <w:r w:rsidR="003E5809" w:rsidRPr="003E5809">
        <w:rPr>
          <w:rFonts w:eastAsiaTheme="minorHAnsi"/>
        </w:rPr>
        <w:t xml:space="preserve"> preserve proposed Form SBS instead of Form X</w:t>
      </w:r>
      <w:r w:rsidR="003E5809" w:rsidRPr="003E5809">
        <w:rPr>
          <w:rFonts w:eastAsiaTheme="minorHAnsi"/>
        </w:rPr>
        <w:noBreakHyphen/>
        <w:t>17A</w:t>
      </w:r>
      <w:r w:rsidR="003E5809" w:rsidRPr="003E5809">
        <w:rPr>
          <w:rFonts w:eastAsiaTheme="minorHAnsi"/>
        </w:rPr>
        <w:noBreakHyphen/>
        <w:t>5,</w:t>
      </w:r>
      <w:r w:rsidR="003E5809" w:rsidRPr="003E5809">
        <w:rPr>
          <w:rFonts w:eastAsiaTheme="minorHAnsi"/>
          <w:vertAlign w:val="superscript"/>
        </w:rPr>
        <w:footnoteReference w:id="7"/>
      </w:r>
      <w:r w:rsidR="003E5809" w:rsidRPr="003E5809">
        <w:rPr>
          <w:rFonts w:eastAsiaTheme="minorHAnsi"/>
        </w:rPr>
        <w:t xml:space="preserve"> possession or control information for security-based swap customers under proposed Rule 18a-4 instead of under Rule 15c3</w:t>
      </w:r>
      <w:r w:rsidR="003E5809" w:rsidRPr="003E5809">
        <w:rPr>
          <w:rFonts w:eastAsiaTheme="minorHAnsi"/>
        </w:rPr>
        <w:noBreakHyphen/>
        <w:t>3,</w:t>
      </w:r>
      <w:r w:rsidR="003E5809" w:rsidRPr="003E5809">
        <w:rPr>
          <w:rFonts w:eastAsiaTheme="minorHAnsi"/>
          <w:vertAlign w:val="superscript"/>
        </w:rPr>
        <w:footnoteReference w:id="8"/>
      </w:r>
      <w:r w:rsidR="003E5809" w:rsidRPr="003E5809">
        <w:rPr>
          <w:rFonts w:eastAsiaTheme="minorHAnsi"/>
        </w:rPr>
        <w:t xml:space="preserve"> and Forms SBSE-BD and SBSE-W instead of Forms BD and BDW.</w:t>
      </w:r>
      <w:r w:rsidR="003E5809" w:rsidRPr="003E5809">
        <w:rPr>
          <w:rFonts w:eastAsiaTheme="minorHAnsi"/>
          <w:vertAlign w:val="superscript"/>
        </w:rPr>
        <w:footnoteReference w:id="9"/>
      </w:r>
    </w:p>
    <w:p w:rsidR="003E5809" w:rsidRDefault="003E5809" w:rsidP="003E5809">
      <w:pPr>
        <w:ind w:firstLine="720"/>
        <w:rPr>
          <w:rFonts w:eastAsiaTheme="minorHAnsi"/>
        </w:rPr>
      </w:pPr>
    </w:p>
    <w:p w:rsidR="003E5809" w:rsidRDefault="003E5809" w:rsidP="003E5809">
      <w:pPr>
        <w:ind w:firstLine="720"/>
      </w:pPr>
      <w:r>
        <w:t xml:space="preserve">The Commission </w:t>
      </w:r>
      <w:r w:rsidR="00B40328">
        <w:t>is proposing</w:t>
      </w:r>
      <w:r>
        <w:t xml:space="preserve"> to amend paragraph (b)(4) of Rule 17a-4 to require broker</w:t>
      </w:r>
      <w:r>
        <w:noBreakHyphen/>
        <w:t>dealer SBSDs and broker-dealer MSBSPs to retain telephone calls that have already been recorded and are related to the broker-dealer SBSD’s and broker-dealer MSBSP’s security-based swap business.</w:t>
      </w:r>
      <w:r>
        <w:rPr>
          <w:rStyle w:val="FootnoteReference"/>
        </w:rPr>
        <w:footnoteReference w:id="10"/>
      </w:r>
    </w:p>
    <w:p w:rsidR="003E5809" w:rsidRDefault="003E5809" w:rsidP="003E5809">
      <w:pPr>
        <w:ind w:firstLine="720"/>
      </w:pPr>
    </w:p>
    <w:p w:rsidR="003E5809" w:rsidRDefault="003E5809" w:rsidP="003E5809">
      <w:pPr>
        <w:ind w:firstLine="720"/>
        <w:rPr>
          <w:rFonts w:eastAsiaTheme="minorHAnsi"/>
        </w:rPr>
      </w:pPr>
      <w:r w:rsidRPr="00CA3B5E">
        <w:t xml:space="preserve">The </w:t>
      </w:r>
      <w:r w:rsidR="00B40328">
        <w:t xml:space="preserve">Commission is </w:t>
      </w:r>
      <w:r w:rsidR="00D027FA">
        <w:t xml:space="preserve">also </w:t>
      </w:r>
      <w:r w:rsidR="00B40328">
        <w:t>proposing</w:t>
      </w:r>
      <w:r w:rsidRPr="00CA3B5E">
        <w:t xml:space="preserve"> amendments to Rule 17a-4 </w:t>
      </w:r>
      <w:r w:rsidR="00B40328">
        <w:t xml:space="preserve">that </w:t>
      </w:r>
      <w:r w:rsidRPr="00CA3B5E">
        <w:t>would add three types of records to be preserved by broker-dealers</w:t>
      </w:r>
      <w:r w:rsidR="00B40328">
        <w:t>,</w:t>
      </w:r>
      <w:r w:rsidRPr="00CA3B5E">
        <w:rPr>
          <w:rStyle w:val="FootnoteReference"/>
        </w:rPr>
        <w:footnoteReference w:id="11"/>
      </w:r>
      <w:r w:rsidR="00B40328">
        <w:t xml:space="preserve"> </w:t>
      </w:r>
      <w:r>
        <w:t>five types of records to be preserved by broker-dealer SBSDs and broker-dealer MSBSPs</w:t>
      </w:r>
      <w:r w:rsidR="00B40328">
        <w:t>,</w:t>
      </w:r>
      <w:r>
        <w:rPr>
          <w:rStyle w:val="FootnoteReference"/>
        </w:rPr>
        <w:footnoteReference w:id="12"/>
      </w:r>
      <w:r w:rsidR="00B40328">
        <w:t xml:space="preserve"> and </w:t>
      </w:r>
      <w:r>
        <w:t>three types of records to be preserved by broker-dealer SBSDs</w:t>
      </w:r>
      <w:r w:rsidR="00B40328">
        <w:t xml:space="preserve"> only</w:t>
      </w:r>
      <w:r>
        <w:t>.</w:t>
      </w:r>
      <w:r>
        <w:rPr>
          <w:rStyle w:val="FootnoteReference"/>
        </w:rPr>
        <w:footnoteReference w:id="13"/>
      </w:r>
      <w:r>
        <w:t xml:space="preserve">  </w:t>
      </w:r>
      <w:r w:rsidR="00B40328">
        <w:t>Additionally, p</w:t>
      </w:r>
      <w:r>
        <w:t xml:space="preserve">aragraph (b)(1) of Rule 17a-4, as proposed to be amended, would require </w:t>
      </w:r>
      <w:r w:rsidR="009D0B35">
        <w:t>alternative net capital (“</w:t>
      </w:r>
      <w:r>
        <w:t>ANC</w:t>
      </w:r>
      <w:r w:rsidR="009D0B35">
        <w:t>”)</w:t>
      </w:r>
      <w:r>
        <w:t xml:space="preserve"> broker-dealers to preserve certain records relating to the firm’s monthly liquidity stress test.</w:t>
      </w:r>
      <w:r>
        <w:rPr>
          <w:rStyle w:val="FootnoteReference"/>
        </w:rPr>
        <w:footnoteReference w:id="14"/>
      </w:r>
      <w:r>
        <w:t xml:space="preserve">  </w:t>
      </w:r>
    </w:p>
    <w:p w:rsidR="00291618" w:rsidRPr="00205696" w:rsidRDefault="00291618" w:rsidP="00291618">
      <w:pPr>
        <w:ind w:firstLine="720"/>
      </w:pPr>
    </w:p>
    <w:p w:rsidR="00291618" w:rsidRPr="00205696" w:rsidRDefault="00291618" w:rsidP="00291618">
      <w:pPr>
        <w:ind w:firstLine="720"/>
        <w:rPr>
          <w:spacing w:val="-3"/>
        </w:rPr>
      </w:pPr>
      <w:r w:rsidRPr="00205696">
        <w:t>Finally, to aggregate the entire burden of Rule 17a-</w:t>
      </w:r>
      <w:r w:rsidR="006250DB">
        <w:t>4</w:t>
      </w:r>
      <w:r w:rsidRPr="00205696">
        <w:t xml:space="preserve"> into one information collection (and OMB control number), the Commission is moving the annual burden hours for paragraph (</w:t>
      </w:r>
      <w:r w:rsidR="006250DB">
        <w:t>b</w:t>
      </w:r>
      <w:proofErr w:type="gramStart"/>
      <w:r w:rsidRPr="00205696">
        <w:t>)(</w:t>
      </w:r>
      <w:proofErr w:type="gramEnd"/>
      <w:r w:rsidRPr="00205696">
        <w:t>1</w:t>
      </w:r>
      <w:r w:rsidR="006250DB">
        <w:t>1</w:t>
      </w:r>
      <w:r w:rsidRPr="00205696">
        <w:t>) of Rule 17a-</w:t>
      </w:r>
      <w:r w:rsidR="006250DB">
        <w:t>4</w:t>
      </w:r>
      <w:r w:rsidRPr="00205696">
        <w:t xml:space="preserve"> into this information collection.</w:t>
      </w:r>
      <w:r w:rsidRPr="00205696">
        <w:rPr>
          <w:rStyle w:val="FootnoteReference"/>
        </w:rPr>
        <w:footnoteReference w:id="15"/>
      </w:r>
    </w:p>
    <w:p w:rsidR="00A002DA" w:rsidRPr="005C363F" w:rsidRDefault="00A002DA"/>
    <w:p w:rsidR="00A002DA" w:rsidRPr="005C363F" w:rsidRDefault="00A002DA" w:rsidP="00A4006B">
      <w:pPr>
        <w:ind w:right="90"/>
      </w:pPr>
      <w:r w:rsidRPr="005C363F">
        <w:tab/>
      </w:r>
      <w:r w:rsidRPr="005C363F">
        <w:rPr>
          <w:b/>
        </w:rPr>
        <w:t>2.</w:t>
      </w:r>
      <w:r w:rsidRPr="005C363F">
        <w:tab/>
      </w:r>
      <w:r w:rsidRPr="00A4006B">
        <w:rPr>
          <w:b/>
        </w:rPr>
        <w:t xml:space="preserve">Purpose </w:t>
      </w:r>
      <w:r w:rsidR="00A4006B" w:rsidRPr="00A4006B">
        <w:rPr>
          <w:b/>
        </w:rPr>
        <w:t xml:space="preserve">and Use </w:t>
      </w:r>
      <w:r w:rsidRPr="00A4006B">
        <w:rPr>
          <w:b/>
        </w:rPr>
        <w:t>of the Information Collection</w:t>
      </w:r>
    </w:p>
    <w:p w:rsidR="00A002DA" w:rsidRPr="005C363F" w:rsidRDefault="00A002DA">
      <w:pPr>
        <w:keepNext/>
        <w:tabs>
          <w:tab w:val="left" w:pos="-540"/>
        </w:tabs>
        <w:autoSpaceDE w:val="0"/>
        <w:autoSpaceDN w:val="0"/>
        <w:adjustRightInd w:val="0"/>
        <w:ind w:right="90"/>
      </w:pPr>
    </w:p>
    <w:p w:rsidR="00A002DA" w:rsidRPr="005C363F" w:rsidRDefault="00A002DA">
      <w:pPr>
        <w:pStyle w:val="BodyText"/>
        <w:rPr>
          <w:rFonts w:ascii="Times New Roman" w:hAnsi="Times New Roman"/>
          <w:szCs w:val="24"/>
        </w:rPr>
      </w:pPr>
      <w:r w:rsidRPr="005C363F">
        <w:rPr>
          <w:rFonts w:ascii="Times New Roman" w:hAnsi="Times New Roman"/>
          <w:szCs w:val="24"/>
        </w:rPr>
        <w:tab/>
        <w:t>The purpose of requiring broker-dealers</w:t>
      </w:r>
      <w:r w:rsidR="00FF1866">
        <w:rPr>
          <w:rFonts w:ascii="Times New Roman" w:hAnsi="Times New Roman"/>
          <w:szCs w:val="24"/>
        </w:rPr>
        <w:t xml:space="preserve"> to</w:t>
      </w:r>
      <w:r w:rsidRPr="005C363F">
        <w:rPr>
          <w:rFonts w:ascii="Times New Roman" w:hAnsi="Times New Roman"/>
          <w:szCs w:val="24"/>
        </w:rPr>
        <w:t xml:space="preserve"> maintain the records specified in </w:t>
      </w:r>
      <w:r w:rsidR="00033E62" w:rsidRPr="005C363F">
        <w:rPr>
          <w:rFonts w:ascii="Times New Roman" w:hAnsi="Times New Roman"/>
          <w:szCs w:val="24"/>
        </w:rPr>
        <w:t>Rule 17a-4</w:t>
      </w:r>
      <w:r w:rsidRPr="005C363F">
        <w:rPr>
          <w:rFonts w:ascii="Times New Roman" w:hAnsi="Times New Roman"/>
          <w:szCs w:val="24"/>
        </w:rPr>
        <w:t xml:space="preserve"> is </w:t>
      </w:r>
      <w:r w:rsidR="00447D50" w:rsidRPr="005C363F">
        <w:rPr>
          <w:rFonts w:ascii="Times New Roman" w:hAnsi="Times New Roman"/>
          <w:szCs w:val="24"/>
        </w:rPr>
        <w:t xml:space="preserve">to help ensure that </w:t>
      </w:r>
      <w:r w:rsidRPr="005C363F">
        <w:rPr>
          <w:rFonts w:ascii="Times New Roman" w:hAnsi="Times New Roman"/>
          <w:szCs w:val="24"/>
        </w:rPr>
        <w:t xml:space="preserve">examiners and other representatives of the Commission, </w:t>
      </w:r>
      <w:r w:rsidR="00FF1866">
        <w:rPr>
          <w:rFonts w:ascii="Times New Roman" w:hAnsi="Times New Roman"/>
          <w:szCs w:val="24"/>
        </w:rPr>
        <w:t>s</w:t>
      </w:r>
      <w:r w:rsidRPr="005C363F">
        <w:rPr>
          <w:rFonts w:ascii="Times New Roman" w:hAnsi="Times New Roman"/>
          <w:szCs w:val="24"/>
        </w:rPr>
        <w:t xml:space="preserve">tate securities regulatory authorities, and the </w:t>
      </w:r>
      <w:r w:rsidR="005458E4">
        <w:rPr>
          <w:rFonts w:ascii="Times New Roman" w:hAnsi="Times New Roman"/>
          <w:szCs w:val="24"/>
        </w:rPr>
        <w:t>self-regulatory organizations (</w:t>
      </w:r>
      <w:r w:rsidR="00FF1866">
        <w:rPr>
          <w:rFonts w:ascii="Times New Roman" w:hAnsi="Times New Roman"/>
          <w:szCs w:val="24"/>
        </w:rPr>
        <w:t>“</w:t>
      </w:r>
      <w:r w:rsidR="005458E4">
        <w:rPr>
          <w:rFonts w:ascii="Times New Roman" w:hAnsi="Times New Roman"/>
          <w:szCs w:val="24"/>
        </w:rPr>
        <w:t>SROs</w:t>
      </w:r>
      <w:r w:rsidR="00FF1866">
        <w:rPr>
          <w:rFonts w:ascii="Times New Roman" w:hAnsi="Times New Roman"/>
          <w:szCs w:val="24"/>
        </w:rPr>
        <w:t>”</w:t>
      </w:r>
      <w:r w:rsidR="005458E4">
        <w:rPr>
          <w:rFonts w:ascii="Times New Roman" w:hAnsi="Times New Roman"/>
          <w:szCs w:val="24"/>
        </w:rPr>
        <w:t>)</w:t>
      </w:r>
      <w:r w:rsidR="00447D50" w:rsidRPr="005C363F">
        <w:rPr>
          <w:rFonts w:ascii="Times New Roman" w:hAnsi="Times New Roman"/>
          <w:szCs w:val="24"/>
        </w:rPr>
        <w:t xml:space="preserve"> have access to the information and documents necessary</w:t>
      </w:r>
      <w:r w:rsidRPr="005C363F">
        <w:rPr>
          <w:rFonts w:ascii="Times New Roman" w:hAnsi="Times New Roman"/>
          <w:szCs w:val="24"/>
        </w:rPr>
        <w:t xml:space="preserve"> to determine whether broker-dealers are in compliance with the Commission’s anti</w:t>
      </w:r>
      <w:r w:rsidR="007110BE">
        <w:rPr>
          <w:rFonts w:ascii="Times New Roman" w:hAnsi="Times New Roman"/>
          <w:szCs w:val="24"/>
        </w:rPr>
        <w:t>-</w:t>
      </w:r>
      <w:r w:rsidRPr="005C363F">
        <w:rPr>
          <w:rFonts w:ascii="Times New Roman" w:hAnsi="Times New Roman"/>
          <w:szCs w:val="24"/>
        </w:rPr>
        <w:t xml:space="preserve">fraud and anti-manipulation rules, financial responsibility program, and other Commission, SRO, and </w:t>
      </w:r>
      <w:r w:rsidR="00FF1866">
        <w:rPr>
          <w:rFonts w:ascii="Times New Roman" w:hAnsi="Times New Roman"/>
          <w:szCs w:val="24"/>
        </w:rPr>
        <w:t>s</w:t>
      </w:r>
      <w:r w:rsidRPr="005C363F">
        <w:rPr>
          <w:rFonts w:ascii="Times New Roman" w:hAnsi="Times New Roman"/>
          <w:szCs w:val="24"/>
        </w:rPr>
        <w:t xml:space="preserve">tate laws, rules, and regulations.  </w:t>
      </w:r>
      <w:r w:rsidR="00347B55" w:rsidRPr="005C363F">
        <w:rPr>
          <w:rFonts w:ascii="Times New Roman" w:hAnsi="Times New Roman"/>
          <w:szCs w:val="24"/>
        </w:rPr>
        <w:t xml:space="preserve">Without Rule 17a-4, it would be </w:t>
      </w:r>
      <w:r w:rsidR="00422E7D">
        <w:rPr>
          <w:rFonts w:ascii="Times New Roman" w:hAnsi="Times New Roman"/>
          <w:szCs w:val="24"/>
        </w:rPr>
        <w:t xml:space="preserve">extremely difficult, if not </w:t>
      </w:r>
      <w:r w:rsidR="00347B55" w:rsidRPr="005C363F">
        <w:rPr>
          <w:rFonts w:ascii="Times New Roman" w:hAnsi="Times New Roman"/>
          <w:szCs w:val="24"/>
        </w:rPr>
        <w:t>impossible</w:t>
      </w:r>
      <w:r w:rsidR="00422E7D">
        <w:rPr>
          <w:rFonts w:ascii="Times New Roman" w:hAnsi="Times New Roman"/>
          <w:szCs w:val="24"/>
        </w:rPr>
        <w:t>,</w:t>
      </w:r>
      <w:r w:rsidR="00347B55" w:rsidRPr="005C363F">
        <w:rPr>
          <w:rFonts w:ascii="Times New Roman" w:hAnsi="Times New Roman"/>
          <w:szCs w:val="24"/>
        </w:rPr>
        <w:t xml:space="preserve"> for the Commission to determine whether a broker-dealer that chose not to preserve records was in compliance with these rules.  Such a situation would not be in the public interest and would be detrimental to investors and the financial community as a whole.</w:t>
      </w:r>
    </w:p>
    <w:p w:rsidR="00A002DA" w:rsidRPr="005C363F" w:rsidRDefault="00A002DA"/>
    <w:p w:rsidR="00A002DA" w:rsidRPr="005C363F" w:rsidRDefault="00A002DA" w:rsidP="00A4006B">
      <w:pPr>
        <w:keepNext/>
        <w:ind w:left="1440" w:hanging="720"/>
      </w:pPr>
      <w:r w:rsidRPr="005C363F">
        <w:rPr>
          <w:b/>
        </w:rPr>
        <w:t>3.</w:t>
      </w:r>
      <w:r w:rsidRPr="005C363F">
        <w:rPr>
          <w:b/>
        </w:rPr>
        <w:tab/>
      </w:r>
      <w:r w:rsidR="00A4006B" w:rsidRPr="00A4006B">
        <w:rPr>
          <w:b/>
        </w:rPr>
        <w:t xml:space="preserve">Consideration Given to </w:t>
      </w:r>
      <w:r w:rsidRPr="00A4006B">
        <w:rPr>
          <w:b/>
        </w:rPr>
        <w:t>Improved Information Technology</w:t>
      </w:r>
    </w:p>
    <w:p w:rsidR="00A002DA" w:rsidRPr="005C363F" w:rsidRDefault="00A002DA">
      <w:pPr>
        <w:keepNext/>
      </w:pPr>
    </w:p>
    <w:p w:rsidR="00A002DA" w:rsidRPr="005C363F" w:rsidRDefault="00A002DA">
      <w:r w:rsidRPr="005C363F">
        <w:tab/>
      </w:r>
      <w:r w:rsidR="00243F91" w:rsidRPr="005C363F">
        <w:t xml:space="preserve">Rule 17a-4 </w:t>
      </w:r>
      <w:r w:rsidR="00F1665E" w:rsidRPr="005C363F">
        <w:t xml:space="preserve">specifically </w:t>
      </w:r>
      <w:r w:rsidR="007110BE">
        <w:t>allows broker-</w:t>
      </w:r>
      <w:r w:rsidR="00D11ED4" w:rsidRPr="005C363F">
        <w:t xml:space="preserve">dealers to use electronic storage </w:t>
      </w:r>
      <w:r w:rsidR="005043F5">
        <w:t>media to comply with the record</w:t>
      </w:r>
      <w:r w:rsidR="00D11ED4" w:rsidRPr="005C363F">
        <w:t>keeping requirements under the Ex</w:t>
      </w:r>
      <w:r w:rsidR="005458E4">
        <w:t>c</w:t>
      </w:r>
      <w:r w:rsidR="00D11ED4" w:rsidRPr="005C363F">
        <w:t xml:space="preserve">hange Act.  </w:t>
      </w:r>
      <w:r w:rsidR="006250DB" w:rsidRPr="00830118">
        <w:t>If such records are stored electronically, they must be preserved exclusively in a non-</w:t>
      </w:r>
      <w:r w:rsidR="00830118" w:rsidRPr="00830118">
        <w:t>re</w:t>
      </w:r>
      <w:r w:rsidR="006250DB" w:rsidRPr="00830118">
        <w:t>writeable</w:t>
      </w:r>
      <w:r w:rsidR="00830118" w:rsidRPr="00830118">
        <w:t>, non-erasable</w:t>
      </w:r>
      <w:r w:rsidR="006250DB" w:rsidRPr="00830118">
        <w:t xml:space="preserve"> format.</w:t>
      </w:r>
      <w:r w:rsidR="006250DB" w:rsidRPr="00830118">
        <w:rPr>
          <w:rStyle w:val="FootnoteReference"/>
        </w:rPr>
        <w:footnoteReference w:id="16"/>
      </w:r>
      <w:r w:rsidR="006250DB">
        <w:t xml:space="preserve">  </w:t>
      </w:r>
      <w:r w:rsidR="007110BE">
        <w:t>B</w:t>
      </w:r>
      <w:r w:rsidR="00D11ED4" w:rsidRPr="005C363F">
        <w:t xml:space="preserve">ecause it sets minimum standards for the electronic storage media employed, Rule 17a-4 </w:t>
      </w:r>
      <w:r w:rsidR="009F2EF1" w:rsidRPr="005C363F">
        <w:t xml:space="preserve">does not limit broker-dealers to using forms of electronic storage which may become obsolete as new technology is developed.  </w:t>
      </w:r>
      <w:r w:rsidRPr="005C363F">
        <w:t xml:space="preserve">The Commission believes that improvements in telecommunications and data processing technology may reduce any burdens that result from </w:t>
      </w:r>
      <w:r w:rsidR="00696130" w:rsidRPr="005C363F">
        <w:t>Rule 17a-4</w:t>
      </w:r>
      <w:r w:rsidRPr="005C363F">
        <w:t xml:space="preserve">.  </w:t>
      </w:r>
    </w:p>
    <w:p w:rsidR="00020414" w:rsidRPr="005C363F" w:rsidRDefault="00020414"/>
    <w:p w:rsidR="00A002DA" w:rsidRPr="005C363F" w:rsidRDefault="00A002DA">
      <w:pPr>
        <w:keepNext/>
        <w:ind w:firstLine="720"/>
      </w:pPr>
      <w:r w:rsidRPr="005C363F">
        <w:rPr>
          <w:b/>
        </w:rPr>
        <w:t>4.</w:t>
      </w:r>
      <w:r w:rsidRPr="005C363F">
        <w:tab/>
      </w:r>
      <w:r w:rsidRPr="00A4006B">
        <w:rPr>
          <w:b/>
        </w:rPr>
        <w:t>Duplication</w:t>
      </w:r>
    </w:p>
    <w:p w:rsidR="00A002DA" w:rsidRPr="005C363F" w:rsidRDefault="00A002DA">
      <w:pPr>
        <w:keepNext/>
      </w:pPr>
    </w:p>
    <w:p w:rsidR="00020414" w:rsidRPr="005C363F" w:rsidRDefault="006250DB" w:rsidP="00020414">
      <w:pPr>
        <w:ind w:firstLine="720"/>
      </w:pPr>
      <w:r>
        <w:t xml:space="preserve">Not applicable.  </w:t>
      </w:r>
      <w:r w:rsidR="00AC3352" w:rsidRPr="005C363F">
        <w:t xml:space="preserve">There is no duplication. </w:t>
      </w:r>
    </w:p>
    <w:p w:rsidR="00A002DA" w:rsidRPr="005C363F" w:rsidRDefault="00A002DA">
      <w:pPr>
        <w:ind w:firstLine="720"/>
      </w:pPr>
    </w:p>
    <w:p w:rsidR="00A002DA" w:rsidRPr="005C363F" w:rsidRDefault="00A002DA">
      <w:pPr>
        <w:keepNext/>
        <w:ind w:firstLine="720"/>
        <w:rPr>
          <w:b/>
        </w:rPr>
      </w:pPr>
      <w:r w:rsidRPr="005C363F">
        <w:rPr>
          <w:b/>
        </w:rPr>
        <w:t>5.</w:t>
      </w:r>
      <w:r w:rsidRPr="005C363F">
        <w:rPr>
          <w:b/>
        </w:rPr>
        <w:tab/>
      </w:r>
      <w:r w:rsidRPr="00A4006B">
        <w:rPr>
          <w:b/>
        </w:rPr>
        <w:t>Effects on Small Entities</w:t>
      </w:r>
    </w:p>
    <w:p w:rsidR="00A002DA" w:rsidRPr="005C363F" w:rsidRDefault="00A002DA">
      <w:pPr>
        <w:keepNext/>
      </w:pPr>
    </w:p>
    <w:p w:rsidR="00A002DA" w:rsidRDefault="00A002DA" w:rsidP="006250DB">
      <w:r w:rsidRPr="005C363F">
        <w:tab/>
      </w:r>
      <w:r w:rsidR="007110BE">
        <w:t>Because t</w:t>
      </w:r>
      <w:r w:rsidR="007521FE" w:rsidRPr="005C363F">
        <w:t>he number and complexity of records required to be preserved by Rule 17a-4 vary proportionately with the volume and complexity of the broker-dealer</w:t>
      </w:r>
      <w:r w:rsidR="00FF1866">
        <w:t>’</w:t>
      </w:r>
      <w:r w:rsidR="007521FE" w:rsidRPr="005C363F">
        <w:t xml:space="preserve">s business, broker-dealers may choose which media (hard-copy, microfiche, electronic storage, etc.) </w:t>
      </w:r>
      <w:r w:rsidR="007110BE">
        <w:t xml:space="preserve">that </w:t>
      </w:r>
      <w:r w:rsidR="007521FE" w:rsidRPr="005C363F">
        <w:t xml:space="preserve">is </w:t>
      </w:r>
      <w:r w:rsidR="0089349C" w:rsidRPr="005C363F">
        <w:t>most</w:t>
      </w:r>
      <w:r w:rsidR="0089349C">
        <w:t xml:space="preserve"> </w:t>
      </w:r>
      <w:r w:rsidR="0089349C" w:rsidRPr="005C363F">
        <w:t>appropriate</w:t>
      </w:r>
      <w:r w:rsidR="007521FE" w:rsidRPr="005C363F">
        <w:t xml:space="preserve"> </w:t>
      </w:r>
      <w:r w:rsidR="007110BE">
        <w:t>for</w:t>
      </w:r>
      <w:r w:rsidR="00FF1866">
        <w:t xml:space="preserve"> their business</w:t>
      </w:r>
      <w:r w:rsidR="007521FE" w:rsidRPr="005C363F">
        <w:t xml:space="preserve">.  </w:t>
      </w:r>
      <w:r w:rsidR="00DD793D" w:rsidRPr="005C363F">
        <w:t>The books and r</w:t>
      </w:r>
      <w:r w:rsidR="00033E62" w:rsidRPr="005C363F">
        <w:t>ecords required under Rule 17a-4</w:t>
      </w:r>
      <w:r w:rsidR="00DD793D" w:rsidRPr="005C363F">
        <w:t xml:space="preserve"> are normally retained by small broker-dealers</w:t>
      </w:r>
      <w:r w:rsidR="006250DB">
        <w:t xml:space="preserve">.  </w:t>
      </w:r>
      <w:r w:rsidR="00D027FA">
        <w:t>Additionally</w:t>
      </w:r>
      <w:r w:rsidR="006250DB">
        <w:t>, the Commission does not anticipate that many small broker-dealers will be affected by the SBS Record</w:t>
      </w:r>
      <w:r w:rsidR="00830118">
        <w:t>keep</w:t>
      </w:r>
      <w:r w:rsidR="006250DB">
        <w:t>ing Release’s proposed amendments to Rule 17a-4.</w:t>
      </w:r>
    </w:p>
    <w:p w:rsidR="006250DB" w:rsidRPr="005C363F" w:rsidRDefault="006250DB" w:rsidP="006250DB">
      <w:pPr>
        <w:ind w:firstLine="720"/>
      </w:pPr>
    </w:p>
    <w:p w:rsidR="00A002DA" w:rsidRPr="005C363F" w:rsidRDefault="00A002DA">
      <w:pPr>
        <w:keepNext/>
        <w:ind w:firstLine="720"/>
        <w:rPr>
          <w:b/>
        </w:rPr>
      </w:pPr>
      <w:r w:rsidRPr="005C363F">
        <w:rPr>
          <w:b/>
        </w:rPr>
        <w:t>6.</w:t>
      </w:r>
      <w:r w:rsidRPr="005C363F">
        <w:rPr>
          <w:b/>
        </w:rPr>
        <w:tab/>
      </w:r>
      <w:r w:rsidRPr="00A4006B">
        <w:rPr>
          <w:b/>
        </w:rPr>
        <w:t xml:space="preserve">Consequences of </w:t>
      </w:r>
      <w:r w:rsidR="002024F7">
        <w:rPr>
          <w:b/>
        </w:rPr>
        <w:t>Not</w:t>
      </w:r>
      <w:r w:rsidR="002024F7" w:rsidRPr="00A4006B">
        <w:rPr>
          <w:b/>
        </w:rPr>
        <w:t xml:space="preserve"> </w:t>
      </w:r>
      <w:r w:rsidR="00A4006B" w:rsidRPr="00A4006B">
        <w:rPr>
          <w:b/>
        </w:rPr>
        <w:t xml:space="preserve">Conducting </w:t>
      </w:r>
      <w:r w:rsidRPr="00A4006B">
        <w:rPr>
          <w:b/>
        </w:rPr>
        <w:t>Collection</w:t>
      </w:r>
    </w:p>
    <w:p w:rsidR="00A002DA" w:rsidRPr="005C363F" w:rsidRDefault="00A002DA">
      <w:pPr>
        <w:keepNext/>
      </w:pPr>
    </w:p>
    <w:p w:rsidR="00A4006B" w:rsidRPr="005C363F" w:rsidRDefault="00A002DA" w:rsidP="00A4006B">
      <w:pPr>
        <w:pStyle w:val="BodyText"/>
        <w:rPr>
          <w:rFonts w:ascii="Times New Roman" w:hAnsi="Times New Roman"/>
          <w:szCs w:val="24"/>
        </w:rPr>
      </w:pPr>
      <w:r w:rsidRPr="005C363F">
        <w:rPr>
          <w:rFonts w:ascii="Times New Roman" w:hAnsi="Times New Roman"/>
          <w:szCs w:val="24"/>
        </w:rPr>
        <w:tab/>
      </w:r>
      <w:r w:rsidR="00AC3352" w:rsidRPr="005C363F">
        <w:rPr>
          <w:rFonts w:ascii="Times New Roman" w:hAnsi="Times New Roman"/>
          <w:szCs w:val="24"/>
        </w:rPr>
        <w:t xml:space="preserve">Rule 17a-4 is a record preservation rule.  </w:t>
      </w:r>
      <w:r w:rsidR="00A4006B" w:rsidRPr="005C363F">
        <w:rPr>
          <w:rFonts w:ascii="Times New Roman" w:hAnsi="Times New Roman"/>
          <w:szCs w:val="24"/>
        </w:rPr>
        <w:t xml:space="preserve">Without Rule 17a-4, it would be </w:t>
      </w:r>
      <w:r w:rsidR="00422E7D">
        <w:rPr>
          <w:rFonts w:ascii="Times New Roman" w:hAnsi="Times New Roman"/>
          <w:szCs w:val="24"/>
        </w:rPr>
        <w:t xml:space="preserve">extremely difficult, if not </w:t>
      </w:r>
      <w:r w:rsidR="00A4006B" w:rsidRPr="005C363F">
        <w:rPr>
          <w:rFonts w:ascii="Times New Roman" w:hAnsi="Times New Roman"/>
          <w:szCs w:val="24"/>
        </w:rPr>
        <w:t>impossible</w:t>
      </w:r>
      <w:r w:rsidR="00422E7D">
        <w:rPr>
          <w:rFonts w:ascii="Times New Roman" w:hAnsi="Times New Roman"/>
          <w:szCs w:val="24"/>
        </w:rPr>
        <w:t>,</w:t>
      </w:r>
      <w:r w:rsidR="00A4006B" w:rsidRPr="005C363F">
        <w:rPr>
          <w:rFonts w:ascii="Times New Roman" w:hAnsi="Times New Roman"/>
          <w:szCs w:val="24"/>
        </w:rPr>
        <w:t xml:space="preserve"> for the Commission to determine whether a broker-dealer that chose not to preserve records was in compliance with the Commission’s antifraud and anti-manipulation rules, financial responsibility program, and other Commission, SRO, and </w:t>
      </w:r>
      <w:r w:rsidR="00FF1866">
        <w:rPr>
          <w:rFonts w:ascii="Times New Roman" w:hAnsi="Times New Roman"/>
          <w:szCs w:val="24"/>
        </w:rPr>
        <w:t>st</w:t>
      </w:r>
      <w:r w:rsidR="00A4006B" w:rsidRPr="005C363F">
        <w:rPr>
          <w:rFonts w:ascii="Times New Roman" w:hAnsi="Times New Roman"/>
          <w:szCs w:val="24"/>
        </w:rPr>
        <w:t>ate laws, rules, and regulations.  Such a situation would not be in the public interest and would be detrimental to investors and the financial community as a whole.</w:t>
      </w:r>
    </w:p>
    <w:p w:rsidR="00A002DA" w:rsidRPr="005C363F" w:rsidRDefault="00A002DA"/>
    <w:p w:rsidR="00A002DA" w:rsidRPr="005C363F" w:rsidRDefault="00A002DA">
      <w:pPr>
        <w:keepNext/>
        <w:ind w:firstLine="720"/>
        <w:rPr>
          <w:b/>
        </w:rPr>
      </w:pPr>
      <w:r w:rsidRPr="005C363F">
        <w:rPr>
          <w:b/>
        </w:rPr>
        <w:t>7.</w:t>
      </w:r>
      <w:r w:rsidRPr="005C363F">
        <w:rPr>
          <w:b/>
        </w:rPr>
        <w:tab/>
      </w:r>
      <w:r w:rsidRPr="00A4006B">
        <w:rPr>
          <w:b/>
        </w:rPr>
        <w:t>Inconsistencies with Guidelines in 5 CFR 1320.5(d</w:t>
      </w:r>
      <w:proofErr w:type="gramStart"/>
      <w:r w:rsidRPr="00A4006B">
        <w:rPr>
          <w:b/>
        </w:rPr>
        <w:t>)(</w:t>
      </w:r>
      <w:proofErr w:type="gramEnd"/>
      <w:r w:rsidRPr="00A4006B">
        <w:rPr>
          <w:b/>
        </w:rPr>
        <w:t>2)</w:t>
      </w:r>
    </w:p>
    <w:p w:rsidR="00A002DA" w:rsidRPr="005C363F" w:rsidRDefault="00A002DA">
      <w:pPr>
        <w:keepNext/>
      </w:pPr>
    </w:p>
    <w:p w:rsidR="00A002DA" w:rsidRPr="005C363F" w:rsidRDefault="00A002DA">
      <w:pPr>
        <w:pStyle w:val="BodyText"/>
        <w:rPr>
          <w:rFonts w:ascii="Times New Roman" w:hAnsi="Times New Roman"/>
          <w:szCs w:val="24"/>
        </w:rPr>
      </w:pPr>
      <w:r w:rsidRPr="005C363F">
        <w:rPr>
          <w:rFonts w:ascii="Times New Roman" w:hAnsi="Times New Roman"/>
          <w:szCs w:val="24"/>
        </w:rPr>
        <w:tab/>
        <w:t xml:space="preserve">Certain </w:t>
      </w:r>
      <w:r w:rsidR="009A376D" w:rsidRPr="005C363F">
        <w:rPr>
          <w:rFonts w:ascii="Times New Roman" w:hAnsi="Times New Roman"/>
          <w:szCs w:val="24"/>
        </w:rPr>
        <w:t xml:space="preserve">provisions of Rule 17a-4 </w:t>
      </w:r>
      <w:r w:rsidRPr="005C363F">
        <w:rPr>
          <w:rFonts w:ascii="Times New Roman" w:hAnsi="Times New Roman"/>
          <w:szCs w:val="24"/>
        </w:rPr>
        <w:t xml:space="preserve">require respondents to retain records for more than three years.  Specifically, </w:t>
      </w:r>
      <w:r w:rsidR="00422E7D">
        <w:rPr>
          <w:rFonts w:ascii="Times New Roman" w:hAnsi="Times New Roman"/>
          <w:szCs w:val="24"/>
        </w:rPr>
        <w:t xml:space="preserve">paragraph (a) of </w:t>
      </w:r>
      <w:r w:rsidRPr="005C363F">
        <w:rPr>
          <w:rFonts w:ascii="Times New Roman" w:hAnsi="Times New Roman"/>
          <w:szCs w:val="24"/>
        </w:rPr>
        <w:t>Rule 17a-4 require</w:t>
      </w:r>
      <w:r w:rsidR="009A376D" w:rsidRPr="005C363F">
        <w:rPr>
          <w:rFonts w:ascii="Times New Roman" w:hAnsi="Times New Roman"/>
          <w:szCs w:val="24"/>
        </w:rPr>
        <w:t>s</w:t>
      </w:r>
      <w:r w:rsidRPr="005C363F">
        <w:rPr>
          <w:rFonts w:ascii="Times New Roman" w:hAnsi="Times New Roman"/>
          <w:szCs w:val="24"/>
        </w:rPr>
        <w:t xml:space="preserve"> broker-dealers to preserve for a period of not less than six years: </w:t>
      </w:r>
    </w:p>
    <w:p w:rsidR="00A002DA" w:rsidRPr="005C363F" w:rsidRDefault="00A002DA">
      <w:pPr>
        <w:pStyle w:val="BodyText"/>
        <w:rPr>
          <w:rFonts w:ascii="Times New Roman" w:hAnsi="Times New Roman"/>
          <w:szCs w:val="24"/>
        </w:rPr>
      </w:pPr>
    </w:p>
    <w:p w:rsidR="00A002DA" w:rsidRPr="005C363F" w:rsidRDefault="00045AA9">
      <w:pPr>
        <w:pStyle w:val="BodyText"/>
        <w:numPr>
          <w:ilvl w:val="0"/>
          <w:numId w:val="4"/>
        </w:numPr>
        <w:rPr>
          <w:rFonts w:ascii="Times New Roman" w:hAnsi="Times New Roman"/>
          <w:szCs w:val="24"/>
        </w:rPr>
      </w:pPr>
      <w:r w:rsidRPr="005C363F">
        <w:rPr>
          <w:rFonts w:ascii="Times New Roman" w:hAnsi="Times New Roman"/>
          <w:szCs w:val="24"/>
        </w:rPr>
        <w:t>Purchase and</w:t>
      </w:r>
      <w:r w:rsidR="00AC3352" w:rsidRPr="005C363F">
        <w:rPr>
          <w:rFonts w:ascii="Times New Roman" w:hAnsi="Times New Roman"/>
          <w:szCs w:val="24"/>
        </w:rPr>
        <w:t xml:space="preserve"> sales blotters</w:t>
      </w:r>
      <w:r w:rsidRPr="005C363F">
        <w:rPr>
          <w:rFonts w:ascii="Times New Roman" w:hAnsi="Times New Roman"/>
          <w:szCs w:val="24"/>
        </w:rPr>
        <w:t>,</w:t>
      </w:r>
      <w:r w:rsidR="00AC3352" w:rsidRPr="005C363F">
        <w:rPr>
          <w:rFonts w:ascii="Times New Roman" w:hAnsi="Times New Roman"/>
          <w:szCs w:val="24"/>
        </w:rPr>
        <w:t xml:space="preserve"> </w:t>
      </w:r>
      <w:r w:rsidRPr="005C363F">
        <w:rPr>
          <w:rFonts w:ascii="Times New Roman" w:hAnsi="Times New Roman"/>
          <w:szCs w:val="24"/>
        </w:rPr>
        <w:t>securities and cash receipts, and</w:t>
      </w:r>
      <w:r w:rsidR="005043F5">
        <w:rPr>
          <w:rFonts w:ascii="Times New Roman" w:hAnsi="Times New Roman"/>
          <w:szCs w:val="24"/>
        </w:rPr>
        <w:t xml:space="preserve"> disbursement</w:t>
      </w:r>
      <w:r w:rsidR="00AC3352" w:rsidRPr="005C363F">
        <w:rPr>
          <w:rFonts w:ascii="Times New Roman" w:hAnsi="Times New Roman"/>
          <w:szCs w:val="24"/>
        </w:rPr>
        <w:t xml:space="preserve"> blotters;</w:t>
      </w:r>
    </w:p>
    <w:p w:rsidR="00AC3352" w:rsidRPr="005C363F" w:rsidRDefault="00AC3352">
      <w:pPr>
        <w:pStyle w:val="BodyText"/>
        <w:numPr>
          <w:ilvl w:val="0"/>
          <w:numId w:val="4"/>
        </w:numPr>
        <w:rPr>
          <w:rFonts w:ascii="Times New Roman" w:hAnsi="Times New Roman"/>
          <w:szCs w:val="24"/>
        </w:rPr>
      </w:pPr>
      <w:r w:rsidRPr="005C363F">
        <w:rPr>
          <w:rFonts w:ascii="Times New Roman" w:hAnsi="Times New Roman"/>
          <w:szCs w:val="24"/>
        </w:rPr>
        <w:t xml:space="preserve">Ledgers of a broker-dealer’s </w:t>
      </w:r>
      <w:r w:rsidR="005043F5">
        <w:rPr>
          <w:rFonts w:ascii="Times New Roman" w:hAnsi="Times New Roman"/>
          <w:szCs w:val="24"/>
        </w:rPr>
        <w:t>assets and</w:t>
      </w:r>
      <w:r w:rsidR="005043F5" w:rsidRPr="005C363F">
        <w:rPr>
          <w:rFonts w:ascii="Times New Roman" w:hAnsi="Times New Roman"/>
          <w:szCs w:val="24"/>
        </w:rPr>
        <w:t xml:space="preserve"> liabilities</w:t>
      </w:r>
      <w:r w:rsidRPr="005C363F">
        <w:rPr>
          <w:rFonts w:ascii="Times New Roman" w:hAnsi="Times New Roman"/>
          <w:szCs w:val="24"/>
        </w:rPr>
        <w:t>, income and expense, and capital accounts;</w:t>
      </w:r>
    </w:p>
    <w:p w:rsidR="00AC3352" w:rsidRPr="005C363F" w:rsidRDefault="005043F5">
      <w:pPr>
        <w:pStyle w:val="BodyText"/>
        <w:numPr>
          <w:ilvl w:val="0"/>
          <w:numId w:val="4"/>
        </w:numPr>
        <w:rPr>
          <w:rFonts w:ascii="Times New Roman" w:hAnsi="Times New Roman"/>
          <w:szCs w:val="24"/>
        </w:rPr>
      </w:pPr>
      <w:r>
        <w:rPr>
          <w:rFonts w:ascii="Times New Roman" w:hAnsi="Times New Roman"/>
          <w:szCs w:val="24"/>
        </w:rPr>
        <w:t>L</w:t>
      </w:r>
      <w:r w:rsidR="00AC3352" w:rsidRPr="005C363F">
        <w:rPr>
          <w:rFonts w:ascii="Times New Roman" w:hAnsi="Times New Roman"/>
          <w:szCs w:val="24"/>
        </w:rPr>
        <w:t>edgers</w:t>
      </w:r>
      <w:r>
        <w:rPr>
          <w:rFonts w:ascii="Times New Roman" w:hAnsi="Times New Roman"/>
          <w:szCs w:val="24"/>
        </w:rPr>
        <w:t xml:space="preserve"> for customer and non-customer accounts</w:t>
      </w:r>
      <w:r w:rsidR="00AC3352" w:rsidRPr="005C363F">
        <w:rPr>
          <w:rFonts w:ascii="Times New Roman" w:hAnsi="Times New Roman"/>
          <w:szCs w:val="24"/>
        </w:rPr>
        <w:t>;</w:t>
      </w:r>
    </w:p>
    <w:p w:rsidR="00AC3352" w:rsidRPr="005C363F" w:rsidRDefault="005043F5">
      <w:pPr>
        <w:pStyle w:val="BodyText"/>
        <w:numPr>
          <w:ilvl w:val="0"/>
          <w:numId w:val="4"/>
        </w:numPr>
        <w:rPr>
          <w:rFonts w:ascii="Times New Roman" w:hAnsi="Times New Roman"/>
          <w:szCs w:val="24"/>
        </w:rPr>
      </w:pPr>
      <w:r>
        <w:rPr>
          <w:rFonts w:ascii="Times New Roman" w:hAnsi="Times New Roman"/>
          <w:szCs w:val="24"/>
        </w:rPr>
        <w:t>Stock record</w:t>
      </w:r>
      <w:r w:rsidR="001B3EEE" w:rsidRPr="005C363F">
        <w:rPr>
          <w:rFonts w:ascii="Times New Roman" w:hAnsi="Times New Roman"/>
          <w:szCs w:val="24"/>
        </w:rPr>
        <w:t>;</w:t>
      </w:r>
    </w:p>
    <w:p w:rsidR="001B3EEE" w:rsidRPr="005C363F" w:rsidRDefault="005043F5">
      <w:pPr>
        <w:pStyle w:val="BodyText"/>
        <w:numPr>
          <w:ilvl w:val="0"/>
          <w:numId w:val="4"/>
        </w:numPr>
        <w:rPr>
          <w:rFonts w:ascii="Times New Roman" w:hAnsi="Times New Roman"/>
          <w:szCs w:val="24"/>
        </w:rPr>
      </w:pPr>
      <w:r>
        <w:rPr>
          <w:rFonts w:ascii="Times New Roman" w:hAnsi="Times New Roman"/>
          <w:szCs w:val="24"/>
        </w:rPr>
        <w:t>A record</w:t>
      </w:r>
      <w:r w:rsidR="002E0486" w:rsidRPr="005C363F">
        <w:rPr>
          <w:rFonts w:ascii="Times New Roman" w:hAnsi="Times New Roman"/>
          <w:szCs w:val="24"/>
        </w:rPr>
        <w:t xml:space="preserve"> of office employees able to explain records to examiners;</w:t>
      </w:r>
      <w:r w:rsidR="00814ECC" w:rsidRPr="005C363F">
        <w:rPr>
          <w:rFonts w:ascii="Times New Roman" w:hAnsi="Times New Roman"/>
          <w:szCs w:val="24"/>
        </w:rPr>
        <w:t xml:space="preserve"> and</w:t>
      </w:r>
    </w:p>
    <w:p w:rsidR="002E0486" w:rsidRPr="005C363F" w:rsidRDefault="002E0486" w:rsidP="00814ECC">
      <w:pPr>
        <w:pStyle w:val="BodyText"/>
        <w:numPr>
          <w:ilvl w:val="0"/>
          <w:numId w:val="4"/>
        </w:numPr>
        <w:rPr>
          <w:rFonts w:ascii="Times New Roman" w:hAnsi="Times New Roman"/>
          <w:szCs w:val="24"/>
        </w:rPr>
      </w:pPr>
      <w:r w:rsidRPr="005C363F">
        <w:rPr>
          <w:rFonts w:ascii="Times New Roman" w:hAnsi="Times New Roman"/>
          <w:szCs w:val="24"/>
        </w:rPr>
        <w:t>A record of persons responsible for establishing policies and procedures designed to ensure that the broker-dealer is compliant with ap</w:t>
      </w:r>
      <w:r w:rsidR="00814ECC" w:rsidRPr="005C363F">
        <w:rPr>
          <w:rFonts w:ascii="Times New Roman" w:hAnsi="Times New Roman"/>
          <w:szCs w:val="24"/>
        </w:rPr>
        <w:t>plicable rules and regulations.</w:t>
      </w:r>
    </w:p>
    <w:p w:rsidR="00A002DA" w:rsidRPr="005C363F" w:rsidRDefault="00A002DA">
      <w:pPr>
        <w:pStyle w:val="BodyText"/>
        <w:ind w:left="360"/>
        <w:rPr>
          <w:rFonts w:ascii="Times New Roman" w:hAnsi="Times New Roman"/>
          <w:szCs w:val="24"/>
        </w:rPr>
      </w:pPr>
    </w:p>
    <w:p w:rsidR="000E0252" w:rsidRPr="005C363F" w:rsidRDefault="000E4F5A">
      <w:pPr>
        <w:pStyle w:val="BodyText"/>
        <w:rPr>
          <w:rFonts w:ascii="Times New Roman" w:hAnsi="Times New Roman"/>
          <w:szCs w:val="24"/>
        </w:rPr>
      </w:pPr>
      <w:r w:rsidRPr="005C363F">
        <w:rPr>
          <w:rFonts w:ascii="Times New Roman" w:hAnsi="Times New Roman"/>
          <w:szCs w:val="24"/>
        </w:rPr>
        <w:t>After the closing of any customer’s account, b</w:t>
      </w:r>
      <w:r w:rsidR="00F21E3A" w:rsidRPr="005C363F">
        <w:rPr>
          <w:rFonts w:ascii="Times New Roman" w:hAnsi="Times New Roman"/>
          <w:szCs w:val="24"/>
        </w:rPr>
        <w:t>roker-dealers</w:t>
      </w:r>
      <w:r w:rsidR="00CA27B6" w:rsidRPr="005C363F">
        <w:rPr>
          <w:rFonts w:ascii="Times New Roman" w:hAnsi="Times New Roman"/>
          <w:szCs w:val="24"/>
        </w:rPr>
        <w:t xml:space="preserve"> must preserve for at least six years any account cards or records which relate to the terms and conditions of opening and maintaining the account.  </w:t>
      </w:r>
      <w:r w:rsidR="000E0252" w:rsidRPr="005C363F">
        <w:rPr>
          <w:rFonts w:ascii="Times New Roman" w:hAnsi="Times New Roman"/>
          <w:szCs w:val="24"/>
        </w:rPr>
        <w:t>Broker-dealers are required to maintain and preserve in an easily accessible place:</w:t>
      </w:r>
    </w:p>
    <w:p w:rsidR="000E0252" w:rsidRPr="005C363F" w:rsidRDefault="000E0252">
      <w:pPr>
        <w:pStyle w:val="BodyText"/>
        <w:rPr>
          <w:rFonts w:ascii="Times New Roman" w:hAnsi="Times New Roman"/>
          <w:szCs w:val="24"/>
        </w:rPr>
      </w:pPr>
    </w:p>
    <w:p w:rsidR="000E0252" w:rsidRPr="005C363F" w:rsidRDefault="00045AA9" w:rsidP="006E2300">
      <w:pPr>
        <w:pStyle w:val="BodyText"/>
        <w:numPr>
          <w:ilvl w:val="0"/>
          <w:numId w:val="7"/>
        </w:numPr>
        <w:rPr>
          <w:rFonts w:ascii="Times New Roman" w:hAnsi="Times New Roman"/>
          <w:szCs w:val="24"/>
        </w:rPr>
      </w:pPr>
      <w:r w:rsidRPr="005C363F">
        <w:rPr>
          <w:rFonts w:ascii="Times New Roman" w:hAnsi="Times New Roman"/>
          <w:szCs w:val="24"/>
        </w:rPr>
        <w:t>Employment records of associated person</w:t>
      </w:r>
      <w:r w:rsidR="006E2300" w:rsidRPr="005C363F">
        <w:rPr>
          <w:rFonts w:ascii="Times New Roman" w:hAnsi="Times New Roman"/>
          <w:szCs w:val="24"/>
        </w:rPr>
        <w:t xml:space="preserve">s </w:t>
      </w:r>
      <w:r w:rsidRPr="005C363F">
        <w:rPr>
          <w:rFonts w:ascii="Times New Roman" w:hAnsi="Times New Roman"/>
          <w:szCs w:val="24"/>
        </w:rPr>
        <w:t xml:space="preserve">until at least three years after the employment </w:t>
      </w:r>
      <w:r w:rsidR="00DD1F0A">
        <w:rPr>
          <w:rFonts w:ascii="Times New Roman" w:hAnsi="Times New Roman"/>
          <w:szCs w:val="24"/>
        </w:rPr>
        <w:t xml:space="preserve">or other connection </w:t>
      </w:r>
      <w:r w:rsidRPr="005C363F">
        <w:rPr>
          <w:rFonts w:ascii="Times New Roman" w:hAnsi="Times New Roman"/>
          <w:szCs w:val="24"/>
        </w:rPr>
        <w:t>h</w:t>
      </w:r>
      <w:r w:rsidR="006E2300" w:rsidRPr="005C363F">
        <w:rPr>
          <w:rFonts w:ascii="Times New Roman" w:hAnsi="Times New Roman"/>
          <w:szCs w:val="24"/>
        </w:rPr>
        <w:t>as terminated;</w:t>
      </w:r>
    </w:p>
    <w:p w:rsidR="006E2300" w:rsidRPr="005C363F" w:rsidRDefault="00045AA9" w:rsidP="006E2300">
      <w:pPr>
        <w:pStyle w:val="BodyText"/>
        <w:numPr>
          <w:ilvl w:val="0"/>
          <w:numId w:val="7"/>
        </w:numPr>
        <w:rPr>
          <w:rFonts w:ascii="Times New Roman" w:hAnsi="Times New Roman"/>
          <w:szCs w:val="24"/>
        </w:rPr>
      </w:pPr>
      <w:r w:rsidRPr="005C363F">
        <w:rPr>
          <w:rFonts w:ascii="Times New Roman" w:hAnsi="Times New Roman"/>
          <w:szCs w:val="24"/>
        </w:rPr>
        <w:t xml:space="preserve">Processed fingerprint cards and other related information </w:t>
      </w:r>
      <w:r w:rsidR="006E2300" w:rsidRPr="005C363F">
        <w:rPr>
          <w:rFonts w:ascii="Times New Roman" w:hAnsi="Times New Roman"/>
          <w:szCs w:val="24"/>
        </w:rPr>
        <w:t>until at least three years after the termination of employment or association;</w:t>
      </w:r>
      <w:r w:rsidRPr="005C363F">
        <w:rPr>
          <w:rFonts w:ascii="Times New Roman" w:hAnsi="Times New Roman"/>
          <w:szCs w:val="24"/>
        </w:rPr>
        <w:t xml:space="preserve"> </w:t>
      </w:r>
    </w:p>
    <w:p w:rsidR="006E2300" w:rsidRPr="005C363F" w:rsidRDefault="005C6AD1" w:rsidP="006E2300">
      <w:pPr>
        <w:pStyle w:val="BodyText"/>
        <w:numPr>
          <w:ilvl w:val="0"/>
          <w:numId w:val="7"/>
        </w:numPr>
        <w:rPr>
          <w:rFonts w:ascii="Times New Roman" w:hAnsi="Times New Roman"/>
          <w:szCs w:val="24"/>
        </w:rPr>
      </w:pPr>
      <w:r w:rsidRPr="005C363F">
        <w:rPr>
          <w:rFonts w:ascii="Times New Roman" w:hAnsi="Times New Roman"/>
          <w:szCs w:val="24"/>
        </w:rPr>
        <w:t>All records required pursuant to paragraph (a)(15) of Rule 17a-3 for the life of the enterprise</w:t>
      </w:r>
      <w:r w:rsidR="00A05886" w:rsidRPr="005C363F">
        <w:rPr>
          <w:rFonts w:ascii="Times New Roman" w:hAnsi="Times New Roman"/>
          <w:szCs w:val="24"/>
        </w:rPr>
        <w:t>;</w:t>
      </w:r>
    </w:p>
    <w:p w:rsidR="005C6AD1" w:rsidRPr="005C363F" w:rsidRDefault="005C6AD1" w:rsidP="006E2300">
      <w:pPr>
        <w:pStyle w:val="BodyText"/>
        <w:numPr>
          <w:ilvl w:val="0"/>
          <w:numId w:val="7"/>
        </w:numPr>
        <w:rPr>
          <w:rFonts w:ascii="Times New Roman" w:hAnsi="Times New Roman"/>
          <w:szCs w:val="24"/>
        </w:rPr>
      </w:pPr>
      <w:r w:rsidRPr="005C363F">
        <w:rPr>
          <w:rFonts w:ascii="Times New Roman" w:hAnsi="Times New Roman"/>
          <w:szCs w:val="24"/>
        </w:rPr>
        <w:t>All account record information required pursuant to</w:t>
      </w:r>
      <w:r w:rsidR="00422E7D">
        <w:rPr>
          <w:rFonts w:ascii="Times New Roman" w:hAnsi="Times New Roman"/>
          <w:szCs w:val="24"/>
        </w:rPr>
        <w:t xml:space="preserve"> paragraph (a)(17) of</w:t>
      </w:r>
      <w:r w:rsidRPr="005C363F">
        <w:rPr>
          <w:rFonts w:ascii="Times New Roman" w:hAnsi="Times New Roman"/>
          <w:szCs w:val="24"/>
        </w:rPr>
        <w:t xml:space="preserve"> Rule 17a-3 until at least six years after the earlier of the date the account was closed or the date on which the information was replaced or updated; and</w:t>
      </w:r>
    </w:p>
    <w:p w:rsidR="005C6AD1" w:rsidRPr="005C363F" w:rsidRDefault="0099434C" w:rsidP="006E2300">
      <w:pPr>
        <w:pStyle w:val="BodyText"/>
        <w:numPr>
          <w:ilvl w:val="0"/>
          <w:numId w:val="7"/>
        </w:numPr>
        <w:rPr>
          <w:rFonts w:ascii="Times New Roman" w:hAnsi="Times New Roman"/>
          <w:szCs w:val="24"/>
        </w:rPr>
      </w:pPr>
      <w:r w:rsidRPr="005C363F">
        <w:rPr>
          <w:rFonts w:ascii="Times New Roman" w:hAnsi="Times New Roman"/>
          <w:szCs w:val="24"/>
        </w:rPr>
        <w:t xml:space="preserve">Each compliance, supervisory, and procedures manual, including any updates, modifications, and revisions to the manual, describing the policies </w:t>
      </w:r>
      <w:r w:rsidR="00FF18DE" w:rsidRPr="005C363F">
        <w:rPr>
          <w:rFonts w:ascii="Times New Roman" w:hAnsi="Times New Roman"/>
          <w:szCs w:val="24"/>
        </w:rPr>
        <w:t xml:space="preserve">and </w:t>
      </w:r>
      <w:r w:rsidR="007110BE">
        <w:rPr>
          <w:rFonts w:ascii="Times New Roman" w:hAnsi="Times New Roman"/>
          <w:szCs w:val="24"/>
        </w:rPr>
        <w:t>practices of the member, broker-</w:t>
      </w:r>
      <w:r w:rsidR="00FF18DE" w:rsidRPr="005C363F">
        <w:rPr>
          <w:rFonts w:ascii="Times New Roman" w:hAnsi="Times New Roman"/>
          <w:szCs w:val="24"/>
        </w:rPr>
        <w:t>dealer with respect to compliance with applicable laws and rules, and supervision of the activities of each natural person ass</w:t>
      </w:r>
      <w:r w:rsidR="007110BE">
        <w:rPr>
          <w:rFonts w:ascii="Times New Roman" w:hAnsi="Times New Roman"/>
          <w:szCs w:val="24"/>
        </w:rPr>
        <w:t>ociated with the member, broker-</w:t>
      </w:r>
      <w:r w:rsidR="00FF18DE" w:rsidRPr="005C363F">
        <w:rPr>
          <w:rFonts w:ascii="Times New Roman" w:hAnsi="Times New Roman"/>
          <w:szCs w:val="24"/>
        </w:rPr>
        <w:t>dealer until three years after the termination of the use of the manual.</w:t>
      </w:r>
    </w:p>
    <w:p w:rsidR="000E0252" w:rsidRPr="005C363F" w:rsidRDefault="000E0252">
      <w:pPr>
        <w:pStyle w:val="BodyText"/>
        <w:rPr>
          <w:rFonts w:ascii="Times New Roman" w:hAnsi="Times New Roman"/>
          <w:szCs w:val="24"/>
        </w:rPr>
      </w:pPr>
    </w:p>
    <w:p w:rsidR="00A002DA" w:rsidRPr="005C363F" w:rsidRDefault="00A002DA">
      <w:pPr>
        <w:pStyle w:val="BodyText"/>
        <w:rPr>
          <w:rFonts w:ascii="Times New Roman" w:hAnsi="Times New Roman"/>
          <w:szCs w:val="24"/>
        </w:rPr>
      </w:pPr>
      <w:r w:rsidRPr="005C363F">
        <w:rPr>
          <w:rFonts w:ascii="Times New Roman" w:hAnsi="Times New Roman"/>
          <w:szCs w:val="24"/>
        </w:rPr>
        <w:t>In addition,</w:t>
      </w:r>
      <w:r w:rsidR="00422E7D">
        <w:rPr>
          <w:rFonts w:ascii="Times New Roman" w:hAnsi="Times New Roman"/>
          <w:szCs w:val="24"/>
        </w:rPr>
        <w:t xml:space="preserve"> paragraph (d) of</w:t>
      </w:r>
      <w:r w:rsidRPr="005C363F">
        <w:rPr>
          <w:rFonts w:ascii="Times New Roman" w:hAnsi="Times New Roman"/>
          <w:szCs w:val="24"/>
        </w:rPr>
        <w:t xml:space="preserve"> </w:t>
      </w:r>
      <w:r w:rsidR="00814ECC" w:rsidRPr="005C363F">
        <w:rPr>
          <w:rFonts w:ascii="Times New Roman" w:hAnsi="Times New Roman"/>
          <w:szCs w:val="24"/>
        </w:rPr>
        <w:t>Rule 17a-4 requires that a broker-dealer maintain specified</w:t>
      </w:r>
      <w:r w:rsidRPr="005C363F">
        <w:rPr>
          <w:rFonts w:ascii="Times New Roman" w:hAnsi="Times New Roman"/>
          <w:szCs w:val="24"/>
        </w:rPr>
        <w:t xml:space="preserve"> organizational documents</w:t>
      </w:r>
      <w:r w:rsidR="00814ECC" w:rsidRPr="005C363F">
        <w:rPr>
          <w:rFonts w:ascii="Times New Roman" w:hAnsi="Times New Roman"/>
          <w:szCs w:val="24"/>
        </w:rPr>
        <w:t xml:space="preserve"> for </w:t>
      </w:r>
      <w:r w:rsidRPr="005C363F">
        <w:rPr>
          <w:rFonts w:ascii="Times New Roman" w:hAnsi="Times New Roman"/>
          <w:szCs w:val="24"/>
        </w:rPr>
        <w:t xml:space="preserve">the life of the enterprise and any successor </w:t>
      </w:r>
      <w:r w:rsidR="00814ECC" w:rsidRPr="005C363F">
        <w:rPr>
          <w:rFonts w:ascii="Times New Roman" w:hAnsi="Times New Roman"/>
          <w:szCs w:val="24"/>
        </w:rPr>
        <w:t>enterprise.</w:t>
      </w:r>
    </w:p>
    <w:p w:rsidR="00A002DA" w:rsidRPr="005C363F" w:rsidRDefault="00A002DA"/>
    <w:p w:rsidR="00A002DA" w:rsidRDefault="00A002DA">
      <w:pPr>
        <w:pStyle w:val="BodyTextIndent3"/>
        <w:rPr>
          <w:rFonts w:ascii="Times New Roman" w:hAnsi="Times New Roman"/>
        </w:rPr>
      </w:pPr>
      <w:r w:rsidRPr="005C363F">
        <w:rPr>
          <w:rFonts w:ascii="Times New Roman" w:hAnsi="Times New Roman"/>
        </w:rPr>
        <w:t>These extended retention periods are necessary in order to provide regulators with sufficient time to conduct comprehensive inspections and investigations.  Due to budget constraints, regulators only examine broker-dealers and office locations periodically.  Further, certain documents</w:t>
      </w:r>
      <w:r w:rsidR="00FC72A1">
        <w:rPr>
          <w:rFonts w:ascii="Times New Roman" w:hAnsi="Times New Roman"/>
        </w:rPr>
        <w:t xml:space="preserve"> required to be retained under Rule 17a-4</w:t>
      </w:r>
      <w:r w:rsidRPr="005C363F">
        <w:rPr>
          <w:rFonts w:ascii="Times New Roman" w:hAnsi="Times New Roman"/>
        </w:rPr>
        <w:t xml:space="preserve"> do not become obsolete (</w:t>
      </w:r>
      <w:r w:rsidRPr="00DD1F0A">
        <w:rPr>
          <w:rFonts w:ascii="Times New Roman" w:hAnsi="Times New Roman"/>
          <w:i/>
          <w:iCs/>
        </w:rPr>
        <w:t>e.g.</w:t>
      </w:r>
      <w:r w:rsidRPr="00FC72A1">
        <w:rPr>
          <w:rFonts w:ascii="Times New Roman" w:hAnsi="Times New Roman"/>
        </w:rPr>
        <w:t>,</w:t>
      </w:r>
      <w:r w:rsidRPr="005C363F">
        <w:rPr>
          <w:rFonts w:ascii="Times New Roman" w:hAnsi="Times New Roman"/>
        </w:rPr>
        <w:t xml:space="preserve"> organizational documents).</w:t>
      </w:r>
    </w:p>
    <w:p w:rsidR="0089349C" w:rsidRDefault="0089349C">
      <w:pPr>
        <w:pStyle w:val="BodyTextIndent3"/>
        <w:rPr>
          <w:rFonts w:ascii="Times New Roman" w:hAnsi="Times New Roman"/>
        </w:rPr>
      </w:pPr>
    </w:p>
    <w:p w:rsidR="0089349C" w:rsidRPr="005C363F" w:rsidRDefault="0089349C">
      <w:pPr>
        <w:pStyle w:val="BodyTextIndent3"/>
        <w:rPr>
          <w:rFonts w:ascii="Times New Roman" w:hAnsi="Times New Roman"/>
        </w:rPr>
      </w:pPr>
      <w:r>
        <w:t xml:space="preserve">None of the </w:t>
      </w:r>
      <w:r w:rsidR="00D027FA">
        <w:t xml:space="preserve">proposed amendments to Rule 17a-4 described in the </w:t>
      </w:r>
      <w:r>
        <w:t>SBS Record</w:t>
      </w:r>
      <w:r w:rsidR="00830118">
        <w:t>keep</w:t>
      </w:r>
      <w:r w:rsidR="003166D0">
        <w:t>ing Release</w:t>
      </w:r>
      <w:r>
        <w:t xml:space="preserve"> </w:t>
      </w:r>
      <w:r w:rsidR="006E1BF0">
        <w:t>would</w:t>
      </w:r>
      <w:r>
        <w:t xml:space="preserve"> </w:t>
      </w:r>
      <w:r w:rsidRPr="005C363F">
        <w:rPr>
          <w:rFonts w:ascii="Times New Roman" w:hAnsi="Times New Roman"/>
        </w:rPr>
        <w:t xml:space="preserve">require respondents to retain </w:t>
      </w:r>
      <w:r>
        <w:rPr>
          <w:rFonts w:ascii="Times New Roman" w:hAnsi="Times New Roman"/>
        </w:rPr>
        <w:t xml:space="preserve">any additional </w:t>
      </w:r>
      <w:r w:rsidRPr="005C363F">
        <w:rPr>
          <w:rFonts w:ascii="Times New Roman" w:hAnsi="Times New Roman"/>
        </w:rPr>
        <w:t>records for more than three years</w:t>
      </w:r>
      <w:r w:rsidR="003166D0">
        <w:rPr>
          <w:rFonts w:ascii="Times New Roman" w:hAnsi="Times New Roman"/>
        </w:rPr>
        <w:t xml:space="preserve"> (although paragraph (d) would replace the requirement for certain respondents to retain Forms BD and BDW for the life of the enterprise with the requirement to retain Form SBSE-BD and SBSE</w:t>
      </w:r>
      <w:r w:rsidR="003166D0">
        <w:rPr>
          <w:rFonts w:ascii="Times New Roman" w:hAnsi="Times New Roman"/>
        </w:rPr>
        <w:noBreakHyphen/>
        <w:t>W for the life of the enterprise)</w:t>
      </w:r>
      <w:r>
        <w:t>.</w:t>
      </w:r>
    </w:p>
    <w:p w:rsidR="00A002DA" w:rsidRPr="005C363F" w:rsidRDefault="00A002DA">
      <w:pPr>
        <w:pStyle w:val="Header"/>
        <w:tabs>
          <w:tab w:val="clear" w:pos="4320"/>
          <w:tab w:val="clear" w:pos="8640"/>
        </w:tabs>
      </w:pPr>
    </w:p>
    <w:p w:rsidR="00A002DA" w:rsidRPr="005C363F" w:rsidRDefault="00A002DA">
      <w:pPr>
        <w:keepNext/>
        <w:ind w:firstLine="720"/>
        <w:rPr>
          <w:b/>
        </w:rPr>
      </w:pPr>
      <w:r w:rsidRPr="005C363F">
        <w:rPr>
          <w:b/>
        </w:rPr>
        <w:t>8.</w:t>
      </w:r>
      <w:r w:rsidRPr="005C363F">
        <w:rPr>
          <w:b/>
        </w:rPr>
        <w:tab/>
      </w:r>
      <w:r w:rsidR="00A4006B">
        <w:rPr>
          <w:b/>
        </w:rPr>
        <w:t xml:space="preserve">Consultations </w:t>
      </w:r>
      <w:proofErr w:type="gramStart"/>
      <w:r w:rsidR="00A4006B">
        <w:rPr>
          <w:b/>
        </w:rPr>
        <w:t>Outside</w:t>
      </w:r>
      <w:proofErr w:type="gramEnd"/>
      <w:r w:rsidR="00A4006B">
        <w:rPr>
          <w:b/>
        </w:rPr>
        <w:t xml:space="preserve"> </w:t>
      </w:r>
      <w:r w:rsidRPr="00A4006B">
        <w:rPr>
          <w:b/>
        </w:rPr>
        <w:t>the Agency</w:t>
      </w:r>
    </w:p>
    <w:p w:rsidR="00A002DA" w:rsidRPr="005C363F" w:rsidRDefault="00A002DA">
      <w:pPr>
        <w:keepNext/>
      </w:pPr>
    </w:p>
    <w:p w:rsidR="00B2402E" w:rsidRPr="006250DB" w:rsidRDefault="00861CE0" w:rsidP="006250DB">
      <w:pPr>
        <w:pStyle w:val="BodyText"/>
        <w:spacing w:after="240"/>
        <w:ind w:firstLine="720"/>
        <w:rPr>
          <w:rFonts w:ascii="Times New Roman" w:hAnsi="Times New Roman"/>
          <w:szCs w:val="24"/>
        </w:rPr>
      </w:pPr>
      <w:r w:rsidRPr="005C363F">
        <w:t xml:space="preserve"> </w:t>
      </w:r>
      <w:r w:rsidR="006250DB" w:rsidRPr="00205696">
        <w:rPr>
          <w:rFonts w:ascii="Times New Roman" w:hAnsi="Times New Roman"/>
          <w:szCs w:val="24"/>
        </w:rPr>
        <w:t xml:space="preserve">The Commission has issued a release soliciting comment on the new “collection of information” requirements and associated paperwork burdens.  A copy of the </w:t>
      </w:r>
      <w:r w:rsidR="006250DB">
        <w:rPr>
          <w:rFonts w:ascii="Times New Roman" w:hAnsi="Times New Roman"/>
          <w:szCs w:val="24"/>
        </w:rPr>
        <w:t>SBS Recordkeeping R</w:t>
      </w:r>
      <w:r w:rsidR="006250DB" w:rsidRPr="00205696">
        <w:rPr>
          <w:rFonts w:ascii="Times New Roman" w:hAnsi="Times New Roman"/>
          <w:szCs w:val="24"/>
        </w:rPr>
        <w:t>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proposed rulemaking will be posted on the Commission’s public website, and made available through</w:t>
      </w:r>
      <w:r w:rsidR="006250DB">
        <w:rPr>
          <w:rFonts w:ascii="Times New Roman" w:hAnsi="Times New Roman"/>
          <w:szCs w:val="24"/>
        </w:rPr>
        <w:t xml:space="preserve"> </w:t>
      </w:r>
      <w:hyperlink r:id="rId9" w:history="1">
        <w:r w:rsidR="008879AE" w:rsidRPr="001D786F">
          <w:rPr>
            <w:rStyle w:val="Hyperlink"/>
            <w:rFonts w:ascii="Times New Roman" w:hAnsi="Times New Roman"/>
          </w:rPr>
          <w:t>http://www</w:t>
        </w:r>
        <w:r w:rsidR="008879AE" w:rsidRPr="001D786F">
          <w:rPr>
            <w:rStyle w:val="Hyperlink"/>
            <w:rFonts w:ascii="Times New Roman" w:hAnsi="Times New Roman"/>
          </w:rPr>
          <w:t>.</w:t>
        </w:r>
        <w:r w:rsidR="008879AE" w:rsidRPr="001D786F">
          <w:rPr>
            <w:rStyle w:val="Hyperlink"/>
            <w:rFonts w:ascii="Times New Roman" w:hAnsi="Times New Roman"/>
          </w:rPr>
          <w:t>sec.gov/rules/proposed.shtml</w:t>
        </w:r>
      </w:hyperlink>
      <w:r w:rsidR="006250DB" w:rsidRPr="00205696">
        <w:rPr>
          <w:rFonts w:ascii="Times New Roman" w:hAnsi="Times New Roman"/>
          <w:szCs w:val="24"/>
        </w:rPr>
        <w:t xml:space="preserve">. </w:t>
      </w:r>
      <w:r w:rsidR="008D4797">
        <w:rPr>
          <w:rFonts w:ascii="Times New Roman" w:hAnsi="Times New Roman"/>
          <w:szCs w:val="24"/>
        </w:rPr>
        <w:t xml:space="preserve"> </w:t>
      </w:r>
      <w:r w:rsidR="006250DB" w:rsidRPr="00205696">
        <w:rPr>
          <w:rFonts w:ascii="Times New Roman" w:hAnsi="Times New Roman"/>
          <w:szCs w:val="24"/>
        </w:rPr>
        <w:t>The Commission will consider all comments received prior to publishing the final rule, and will explain in any adopting release how the final rule responds to such comments, in accordance with 5 C.F.R. 1320.11(f).</w:t>
      </w:r>
    </w:p>
    <w:p w:rsidR="00A002DA" w:rsidRPr="00A4006B" w:rsidRDefault="007E1FA0" w:rsidP="007E1FA0">
      <w:pPr>
        <w:pStyle w:val="BodyText"/>
        <w:rPr>
          <w:b/>
        </w:rPr>
      </w:pPr>
      <w:r>
        <w:rPr>
          <w:rFonts w:ascii="Times New Roman" w:hAnsi="Times New Roman"/>
          <w:szCs w:val="24"/>
        </w:rPr>
        <w:tab/>
      </w:r>
      <w:r w:rsidR="00A002DA" w:rsidRPr="005C363F">
        <w:rPr>
          <w:b/>
        </w:rPr>
        <w:t>9.</w:t>
      </w:r>
      <w:r w:rsidR="00A002DA" w:rsidRPr="005C363F">
        <w:rPr>
          <w:b/>
        </w:rPr>
        <w:tab/>
      </w:r>
      <w:r w:rsidR="00A002DA" w:rsidRPr="00A4006B">
        <w:rPr>
          <w:b/>
        </w:rPr>
        <w:t>Payment or Gift</w:t>
      </w:r>
    </w:p>
    <w:p w:rsidR="00A002DA" w:rsidRPr="005C363F" w:rsidRDefault="00A002DA">
      <w:pPr>
        <w:keepNext/>
      </w:pPr>
    </w:p>
    <w:p w:rsidR="00A002DA" w:rsidRDefault="00FC72A1">
      <w:r>
        <w:tab/>
      </w:r>
      <w:r w:rsidRPr="00FC72A1">
        <w:t>No payment or gift is provided to respondents.</w:t>
      </w:r>
    </w:p>
    <w:p w:rsidR="00FC72A1" w:rsidRPr="005C363F" w:rsidRDefault="00FC72A1"/>
    <w:p w:rsidR="00A002DA" w:rsidRPr="005C363F" w:rsidRDefault="00A002DA">
      <w:pPr>
        <w:keepNext/>
        <w:ind w:firstLine="720"/>
        <w:rPr>
          <w:b/>
        </w:rPr>
      </w:pPr>
      <w:r w:rsidRPr="005C363F">
        <w:rPr>
          <w:b/>
        </w:rPr>
        <w:t>10.</w:t>
      </w:r>
      <w:r w:rsidRPr="005C363F">
        <w:rPr>
          <w:b/>
        </w:rPr>
        <w:tab/>
      </w:r>
      <w:r w:rsidRPr="007E1FA0">
        <w:rPr>
          <w:b/>
        </w:rPr>
        <w:t>Confidentiality</w:t>
      </w:r>
    </w:p>
    <w:p w:rsidR="00A002DA" w:rsidRPr="005C363F" w:rsidRDefault="00A002DA">
      <w:pPr>
        <w:keepNext/>
      </w:pPr>
    </w:p>
    <w:p w:rsidR="00A002DA" w:rsidRPr="006250DB" w:rsidRDefault="006250DB" w:rsidP="006250DB">
      <w:pPr>
        <w:pStyle w:val="BodyText"/>
        <w:spacing w:after="240"/>
        <w:ind w:firstLine="720"/>
        <w:rPr>
          <w:rFonts w:ascii="Times New Roman" w:hAnsi="Times New Roman"/>
          <w:szCs w:val="24"/>
        </w:rPr>
      </w:pPr>
      <w:r w:rsidRPr="00205696">
        <w:rPr>
          <w:rFonts w:ascii="Times New Roman" w:hAnsi="Times New Roman"/>
          <w:szCs w:val="24"/>
        </w:rPr>
        <w:t>The records required by Rule 17a-</w:t>
      </w:r>
      <w:r w:rsidR="00B44448">
        <w:rPr>
          <w:rFonts w:ascii="Times New Roman" w:hAnsi="Times New Roman"/>
          <w:szCs w:val="24"/>
        </w:rPr>
        <w:t>4</w:t>
      </w:r>
      <w:r w:rsidRPr="00205696">
        <w:rPr>
          <w:rFonts w:ascii="Times New Roman" w:hAnsi="Times New Roman"/>
          <w:szCs w:val="24"/>
        </w:rPr>
        <w:t xml:space="preserve"> are available only to the examination staffs of the Commission, state regulatory authorities, and SROs.  Subject to the provisions of the Freedom of Information Act, 5 U.S.C. § 552, and the Commission’s rules thereunder (17 CFR 200.80(b</w:t>
      </w:r>
      <w:proofErr w:type="gramStart"/>
      <w:r w:rsidRPr="00205696">
        <w:rPr>
          <w:rFonts w:ascii="Times New Roman" w:hAnsi="Times New Roman"/>
          <w:szCs w:val="24"/>
        </w:rPr>
        <w:t>)(</w:t>
      </w:r>
      <w:proofErr w:type="gramEnd"/>
      <w:r w:rsidRPr="00205696">
        <w:rPr>
          <w:rFonts w:ascii="Times New Roman" w:hAnsi="Times New Roman"/>
          <w:szCs w:val="24"/>
        </w:rPr>
        <w:t xml:space="preserve">4)(iii)), the Commission generally does not publish or make available information contained in reports, summaries, analyses, letters, or memoranda arising out of, in anticipation of, or in connection with an examination or inspection of the books and records of any person or any other investigation.  </w:t>
      </w:r>
    </w:p>
    <w:p w:rsidR="00A002DA" w:rsidRPr="007E1FA0" w:rsidRDefault="00A002DA">
      <w:pPr>
        <w:keepNext/>
        <w:ind w:firstLine="720"/>
        <w:rPr>
          <w:b/>
        </w:rPr>
      </w:pPr>
      <w:r w:rsidRPr="005C363F">
        <w:rPr>
          <w:b/>
        </w:rPr>
        <w:t>11.</w:t>
      </w:r>
      <w:r w:rsidRPr="005C363F">
        <w:rPr>
          <w:b/>
        </w:rPr>
        <w:tab/>
      </w:r>
      <w:r w:rsidRPr="007E1FA0">
        <w:rPr>
          <w:b/>
        </w:rPr>
        <w:t>Sensitive Questions</w:t>
      </w:r>
    </w:p>
    <w:p w:rsidR="00A002DA" w:rsidRPr="005C363F" w:rsidRDefault="00A002DA">
      <w:pPr>
        <w:keepNext/>
      </w:pPr>
    </w:p>
    <w:p w:rsidR="00FC72A1" w:rsidRPr="00FC72A1" w:rsidRDefault="00FC72A1" w:rsidP="00FC72A1">
      <w:r w:rsidRPr="00FC72A1">
        <w:tab/>
        <w:t xml:space="preserve">Not applicable.  </w:t>
      </w:r>
      <w:r w:rsidR="008879AE" w:rsidRPr="0090769E">
        <w:t>The collection of information will not include Personally Identifiable Information.</w:t>
      </w:r>
      <w:r w:rsidR="008879AE" w:rsidRPr="0090769E">
        <w:rPr>
          <w:rStyle w:val="FootnoteReference"/>
        </w:rPr>
        <w:footnoteReference w:id="17"/>
      </w:r>
      <w:r w:rsidR="008879AE">
        <w:t xml:space="preserve">  </w:t>
      </w:r>
      <w:r w:rsidRPr="00FC72A1">
        <w:t>No information of a sensitive nature is required.</w:t>
      </w:r>
    </w:p>
    <w:p w:rsidR="00A002DA" w:rsidRPr="005C363F" w:rsidRDefault="00A002DA"/>
    <w:p w:rsidR="00A002DA" w:rsidRPr="005C363F" w:rsidRDefault="00A002DA">
      <w:pPr>
        <w:keepNext/>
        <w:ind w:firstLine="720"/>
        <w:rPr>
          <w:b/>
        </w:rPr>
      </w:pPr>
      <w:r w:rsidRPr="005C363F">
        <w:rPr>
          <w:b/>
        </w:rPr>
        <w:t>12.</w:t>
      </w:r>
      <w:r w:rsidRPr="005C363F">
        <w:rPr>
          <w:b/>
        </w:rPr>
        <w:tab/>
      </w:r>
      <w:r w:rsidRPr="007E1FA0">
        <w:rPr>
          <w:b/>
        </w:rPr>
        <w:t>Burden</w:t>
      </w:r>
      <w:r w:rsidR="007E1FA0" w:rsidRPr="007E1FA0">
        <w:rPr>
          <w:b/>
        </w:rPr>
        <w:t xml:space="preserve"> of Information Collection</w:t>
      </w:r>
    </w:p>
    <w:p w:rsidR="00A002DA" w:rsidRPr="005C363F" w:rsidRDefault="00A002DA">
      <w:pPr>
        <w:keepNext/>
      </w:pPr>
    </w:p>
    <w:p w:rsidR="00B44448" w:rsidRDefault="00B44448" w:rsidP="00B44448">
      <w:pPr>
        <w:spacing w:after="240"/>
        <w:ind w:firstLine="720"/>
        <w:rPr>
          <w:spacing w:val="-3"/>
        </w:rPr>
      </w:pPr>
      <w:r w:rsidRPr="00205696">
        <w:rPr>
          <w:spacing w:val="-3"/>
        </w:rPr>
        <w:t>All registered broker-dealers are subject to Rule 17a-</w:t>
      </w:r>
      <w:r>
        <w:rPr>
          <w:spacing w:val="-3"/>
        </w:rPr>
        <w:t>4</w:t>
      </w:r>
      <w:r w:rsidRPr="00205696">
        <w:rPr>
          <w:spacing w:val="-3"/>
        </w:rPr>
        <w:t>.  Based on FOCUS Report data, there we</w:t>
      </w:r>
      <w:r w:rsidR="00275F1C">
        <w:rPr>
          <w:spacing w:val="-3"/>
        </w:rPr>
        <w:t>re 4,545</w:t>
      </w:r>
      <w:r w:rsidRPr="00205696">
        <w:rPr>
          <w:spacing w:val="-3"/>
        </w:rPr>
        <w:t xml:space="preserve"> broker-dealers registered with the Co</w:t>
      </w:r>
      <w:r w:rsidR="00ED0A93">
        <w:rPr>
          <w:spacing w:val="-3"/>
        </w:rPr>
        <w:t xml:space="preserve">mmission as of </w:t>
      </w:r>
      <w:r w:rsidR="00275F1C">
        <w:rPr>
          <w:spacing w:val="-3"/>
        </w:rPr>
        <w:t>April 1, 2013</w:t>
      </w:r>
      <w:r w:rsidRPr="003C597B">
        <w:rPr>
          <w:spacing w:val="-3"/>
        </w:rPr>
        <w:t xml:space="preserve">.  </w:t>
      </w:r>
      <w:r w:rsidR="006B34CE" w:rsidRPr="003C597B">
        <w:rPr>
          <w:spacing w:val="-3"/>
        </w:rPr>
        <w:t xml:space="preserve">Of these </w:t>
      </w:r>
      <w:r w:rsidR="00275F1C" w:rsidRPr="003C597B">
        <w:rPr>
          <w:spacing w:val="-3"/>
        </w:rPr>
        <w:t>4,545</w:t>
      </w:r>
      <w:r w:rsidR="003C597B" w:rsidRPr="003C597B">
        <w:rPr>
          <w:spacing w:val="-3"/>
        </w:rPr>
        <w:t xml:space="preserve"> broker-dealers, 1,508</w:t>
      </w:r>
      <w:r w:rsidR="006B34CE" w:rsidRPr="003C597B">
        <w:rPr>
          <w:spacing w:val="-3"/>
        </w:rPr>
        <w:t xml:space="preserve"> are</w:t>
      </w:r>
      <w:r w:rsidR="005D5AE8">
        <w:rPr>
          <w:spacing w:val="-3"/>
        </w:rPr>
        <w:t xml:space="preserve"> estimated to be</w:t>
      </w:r>
      <w:r w:rsidR="006B34CE" w:rsidRPr="003C597B">
        <w:rPr>
          <w:spacing w:val="-3"/>
        </w:rPr>
        <w:t xml:space="preserve"> small business entities.</w:t>
      </w:r>
      <w:r w:rsidR="005D5AE8">
        <w:rPr>
          <w:spacing w:val="-3"/>
        </w:rPr>
        <w:t xml:space="preserve"> </w:t>
      </w:r>
      <w:r w:rsidR="006B34CE" w:rsidRPr="003C597B">
        <w:rPr>
          <w:spacing w:val="-3"/>
        </w:rPr>
        <w:t xml:space="preserve"> </w:t>
      </w:r>
      <w:r w:rsidRPr="003C597B">
        <w:t>Prior to the SBS Recordkeeping</w:t>
      </w:r>
      <w:r w:rsidRPr="00205696">
        <w:t xml:space="preserve"> Release, the Commission estimated that the ongoing burden for a registered broker-dealer to comply with the requirements of Rule 17a-</w:t>
      </w:r>
      <w:r>
        <w:t>4</w:t>
      </w:r>
      <w:r w:rsidRPr="00205696">
        <w:t xml:space="preserve"> averaged out to </w:t>
      </w:r>
      <w:r>
        <w:t>254</w:t>
      </w:r>
      <w:r w:rsidRPr="00205696">
        <w:t xml:space="preserve"> hours per year,</w:t>
      </w:r>
      <w:r w:rsidRPr="00205696">
        <w:rPr>
          <w:rStyle w:val="FootnoteReference"/>
        </w:rPr>
        <w:footnoteReference w:id="18"/>
      </w:r>
      <w:r w:rsidRPr="00205696">
        <w:t xml:space="preserve"> although actual recordkeeping requirements vary depending on the broker-dealer’s size and complexity.</w:t>
      </w:r>
      <w:r w:rsidRPr="00205696">
        <w:rPr>
          <w:spacing w:val="-3"/>
        </w:rPr>
        <w:t xml:space="preserve">  </w:t>
      </w:r>
      <w:r w:rsidRPr="00205696">
        <w:t>Therefore, the total estimated ongoing hour burden for broker-dealers to comply with Rule 17a-</w:t>
      </w:r>
      <w:r w:rsidR="00D027FA">
        <w:t>4</w:t>
      </w:r>
      <w:r w:rsidRPr="00205696">
        <w:t xml:space="preserve"> before the SBS Recordkeeping Release would be </w:t>
      </w:r>
      <w:r w:rsidR="00275F1C" w:rsidRPr="00275F1C">
        <w:t xml:space="preserve">1,154,430 </w:t>
      </w:r>
      <w:r w:rsidRPr="00205696">
        <w:t>hours per year.</w:t>
      </w:r>
      <w:r w:rsidRPr="00205696">
        <w:rPr>
          <w:rStyle w:val="FootnoteReference"/>
        </w:rPr>
        <w:footnoteReference w:id="19"/>
      </w:r>
      <w:r w:rsidRPr="00205696">
        <w:t xml:space="preserve"> </w:t>
      </w:r>
      <w:r w:rsidRPr="00205696">
        <w:rPr>
          <w:spacing w:val="-3"/>
        </w:rPr>
        <w:t xml:space="preserve"> </w:t>
      </w:r>
    </w:p>
    <w:p w:rsidR="00911BA9" w:rsidRDefault="009C0C54" w:rsidP="009C0C54">
      <w:pPr>
        <w:spacing w:after="240"/>
        <w:ind w:firstLine="720"/>
      </w:pPr>
      <w:r w:rsidRPr="00205696">
        <w:t>To aggregate the entire burden of Rule 17a-</w:t>
      </w:r>
      <w:r>
        <w:t>4</w:t>
      </w:r>
      <w:r w:rsidRPr="00205696">
        <w:t xml:space="preserve"> into one information collection (and OMB control number), the Commission is moving the annual burden hours for paragraph (</w:t>
      </w:r>
      <w:r>
        <w:t>b</w:t>
      </w:r>
      <w:proofErr w:type="gramStart"/>
      <w:r w:rsidRPr="00205696">
        <w:t>)(</w:t>
      </w:r>
      <w:proofErr w:type="gramEnd"/>
      <w:r w:rsidRPr="00205696">
        <w:t>1</w:t>
      </w:r>
      <w:r>
        <w:t>1</w:t>
      </w:r>
      <w:r w:rsidRPr="00205696">
        <w:t>) of Rule 17a-</w:t>
      </w:r>
      <w:r w:rsidR="00D027FA">
        <w:t>4</w:t>
      </w:r>
      <w:r w:rsidRPr="00205696">
        <w:t xml:space="preserve"> into this information collection</w:t>
      </w:r>
      <w:r w:rsidRPr="00205696">
        <w:rPr>
          <w:spacing w:val="-3"/>
        </w:rPr>
        <w:t>.</w:t>
      </w:r>
      <w:r w:rsidR="00911BA9">
        <w:rPr>
          <w:rFonts w:ascii="CG Times" w:hAnsi="CG Times"/>
          <w:spacing w:val="-3"/>
        </w:rPr>
        <w:t xml:space="preserve">  Paragraph (b</w:t>
      </w:r>
      <w:proofErr w:type="gramStart"/>
      <w:r w:rsidR="00911BA9">
        <w:rPr>
          <w:rFonts w:ascii="CG Times" w:hAnsi="CG Times"/>
          <w:spacing w:val="-3"/>
        </w:rPr>
        <w:t>)(</w:t>
      </w:r>
      <w:proofErr w:type="gramEnd"/>
      <w:r w:rsidR="00911BA9">
        <w:rPr>
          <w:rFonts w:ascii="CG Times" w:hAnsi="CG Times"/>
          <w:spacing w:val="-3"/>
        </w:rPr>
        <w:t>11) of Rule 17a-4 requires any broker-dealer that sponsors an internal broker-dealer system to maintain certain records relating to such system for at least three years, the first two years in an easily accessible place.</w:t>
      </w:r>
      <w:r w:rsidR="00911BA9">
        <w:rPr>
          <w:rStyle w:val="FootnoteReference"/>
          <w:rFonts w:ascii="CG Times" w:hAnsi="CG Times"/>
          <w:spacing w:val="-3"/>
        </w:rPr>
        <w:footnoteReference w:id="20"/>
      </w:r>
      <w:r w:rsidR="00911BA9">
        <w:rPr>
          <w:rFonts w:ascii="CG Times" w:hAnsi="CG Times"/>
          <w:spacing w:val="-3"/>
        </w:rPr>
        <w:t xml:space="preserve">  </w:t>
      </w:r>
      <w:r w:rsidR="00911BA9" w:rsidRPr="00CB67E8">
        <w:rPr>
          <w:spacing w:val="-3"/>
        </w:rPr>
        <w:t xml:space="preserve">The Commission estimates that </w:t>
      </w:r>
      <w:r w:rsidR="00911BA9">
        <w:rPr>
          <w:rFonts w:ascii="CG Times" w:hAnsi="CG Times"/>
          <w:spacing w:val="-3"/>
        </w:rPr>
        <w:t>paragraph (b</w:t>
      </w:r>
      <w:proofErr w:type="gramStart"/>
      <w:r w:rsidR="00911BA9">
        <w:rPr>
          <w:rFonts w:ascii="CG Times" w:hAnsi="CG Times"/>
          <w:spacing w:val="-3"/>
        </w:rPr>
        <w:t>)(</w:t>
      </w:r>
      <w:proofErr w:type="gramEnd"/>
      <w:r w:rsidR="00911BA9">
        <w:rPr>
          <w:rFonts w:ascii="CG Times" w:hAnsi="CG Times"/>
          <w:spacing w:val="-3"/>
        </w:rPr>
        <w:t xml:space="preserve">11) of Rule 17a-4 </w:t>
      </w:r>
      <w:r w:rsidR="00911BA9" w:rsidRPr="00CB67E8">
        <w:rPr>
          <w:spacing w:val="-3"/>
        </w:rPr>
        <w:t>impose</w:t>
      </w:r>
      <w:r w:rsidR="00911BA9">
        <w:rPr>
          <w:spacing w:val="-3"/>
        </w:rPr>
        <w:t>s</w:t>
      </w:r>
      <w:r w:rsidR="00911BA9" w:rsidRPr="00CB67E8">
        <w:rPr>
          <w:spacing w:val="-3"/>
        </w:rPr>
        <w:t xml:space="preserve"> an annual burden of </w:t>
      </w:r>
      <w:r w:rsidR="00911BA9">
        <w:rPr>
          <w:rFonts w:ascii="CG Times" w:hAnsi="CG Times"/>
          <w:spacing w:val="-3"/>
        </w:rPr>
        <w:t xml:space="preserve">3 hours per year to maintain the requisite </w:t>
      </w:r>
      <w:r w:rsidR="00911BA9" w:rsidRPr="008879AE">
        <w:rPr>
          <w:spacing w:val="-3"/>
        </w:rPr>
        <w:t>records.  The Commission estimates that there are approximately 1</w:t>
      </w:r>
      <w:r w:rsidRPr="008879AE">
        <w:rPr>
          <w:spacing w:val="-3"/>
        </w:rPr>
        <w:t>5</w:t>
      </w:r>
      <w:r w:rsidR="00911BA9" w:rsidRPr="008879AE">
        <w:rPr>
          <w:spacing w:val="-3"/>
        </w:rPr>
        <w:t>0 internal broker-dealer systems,</w:t>
      </w:r>
      <w:r w:rsidR="00911BA9" w:rsidRPr="008879AE">
        <w:rPr>
          <w:rStyle w:val="FootnoteReference"/>
          <w:spacing w:val="-3"/>
        </w:rPr>
        <w:footnoteReference w:id="21"/>
      </w:r>
      <w:r w:rsidR="00911BA9" w:rsidRPr="008879AE">
        <w:rPr>
          <w:spacing w:val="-3"/>
        </w:rPr>
        <w:t xml:space="preserve"> resulting in an annual </w:t>
      </w:r>
      <w:r w:rsidR="002024F7" w:rsidRPr="008879AE">
        <w:rPr>
          <w:spacing w:val="-3"/>
        </w:rPr>
        <w:t xml:space="preserve">recordkeeping </w:t>
      </w:r>
      <w:r w:rsidR="00911BA9" w:rsidRPr="008879AE">
        <w:rPr>
          <w:spacing w:val="-3"/>
        </w:rPr>
        <w:t xml:space="preserve">burden of </w:t>
      </w:r>
      <w:r w:rsidRPr="008879AE">
        <w:rPr>
          <w:spacing w:val="-3"/>
        </w:rPr>
        <w:t>45</w:t>
      </w:r>
      <w:r w:rsidR="00911BA9" w:rsidRPr="008879AE">
        <w:rPr>
          <w:spacing w:val="-3"/>
        </w:rPr>
        <w:t>0 hours.</w:t>
      </w:r>
      <w:r w:rsidR="00911BA9" w:rsidRPr="008879AE">
        <w:rPr>
          <w:rStyle w:val="FootnoteReference"/>
          <w:spacing w:val="-3"/>
        </w:rPr>
        <w:footnoteReference w:id="22"/>
      </w:r>
      <w:r>
        <w:rPr>
          <w:spacing w:val="-3"/>
        </w:rPr>
        <w:t xml:space="preserve">  </w:t>
      </w:r>
    </w:p>
    <w:p w:rsidR="000A1240" w:rsidRDefault="009C0C54" w:rsidP="009C0C54">
      <w:pPr>
        <w:ind w:firstLine="720"/>
      </w:pPr>
      <w:r w:rsidRPr="00205696">
        <w:t>The proposed amendments to Rule 17a-</w:t>
      </w:r>
      <w:r>
        <w:t>4</w:t>
      </w:r>
      <w:r w:rsidRPr="00205696">
        <w:t xml:space="preserve"> described in the SBS Recordkeeping Release would establish additional recordkeeping requirements applicable to broker-dealers to the extent they engage in security-based swap or swap activities.</w:t>
      </w:r>
      <w:r w:rsidRPr="00205696">
        <w:rPr>
          <w:rStyle w:val="FootnoteReference"/>
        </w:rPr>
        <w:footnoteReference w:id="23"/>
      </w:r>
      <w:r w:rsidRPr="00205696">
        <w:t xml:space="preserve">  The Commission expects that many of </w:t>
      </w:r>
      <w:r w:rsidRPr="00205696">
        <w:lastRenderedPageBreak/>
        <w:t xml:space="preserve">the additional proposed amendments, which are largely technical in nature, </w:t>
      </w:r>
      <w:r w:rsidR="006E1BF0">
        <w:t>should</w:t>
      </w:r>
      <w:r w:rsidRPr="00205696">
        <w:t xml:space="preserve"> not impose an hour burden or costs.  </w:t>
      </w:r>
      <w:r w:rsidR="000A1240">
        <w:t xml:space="preserve">Additionally, </w:t>
      </w:r>
      <w:r w:rsidR="000A1240">
        <w:rPr>
          <w:rFonts w:eastAsiaTheme="minorHAnsi"/>
        </w:rPr>
        <w:t>the Commission is proposing certain amendments</w:t>
      </w:r>
      <w:r w:rsidR="000A1240" w:rsidRPr="003E5809">
        <w:rPr>
          <w:rFonts w:eastAsiaTheme="minorHAnsi"/>
        </w:rPr>
        <w:t xml:space="preserve"> to Rule 17a-4 </w:t>
      </w:r>
      <w:r w:rsidR="000A1240">
        <w:rPr>
          <w:rFonts w:eastAsiaTheme="minorHAnsi"/>
        </w:rPr>
        <w:t xml:space="preserve">that </w:t>
      </w:r>
      <w:r w:rsidR="000A1240" w:rsidRPr="003E5809">
        <w:rPr>
          <w:rFonts w:eastAsiaTheme="minorHAnsi"/>
        </w:rPr>
        <w:t>would require broker-dealer SBSDs and broker-dealer MSBSPs to retain certain new records</w:t>
      </w:r>
      <w:r w:rsidR="000A1240">
        <w:rPr>
          <w:rFonts w:eastAsiaTheme="minorHAnsi"/>
        </w:rPr>
        <w:t>,</w:t>
      </w:r>
      <w:r w:rsidR="000A1240" w:rsidRPr="003E5809">
        <w:rPr>
          <w:rFonts w:eastAsiaTheme="minorHAnsi"/>
        </w:rPr>
        <w:t xml:space="preserve"> but would no longer require them to retain other records required to be kept by non-SBSD/MSBSP broker-dealers.</w:t>
      </w:r>
      <w:r w:rsidR="000A1240">
        <w:rPr>
          <w:rStyle w:val="FootnoteReference"/>
          <w:rFonts w:eastAsiaTheme="minorHAnsi"/>
        </w:rPr>
        <w:footnoteReference w:id="24"/>
      </w:r>
      <w:r w:rsidR="000A1240" w:rsidRPr="003E5809">
        <w:rPr>
          <w:rFonts w:eastAsiaTheme="minorHAnsi"/>
        </w:rPr>
        <w:t xml:space="preserve">  </w:t>
      </w:r>
      <w:r w:rsidR="000A1240">
        <w:t xml:space="preserve">These proposed amendments are not expected to significantly change the number of documents that the broker-dealer must preserve, but simply the type of document that must be preserved, and therefore are not expected to affect the hour burden </w:t>
      </w:r>
      <w:r w:rsidR="00A83FB6">
        <w:t xml:space="preserve">or cost </w:t>
      </w:r>
      <w:r w:rsidR="000A1240">
        <w:t>of compliance with Rule 17a-4.</w:t>
      </w:r>
    </w:p>
    <w:p w:rsidR="000A1240" w:rsidRDefault="000A1240" w:rsidP="009C0C54">
      <w:pPr>
        <w:ind w:firstLine="720"/>
      </w:pPr>
    </w:p>
    <w:p w:rsidR="009C0C54" w:rsidRDefault="009C0C54" w:rsidP="009C0C54">
      <w:pPr>
        <w:ind w:firstLine="720"/>
      </w:pPr>
      <w:r w:rsidRPr="00205696">
        <w:t xml:space="preserve">Those amendments that </w:t>
      </w:r>
      <w:r w:rsidR="00657B80">
        <w:t>are expected to</w:t>
      </w:r>
      <w:r w:rsidRPr="00205696">
        <w:t xml:space="preserve"> impose an additional one-time initial burden or an additional ongoing burden to the industry are discussed below.</w:t>
      </w:r>
    </w:p>
    <w:p w:rsidR="009C0C54" w:rsidRDefault="009C0C54" w:rsidP="009C0C54">
      <w:pPr>
        <w:ind w:firstLine="720"/>
        <w:rPr>
          <w:rFonts w:eastAsiaTheme="minorHAnsi"/>
        </w:rPr>
      </w:pPr>
    </w:p>
    <w:p w:rsidR="009C0C54" w:rsidRDefault="00A83FB6" w:rsidP="00096936">
      <w:pPr>
        <w:ind w:firstLine="720"/>
      </w:pPr>
      <w:r>
        <w:rPr>
          <w:rFonts w:eastAsiaTheme="minorHAnsi"/>
          <w:b/>
        </w:rPr>
        <w:t>Telephonic Communications</w:t>
      </w:r>
      <w:r w:rsidR="000A1240">
        <w:rPr>
          <w:rFonts w:eastAsiaTheme="minorHAnsi"/>
          <w:b/>
        </w:rPr>
        <w:t xml:space="preserve">: </w:t>
      </w:r>
      <w:r w:rsidR="009C0C54">
        <w:t>The Commission is proposing to amend paragraph (b)(4) of Rule 17a-4 to require broker</w:t>
      </w:r>
      <w:r w:rsidR="009C0C54">
        <w:noBreakHyphen/>
        <w:t>dealer SBSDs and broker-dealer MSBSPs to retain telephone calls that have already been recorded and are related to the broker-dealer SBSD’s and broker-dealer MSBSP’s security-based swap business.</w:t>
      </w:r>
      <w:r w:rsidR="009C0C54">
        <w:rPr>
          <w:rStyle w:val="FootnoteReference"/>
        </w:rPr>
        <w:footnoteReference w:id="25"/>
      </w:r>
      <w:r w:rsidR="00A963AC">
        <w:t xml:space="preserve">  </w:t>
      </w:r>
      <w:r w:rsidR="00A963AC" w:rsidRPr="00657B80">
        <w:rPr>
          <w:rFonts w:eastAsiaTheme="minorHAnsi"/>
        </w:rPr>
        <w:t>Paragraph (b)(4) of Rule 17a-4, as proposed to be amended, only requires the retention of telephonic recordings the broker-dealer SBSD or broker-dealer MSBSP voluntarily chooses to record, so the Commission’s burden estimate does not include the cost of recording phone calls.  Therefore, the burden imposed by the proposed amendment would be to provide adequate physical space and computer hardware and software for storage</w:t>
      </w:r>
      <w:r w:rsidR="00EB3B64" w:rsidRPr="00657B80">
        <w:rPr>
          <w:rFonts w:eastAsiaTheme="minorHAnsi"/>
        </w:rPr>
        <w:t>.</w:t>
      </w:r>
      <w:r w:rsidR="00A963AC" w:rsidRPr="00657B80">
        <w:rPr>
          <w:rFonts w:eastAsiaTheme="minorHAnsi"/>
        </w:rPr>
        <w:t xml:space="preserve">  </w:t>
      </w:r>
      <w:r w:rsidR="00A963AC" w:rsidRPr="00A963AC">
        <w:rPr>
          <w:rFonts w:eastAsiaTheme="minorHAnsi"/>
        </w:rPr>
        <w:t>The Commission estimates that the proposed amendment to paragraph (b)(4) of Rule 17a-4 would impose an initial burden of 13 hours</w:t>
      </w:r>
      <w:r w:rsidR="00757E0C">
        <w:rPr>
          <w:rFonts w:eastAsiaTheme="minorHAnsi"/>
        </w:rPr>
        <w:t xml:space="preserve"> per firm</w:t>
      </w:r>
      <w:r w:rsidR="00A963AC" w:rsidRPr="00A963AC">
        <w:rPr>
          <w:rFonts w:eastAsiaTheme="minorHAnsi"/>
        </w:rPr>
        <w:t xml:space="preserve"> </w:t>
      </w:r>
      <w:r w:rsidR="00096936">
        <w:rPr>
          <w:rFonts w:eastAsiaTheme="minorHAnsi"/>
        </w:rPr>
        <w:t>in the first year</w:t>
      </w:r>
      <w:r w:rsidR="00A963AC">
        <w:rPr>
          <w:rFonts w:eastAsiaTheme="minorHAnsi"/>
        </w:rPr>
        <w:t xml:space="preserve"> and an ongoing burden of </w:t>
      </w:r>
      <w:r w:rsidR="00096936">
        <w:rPr>
          <w:rFonts w:eastAsiaTheme="minorHAnsi"/>
        </w:rPr>
        <w:t>6</w:t>
      </w:r>
      <w:r w:rsidR="00A963AC">
        <w:rPr>
          <w:rFonts w:eastAsiaTheme="minorHAnsi"/>
        </w:rPr>
        <w:t xml:space="preserve"> hours per </w:t>
      </w:r>
      <w:r w:rsidR="00096936">
        <w:rPr>
          <w:rFonts w:eastAsiaTheme="minorHAnsi"/>
        </w:rPr>
        <w:t>year (including the first year)</w:t>
      </w:r>
      <w:r w:rsidR="00A963AC" w:rsidRPr="00A963AC">
        <w:rPr>
          <w:rFonts w:eastAsiaTheme="minorHAnsi"/>
        </w:rPr>
        <w:t xml:space="preserve">.  The Commission estimates that there are </w:t>
      </w:r>
      <w:r w:rsidR="00096936">
        <w:rPr>
          <w:rFonts w:eastAsiaTheme="minorHAnsi"/>
        </w:rPr>
        <w:t>17</w:t>
      </w:r>
      <w:r w:rsidR="00281838">
        <w:rPr>
          <w:rFonts w:eastAsiaTheme="minorHAnsi"/>
        </w:rPr>
        <w:t xml:space="preserve"> respondents</w:t>
      </w:r>
      <w:r w:rsidR="00A963AC" w:rsidRPr="00A963AC">
        <w:rPr>
          <w:rFonts w:eastAsiaTheme="minorHAnsi"/>
        </w:rPr>
        <w:t>,</w:t>
      </w:r>
      <w:r w:rsidR="00281838">
        <w:rPr>
          <w:rStyle w:val="FootnoteReference"/>
          <w:rFonts w:eastAsiaTheme="minorHAnsi"/>
        </w:rPr>
        <w:footnoteReference w:id="26"/>
      </w:r>
      <w:r w:rsidR="00A963AC" w:rsidRPr="00A963AC">
        <w:rPr>
          <w:rFonts w:eastAsiaTheme="minorHAnsi"/>
        </w:rPr>
        <w:t xml:space="preserve"> resulting in an estimated industry-wide initial burden of 221</w:t>
      </w:r>
      <w:r w:rsidR="00096936">
        <w:rPr>
          <w:rFonts w:eastAsiaTheme="minorHAnsi"/>
        </w:rPr>
        <w:t xml:space="preserve"> hours</w:t>
      </w:r>
      <w:r w:rsidR="00A963AC" w:rsidRPr="00A963AC">
        <w:rPr>
          <w:rFonts w:eastAsiaTheme="minorHAnsi"/>
          <w:vertAlign w:val="superscript"/>
        </w:rPr>
        <w:footnoteReference w:id="27"/>
      </w:r>
      <w:r w:rsidR="00096936">
        <w:rPr>
          <w:rFonts w:eastAsiaTheme="minorHAnsi"/>
        </w:rPr>
        <w:t xml:space="preserve"> in the first year and an ongoing burden of 102 hours per year (including the first year).</w:t>
      </w:r>
      <w:r w:rsidR="00096936">
        <w:rPr>
          <w:rStyle w:val="FootnoteReference"/>
          <w:rFonts w:eastAsiaTheme="minorHAnsi"/>
        </w:rPr>
        <w:footnoteReference w:id="28"/>
      </w:r>
      <w:r w:rsidR="00096936">
        <w:rPr>
          <w:rFonts w:eastAsiaTheme="minorHAnsi"/>
        </w:rPr>
        <w:t xml:space="preserve">  Over a three year period, the total industry burden would be </w:t>
      </w:r>
      <w:r w:rsidR="00096936">
        <w:t>527 hours,</w:t>
      </w:r>
      <w:r w:rsidR="00096936">
        <w:rPr>
          <w:rStyle w:val="FootnoteReference"/>
        </w:rPr>
        <w:footnoteReference w:id="29"/>
      </w:r>
      <w:r w:rsidR="00096936">
        <w:t xml:space="preserve"> or 176 hours per year when annualized.</w:t>
      </w:r>
      <w:r w:rsidR="00096936">
        <w:rPr>
          <w:rStyle w:val="FootnoteReference"/>
        </w:rPr>
        <w:footnoteReference w:id="30"/>
      </w:r>
    </w:p>
    <w:p w:rsidR="009C0C54" w:rsidRDefault="009C0C54" w:rsidP="009C0C54">
      <w:pPr>
        <w:ind w:firstLine="720"/>
      </w:pPr>
    </w:p>
    <w:p w:rsidR="00252ECF" w:rsidRDefault="003F6C0A" w:rsidP="00281838">
      <w:pPr>
        <w:ind w:firstLine="720"/>
      </w:pPr>
      <w:r>
        <w:rPr>
          <w:b/>
        </w:rPr>
        <w:t>Security-Based Swap Activities</w:t>
      </w:r>
      <w:r w:rsidR="00096936">
        <w:rPr>
          <w:b/>
        </w:rPr>
        <w:t xml:space="preserve">: </w:t>
      </w:r>
      <w:r w:rsidR="009C0C54" w:rsidRPr="00CA3B5E">
        <w:t xml:space="preserve">The </w:t>
      </w:r>
      <w:r w:rsidR="009C0C54">
        <w:t>Commission is proposing</w:t>
      </w:r>
      <w:r w:rsidR="009C0C54" w:rsidRPr="00CA3B5E">
        <w:t xml:space="preserve"> amendments to </w:t>
      </w:r>
      <w:r w:rsidR="00252ECF" w:rsidRPr="00CA3B5E">
        <w:t>paragraphs (b</w:t>
      </w:r>
      <w:proofErr w:type="gramStart"/>
      <w:r w:rsidR="00252ECF" w:rsidRPr="00CA3B5E">
        <w:t>)(</w:t>
      </w:r>
      <w:proofErr w:type="gramEnd"/>
      <w:r w:rsidR="00252ECF" w:rsidRPr="00CA3B5E">
        <w:t>8)(v)-(viii) and proposed p</w:t>
      </w:r>
      <w:r w:rsidR="00252ECF">
        <w:t>aragraphs (b)(8)(xvi) and (b)(14</w:t>
      </w:r>
      <w:r w:rsidR="00252ECF" w:rsidRPr="00CA3B5E">
        <w:t xml:space="preserve">) of Rule 17a-4 </w:t>
      </w:r>
      <w:r w:rsidR="009C0C54">
        <w:t xml:space="preserve">that </w:t>
      </w:r>
      <w:r w:rsidR="009C0C54" w:rsidRPr="00CA3B5E">
        <w:t>would add three types of records to be preserved by broker-dealers</w:t>
      </w:r>
      <w:r w:rsidR="00B9331B">
        <w:t>.</w:t>
      </w:r>
      <w:r w:rsidR="009C0C54" w:rsidRPr="00CA3B5E">
        <w:rPr>
          <w:rStyle w:val="FootnoteReference"/>
        </w:rPr>
        <w:footnoteReference w:id="31"/>
      </w:r>
      <w:r w:rsidR="00B9331B" w:rsidRPr="00CA3B5E">
        <w:t xml:space="preserve"> </w:t>
      </w:r>
      <w:r w:rsidR="00B9331B">
        <w:t xml:space="preserve"> </w:t>
      </w:r>
      <w:r w:rsidR="00757E0C">
        <w:t>Because</w:t>
      </w:r>
      <w:r w:rsidR="00252ECF">
        <w:t xml:space="preserve"> t</w:t>
      </w:r>
      <w:r w:rsidR="00B9331B" w:rsidRPr="00CA3B5E">
        <w:t xml:space="preserve">he burden to </w:t>
      </w:r>
      <w:r w:rsidR="00B9331B" w:rsidRPr="00CA3B5E">
        <w:lastRenderedPageBreak/>
        <w:t>create these records is already accounted for in the P</w:t>
      </w:r>
      <w:r w:rsidR="00252ECF">
        <w:t>aperwork Reduction Act</w:t>
      </w:r>
      <w:r w:rsidR="00844806">
        <w:t xml:space="preserve"> (“PRA”)</w:t>
      </w:r>
      <w:r w:rsidR="00252ECF">
        <w:t xml:space="preserve"> </w:t>
      </w:r>
      <w:r w:rsidR="00B9331B" w:rsidRPr="00CA3B5E">
        <w:t>estimates for Rule 17a-3,</w:t>
      </w:r>
      <w:r w:rsidR="00B9331B" w:rsidRPr="00CA3B5E">
        <w:rPr>
          <w:rStyle w:val="FootnoteReference"/>
        </w:rPr>
        <w:footnoteReference w:id="32"/>
      </w:r>
      <w:r w:rsidR="00B9331B" w:rsidRPr="00CA3B5E">
        <w:t xml:space="preserve"> Rule 15c3</w:t>
      </w:r>
      <w:r w:rsidR="00B9331B" w:rsidRPr="00CA3B5E">
        <w:noBreakHyphen/>
        <w:t>1,</w:t>
      </w:r>
      <w:r w:rsidR="00B9331B" w:rsidRPr="00CA3B5E">
        <w:rPr>
          <w:rStyle w:val="FootnoteReference"/>
        </w:rPr>
        <w:footnoteReference w:id="33"/>
      </w:r>
      <w:r w:rsidR="00B9331B" w:rsidRPr="00CA3B5E">
        <w:t xml:space="preserve"> or in proposed Regulation SBSR,</w:t>
      </w:r>
      <w:r w:rsidR="00B9331B" w:rsidRPr="00CA3B5E">
        <w:rPr>
          <w:rStyle w:val="FootnoteReference"/>
        </w:rPr>
        <w:footnoteReference w:id="34"/>
      </w:r>
      <w:r w:rsidR="00B9331B" w:rsidRPr="00CA3B5E">
        <w:t xml:space="preserve"> the burdens imposed by these new requirements are to ensure there is adequate physical space and computer hardware and software for storage, ensure these records are preserved for the requisite time period, and produce them when requested. </w:t>
      </w:r>
      <w:r w:rsidR="008D4797">
        <w:t xml:space="preserve"> </w:t>
      </w:r>
      <w:r w:rsidR="00B9331B" w:rsidRPr="00CA3B5E">
        <w:t>The Commission estimates that the</w:t>
      </w:r>
      <w:r w:rsidR="00252ECF">
        <w:t>se</w:t>
      </w:r>
      <w:r w:rsidR="00B9331B" w:rsidRPr="00CA3B5E">
        <w:t xml:space="preserve"> proposed amendments </w:t>
      </w:r>
      <w:r w:rsidR="00252ECF">
        <w:t>to</w:t>
      </w:r>
      <w:r w:rsidR="00B9331B" w:rsidRPr="00CA3B5E">
        <w:t xml:space="preserve"> Rule 17a-4 woul</w:t>
      </w:r>
      <w:r w:rsidR="00B9331B">
        <w:t xml:space="preserve">d impose </w:t>
      </w:r>
      <w:r w:rsidR="00252ECF" w:rsidRPr="00A963AC">
        <w:rPr>
          <w:rFonts w:eastAsiaTheme="minorHAnsi"/>
        </w:rPr>
        <w:t xml:space="preserve">an initial burden of </w:t>
      </w:r>
      <w:r w:rsidR="00252ECF">
        <w:rPr>
          <w:rFonts w:eastAsiaTheme="minorHAnsi"/>
        </w:rPr>
        <w:t>39</w:t>
      </w:r>
      <w:r w:rsidR="00252ECF" w:rsidRPr="00A963AC">
        <w:rPr>
          <w:rFonts w:eastAsiaTheme="minorHAnsi"/>
        </w:rPr>
        <w:t xml:space="preserve"> hours per firm</w:t>
      </w:r>
      <w:r w:rsidR="00252ECF">
        <w:rPr>
          <w:rFonts w:eastAsiaTheme="minorHAnsi"/>
        </w:rPr>
        <w:t xml:space="preserve"> in the first year and an ongoing burden of 18 hours per year (including the first year)</w:t>
      </w:r>
      <w:r w:rsidR="00252ECF" w:rsidRPr="00A963AC">
        <w:rPr>
          <w:rFonts w:eastAsiaTheme="minorHAnsi"/>
        </w:rPr>
        <w:t xml:space="preserve">.  The Commission estimates that there are </w:t>
      </w:r>
      <w:r w:rsidR="00252ECF">
        <w:rPr>
          <w:rFonts w:eastAsiaTheme="minorHAnsi"/>
        </w:rPr>
        <w:t>42</w:t>
      </w:r>
      <w:r w:rsidR="00252ECF" w:rsidRPr="00A963AC">
        <w:rPr>
          <w:rFonts w:eastAsiaTheme="minorHAnsi"/>
        </w:rPr>
        <w:t xml:space="preserve"> respondents</w:t>
      </w:r>
      <w:r w:rsidR="00252ECF">
        <w:rPr>
          <w:rFonts w:eastAsiaTheme="minorHAnsi"/>
        </w:rPr>
        <w:t>,</w:t>
      </w:r>
      <w:r w:rsidR="00252ECF">
        <w:rPr>
          <w:rStyle w:val="FootnoteReference"/>
          <w:rFonts w:eastAsiaTheme="minorHAnsi"/>
        </w:rPr>
        <w:footnoteReference w:id="35"/>
      </w:r>
      <w:r w:rsidR="00252ECF" w:rsidRPr="00A963AC">
        <w:rPr>
          <w:rFonts w:eastAsiaTheme="minorHAnsi"/>
        </w:rPr>
        <w:t xml:space="preserve"> resulting in an estimated industry-wide initial burden of </w:t>
      </w:r>
      <w:r w:rsidR="00252ECF">
        <w:rPr>
          <w:rFonts w:eastAsiaTheme="minorHAnsi"/>
        </w:rPr>
        <w:t>1,638 hours</w:t>
      </w:r>
      <w:r w:rsidR="00252ECF" w:rsidRPr="00A963AC">
        <w:rPr>
          <w:rFonts w:eastAsiaTheme="minorHAnsi"/>
          <w:vertAlign w:val="superscript"/>
        </w:rPr>
        <w:footnoteReference w:id="36"/>
      </w:r>
      <w:r w:rsidR="00252ECF">
        <w:rPr>
          <w:rFonts w:eastAsiaTheme="minorHAnsi"/>
        </w:rPr>
        <w:t xml:space="preserve"> in the first year and an ongoing burden of 756 hours per year (including the first year).</w:t>
      </w:r>
      <w:r w:rsidR="00252ECF">
        <w:rPr>
          <w:rStyle w:val="FootnoteReference"/>
          <w:rFonts w:eastAsiaTheme="minorHAnsi"/>
        </w:rPr>
        <w:footnoteReference w:id="37"/>
      </w:r>
      <w:r w:rsidR="00252ECF">
        <w:rPr>
          <w:rFonts w:eastAsiaTheme="minorHAnsi"/>
        </w:rPr>
        <w:t xml:space="preserve">  Over a three year period, the total industry burden would be </w:t>
      </w:r>
      <w:r w:rsidR="00252ECF">
        <w:t>3,906 hours,</w:t>
      </w:r>
      <w:r w:rsidR="00252ECF">
        <w:rPr>
          <w:rStyle w:val="FootnoteReference"/>
        </w:rPr>
        <w:footnoteReference w:id="38"/>
      </w:r>
      <w:r w:rsidR="00252ECF">
        <w:t xml:space="preserve"> or 1,302 hours per year when annualized.</w:t>
      </w:r>
      <w:r w:rsidR="00252ECF">
        <w:rPr>
          <w:rStyle w:val="FootnoteReference"/>
        </w:rPr>
        <w:footnoteReference w:id="39"/>
      </w:r>
    </w:p>
    <w:p w:rsidR="000A5497" w:rsidRDefault="000A5497" w:rsidP="00281838">
      <w:pPr>
        <w:ind w:firstLine="720"/>
      </w:pPr>
    </w:p>
    <w:p w:rsidR="00281838" w:rsidRDefault="009D0B35" w:rsidP="000A5497">
      <w:pPr>
        <w:ind w:firstLine="720"/>
      </w:pPr>
      <w:r>
        <w:rPr>
          <w:b/>
        </w:rPr>
        <w:t xml:space="preserve">Broker-Dealer SBSDs and Broker-Dealer MSBSPs: </w:t>
      </w:r>
      <w:r w:rsidR="00096936" w:rsidRPr="00CA3B5E">
        <w:t xml:space="preserve">The </w:t>
      </w:r>
      <w:r w:rsidR="00096936">
        <w:t>Commission is proposing</w:t>
      </w:r>
      <w:r w:rsidR="00096936" w:rsidRPr="00CA3B5E">
        <w:t xml:space="preserve"> amendments </w:t>
      </w:r>
      <w:r w:rsidR="00281838">
        <w:t>to paragraph (b)(1) and proposed new paragraphs (b)(15) and (b)(16) of Rule 17a-</w:t>
      </w:r>
      <w:r w:rsidR="00844806">
        <w:t>4</w:t>
      </w:r>
      <w:r w:rsidR="00096936" w:rsidRPr="00CA3B5E">
        <w:t xml:space="preserve"> </w:t>
      </w:r>
      <w:r w:rsidR="00096936">
        <w:t xml:space="preserve">that </w:t>
      </w:r>
      <w:r w:rsidR="00096936" w:rsidRPr="00CA3B5E">
        <w:t>would add</w:t>
      </w:r>
      <w:r w:rsidR="00096936">
        <w:t xml:space="preserve"> </w:t>
      </w:r>
      <w:r w:rsidR="009C0C54">
        <w:t>five types of records to be preserved by broker-dealer SBSDs and broker-dealer MSBSPs</w:t>
      </w:r>
      <w:r w:rsidR="00B9331B">
        <w:t>.</w:t>
      </w:r>
      <w:r w:rsidR="009C0C54">
        <w:rPr>
          <w:rStyle w:val="FootnoteReference"/>
        </w:rPr>
        <w:footnoteReference w:id="40"/>
      </w:r>
      <w:r w:rsidR="009C0C54">
        <w:t xml:space="preserve"> </w:t>
      </w:r>
      <w:r w:rsidR="00281838">
        <w:t xml:space="preserve"> Because the burden to create these records is accounted for in the PRA estimates for Rule 17a</w:t>
      </w:r>
      <w:r w:rsidR="00281838">
        <w:noBreakHyphen/>
        <w:t>3,</w:t>
      </w:r>
      <w:r w:rsidR="00281838">
        <w:rPr>
          <w:rStyle w:val="FootnoteReference"/>
        </w:rPr>
        <w:footnoteReference w:id="41"/>
      </w:r>
      <w:r w:rsidR="00281838">
        <w:t xml:space="preserve"> or proposed Rules 15Fh-1 through 15Fh-5 and 15Fk-1,</w:t>
      </w:r>
      <w:r w:rsidR="00281838">
        <w:rPr>
          <w:rStyle w:val="FootnoteReference"/>
        </w:rPr>
        <w:footnoteReference w:id="42"/>
      </w:r>
      <w:r w:rsidR="00281838">
        <w:t xml:space="preserve"> the burdens imposed by these proposed amendments are to ensure there is adequate physical space and computer </w:t>
      </w:r>
      <w:r w:rsidR="00281838">
        <w:lastRenderedPageBreak/>
        <w:t xml:space="preserve">hardware and software for storage, ensure these records are preserved for the requisite time period, and produce them when requested.  The Commission estimates that these proposed amendments to Rule 17a-4 </w:t>
      </w:r>
      <w:r w:rsidR="00281838" w:rsidRPr="00A963AC">
        <w:rPr>
          <w:rFonts w:eastAsiaTheme="minorHAnsi"/>
        </w:rPr>
        <w:t xml:space="preserve">would impose an initial burden of </w:t>
      </w:r>
      <w:r w:rsidR="00281838">
        <w:rPr>
          <w:rFonts w:eastAsiaTheme="minorHAnsi"/>
        </w:rPr>
        <w:t>65</w:t>
      </w:r>
      <w:r w:rsidR="00281838" w:rsidRPr="00A963AC">
        <w:rPr>
          <w:rFonts w:eastAsiaTheme="minorHAnsi"/>
        </w:rPr>
        <w:t xml:space="preserve"> hours per firm</w:t>
      </w:r>
      <w:r w:rsidR="00281838">
        <w:rPr>
          <w:rFonts w:eastAsiaTheme="minorHAnsi"/>
        </w:rPr>
        <w:t xml:space="preserve"> in the first year and an ongoing burden of 30 hours per year (including the first year)</w:t>
      </w:r>
      <w:r w:rsidR="00281838" w:rsidRPr="00A963AC">
        <w:rPr>
          <w:rFonts w:eastAsiaTheme="minorHAnsi"/>
        </w:rPr>
        <w:t xml:space="preserve">.  The Commission estimates that there are </w:t>
      </w:r>
      <w:r w:rsidR="00281838">
        <w:rPr>
          <w:rFonts w:eastAsiaTheme="minorHAnsi"/>
        </w:rPr>
        <w:t>17</w:t>
      </w:r>
      <w:r w:rsidR="00281838" w:rsidRPr="00A963AC">
        <w:rPr>
          <w:rFonts w:eastAsiaTheme="minorHAnsi"/>
        </w:rPr>
        <w:t xml:space="preserve"> respondents</w:t>
      </w:r>
      <w:r w:rsidR="00281838">
        <w:rPr>
          <w:rFonts w:eastAsiaTheme="minorHAnsi"/>
        </w:rPr>
        <w:t>,</w:t>
      </w:r>
      <w:r w:rsidR="00281838">
        <w:rPr>
          <w:rStyle w:val="FootnoteReference"/>
          <w:rFonts w:eastAsiaTheme="minorHAnsi"/>
        </w:rPr>
        <w:footnoteReference w:id="43"/>
      </w:r>
      <w:r w:rsidR="00281838" w:rsidRPr="00A963AC">
        <w:rPr>
          <w:rFonts w:eastAsiaTheme="minorHAnsi"/>
        </w:rPr>
        <w:t xml:space="preserve"> resulting in an estimated industry-wide initial burden of </w:t>
      </w:r>
      <w:r w:rsidR="00281838">
        <w:rPr>
          <w:rFonts w:eastAsiaTheme="minorHAnsi"/>
        </w:rPr>
        <w:t>1,</w:t>
      </w:r>
      <w:r w:rsidR="000A5497">
        <w:rPr>
          <w:rFonts w:eastAsiaTheme="minorHAnsi"/>
        </w:rPr>
        <w:t>105</w:t>
      </w:r>
      <w:r w:rsidR="00281838">
        <w:rPr>
          <w:rFonts w:eastAsiaTheme="minorHAnsi"/>
        </w:rPr>
        <w:t xml:space="preserve"> hours</w:t>
      </w:r>
      <w:r w:rsidR="00281838" w:rsidRPr="00A963AC">
        <w:rPr>
          <w:rFonts w:eastAsiaTheme="minorHAnsi"/>
          <w:vertAlign w:val="superscript"/>
        </w:rPr>
        <w:footnoteReference w:id="44"/>
      </w:r>
      <w:r w:rsidR="00281838">
        <w:rPr>
          <w:rFonts w:eastAsiaTheme="minorHAnsi"/>
        </w:rPr>
        <w:t xml:space="preserve"> in the first year and an ongoing burden of </w:t>
      </w:r>
      <w:r w:rsidR="000A5497">
        <w:rPr>
          <w:rFonts w:eastAsiaTheme="minorHAnsi"/>
        </w:rPr>
        <w:t>510</w:t>
      </w:r>
      <w:r w:rsidR="00281838">
        <w:rPr>
          <w:rFonts w:eastAsiaTheme="minorHAnsi"/>
        </w:rPr>
        <w:t xml:space="preserve"> hours per year (including the first year).</w:t>
      </w:r>
      <w:r w:rsidR="00281838">
        <w:rPr>
          <w:rStyle w:val="FootnoteReference"/>
          <w:rFonts w:eastAsiaTheme="minorHAnsi"/>
        </w:rPr>
        <w:footnoteReference w:id="45"/>
      </w:r>
      <w:r w:rsidR="00281838">
        <w:rPr>
          <w:rFonts w:eastAsiaTheme="minorHAnsi"/>
        </w:rPr>
        <w:t xml:space="preserve">  Over a three year period, the total industry burden would be </w:t>
      </w:r>
      <w:r w:rsidR="00281838">
        <w:t>2,635 hours,</w:t>
      </w:r>
      <w:r w:rsidR="00281838">
        <w:rPr>
          <w:rStyle w:val="FootnoteReference"/>
        </w:rPr>
        <w:footnoteReference w:id="46"/>
      </w:r>
      <w:r w:rsidR="00281838">
        <w:t xml:space="preserve"> or </w:t>
      </w:r>
      <w:r w:rsidR="000A5497">
        <w:t>878</w:t>
      </w:r>
      <w:r w:rsidR="00281838">
        <w:t xml:space="preserve"> hours per year when annualized.</w:t>
      </w:r>
      <w:r w:rsidR="00281838">
        <w:rPr>
          <w:rStyle w:val="FootnoteReference"/>
        </w:rPr>
        <w:footnoteReference w:id="47"/>
      </w:r>
    </w:p>
    <w:p w:rsidR="00281838" w:rsidRDefault="00281838" w:rsidP="000A5497"/>
    <w:p w:rsidR="000A5497" w:rsidRDefault="009D0B35" w:rsidP="000A5497">
      <w:pPr>
        <w:ind w:firstLine="720"/>
      </w:pPr>
      <w:r>
        <w:rPr>
          <w:b/>
        </w:rPr>
        <w:t xml:space="preserve">Broker-Dealer SBSDs Only: </w:t>
      </w:r>
      <w:r w:rsidR="00096936" w:rsidRPr="00CA3B5E">
        <w:t xml:space="preserve">The </w:t>
      </w:r>
      <w:r w:rsidR="00096936">
        <w:t>Commission is proposing</w:t>
      </w:r>
      <w:r w:rsidR="00096936" w:rsidRPr="00CA3B5E">
        <w:t xml:space="preserve"> amendments to</w:t>
      </w:r>
      <w:r w:rsidR="000A5497" w:rsidRPr="000A5497">
        <w:t xml:space="preserve"> </w:t>
      </w:r>
      <w:r w:rsidR="000A5497">
        <w:t>paragraph (b</w:t>
      </w:r>
      <w:proofErr w:type="gramStart"/>
      <w:r w:rsidR="000A5497">
        <w:t>)(</w:t>
      </w:r>
      <w:proofErr w:type="gramEnd"/>
      <w:r w:rsidR="000A5497">
        <w:t>1)</w:t>
      </w:r>
      <w:r w:rsidR="00844806">
        <w:t xml:space="preserve"> of</w:t>
      </w:r>
      <w:r w:rsidR="00096936" w:rsidRPr="00CA3B5E">
        <w:t xml:space="preserve"> Rule 17a-4 </w:t>
      </w:r>
      <w:r w:rsidR="00096936">
        <w:t xml:space="preserve">that </w:t>
      </w:r>
      <w:r w:rsidR="00096936" w:rsidRPr="00CA3B5E">
        <w:t>would add</w:t>
      </w:r>
      <w:r w:rsidR="009C0C54">
        <w:t xml:space="preserve"> three types of records to be preserved by broker-dealer SBSDs only.</w:t>
      </w:r>
      <w:r w:rsidR="009C0C54">
        <w:rPr>
          <w:rStyle w:val="FootnoteReference"/>
        </w:rPr>
        <w:footnoteReference w:id="48"/>
      </w:r>
      <w:r w:rsidR="009C0C54">
        <w:t xml:space="preserve">  </w:t>
      </w:r>
      <w:r w:rsidR="000A5497">
        <w:t>Because the burden to create these records is accounted for in the PRA estimate for Rule 17a</w:t>
      </w:r>
      <w:r w:rsidR="000A5497">
        <w:noBreakHyphen/>
        <w:t xml:space="preserve">3, as proposed to be amended, the burdens imposed by these new requirements are to ensure there is adequate physical space and computer hardware and software for storage, ensure these records are preserved for the requisite time period, and produce them when requested.  The Commission estimates that these proposed amendments to Rule 17a-4 </w:t>
      </w:r>
      <w:r w:rsidR="000A5497" w:rsidRPr="00A963AC">
        <w:rPr>
          <w:rFonts w:eastAsiaTheme="minorHAnsi"/>
        </w:rPr>
        <w:t xml:space="preserve">would impose an initial burden of </w:t>
      </w:r>
      <w:r w:rsidR="000A5497">
        <w:rPr>
          <w:rFonts w:eastAsiaTheme="minorHAnsi"/>
        </w:rPr>
        <w:t>39</w:t>
      </w:r>
      <w:r w:rsidR="000A5497" w:rsidRPr="00A963AC">
        <w:rPr>
          <w:rFonts w:eastAsiaTheme="minorHAnsi"/>
        </w:rPr>
        <w:t xml:space="preserve"> hours per firm</w:t>
      </w:r>
      <w:r w:rsidR="000A5497">
        <w:rPr>
          <w:rFonts w:eastAsiaTheme="minorHAnsi"/>
        </w:rPr>
        <w:t xml:space="preserve"> in the first year and an ongoing burden of 18 hours per year (including the first year)</w:t>
      </w:r>
      <w:r w:rsidR="000A5497" w:rsidRPr="00A963AC">
        <w:rPr>
          <w:rFonts w:eastAsiaTheme="minorHAnsi"/>
        </w:rPr>
        <w:t xml:space="preserve">.  The Commission estimates that there are </w:t>
      </w:r>
      <w:r w:rsidR="000A5497">
        <w:rPr>
          <w:rFonts w:eastAsiaTheme="minorHAnsi"/>
        </w:rPr>
        <w:t>16</w:t>
      </w:r>
      <w:r w:rsidR="000A5497" w:rsidRPr="00A963AC">
        <w:rPr>
          <w:rFonts w:eastAsiaTheme="minorHAnsi"/>
        </w:rPr>
        <w:t xml:space="preserve"> </w:t>
      </w:r>
      <w:r w:rsidR="000A5497">
        <w:rPr>
          <w:rFonts w:eastAsiaTheme="minorHAnsi"/>
        </w:rPr>
        <w:t>broker-dealer SBSDs,</w:t>
      </w:r>
      <w:r w:rsidR="000A5497" w:rsidRPr="00A963AC">
        <w:rPr>
          <w:rFonts w:eastAsiaTheme="minorHAnsi"/>
        </w:rPr>
        <w:t xml:space="preserve"> resulting in an estimated industry-wide initial burden of </w:t>
      </w:r>
      <w:r w:rsidR="000A5497">
        <w:rPr>
          <w:rFonts w:eastAsiaTheme="minorHAnsi"/>
        </w:rPr>
        <w:t>624 hours</w:t>
      </w:r>
      <w:r w:rsidR="000A5497" w:rsidRPr="00A963AC">
        <w:rPr>
          <w:rFonts w:eastAsiaTheme="minorHAnsi"/>
          <w:vertAlign w:val="superscript"/>
        </w:rPr>
        <w:footnoteReference w:id="49"/>
      </w:r>
      <w:r w:rsidR="000A5497">
        <w:rPr>
          <w:rFonts w:eastAsiaTheme="minorHAnsi"/>
        </w:rPr>
        <w:t xml:space="preserve"> in the first year and an ongoing burden of 288 hours per year (including the first year).</w:t>
      </w:r>
      <w:r w:rsidR="000A5497">
        <w:rPr>
          <w:rStyle w:val="FootnoteReference"/>
          <w:rFonts w:eastAsiaTheme="minorHAnsi"/>
        </w:rPr>
        <w:footnoteReference w:id="50"/>
      </w:r>
      <w:r w:rsidR="000A5497">
        <w:rPr>
          <w:rFonts w:eastAsiaTheme="minorHAnsi"/>
        </w:rPr>
        <w:t xml:space="preserve">  Over a three year period, the total industry burden would be </w:t>
      </w:r>
      <w:r w:rsidR="007426A2">
        <w:t>1,488</w:t>
      </w:r>
      <w:r w:rsidR="000A5497">
        <w:t xml:space="preserve"> hours,</w:t>
      </w:r>
      <w:r w:rsidR="000A5497">
        <w:rPr>
          <w:rStyle w:val="FootnoteReference"/>
        </w:rPr>
        <w:footnoteReference w:id="51"/>
      </w:r>
      <w:r w:rsidR="000A5497">
        <w:t xml:space="preserve"> or </w:t>
      </w:r>
      <w:r w:rsidR="007426A2">
        <w:t>496</w:t>
      </w:r>
      <w:r w:rsidR="000A5497">
        <w:t xml:space="preserve"> hours per year when annualized.</w:t>
      </w:r>
      <w:r w:rsidR="000A5497">
        <w:rPr>
          <w:rStyle w:val="FootnoteReference"/>
        </w:rPr>
        <w:footnoteReference w:id="52"/>
      </w:r>
    </w:p>
    <w:p w:rsidR="00096936" w:rsidRDefault="00096936" w:rsidP="000A5497">
      <w:pPr>
        <w:ind w:firstLine="720"/>
      </w:pPr>
    </w:p>
    <w:p w:rsidR="007426A2" w:rsidRDefault="009D0B35" w:rsidP="007426A2">
      <w:pPr>
        <w:ind w:firstLine="720"/>
      </w:pPr>
      <w:r>
        <w:rPr>
          <w:b/>
        </w:rPr>
        <w:t xml:space="preserve">ANC Broker-Dealers: </w:t>
      </w:r>
      <w:r w:rsidR="00D027FA" w:rsidRPr="00CA3B5E">
        <w:t xml:space="preserve">The </w:t>
      </w:r>
      <w:r w:rsidR="00D027FA">
        <w:t>Commission is proposing</w:t>
      </w:r>
      <w:r w:rsidR="00D027FA" w:rsidRPr="00CA3B5E">
        <w:t xml:space="preserve"> amendments </w:t>
      </w:r>
      <w:r w:rsidR="00D027FA">
        <w:t xml:space="preserve">to </w:t>
      </w:r>
      <w:r w:rsidR="009C0C54">
        <w:t>paragraph (b</w:t>
      </w:r>
      <w:proofErr w:type="gramStart"/>
      <w:r w:rsidR="009C0C54">
        <w:t>)(</w:t>
      </w:r>
      <w:proofErr w:type="gramEnd"/>
      <w:r w:rsidR="009C0C54">
        <w:t>1) of Rule 17a-4</w:t>
      </w:r>
      <w:r w:rsidR="00D027FA">
        <w:t xml:space="preserve"> that</w:t>
      </w:r>
      <w:r w:rsidR="009C0C54">
        <w:t xml:space="preserve"> would require ANC broker-dealers to preserve certain records relating to the firm’s monthly liquidity stress test.</w:t>
      </w:r>
      <w:r w:rsidR="009C0C54">
        <w:rPr>
          <w:rStyle w:val="FootnoteReference"/>
        </w:rPr>
        <w:footnoteReference w:id="53"/>
      </w:r>
      <w:r w:rsidR="009C0C54">
        <w:t xml:space="preserve">  </w:t>
      </w:r>
      <w:r w:rsidR="007426A2">
        <w:t>Because the burden to create this record is accounted for in the PRA estimate for Rule 17a</w:t>
      </w:r>
      <w:r w:rsidR="007426A2">
        <w:noBreakHyphen/>
        <w:t xml:space="preserve">3, as proposed to be amended, the burdens this new requirement </w:t>
      </w:r>
      <w:r w:rsidR="007426A2">
        <w:lastRenderedPageBreak/>
        <w:t xml:space="preserve">would impose on ANC broker-dealers are to ensure there is adequate physical space and computer hardware and software for storage, ensure these records are preserved for the requisite time period, and produce them when requested.  The Commission estimates that the proposed amendment to paragraph (b)(1) of Rule 17a-4 </w:t>
      </w:r>
      <w:r w:rsidR="007426A2" w:rsidRPr="00A963AC">
        <w:rPr>
          <w:rFonts w:eastAsiaTheme="minorHAnsi"/>
        </w:rPr>
        <w:t xml:space="preserve">would impose an initial burden of </w:t>
      </w:r>
      <w:r w:rsidR="007426A2">
        <w:rPr>
          <w:rFonts w:eastAsiaTheme="minorHAnsi"/>
        </w:rPr>
        <w:t>13</w:t>
      </w:r>
      <w:r w:rsidR="007426A2" w:rsidRPr="00A963AC">
        <w:rPr>
          <w:rFonts w:eastAsiaTheme="minorHAnsi"/>
        </w:rPr>
        <w:t xml:space="preserve"> hours per firm</w:t>
      </w:r>
      <w:r w:rsidR="007426A2">
        <w:rPr>
          <w:rFonts w:eastAsiaTheme="minorHAnsi"/>
        </w:rPr>
        <w:t xml:space="preserve"> in the first year and an ongoing burden of 6 hours per year (including the first year)</w:t>
      </w:r>
      <w:r w:rsidR="007426A2" w:rsidRPr="00A963AC">
        <w:rPr>
          <w:rFonts w:eastAsiaTheme="minorHAnsi"/>
        </w:rPr>
        <w:t xml:space="preserve">.  The Commission estimates that there are </w:t>
      </w:r>
      <w:r w:rsidR="007426A2">
        <w:rPr>
          <w:rFonts w:eastAsiaTheme="minorHAnsi"/>
        </w:rPr>
        <w:t>10 ANC</w:t>
      </w:r>
      <w:r w:rsidR="007426A2" w:rsidRPr="00A963AC">
        <w:rPr>
          <w:rFonts w:eastAsiaTheme="minorHAnsi"/>
        </w:rPr>
        <w:t xml:space="preserve"> </w:t>
      </w:r>
      <w:r w:rsidR="007426A2">
        <w:rPr>
          <w:rFonts w:eastAsiaTheme="minorHAnsi"/>
        </w:rPr>
        <w:t>broker-dealers,</w:t>
      </w:r>
      <w:r w:rsidR="007426A2" w:rsidRPr="00A963AC">
        <w:rPr>
          <w:rFonts w:eastAsiaTheme="minorHAnsi"/>
        </w:rPr>
        <w:t xml:space="preserve"> resulting in an estimated industry-wide initial burden of </w:t>
      </w:r>
      <w:r w:rsidR="007426A2">
        <w:rPr>
          <w:rFonts w:eastAsiaTheme="minorHAnsi"/>
        </w:rPr>
        <w:t>130 hours</w:t>
      </w:r>
      <w:r w:rsidR="007426A2" w:rsidRPr="00A963AC">
        <w:rPr>
          <w:rFonts w:eastAsiaTheme="minorHAnsi"/>
          <w:vertAlign w:val="superscript"/>
        </w:rPr>
        <w:footnoteReference w:id="54"/>
      </w:r>
      <w:r w:rsidR="007426A2">
        <w:rPr>
          <w:rFonts w:eastAsiaTheme="minorHAnsi"/>
        </w:rPr>
        <w:t xml:space="preserve"> in the first year and an ongoing burden of 60 hours per year (including the first year).</w:t>
      </w:r>
      <w:r w:rsidR="007426A2">
        <w:rPr>
          <w:rStyle w:val="FootnoteReference"/>
          <w:rFonts w:eastAsiaTheme="minorHAnsi"/>
        </w:rPr>
        <w:footnoteReference w:id="55"/>
      </w:r>
      <w:r w:rsidR="007426A2">
        <w:rPr>
          <w:rFonts w:eastAsiaTheme="minorHAnsi"/>
        </w:rPr>
        <w:t xml:space="preserve">  Over a three year period, the total industry burden would be </w:t>
      </w:r>
      <w:r w:rsidR="007426A2">
        <w:t>310 hours,</w:t>
      </w:r>
      <w:r w:rsidR="007426A2">
        <w:rPr>
          <w:rStyle w:val="FootnoteReference"/>
        </w:rPr>
        <w:footnoteReference w:id="56"/>
      </w:r>
      <w:r w:rsidR="007426A2">
        <w:t xml:space="preserve"> or 103 hours per year when annualized.</w:t>
      </w:r>
      <w:r w:rsidR="007426A2">
        <w:rPr>
          <w:rStyle w:val="FootnoteReference"/>
        </w:rPr>
        <w:footnoteReference w:id="57"/>
      </w:r>
    </w:p>
    <w:p w:rsidR="008879AE" w:rsidRDefault="008879AE">
      <w:r>
        <w:br w:type="page"/>
      </w:r>
    </w:p>
    <w:p w:rsidR="009C0C54" w:rsidRPr="009C0C54" w:rsidRDefault="009C0C54" w:rsidP="007426A2">
      <w:pPr>
        <w:ind w:firstLine="720"/>
      </w:pPr>
    </w:p>
    <w:p w:rsidR="00685938" w:rsidRDefault="00685938" w:rsidP="007426A2">
      <w:pPr>
        <w:tabs>
          <w:tab w:val="left" w:pos="-720"/>
        </w:tabs>
        <w:suppressAutoHyphens/>
        <w:spacing w:after="240"/>
        <w:ind w:firstLine="720"/>
        <w:rPr>
          <w:rFonts w:ascii="CG Times" w:hAnsi="CG Times"/>
          <w:spacing w:val="-3"/>
        </w:rPr>
      </w:pPr>
      <w:r>
        <w:rPr>
          <w:rFonts w:ascii="CG Times" w:hAnsi="CG Times"/>
          <w:spacing w:val="-3"/>
        </w:rPr>
        <w:t xml:space="preserve">Therefore, the total annual </w:t>
      </w:r>
      <w:r w:rsidR="00FC72A1">
        <w:rPr>
          <w:rFonts w:ascii="CG Times" w:hAnsi="CG Times"/>
          <w:spacing w:val="-3"/>
        </w:rPr>
        <w:t xml:space="preserve">recordkeeping </w:t>
      </w:r>
      <w:r>
        <w:rPr>
          <w:rFonts w:ascii="CG Times" w:hAnsi="CG Times"/>
          <w:spacing w:val="-3"/>
        </w:rPr>
        <w:t>burden for Rule 17a-4</w:t>
      </w:r>
      <w:r w:rsidR="00D027FA">
        <w:rPr>
          <w:rFonts w:ascii="CG Times" w:hAnsi="CG Times"/>
          <w:spacing w:val="-3"/>
        </w:rPr>
        <w:t>,</w:t>
      </w:r>
      <w:r>
        <w:rPr>
          <w:rFonts w:ascii="CG Times" w:hAnsi="CG Times"/>
          <w:spacing w:val="-3"/>
        </w:rPr>
        <w:t xml:space="preserve"> </w:t>
      </w:r>
      <w:r w:rsidR="00F743C5">
        <w:rPr>
          <w:rFonts w:ascii="CG Times" w:hAnsi="CG Times"/>
          <w:spacing w:val="-3"/>
        </w:rPr>
        <w:t>as proposed</w:t>
      </w:r>
      <w:r w:rsidR="00D027FA">
        <w:rPr>
          <w:rFonts w:ascii="CG Times" w:hAnsi="CG Times"/>
          <w:spacing w:val="-3"/>
        </w:rPr>
        <w:t xml:space="preserve"> to be amended,</w:t>
      </w:r>
      <w:r w:rsidR="00F743C5">
        <w:rPr>
          <w:rFonts w:ascii="CG Times" w:hAnsi="CG Times"/>
          <w:spacing w:val="-3"/>
        </w:rPr>
        <w:t xml:space="preserve"> </w:t>
      </w:r>
      <w:r>
        <w:rPr>
          <w:rFonts w:ascii="CG Times" w:hAnsi="CG Times"/>
          <w:spacing w:val="-3"/>
        </w:rPr>
        <w:t xml:space="preserve">is </w:t>
      </w:r>
      <w:r w:rsidR="006E1BF0">
        <w:rPr>
          <w:rFonts w:ascii="CG Times" w:hAnsi="CG Times"/>
          <w:spacing w:val="-3"/>
        </w:rPr>
        <w:t xml:space="preserve">estimated to be </w:t>
      </w:r>
      <w:r w:rsidR="004A0CAE" w:rsidRPr="004A0CAE">
        <w:t xml:space="preserve">1,157,835 </w:t>
      </w:r>
      <w:r w:rsidR="00422E7D">
        <w:rPr>
          <w:rFonts w:ascii="CG Times" w:hAnsi="CG Times"/>
          <w:spacing w:val="-3"/>
        </w:rPr>
        <w:t>hours</w:t>
      </w:r>
      <w:r>
        <w:rPr>
          <w:rFonts w:ascii="CG Times" w:hAnsi="CG Times"/>
          <w:spacing w:val="-3"/>
        </w:rPr>
        <w:t>.</w:t>
      </w:r>
      <w:r w:rsidR="005458E4">
        <w:rPr>
          <w:rStyle w:val="FootnoteReference"/>
          <w:rFonts w:ascii="CG Times" w:hAnsi="CG Times"/>
          <w:spacing w:val="-3"/>
        </w:rPr>
        <w:footnoteReference w:id="58"/>
      </w:r>
    </w:p>
    <w:tbl>
      <w:tblPr>
        <w:tblStyle w:val="TableGrid"/>
        <w:tblW w:w="10055" w:type="dxa"/>
        <w:jc w:val="center"/>
        <w:tblInd w:w="-243" w:type="dxa"/>
        <w:tblLook w:val="04A0" w:firstRow="1" w:lastRow="0" w:firstColumn="1" w:lastColumn="0" w:noHBand="0" w:noVBand="1"/>
      </w:tblPr>
      <w:tblGrid>
        <w:gridCol w:w="1494"/>
        <w:gridCol w:w="1246"/>
        <w:gridCol w:w="1142"/>
        <w:gridCol w:w="963"/>
        <w:gridCol w:w="1076"/>
        <w:gridCol w:w="1076"/>
        <w:gridCol w:w="1076"/>
        <w:gridCol w:w="1142"/>
        <w:gridCol w:w="840"/>
      </w:tblGrid>
      <w:tr w:rsidR="009031F3" w:rsidRPr="0040732C" w:rsidTr="000C6CEE">
        <w:trPr>
          <w:tblHeader/>
          <w:jc w:val="center"/>
        </w:trPr>
        <w:tc>
          <w:tcPr>
            <w:tcW w:w="1494" w:type="dxa"/>
            <w:shd w:val="clear" w:color="auto" w:fill="A6A6A6" w:themeFill="background1" w:themeFillShade="A6"/>
          </w:tcPr>
          <w:p w:rsidR="00485CD9" w:rsidRPr="00DE1663" w:rsidRDefault="00485CD9" w:rsidP="000410FD">
            <w:pPr>
              <w:jc w:val="center"/>
              <w:rPr>
                <w:b/>
                <w:sz w:val="17"/>
                <w:szCs w:val="17"/>
              </w:rPr>
            </w:pPr>
          </w:p>
          <w:p w:rsidR="00485CD9" w:rsidRPr="00DE1663" w:rsidRDefault="00485CD9" w:rsidP="000410FD">
            <w:pPr>
              <w:jc w:val="center"/>
              <w:rPr>
                <w:b/>
                <w:sz w:val="17"/>
                <w:szCs w:val="17"/>
              </w:rPr>
            </w:pPr>
          </w:p>
          <w:p w:rsidR="00485CD9" w:rsidRPr="00DE1663" w:rsidRDefault="00485CD9" w:rsidP="000410FD">
            <w:pPr>
              <w:jc w:val="center"/>
              <w:rPr>
                <w:b/>
                <w:sz w:val="17"/>
                <w:szCs w:val="17"/>
              </w:rPr>
            </w:pPr>
            <w:r w:rsidRPr="00DE1663">
              <w:rPr>
                <w:b/>
                <w:sz w:val="17"/>
                <w:szCs w:val="17"/>
              </w:rPr>
              <w:t>Nature of Information Collection Burden</w:t>
            </w:r>
          </w:p>
        </w:tc>
        <w:tc>
          <w:tcPr>
            <w:tcW w:w="1246" w:type="dxa"/>
            <w:shd w:val="clear" w:color="auto" w:fill="A6A6A6" w:themeFill="background1" w:themeFillShade="A6"/>
          </w:tcPr>
          <w:p w:rsidR="00485CD9" w:rsidRPr="00DE1663" w:rsidRDefault="00485CD9" w:rsidP="000410FD">
            <w:pPr>
              <w:jc w:val="center"/>
              <w:rPr>
                <w:b/>
                <w:sz w:val="17"/>
                <w:szCs w:val="17"/>
              </w:rPr>
            </w:pPr>
          </w:p>
          <w:p w:rsidR="00485CD9" w:rsidRPr="00DE1663" w:rsidRDefault="00485CD9" w:rsidP="000410FD">
            <w:pPr>
              <w:jc w:val="center"/>
              <w:rPr>
                <w:b/>
                <w:sz w:val="17"/>
                <w:szCs w:val="17"/>
              </w:rPr>
            </w:pPr>
          </w:p>
          <w:p w:rsidR="00485CD9" w:rsidRPr="00DE1663" w:rsidRDefault="00485CD9" w:rsidP="000410FD">
            <w:pPr>
              <w:jc w:val="center"/>
              <w:rPr>
                <w:b/>
                <w:sz w:val="17"/>
                <w:szCs w:val="17"/>
              </w:rPr>
            </w:pPr>
            <w:r w:rsidRPr="00DE1663">
              <w:rPr>
                <w:b/>
                <w:sz w:val="17"/>
                <w:szCs w:val="17"/>
              </w:rPr>
              <w:t>Type of Burden</w:t>
            </w:r>
          </w:p>
        </w:tc>
        <w:tc>
          <w:tcPr>
            <w:tcW w:w="1142" w:type="dxa"/>
            <w:shd w:val="clear" w:color="auto" w:fill="A6A6A6" w:themeFill="background1" w:themeFillShade="A6"/>
          </w:tcPr>
          <w:p w:rsidR="00485CD9" w:rsidRPr="0040732C" w:rsidRDefault="00485CD9" w:rsidP="000410FD">
            <w:pPr>
              <w:jc w:val="center"/>
              <w:rPr>
                <w:b/>
                <w:sz w:val="17"/>
                <w:szCs w:val="17"/>
              </w:rPr>
            </w:pPr>
          </w:p>
          <w:p w:rsidR="00485CD9" w:rsidRPr="0040732C" w:rsidRDefault="00485CD9" w:rsidP="000410FD">
            <w:pPr>
              <w:jc w:val="center"/>
              <w:rPr>
                <w:b/>
                <w:sz w:val="17"/>
                <w:szCs w:val="17"/>
              </w:rPr>
            </w:pPr>
          </w:p>
          <w:p w:rsidR="00485CD9" w:rsidRPr="0040732C" w:rsidRDefault="00485CD9" w:rsidP="000410FD">
            <w:pPr>
              <w:jc w:val="center"/>
              <w:rPr>
                <w:b/>
                <w:sz w:val="17"/>
                <w:szCs w:val="17"/>
              </w:rPr>
            </w:pPr>
            <w:r w:rsidRPr="0040732C">
              <w:rPr>
                <w:b/>
                <w:sz w:val="17"/>
                <w:szCs w:val="17"/>
              </w:rPr>
              <w:t>Total Number of Respondents</w:t>
            </w:r>
          </w:p>
        </w:tc>
        <w:tc>
          <w:tcPr>
            <w:tcW w:w="963" w:type="dxa"/>
            <w:shd w:val="clear" w:color="auto" w:fill="A6A6A6" w:themeFill="background1" w:themeFillShade="A6"/>
          </w:tcPr>
          <w:p w:rsidR="00485CD9" w:rsidRPr="0040732C" w:rsidRDefault="00485CD9" w:rsidP="000410FD">
            <w:pPr>
              <w:jc w:val="center"/>
              <w:rPr>
                <w:b/>
                <w:sz w:val="17"/>
                <w:szCs w:val="17"/>
              </w:rPr>
            </w:pPr>
          </w:p>
          <w:p w:rsidR="00485CD9" w:rsidRPr="0040732C" w:rsidRDefault="00485CD9" w:rsidP="000410FD">
            <w:pPr>
              <w:jc w:val="center"/>
              <w:rPr>
                <w:b/>
                <w:sz w:val="17"/>
                <w:szCs w:val="17"/>
              </w:rPr>
            </w:pPr>
          </w:p>
          <w:p w:rsidR="00485CD9" w:rsidRPr="0040732C" w:rsidRDefault="00485CD9" w:rsidP="000410FD">
            <w:pPr>
              <w:jc w:val="center"/>
              <w:rPr>
                <w:b/>
                <w:sz w:val="17"/>
                <w:szCs w:val="17"/>
              </w:rPr>
            </w:pPr>
            <w:r w:rsidRPr="0040732C">
              <w:rPr>
                <w:b/>
                <w:sz w:val="17"/>
                <w:szCs w:val="17"/>
              </w:rPr>
              <w:t>Total Number of Responses Per Year</w:t>
            </w:r>
          </w:p>
        </w:tc>
        <w:tc>
          <w:tcPr>
            <w:tcW w:w="1076" w:type="dxa"/>
            <w:shd w:val="clear" w:color="auto" w:fill="A6A6A6" w:themeFill="background1" w:themeFillShade="A6"/>
          </w:tcPr>
          <w:p w:rsidR="00485CD9" w:rsidRPr="0040732C" w:rsidRDefault="00485CD9" w:rsidP="000410FD">
            <w:pPr>
              <w:jc w:val="center"/>
              <w:rPr>
                <w:b/>
                <w:sz w:val="17"/>
                <w:szCs w:val="17"/>
              </w:rPr>
            </w:pPr>
          </w:p>
          <w:p w:rsidR="00485CD9" w:rsidRPr="0040732C" w:rsidRDefault="00485CD9" w:rsidP="000410FD">
            <w:pPr>
              <w:jc w:val="center"/>
              <w:rPr>
                <w:b/>
                <w:sz w:val="17"/>
                <w:szCs w:val="17"/>
              </w:rPr>
            </w:pPr>
          </w:p>
          <w:p w:rsidR="00485CD9" w:rsidRPr="0040732C" w:rsidRDefault="00485CD9" w:rsidP="000410FD">
            <w:pPr>
              <w:jc w:val="center"/>
              <w:rPr>
                <w:b/>
                <w:sz w:val="17"/>
                <w:szCs w:val="17"/>
              </w:rPr>
            </w:pPr>
            <w:r w:rsidRPr="0040732C">
              <w:rPr>
                <w:b/>
                <w:sz w:val="17"/>
                <w:szCs w:val="17"/>
              </w:rPr>
              <w:t>Initial Burden Per Response Per Year Per Respondent</w:t>
            </w:r>
          </w:p>
        </w:tc>
        <w:tc>
          <w:tcPr>
            <w:tcW w:w="1076" w:type="dxa"/>
            <w:shd w:val="clear" w:color="auto" w:fill="A6A6A6" w:themeFill="background1" w:themeFillShade="A6"/>
          </w:tcPr>
          <w:p w:rsidR="00485CD9" w:rsidRPr="0040732C" w:rsidRDefault="00485CD9" w:rsidP="000410FD">
            <w:pPr>
              <w:jc w:val="center"/>
              <w:rPr>
                <w:b/>
                <w:sz w:val="17"/>
                <w:szCs w:val="17"/>
              </w:rPr>
            </w:pPr>
          </w:p>
          <w:p w:rsidR="00485CD9" w:rsidRPr="0040732C" w:rsidRDefault="00485CD9" w:rsidP="000410FD">
            <w:pPr>
              <w:jc w:val="center"/>
              <w:rPr>
                <w:b/>
                <w:sz w:val="17"/>
                <w:szCs w:val="17"/>
              </w:rPr>
            </w:pPr>
          </w:p>
          <w:p w:rsidR="00485CD9" w:rsidRPr="0040732C" w:rsidRDefault="00485CD9" w:rsidP="000410FD">
            <w:pPr>
              <w:jc w:val="center"/>
              <w:rPr>
                <w:b/>
                <w:sz w:val="17"/>
                <w:szCs w:val="17"/>
              </w:rPr>
            </w:pPr>
            <w:r w:rsidRPr="0040732C">
              <w:rPr>
                <w:b/>
                <w:sz w:val="17"/>
                <w:szCs w:val="17"/>
              </w:rPr>
              <w:t>Ongoing Burden Per Response Per Year Per Respondent</w:t>
            </w:r>
          </w:p>
        </w:tc>
        <w:tc>
          <w:tcPr>
            <w:tcW w:w="1076" w:type="dxa"/>
            <w:shd w:val="clear" w:color="auto" w:fill="A6A6A6" w:themeFill="background1" w:themeFillShade="A6"/>
          </w:tcPr>
          <w:p w:rsidR="00485CD9" w:rsidRPr="0040732C" w:rsidRDefault="00485CD9" w:rsidP="000410FD">
            <w:pPr>
              <w:jc w:val="center"/>
              <w:rPr>
                <w:b/>
                <w:sz w:val="17"/>
                <w:szCs w:val="17"/>
              </w:rPr>
            </w:pPr>
          </w:p>
          <w:p w:rsidR="00485CD9" w:rsidRPr="0040732C" w:rsidRDefault="00485CD9" w:rsidP="000410FD">
            <w:pPr>
              <w:jc w:val="center"/>
              <w:rPr>
                <w:b/>
                <w:sz w:val="17"/>
                <w:szCs w:val="17"/>
              </w:rPr>
            </w:pPr>
          </w:p>
          <w:p w:rsidR="00485CD9" w:rsidRPr="0040732C" w:rsidRDefault="00485CD9" w:rsidP="000410FD">
            <w:pPr>
              <w:jc w:val="center"/>
              <w:rPr>
                <w:b/>
                <w:sz w:val="17"/>
                <w:szCs w:val="17"/>
              </w:rPr>
            </w:pPr>
            <w:r w:rsidRPr="0040732C">
              <w:rPr>
                <w:b/>
                <w:sz w:val="17"/>
                <w:szCs w:val="17"/>
              </w:rPr>
              <w:t xml:space="preserve">Total Annualized Burden Per Year Per Respondent  </w:t>
            </w:r>
          </w:p>
          <w:p w:rsidR="00485CD9" w:rsidRPr="0040732C" w:rsidRDefault="00485CD9" w:rsidP="000410FD">
            <w:pPr>
              <w:jc w:val="center"/>
              <w:rPr>
                <w:b/>
                <w:sz w:val="17"/>
                <w:szCs w:val="17"/>
              </w:rPr>
            </w:pPr>
          </w:p>
        </w:tc>
        <w:tc>
          <w:tcPr>
            <w:tcW w:w="1142" w:type="dxa"/>
            <w:shd w:val="clear" w:color="auto" w:fill="A6A6A6" w:themeFill="background1" w:themeFillShade="A6"/>
          </w:tcPr>
          <w:p w:rsidR="00485CD9" w:rsidRPr="0040732C" w:rsidRDefault="00485CD9" w:rsidP="000410FD">
            <w:pPr>
              <w:rPr>
                <w:b/>
                <w:sz w:val="17"/>
                <w:szCs w:val="17"/>
              </w:rPr>
            </w:pPr>
          </w:p>
          <w:p w:rsidR="00360763" w:rsidRDefault="00360763" w:rsidP="000410FD">
            <w:pPr>
              <w:jc w:val="center"/>
              <w:rPr>
                <w:b/>
                <w:sz w:val="17"/>
                <w:szCs w:val="17"/>
              </w:rPr>
            </w:pPr>
          </w:p>
          <w:p w:rsidR="00485CD9" w:rsidRPr="0040732C" w:rsidRDefault="00485CD9" w:rsidP="000410FD">
            <w:pPr>
              <w:jc w:val="center"/>
              <w:rPr>
                <w:b/>
                <w:sz w:val="17"/>
                <w:szCs w:val="17"/>
              </w:rPr>
            </w:pPr>
            <w:r w:rsidRPr="0040732C">
              <w:rPr>
                <w:b/>
                <w:sz w:val="17"/>
                <w:szCs w:val="17"/>
              </w:rPr>
              <w:t>Total Annualized Reporting Burden For All Respondents</w:t>
            </w:r>
          </w:p>
          <w:p w:rsidR="00485CD9" w:rsidRPr="0040732C" w:rsidRDefault="00485CD9" w:rsidP="000410FD">
            <w:pPr>
              <w:jc w:val="center"/>
              <w:rPr>
                <w:b/>
                <w:sz w:val="17"/>
                <w:szCs w:val="17"/>
              </w:rPr>
            </w:pPr>
          </w:p>
        </w:tc>
        <w:tc>
          <w:tcPr>
            <w:tcW w:w="840" w:type="dxa"/>
            <w:shd w:val="clear" w:color="auto" w:fill="A6A6A6" w:themeFill="background1" w:themeFillShade="A6"/>
          </w:tcPr>
          <w:p w:rsidR="00485CD9" w:rsidRPr="0040732C" w:rsidRDefault="00485CD9" w:rsidP="000410FD">
            <w:pPr>
              <w:jc w:val="center"/>
              <w:rPr>
                <w:b/>
                <w:sz w:val="17"/>
                <w:szCs w:val="17"/>
              </w:rPr>
            </w:pPr>
          </w:p>
          <w:p w:rsidR="00485CD9" w:rsidRDefault="00485CD9" w:rsidP="000410FD">
            <w:pPr>
              <w:jc w:val="center"/>
              <w:rPr>
                <w:b/>
                <w:sz w:val="17"/>
                <w:szCs w:val="17"/>
              </w:rPr>
            </w:pPr>
          </w:p>
          <w:p w:rsidR="00485CD9" w:rsidRPr="0040732C" w:rsidRDefault="00485CD9" w:rsidP="000410FD">
            <w:pPr>
              <w:jc w:val="center"/>
              <w:rPr>
                <w:b/>
                <w:sz w:val="17"/>
                <w:szCs w:val="17"/>
              </w:rPr>
            </w:pPr>
            <w:r w:rsidRPr="0040732C">
              <w:rPr>
                <w:b/>
                <w:sz w:val="17"/>
                <w:szCs w:val="17"/>
              </w:rPr>
              <w:t>Small Business Entities Affected</w:t>
            </w:r>
          </w:p>
          <w:p w:rsidR="00485CD9" w:rsidRPr="0040732C" w:rsidRDefault="00485CD9" w:rsidP="000410FD">
            <w:pPr>
              <w:jc w:val="center"/>
              <w:rPr>
                <w:b/>
                <w:sz w:val="17"/>
                <w:szCs w:val="17"/>
              </w:rPr>
            </w:pPr>
          </w:p>
        </w:tc>
      </w:tr>
      <w:tr w:rsidR="004B34E4" w:rsidRPr="003D76C4" w:rsidTr="000C6CEE">
        <w:trPr>
          <w:jc w:val="center"/>
        </w:trPr>
        <w:tc>
          <w:tcPr>
            <w:tcW w:w="1494" w:type="dxa"/>
            <w:shd w:val="clear" w:color="auto" w:fill="auto"/>
            <w:vAlign w:val="center"/>
          </w:tcPr>
          <w:p w:rsidR="00485CD9" w:rsidRPr="003D76C4" w:rsidRDefault="00360763" w:rsidP="00360763">
            <w:pPr>
              <w:jc w:val="center"/>
              <w:rPr>
                <w:color w:val="000000"/>
                <w:sz w:val="17"/>
                <w:szCs w:val="17"/>
              </w:rPr>
            </w:pPr>
            <w:r>
              <w:rPr>
                <w:color w:val="000000"/>
                <w:sz w:val="17"/>
                <w:szCs w:val="17"/>
              </w:rPr>
              <w:t>Rule 17</w:t>
            </w:r>
            <w:r w:rsidR="00485CD9">
              <w:rPr>
                <w:color w:val="000000"/>
                <w:sz w:val="17"/>
                <w:szCs w:val="17"/>
              </w:rPr>
              <w:t>a-4 before the SBS Recordkeeping Release</w:t>
            </w:r>
          </w:p>
        </w:tc>
        <w:tc>
          <w:tcPr>
            <w:tcW w:w="1246" w:type="dxa"/>
            <w:shd w:val="clear" w:color="auto" w:fill="auto"/>
            <w:vAlign w:val="center"/>
          </w:tcPr>
          <w:p w:rsidR="00485CD9" w:rsidRPr="003D76C4" w:rsidRDefault="00485CD9" w:rsidP="000410FD">
            <w:pPr>
              <w:jc w:val="center"/>
              <w:rPr>
                <w:color w:val="000000"/>
                <w:sz w:val="17"/>
                <w:szCs w:val="17"/>
              </w:rPr>
            </w:pPr>
            <w:r>
              <w:rPr>
                <w:color w:val="000000"/>
                <w:sz w:val="17"/>
                <w:szCs w:val="17"/>
              </w:rPr>
              <w:t>Recordkeeping</w:t>
            </w:r>
          </w:p>
        </w:tc>
        <w:tc>
          <w:tcPr>
            <w:tcW w:w="1142" w:type="dxa"/>
            <w:shd w:val="clear" w:color="auto" w:fill="auto"/>
            <w:vAlign w:val="center"/>
          </w:tcPr>
          <w:p w:rsidR="00485CD9" w:rsidRPr="003D76C4" w:rsidRDefault="00485CD9" w:rsidP="000410FD">
            <w:pPr>
              <w:jc w:val="center"/>
              <w:rPr>
                <w:color w:val="000000"/>
                <w:sz w:val="17"/>
                <w:szCs w:val="17"/>
              </w:rPr>
            </w:pPr>
            <w:r w:rsidRPr="00906B26">
              <w:rPr>
                <w:color w:val="000000"/>
                <w:sz w:val="17"/>
                <w:szCs w:val="17"/>
              </w:rPr>
              <w:t>4,</w:t>
            </w:r>
            <w:r w:rsidR="001463E0">
              <w:rPr>
                <w:color w:val="000000"/>
                <w:sz w:val="17"/>
                <w:szCs w:val="17"/>
              </w:rPr>
              <w:t>545</w:t>
            </w:r>
          </w:p>
        </w:tc>
        <w:tc>
          <w:tcPr>
            <w:tcW w:w="963" w:type="dxa"/>
            <w:shd w:val="clear" w:color="auto" w:fill="auto"/>
            <w:vAlign w:val="center"/>
          </w:tcPr>
          <w:p w:rsidR="00485CD9" w:rsidRPr="003D76C4" w:rsidRDefault="000C6CEE" w:rsidP="000410FD">
            <w:pPr>
              <w:jc w:val="center"/>
              <w:rPr>
                <w:color w:val="000000"/>
                <w:sz w:val="17"/>
                <w:szCs w:val="17"/>
              </w:rPr>
            </w:pPr>
            <w:r>
              <w:rPr>
                <w:color w:val="000000"/>
                <w:sz w:val="17"/>
                <w:szCs w:val="17"/>
              </w:rPr>
              <w:t>1</w:t>
            </w:r>
          </w:p>
        </w:tc>
        <w:tc>
          <w:tcPr>
            <w:tcW w:w="1076" w:type="dxa"/>
            <w:shd w:val="clear" w:color="auto" w:fill="auto"/>
            <w:vAlign w:val="center"/>
          </w:tcPr>
          <w:p w:rsidR="00485CD9" w:rsidRPr="003D76C4" w:rsidRDefault="000C6CEE" w:rsidP="000410FD">
            <w:pPr>
              <w:jc w:val="center"/>
              <w:rPr>
                <w:color w:val="000000"/>
                <w:sz w:val="17"/>
                <w:szCs w:val="17"/>
              </w:rPr>
            </w:pPr>
            <w:r>
              <w:rPr>
                <w:color w:val="000000"/>
                <w:sz w:val="17"/>
                <w:szCs w:val="17"/>
              </w:rPr>
              <w:t>0</w:t>
            </w:r>
          </w:p>
        </w:tc>
        <w:tc>
          <w:tcPr>
            <w:tcW w:w="1076" w:type="dxa"/>
            <w:shd w:val="clear" w:color="auto" w:fill="auto"/>
            <w:vAlign w:val="center"/>
          </w:tcPr>
          <w:p w:rsidR="00485CD9" w:rsidRPr="003D76C4" w:rsidRDefault="000C6CEE" w:rsidP="000410FD">
            <w:pPr>
              <w:jc w:val="center"/>
              <w:rPr>
                <w:color w:val="000000"/>
                <w:sz w:val="17"/>
                <w:szCs w:val="17"/>
              </w:rPr>
            </w:pPr>
            <w:r>
              <w:rPr>
                <w:color w:val="000000"/>
                <w:sz w:val="17"/>
                <w:szCs w:val="17"/>
              </w:rPr>
              <w:t>254</w:t>
            </w:r>
          </w:p>
        </w:tc>
        <w:tc>
          <w:tcPr>
            <w:tcW w:w="1076" w:type="dxa"/>
            <w:shd w:val="clear" w:color="auto" w:fill="auto"/>
            <w:vAlign w:val="center"/>
          </w:tcPr>
          <w:p w:rsidR="00485CD9" w:rsidRPr="003D76C4" w:rsidRDefault="00485CD9" w:rsidP="000410FD">
            <w:pPr>
              <w:jc w:val="center"/>
              <w:rPr>
                <w:color w:val="000000"/>
                <w:sz w:val="17"/>
                <w:szCs w:val="17"/>
              </w:rPr>
            </w:pPr>
            <w:r>
              <w:rPr>
                <w:color w:val="000000"/>
                <w:sz w:val="17"/>
                <w:szCs w:val="17"/>
              </w:rPr>
              <w:t>254</w:t>
            </w:r>
          </w:p>
        </w:tc>
        <w:tc>
          <w:tcPr>
            <w:tcW w:w="1142" w:type="dxa"/>
            <w:shd w:val="clear" w:color="auto" w:fill="auto"/>
            <w:vAlign w:val="center"/>
          </w:tcPr>
          <w:p w:rsidR="00485CD9" w:rsidRPr="003D76C4" w:rsidRDefault="00485CD9" w:rsidP="000410FD">
            <w:pPr>
              <w:jc w:val="center"/>
              <w:rPr>
                <w:color w:val="000000"/>
                <w:sz w:val="17"/>
                <w:szCs w:val="17"/>
              </w:rPr>
            </w:pPr>
            <w:r>
              <w:rPr>
                <w:color w:val="000000"/>
                <w:sz w:val="17"/>
                <w:szCs w:val="17"/>
              </w:rPr>
              <w:t>1,</w:t>
            </w:r>
            <w:r w:rsidR="001463E0">
              <w:rPr>
                <w:color w:val="000000"/>
                <w:sz w:val="17"/>
                <w:szCs w:val="17"/>
              </w:rPr>
              <w:t>154,430</w:t>
            </w:r>
          </w:p>
        </w:tc>
        <w:tc>
          <w:tcPr>
            <w:tcW w:w="840" w:type="dxa"/>
            <w:shd w:val="clear" w:color="auto" w:fill="auto"/>
            <w:vAlign w:val="center"/>
          </w:tcPr>
          <w:p w:rsidR="00485CD9" w:rsidRPr="003D76C4" w:rsidRDefault="00485CD9" w:rsidP="003C597B">
            <w:pPr>
              <w:jc w:val="center"/>
              <w:rPr>
                <w:color w:val="000000"/>
                <w:sz w:val="17"/>
                <w:szCs w:val="17"/>
              </w:rPr>
            </w:pPr>
            <w:r>
              <w:rPr>
                <w:color w:val="000000"/>
                <w:sz w:val="17"/>
                <w:szCs w:val="17"/>
              </w:rPr>
              <w:t>1,</w:t>
            </w:r>
            <w:r w:rsidR="003C597B">
              <w:rPr>
                <w:color w:val="000000"/>
                <w:sz w:val="17"/>
                <w:szCs w:val="17"/>
              </w:rPr>
              <w:t>508</w:t>
            </w:r>
          </w:p>
        </w:tc>
      </w:tr>
      <w:tr w:rsidR="004B34E4" w:rsidRPr="003D76C4" w:rsidTr="000C6CEE">
        <w:trPr>
          <w:jc w:val="center"/>
        </w:trPr>
        <w:tc>
          <w:tcPr>
            <w:tcW w:w="1494" w:type="dxa"/>
            <w:vAlign w:val="center"/>
          </w:tcPr>
          <w:p w:rsidR="00485CD9" w:rsidRDefault="00485CD9" w:rsidP="00711605">
            <w:pPr>
              <w:jc w:val="center"/>
              <w:rPr>
                <w:color w:val="000000"/>
                <w:sz w:val="17"/>
                <w:szCs w:val="17"/>
              </w:rPr>
            </w:pPr>
            <w:r w:rsidRPr="0000110D">
              <w:rPr>
                <w:color w:val="000000"/>
                <w:sz w:val="17"/>
                <w:szCs w:val="17"/>
              </w:rPr>
              <w:t xml:space="preserve">Paragraph </w:t>
            </w:r>
            <w:r w:rsidR="00711605">
              <w:rPr>
                <w:color w:val="000000"/>
                <w:sz w:val="17"/>
                <w:szCs w:val="17"/>
              </w:rPr>
              <w:t>(b)(11) of Rule 17a-4</w:t>
            </w:r>
          </w:p>
        </w:tc>
        <w:tc>
          <w:tcPr>
            <w:tcW w:w="1246" w:type="dxa"/>
            <w:vAlign w:val="center"/>
          </w:tcPr>
          <w:p w:rsidR="00485CD9" w:rsidRDefault="00485CD9" w:rsidP="000410FD">
            <w:pPr>
              <w:jc w:val="center"/>
              <w:rPr>
                <w:color w:val="000000"/>
                <w:sz w:val="17"/>
                <w:szCs w:val="17"/>
              </w:rPr>
            </w:pPr>
            <w:r>
              <w:rPr>
                <w:color w:val="000000"/>
                <w:sz w:val="17"/>
                <w:szCs w:val="17"/>
              </w:rPr>
              <w:t>Recordkeeping</w:t>
            </w:r>
          </w:p>
        </w:tc>
        <w:tc>
          <w:tcPr>
            <w:tcW w:w="1142" w:type="dxa"/>
            <w:vAlign w:val="center"/>
          </w:tcPr>
          <w:p w:rsidR="00485CD9" w:rsidRDefault="00711605" w:rsidP="000410FD">
            <w:pPr>
              <w:jc w:val="center"/>
              <w:rPr>
                <w:color w:val="000000"/>
                <w:sz w:val="17"/>
                <w:szCs w:val="17"/>
              </w:rPr>
            </w:pPr>
            <w:r>
              <w:rPr>
                <w:color w:val="000000"/>
                <w:sz w:val="17"/>
                <w:szCs w:val="17"/>
              </w:rPr>
              <w:t>150</w:t>
            </w:r>
          </w:p>
        </w:tc>
        <w:tc>
          <w:tcPr>
            <w:tcW w:w="963" w:type="dxa"/>
            <w:vAlign w:val="center"/>
          </w:tcPr>
          <w:p w:rsidR="00485CD9" w:rsidRDefault="00485CD9" w:rsidP="000410FD">
            <w:pPr>
              <w:jc w:val="center"/>
              <w:rPr>
                <w:color w:val="000000"/>
                <w:sz w:val="17"/>
                <w:szCs w:val="17"/>
              </w:rPr>
            </w:pPr>
            <w:r>
              <w:rPr>
                <w:color w:val="000000"/>
                <w:sz w:val="17"/>
                <w:szCs w:val="17"/>
              </w:rPr>
              <w:t>1</w:t>
            </w:r>
          </w:p>
        </w:tc>
        <w:tc>
          <w:tcPr>
            <w:tcW w:w="1076" w:type="dxa"/>
            <w:vAlign w:val="center"/>
          </w:tcPr>
          <w:p w:rsidR="00485CD9" w:rsidRDefault="00711605" w:rsidP="000410FD">
            <w:pPr>
              <w:jc w:val="center"/>
              <w:rPr>
                <w:color w:val="000000"/>
                <w:sz w:val="17"/>
                <w:szCs w:val="17"/>
              </w:rPr>
            </w:pPr>
            <w:r>
              <w:rPr>
                <w:color w:val="000000"/>
                <w:sz w:val="17"/>
                <w:szCs w:val="17"/>
              </w:rPr>
              <w:t>0</w:t>
            </w:r>
          </w:p>
        </w:tc>
        <w:tc>
          <w:tcPr>
            <w:tcW w:w="1076" w:type="dxa"/>
            <w:vAlign w:val="center"/>
          </w:tcPr>
          <w:p w:rsidR="00485CD9" w:rsidRDefault="00711605" w:rsidP="000410FD">
            <w:pPr>
              <w:jc w:val="center"/>
              <w:rPr>
                <w:color w:val="000000"/>
                <w:sz w:val="17"/>
                <w:szCs w:val="17"/>
              </w:rPr>
            </w:pPr>
            <w:r>
              <w:rPr>
                <w:color w:val="000000"/>
                <w:sz w:val="17"/>
                <w:szCs w:val="17"/>
              </w:rPr>
              <w:t>3</w:t>
            </w:r>
          </w:p>
        </w:tc>
        <w:tc>
          <w:tcPr>
            <w:tcW w:w="1076" w:type="dxa"/>
            <w:vAlign w:val="center"/>
          </w:tcPr>
          <w:p w:rsidR="00485CD9" w:rsidRDefault="00711605" w:rsidP="000410FD">
            <w:pPr>
              <w:jc w:val="center"/>
              <w:rPr>
                <w:color w:val="000000"/>
                <w:sz w:val="17"/>
                <w:szCs w:val="17"/>
              </w:rPr>
            </w:pPr>
            <w:r>
              <w:rPr>
                <w:color w:val="000000"/>
                <w:sz w:val="17"/>
                <w:szCs w:val="17"/>
              </w:rPr>
              <w:t>3</w:t>
            </w:r>
          </w:p>
        </w:tc>
        <w:tc>
          <w:tcPr>
            <w:tcW w:w="1142" w:type="dxa"/>
            <w:vAlign w:val="center"/>
          </w:tcPr>
          <w:p w:rsidR="00485CD9" w:rsidRDefault="00711605" w:rsidP="000410FD">
            <w:pPr>
              <w:jc w:val="center"/>
              <w:rPr>
                <w:color w:val="000000"/>
                <w:sz w:val="17"/>
                <w:szCs w:val="17"/>
              </w:rPr>
            </w:pPr>
            <w:r>
              <w:rPr>
                <w:color w:val="000000"/>
                <w:sz w:val="17"/>
                <w:szCs w:val="17"/>
              </w:rPr>
              <w:t>450</w:t>
            </w:r>
          </w:p>
        </w:tc>
        <w:tc>
          <w:tcPr>
            <w:tcW w:w="840" w:type="dxa"/>
            <w:vAlign w:val="center"/>
          </w:tcPr>
          <w:p w:rsidR="00485CD9" w:rsidRDefault="00485CD9" w:rsidP="000410FD">
            <w:pPr>
              <w:jc w:val="center"/>
              <w:rPr>
                <w:color w:val="000000"/>
                <w:sz w:val="17"/>
                <w:szCs w:val="17"/>
              </w:rPr>
            </w:pPr>
            <w:r>
              <w:rPr>
                <w:color w:val="000000"/>
                <w:sz w:val="17"/>
                <w:szCs w:val="17"/>
              </w:rPr>
              <w:t>0</w:t>
            </w:r>
          </w:p>
        </w:tc>
      </w:tr>
      <w:tr w:rsidR="004B34E4" w:rsidRPr="003D76C4" w:rsidTr="000C6CEE">
        <w:trPr>
          <w:jc w:val="center"/>
        </w:trPr>
        <w:tc>
          <w:tcPr>
            <w:tcW w:w="1494" w:type="dxa"/>
            <w:vAlign w:val="center"/>
          </w:tcPr>
          <w:p w:rsidR="00485CD9" w:rsidRPr="003D76C4" w:rsidRDefault="00D37439" w:rsidP="000410FD">
            <w:pPr>
              <w:jc w:val="center"/>
              <w:rPr>
                <w:color w:val="000000"/>
                <w:sz w:val="17"/>
                <w:szCs w:val="17"/>
              </w:rPr>
            </w:pPr>
            <w:r>
              <w:rPr>
                <w:color w:val="000000"/>
                <w:sz w:val="17"/>
                <w:szCs w:val="17"/>
              </w:rPr>
              <w:t>Telephonic c</w:t>
            </w:r>
            <w:r w:rsidR="00160694">
              <w:rPr>
                <w:color w:val="000000"/>
                <w:sz w:val="17"/>
                <w:szCs w:val="17"/>
              </w:rPr>
              <w:t xml:space="preserve">ommunications: </w:t>
            </w:r>
            <w:r>
              <w:rPr>
                <w:color w:val="000000"/>
                <w:sz w:val="17"/>
                <w:szCs w:val="17"/>
              </w:rPr>
              <w:t>Amendment</w:t>
            </w:r>
            <w:r w:rsidR="00711605">
              <w:rPr>
                <w:color w:val="000000"/>
                <w:sz w:val="17"/>
                <w:szCs w:val="17"/>
              </w:rPr>
              <w:t xml:space="preserve"> to paragraph (b)(4)</w:t>
            </w:r>
            <w:r w:rsidR="00485CD9" w:rsidRPr="00B45EA6">
              <w:rPr>
                <w:color w:val="000000"/>
                <w:sz w:val="17"/>
                <w:szCs w:val="17"/>
              </w:rPr>
              <w:t xml:space="preserve"> </w:t>
            </w:r>
          </w:p>
        </w:tc>
        <w:tc>
          <w:tcPr>
            <w:tcW w:w="1246" w:type="dxa"/>
            <w:vAlign w:val="center"/>
          </w:tcPr>
          <w:p w:rsidR="00485CD9" w:rsidRPr="003D76C4" w:rsidRDefault="00485CD9" w:rsidP="000410FD">
            <w:pPr>
              <w:jc w:val="center"/>
              <w:rPr>
                <w:color w:val="000000"/>
                <w:sz w:val="17"/>
                <w:szCs w:val="17"/>
              </w:rPr>
            </w:pPr>
            <w:r>
              <w:rPr>
                <w:color w:val="000000"/>
                <w:sz w:val="17"/>
                <w:szCs w:val="17"/>
              </w:rPr>
              <w:t xml:space="preserve">Recordkeeping </w:t>
            </w:r>
          </w:p>
        </w:tc>
        <w:tc>
          <w:tcPr>
            <w:tcW w:w="1142" w:type="dxa"/>
            <w:vAlign w:val="center"/>
          </w:tcPr>
          <w:p w:rsidR="00485CD9" w:rsidRPr="003D76C4" w:rsidRDefault="00711605" w:rsidP="000410FD">
            <w:pPr>
              <w:jc w:val="center"/>
              <w:rPr>
                <w:color w:val="000000"/>
                <w:sz w:val="17"/>
                <w:szCs w:val="17"/>
              </w:rPr>
            </w:pPr>
            <w:r>
              <w:rPr>
                <w:color w:val="000000"/>
                <w:sz w:val="17"/>
                <w:szCs w:val="17"/>
              </w:rPr>
              <w:t>17</w:t>
            </w:r>
          </w:p>
        </w:tc>
        <w:tc>
          <w:tcPr>
            <w:tcW w:w="963" w:type="dxa"/>
            <w:vAlign w:val="center"/>
          </w:tcPr>
          <w:p w:rsidR="00485CD9" w:rsidRPr="003D76C4" w:rsidRDefault="00485CD9" w:rsidP="000410FD">
            <w:pPr>
              <w:jc w:val="center"/>
              <w:rPr>
                <w:color w:val="000000"/>
                <w:sz w:val="17"/>
                <w:szCs w:val="17"/>
              </w:rPr>
            </w:pPr>
            <w:r>
              <w:rPr>
                <w:color w:val="000000"/>
                <w:sz w:val="17"/>
                <w:szCs w:val="17"/>
              </w:rPr>
              <w:t>1</w:t>
            </w:r>
          </w:p>
        </w:tc>
        <w:tc>
          <w:tcPr>
            <w:tcW w:w="1076" w:type="dxa"/>
            <w:vAlign w:val="center"/>
          </w:tcPr>
          <w:p w:rsidR="00485CD9" w:rsidRPr="003D76C4" w:rsidRDefault="00711605" w:rsidP="000410FD">
            <w:pPr>
              <w:jc w:val="center"/>
              <w:rPr>
                <w:color w:val="000000"/>
                <w:sz w:val="17"/>
                <w:szCs w:val="17"/>
              </w:rPr>
            </w:pPr>
            <w:r>
              <w:rPr>
                <w:color w:val="000000"/>
                <w:sz w:val="17"/>
                <w:szCs w:val="17"/>
              </w:rPr>
              <w:t>4.33</w:t>
            </w:r>
          </w:p>
        </w:tc>
        <w:tc>
          <w:tcPr>
            <w:tcW w:w="1076" w:type="dxa"/>
            <w:vAlign w:val="center"/>
          </w:tcPr>
          <w:p w:rsidR="00485CD9" w:rsidRPr="003D76C4" w:rsidRDefault="00711605" w:rsidP="000410FD">
            <w:pPr>
              <w:jc w:val="center"/>
              <w:rPr>
                <w:color w:val="000000"/>
                <w:sz w:val="17"/>
                <w:szCs w:val="17"/>
              </w:rPr>
            </w:pPr>
            <w:r>
              <w:rPr>
                <w:color w:val="000000"/>
                <w:sz w:val="17"/>
                <w:szCs w:val="17"/>
              </w:rPr>
              <w:t>6</w:t>
            </w:r>
          </w:p>
        </w:tc>
        <w:tc>
          <w:tcPr>
            <w:tcW w:w="1076" w:type="dxa"/>
            <w:vAlign w:val="center"/>
          </w:tcPr>
          <w:p w:rsidR="00485CD9" w:rsidRPr="003D76C4" w:rsidRDefault="00711605" w:rsidP="000410FD">
            <w:pPr>
              <w:jc w:val="center"/>
              <w:rPr>
                <w:color w:val="000000"/>
                <w:sz w:val="17"/>
                <w:szCs w:val="17"/>
              </w:rPr>
            </w:pPr>
            <w:r>
              <w:rPr>
                <w:color w:val="000000"/>
                <w:sz w:val="17"/>
                <w:szCs w:val="17"/>
              </w:rPr>
              <w:t>10.33</w:t>
            </w:r>
          </w:p>
        </w:tc>
        <w:tc>
          <w:tcPr>
            <w:tcW w:w="1142" w:type="dxa"/>
            <w:vAlign w:val="center"/>
          </w:tcPr>
          <w:p w:rsidR="00485CD9" w:rsidRPr="003D76C4" w:rsidRDefault="00711605" w:rsidP="000410FD">
            <w:pPr>
              <w:jc w:val="center"/>
              <w:rPr>
                <w:color w:val="000000"/>
                <w:sz w:val="17"/>
                <w:szCs w:val="17"/>
              </w:rPr>
            </w:pPr>
            <w:r>
              <w:rPr>
                <w:color w:val="000000"/>
                <w:sz w:val="17"/>
                <w:szCs w:val="17"/>
              </w:rPr>
              <w:t>17</w:t>
            </w:r>
            <w:r w:rsidR="0083179D">
              <w:rPr>
                <w:color w:val="000000"/>
                <w:sz w:val="17"/>
                <w:szCs w:val="17"/>
              </w:rPr>
              <w:t>5.67</w:t>
            </w:r>
          </w:p>
        </w:tc>
        <w:tc>
          <w:tcPr>
            <w:tcW w:w="840" w:type="dxa"/>
            <w:vAlign w:val="center"/>
          </w:tcPr>
          <w:p w:rsidR="00485CD9" w:rsidRPr="003D76C4" w:rsidRDefault="00485CD9" w:rsidP="000410FD">
            <w:pPr>
              <w:jc w:val="center"/>
              <w:rPr>
                <w:color w:val="000000"/>
                <w:sz w:val="17"/>
                <w:szCs w:val="17"/>
              </w:rPr>
            </w:pPr>
            <w:r>
              <w:rPr>
                <w:color w:val="000000"/>
                <w:sz w:val="17"/>
                <w:szCs w:val="17"/>
              </w:rPr>
              <w:t>0</w:t>
            </w:r>
          </w:p>
        </w:tc>
      </w:tr>
      <w:tr w:rsidR="004B34E4" w:rsidRPr="003D76C4" w:rsidTr="000C6CEE">
        <w:trPr>
          <w:jc w:val="center"/>
        </w:trPr>
        <w:tc>
          <w:tcPr>
            <w:tcW w:w="1494" w:type="dxa"/>
            <w:vAlign w:val="center"/>
          </w:tcPr>
          <w:p w:rsidR="00485CD9" w:rsidRPr="003D76C4" w:rsidRDefault="00595E98" w:rsidP="00D37439">
            <w:pPr>
              <w:jc w:val="center"/>
              <w:rPr>
                <w:color w:val="000000"/>
                <w:sz w:val="17"/>
                <w:szCs w:val="17"/>
              </w:rPr>
            </w:pPr>
            <w:r>
              <w:rPr>
                <w:color w:val="000000"/>
                <w:sz w:val="17"/>
                <w:szCs w:val="17"/>
              </w:rPr>
              <w:t>Security-</w:t>
            </w:r>
            <w:r w:rsidR="00D37439">
              <w:rPr>
                <w:color w:val="000000"/>
                <w:sz w:val="17"/>
                <w:szCs w:val="17"/>
              </w:rPr>
              <w:t>b</w:t>
            </w:r>
            <w:r>
              <w:rPr>
                <w:color w:val="000000"/>
                <w:sz w:val="17"/>
                <w:szCs w:val="17"/>
              </w:rPr>
              <w:t xml:space="preserve">ased </w:t>
            </w:r>
            <w:r w:rsidR="00D37439">
              <w:rPr>
                <w:color w:val="000000"/>
                <w:sz w:val="17"/>
                <w:szCs w:val="17"/>
              </w:rPr>
              <w:t>swap a</w:t>
            </w:r>
            <w:r>
              <w:rPr>
                <w:color w:val="000000"/>
                <w:sz w:val="17"/>
                <w:szCs w:val="17"/>
              </w:rPr>
              <w:t xml:space="preserve">ctivities: </w:t>
            </w:r>
            <w:r w:rsidR="00485CD9">
              <w:rPr>
                <w:color w:val="000000"/>
                <w:sz w:val="17"/>
                <w:szCs w:val="17"/>
              </w:rPr>
              <w:t>Amendments to paragraph</w:t>
            </w:r>
            <w:r w:rsidR="00D37439">
              <w:rPr>
                <w:color w:val="000000"/>
                <w:sz w:val="17"/>
                <w:szCs w:val="17"/>
              </w:rPr>
              <w:t>s</w:t>
            </w:r>
            <w:r w:rsidR="00485CD9">
              <w:rPr>
                <w:color w:val="000000"/>
                <w:sz w:val="17"/>
                <w:szCs w:val="17"/>
              </w:rPr>
              <w:t xml:space="preserve"> </w:t>
            </w:r>
            <w:r w:rsidR="00711605">
              <w:rPr>
                <w:color w:val="000000"/>
                <w:sz w:val="17"/>
                <w:szCs w:val="17"/>
              </w:rPr>
              <w:t>(b)(8)(v)-(viii) and new paragraphs (b)(8)(xvi) and (b)(14)</w:t>
            </w:r>
          </w:p>
        </w:tc>
        <w:tc>
          <w:tcPr>
            <w:tcW w:w="1246" w:type="dxa"/>
            <w:vAlign w:val="center"/>
          </w:tcPr>
          <w:p w:rsidR="00485CD9" w:rsidRPr="003D76C4" w:rsidRDefault="00485CD9" w:rsidP="000410FD">
            <w:pPr>
              <w:jc w:val="center"/>
              <w:rPr>
                <w:color w:val="000000"/>
                <w:sz w:val="17"/>
                <w:szCs w:val="17"/>
              </w:rPr>
            </w:pPr>
            <w:r>
              <w:rPr>
                <w:color w:val="000000"/>
                <w:sz w:val="17"/>
                <w:szCs w:val="17"/>
              </w:rPr>
              <w:t>Recordkeeping</w:t>
            </w:r>
          </w:p>
        </w:tc>
        <w:tc>
          <w:tcPr>
            <w:tcW w:w="1142" w:type="dxa"/>
            <w:vAlign w:val="center"/>
          </w:tcPr>
          <w:p w:rsidR="00485CD9" w:rsidRPr="003D76C4" w:rsidRDefault="00711605" w:rsidP="000410FD">
            <w:pPr>
              <w:jc w:val="center"/>
              <w:rPr>
                <w:color w:val="000000"/>
                <w:sz w:val="17"/>
                <w:szCs w:val="17"/>
              </w:rPr>
            </w:pPr>
            <w:r>
              <w:rPr>
                <w:color w:val="000000"/>
                <w:sz w:val="17"/>
                <w:szCs w:val="17"/>
              </w:rPr>
              <w:t>42</w:t>
            </w:r>
          </w:p>
        </w:tc>
        <w:tc>
          <w:tcPr>
            <w:tcW w:w="963" w:type="dxa"/>
            <w:vAlign w:val="center"/>
          </w:tcPr>
          <w:p w:rsidR="00485CD9" w:rsidRPr="003D76C4" w:rsidRDefault="00711605" w:rsidP="000410FD">
            <w:pPr>
              <w:jc w:val="center"/>
              <w:rPr>
                <w:color w:val="000000"/>
                <w:sz w:val="17"/>
                <w:szCs w:val="17"/>
              </w:rPr>
            </w:pPr>
            <w:r>
              <w:rPr>
                <w:color w:val="000000"/>
                <w:sz w:val="17"/>
                <w:szCs w:val="17"/>
              </w:rPr>
              <w:t>1</w:t>
            </w:r>
          </w:p>
        </w:tc>
        <w:tc>
          <w:tcPr>
            <w:tcW w:w="1076" w:type="dxa"/>
            <w:vAlign w:val="center"/>
          </w:tcPr>
          <w:p w:rsidR="00485CD9" w:rsidRPr="003D76C4" w:rsidRDefault="00711605" w:rsidP="000410FD">
            <w:pPr>
              <w:jc w:val="center"/>
              <w:rPr>
                <w:color w:val="000000"/>
                <w:sz w:val="17"/>
                <w:szCs w:val="17"/>
              </w:rPr>
            </w:pPr>
            <w:r>
              <w:rPr>
                <w:color w:val="000000"/>
                <w:sz w:val="17"/>
                <w:szCs w:val="17"/>
              </w:rPr>
              <w:t>13</w:t>
            </w:r>
          </w:p>
        </w:tc>
        <w:tc>
          <w:tcPr>
            <w:tcW w:w="1076" w:type="dxa"/>
            <w:vAlign w:val="center"/>
          </w:tcPr>
          <w:p w:rsidR="00485CD9" w:rsidRPr="003D76C4" w:rsidRDefault="00711605" w:rsidP="000410FD">
            <w:pPr>
              <w:jc w:val="center"/>
              <w:rPr>
                <w:color w:val="000000"/>
                <w:sz w:val="17"/>
                <w:szCs w:val="17"/>
              </w:rPr>
            </w:pPr>
            <w:r>
              <w:rPr>
                <w:color w:val="000000"/>
                <w:sz w:val="17"/>
                <w:szCs w:val="17"/>
              </w:rPr>
              <w:t>18</w:t>
            </w:r>
          </w:p>
        </w:tc>
        <w:tc>
          <w:tcPr>
            <w:tcW w:w="1076" w:type="dxa"/>
            <w:vAlign w:val="center"/>
          </w:tcPr>
          <w:p w:rsidR="00485CD9" w:rsidRPr="003D76C4" w:rsidRDefault="00711605" w:rsidP="000410FD">
            <w:pPr>
              <w:jc w:val="center"/>
              <w:rPr>
                <w:color w:val="000000"/>
                <w:sz w:val="17"/>
                <w:szCs w:val="17"/>
              </w:rPr>
            </w:pPr>
            <w:r>
              <w:rPr>
                <w:color w:val="000000"/>
                <w:sz w:val="17"/>
                <w:szCs w:val="17"/>
              </w:rPr>
              <w:t>31</w:t>
            </w:r>
          </w:p>
        </w:tc>
        <w:tc>
          <w:tcPr>
            <w:tcW w:w="1142" w:type="dxa"/>
            <w:vAlign w:val="center"/>
          </w:tcPr>
          <w:p w:rsidR="00485CD9" w:rsidRPr="003D76C4" w:rsidRDefault="00711605" w:rsidP="000410FD">
            <w:pPr>
              <w:jc w:val="center"/>
              <w:rPr>
                <w:color w:val="000000"/>
                <w:sz w:val="17"/>
                <w:szCs w:val="17"/>
              </w:rPr>
            </w:pPr>
            <w:r>
              <w:rPr>
                <w:color w:val="000000"/>
                <w:sz w:val="17"/>
                <w:szCs w:val="17"/>
              </w:rPr>
              <w:t>1,302</w:t>
            </w:r>
          </w:p>
        </w:tc>
        <w:tc>
          <w:tcPr>
            <w:tcW w:w="840" w:type="dxa"/>
            <w:vAlign w:val="center"/>
          </w:tcPr>
          <w:p w:rsidR="00485CD9" w:rsidRPr="003D76C4" w:rsidRDefault="00711605" w:rsidP="000410FD">
            <w:pPr>
              <w:jc w:val="center"/>
              <w:rPr>
                <w:color w:val="000000"/>
                <w:sz w:val="17"/>
                <w:szCs w:val="17"/>
              </w:rPr>
            </w:pPr>
            <w:r>
              <w:rPr>
                <w:color w:val="000000"/>
                <w:sz w:val="17"/>
                <w:szCs w:val="17"/>
              </w:rPr>
              <w:t>0</w:t>
            </w:r>
          </w:p>
        </w:tc>
      </w:tr>
      <w:tr w:rsidR="004B34E4" w:rsidRPr="003D76C4" w:rsidTr="000C6CEE">
        <w:trPr>
          <w:jc w:val="center"/>
        </w:trPr>
        <w:tc>
          <w:tcPr>
            <w:tcW w:w="1494" w:type="dxa"/>
            <w:vAlign w:val="center"/>
          </w:tcPr>
          <w:p w:rsidR="00485CD9" w:rsidRDefault="00595E98" w:rsidP="00D37439">
            <w:pPr>
              <w:jc w:val="center"/>
              <w:rPr>
                <w:color w:val="000000"/>
                <w:sz w:val="17"/>
                <w:szCs w:val="17"/>
              </w:rPr>
            </w:pPr>
            <w:r>
              <w:rPr>
                <w:color w:val="000000"/>
                <w:sz w:val="17"/>
                <w:szCs w:val="17"/>
              </w:rPr>
              <w:t>Broker-</w:t>
            </w:r>
            <w:r w:rsidR="00D37439">
              <w:rPr>
                <w:color w:val="000000"/>
                <w:sz w:val="17"/>
                <w:szCs w:val="17"/>
              </w:rPr>
              <w:t>d</w:t>
            </w:r>
            <w:r>
              <w:rPr>
                <w:color w:val="000000"/>
                <w:sz w:val="17"/>
                <w:szCs w:val="17"/>
              </w:rPr>
              <w:t xml:space="preserve">ealer SBSDs and </w:t>
            </w:r>
            <w:r w:rsidR="00D37439">
              <w:rPr>
                <w:color w:val="000000"/>
                <w:sz w:val="17"/>
                <w:szCs w:val="17"/>
              </w:rPr>
              <w:t>broker-d</w:t>
            </w:r>
            <w:r>
              <w:rPr>
                <w:color w:val="000000"/>
                <w:sz w:val="17"/>
                <w:szCs w:val="17"/>
              </w:rPr>
              <w:t xml:space="preserve">ealer MSBSPs: </w:t>
            </w:r>
            <w:r w:rsidR="00D37439">
              <w:rPr>
                <w:color w:val="000000"/>
                <w:sz w:val="17"/>
                <w:szCs w:val="17"/>
              </w:rPr>
              <w:t>Amendment</w:t>
            </w:r>
            <w:r w:rsidR="00711605">
              <w:rPr>
                <w:color w:val="000000"/>
                <w:sz w:val="17"/>
                <w:szCs w:val="17"/>
              </w:rPr>
              <w:t xml:space="preserve"> to paragraph (b)(1) and new paragraph</w:t>
            </w:r>
            <w:r w:rsidR="00D37439">
              <w:rPr>
                <w:color w:val="000000"/>
                <w:sz w:val="17"/>
                <w:szCs w:val="17"/>
              </w:rPr>
              <w:t>s</w:t>
            </w:r>
            <w:r w:rsidR="00711605">
              <w:rPr>
                <w:color w:val="000000"/>
                <w:sz w:val="17"/>
                <w:szCs w:val="17"/>
              </w:rPr>
              <w:t xml:space="preserve"> (b)(15) and (b)(16)</w:t>
            </w:r>
          </w:p>
        </w:tc>
        <w:tc>
          <w:tcPr>
            <w:tcW w:w="1246" w:type="dxa"/>
            <w:vAlign w:val="center"/>
          </w:tcPr>
          <w:p w:rsidR="00485CD9" w:rsidRDefault="00485CD9" w:rsidP="000410FD">
            <w:pPr>
              <w:jc w:val="center"/>
              <w:rPr>
                <w:color w:val="000000"/>
                <w:sz w:val="17"/>
                <w:szCs w:val="17"/>
              </w:rPr>
            </w:pPr>
            <w:r>
              <w:rPr>
                <w:color w:val="000000"/>
                <w:sz w:val="17"/>
                <w:szCs w:val="17"/>
              </w:rPr>
              <w:t>Recordkeeping</w:t>
            </w:r>
          </w:p>
        </w:tc>
        <w:tc>
          <w:tcPr>
            <w:tcW w:w="1142" w:type="dxa"/>
            <w:vAlign w:val="center"/>
          </w:tcPr>
          <w:p w:rsidR="00485CD9" w:rsidRDefault="00711605" w:rsidP="000410FD">
            <w:pPr>
              <w:jc w:val="center"/>
              <w:rPr>
                <w:color w:val="000000"/>
                <w:sz w:val="17"/>
                <w:szCs w:val="17"/>
              </w:rPr>
            </w:pPr>
            <w:r>
              <w:rPr>
                <w:color w:val="000000"/>
                <w:sz w:val="17"/>
                <w:szCs w:val="17"/>
              </w:rPr>
              <w:t>17</w:t>
            </w:r>
          </w:p>
        </w:tc>
        <w:tc>
          <w:tcPr>
            <w:tcW w:w="963" w:type="dxa"/>
            <w:vAlign w:val="center"/>
          </w:tcPr>
          <w:p w:rsidR="00485CD9" w:rsidRDefault="00711605" w:rsidP="000410FD">
            <w:pPr>
              <w:jc w:val="center"/>
              <w:rPr>
                <w:color w:val="000000"/>
                <w:sz w:val="17"/>
                <w:szCs w:val="17"/>
              </w:rPr>
            </w:pPr>
            <w:r>
              <w:rPr>
                <w:color w:val="000000"/>
                <w:sz w:val="17"/>
                <w:szCs w:val="17"/>
              </w:rPr>
              <w:t>1</w:t>
            </w:r>
          </w:p>
        </w:tc>
        <w:tc>
          <w:tcPr>
            <w:tcW w:w="1076" w:type="dxa"/>
            <w:vAlign w:val="center"/>
          </w:tcPr>
          <w:p w:rsidR="00485CD9" w:rsidRDefault="00711605" w:rsidP="000410FD">
            <w:pPr>
              <w:jc w:val="center"/>
              <w:rPr>
                <w:color w:val="000000"/>
                <w:sz w:val="17"/>
                <w:szCs w:val="17"/>
              </w:rPr>
            </w:pPr>
            <w:r>
              <w:rPr>
                <w:color w:val="000000"/>
                <w:sz w:val="17"/>
                <w:szCs w:val="17"/>
              </w:rPr>
              <w:t>21.67</w:t>
            </w:r>
          </w:p>
        </w:tc>
        <w:tc>
          <w:tcPr>
            <w:tcW w:w="1076" w:type="dxa"/>
            <w:vAlign w:val="center"/>
          </w:tcPr>
          <w:p w:rsidR="00485CD9" w:rsidRDefault="00711605" w:rsidP="000410FD">
            <w:pPr>
              <w:jc w:val="center"/>
              <w:rPr>
                <w:color w:val="000000"/>
                <w:sz w:val="17"/>
                <w:szCs w:val="17"/>
              </w:rPr>
            </w:pPr>
            <w:r>
              <w:rPr>
                <w:color w:val="000000"/>
                <w:sz w:val="17"/>
                <w:szCs w:val="17"/>
              </w:rPr>
              <w:t>30</w:t>
            </w:r>
          </w:p>
        </w:tc>
        <w:tc>
          <w:tcPr>
            <w:tcW w:w="1076" w:type="dxa"/>
            <w:vAlign w:val="center"/>
          </w:tcPr>
          <w:p w:rsidR="00485CD9" w:rsidRDefault="00711605" w:rsidP="000410FD">
            <w:pPr>
              <w:jc w:val="center"/>
              <w:rPr>
                <w:color w:val="000000"/>
                <w:sz w:val="17"/>
                <w:szCs w:val="17"/>
              </w:rPr>
            </w:pPr>
            <w:r>
              <w:rPr>
                <w:color w:val="000000"/>
                <w:sz w:val="17"/>
                <w:szCs w:val="17"/>
              </w:rPr>
              <w:t>51.67</w:t>
            </w:r>
          </w:p>
        </w:tc>
        <w:tc>
          <w:tcPr>
            <w:tcW w:w="1142" w:type="dxa"/>
            <w:vAlign w:val="center"/>
          </w:tcPr>
          <w:p w:rsidR="00485CD9" w:rsidRDefault="00711605" w:rsidP="000410FD">
            <w:pPr>
              <w:jc w:val="center"/>
              <w:rPr>
                <w:color w:val="000000"/>
                <w:sz w:val="17"/>
                <w:szCs w:val="17"/>
              </w:rPr>
            </w:pPr>
            <w:r>
              <w:rPr>
                <w:color w:val="000000"/>
                <w:sz w:val="17"/>
                <w:szCs w:val="17"/>
              </w:rPr>
              <w:t>878</w:t>
            </w:r>
            <w:r w:rsidR="0083179D">
              <w:rPr>
                <w:color w:val="000000"/>
                <w:sz w:val="17"/>
                <w:szCs w:val="17"/>
              </w:rPr>
              <w:t>.33</w:t>
            </w:r>
          </w:p>
        </w:tc>
        <w:tc>
          <w:tcPr>
            <w:tcW w:w="840" w:type="dxa"/>
            <w:vAlign w:val="center"/>
          </w:tcPr>
          <w:p w:rsidR="00485CD9" w:rsidRPr="003D76C4" w:rsidRDefault="00711605" w:rsidP="000410FD">
            <w:pPr>
              <w:jc w:val="center"/>
              <w:rPr>
                <w:color w:val="000000"/>
                <w:sz w:val="17"/>
                <w:szCs w:val="17"/>
              </w:rPr>
            </w:pPr>
            <w:r>
              <w:rPr>
                <w:color w:val="000000"/>
                <w:sz w:val="17"/>
                <w:szCs w:val="17"/>
              </w:rPr>
              <w:t>0</w:t>
            </w:r>
          </w:p>
        </w:tc>
      </w:tr>
      <w:tr w:rsidR="004B34E4" w:rsidRPr="003D76C4" w:rsidTr="000C6CEE">
        <w:trPr>
          <w:jc w:val="center"/>
        </w:trPr>
        <w:tc>
          <w:tcPr>
            <w:tcW w:w="1494" w:type="dxa"/>
            <w:vAlign w:val="center"/>
          </w:tcPr>
          <w:p w:rsidR="00485CD9" w:rsidRDefault="009031F3" w:rsidP="00D37439">
            <w:pPr>
              <w:jc w:val="center"/>
              <w:rPr>
                <w:color w:val="000000"/>
                <w:sz w:val="17"/>
                <w:szCs w:val="17"/>
              </w:rPr>
            </w:pPr>
            <w:r>
              <w:rPr>
                <w:color w:val="000000"/>
                <w:sz w:val="17"/>
                <w:szCs w:val="17"/>
              </w:rPr>
              <w:t>Broker-</w:t>
            </w:r>
            <w:r w:rsidR="00D37439">
              <w:rPr>
                <w:color w:val="000000"/>
                <w:sz w:val="17"/>
                <w:szCs w:val="17"/>
              </w:rPr>
              <w:t>d</w:t>
            </w:r>
            <w:r>
              <w:rPr>
                <w:color w:val="000000"/>
                <w:sz w:val="17"/>
                <w:szCs w:val="17"/>
              </w:rPr>
              <w:t xml:space="preserve">ealer SBSDs: </w:t>
            </w:r>
            <w:r w:rsidR="00D37439">
              <w:rPr>
                <w:color w:val="000000"/>
                <w:sz w:val="17"/>
                <w:szCs w:val="17"/>
              </w:rPr>
              <w:t>Amendment</w:t>
            </w:r>
            <w:r w:rsidR="001A7D33">
              <w:rPr>
                <w:color w:val="000000"/>
                <w:sz w:val="17"/>
                <w:szCs w:val="17"/>
              </w:rPr>
              <w:t xml:space="preserve"> to paragraph (b)(1)</w:t>
            </w:r>
          </w:p>
        </w:tc>
        <w:tc>
          <w:tcPr>
            <w:tcW w:w="1246" w:type="dxa"/>
            <w:vAlign w:val="center"/>
          </w:tcPr>
          <w:p w:rsidR="00485CD9" w:rsidRDefault="00485CD9" w:rsidP="000410FD">
            <w:pPr>
              <w:jc w:val="center"/>
              <w:rPr>
                <w:color w:val="000000"/>
                <w:sz w:val="17"/>
                <w:szCs w:val="17"/>
              </w:rPr>
            </w:pPr>
            <w:r>
              <w:rPr>
                <w:color w:val="000000"/>
                <w:sz w:val="17"/>
                <w:szCs w:val="17"/>
              </w:rPr>
              <w:t>Recordkeeping</w:t>
            </w:r>
          </w:p>
        </w:tc>
        <w:tc>
          <w:tcPr>
            <w:tcW w:w="1142" w:type="dxa"/>
            <w:vAlign w:val="center"/>
          </w:tcPr>
          <w:p w:rsidR="00485CD9" w:rsidRDefault="001A7D33" w:rsidP="000410FD">
            <w:pPr>
              <w:jc w:val="center"/>
              <w:rPr>
                <w:color w:val="000000"/>
                <w:sz w:val="17"/>
                <w:szCs w:val="17"/>
              </w:rPr>
            </w:pPr>
            <w:r>
              <w:rPr>
                <w:color w:val="000000"/>
                <w:sz w:val="17"/>
                <w:szCs w:val="17"/>
              </w:rPr>
              <w:t>16</w:t>
            </w:r>
          </w:p>
        </w:tc>
        <w:tc>
          <w:tcPr>
            <w:tcW w:w="963" w:type="dxa"/>
            <w:vAlign w:val="center"/>
          </w:tcPr>
          <w:p w:rsidR="00485CD9" w:rsidRDefault="001A7D33" w:rsidP="000410FD">
            <w:pPr>
              <w:jc w:val="center"/>
              <w:rPr>
                <w:color w:val="000000"/>
                <w:sz w:val="17"/>
                <w:szCs w:val="17"/>
              </w:rPr>
            </w:pPr>
            <w:r>
              <w:rPr>
                <w:color w:val="000000"/>
                <w:sz w:val="17"/>
                <w:szCs w:val="17"/>
              </w:rPr>
              <w:t>1</w:t>
            </w:r>
          </w:p>
        </w:tc>
        <w:tc>
          <w:tcPr>
            <w:tcW w:w="1076" w:type="dxa"/>
            <w:vAlign w:val="center"/>
          </w:tcPr>
          <w:p w:rsidR="00485CD9" w:rsidRDefault="001A7D33" w:rsidP="000410FD">
            <w:pPr>
              <w:jc w:val="center"/>
              <w:rPr>
                <w:color w:val="000000"/>
                <w:sz w:val="17"/>
                <w:szCs w:val="17"/>
              </w:rPr>
            </w:pPr>
            <w:r>
              <w:rPr>
                <w:color w:val="000000"/>
                <w:sz w:val="17"/>
                <w:szCs w:val="17"/>
              </w:rPr>
              <w:t>13</w:t>
            </w:r>
          </w:p>
        </w:tc>
        <w:tc>
          <w:tcPr>
            <w:tcW w:w="1076" w:type="dxa"/>
            <w:vAlign w:val="center"/>
          </w:tcPr>
          <w:p w:rsidR="00485CD9" w:rsidRDefault="001A7D33" w:rsidP="000410FD">
            <w:pPr>
              <w:jc w:val="center"/>
              <w:rPr>
                <w:color w:val="000000"/>
                <w:sz w:val="17"/>
                <w:szCs w:val="17"/>
              </w:rPr>
            </w:pPr>
            <w:r>
              <w:rPr>
                <w:color w:val="000000"/>
                <w:sz w:val="17"/>
                <w:szCs w:val="17"/>
              </w:rPr>
              <w:t>18</w:t>
            </w:r>
          </w:p>
        </w:tc>
        <w:tc>
          <w:tcPr>
            <w:tcW w:w="1076" w:type="dxa"/>
            <w:vAlign w:val="center"/>
          </w:tcPr>
          <w:p w:rsidR="00485CD9" w:rsidRDefault="001A7D33" w:rsidP="000410FD">
            <w:pPr>
              <w:jc w:val="center"/>
              <w:rPr>
                <w:color w:val="000000"/>
                <w:sz w:val="17"/>
                <w:szCs w:val="17"/>
              </w:rPr>
            </w:pPr>
            <w:r>
              <w:rPr>
                <w:color w:val="000000"/>
                <w:sz w:val="17"/>
                <w:szCs w:val="17"/>
              </w:rPr>
              <w:t>31</w:t>
            </w:r>
          </w:p>
        </w:tc>
        <w:tc>
          <w:tcPr>
            <w:tcW w:w="1142" w:type="dxa"/>
            <w:vAlign w:val="center"/>
          </w:tcPr>
          <w:p w:rsidR="00485CD9" w:rsidRDefault="001A7D33" w:rsidP="000410FD">
            <w:pPr>
              <w:jc w:val="center"/>
              <w:rPr>
                <w:color w:val="000000"/>
                <w:sz w:val="17"/>
                <w:szCs w:val="17"/>
              </w:rPr>
            </w:pPr>
            <w:r>
              <w:rPr>
                <w:color w:val="000000"/>
                <w:sz w:val="17"/>
                <w:szCs w:val="17"/>
              </w:rPr>
              <w:t>496</w:t>
            </w:r>
          </w:p>
        </w:tc>
        <w:tc>
          <w:tcPr>
            <w:tcW w:w="840" w:type="dxa"/>
            <w:vAlign w:val="center"/>
          </w:tcPr>
          <w:p w:rsidR="00485CD9" w:rsidRPr="003D76C4" w:rsidRDefault="00146FDB" w:rsidP="000410FD">
            <w:pPr>
              <w:jc w:val="center"/>
              <w:rPr>
                <w:color w:val="000000"/>
                <w:sz w:val="17"/>
                <w:szCs w:val="17"/>
              </w:rPr>
            </w:pPr>
            <w:r>
              <w:rPr>
                <w:color w:val="000000"/>
                <w:sz w:val="17"/>
                <w:szCs w:val="17"/>
              </w:rPr>
              <w:t>0</w:t>
            </w:r>
          </w:p>
        </w:tc>
      </w:tr>
      <w:tr w:rsidR="004B34E4" w:rsidRPr="003D76C4" w:rsidTr="000C6CEE">
        <w:trPr>
          <w:jc w:val="center"/>
        </w:trPr>
        <w:tc>
          <w:tcPr>
            <w:tcW w:w="1494" w:type="dxa"/>
            <w:vAlign w:val="center"/>
          </w:tcPr>
          <w:p w:rsidR="0070712F" w:rsidRDefault="009031F3" w:rsidP="00D37439">
            <w:pPr>
              <w:jc w:val="center"/>
              <w:rPr>
                <w:color w:val="000000"/>
                <w:sz w:val="17"/>
                <w:szCs w:val="17"/>
              </w:rPr>
            </w:pPr>
            <w:r>
              <w:rPr>
                <w:color w:val="000000"/>
                <w:sz w:val="17"/>
                <w:szCs w:val="17"/>
              </w:rPr>
              <w:t xml:space="preserve">ANC </w:t>
            </w:r>
            <w:r w:rsidR="00D37439">
              <w:rPr>
                <w:color w:val="000000"/>
                <w:sz w:val="17"/>
                <w:szCs w:val="17"/>
              </w:rPr>
              <w:t>broker-d</w:t>
            </w:r>
            <w:r>
              <w:rPr>
                <w:color w:val="000000"/>
                <w:sz w:val="17"/>
                <w:szCs w:val="17"/>
              </w:rPr>
              <w:t xml:space="preserve">ealers: </w:t>
            </w:r>
            <w:r w:rsidR="00D37439">
              <w:rPr>
                <w:color w:val="000000"/>
                <w:sz w:val="17"/>
                <w:szCs w:val="17"/>
              </w:rPr>
              <w:t>Amendment</w:t>
            </w:r>
            <w:r w:rsidR="0070712F">
              <w:rPr>
                <w:color w:val="000000"/>
                <w:sz w:val="17"/>
                <w:szCs w:val="17"/>
              </w:rPr>
              <w:t xml:space="preserve"> to paragraph (b)(1)</w:t>
            </w:r>
          </w:p>
        </w:tc>
        <w:tc>
          <w:tcPr>
            <w:tcW w:w="1246" w:type="dxa"/>
            <w:vAlign w:val="center"/>
          </w:tcPr>
          <w:p w:rsidR="0070712F" w:rsidRDefault="0070712F" w:rsidP="000410FD">
            <w:pPr>
              <w:jc w:val="center"/>
              <w:rPr>
                <w:color w:val="000000"/>
                <w:sz w:val="17"/>
                <w:szCs w:val="17"/>
              </w:rPr>
            </w:pPr>
            <w:r>
              <w:rPr>
                <w:color w:val="000000"/>
                <w:sz w:val="17"/>
                <w:szCs w:val="17"/>
              </w:rPr>
              <w:t>Recordkeeping</w:t>
            </w:r>
          </w:p>
        </w:tc>
        <w:tc>
          <w:tcPr>
            <w:tcW w:w="1142" w:type="dxa"/>
            <w:vAlign w:val="center"/>
          </w:tcPr>
          <w:p w:rsidR="0070712F" w:rsidRDefault="0070712F" w:rsidP="000410FD">
            <w:pPr>
              <w:jc w:val="center"/>
              <w:rPr>
                <w:color w:val="000000"/>
                <w:sz w:val="17"/>
                <w:szCs w:val="17"/>
              </w:rPr>
            </w:pPr>
            <w:r>
              <w:rPr>
                <w:color w:val="000000"/>
                <w:sz w:val="17"/>
                <w:szCs w:val="17"/>
              </w:rPr>
              <w:t>10</w:t>
            </w:r>
          </w:p>
        </w:tc>
        <w:tc>
          <w:tcPr>
            <w:tcW w:w="963" w:type="dxa"/>
            <w:vAlign w:val="center"/>
          </w:tcPr>
          <w:p w:rsidR="0070712F" w:rsidRDefault="0070712F" w:rsidP="000410FD">
            <w:pPr>
              <w:jc w:val="center"/>
              <w:rPr>
                <w:color w:val="000000"/>
                <w:sz w:val="17"/>
                <w:szCs w:val="17"/>
              </w:rPr>
            </w:pPr>
            <w:r>
              <w:rPr>
                <w:color w:val="000000"/>
                <w:sz w:val="17"/>
                <w:szCs w:val="17"/>
              </w:rPr>
              <w:t>1</w:t>
            </w:r>
          </w:p>
        </w:tc>
        <w:tc>
          <w:tcPr>
            <w:tcW w:w="1076" w:type="dxa"/>
            <w:vAlign w:val="center"/>
          </w:tcPr>
          <w:p w:rsidR="0070712F" w:rsidRDefault="0070712F" w:rsidP="000410FD">
            <w:pPr>
              <w:jc w:val="center"/>
              <w:rPr>
                <w:color w:val="000000"/>
                <w:sz w:val="17"/>
                <w:szCs w:val="17"/>
              </w:rPr>
            </w:pPr>
            <w:r>
              <w:rPr>
                <w:color w:val="000000"/>
                <w:sz w:val="17"/>
                <w:szCs w:val="17"/>
              </w:rPr>
              <w:t>4.33</w:t>
            </w:r>
          </w:p>
        </w:tc>
        <w:tc>
          <w:tcPr>
            <w:tcW w:w="1076" w:type="dxa"/>
            <w:vAlign w:val="center"/>
          </w:tcPr>
          <w:p w:rsidR="0070712F" w:rsidRDefault="0070712F" w:rsidP="000410FD">
            <w:pPr>
              <w:jc w:val="center"/>
              <w:rPr>
                <w:color w:val="000000"/>
                <w:sz w:val="17"/>
                <w:szCs w:val="17"/>
              </w:rPr>
            </w:pPr>
            <w:r>
              <w:rPr>
                <w:color w:val="000000"/>
                <w:sz w:val="17"/>
                <w:szCs w:val="17"/>
              </w:rPr>
              <w:t>6</w:t>
            </w:r>
          </w:p>
        </w:tc>
        <w:tc>
          <w:tcPr>
            <w:tcW w:w="1076" w:type="dxa"/>
            <w:vAlign w:val="center"/>
          </w:tcPr>
          <w:p w:rsidR="0070712F" w:rsidRDefault="0070712F" w:rsidP="000410FD">
            <w:pPr>
              <w:jc w:val="center"/>
              <w:rPr>
                <w:color w:val="000000"/>
                <w:sz w:val="17"/>
                <w:szCs w:val="17"/>
              </w:rPr>
            </w:pPr>
            <w:r>
              <w:rPr>
                <w:color w:val="000000"/>
                <w:sz w:val="17"/>
                <w:szCs w:val="17"/>
              </w:rPr>
              <w:t>10.33</w:t>
            </w:r>
          </w:p>
        </w:tc>
        <w:tc>
          <w:tcPr>
            <w:tcW w:w="1142" w:type="dxa"/>
            <w:vAlign w:val="center"/>
          </w:tcPr>
          <w:p w:rsidR="0070712F" w:rsidRDefault="0070712F" w:rsidP="000410FD">
            <w:pPr>
              <w:jc w:val="center"/>
              <w:rPr>
                <w:color w:val="000000"/>
                <w:sz w:val="17"/>
                <w:szCs w:val="17"/>
              </w:rPr>
            </w:pPr>
            <w:r>
              <w:rPr>
                <w:color w:val="000000"/>
                <w:sz w:val="17"/>
                <w:szCs w:val="17"/>
              </w:rPr>
              <w:t>103</w:t>
            </w:r>
            <w:r w:rsidR="0083179D">
              <w:rPr>
                <w:color w:val="000000"/>
                <w:sz w:val="17"/>
                <w:szCs w:val="17"/>
              </w:rPr>
              <w:t>.33</w:t>
            </w:r>
          </w:p>
        </w:tc>
        <w:tc>
          <w:tcPr>
            <w:tcW w:w="840" w:type="dxa"/>
            <w:vAlign w:val="center"/>
          </w:tcPr>
          <w:p w:rsidR="0070712F" w:rsidRDefault="0070712F" w:rsidP="000410FD">
            <w:pPr>
              <w:jc w:val="center"/>
              <w:rPr>
                <w:color w:val="000000"/>
                <w:sz w:val="17"/>
                <w:szCs w:val="17"/>
              </w:rPr>
            </w:pPr>
            <w:r>
              <w:rPr>
                <w:color w:val="000000"/>
                <w:sz w:val="17"/>
                <w:szCs w:val="17"/>
              </w:rPr>
              <w:t>0</w:t>
            </w:r>
          </w:p>
        </w:tc>
      </w:tr>
      <w:tr w:rsidR="009031F3" w:rsidRPr="003D76C4" w:rsidTr="000C6CEE">
        <w:trPr>
          <w:jc w:val="center"/>
        </w:trPr>
        <w:tc>
          <w:tcPr>
            <w:tcW w:w="1494" w:type="dxa"/>
            <w:shd w:val="clear" w:color="auto" w:fill="D9D9D9" w:themeFill="background1" w:themeFillShade="D9"/>
            <w:vAlign w:val="center"/>
          </w:tcPr>
          <w:p w:rsidR="00485CD9" w:rsidRPr="003D76C4" w:rsidRDefault="00485CD9" w:rsidP="000410FD">
            <w:pPr>
              <w:jc w:val="center"/>
              <w:rPr>
                <w:color w:val="000000"/>
                <w:sz w:val="17"/>
                <w:szCs w:val="17"/>
              </w:rPr>
            </w:pPr>
            <w:r w:rsidRPr="003D76C4">
              <w:rPr>
                <w:b/>
                <w:bCs/>
                <w:color w:val="000000"/>
                <w:sz w:val="17"/>
                <w:szCs w:val="17"/>
              </w:rPr>
              <w:t>Total</w:t>
            </w:r>
          </w:p>
        </w:tc>
        <w:tc>
          <w:tcPr>
            <w:tcW w:w="1246" w:type="dxa"/>
            <w:shd w:val="clear" w:color="auto" w:fill="D9D9D9" w:themeFill="background1" w:themeFillShade="D9"/>
            <w:vAlign w:val="center"/>
          </w:tcPr>
          <w:p w:rsidR="00485CD9" w:rsidRPr="003D76C4" w:rsidRDefault="00485CD9" w:rsidP="000410FD">
            <w:pPr>
              <w:jc w:val="center"/>
              <w:rPr>
                <w:color w:val="000000"/>
                <w:sz w:val="17"/>
                <w:szCs w:val="17"/>
              </w:rPr>
            </w:pPr>
          </w:p>
        </w:tc>
        <w:tc>
          <w:tcPr>
            <w:tcW w:w="1142" w:type="dxa"/>
            <w:shd w:val="clear" w:color="auto" w:fill="D9D9D9" w:themeFill="background1" w:themeFillShade="D9"/>
            <w:vAlign w:val="center"/>
          </w:tcPr>
          <w:p w:rsidR="00485CD9" w:rsidRPr="003D76C4" w:rsidRDefault="00485CD9" w:rsidP="000410FD">
            <w:pPr>
              <w:jc w:val="center"/>
              <w:rPr>
                <w:color w:val="000000"/>
                <w:sz w:val="17"/>
                <w:szCs w:val="17"/>
              </w:rPr>
            </w:pPr>
          </w:p>
        </w:tc>
        <w:tc>
          <w:tcPr>
            <w:tcW w:w="963" w:type="dxa"/>
            <w:shd w:val="clear" w:color="auto" w:fill="D9D9D9" w:themeFill="background1" w:themeFillShade="D9"/>
            <w:vAlign w:val="center"/>
          </w:tcPr>
          <w:p w:rsidR="00485CD9" w:rsidRPr="003D76C4" w:rsidRDefault="00485CD9" w:rsidP="000410FD">
            <w:pPr>
              <w:jc w:val="center"/>
              <w:rPr>
                <w:color w:val="000000"/>
                <w:sz w:val="17"/>
                <w:szCs w:val="17"/>
              </w:rPr>
            </w:pPr>
          </w:p>
        </w:tc>
        <w:tc>
          <w:tcPr>
            <w:tcW w:w="1076" w:type="dxa"/>
            <w:shd w:val="clear" w:color="auto" w:fill="D9D9D9" w:themeFill="background1" w:themeFillShade="D9"/>
            <w:vAlign w:val="center"/>
          </w:tcPr>
          <w:p w:rsidR="00485CD9" w:rsidRPr="003D76C4" w:rsidRDefault="00485CD9" w:rsidP="000410FD">
            <w:pPr>
              <w:jc w:val="center"/>
              <w:rPr>
                <w:b/>
                <w:bCs/>
                <w:color w:val="000000"/>
                <w:sz w:val="17"/>
                <w:szCs w:val="17"/>
              </w:rPr>
            </w:pPr>
          </w:p>
        </w:tc>
        <w:tc>
          <w:tcPr>
            <w:tcW w:w="1076" w:type="dxa"/>
            <w:shd w:val="clear" w:color="auto" w:fill="D9D9D9" w:themeFill="background1" w:themeFillShade="D9"/>
            <w:vAlign w:val="center"/>
          </w:tcPr>
          <w:p w:rsidR="00485CD9" w:rsidRPr="003D76C4" w:rsidRDefault="00485CD9" w:rsidP="000410FD">
            <w:pPr>
              <w:jc w:val="center"/>
              <w:rPr>
                <w:b/>
                <w:bCs/>
                <w:color w:val="000000"/>
                <w:sz w:val="17"/>
                <w:szCs w:val="17"/>
              </w:rPr>
            </w:pPr>
          </w:p>
        </w:tc>
        <w:tc>
          <w:tcPr>
            <w:tcW w:w="1076" w:type="dxa"/>
            <w:shd w:val="clear" w:color="auto" w:fill="D9D9D9" w:themeFill="background1" w:themeFillShade="D9"/>
            <w:vAlign w:val="center"/>
          </w:tcPr>
          <w:p w:rsidR="00485CD9" w:rsidRPr="003D76C4" w:rsidRDefault="00485CD9" w:rsidP="007E06E8">
            <w:pPr>
              <w:rPr>
                <w:b/>
                <w:bCs/>
                <w:color w:val="000000"/>
                <w:sz w:val="17"/>
                <w:szCs w:val="17"/>
              </w:rPr>
            </w:pPr>
          </w:p>
        </w:tc>
        <w:tc>
          <w:tcPr>
            <w:tcW w:w="1142" w:type="dxa"/>
            <w:shd w:val="clear" w:color="auto" w:fill="D9D9D9" w:themeFill="background1" w:themeFillShade="D9"/>
            <w:vAlign w:val="center"/>
          </w:tcPr>
          <w:p w:rsidR="00485CD9" w:rsidRPr="003D76C4" w:rsidRDefault="0070712F" w:rsidP="000410FD">
            <w:pPr>
              <w:jc w:val="center"/>
              <w:rPr>
                <w:b/>
                <w:bCs/>
                <w:color w:val="000000"/>
                <w:sz w:val="17"/>
                <w:szCs w:val="17"/>
              </w:rPr>
            </w:pPr>
            <w:r>
              <w:rPr>
                <w:b/>
                <w:bCs/>
                <w:color w:val="000000"/>
                <w:sz w:val="17"/>
                <w:szCs w:val="17"/>
              </w:rPr>
              <w:t>1,</w:t>
            </w:r>
            <w:r w:rsidR="004A0CAE">
              <w:rPr>
                <w:b/>
                <w:bCs/>
                <w:color w:val="000000"/>
                <w:sz w:val="17"/>
                <w:szCs w:val="17"/>
              </w:rPr>
              <w:t>157,835</w:t>
            </w:r>
            <w:r w:rsidR="00CF4E26">
              <w:rPr>
                <w:b/>
                <w:bCs/>
                <w:color w:val="000000"/>
                <w:sz w:val="17"/>
                <w:szCs w:val="17"/>
              </w:rPr>
              <w:t>.33</w:t>
            </w:r>
          </w:p>
        </w:tc>
        <w:tc>
          <w:tcPr>
            <w:tcW w:w="840" w:type="dxa"/>
            <w:shd w:val="clear" w:color="auto" w:fill="D9D9D9" w:themeFill="background1" w:themeFillShade="D9"/>
          </w:tcPr>
          <w:p w:rsidR="00485CD9" w:rsidRPr="003D76C4" w:rsidRDefault="00485CD9" w:rsidP="000410FD">
            <w:pPr>
              <w:jc w:val="center"/>
              <w:rPr>
                <w:b/>
                <w:bCs/>
                <w:color w:val="000000"/>
                <w:sz w:val="17"/>
                <w:szCs w:val="17"/>
              </w:rPr>
            </w:pPr>
          </w:p>
        </w:tc>
      </w:tr>
    </w:tbl>
    <w:p w:rsidR="004D5D2A" w:rsidRDefault="004D5D2A" w:rsidP="007312D9">
      <w:pPr>
        <w:tabs>
          <w:tab w:val="left" w:pos="-720"/>
        </w:tabs>
        <w:suppressAutoHyphens/>
        <w:ind w:firstLine="720"/>
        <w:rPr>
          <w:rFonts w:ascii="CG Times" w:hAnsi="CG Times"/>
          <w:spacing w:val="-3"/>
        </w:rPr>
      </w:pPr>
    </w:p>
    <w:p w:rsidR="00A002DA" w:rsidRPr="005C363F" w:rsidRDefault="00A002DA">
      <w:pPr>
        <w:keepNext/>
        <w:ind w:firstLine="720"/>
        <w:rPr>
          <w:b/>
        </w:rPr>
      </w:pPr>
      <w:r w:rsidRPr="005C363F">
        <w:rPr>
          <w:b/>
        </w:rPr>
        <w:t>13.</w:t>
      </w:r>
      <w:r w:rsidRPr="005C363F">
        <w:rPr>
          <w:b/>
        </w:rPr>
        <w:tab/>
      </w:r>
      <w:r w:rsidR="007E1FA0">
        <w:rPr>
          <w:b/>
        </w:rPr>
        <w:t>Costs to Respondents</w:t>
      </w:r>
    </w:p>
    <w:p w:rsidR="00A002DA" w:rsidRPr="005C363F" w:rsidRDefault="00A002DA">
      <w:pPr>
        <w:keepNext/>
      </w:pPr>
    </w:p>
    <w:p w:rsidR="002E4CE1" w:rsidRDefault="00337D23" w:rsidP="002E4CE1">
      <w:pPr>
        <w:rPr>
          <w:bCs/>
        </w:rPr>
      </w:pPr>
      <w:r w:rsidRPr="005C363F">
        <w:rPr>
          <w:bCs/>
        </w:rPr>
        <w:tab/>
      </w:r>
      <w:r w:rsidR="005C363F" w:rsidRPr="005C363F">
        <w:rPr>
          <w:bCs/>
        </w:rPr>
        <w:t xml:space="preserve">Based on conversations with members of the securities industry and the Commission’s experience in the area, </w:t>
      </w:r>
      <w:r w:rsidR="00FC72A1">
        <w:rPr>
          <w:bCs/>
        </w:rPr>
        <w:t xml:space="preserve">the Commission </w:t>
      </w:r>
      <w:r w:rsidR="005C363F" w:rsidRPr="005C363F">
        <w:rPr>
          <w:bCs/>
        </w:rPr>
        <w:t>estimate</w:t>
      </w:r>
      <w:r w:rsidR="00FC72A1">
        <w:rPr>
          <w:bCs/>
        </w:rPr>
        <w:t>s</w:t>
      </w:r>
      <w:r w:rsidR="005C363F" w:rsidRPr="005C363F">
        <w:rPr>
          <w:bCs/>
        </w:rPr>
        <w:t xml:space="preserve"> that the average broker-dealer spends approximately $5,000 each year to store documents required to be retained under Rule 17a-4</w:t>
      </w:r>
      <w:r w:rsidR="00A83FB6">
        <w:rPr>
          <w:bCs/>
        </w:rPr>
        <w:t xml:space="preserve">, as </w:t>
      </w:r>
      <w:r w:rsidR="0079515B">
        <w:rPr>
          <w:bCs/>
        </w:rPr>
        <w:lastRenderedPageBreak/>
        <w:t xml:space="preserve">currently </w:t>
      </w:r>
      <w:r w:rsidR="00B5377D">
        <w:rPr>
          <w:bCs/>
        </w:rPr>
        <w:t>written</w:t>
      </w:r>
      <w:r w:rsidR="005C363F" w:rsidRPr="005C363F">
        <w:rPr>
          <w:bCs/>
        </w:rPr>
        <w:t xml:space="preserve">.  Costs include the cost of physical space, computer hardware and software, etc., which vary widely depending on the size of the broker-dealer and the type of storage media employed.  </w:t>
      </w:r>
      <w:r w:rsidR="002024F7" w:rsidRPr="003E243B">
        <w:rPr>
          <w:bCs/>
        </w:rPr>
        <w:t>As noted above</w:t>
      </w:r>
      <w:r w:rsidR="0079515B" w:rsidRPr="003E243B">
        <w:rPr>
          <w:bCs/>
        </w:rPr>
        <w:t xml:space="preserve"> in </w:t>
      </w:r>
      <w:r w:rsidR="008D4797">
        <w:rPr>
          <w:bCs/>
        </w:rPr>
        <w:t>s</w:t>
      </w:r>
      <w:r w:rsidR="0079515B" w:rsidRPr="003E243B">
        <w:rPr>
          <w:bCs/>
        </w:rPr>
        <w:t>ection 12</w:t>
      </w:r>
      <w:r w:rsidR="002024F7" w:rsidRPr="003E243B">
        <w:rPr>
          <w:bCs/>
        </w:rPr>
        <w:t xml:space="preserve">, </w:t>
      </w:r>
      <w:r w:rsidR="00B83EF2" w:rsidRPr="003E243B">
        <w:t>as of April 1</w:t>
      </w:r>
      <w:r w:rsidR="002024F7" w:rsidRPr="003E243B">
        <w:t>, 201</w:t>
      </w:r>
      <w:r w:rsidR="00B83EF2" w:rsidRPr="003E243B">
        <w:t>3</w:t>
      </w:r>
      <w:r w:rsidR="002024F7" w:rsidRPr="003E243B">
        <w:t xml:space="preserve">, there were </w:t>
      </w:r>
      <w:r w:rsidR="0079515B" w:rsidRPr="003E243B">
        <w:rPr>
          <w:spacing w:val="-3"/>
        </w:rPr>
        <w:t>4,</w:t>
      </w:r>
      <w:r w:rsidR="00BF16FD" w:rsidRPr="003E243B">
        <w:rPr>
          <w:spacing w:val="-3"/>
        </w:rPr>
        <w:t>545</w:t>
      </w:r>
      <w:r w:rsidR="002024F7" w:rsidRPr="003E243B">
        <w:t xml:space="preserve"> broker-dealers</w:t>
      </w:r>
      <w:r w:rsidR="0079515B" w:rsidRPr="003E243B">
        <w:rPr>
          <w:spacing w:val="-3"/>
        </w:rPr>
        <w:t xml:space="preserve"> registered with the Commission</w:t>
      </w:r>
      <w:r w:rsidR="002024F7" w:rsidRPr="003E243B">
        <w:t xml:space="preserve">.  </w:t>
      </w:r>
      <w:r w:rsidR="006D595A" w:rsidRPr="003E243B">
        <w:rPr>
          <w:bCs/>
        </w:rPr>
        <w:t>T</w:t>
      </w:r>
      <w:r w:rsidR="002024F7" w:rsidRPr="003E243B">
        <w:rPr>
          <w:bCs/>
        </w:rPr>
        <w:t>herefore, t</w:t>
      </w:r>
      <w:r w:rsidR="006D595A" w:rsidRPr="003E243B">
        <w:rPr>
          <w:bCs/>
        </w:rPr>
        <w:t>he Commission estimates that the annual recordkeeping cost burden</w:t>
      </w:r>
      <w:r w:rsidR="00A83FB6" w:rsidRPr="003E243B">
        <w:rPr>
          <w:bCs/>
        </w:rPr>
        <w:t xml:space="preserve"> of Rule 17a-4 as currently written</w:t>
      </w:r>
      <w:r w:rsidR="006D595A" w:rsidRPr="003E243B">
        <w:rPr>
          <w:bCs/>
        </w:rPr>
        <w:t xml:space="preserve"> is $</w:t>
      </w:r>
      <w:r w:rsidR="00BF16FD" w:rsidRPr="003E243B">
        <w:rPr>
          <w:bCs/>
        </w:rPr>
        <w:t>22,725,000</w:t>
      </w:r>
      <w:r w:rsidR="007110BE" w:rsidRPr="003E243B">
        <w:rPr>
          <w:bCs/>
        </w:rPr>
        <w:t>.</w:t>
      </w:r>
      <w:r w:rsidR="007110BE" w:rsidRPr="003E243B">
        <w:rPr>
          <w:rStyle w:val="FootnoteReference"/>
          <w:bCs/>
        </w:rPr>
        <w:footnoteReference w:id="59"/>
      </w:r>
      <w:r w:rsidR="009C0C54">
        <w:rPr>
          <w:bCs/>
        </w:rPr>
        <w:t xml:space="preserve">  </w:t>
      </w:r>
    </w:p>
    <w:p w:rsidR="00A83FB6" w:rsidRDefault="00A83FB6" w:rsidP="002E4CE1">
      <w:pPr>
        <w:rPr>
          <w:bCs/>
        </w:rPr>
      </w:pPr>
      <w:r>
        <w:rPr>
          <w:bCs/>
        </w:rPr>
        <w:tab/>
      </w:r>
    </w:p>
    <w:p w:rsidR="00A83FB6" w:rsidRDefault="00A83FB6" w:rsidP="00A83FB6">
      <w:r>
        <w:rPr>
          <w:bCs/>
        </w:rPr>
        <w:tab/>
      </w:r>
      <w:r w:rsidR="00D027FA" w:rsidRPr="00205696">
        <w:t>The Commission expects that many of the proposed amendments</w:t>
      </w:r>
      <w:r w:rsidR="00D027FA" w:rsidRPr="00D027FA">
        <w:t xml:space="preserve"> </w:t>
      </w:r>
      <w:r w:rsidR="00D027FA" w:rsidRPr="00205696">
        <w:t>to Rule 17a-</w:t>
      </w:r>
      <w:r w:rsidR="00D027FA">
        <w:t>4</w:t>
      </w:r>
      <w:r w:rsidR="00D027FA" w:rsidRPr="00205696">
        <w:t xml:space="preserve"> described in the SBS Recordkeeping Release</w:t>
      </w:r>
      <w:r w:rsidR="00D027FA">
        <w:t xml:space="preserve">, </w:t>
      </w:r>
      <w:r w:rsidR="00D027FA" w:rsidRPr="00205696">
        <w:t xml:space="preserve">which are largely technical in nature, </w:t>
      </w:r>
      <w:r w:rsidR="006E1BF0">
        <w:t>should</w:t>
      </w:r>
      <w:r w:rsidR="00D027FA" w:rsidRPr="00205696">
        <w:t xml:space="preserve"> not impose an</w:t>
      </w:r>
      <w:r w:rsidR="00D027FA">
        <w:t xml:space="preserve"> hour burden or costs</w:t>
      </w:r>
      <w:r w:rsidR="00D027FA" w:rsidRPr="00205696">
        <w:t xml:space="preserve">. </w:t>
      </w:r>
      <w:r w:rsidR="008D4797">
        <w:t xml:space="preserve"> </w:t>
      </w:r>
      <w:r>
        <w:rPr>
          <w:bCs/>
        </w:rPr>
        <w:t xml:space="preserve">The Commission does not expect </w:t>
      </w:r>
      <w:r w:rsidR="00D027FA">
        <w:rPr>
          <w:bCs/>
        </w:rPr>
        <w:t xml:space="preserve">that any of </w:t>
      </w:r>
      <w:r>
        <w:rPr>
          <w:bCs/>
        </w:rPr>
        <w:t xml:space="preserve">the </w:t>
      </w:r>
      <w:r w:rsidRPr="00205696">
        <w:t xml:space="preserve">proposed amendments </w:t>
      </w:r>
      <w:r w:rsidR="006E1BF0">
        <w:t>would</w:t>
      </w:r>
      <w:r w:rsidR="00D027FA">
        <w:t xml:space="preserve"> impose any initial costs</w:t>
      </w:r>
      <w:r>
        <w:t xml:space="preserve">. </w:t>
      </w:r>
      <w:r w:rsidR="006E33AB">
        <w:t xml:space="preserve"> </w:t>
      </w:r>
      <w:r>
        <w:t xml:space="preserve">Those </w:t>
      </w:r>
      <w:r w:rsidRPr="00205696">
        <w:t xml:space="preserve">amendments that </w:t>
      </w:r>
      <w:r w:rsidR="0084127A">
        <w:t>are expected to</w:t>
      </w:r>
      <w:r w:rsidRPr="00205696">
        <w:t xml:space="preserve"> impose an additional </w:t>
      </w:r>
      <w:r>
        <w:t>ongoing</w:t>
      </w:r>
      <w:r w:rsidRPr="00205696">
        <w:t xml:space="preserve"> </w:t>
      </w:r>
      <w:r w:rsidR="00F743C5">
        <w:t xml:space="preserve">annual </w:t>
      </w:r>
      <w:r>
        <w:t xml:space="preserve">cost </w:t>
      </w:r>
      <w:r w:rsidRPr="00205696">
        <w:t>to the industry are discussed below</w:t>
      </w:r>
      <w:r>
        <w:t>.</w:t>
      </w:r>
    </w:p>
    <w:p w:rsidR="00A83FB6" w:rsidRDefault="00A83FB6" w:rsidP="00A83FB6"/>
    <w:p w:rsidR="00A83FB6" w:rsidRDefault="00A83FB6" w:rsidP="00A83FB6">
      <w:pPr>
        <w:ind w:firstLine="720"/>
      </w:pPr>
      <w:r>
        <w:rPr>
          <w:b/>
        </w:rPr>
        <w:t xml:space="preserve">Telephonic Communications: </w:t>
      </w:r>
      <w:r>
        <w:t xml:space="preserve">The Commission estimates that each firm would incur an </w:t>
      </w:r>
      <w:r w:rsidR="00F743C5">
        <w:t xml:space="preserve">ongoing annual cost of </w:t>
      </w:r>
      <w:r>
        <w:t xml:space="preserve">approximately $2,000 </w:t>
      </w:r>
      <w:r w:rsidR="00D027FA">
        <w:t xml:space="preserve">per firm </w:t>
      </w:r>
      <w:r>
        <w:t xml:space="preserve">for server, equipment, and systems development costs.  The Commission estimates that there are </w:t>
      </w:r>
      <w:r w:rsidR="00F743C5">
        <w:t>17 respondents</w:t>
      </w:r>
      <w:r>
        <w:t>,</w:t>
      </w:r>
      <w:r w:rsidR="00F743C5">
        <w:rPr>
          <w:rStyle w:val="FootnoteReference"/>
        </w:rPr>
        <w:footnoteReference w:id="60"/>
      </w:r>
      <w:r>
        <w:t xml:space="preserve"> resulting in an estimated industry-wide ongoing annual cost </w:t>
      </w:r>
      <w:r w:rsidR="00F743C5">
        <w:t>of</w:t>
      </w:r>
      <w:r>
        <w:t xml:space="preserve"> $34,000.</w:t>
      </w:r>
      <w:r>
        <w:rPr>
          <w:rStyle w:val="FootnoteReference"/>
        </w:rPr>
        <w:footnoteReference w:id="61"/>
      </w:r>
    </w:p>
    <w:p w:rsidR="006E33AB" w:rsidRDefault="006E33AB" w:rsidP="00A83FB6">
      <w:pPr>
        <w:ind w:firstLine="720"/>
      </w:pPr>
    </w:p>
    <w:p w:rsidR="00A83FB6" w:rsidRPr="00F743C5" w:rsidRDefault="00A83FB6" w:rsidP="00F743C5">
      <w:pPr>
        <w:ind w:firstLine="720"/>
      </w:pPr>
      <w:r>
        <w:rPr>
          <w:b/>
        </w:rPr>
        <w:t>Security-Based Swap Activities:</w:t>
      </w:r>
      <w:r w:rsidRPr="00A83FB6">
        <w:t xml:space="preserve"> </w:t>
      </w:r>
      <w:r w:rsidRPr="00CA3B5E">
        <w:t>The Commission estimates that the proposed amendments to paragraphs (b</w:t>
      </w:r>
      <w:proofErr w:type="gramStart"/>
      <w:r w:rsidRPr="00CA3B5E">
        <w:t>)(</w:t>
      </w:r>
      <w:proofErr w:type="gramEnd"/>
      <w:r w:rsidRPr="00CA3B5E">
        <w:t>8)(v)-(viii) and proposed p</w:t>
      </w:r>
      <w:r>
        <w:t>aragraphs (b)(8)(xvi) and (b)(14</w:t>
      </w:r>
      <w:r w:rsidRPr="00CA3B5E">
        <w:t>) of Rule 17a-4 woul</w:t>
      </w:r>
      <w:r>
        <w:t xml:space="preserve">d impose an ongoing annual </w:t>
      </w:r>
      <w:r w:rsidR="00F743C5">
        <w:t>cost of</w:t>
      </w:r>
      <w:r>
        <w:t xml:space="preserve"> </w:t>
      </w:r>
      <w:r w:rsidR="00F743C5">
        <w:t xml:space="preserve">approximately </w:t>
      </w:r>
      <w:r w:rsidRPr="00CA3B5E">
        <w:t>$360 per firm.  The Commis</w:t>
      </w:r>
      <w:r>
        <w:t xml:space="preserve">sion estimates that there are </w:t>
      </w:r>
      <w:r w:rsidR="00F743C5">
        <w:t>42</w:t>
      </w:r>
      <w:r>
        <w:t xml:space="preserve"> respondents</w:t>
      </w:r>
      <w:r w:rsidR="00F743C5">
        <w:t>,</w:t>
      </w:r>
      <w:r w:rsidRPr="00CA3B5E">
        <w:rPr>
          <w:rStyle w:val="FootnoteReference"/>
        </w:rPr>
        <w:footnoteReference w:id="62"/>
      </w:r>
      <w:r w:rsidRPr="00CA3B5E">
        <w:t xml:space="preserve">  </w:t>
      </w:r>
      <w:r w:rsidR="00F743C5">
        <w:t xml:space="preserve">resulting in an estimated industry-wide ongoing annual cost of </w:t>
      </w:r>
      <w:r w:rsidRPr="00CA3B5E">
        <w:t>$15,120.</w:t>
      </w:r>
      <w:r w:rsidRPr="00CA3B5E">
        <w:rPr>
          <w:rStyle w:val="FootnoteReference"/>
        </w:rPr>
        <w:footnoteReference w:id="63"/>
      </w:r>
    </w:p>
    <w:p w:rsidR="00A83FB6" w:rsidRPr="005C363F" w:rsidRDefault="00A83FB6" w:rsidP="00A83FB6"/>
    <w:p w:rsidR="00A83FB6" w:rsidRDefault="00A83FB6" w:rsidP="00A83FB6">
      <w:pPr>
        <w:ind w:firstLine="720"/>
      </w:pPr>
      <w:r>
        <w:rPr>
          <w:b/>
        </w:rPr>
        <w:t>Broker-Dealer SBSDs and Broker-Dealer MSBSPs:</w:t>
      </w:r>
      <w:r w:rsidR="00F743C5">
        <w:t xml:space="preserve">  The Commission estimates that the proposed amendments to paragraph (b</w:t>
      </w:r>
      <w:proofErr w:type="gramStart"/>
      <w:r w:rsidR="00F743C5">
        <w:t>)(</w:t>
      </w:r>
      <w:proofErr w:type="gramEnd"/>
      <w:r w:rsidR="00F743C5">
        <w:t xml:space="preserve">1) and proposed new paragraphs (b)(15) and (b)(16) of Rule 17a-4 would impose ongoing annual cost of approximately $600 per firm.  </w:t>
      </w:r>
      <w:r>
        <w:t xml:space="preserve">The Commission estimates that there are </w:t>
      </w:r>
      <w:r w:rsidR="00F743C5">
        <w:t>17</w:t>
      </w:r>
      <w:r>
        <w:t xml:space="preserve"> respondents,</w:t>
      </w:r>
      <w:r w:rsidR="00F743C5">
        <w:rPr>
          <w:rStyle w:val="FootnoteReference"/>
        </w:rPr>
        <w:footnoteReference w:id="64"/>
      </w:r>
      <w:r>
        <w:t xml:space="preserve"> </w:t>
      </w:r>
      <w:r w:rsidR="00F743C5">
        <w:t xml:space="preserve">resulting in an estimated industry-wide ongoing annual cost of </w:t>
      </w:r>
      <w:r>
        <w:t>$10,200.</w:t>
      </w:r>
      <w:r>
        <w:rPr>
          <w:rStyle w:val="FootnoteReference"/>
        </w:rPr>
        <w:footnoteReference w:id="65"/>
      </w:r>
    </w:p>
    <w:p w:rsidR="00A83FB6" w:rsidRDefault="00A83FB6" w:rsidP="00A83FB6">
      <w:pPr>
        <w:rPr>
          <w:b/>
        </w:rPr>
      </w:pPr>
    </w:p>
    <w:p w:rsidR="00A83FB6" w:rsidRDefault="00A83FB6" w:rsidP="00F743C5">
      <w:pPr>
        <w:ind w:firstLine="720"/>
        <w:rPr>
          <w:b/>
        </w:rPr>
      </w:pPr>
      <w:r>
        <w:rPr>
          <w:b/>
        </w:rPr>
        <w:t>Broker-Dealer SBSDs Only:</w:t>
      </w:r>
      <w:r w:rsidRPr="00A83FB6">
        <w:t xml:space="preserve"> </w:t>
      </w:r>
      <w:r>
        <w:t>The Commission estimates that the proposed amendments to paragraph (b</w:t>
      </w:r>
      <w:proofErr w:type="gramStart"/>
      <w:r>
        <w:t>)(</w:t>
      </w:r>
      <w:proofErr w:type="gramEnd"/>
      <w:r>
        <w:t xml:space="preserve">1) of Rule 17a-4 would impose an ongoing annual </w:t>
      </w:r>
      <w:r w:rsidR="00F743C5">
        <w:t>cost</w:t>
      </w:r>
      <w:r>
        <w:t xml:space="preserve"> of </w:t>
      </w:r>
      <w:r w:rsidR="00F743C5">
        <w:t xml:space="preserve">approximately </w:t>
      </w:r>
      <w:r>
        <w:t xml:space="preserve">$360 per firm.  The Commission estimates that there are 16 broker-dealer SBSDs, </w:t>
      </w:r>
      <w:r w:rsidR="00F743C5">
        <w:t xml:space="preserve">resulting in an estimated industry-wide ongoing annual cost of </w:t>
      </w:r>
      <w:r>
        <w:t>$5,760.</w:t>
      </w:r>
      <w:r>
        <w:rPr>
          <w:rStyle w:val="FootnoteReference"/>
        </w:rPr>
        <w:footnoteReference w:id="66"/>
      </w:r>
    </w:p>
    <w:p w:rsidR="00A83FB6" w:rsidRDefault="00A83FB6" w:rsidP="00A83FB6">
      <w:pPr>
        <w:rPr>
          <w:b/>
        </w:rPr>
      </w:pPr>
    </w:p>
    <w:p w:rsidR="00A83FB6" w:rsidRDefault="00A83FB6" w:rsidP="00F743C5">
      <w:pPr>
        <w:ind w:firstLine="720"/>
        <w:rPr>
          <w:b/>
        </w:rPr>
      </w:pPr>
      <w:r>
        <w:rPr>
          <w:b/>
        </w:rPr>
        <w:lastRenderedPageBreak/>
        <w:t>ANC Broker-Dealers:</w:t>
      </w:r>
      <w:r w:rsidRPr="00A83FB6">
        <w:t xml:space="preserve"> </w:t>
      </w:r>
      <w:r>
        <w:t>The Commission estimates that the proposed amendment to paragraph (b</w:t>
      </w:r>
      <w:proofErr w:type="gramStart"/>
      <w:r>
        <w:t>)(</w:t>
      </w:r>
      <w:proofErr w:type="gramEnd"/>
      <w:r>
        <w:t>1) of Rule 17a-4 woul</w:t>
      </w:r>
      <w:r w:rsidR="00F743C5">
        <w:t xml:space="preserve">d impose </w:t>
      </w:r>
      <w:r>
        <w:t xml:space="preserve">an ongoing annual </w:t>
      </w:r>
      <w:r w:rsidR="00F743C5">
        <w:t>cost</w:t>
      </w:r>
      <w:r>
        <w:t xml:space="preserve"> </w:t>
      </w:r>
      <w:r w:rsidR="00F743C5">
        <w:t xml:space="preserve">approximately </w:t>
      </w:r>
      <w:r>
        <w:t xml:space="preserve">$120 per firm.  The Commission estimates that there are </w:t>
      </w:r>
      <w:r w:rsidR="00F743C5">
        <w:t>10</w:t>
      </w:r>
      <w:r>
        <w:t xml:space="preserve"> ANC broker-dealers (all of which are assumed to be dually registered as SBSDs), </w:t>
      </w:r>
      <w:r w:rsidR="00F743C5">
        <w:t xml:space="preserve">resulting in an estimated industry-wide ongoing annual cost of </w:t>
      </w:r>
      <w:r>
        <w:t>$1,200.</w:t>
      </w:r>
      <w:r>
        <w:rPr>
          <w:rStyle w:val="FootnoteReference"/>
        </w:rPr>
        <w:footnoteReference w:id="67"/>
      </w:r>
    </w:p>
    <w:p w:rsidR="00A83FB6" w:rsidRDefault="00A83FB6"/>
    <w:p w:rsidR="00F743C5" w:rsidRDefault="00F743C5">
      <w:pPr>
        <w:rPr>
          <w:rFonts w:ascii="CG Times" w:hAnsi="CG Times"/>
          <w:spacing w:val="-3"/>
        </w:rPr>
      </w:pPr>
      <w:r>
        <w:tab/>
        <w:t xml:space="preserve">Therefore, </w:t>
      </w:r>
      <w:r>
        <w:rPr>
          <w:rFonts w:ascii="CG Times" w:hAnsi="CG Times"/>
          <w:spacing w:val="-3"/>
        </w:rPr>
        <w:t>the total annual recordkeeping cost of Rule 17a-4</w:t>
      </w:r>
      <w:r w:rsidR="00D027FA">
        <w:rPr>
          <w:rFonts w:ascii="CG Times" w:hAnsi="CG Times"/>
          <w:spacing w:val="-3"/>
        </w:rPr>
        <w:t>,</w:t>
      </w:r>
      <w:r>
        <w:rPr>
          <w:rFonts w:ascii="CG Times" w:hAnsi="CG Times"/>
          <w:spacing w:val="-3"/>
        </w:rPr>
        <w:t xml:space="preserve"> as proposed </w:t>
      </w:r>
      <w:r w:rsidR="00D027FA">
        <w:rPr>
          <w:rFonts w:ascii="CG Times" w:hAnsi="CG Times"/>
          <w:spacing w:val="-3"/>
        </w:rPr>
        <w:t xml:space="preserve">to be amended, </w:t>
      </w:r>
      <w:r>
        <w:rPr>
          <w:rFonts w:ascii="CG Times" w:hAnsi="CG Times"/>
          <w:spacing w:val="-3"/>
        </w:rPr>
        <w:t xml:space="preserve">is </w:t>
      </w:r>
      <w:r w:rsidR="0084127A">
        <w:rPr>
          <w:rFonts w:ascii="CG Times" w:hAnsi="CG Times"/>
          <w:spacing w:val="-3"/>
        </w:rPr>
        <w:t xml:space="preserve">estimated to be </w:t>
      </w:r>
      <w:r>
        <w:rPr>
          <w:rFonts w:ascii="CG Times" w:hAnsi="CG Times"/>
          <w:spacing w:val="-3"/>
        </w:rPr>
        <w:t>$</w:t>
      </w:r>
      <w:r w:rsidR="00133C29" w:rsidRPr="00133C29">
        <w:rPr>
          <w:rFonts w:ascii="CG Times" w:hAnsi="CG Times"/>
          <w:spacing w:val="-3"/>
        </w:rPr>
        <w:t>22,791,280</w:t>
      </w:r>
      <w:r w:rsidR="006E33AB">
        <w:rPr>
          <w:rFonts w:ascii="CG Times" w:hAnsi="CG Times"/>
          <w:spacing w:val="-3"/>
        </w:rPr>
        <w:t>.</w:t>
      </w:r>
      <w:r w:rsidR="006E33AB">
        <w:rPr>
          <w:rStyle w:val="FootnoteReference"/>
          <w:rFonts w:ascii="CG Times" w:hAnsi="CG Times"/>
          <w:spacing w:val="-3"/>
        </w:rPr>
        <w:footnoteReference w:id="68"/>
      </w:r>
    </w:p>
    <w:p w:rsidR="00F743C5" w:rsidRDefault="00F743C5"/>
    <w:tbl>
      <w:tblPr>
        <w:tblStyle w:val="TableGrid"/>
        <w:tblW w:w="10228" w:type="dxa"/>
        <w:jc w:val="center"/>
        <w:tblInd w:w="-245" w:type="dxa"/>
        <w:tblCellMar>
          <w:left w:w="115" w:type="dxa"/>
          <w:right w:w="115" w:type="dxa"/>
        </w:tblCellMar>
        <w:tblLook w:val="04A0" w:firstRow="1" w:lastRow="0" w:firstColumn="1" w:lastColumn="0" w:noHBand="0" w:noVBand="1"/>
      </w:tblPr>
      <w:tblGrid>
        <w:gridCol w:w="1401"/>
        <w:gridCol w:w="1260"/>
        <w:gridCol w:w="1156"/>
        <w:gridCol w:w="977"/>
        <w:gridCol w:w="1090"/>
        <w:gridCol w:w="1090"/>
        <w:gridCol w:w="1090"/>
        <w:gridCol w:w="1156"/>
        <w:gridCol w:w="1008"/>
      </w:tblGrid>
      <w:tr w:rsidR="00357C9F" w:rsidRPr="00ED2A8F" w:rsidTr="00121BCF">
        <w:trPr>
          <w:tblHeader/>
          <w:jc w:val="center"/>
        </w:trPr>
        <w:tc>
          <w:tcPr>
            <w:tcW w:w="1392" w:type="dxa"/>
            <w:shd w:val="clear" w:color="auto" w:fill="A6A6A6" w:themeFill="background1" w:themeFillShade="A6"/>
          </w:tcPr>
          <w:p w:rsidR="00673482" w:rsidRPr="003D76C4" w:rsidRDefault="00673482" w:rsidP="000C6CEE">
            <w:pPr>
              <w:keepNext/>
              <w:keepLines/>
              <w:jc w:val="center"/>
              <w:rPr>
                <w:b/>
                <w:sz w:val="17"/>
                <w:szCs w:val="17"/>
              </w:rPr>
            </w:pPr>
          </w:p>
          <w:p w:rsidR="00673482" w:rsidRPr="003D76C4" w:rsidRDefault="00673482" w:rsidP="000C6CEE">
            <w:pPr>
              <w:keepNext/>
              <w:keepLines/>
              <w:jc w:val="center"/>
              <w:rPr>
                <w:b/>
                <w:sz w:val="17"/>
                <w:szCs w:val="17"/>
              </w:rPr>
            </w:pPr>
          </w:p>
          <w:p w:rsidR="00673482" w:rsidRPr="003D76C4" w:rsidRDefault="00673482" w:rsidP="000C6CEE">
            <w:pPr>
              <w:keepNext/>
              <w:keepLines/>
              <w:jc w:val="center"/>
              <w:rPr>
                <w:b/>
                <w:sz w:val="17"/>
                <w:szCs w:val="17"/>
              </w:rPr>
            </w:pPr>
            <w:r>
              <w:rPr>
                <w:b/>
                <w:sz w:val="17"/>
                <w:szCs w:val="17"/>
              </w:rPr>
              <w:t>Nature of Information Collection Burden</w:t>
            </w:r>
          </w:p>
        </w:tc>
        <w:tc>
          <w:tcPr>
            <w:tcW w:w="1260" w:type="dxa"/>
            <w:shd w:val="clear" w:color="auto" w:fill="A6A6A6" w:themeFill="background1" w:themeFillShade="A6"/>
          </w:tcPr>
          <w:p w:rsidR="00673482" w:rsidRPr="003D76C4" w:rsidRDefault="00673482" w:rsidP="000C6CEE">
            <w:pPr>
              <w:keepNext/>
              <w:keepLines/>
              <w:jc w:val="center"/>
              <w:rPr>
                <w:b/>
                <w:sz w:val="17"/>
                <w:szCs w:val="17"/>
              </w:rPr>
            </w:pPr>
          </w:p>
          <w:p w:rsidR="00673482" w:rsidRPr="003D76C4" w:rsidRDefault="00673482" w:rsidP="000C6CEE">
            <w:pPr>
              <w:keepNext/>
              <w:keepLines/>
              <w:jc w:val="center"/>
              <w:rPr>
                <w:b/>
                <w:sz w:val="17"/>
                <w:szCs w:val="17"/>
              </w:rPr>
            </w:pPr>
          </w:p>
          <w:p w:rsidR="00673482" w:rsidRPr="003D76C4" w:rsidRDefault="00673482" w:rsidP="000C6CEE">
            <w:pPr>
              <w:keepNext/>
              <w:keepLines/>
              <w:jc w:val="center"/>
              <w:rPr>
                <w:b/>
                <w:sz w:val="17"/>
                <w:szCs w:val="17"/>
              </w:rPr>
            </w:pPr>
            <w:r w:rsidRPr="003D76C4">
              <w:rPr>
                <w:b/>
                <w:sz w:val="17"/>
                <w:szCs w:val="17"/>
              </w:rPr>
              <w:t>Type of Burden</w:t>
            </w:r>
          </w:p>
        </w:tc>
        <w:tc>
          <w:tcPr>
            <w:tcW w:w="1156" w:type="dxa"/>
            <w:shd w:val="clear" w:color="auto" w:fill="A6A6A6" w:themeFill="background1" w:themeFillShade="A6"/>
          </w:tcPr>
          <w:p w:rsidR="00673482" w:rsidRPr="00ED2A8F" w:rsidRDefault="00673482" w:rsidP="000C6CEE">
            <w:pPr>
              <w:keepNext/>
              <w:keepLines/>
              <w:jc w:val="center"/>
              <w:rPr>
                <w:b/>
                <w:sz w:val="17"/>
                <w:szCs w:val="17"/>
              </w:rPr>
            </w:pPr>
          </w:p>
          <w:p w:rsidR="00673482" w:rsidRPr="00ED2A8F" w:rsidRDefault="00673482" w:rsidP="000C6CEE">
            <w:pPr>
              <w:keepNext/>
              <w:keepLines/>
              <w:jc w:val="center"/>
              <w:rPr>
                <w:b/>
                <w:sz w:val="17"/>
                <w:szCs w:val="17"/>
              </w:rPr>
            </w:pPr>
          </w:p>
          <w:p w:rsidR="00673482" w:rsidRPr="00ED2A8F" w:rsidRDefault="00673482" w:rsidP="000C6CEE">
            <w:pPr>
              <w:keepNext/>
              <w:keepLines/>
              <w:jc w:val="center"/>
              <w:rPr>
                <w:b/>
                <w:sz w:val="17"/>
                <w:szCs w:val="17"/>
              </w:rPr>
            </w:pPr>
            <w:r w:rsidRPr="00ED2A8F">
              <w:rPr>
                <w:b/>
                <w:sz w:val="17"/>
                <w:szCs w:val="17"/>
              </w:rPr>
              <w:t>Total Number of Respondents</w:t>
            </w:r>
          </w:p>
        </w:tc>
        <w:tc>
          <w:tcPr>
            <w:tcW w:w="977" w:type="dxa"/>
            <w:shd w:val="clear" w:color="auto" w:fill="A6A6A6" w:themeFill="background1" w:themeFillShade="A6"/>
          </w:tcPr>
          <w:p w:rsidR="00673482" w:rsidRPr="00ED2A8F" w:rsidRDefault="00673482" w:rsidP="000C6CEE">
            <w:pPr>
              <w:keepNext/>
              <w:keepLines/>
              <w:jc w:val="center"/>
              <w:rPr>
                <w:b/>
                <w:sz w:val="17"/>
                <w:szCs w:val="17"/>
              </w:rPr>
            </w:pPr>
          </w:p>
          <w:p w:rsidR="00673482" w:rsidRPr="00ED2A8F" w:rsidRDefault="00673482" w:rsidP="000C6CEE">
            <w:pPr>
              <w:keepNext/>
              <w:keepLines/>
              <w:jc w:val="center"/>
              <w:rPr>
                <w:b/>
                <w:sz w:val="17"/>
                <w:szCs w:val="17"/>
              </w:rPr>
            </w:pPr>
          </w:p>
          <w:p w:rsidR="00673482" w:rsidRPr="00ED2A8F" w:rsidRDefault="00673482" w:rsidP="000C6CEE">
            <w:pPr>
              <w:keepNext/>
              <w:keepLines/>
              <w:jc w:val="center"/>
              <w:rPr>
                <w:b/>
                <w:sz w:val="17"/>
                <w:szCs w:val="17"/>
              </w:rPr>
            </w:pPr>
            <w:r w:rsidRPr="00ED2A8F">
              <w:rPr>
                <w:b/>
                <w:sz w:val="17"/>
                <w:szCs w:val="17"/>
              </w:rPr>
              <w:t>Total Number of Responses Per Year</w:t>
            </w:r>
          </w:p>
        </w:tc>
        <w:tc>
          <w:tcPr>
            <w:tcW w:w="1090" w:type="dxa"/>
            <w:shd w:val="clear" w:color="auto" w:fill="A6A6A6" w:themeFill="background1" w:themeFillShade="A6"/>
          </w:tcPr>
          <w:p w:rsidR="00673482" w:rsidRPr="00ED2A8F" w:rsidRDefault="00673482" w:rsidP="000C6CEE">
            <w:pPr>
              <w:keepNext/>
              <w:keepLines/>
              <w:jc w:val="center"/>
              <w:rPr>
                <w:b/>
                <w:sz w:val="17"/>
                <w:szCs w:val="17"/>
              </w:rPr>
            </w:pPr>
          </w:p>
          <w:p w:rsidR="00673482" w:rsidRPr="00ED2A8F" w:rsidRDefault="00673482" w:rsidP="000C6CEE">
            <w:pPr>
              <w:keepNext/>
              <w:keepLines/>
              <w:jc w:val="center"/>
              <w:rPr>
                <w:b/>
                <w:sz w:val="17"/>
                <w:szCs w:val="17"/>
              </w:rPr>
            </w:pPr>
          </w:p>
          <w:p w:rsidR="00673482" w:rsidRPr="00ED2A8F" w:rsidRDefault="00673482" w:rsidP="000C6CEE">
            <w:pPr>
              <w:keepNext/>
              <w:keepLines/>
              <w:jc w:val="center"/>
              <w:rPr>
                <w:b/>
                <w:sz w:val="17"/>
                <w:szCs w:val="17"/>
              </w:rPr>
            </w:pPr>
            <w:r w:rsidRPr="00ED2A8F">
              <w:rPr>
                <w:b/>
                <w:sz w:val="17"/>
                <w:szCs w:val="17"/>
              </w:rPr>
              <w:t>Initial Cost Per Response Per Year Per Respondent</w:t>
            </w:r>
          </w:p>
        </w:tc>
        <w:tc>
          <w:tcPr>
            <w:tcW w:w="1090" w:type="dxa"/>
            <w:shd w:val="clear" w:color="auto" w:fill="A6A6A6" w:themeFill="background1" w:themeFillShade="A6"/>
          </w:tcPr>
          <w:p w:rsidR="00673482" w:rsidRPr="00ED2A8F" w:rsidRDefault="00673482" w:rsidP="000C6CEE">
            <w:pPr>
              <w:keepNext/>
              <w:keepLines/>
              <w:jc w:val="center"/>
              <w:rPr>
                <w:b/>
                <w:sz w:val="17"/>
                <w:szCs w:val="17"/>
              </w:rPr>
            </w:pPr>
          </w:p>
          <w:p w:rsidR="00673482" w:rsidRPr="00ED2A8F" w:rsidRDefault="00673482" w:rsidP="000C6CEE">
            <w:pPr>
              <w:keepNext/>
              <w:keepLines/>
              <w:jc w:val="center"/>
              <w:rPr>
                <w:b/>
                <w:sz w:val="17"/>
                <w:szCs w:val="17"/>
              </w:rPr>
            </w:pPr>
          </w:p>
          <w:p w:rsidR="00673482" w:rsidRPr="00ED2A8F" w:rsidRDefault="00673482" w:rsidP="000C6CEE">
            <w:pPr>
              <w:keepNext/>
              <w:keepLines/>
              <w:jc w:val="center"/>
              <w:rPr>
                <w:b/>
                <w:sz w:val="17"/>
                <w:szCs w:val="17"/>
              </w:rPr>
            </w:pPr>
            <w:r w:rsidRPr="00ED2A8F">
              <w:rPr>
                <w:b/>
                <w:sz w:val="17"/>
                <w:szCs w:val="17"/>
              </w:rPr>
              <w:t>Ongoing Cost Per Response Per Year Per Respondent</w:t>
            </w:r>
          </w:p>
        </w:tc>
        <w:tc>
          <w:tcPr>
            <w:tcW w:w="1090" w:type="dxa"/>
            <w:shd w:val="clear" w:color="auto" w:fill="A6A6A6" w:themeFill="background1" w:themeFillShade="A6"/>
          </w:tcPr>
          <w:p w:rsidR="00673482" w:rsidRPr="00ED2A8F" w:rsidRDefault="00673482" w:rsidP="000C6CEE">
            <w:pPr>
              <w:keepNext/>
              <w:keepLines/>
              <w:jc w:val="center"/>
              <w:rPr>
                <w:b/>
                <w:sz w:val="17"/>
                <w:szCs w:val="17"/>
              </w:rPr>
            </w:pPr>
          </w:p>
          <w:p w:rsidR="00673482" w:rsidRPr="00ED2A8F" w:rsidRDefault="00673482" w:rsidP="000C6CEE">
            <w:pPr>
              <w:keepNext/>
              <w:keepLines/>
              <w:jc w:val="center"/>
              <w:rPr>
                <w:b/>
                <w:sz w:val="17"/>
                <w:szCs w:val="17"/>
              </w:rPr>
            </w:pPr>
          </w:p>
          <w:p w:rsidR="00673482" w:rsidRPr="00ED2A8F" w:rsidRDefault="00673482" w:rsidP="000C6CEE">
            <w:pPr>
              <w:keepNext/>
              <w:keepLines/>
              <w:jc w:val="center"/>
              <w:rPr>
                <w:b/>
                <w:sz w:val="17"/>
                <w:szCs w:val="17"/>
              </w:rPr>
            </w:pPr>
            <w:r w:rsidRPr="00ED2A8F">
              <w:rPr>
                <w:b/>
                <w:sz w:val="17"/>
                <w:szCs w:val="17"/>
              </w:rPr>
              <w:t xml:space="preserve">Total Annualized Cost Per Year Per Year Per Respondent  </w:t>
            </w:r>
          </w:p>
          <w:p w:rsidR="00673482" w:rsidRPr="00ED2A8F" w:rsidRDefault="00673482" w:rsidP="000C6CEE">
            <w:pPr>
              <w:keepNext/>
              <w:keepLines/>
              <w:jc w:val="center"/>
              <w:rPr>
                <w:b/>
                <w:sz w:val="17"/>
                <w:szCs w:val="17"/>
              </w:rPr>
            </w:pPr>
          </w:p>
        </w:tc>
        <w:tc>
          <w:tcPr>
            <w:tcW w:w="1156" w:type="dxa"/>
            <w:shd w:val="clear" w:color="auto" w:fill="A6A6A6" w:themeFill="background1" w:themeFillShade="A6"/>
          </w:tcPr>
          <w:p w:rsidR="00673482" w:rsidRPr="00ED2A8F" w:rsidRDefault="00673482" w:rsidP="000C6CEE">
            <w:pPr>
              <w:keepNext/>
              <w:keepLines/>
              <w:jc w:val="center"/>
              <w:rPr>
                <w:b/>
                <w:sz w:val="17"/>
                <w:szCs w:val="17"/>
              </w:rPr>
            </w:pPr>
          </w:p>
          <w:p w:rsidR="00673482" w:rsidRPr="00ED2A8F" w:rsidRDefault="00673482" w:rsidP="000C6CEE">
            <w:pPr>
              <w:keepNext/>
              <w:keepLines/>
              <w:jc w:val="center"/>
              <w:rPr>
                <w:b/>
                <w:sz w:val="17"/>
                <w:szCs w:val="17"/>
              </w:rPr>
            </w:pPr>
          </w:p>
          <w:p w:rsidR="00673482" w:rsidRPr="00ED2A8F" w:rsidRDefault="00673482" w:rsidP="000C6CEE">
            <w:pPr>
              <w:keepNext/>
              <w:keepLines/>
              <w:jc w:val="center"/>
              <w:rPr>
                <w:b/>
                <w:sz w:val="17"/>
                <w:szCs w:val="17"/>
              </w:rPr>
            </w:pPr>
            <w:r w:rsidRPr="00ED2A8F">
              <w:rPr>
                <w:b/>
                <w:sz w:val="17"/>
                <w:szCs w:val="17"/>
              </w:rPr>
              <w:t>Total Annualized Reporting Cost For All Respondents</w:t>
            </w:r>
          </w:p>
          <w:p w:rsidR="00673482" w:rsidRPr="00ED2A8F" w:rsidRDefault="00673482" w:rsidP="000C6CEE">
            <w:pPr>
              <w:keepNext/>
              <w:keepLines/>
              <w:jc w:val="center"/>
              <w:rPr>
                <w:b/>
                <w:sz w:val="17"/>
                <w:szCs w:val="17"/>
              </w:rPr>
            </w:pPr>
          </w:p>
        </w:tc>
        <w:tc>
          <w:tcPr>
            <w:tcW w:w="1017" w:type="dxa"/>
            <w:shd w:val="clear" w:color="auto" w:fill="A6A6A6" w:themeFill="background1" w:themeFillShade="A6"/>
          </w:tcPr>
          <w:p w:rsidR="00673482" w:rsidRPr="003D76C4" w:rsidRDefault="00673482" w:rsidP="000C6CEE">
            <w:pPr>
              <w:keepNext/>
              <w:keepLines/>
              <w:jc w:val="center"/>
              <w:rPr>
                <w:b/>
                <w:sz w:val="17"/>
                <w:szCs w:val="17"/>
              </w:rPr>
            </w:pPr>
          </w:p>
          <w:p w:rsidR="00673482" w:rsidRDefault="00673482" w:rsidP="000C6CEE">
            <w:pPr>
              <w:keepNext/>
              <w:keepLines/>
              <w:jc w:val="center"/>
              <w:rPr>
                <w:b/>
                <w:sz w:val="17"/>
                <w:szCs w:val="17"/>
              </w:rPr>
            </w:pPr>
          </w:p>
          <w:p w:rsidR="00673482" w:rsidRDefault="00673482" w:rsidP="000C6CEE">
            <w:pPr>
              <w:keepNext/>
              <w:keepLines/>
              <w:jc w:val="center"/>
              <w:rPr>
                <w:b/>
                <w:sz w:val="17"/>
                <w:szCs w:val="17"/>
              </w:rPr>
            </w:pPr>
            <w:r>
              <w:rPr>
                <w:b/>
                <w:sz w:val="17"/>
                <w:szCs w:val="17"/>
              </w:rPr>
              <w:t>Small Business Entities Affected</w:t>
            </w:r>
          </w:p>
          <w:p w:rsidR="00673482" w:rsidRPr="003D76C4" w:rsidRDefault="00673482" w:rsidP="000C6CEE">
            <w:pPr>
              <w:keepNext/>
              <w:keepLines/>
              <w:jc w:val="center"/>
              <w:rPr>
                <w:b/>
                <w:sz w:val="17"/>
                <w:szCs w:val="17"/>
              </w:rPr>
            </w:pPr>
          </w:p>
        </w:tc>
      </w:tr>
      <w:tr w:rsidR="00357C9F" w:rsidRPr="00ED2A8F" w:rsidTr="003C597B">
        <w:trPr>
          <w:jc w:val="center"/>
        </w:trPr>
        <w:tc>
          <w:tcPr>
            <w:tcW w:w="1360" w:type="dxa"/>
            <w:vAlign w:val="center"/>
          </w:tcPr>
          <w:p w:rsidR="00673482" w:rsidRPr="003D76C4" w:rsidRDefault="00357C9F" w:rsidP="00360763">
            <w:pPr>
              <w:keepNext/>
              <w:keepLines/>
              <w:jc w:val="center"/>
              <w:rPr>
                <w:color w:val="000000"/>
                <w:sz w:val="17"/>
                <w:szCs w:val="17"/>
              </w:rPr>
            </w:pPr>
            <w:r>
              <w:rPr>
                <w:color w:val="000000"/>
                <w:sz w:val="17"/>
                <w:szCs w:val="17"/>
              </w:rPr>
              <w:t>Rule 17a-4 before the SBS Recordkeeping Release</w:t>
            </w:r>
          </w:p>
        </w:tc>
        <w:tc>
          <w:tcPr>
            <w:tcW w:w="1230" w:type="dxa"/>
            <w:vAlign w:val="center"/>
          </w:tcPr>
          <w:p w:rsidR="00673482" w:rsidRPr="003D76C4" w:rsidRDefault="00357C9F" w:rsidP="000C6CEE">
            <w:pPr>
              <w:keepNext/>
              <w:keepLines/>
              <w:jc w:val="center"/>
              <w:rPr>
                <w:color w:val="000000"/>
                <w:sz w:val="17"/>
                <w:szCs w:val="17"/>
              </w:rPr>
            </w:pPr>
            <w:r>
              <w:rPr>
                <w:color w:val="000000"/>
                <w:sz w:val="17"/>
                <w:szCs w:val="17"/>
              </w:rPr>
              <w:t>Recordkeeping</w:t>
            </w:r>
          </w:p>
        </w:tc>
        <w:tc>
          <w:tcPr>
            <w:tcW w:w="1129" w:type="dxa"/>
            <w:vAlign w:val="center"/>
          </w:tcPr>
          <w:p w:rsidR="00673482" w:rsidRPr="00ED2A8F" w:rsidRDefault="00357C9F" w:rsidP="000C6CEE">
            <w:pPr>
              <w:keepNext/>
              <w:keepLines/>
              <w:jc w:val="center"/>
              <w:rPr>
                <w:color w:val="000000"/>
                <w:sz w:val="17"/>
                <w:szCs w:val="17"/>
              </w:rPr>
            </w:pPr>
            <w:r>
              <w:rPr>
                <w:color w:val="000000"/>
                <w:sz w:val="17"/>
                <w:szCs w:val="17"/>
              </w:rPr>
              <w:t>4,</w:t>
            </w:r>
            <w:r w:rsidR="00730FCD">
              <w:rPr>
                <w:color w:val="000000"/>
                <w:sz w:val="17"/>
                <w:szCs w:val="17"/>
              </w:rPr>
              <w:t>545</w:t>
            </w:r>
          </w:p>
        </w:tc>
        <w:tc>
          <w:tcPr>
            <w:tcW w:w="956" w:type="dxa"/>
            <w:vAlign w:val="center"/>
          </w:tcPr>
          <w:p w:rsidR="00673482" w:rsidRPr="00ED2A8F" w:rsidRDefault="00357C9F" w:rsidP="000C6CEE">
            <w:pPr>
              <w:keepNext/>
              <w:keepLines/>
              <w:jc w:val="center"/>
              <w:rPr>
                <w:color w:val="000000"/>
                <w:sz w:val="17"/>
                <w:szCs w:val="17"/>
              </w:rPr>
            </w:pPr>
            <w:r>
              <w:rPr>
                <w:color w:val="000000"/>
                <w:sz w:val="17"/>
                <w:szCs w:val="17"/>
              </w:rPr>
              <w:t>1</w:t>
            </w:r>
          </w:p>
        </w:tc>
        <w:tc>
          <w:tcPr>
            <w:tcW w:w="1065" w:type="dxa"/>
            <w:vAlign w:val="center"/>
          </w:tcPr>
          <w:p w:rsidR="00673482" w:rsidRPr="00ED2A8F" w:rsidRDefault="00357C9F" w:rsidP="000C6CEE">
            <w:pPr>
              <w:keepNext/>
              <w:keepLines/>
              <w:jc w:val="center"/>
              <w:rPr>
                <w:color w:val="000000"/>
                <w:sz w:val="17"/>
                <w:szCs w:val="17"/>
              </w:rPr>
            </w:pPr>
            <w:r>
              <w:rPr>
                <w:color w:val="000000"/>
                <w:sz w:val="17"/>
                <w:szCs w:val="17"/>
              </w:rPr>
              <w:t>$0</w:t>
            </w:r>
          </w:p>
        </w:tc>
        <w:tc>
          <w:tcPr>
            <w:tcW w:w="1065" w:type="dxa"/>
            <w:vAlign w:val="center"/>
          </w:tcPr>
          <w:p w:rsidR="00673482" w:rsidRPr="00ED2A8F" w:rsidRDefault="00357C9F" w:rsidP="000C6CEE">
            <w:pPr>
              <w:keepNext/>
              <w:keepLines/>
              <w:jc w:val="center"/>
              <w:rPr>
                <w:color w:val="000000"/>
                <w:sz w:val="17"/>
                <w:szCs w:val="17"/>
              </w:rPr>
            </w:pPr>
            <w:r>
              <w:rPr>
                <w:color w:val="000000"/>
                <w:sz w:val="17"/>
                <w:szCs w:val="17"/>
              </w:rPr>
              <w:t>$5,000</w:t>
            </w:r>
          </w:p>
        </w:tc>
        <w:tc>
          <w:tcPr>
            <w:tcW w:w="1065" w:type="dxa"/>
            <w:vAlign w:val="center"/>
          </w:tcPr>
          <w:p w:rsidR="00673482" w:rsidRPr="00ED2A8F" w:rsidRDefault="00357C9F" w:rsidP="000C6CEE">
            <w:pPr>
              <w:keepNext/>
              <w:keepLines/>
              <w:jc w:val="center"/>
              <w:rPr>
                <w:color w:val="000000"/>
                <w:sz w:val="17"/>
                <w:szCs w:val="17"/>
              </w:rPr>
            </w:pPr>
            <w:r>
              <w:rPr>
                <w:color w:val="000000"/>
                <w:sz w:val="17"/>
                <w:szCs w:val="17"/>
              </w:rPr>
              <w:t>$5,000</w:t>
            </w:r>
          </w:p>
        </w:tc>
        <w:tc>
          <w:tcPr>
            <w:tcW w:w="1129" w:type="dxa"/>
            <w:vAlign w:val="center"/>
          </w:tcPr>
          <w:p w:rsidR="00673482" w:rsidRPr="00ED2A8F" w:rsidRDefault="00357C9F" w:rsidP="000C6CEE">
            <w:pPr>
              <w:keepNext/>
              <w:keepLines/>
              <w:jc w:val="center"/>
              <w:rPr>
                <w:color w:val="000000"/>
                <w:sz w:val="17"/>
                <w:szCs w:val="17"/>
              </w:rPr>
            </w:pPr>
            <w:r>
              <w:rPr>
                <w:color w:val="000000"/>
                <w:sz w:val="17"/>
                <w:szCs w:val="17"/>
              </w:rPr>
              <w:t>$</w:t>
            </w:r>
            <w:r w:rsidR="00730FCD" w:rsidRPr="00730FCD">
              <w:rPr>
                <w:bCs/>
                <w:color w:val="000000"/>
                <w:sz w:val="17"/>
                <w:szCs w:val="17"/>
              </w:rPr>
              <w:t>22,725,000</w:t>
            </w:r>
          </w:p>
        </w:tc>
        <w:tc>
          <w:tcPr>
            <w:tcW w:w="1229" w:type="dxa"/>
            <w:shd w:val="clear" w:color="auto" w:fill="auto"/>
            <w:vAlign w:val="center"/>
          </w:tcPr>
          <w:p w:rsidR="00673482" w:rsidRPr="003D76C4" w:rsidRDefault="00357C9F" w:rsidP="000C6CEE">
            <w:pPr>
              <w:keepNext/>
              <w:keepLines/>
              <w:jc w:val="center"/>
              <w:rPr>
                <w:color w:val="000000"/>
                <w:sz w:val="17"/>
                <w:szCs w:val="17"/>
              </w:rPr>
            </w:pPr>
            <w:r>
              <w:rPr>
                <w:color w:val="000000"/>
                <w:sz w:val="17"/>
                <w:szCs w:val="17"/>
              </w:rPr>
              <w:t>1,</w:t>
            </w:r>
            <w:r w:rsidR="003C597B">
              <w:rPr>
                <w:color w:val="000000"/>
                <w:sz w:val="17"/>
                <w:szCs w:val="17"/>
              </w:rPr>
              <w:t>508</w:t>
            </w:r>
          </w:p>
        </w:tc>
      </w:tr>
      <w:tr w:rsidR="00357C9F" w:rsidRPr="00ED2A8F" w:rsidTr="00357C9F">
        <w:trPr>
          <w:jc w:val="center"/>
        </w:trPr>
        <w:tc>
          <w:tcPr>
            <w:tcW w:w="1360" w:type="dxa"/>
            <w:vAlign w:val="center"/>
          </w:tcPr>
          <w:p w:rsidR="00673482" w:rsidRPr="003D76C4" w:rsidRDefault="00D37439" w:rsidP="000C6CEE">
            <w:pPr>
              <w:keepNext/>
              <w:keepLines/>
              <w:jc w:val="center"/>
              <w:rPr>
                <w:color w:val="000000"/>
                <w:sz w:val="17"/>
                <w:szCs w:val="17"/>
              </w:rPr>
            </w:pPr>
            <w:r>
              <w:rPr>
                <w:color w:val="000000"/>
                <w:sz w:val="17"/>
                <w:szCs w:val="17"/>
              </w:rPr>
              <w:t>Telephonic c</w:t>
            </w:r>
            <w:r w:rsidR="00357C9F">
              <w:rPr>
                <w:color w:val="000000"/>
                <w:sz w:val="17"/>
                <w:szCs w:val="17"/>
              </w:rPr>
              <w:t>ommunications</w:t>
            </w:r>
            <w:r>
              <w:rPr>
                <w:color w:val="000000"/>
                <w:sz w:val="17"/>
                <w:szCs w:val="17"/>
              </w:rPr>
              <w:t>: Amendment to paragraph (b)(4)</w:t>
            </w:r>
          </w:p>
        </w:tc>
        <w:tc>
          <w:tcPr>
            <w:tcW w:w="1230" w:type="dxa"/>
            <w:vAlign w:val="center"/>
          </w:tcPr>
          <w:p w:rsidR="00673482" w:rsidRPr="003D76C4" w:rsidRDefault="00357C9F" w:rsidP="000C6CEE">
            <w:pPr>
              <w:keepNext/>
              <w:keepLines/>
              <w:jc w:val="center"/>
              <w:rPr>
                <w:color w:val="000000"/>
                <w:sz w:val="17"/>
                <w:szCs w:val="17"/>
              </w:rPr>
            </w:pPr>
            <w:r>
              <w:rPr>
                <w:color w:val="000000"/>
                <w:sz w:val="17"/>
                <w:szCs w:val="17"/>
              </w:rPr>
              <w:t>Recordkeeping</w:t>
            </w:r>
            <w:r w:rsidR="00673482">
              <w:rPr>
                <w:color w:val="000000"/>
                <w:sz w:val="17"/>
                <w:szCs w:val="17"/>
              </w:rPr>
              <w:t xml:space="preserve"> </w:t>
            </w:r>
          </w:p>
        </w:tc>
        <w:tc>
          <w:tcPr>
            <w:tcW w:w="1129" w:type="dxa"/>
            <w:vAlign w:val="center"/>
          </w:tcPr>
          <w:p w:rsidR="00673482" w:rsidRPr="00ED2A8F" w:rsidRDefault="00357C9F" w:rsidP="000C6CEE">
            <w:pPr>
              <w:keepNext/>
              <w:keepLines/>
              <w:jc w:val="center"/>
              <w:rPr>
                <w:color w:val="000000"/>
                <w:sz w:val="17"/>
                <w:szCs w:val="17"/>
              </w:rPr>
            </w:pPr>
            <w:r>
              <w:rPr>
                <w:color w:val="000000"/>
                <w:sz w:val="17"/>
                <w:szCs w:val="17"/>
              </w:rPr>
              <w:t>17</w:t>
            </w:r>
          </w:p>
        </w:tc>
        <w:tc>
          <w:tcPr>
            <w:tcW w:w="956" w:type="dxa"/>
            <w:vAlign w:val="center"/>
          </w:tcPr>
          <w:p w:rsidR="00673482" w:rsidRPr="00ED2A8F" w:rsidRDefault="00673482" w:rsidP="000C6CEE">
            <w:pPr>
              <w:keepNext/>
              <w:keepLines/>
              <w:jc w:val="center"/>
              <w:rPr>
                <w:color w:val="000000"/>
                <w:sz w:val="17"/>
                <w:szCs w:val="17"/>
              </w:rPr>
            </w:pPr>
            <w:r w:rsidRPr="00ED2A8F">
              <w:rPr>
                <w:color w:val="000000"/>
                <w:sz w:val="17"/>
                <w:szCs w:val="17"/>
              </w:rPr>
              <w:t>1</w:t>
            </w:r>
          </w:p>
        </w:tc>
        <w:tc>
          <w:tcPr>
            <w:tcW w:w="1065" w:type="dxa"/>
            <w:vAlign w:val="center"/>
          </w:tcPr>
          <w:p w:rsidR="00673482" w:rsidRPr="00ED2A8F" w:rsidRDefault="00357C9F" w:rsidP="000C6CEE">
            <w:pPr>
              <w:keepNext/>
              <w:keepLines/>
              <w:jc w:val="center"/>
              <w:rPr>
                <w:color w:val="000000"/>
                <w:sz w:val="17"/>
                <w:szCs w:val="17"/>
              </w:rPr>
            </w:pPr>
            <w:r>
              <w:rPr>
                <w:color w:val="000000"/>
                <w:sz w:val="17"/>
                <w:szCs w:val="17"/>
              </w:rPr>
              <w:t>$0</w:t>
            </w:r>
          </w:p>
        </w:tc>
        <w:tc>
          <w:tcPr>
            <w:tcW w:w="1065" w:type="dxa"/>
            <w:vAlign w:val="center"/>
          </w:tcPr>
          <w:p w:rsidR="00673482" w:rsidRPr="00ED2A8F" w:rsidRDefault="00357C9F" w:rsidP="000C6CEE">
            <w:pPr>
              <w:keepNext/>
              <w:keepLines/>
              <w:jc w:val="center"/>
              <w:rPr>
                <w:color w:val="000000"/>
                <w:sz w:val="17"/>
                <w:szCs w:val="17"/>
              </w:rPr>
            </w:pPr>
            <w:r>
              <w:rPr>
                <w:color w:val="000000"/>
                <w:sz w:val="17"/>
                <w:szCs w:val="17"/>
              </w:rPr>
              <w:t>$2,000</w:t>
            </w:r>
          </w:p>
        </w:tc>
        <w:tc>
          <w:tcPr>
            <w:tcW w:w="1065" w:type="dxa"/>
            <w:vAlign w:val="center"/>
          </w:tcPr>
          <w:p w:rsidR="00673482" w:rsidRPr="00ED2A8F" w:rsidRDefault="00357C9F" w:rsidP="000C6CEE">
            <w:pPr>
              <w:keepNext/>
              <w:keepLines/>
              <w:jc w:val="center"/>
              <w:rPr>
                <w:color w:val="000000"/>
                <w:sz w:val="17"/>
                <w:szCs w:val="17"/>
              </w:rPr>
            </w:pPr>
            <w:r>
              <w:rPr>
                <w:color w:val="000000"/>
                <w:sz w:val="17"/>
                <w:szCs w:val="17"/>
              </w:rPr>
              <w:t>$2,000</w:t>
            </w:r>
          </w:p>
        </w:tc>
        <w:tc>
          <w:tcPr>
            <w:tcW w:w="1129" w:type="dxa"/>
            <w:vAlign w:val="center"/>
          </w:tcPr>
          <w:p w:rsidR="00673482" w:rsidRPr="00ED2A8F" w:rsidRDefault="00357C9F" w:rsidP="000C6CEE">
            <w:pPr>
              <w:keepNext/>
              <w:keepLines/>
              <w:jc w:val="center"/>
              <w:rPr>
                <w:color w:val="000000"/>
                <w:sz w:val="17"/>
                <w:szCs w:val="17"/>
              </w:rPr>
            </w:pPr>
            <w:r>
              <w:rPr>
                <w:color w:val="000000"/>
                <w:sz w:val="17"/>
                <w:szCs w:val="17"/>
              </w:rPr>
              <w:t>$34,000</w:t>
            </w:r>
          </w:p>
        </w:tc>
        <w:tc>
          <w:tcPr>
            <w:tcW w:w="1229" w:type="dxa"/>
            <w:vAlign w:val="center"/>
          </w:tcPr>
          <w:p w:rsidR="00673482" w:rsidRPr="003D76C4" w:rsidRDefault="00357C9F" w:rsidP="000C6CEE">
            <w:pPr>
              <w:keepNext/>
              <w:keepLines/>
              <w:jc w:val="center"/>
              <w:rPr>
                <w:color w:val="000000"/>
                <w:sz w:val="17"/>
                <w:szCs w:val="17"/>
              </w:rPr>
            </w:pPr>
            <w:r>
              <w:rPr>
                <w:color w:val="000000"/>
                <w:sz w:val="17"/>
                <w:szCs w:val="17"/>
              </w:rPr>
              <w:t>0</w:t>
            </w:r>
          </w:p>
        </w:tc>
      </w:tr>
      <w:tr w:rsidR="00357C9F" w:rsidRPr="00ED2A8F" w:rsidTr="00357C9F">
        <w:trPr>
          <w:jc w:val="center"/>
        </w:trPr>
        <w:tc>
          <w:tcPr>
            <w:tcW w:w="1360" w:type="dxa"/>
            <w:vAlign w:val="center"/>
          </w:tcPr>
          <w:p w:rsidR="00673482" w:rsidRPr="003D76C4" w:rsidRDefault="00357C9F" w:rsidP="00D37439">
            <w:pPr>
              <w:jc w:val="center"/>
              <w:rPr>
                <w:color w:val="000000"/>
                <w:sz w:val="17"/>
                <w:szCs w:val="17"/>
              </w:rPr>
            </w:pPr>
            <w:r>
              <w:rPr>
                <w:color w:val="000000"/>
                <w:sz w:val="17"/>
                <w:szCs w:val="17"/>
              </w:rPr>
              <w:t>S</w:t>
            </w:r>
            <w:r w:rsidR="00112E32">
              <w:rPr>
                <w:color w:val="000000"/>
                <w:sz w:val="17"/>
                <w:szCs w:val="17"/>
              </w:rPr>
              <w:t>ecurity-</w:t>
            </w:r>
            <w:r w:rsidR="00D37439">
              <w:rPr>
                <w:color w:val="000000"/>
                <w:sz w:val="17"/>
                <w:szCs w:val="17"/>
              </w:rPr>
              <w:t>b</w:t>
            </w:r>
            <w:r w:rsidR="00112E32">
              <w:rPr>
                <w:color w:val="000000"/>
                <w:sz w:val="17"/>
                <w:szCs w:val="17"/>
              </w:rPr>
              <w:t xml:space="preserve">ased </w:t>
            </w:r>
            <w:r w:rsidR="00D37439">
              <w:rPr>
                <w:color w:val="000000"/>
                <w:sz w:val="17"/>
                <w:szCs w:val="17"/>
              </w:rPr>
              <w:t>s</w:t>
            </w:r>
            <w:r w:rsidR="00112E32">
              <w:rPr>
                <w:color w:val="000000"/>
                <w:sz w:val="17"/>
                <w:szCs w:val="17"/>
              </w:rPr>
              <w:t xml:space="preserve">wap </w:t>
            </w:r>
            <w:r w:rsidR="00D37439">
              <w:rPr>
                <w:color w:val="000000"/>
                <w:sz w:val="17"/>
                <w:szCs w:val="17"/>
              </w:rPr>
              <w:t>a</w:t>
            </w:r>
            <w:r w:rsidR="00112E32">
              <w:rPr>
                <w:color w:val="000000"/>
                <w:sz w:val="17"/>
                <w:szCs w:val="17"/>
              </w:rPr>
              <w:t>ctivities</w:t>
            </w:r>
            <w:r w:rsidR="00D37439">
              <w:rPr>
                <w:color w:val="000000"/>
                <w:sz w:val="17"/>
                <w:szCs w:val="17"/>
              </w:rPr>
              <w:t>: Amendments to paragraphs (b)(8)(v)-(viii) and new paragraphs (b)(8)(xvi) and (b)(14)</w:t>
            </w:r>
          </w:p>
        </w:tc>
        <w:tc>
          <w:tcPr>
            <w:tcW w:w="1230" w:type="dxa"/>
            <w:vAlign w:val="center"/>
          </w:tcPr>
          <w:p w:rsidR="00673482" w:rsidRPr="003D76C4" w:rsidRDefault="00673482" w:rsidP="00FD2C30">
            <w:pPr>
              <w:jc w:val="center"/>
              <w:rPr>
                <w:color w:val="000000"/>
                <w:sz w:val="17"/>
                <w:szCs w:val="17"/>
              </w:rPr>
            </w:pPr>
            <w:r w:rsidRPr="003D76C4">
              <w:rPr>
                <w:color w:val="000000"/>
                <w:sz w:val="17"/>
                <w:szCs w:val="17"/>
              </w:rPr>
              <w:t>Re</w:t>
            </w:r>
            <w:r>
              <w:rPr>
                <w:color w:val="000000"/>
                <w:sz w:val="17"/>
                <w:szCs w:val="17"/>
              </w:rPr>
              <w:t>cordkeeping</w:t>
            </w:r>
          </w:p>
        </w:tc>
        <w:tc>
          <w:tcPr>
            <w:tcW w:w="1129" w:type="dxa"/>
            <w:vAlign w:val="center"/>
          </w:tcPr>
          <w:p w:rsidR="00673482" w:rsidRPr="00ED2A8F" w:rsidRDefault="00357C9F" w:rsidP="00FD2C30">
            <w:pPr>
              <w:jc w:val="center"/>
              <w:rPr>
                <w:color w:val="000000"/>
                <w:sz w:val="17"/>
                <w:szCs w:val="17"/>
              </w:rPr>
            </w:pPr>
            <w:r>
              <w:rPr>
                <w:color w:val="000000"/>
                <w:sz w:val="17"/>
                <w:szCs w:val="17"/>
              </w:rPr>
              <w:t>42</w:t>
            </w:r>
          </w:p>
        </w:tc>
        <w:tc>
          <w:tcPr>
            <w:tcW w:w="956" w:type="dxa"/>
            <w:vAlign w:val="center"/>
          </w:tcPr>
          <w:p w:rsidR="00673482" w:rsidRPr="00ED2A8F" w:rsidRDefault="00357C9F" w:rsidP="00FD2C30">
            <w:pPr>
              <w:jc w:val="center"/>
              <w:rPr>
                <w:color w:val="000000"/>
                <w:sz w:val="17"/>
                <w:szCs w:val="17"/>
              </w:rPr>
            </w:pPr>
            <w:r>
              <w:rPr>
                <w:color w:val="000000"/>
                <w:sz w:val="17"/>
                <w:szCs w:val="17"/>
              </w:rPr>
              <w:t>1</w:t>
            </w:r>
          </w:p>
        </w:tc>
        <w:tc>
          <w:tcPr>
            <w:tcW w:w="1065" w:type="dxa"/>
            <w:vAlign w:val="center"/>
          </w:tcPr>
          <w:p w:rsidR="00673482" w:rsidRPr="00ED2A8F" w:rsidRDefault="00673482" w:rsidP="00FD2C30">
            <w:pPr>
              <w:jc w:val="center"/>
              <w:rPr>
                <w:color w:val="000000"/>
                <w:sz w:val="17"/>
                <w:szCs w:val="17"/>
              </w:rPr>
            </w:pPr>
            <w:r w:rsidRPr="00ED2A8F">
              <w:rPr>
                <w:color w:val="000000"/>
                <w:sz w:val="17"/>
                <w:szCs w:val="17"/>
              </w:rPr>
              <w:t>$0</w:t>
            </w:r>
          </w:p>
        </w:tc>
        <w:tc>
          <w:tcPr>
            <w:tcW w:w="1065" w:type="dxa"/>
            <w:vAlign w:val="center"/>
          </w:tcPr>
          <w:p w:rsidR="00673482" w:rsidRPr="00ED2A8F" w:rsidRDefault="00357C9F" w:rsidP="00FD2C30">
            <w:pPr>
              <w:jc w:val="center"/>
              <w:rPr>
                <w:color w:val="000000"/>
                <w:sz w:val="17"/>
                <w:szCs w:val="17"/>
              </w:rPr>
            </w:pPr>
            <w:r>
              <w:rPr>
                <w:color w:val="000000"/>
                <w:sz w:val="17"/>
                <w:szCs w:val="17"/>
              </w:rPr>
              <w:t>$360</w:t>
            </w:r>
          </w:p>
        </w:tc>
        <w:tc>
          <w:tcPr>
            <w:tcW w:w="1065" w:type="dxa"/>
            <w:vAlign w:val="center"/>
          </w:tcPr>
          <w:p w:rsidR="00673482" w:rsidRPr="00ED2A8F" w:rsidRDefault="00357C9F" w:rsidP="00FD2C30">
            <w:pPr>
              <w:jc w:val="center"/>
              <w:rPr>
                <w:color w:val="000000"/>
                <w:sz w:val="17"/>
                <w:szCs w:val="17"/>
              </w:rPr>
            </w:pPr>
            <w:r>
              <w:rPr>
                <w:color w:val="000000"/>
                <w:sz w:val="17"/>
                <w:szCs w:val="17"/>
              </w:rPr>
              <w:t>$360</w:t>
            </w:r>
          </w:p>
        </w:tc>
        <w:tc>
          <w:tcPr>
            <w:tcW w:w="1129" w:type="dxa"/>
            <w:vAlign w:val="center"/>
          </w:tcPr>
          <w:p w:rsidR="00673482" w:rsidRPr="00ED2A8F" w:rsidRDefault="00357C9F" w:rsidP="00FD2C30">
            <w:pPr>
              <w:jc w:val="center"/>
              <w:rPr>
                <w:color w:val="000000"/>
                <w:sz w:val="17"/>
                <w:szCs w:val="17"/>
              </w:rPr>
            </w:pPr>
            <w:r>
              <w:rPr>
                <w:color w:val="000000"/>
                <w:sz w:val="17"/>
                <w:szCs w:val="17"/>
              </w:rPr>
              <w:t>$15,120</w:t>
            </w:r>
          </w:p>
        </w:tc>
        <w:tc>
          <w:tcPr>
            <w:tcW w:w="1229" w:type="dxa"/>
            <w:vAlign w:val="center"/>
          </w:tcPr>
          <w:p w:rsidR="00673482" w:rsidRPr="003D76C4" w:rsidRDefault="00357C9F" w:rsidP="00FD2C30">
            <w:pPr>
              <w:jc w:val="center"/>
              <w:rPr>
                <w:color w:val="000000"/>
                <w:sz w:val="17"/>
                <w:szCs w:val="17"/>
              </w:rPr>
            </w:pPr>
            <w:r>
              <w:rPr>
                <w:color w:val="000000"/>
                <w:sz w:val="17"/>
                <w:szCs w:val="17"/>
              </w:rPr>
              <w:t>0</w:t>
            </w:r>
          </w:p>
        </w:tc>
      </w:tr>
      <w:tr w:rsidR="00112E32" w:rsidRPr="00ED2A8F" w:rsidTr="00357C9F">
        <w:trPr>
          <w:jc w:val="center"/>
        </w:trPr>
        <w:tc>
          <w:tcPr>
            <w:tcW w:w="1360" w:type="dxa"/>
            <w:vAlign w:val="center"/>
          </w:tcPr>
          <w:p w:rsidR="00112E32" w:rsidRDefault="00112E32" w:rsidP="00360763">
            <w:pPr>
              <w:jc w:val="center"/>
              <w:rPr>
                <w:color w:val="000000"/>
                <w:sz w:val="17"/>
                <w:szCs w:val="17"/>
              </w:rPr>
            </w:pPr>
            <w:r>
              <w:rPr>
                <w:color w:val="000000"/>
                <w:sz w:val="17"/>
                <w:szCs w:val="17"/>
              </w:rPr>
              <w:t>Broker-</w:t>
            </w:r>
            <w:r w:rsidR="00D37439">
              <w:rPr>
                <w:color w:val="000000"/>
                <w:sz w:val="17"/>
                <w:szCs w:val="17"/>
              </w:rPr>
              <w:t>dealer SBSDs and broker-dealer MSBSPs: A</w:t>
            </w:r>
            <w:r>
              <w:rPr>
                <w:color w:val="000000"/>
                <w:sz w:val="17"/>
                <w:szCs w:val="17"/>
              </w:rPr>
              <w:t>mendment to paragraph (b)(1) and new paragraphs (b)(</w:t>
            </w:r>
            <w:r w:rsidR="00360763">
              <w:rPr>
                <w:color w:val="000000"/>
                <w:sz w:val="17"/>
                <w:szCs w:val="17"/>
              </w:rPr>
              <w:t>15) and (b)(16</w:t>
            </w:r>
            <w:r>
              <w:rPr>
                <w:color w:val="000000"/>
                <w:sz w:val="17"/>
                <w:szCs w:val="17"/>
              </w:rPr>
              <w:t>)</w:t>
            </w:r>
          </w:p>
        </w:tc>
        <w:tc>
          <w:tcPr>
            <w:tcW w:w="1230" w:type="dxa"/>
            <w:vAlign w:val="center"/>
          </w:tcPr>
          <w:p w:rsidR="00112E32" w:rsidRPr="003D76C4" w:rsidRDefault="00112E32" w:rsidP="00FD2C30">
            <w:pPr>
              <w:jc w:val="center"/>
              <w:rPr>
                <w:color w:val="000000"/>
                <w:sz w:val="17"/>
                <w:szCs w:val="17"/>
              </w:rPr>
            </w:pPr>
            <w:r>
              <w:rPr>
                <w:color w:val="000000"/>
                <w:sz w:val="17"/>
                <w:szCs w:val="17"/>
              </w:rPr>
              <w:t>Recordkeeping</w:t>
            </w:r>
          </w:p>
        </w:tc>
        <w:tc>
          <w:tcPr>
            <w:tcW w:w="1129" w:type="dxa"/>
            <w:vAlign w:val="center"/>
          </w:tcPr>
          <w:p w:rsidR="00112E32" w:rsidRDefault="00112E32" w:rsidP="00112E32">
            <w:pPr>
              <w:jc w:val="center"/>
              <w:rPr>
                <w:color w:val="000000"/>
                <w:sz w:val="17"/>
                <w:szCs w:val="17"/>
              </w:rPr>
            </w:pPr>
            <w:r>
              <w:rPr>
                <w:color w:val="000000"/>
                <w:sz w:val="17"/>
                <w:szCs w:val="17"/>
              </w:rPr>
              <w:t>17</w:t>
            </w:r>
          </w:p>
        </w:tc>
        <w:tc>
          <w:tcPr>
            <w:tcW w:w="956" w:type="dxa"/>
            <w:vAlign w:val="center"/>
          </w:tcPr>
          <w:p w:rsidR="00112E32" w:rsidRDefault="00112E32" w:rsidP="00FD2C30">
            <w:pPr>
              <w:jc w:val="center"/>
              <w:rPr>
                <w:color w:val="000000"/>
                <w:sz w:val="17"/>
                <w:szCs w:val="17"/>
              </w:rPr>
            </w:pPr>
            <w:r>
              <w:rPr>
                <w:color w:val="000000"/>
                <w:sz w:val="17"/>
                <w:szCs w:val="17"/>
              </w:rPr>
              <w:t>1</w:t>
            </w:r>
          </w:p>
        </w:tc>
        <w:tc>
          <w:tcPr>
            <w:tcW w:w="1065" w:type="dxa"/>
            <w:vAlign w:val="center"/>
          </w:tcPr>
          <w:p w:rsidR="00112E32" w:rsidRPr="00ED2A8F" w:rsidRDefault="00112E32" w:rsidP="00FD2C30">
            <w:pPr>
              <w:jc w:val="center"/>
              <w:rPr>
                <w:color w:val="000000"/>
                <w:sz w:val="17"/>
                <w:szCs w:val="17"/>
              </w:rPr>
            </w:pPr>
            <w:r>
              <w:rPr>
                <w:color w:val="000000"/>
                <w:sz w:val="17"/>
                <w:szCs w:val="17"/>
              </w:rPr>
              <w:t>$0</w:t>
            </w:r>
          </w:p>
        </w:tc>
        <w:tc>
          <w:tcPr>
            <w:tcW w:w="1065" w:type="dxa"/>
            <w:vAlign w:val="center"/>
          </w:tcPr>
          <w:p w:rsidR="00112E32" w:rsidRDefault="00112E32" w:rsidP="00FD2C30">
            <w:pPr>
              <w:jc w:val="center"/>
              <w:rPr>
                <w:color w:val="000000"/>
                <w:sz w:val="17"/>
                <w:szCs w:val="17"/>
              </w:rPr>
            </w:pPr>
            <w:r>
              <w:rPr>
                <w:color w:val="000000"/>
                <w:sz w:val="17"/>
                <w:szCs w:val="17"/>
              </w:rPr>
              <w:t>$600</w:t>
            </w:r>
          </w:p>
        </w:tc>
        <w:tc>
          <w:tcPr>
            <w:tcW w:w="1065" w:type="dxa"/>
            <w:vAlign w:val="center"/>
          </w:tcPr>
          <w:p w:rsidR="00112E32" w:rsidRDefault="00112E32" w:rsidP="00FD2C30">
            <w:pPr>
              <w:jc w:val="center"/>
              <w:rPr>
                <w:color w:val="000000"/>
                <w:sz w:val="17"/>
                <w:szCs w:val="17"/>
              </w:rPr>
            </w:pPr>
            <w:r>
              <w:rPr>
                <w:color w:val="000000"/>
                <w:sz w:val="17"/>
                <w:szCs w:val="17"/>
              </w:rPr>
              <w:t>$600</w:t>
            </w:r>
          </w:p>
        </w:tc>
        <w:tc>
          <w:tcPr>
            <w:tcW w:w="1129" w:type="dxa"/>
            <w:vAlign w:val="center"/>
          </w:tcPr>
          <w:p w:rsidR="00112E32" w:rsidRDefault="00112E32" w:rsidP="00FD2C30">
            <w:pPr>
              <w:jc w:val="center"/>
              <w:rPr>
                <w:color w:val="000000"/>
                <w:sz w:val="17"/>
                <w:szCs w:val="17"/>
              </w:rPr>
            </w:pPr>
            <w:r>
              <w:rPr>
                <w:color w:val="000000"/>
                <w:sz w:val="17"/>
                <w:szCs w:val="17"/>
              </w:rPr>
              <w:t>$10,200</w:t>
            </w:r>
          </w:p>
        </w:tc>
        <w:tc>
          <w:tcPr>
            <w:tcW w:w="1229" w:type="dxa"/>
            <w:vAlign w:val="center"/>
          </w:tcPr>
          <w:p w:rsidR="00112E32" w:rsidRDefault="00112E32" w:rsidP="00FD2C30">
            <w:pPr>
              <w:jc w:val="center"/>
              <w:rPr>
                <w:color w:val="000000"/>
                <w:sz w:val="17"/>
                <w:szCs w:val="17"/>
              </w:rPr>
            </w:pPr>
            <w:r>
              <w:rPr>
                <w:color w:val="000000"/>
                <w:sz w:val="17"/>
                <w:szCs w:val="17"/>
              </w:rPr>
              <w:t>0</w:t>
            </w:r>
          </w:p>
        </w:tc>
      </w:tr>
      <w:tr w:rsidR="00112E32" w:rsidRPr="00ED2A8F" w:rsidTr="00357C9F">
        <w:trPr>
          <w:jc w:val="center"/>
        </w:trPr>
        <w:tc>
          <w:tcPr>
            <w:tcW w:w="1360" w:type="dxa"/>
            <w:vAlign w:val="center"/>
          </w:tcPr>
          <w:p w:rsidR="00112E32" w:rsidRDefault="00112E32" w:rsidP="00D37439">
            <w:pPr>
              <w:jc w:val="center"/>
              <w:rPr>
                <w:color w:val="000000"/>
                <w:sz w:val="17"/>
                <w:szCs w:val="17"/>
              </w:rPr>
            </w:pPr>
            <w:r>
              <w:rPr>
                <w:color w:val="000000"/>
                <w:sz w:val="17"/>
                <w:szCs w:val="17"/>
              </w:rPr>
              <w:t>Broker-</w:t>
            </w:r>
            <w:r w:rsidR="00D37439">
              <w:rPr>
                <w:color w:val="000000"/>
                <w:sz w:val="17"/>
                <w:szCs w:val="17"/>
              </w:rPr>
              <w:t>d</w:t>
            </w:r>
            <w:r>
              <w:rPr>
                <w:color w:val="000000"/>
                <w:sz w:val="17"/>
                <w:szCs w:val="17"/>
              </w:rPr>
              <w:t xml:space="preserve">ealer SBSDs: </w:t>
            </w:r>
            <w:r w:rsidR="00D37439">
              <w:rPr>
                <w:color w:val="000000"/>
                <w:sz w:val="17"/>
                <w:szCs w:val="17"/>
              </w:rPr>
              <w:t>A</w:t>
            </w:r>
            <w:r w:rsidR="00360763">
              <w:rPr>
                <w:color w:val="000000"/>
                <w:sz w:val="17"/>
                <w:szCs w:val="17"/>
              </w:rPr>
              <w:t>mendment to paragraph (b)(1</w:t>
            </w:r>
            <w:r>
              <w:rPr>
                <w:color w:val="000000"/>
                <w:sz w:val="17"/>
                <w:szCs w:val="17"/>
              </w:rPr>
              <w:t>)</w:t>
            </w:r>
          </w:p>
        </w:tc>
        <w:tc>
          <w:tcPr>
            <w:tcW w:w="1230" w:type="dxa"/>
            <w:vAlign w:val="center"/>
          </w:tcPr>
          <w:p w:rsidR="00112E32" w:rsidRPr="003D76C4" w:rsidRDefault="00112E32" w:rsidP="00FD2C30">
            <w:pPr>
              <w:jc w:val="center"/>
              <w:rPr>
                <w:color w:val="000000"/>
                <w:sz w:val="17"/>
                <w:szCs w:val="17"/>
              </w:rPr>
            </w:pPr>
            <w:r>
              <w:rPr>
                <w:color w:val="000000"/>
                <w:sz w:val="17"/>
                <w:szCs w:val="17"/>
              </w:rPr>
              <w:t>Recordkeeping</w:t>
            </w:r>
          </w:p>
        </w:tc>
        <w:tc>
          <w:tcPr>
            <w:tcW w:w="1129" w:type="dxa"/>
            <w:vAlign w:val="center"/>
          </w:tcPr>
          <w:p w:rsidR="00112E32" w:rsidRDefault="00112E32" w:rsidP="00FD2C30">
            <w:pPr>
              <w:jc w:val="center"/>
              <w:rPr>
                <w:color w:val="000000"/>
                <w:sz w:val="17"/>
                <w:szCs w:val="17"/>
              </w:rPr>
            </w:pPr>
            <w:r>
              <w:rPr>
                <w:color w:val="000000"/>
                <w:sz w:val="17"/>
                <w:szCs w:val="17"/>
              </w:rPr>
              <w:t>16</w:t>
            </w:r>
          </w:p>
        </w:tc>
        <w:tc>
          <w:tcPr>
            <w:tcW w:w="956" w:type="dxa"/>
            <w:vAlign w:val="center"/>
          </w:tcPr>
          <w:p w:rsidR="00112E32" w:rsidRDefault="00112E32" w:rsidP="00FD2C30">
            <w:pPr>
              <w:jc w:val="center"/>
              <w:rPr>
                <w:color w:val="000000"/>
                <w:sz w:val="17"/>
                <w:szCs w:val="17"/>
              </w:rPr>
            </w:pPr>
            <w:r>
              <w:rPr>
                <w:color w:val="000000"/>
                <w:sz w:val="17"/>
                <w:szCs w:val="17"/>
              </w:rPr>
              <w:t>1</w:t>
            </w:r>
          </w:p>
        </w:tc>
        <w:tc>
          <w:tcPr>
            <w:tcW w:w="1065" w:type="dxa"/>
            <w:vAlign w:val="center"/>
          </w:tcPr>
          <w:p w:rsidR="00112E32" w:rsidRPr="00ED2A8F" w:rsidRDefault="00112E32" w:rsidP="00FD2C30">
            <w:pPr>
              <w:jc w:val="center"/>
              <w:rPr>
                <w:color w:val="000000"/>
                <w:sz w:val="17"/>
                <w:szCs w:val="17"/>
              </w:rPr>
            </w:pPr>
            <w:r>
              <w:rPr>
                <w:color w:val="000000"/>
                <w:sz w:val="17"/>
                <w:szCs w:val="17"/>
              </w:rPr>
              <w:t>$0</w:t>
            </w:r>
          </w:p>
        </w:tc>
        <w:tc>
          <w:tcPr>
            <w:tcW w:w="1065" w:type="dxa"/>
            <w:vAlign w:val="center"/>
          </w:tcPr>
          <w:p w:rsidR="00112E32" w:rsidRDefault="00112E32" w:rsidP="00FD2C30">
            <w:pPr>
              <w:jc w:val="center"/>
              <w:rPr>
                <w:color w:val="000000"/>
                <w:sz w:val="17"/>
                <w:szCs w:val="17"/>
              </w:rPr>
            </w:pPr>
            <w:r>
              <w:rPr>
                <w:color w:val="000000"/>
                <w:sz w:val="17"/>
                <w:szCs w:val="17"/>
              </w:rPr>
              <w:t>$360</w:t>
            </w:r>
          </w:p>
        </w:tc>
        <w:tc>
          <w:tcPr>
            <w:tcW w:w="1065" w:type="dxa"/>
            <w:vAlign w:val="center"/>
          </w:tcPr>
          <w:p w:rsidR="00112E32" w:rsidRDefault="00112E32" w:rsidP="00FD2C30">
            <w:pPr>
              <w:jc w:val="center"/>
              <w:rPr>
                <w:color w:val="000000"/>
                <w:sz w:val="17"/>
                <w:szCs w:val="17"/>
              </w:rPr>
            </w:pPr>
            <w:r>
              <w:rPr>
                <w:color w:val="000000"/>
                <w:sz w:val="17"/>
                <w:szCs w:val="17"/>
              </w:rPr>
              <w:t>$360</w:t>
            </w:r>
          </w:p>
        </w:tc>
        <w:tc>
          <w:tcPr>
            <w:tcW w:w="1129" w:type="dxa"/>
            <w:vAlign w:val="center"/>
          </w:tcPr>
          <w:p w:rsidR="00112E32" w:rsidRDefault="00112E32" w:rsidP="00FD2C30">
            <w:pPr>
              <w:jc w:val="center"/>
              <w:rPr>
                <w:color w:val="000000"/>
                <w:sz w:val="17"/>
                <w:szCs w:val="17"/>
              </w:rPr>
            </w:pPr>
            <w:r>
              <w:rPr>
                <w:color w:val="000000"/>
                <w:sz w:val="17"/>
                <w:szCs w:val="17"/>
              </w:rPr>
              <w:t>$5,760</w:t>
            </w:r>
          </w:p>
        </w:tc>
        <w:tc>
          <w:tcPr>
            <w:tcW w:w="1229" w:type="dxa"/>
            <w:vAlign w:val="center"/>
          </w:tcPr>
          <w:p w:rsidR="00112E32" w:rsidRDefault="00112E32" w:rsidP="00FD2C30">
            <w:pPr>
              <w:jc w:val="center"/>
              <w:rPr>
                <w:color w:val="000000"/>
                <w:sz w:val="17"/>
                <w:szCs w:val="17"/>
              </w:rPr>
            </w:pPr>
            <w:r>
              <w:rPr>
                <w:color w:val="000000"/>
                <w:sz w:val="17"/>
                <w:szCs w:val="17"/>
              </w:rPr>
              <w:t>0</w:t>
            </w:r>
          </w:p>
        </w:tc>
      </w:tr>
      <w:tr w:rsidR="00112E32" w:rsidRPr="00ED2A8F" w:rsidTr="00357C9F">
        <w:trPr>
          <w:jc w:val="center"/>
        </w:trPr>
        <w:tc>
          <w:tcPr>
            <w:tcW w:w="1360" w:type="dxa"/>
            <w:vAlign w:val="center"/>
          </w:tcPr>
          <w:p w:rsidR="00112E32" w:rsidRDefault="00360763" w:rsidP="00FD2C30">
            <w:pPr>
              <w:jc w:val="center"/>
              <w:rPr>
                <w:color w:val="000000"/>
                <w:sz w:val="17"/>
                <w:szCs w:val="17"/>
              </w:rPr>
            </w:pPr>
            <w:r>
              <w:rPr>
                <w:color w:val="000000"/>
                <w:sz w:val="17"/>
                <w:szCs w:val="17"/>
              </w:rPr>
              <w:t>ANC broker-d</w:t>
            </w:r>
            <w:r w:rsidR="00112E32">
              <w:rPr>
                <w:color w:val="000000"/>
                <w:sz w:val="17"/>
                <w:szCs w:val="17"/>
              </w:rPr>
              <w:t xml:space="preserve">ealers: </w:t>
            </w:r>
            <w:r w:rsidR="00D37439">
              <w:rPr>
                <w:color w:val="000000"/>
                <w:sz w:val="17"/>
                <w:szCs w:val="17"/>
              </w:rPr>
              <w:t>A</w:t>
            </w:r>
            <w:r w:rsidR="00121BCF">
              <w:rPr>
                <w:color w:val="000000"/>
                <w:sz w:val="17"/>
                <w:szCs w:val="17"/>
              </w:rPr>
              <w:t>mendment to paragraph (b)(1)</w:t>
            </w:r>
          </w:p>
        </w:tc>
        <w:tc>
          <w:tcPr>
            <w:tcW w:w="1230" w:type="dxa"/>
            <w:vAlign w:val="center"/>
          </w:tcPr>
          <w:p w:rsidR="00112E32" w:rsidRPr="003D76C4" w:rsidRDefault="00121BCF" w:rsidP="00FD2C30">
            <w:pPr>
              <w:jc w:val="center"/>
              <w:rPr>
                <w:color w:val="000000"/>
                <w:sz w:val="17"/>
                <w:szCs w:val="17"/>
              </w:rPr>
            </w:pPr>
            <w:r>
              <w:rPr>
                <w:color w:val="000000"/>
                <w:sz w:val="17"/>
                <w:szCs w:val="17"/>
              </w:rPr>
              <w:t>Recordkeeping</w:t>
            </w:r>
          </w:p>
        </w:tc>
        <w:tc>
          <w:tcPr>
            <w:tcW w:w="1129" w:type="dxa"/>
            <w:vAlign w:val="center"/>
          </w:tcPr>
          <w:p w:rsidR="00112E32" w:rsidRDefault="00121BCF" w:rsidP="00FD2C30">
            <w:pPr>
              <w:jc w:val="center"/>
              <w:rPr>
                <w:color w:val="000000"/>
                <w:sz w:val="17"/>
                <w:szCs w:val="17"/>
              </w:rPr>
            </w:pPr>
            <w:r>
              <w:rPr>
                <w:color w:val="000000"/>
                <w:sz w:val="17"/>
                <w:szCs w:val="17"/>
              </w:rPr>
              <w:t>10</w:t>
            </w:r>
          </w:p>
        </w:tc>
        <w:tc>
          <w:tcPr>
            <w:tcW w:w="956" w:type="dxa"/>
            <w:vAlign w:val="center"/>
          </w:tcPr>
          <w:p w:rsidR="00112E32" w:rsidRDefault="00121BCF" w:rsidP="00FD2C30">
            <w:pPr>
              <w:jc w:val="center"/>
              <w:rPr>
                <w:color w:val="000000"/>
                <w:sz w:val="17"/>
                <w:szCs w:val="17"/>
              </w:rPr>
            </w:pPr>
            <w:r>
              <w:rPr>
                <w:color w:val="000000"/>
                <w:sz w:val="17"/>
                <w:szCs w:val="17"/>
              </w:rPr>
              <w:t>1</w:t>
            </w:r>
          </w:p>
        </w:tc>
        <w:tc>
          <w:tcPr>
            <w:tcW w:w="1065" w:type="dxa"/>
            <w:vAlign w:val="center"/>
          </w:tcPr>
          <w:p w:rsidR="00112E32" w:rsidRPr="00ED2A8F" w:rsidRDefault="00121BCF" w:rsidP="00FD2C30">
            <w:pPr>
              <w:jc w:val="center"/>
              <w:rPr>
                <w:color w:val="000000"/>
                <w:sz w:val="17"/>
                <w:szCs w:val="17"/>
              </w:rPr>
            </w:pPr>
            <w:r>
              <w:rPr>
                <w:color w:val="000000"/>
                <w:sz w:val="17"/>
                <w:szCs w:val="17"/>
              </w:rPr>
              <w:t>$0</w:t>
            </w:r>
          </w:p>
        </w:tc>
        <w:tc>
          <w:tcPr>
            <w:tcW w:w="1065" w:type="dxa"/>
            <w:vAlign w:val="center"/>
          </w:tcPr>
          <w:p w:rsidR="00112E32" w:rsidRDefault="00121BCF" w:rsidP="00FD2C30">
            <w:pPr>
              <w:jc w:val="center"/>
              <w:rPr>
                <w:color w:val="000000"/>
                <w:sz w:val="17"/>
                <w:szCs w:val="17"/>
              </w:rPr>
            </w:pPr>
            <w:r>
              <w:rPr>
                <w:color w:val="000000"/>
                <w:sz w:val="17"/>
                <w:szCs w:val="17"/>
              </w:rPr>
              <w:t>$120</w:t>
            </w:r>
          </w:p>
        </w:tc>
        <w:tc>
          <w:tcPr>
            <w:tcW w:w="1065" w:type="dxa"/>
            <w:vAlign w:val="center"/>
          </w:tcPr>
          <w:p w:rsidR="00112E32" w:rsidRDefault="00121BCF" w:rsidP="00FD2C30">
            <w:pPr>
              <w:jc w:val="center"/>
              <w:rPr>
                <w:color w:val="000000"/>
                <w:sz w:val="17"/>
                <w:szCs w:val="17"/>
              </w:rPr>
            </w:pPr>
            <w:r>
              <w:rPr>
                <w:color w:val="000000"/>
                <w:sz w:val="17"/>
                <w:szCs w:val="17"/>
              </w:rPr>
              <w:t>$120</w:t>
            </w:r>
          </w:p>
        </w:tc>
        <w:tc>
          <w:tcPr>
            <w:tcW w:w="1129" w:type="dxa"/>
            <w:vAlign w:val="center"/>
          </w:tcPr>
          <w:p w:rsidR="00112E32" w:rsidRDefault="00121BCF" w:rsidP="00FD2C30">
            <w:pPr>
              <w:jc w:val="center"/>
              <w:rPr>
                <w:color w:val="000000"/>
                <w:sz w:val="17"/>
                <w:szCs w:val="17"/>
              </w:rPr>
            </w:pPr>
            <w:r>
              <w:rPr>
                <w:color w:val="000000"/>
                <w:sz w:val="17"/>
                <w:szCs w:val="17"/>
              </w:rPr>
              <w:t>$1,200</w:t>
            </w:r>
          </w:p>
        </w:tc>
        <w:tc>
          <w:tcPr>
            <w:tcW w:w="1229" w:type="dxa"/>
            <w:vAlign w:val="center"/>
          </w:tcPr>
          <w:p w:rsidR="00112E32" w:rsidRDefault="00121BCF" w:rsidP="00FD2C30">
            <w:pPr>
              <w:jc w:val="center"/>
              <w:rPr>
                <w:color w:val="000000"/>
                <w:sz w:val="17"/>
                <w:szCs w:val="17"/>
              </w:rPr>
            </w:pPr>
            <w:r>
              <w:rPr>
                <w:color w:val="000000"/>
                <w:sz w:val="17"/>
                <w:szCs w:val="17"/>
              </w:rPr>
              <w:t>0</w:t>
            </w:r>
          </w:p>
        </w:tc>
      </w:tr>
      <w:tr w:rsidR="00357C9F" w:rsidRPr="00ED2A8F" w:rsidTr="00357C9F">
        <w:trPr>
          <w:jc w:val="center"/>
        </w:trPr>
        <w:tc>
          <w:tcPr>
            <w:tcW w:w="1360" w:type="dxa"/>
            <w:shd w:val="clear" w:color="auto" w:fill="D9D9D9" w:themeFill="background1" w:themeFillShade="D9"/>
            <w:vAlign w:val="center"/>
          </w:tcPr>
          <w:p w:rsidR="00673482" w:rsidRPr="00ED2A8F" w:rsidRDefault="00673482" w:rsidP="00FD2C30">
            <w:pPr>
              <w:jc w:val="center"/>
              <w:rPr>
                <w:color w:val="000000"/>
                <w:sz w:val="17"/>
                <w:szCs w:val="17"/>
              </w:rPr>
            </w:pPr>
            <w:r w:rsidRPr="00ED2A8F">
              <w:rPr>
                <w:b/>
                <w:bCs/>
                <w:color w:val="000000"/>
                <w:sz w:val="17"/>
                <w:szCs w:val="17"/>
              </w:rPr>
              <w:t>Total</w:t>
            </w:r>
          </w:p>
        </w:tc>
        <w:tc>
          <w:tcPr>
            <w:tcW w:w="1230" w:type="dxa"/>
            <w:shd w:val="clear" w:color="auto" w:fill="D9D9D9" w:themeFill="background1" w:themeFillShade="D9"/>
            <w:vAlign w:val="center"/>
          </w:tcPr>
          <w:p w:rsidR="00673482" w:rsidRPr="00ED2A8F" w:rsidRDefault="00673482" w:rsidP="00FD2C30">
            <w:pPr>
              <w:jc w:val="center"/>
              <w:rPr>
                <w:color w:val="000000"/>
                <w:sz w:val="17"/>
                <w:szCs w:val="17"/>
              </w:rPr>
            </w:pPr>
          </w:p>
        </w:tc>
        <w:tc>
          <w:tcPr>
            <w:tcW w:w="1129" w:type="dxa"/>
            <w:shd w:val="clear" w:color="auto" w:fill="D9D9D9" w:themeFill="background1" w:themeFillShade="D9"/>
            <w:vAlign w:val="center"/>
          </w:tcPr>
          <w:p w:rsidR="00673482" w:rsidRPr="00ED2A8F" w:rsidRDefault="00673482" w:rsidP="00FD2C30">
            <w:pPr>
              <w:jc w:val="center"/>
              <w:rPr>
                <w:color w:val="000000"/>
                <w:sz w:val="17"/>
                <w:szCs w:val="17"/>
              </w:rPr>
            </w:pPr>
          </w:p>
        </w:tc>
        <w:tc>
          <w:tcPr>
            <w:tcW w:w="956" w:type="dxa"/>
            <w:shd w:val="clear" w:color="auto" w:fill="D9D9D9" w:themeFill="background1" w:themeFillShade="D9"/>
            <w:vAlign w:val="center"/>
          </w:tcPr>
          <w:p w:rsidR="00673482" w:rsidRPr="00ED2A8F" w:rsidRDefault="00673482" w:rsidP="00FD2C30">
            <w:pPr>
              <w:jc w:val="center"/>
              <w:rPr>
                <w:color w:val="000000"/>
                <w:sz w:val="17"/>
                <w:szCs w:val="17"/>
              </w:rPr>
            </w:pPr>
          </w:p>
        </w:tc>
        <w:tc>
          <w:tcPr>
            <w:tcW w:w="1065" w:type="dxa"/>
            <w:shd w:val="clear" w:color="auto" w:fill="D9D9D9" w:themeFill="background1" w:themeFillShade="D9"/>
            <w:vAlign w:val="center"/>
          </w:tcPr>
          <w:p w:rsidR="00673482" w:rsidRPr="00ED2A8F" w:rsidRDefault="00673482" w:rsidP="00FD2C30">
            <w:pPr>
              <w:jc w:val="center"/>
              <w:rPr>
                <w:b/>
                <w:bCs/>
                <w:color w:val="000000"/>
                <w:sz w:val="17"/>
                <w:szCs w:val="17"/>
              </w:rPr>
            </w:pPr>
          </w:p>
        </w:tc>
        <w:tc>
          <w:tcPr>
            <w:tcW w:w="1065" w:type="dxa"/>
            <w:shd w:val="clear" w:color="auto" w:fill="D9D9D9" w:themeFill="background1" w:themeFillShade="D9"/>
            <w:vAlign w:val="center"/>
          </w:tcPr>
          <w:p w:rsidR="00673482" w:rsidRPr="00ED2A8F" w:rsidRDefault="00673482" w:rsidP="00FD2C30">
            <w:pPr>
              <w:jc w:val="center"/>
              <w:rPr>
                <w:b/>
                <w:bCs/>
                <w:color w:val="000000"/>
                <w:sz w:val="17"/>
                <w:szCs w:val="17"/>
              </w:rPr>
            </w:pPr>
          </w:p>
        </w:tc>
        <w:tc>
          <w:tcPr>
            <w:tcW w:w="1065" w:type="dxa"/>
            <w:shd w:val="clear" w:color="auto" w:fill="D9D9D9" w:themeFill="background1" w:themeFillShade="D9"/>
            <w:vAlign w:val="center"/>
          </w:tcPr>
          <w:p w:rsidR="00673482" w:rsidRPr="00ED2A8F" w:rsidRDefault="00673482" w:rsidP="00FD2C30">
            <w:pPr>
              <w:jc w:val="center"/>
              <w:rPr>
                <w:b/>
                <w:bCs/>
                <w:color w:val="000000"/>
                <w:sz w:val="17"/>
                <w:szCs w:val="17"/>
              </w:rPr>
            </w:pPr>
          </w:p>
        </w:tc>
        <w:tc>
          <w:tcPr>
            <w:tcW w:w="1129" w:type="dxa"/>
            <w:shd w:val="clear" w:color="auto" w:fill="D9D9D9" w:themeFill="background1" w:themeFillShade="D9"/>
            <w:vAlign w:val="center"/>
          </w:tcPr>
          <w:p w:rsidR="00673482" w:rsidRPr="00ED2A8F" w:rsidRDefault="00673482" w:rsidP="00FD2C30">
            <w:pPr>
              <w:jc w:val="center"/>
              <w:rPr>
                <w:b/>
                <w:bCs/>
                <w:color w:val="000000"/>
                <w:sz w:val="17"/>
                <w:szCs w:val="17"/>
              </w:rPr>
            </w:pPr>
            <w:r w:rsidRPr="00ED2A8F">
              <w:rPr>
                <w:b/>
                <w:bCs/>
                <w:color w:val="000000"/>
                <w:sz w:val="17"/>
                <w:szCs w:val="17"/>
              </w:rPr>
              <w:t>$</w:t>
            </w:r>
            <w:r w:rsidR="00133C29" w:rsidRPr="00133C29">
              <w:rPr>
                <w:b/>
                <w:bCs/>
                <w:color w:val="000000"/>
                <w:sz w:val="17"/>
                <w:szCs w:val="17"/>
              </w:rPr>
              <w:t>22,791,280</w:t>
            </w:r>
          </w:p>
        </w:tc>
        <w:tc>
          <w:tcPr>
            <w:tcW w:w="1229" w:type="dxa"/>
            <w:shd w:val="clear" w:color="auto" w:fill="D9D9D9" w:themeFill="background1" w:themeFillShade="D9"/>
          </w:tcPr>
          <w:p w:rsidR="00673482" w:rsidRPr="00ED2A8F" w:rsidRDefault="00673482" w:rsidP="00FD2C30">
            <w:pPr>
              <w:jc w:val="center"/>
              <w:rPr>
                <w:b/>
                <w:bCs/>
                <w:color w:val="000000"/>
                <w:sz w:val="17"/>
                <w:szCs w:val="17"/>
              </w:rPr>
            </w:pPr>
          </w:p>
        </w:tc>
      </w:tr>
    </w:tbl>
    <w:p w:rsidR="00673482" w:rsidRPr="005C363F" w:rsidRDefault="00673482"/>
    <w:p w:rsidR="00A002DA" w:rsidRPr="00972F90" w:rsidRDefault="00A002DA">
      <w:pPr>
        <w:keepNext/>
        <w:ind w:firstLine="720"/>
        <w:rPr>
          <w:b/>
        </w:rPr>
      </w:pPr>
      <w:r w:rsidRPr="005C363F">
        <w:rPr>
          <w:b/>
        </w:rPr>
        <w:lastRenderedPageBreak/>
        <w:t>14.</w:t>
      </w:r>
      <w:r w:rsidRPr="005C363F">
        <w:rPr>
          <w:b/>
        </w:rPr>
        <w:tab/>
      </w:r>
      <w:r w:rsidRPr="00972F90">
        <w:rPr>
          <w:b/>
        </w:rPr>
        <w:t>Cost to Federal Government</w:t>
      </w:r>
    </w:p>
    <w:p w:rsidR="00A002DA" w:rsidRPr="005C363F" w:rsidRDefault="00A002DA">
      <w:pPr>
        <w:keepNext/>
      </w:pPr>
    </w:p>
    <w:p w:rsidR="00A002DA" w:rsidRPr="005C363F" w:rsidRDefault="00A002DA">
      <w:pPr>
        <w:pStyle w:val="BodyText"/>
        <w:rPr>
          <w:rFonts w:ascii="Times New Roman" w:hAnsi="Times New Roman"/>
          <w:szCs w:val="24"/>
        </w:rPr>
      </w:pPr>
      <w:r w:rsidRPr="005C363F">
        <w:rPr>
          <w:rFonts w:ascii="Times New Roman" w:hAnsi="Times New Roman"/>
          <w:szCs w:val="24"/>
        </w:rPr>
        <w:tab/>
      </w:r>
      <w:r w:rsidR="00972F90">
        <w:rPr>
          <w:rFonts w:ascii="Times New Roman" w:hAnsi="Times New Roman"/>
          <w:szCs w:val="24"/>
        </w:rPr>
        <w:t>The federal government does not incur a cost for this collection of information since it relates to a recordkeeping burden for the respondents.</w:t>
      </w:r>
      <w:r w:rsidR="00766083" w:rsidRPr="005C363F">
        <w:rPr>
          <w:rFonts w:ascii="Times New Roman" w:hAnsi="Times New Roman"/>
          <w:szCs w:val="24"/>
        </w:rPr>
        <w:t xml:space="preserve">   </w:t>
      </w:r>
    </w:p>
    <w:p w:rsidR="00A002DA" w:rsidRPr="005C363F" w:rsidRDefault="00A002DA"/>
    <w:p w:rsidR="006E33AB" w:rsidRDefault="00A002DA" w:rsidP="006E33AB">
      <w:pPr>
        <w:keepNext/>
        <w:ind w:firstLine="720"/>
        <w:rPr>
          <w:b/>
        </w:rPr>
      </w:pPr>
      <w:r w:rsidRPr="005C363F">
        <w:rPr>
          <w:b/>
        </w:rPr>
        <w:t>15.</w:t>
      </w:r>
      <w:r w:rsidRPr="005C363F">
        <w:rPr>
          <w:b/>
        </w:rPr>
        <w:tab/>
      </w:r>
      <w:r w:rsidRPr="00972F90">
        <w:rPr>
          <w:b/>
        </w:rPr>
        <w:t>Changes in Burden</w:t>
      </w:r>
    </w:p>
    <w:p w:rsidR="006E33AB" w:rsidRPr="006E33AB" w:rsidRDefault="006E33AB" w:rsidP="006E33AB">
      <w:pPr>
        <w:keepNext/>
        <w:ind w:firstLine="720"/>
        <w:rPr>
          <w:b/>
        </w:rPr>
      </w:pPr>
    </w:p>
    <w:p w:rsidR="006E33AB" w:rsidRPr="00205696" w:rsidRDefault="006E33AB" w:rsidP="006E33AB">
      <w:pPr>
        <w:spacing w:after="240"/>
        <w:ind w:firstLine="720"/>
        <w:rPr>
          <w:bCs/>
        </w:rPr>
      </w:pPr>
      <w:r w:rsidRPr="00205696">
        <w:rPr>
          <w:bCs/>
        </w:rPr>
        <w:t xml:space="preserve">The </w:t>
      </w:r>
      <w:r w:rsidR="00F737E3" w:rsidRPr="00205696">
        <w:rPr>
          <w:bCs/>
        </w:rPr>
        <w:t xml:space="preserve">annual </w:t>
      </w:r>
      <w:r w:rsidR="00D027FA" w:rsidRPr="00205696">
        <w:rPr>
          <w:bCs/>
        </w:rPr>
        <w:t xml:space="preserve">ongoing </w:t>
      </w:r>
      <w:r w:rsidRPr="00205696">
        <w:rPr>
          <w:bCs/>
        </w:rPr>
        <w:t xml:space="preserve">hour burden of </w:t>
      </w:r>
      <w:r w:rsidR="00327CF2" w:rsidRPr="004A0CAE">
        <w:t xml:space="preserve">1,157,835 </w:t>
      </w:r>
      <w:r w:rsidRPr="00205696">
        <w:t xml:space="preserve">hours </w:t>
      </w:r>
      <w:r w:rsidR="00C7103A">
        <w:rPr>
          <w:bCs/>
        </w:rPr>
        <w:t>reflects a</w:t>
      </w:r>
      <w:r w:rsidRPr="00205696">
        <w:rPr>
          <w:bCs/>
        </w:rPr>
        <w:t xml:space="preserve"> </w:t>
      </w:r>
      <w:r w:rsidR="00327CF2">
        <w:rPr>
          <w:bCs/>
        </w:rPr>
        <w:t>38,566</w:t>
      </w:r>
      <w:r w:rsidRPr="00205696">
        <w:rPr>
          <w:bCs/>
        </w:rPr>
        <w:t xml:space="preserve"> hour decrease over the current OMB inventory of </w:t>
      </w:r>
      <w:r>
        <w:t>1,196,</w:t>
      </w:r>
      <w:r w:rsidR="0084127A">
        <w:t>401</w:t>
      </w:r>
      <w:r w:rsidRPr="00205696">
        <w:t xml:space="preserve"> </w:t>
      </w:r>
      <w:r w:rsidRPr="00205696">
        <w:rPr>
          <w:bCs/>
        </w:rPr>
        <w:t xml:space="preserve">hours.  This change incorporates a decrease of </w:t>
      </w:r>
      <w:r w:rsidR="00327CF2">
        <w:rPr>
          <w:bCs/>
        </w:rPr>
        <w:t>269</w:t>
      </w:r>
      <w:r w:rsidRPr="00205696">
        <w:rPr>
          <w:bCs/>
        </w:rPr>
        <w:t xml:space="preserve"> in the number of respondents, from </w:t>
      </w:r>
      <w:r>
        <w:rPr>
          <w:bCs/>
        </w:rPr>
        <w:t>4,</w:t>
      </w:r>
      <w:r w:rsidR="006E1BF0">
        <w:rPr>
          <w:bCs/>
        </w:rPr>
        <w:t>814</w:t>
      </w:r>
      <w:r w:rsidR="00C7103A">
        <w:rPr>
          <w:bCs/>
        </w:rPr>
        <w:t xml:space="preserve"> to 4,</w:t>
      </w:r>
      <w:r w:rsidR="00327CF2">
        <w:rPr>
          <w:bCs/>
        </w:rPr>
        <w:t>545</w:t>
      </w:r>
      <w:r w:rsidRPr="00205696">
        <w:rPr>
          <w:bCs/>
        </w:rPr>
        <w:t xml:space="preserve">, an increase in the number of estimated internal broker-dealer systems from 130 to 150, </w:t>
      </w:r>
      <w:r w:rsidRPr="00205696">
        <w:t xml:space="preserve">and an additional </w:t>
      </w:r>
      <w:r>
        <w:t>2,955</w:t>
      </w:r>
      <w:r w:rsidRPr="00205696">
        <w:t xml:space="preserve"> hours</w:t>
      </w:r>
      <w:r>
        <w:rPr>
          <w:rStyle w:val="FootnoteReference"/>
        </w:rPr>
        <w:footnoteReference w:id="69"/>
      </w:r>
      <w:r w:rsidRPr="00205696">
        <w:t xml:space="preserve"> attributable to the </w:t>
      </w:r>
      <w:r w:rsidR="006E1BF0">
        <w:t xml:space="preserve">proposed </w:t>
      </w:r>
      <w:r w:rsidRPr="00205696">
        <w:t>amendments to Rule 17a-</w:t>
      </w:r>
      <w:r>
        <w:t>4</w:t>
      </w:r>
      <w:r w:rsidRPr="00205696">
        <w:t xml:space="preserve"> described in the SBS Recordkeeping Release</w:t>
      </w:r>
      <w:r w:rsidRPr="00205696">
        <w:rPr>
          <w:bCs/>
        </w:rPr>
        <w:t xml:space="preserve">. </w:t>
      </w:r>
    </w:p>
    <w:p w:rsidR="00685938" w:rsidRPr="00C25DB0" w:rsidRDefault="006E33AB" w:rsidP="00C25DB0">
      <w:pPr>
        <w:spacing w:after="240"/>
        <w:ind w:firstLine="720"/>
      </w:pPr>
      <w:r w:rsidRPr="00205696">
        <w:rPr>
          <w:bCs/>
        </w:rPr>
        <w:t xml:space="preserve">The </w:t>
      </w:r>
      <w:r w:rsidR="00D027FA">
        <w:rPr>
          <w:bCs/>
        </w:rPr>
        <w:t xml:space="preserve">ongoing </w:t>
      </w:r>
      <w:r w:rsidRPr="00205696">
        <w:rPr>
          <w:bCs/>
        </w:rPr>
        <w:t xml:space="preserve">annual cost burden of </w:t>
      </w:r>
      <w:r w:rsidR="00C7103A">
        <w:rPr>
          <w:rFonts w:ascii="CG Times" w:hAnsi="CG Times"/>
          <w:spacing w:val="-3"/>
        </w:rPr>
        <w:t>$</w:t>
      </w:r>
      <w:r w:rsidR="00724420" w:rsidRPr="00724420">
        <w:rPr>
          <w:rFonts w:ascii="CG Times" w:hAnsi="CG Times"/>
          <w:spacing w:val="-3"/>
        </w:rPr>
        <w:t>22,791,280</w:t>
      </w:r>
      <w:r w:rsidR="00724420">
        <w:rPr>
          <w:rFonts w:ascii="CG Times" w:hAnsi="CG Times"/>
          <w:spacing w:val="-3"/>
        </w:rPr>
        <w:t xml:space="preserve"> </w:t>
      </w:r>
      <w:r w:rsidRPr="00205696">
        <w:rPr>
          <w:bCs/>
        </w:rPr>
        <w:t xml:space="preserve">is </w:t>
      </w:r>
      <w:r w:rsidRPr="00205696">
        <w:t>$</w:t>
      </w:r>
      <w:r w:rsidR="00724420">
        <w:t>753,720</w:t>
      </w:r>
      <w:r w:rsidRPr="00205696">
        <w:t xml:space="preserve"> </w:t>
      </w:r>
      <w:r w:rsidRPr="00205696">
        <w:rPr>
          <w:bCs/>
        </w:rPr>
        <w:t>lower than the current OMB inventory of $</w:t>
      </w:r>
      <w:r>
        <w:rPr>
          <w:bCs/>
        </w:rPr>
        <w:t>23,545,000</w:t>
      </w:r>
      <w:r w:rsidRPr="00205696">
        <w:rPr>
          <w:bCs/>
        </w:rPr>
        <w:t>.  This decreased cost est</w:t>
      </w:r>
      <w:r w:rsidR="00C7103A">
        <w:rPr>
          <w:bCs/>
        </w:rPr>
        <w:t xml:space="preserve">imate reflects a decrease of </w:t>
      </w:r>
      <w:r w:rsidR="00724420">
        <w:rPr>
          <w:bCs/>
        </w:rPr>
        <w:t>269</w:t>
      </w:r>
      <w:r w:rsidRPr="00205696">
        <w:rPr>
          <w:bCs/>
        </w:rPr>
        <w:t xml:space="preserve"> in the number of respondents</w:t>
      </w:r>
      <w:r>
        <w:rPr>
          <w:bCs/>
        </w:rPr>
        <w:t>, tempered by an additional $66,280</w:t>
      </w:r>
      <w:r w:rsidR="00C25DB0">
        <w:rPr>
          <w:rStyle w:val="FootnoteReference"/>
          <w:bCs/>
        </w:rPr>
        <w:footnoteReference w:id="70"/>
      </w:r>
      <w:r>
        <w:rPr>
          <w:bCs/>
        </w:rPr>
        <w:t xml:space="preserve"> </w:t>
      </w:r>
      <w:r w:rsidR="00C25DB0" w:rsidRPr="00205696">
        <w:t>attributable to the amendments to Rule 17a-</w:t>
      </w:r>
      <w:r w:rsidR="00C25DB0">
        <w:t>4</w:t>
      </w:r>
      <w:r w:rsidR="00C25DB0" w:rsidRPr="00205696">
        <w:t xml:space="preserve"> described in the SBS Recordkeeping Release</w:t>
      </w:r>
      <w:r w:rsidR="00C25DB0">
        <w:t>.</w:t>
      </w:r>
    </w:p>
    <w:p w:rsidR="00A002DA" w:rsidRPr="005C363F" w:rsidRDefault="00A002DA">
      <w:pPr>
        <w:keepNext/>
        <w:ind w:firstLine="720"/>
        <w:rPr>
          <w:b/>
        </w:rPr>
      </w:pPr>
      <w:r w:rsidRPr="005C363F">
        <w:rPr>
          <w:b/>
        </w:rPr>
        <w:t>16.</w:t>
      </w:r>
      <w:r w:rsidRPr="005C363F">
        <w:rPr>
          <w:b/>
        </w:rPr>
        <w:tab/>
      </w:r>
      <w:r w:rsidRPr="00972F90">
        <w:rPr>
          <w:b/>
        </w:rPr>
        <w:t>Information Collection Planned for Statistical Purposes</w:t>
      </w:r>
    </w:p>
    <w:p w:rsidR="00A002DA" w:rsidRPr="005C363F" w:rsidRDefault="00A002DA">
      <w:pPr>
        <w:keepNext/>
      </w:pPr>
    </w:p>
    <w:p w:rsidR="005B3914" w:rsidRDefault="005B3914">
      <w:pPr>
        <w:keepNext/>
        <w:ind w:firstLine="720"/>
      </w:pPr>
      <w:r w:rsidRPr="005B3914">
        <w:t>Not applicable.  The information collection is not used for statistical purposes.</w:t>
      </w:r>
    </w:p>
    <w:p w:rsidR="005B3914" w:rsidRDefault="005B3914">
      <w:pPr>
        <w:keepNext/>
        <w:ind w:firstLine="720"/>
      </w:pPr>
    </w:p>
    <w:p w:rsidR="00A002DA" w:rsidRPr="005C363F" w:rsidRDefault="00A002DA">
      <w:pPr>
        <w:keepNext/>
        <w:ind w:firstLine="720"/>
        <w:rPr>
          <w:b/>
        </w:rPr>
      </w:pPr>
      <w:r w:rsidRPr="005C363F">
        <w:rPr>
          <w:b/>
        </w:rPr>
        <w:t>17.</w:t>
      </w:r>
      <w:r w:rsidRPr="005C363F">
        <w:rPr>
          <w:b/>
        </w:rPr>
        <w:tab/>
      </w:r>
      <w:r w:rsidR="00713D47" w:rsidRPr="00713D47">
        <w:rPr>
          <w:b/>
        </w:rPr>
        <w:t>OMB Expiration Date Display Approval</w:t>
      </w:r>
    </w:p>
    <w:p w:rsidR="00A002DA" w:rsidRPr="005C363F" w:rsidRDefault="00A002DA">
      <w:pPr>
        <w:pStyle w:val="Header"/>
        <w:keepNext/>
        <w:tabs>
          <w:tab w:val="clear" w:pos="4320"/>
          <w:tab w:val="clear" w:pos="8640"/>
        </w:tabs>
      </w:pPr>
    </w:p>
    <w:p w:rsidR="005B3914" w:rsidRPr="005B3914" w:rsidRDefault="005B3914" w:rsidP="005B3914">
      <w:r w:rsidRPr="005B3914">
        <w:tab/>
      </w:r>
      <w:r w:rsidR="00713D47" w:rsidRPr="00713D47">
        <w:t>The Commission is not seeking approval to not display the OMB approval expiration date.</w:t>
      </w:r>
    </w:p>
    <w:p w:rsidR="00A002DA" w:rsidRPr="005C363F" w:rsidRDefault="00A002DA"/>
    <w:p w:rsidR="00A002DA" w:rsidRPr="005C363F" w:rsidRDefault="00A002DA">
      <w:pPr>
        <w:keepNext/>
        <w:ind w:firstLine="720"/>
        <w:rPr>
          <w:b/>
        </w:rPr>
      </w:pPr>
      <w:r w:rsidRPr="005C363F">
        <w:rPr>
          <w:b/>
        </w:rPr>
        <w:t>18.</w:t>
      </w:r>
      <w:r w:rsidRPr="005C363F">
        <w:rPr>
          <w:b/>
        </w:rPr>
        <w:tab/>
      </w:r>
      <w:r w:rsidRPr="00972F90">
        <w:rPr>
          <w:b/>
        </w:rPr>
        <w:t>Exceptions to Certification</w:t>
      </w:r>
      <w:r w:rsidR="00972F90">
        <w:rPr>
          <w:b/>
        </w:rPr>
        <w:t xml:space="preserve"> for Paperwork Reduction Act Submissions</w:t>
      </w:r>
    </w:p>
    <w:p w:rsidR="00A002DA" w:rsidRPr="005C363F" w:rsidRDefault="00A002DA">
      <w:pPr>
        <w:keepNext/>
      </w:pPr>
    </w:p>
    <w:p w:rsidR="00972F90" w:rsidRPr="00046A72" w:rsidRDefault="00E50F17" w:rsidP="00972F90">
      <w:pPr>
        <w:spacing w:after="240"/>
        <w:ind w:firstLine="720"/>
      </w:pPr>
      <w:r w:rsidRPr="005C363F">
        <w:t xml:space="preserve"> </w:t>
      </w:r>
      <w:r w:rsidR="00972F90">
        <w:t>This collection complies with the requirements in 5 CFR 1320.9.</w:t>
      </w:r>
    </w:p>
    <w:p w:rsidR="00A002DA" w:rsidRPr="005B3914" w:rsidRDefault="00A002DA">
      <w:pPr>
        <w:keepNext/>
        <w:rPr>
          <w:b/>
          <w:caps/>
        </w:rPr>
      </w:pPr>
      <w:r w:rsidRPr="005C363F">
        <w:rPr>
          <w:b/>
        </w:rPr>
        <w:t>B.</w:t>
      </w:r>
      <w:r w:rsidRPr="005C363F">
        <w:rPr>
          <w:b/>
        </w:rPr>
        <w:tab/>
      </w:r>
      <w:r w:rsidRPr="005B3914">
        <w:rPr>
          <w:b/>
          <w:caps/>
        </w:rPr>
        <w:t xml:space="preserve">Collections of Information Employing Statistical </w:t>
      </w:r>
    </w:p>
    <w:p w:rsidR="00A002DA" w:rsidRPr="005B3914" w:rsidRDefault="00A002DA">
      <w:pPr>
        <w:keepNext/>
        <w:ind w:firstLine="720"/>
        <w:rPr>
          <w:b/>
        </w:rPr>
      </w:pPr>
      <w:r w:rsidRPr="005B3914">
        <w:rPr>
          <w:b/>
          <w:caps/>
        </w:rPr>
        <w:t>Methods</w:t>
      </w:r>
    </w:p>
    <w:p w:rsidR="00A002DA" w:rsidRPr="005C363F" w:rsidRDefault="00A002DA">
      <w:pPr>
        <w:keepNext/>
      </w:pPr>
    </w:p>
    <w:p w:rsidR="00A002DA" w:rsidRPr="005C363F" w:rsidRDefault="004C7BE0" w:rsidP="00B953B6">
      <w:pPr>
        <w:spacing w:after="240"/>
        <w:ind w:firstLine="720"/>
      </w:pPr>
      <w:r>
        <w:t>This collection does not involve statistical methods</w:t>
      </w:r>
      <w:r w:rsidRPr="00046A72">
        <w:t>.</w:t>
      </w:r>
      <w:bookmarkStart w:id="0" w:name="_GoBack"/>
      <w:bookmarkEnd w:id="0"/>
    </w:p>
    <w:sectPr w:rsidR="00A002DA" w:rsidRPr="005C363F" w:rsidSect="00B13923">
      <w:headerReference w:type="even" r:id="rId10"/>
      <w:headerReference w:type="default" r:id="rId11"/>
      <w:footerReference w:type="even" r:id="rId12"/>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6A2" w:rsidRDefault="007426A2">
      <w:r>
        <w:separator/>
      </w:r>
    </w:p>
  </w:endnote>
  <w:endnote w:type="continuationSeparator" w:id="0">
    <w:p w:rsidR="007426A2" w:rsidRDefault="0074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6A2" w:rsidRDefault="007426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26A2" w:rsidRDefault="007426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6A2" w:rsidRDefault="007426A2">
    <w:pPr>
      <w:pStyle w:val="Footer"/>
      <w:jc w:val="center"/>
    </w:pPr>
    <w:r>
      <w:fldChar w:fldCharType="begin"/>
    </w:r>
    <w:r>
      <w:instrText xml:space="preserve"> PAGE   \* MERGEFORMAT </w:instrText>
    </w:r>
    <w:r>
      <w:fldChar w:fldCharType="separate"/>
    </w:r>
    <w:r w:rsidR="00CC16BB">
      <w:rPr>
        <w:noProof/>
      </w:rPr>
      <w:t>14</w:t>
    </w:r>
    <w:r>
      <w:rPr>
        <w:noProof/>
      </w:rPr>
      <w:fldChar w:fldCharType="end"/>
    </w:r>
  </w:p>
  <w:p w:rsidR="007426A2" w:rsidRDefault="007426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6A2" w:rsidRDefault="007426A2">
      <w:r>
        <w:separator/>
      </w:r>
    </w:p>
  </w:footnote>
  <w:footnote w:type="continuationSeparator" w:id="0">
    <w:p w:rsidR="007426A2" w:rsidRDefault="007426A2">
      <w:r>
        <w:continuationSeparator/>
      </w:r>
    </w:p>
  </w:footnote>
  <w:footnote w:id="1">
    <w:p w:rsidR="007426A2" w:rsidRPr="001679D5" w:rsidRDefault="007426A2" w:rsidP="008D4797">
      <w:pPr>
        <w:pStyle w:val="FootnoteText"/>
        <w:spacing w:after="120"/>
        <w:ind w:left="720" w:hanging="720"/>
      </w:pPr>
      <w:r w:rsidRPr="001679D5">
        <w:rPr>
          <w:vertAlign w:val="superscript"/>
        </w:rPr>
        <w:footnoteRef/>
      </w:r>
      <w:r w:rsidRPr="001679D5">
        <w:tab/>
      </w:r>
      <w:r w:rsidRPr="001679D5">
        <w:rPr>
          <w:i/>
        </w:rPr>
        <w:t xml:space="preserve">See </w:t>
      </w:r>
      <w:r w:rsidRPr="001679D5">
        <w:t xml:space="preserve">15 U.S.C. </w:t>
      </w:r>
      <w:proofErr w:type="gramStart"/>
      <w:r w:rsidRPr="001679D5">
        <w:t>78q(</w:t>
      </w:r>
      <w:proofErr w:type="gramEnd"/>
      <w:r w:rsidRPr="001679D5">
        <w:t>a).</w:t>
      </w:r>
    </w:p>
  </w:footnote>
  <w:footnote w:id="2">
    <w:p w:rsidR="007426A2" w:rsidRPr="001679D5" w:rsidRDefault="007426A2" w:rsidP="008D4797">
      <w:pPr>
        <w:pStyle w:val="FootnoteText"/>
        <w:spacing w:after="120"/>
        <w:ind w:left="720" w:hanging="720"/>
      </w:pPr>
      <w:r w:rsidRPr="001679D5">
        <w:rPr>
          <w:vertAlign w:val="superscript"/>
        </w:rPr>
        <w:footnoteRef/>
      </w:r>
      <w:r w:rsidRPr="001679D5">
        <w:tab/>
      </w:r>
      <w:r w:rsidRPr="001679D5">
        <w:rPr>
          <w:i/>
        </w:rPr>
        <w:t xml:space="preserve">See </w:t>
      </w:r>
      <w:r w:rsidRPr="001679D5">
        <w:t xml:space="preserve">15 U.S.C. </w:t>
      </w:r>
      <w:proofErr w:type="gramStart"/>
      <w:r w:rsidRPr="001679D5">
        <w:t>78w(</w:t>
      </w:r>
      <w:proofErr w:type="gramEnd"/>
      <w:r w:rsidRPr="001679D5">
        <w:t>a).</w:t>
      </w:r>
    </w:p>
  </w:footnote>
  <w:footnote w:id="3">
    <w:p w:rsidR="007426A2" w:rsidRPr="001679D5" w:rsidRDefault="007426A2" w:rsidP="008D4797">
      <w:pPr>
        <w:pStyle w:val="FootnoteText"/>
        <w:spacing w:after="120"/>
        <w:ind w:left="720" w:hanging="720"/>
      </w:pPr>
      <w:r w:rsidRPr="001679D5">
        <w:rPr>
          <w:vertAlign w:val="superscript"/>
        </w:rPr>
        <w:footnoteRef/>
      </w:r>
      <w:r w:rsidRPr="001679D5">
        <w:tab/>
      </w:r>
      <w:r w:rsidRPr="001679D5">
        <w:rPr>
          <w:i/>
        </w:rPr>
        <w:t xml:space="preserve">See </w:t>
      </w:r>
      <w:proofErr w:type="gramStart"/>
      <w:r w:rsidRPr="001679D5">
        <w:t>17 CFR 240.17a-3</w:t>
      </w:r>
      <w:proofErr w:type="gramEnd"/>
      <w:r w:rsidRPr="001679D5">
        <w:t>; 17 CFR 240.17a-4.</w:t>
      </w:r>
    </w:p>
  </w:footnote>
  <w:footnote w:id="4">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 Recordkeeping and Reporting Requirements for Security-Based Swap Dealers, Major Security-Based Swap Participants, and Broker-Dealers; Capital Rule for Certain Security-Based Swap Dealers; Proposed Rules</w:t>
      </w:r>
      <w:r w:rsidRPr="001679D5">
        <w:t>, Exchange Act Release No. 71</w:t>
      </w:r>
      <w:r w:rsidR="008879AE">
        <w:t>958 (Apr. 17, 2014), 79 FR 25193</w:t>
      </w:r>
      <w:r w:rsidRPr="001679D5">
        <w:t xml:space="preserve"> (May 2, 2014).  </w:t>
      </w:r>
    </w:p>
  </w:footnote>
  <w:footnote w:id="5">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 xml:space="preserve">Section 764 of the Dodd-Frank Wall Street Reform and Consumer Protection Act (the “Dodd-Frank Act”) added </w:t>
      </w:r>
      <w:r w:rsidR="008D4797">
        <w:t>s</w:t>
      </w:r>
      <w:r w:rsidRPr="001679D5">
        <w:t xml:space="preserve">ection 15F to the Exchange Act.  </w:t>
      </w:r>
      <w:r w:rsidRPr="001679D5">
        <w:rPr>
          <w:i/>
        </w:rPr>
        <w:t xml:space="preserve">See </w:t>
      </w:r>
      <w:r w:rsidRPr="001679D5">
        <w:t xml:space="preserve">Public Law 111-203, § 764; 15 U.S.C. 78o-10.  Section </w:t>
      </w:r>
      <w:proofErr w:type="gramStart"/>
      <w:r w:rsidRPr="001679D5">
        <w:t>15F(</w:t>
      </w:r>
      <w:proofErr w:type="gramEnd"/>
      <w:r w:rsidRPr="001679D5">
        <w:t xml:space="preserve">f)(2) provides that the Commission shall adopt rules governing reporting and recordkeeping for SBSDs and MSBSPs.  </w:t>
      </w:r>
      <w:r w:rsidRPr="001679D5">
        <w:rPr>
          <w:i/>
        </w:rPr>
        <w:t>See</w:t>
      </w:r>
      <w:r w:rsidRPr="001679D5">
        <w:t xml:space="preserve"> 15 U.S.C. 78o-10(f</w:t>
      </w:r>
      <w:proofErr w:type="gramStart"/>
      <w:r w:rsidRPr="001679D5">
        <w:t>)(</w:t>
      </w:r>
      <w:proofErr w:type="gramEnd"/>
      <w:r w:rsidRPr="001679D5">
        <w:t>2).</w:t>
      </w:r>
    </w:p>
  </w:footnote>
  <w:footnote w:id="6">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 Recordkeeping and Reporting Requirements for Security-Based Swap Dealers, Major Security-Based Swap Participants, and Broker-Dealers; Capital Rule for Certain Security-Based Swap Dealers; Proposed Rules</w:t>
      </w:r>
      <w:r w:rsidRPr="001679D5">
        <w:t>,</w:t>
      </w:r>
      <w:r w:rsidRPr="001679D5">
        <w:rPr>
          <w:i/>
        </w:rPr>
        <w:t xml:space="preserve"> </w:t>
      </w:r>
      <w:r w:rsidRPr="001679D5">
        <w:t>Exchange Act Release No. 71958 (Apr. 17, 2014), 79 FR 2519</w:t>
      </w:r>
      <w:r w:rsidR="008879AE">
        <w:t>3</w:t>
      </w:r>
      <w:r w:rsidRPr="001679D5">
        <w:t xml:space="preserve"> (May 2, 2014).</w:t>
      </w:r>
    </w:p>
  </w:footnote>
  <w:footnote w:id="7">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w:t>
      </w:r>
      <w:r w:rsidRPr="001679D5">
        <w:t xml:space="preserve"> paragraph (b</w:t>
      </w:r>
      <w:proofErr w:type="gramStart"/>
      <w:r w:rsidRPr="001679D5">
        <w:t>)(</w:t>
      </w:r>
      <w:proofErr w:type="gramEnd"/>
      <w:r w:rsidRPr="001679D5">
        <w:t xml:space="preserve">8) of Rule 17a-4, as proposed to be amended.  </w:t>
      </w:r>
    </w:p>
  </w:footnote>
  <w:footnote w:id="8">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w:t>
      </w:r>
      <w:r w:rsidRPr="001679D5">
        <w:t xml:space="preserve"> paragraph (b</w:t>
      </w:r>
      <w:proofErr w:type="gramStart"/>
      <w:r w:rsidRPr="001679D5">
        <w:t>)(</w:t>
      </w:r>
      <w:proofErr w:type="gramEnd"/>
      <w:r w:rsidRPr="001679D5">
        <w:t xml:space="preserve">8)(xiv) of Rule 17a-4, as proposed to be amended.  </w:t>
      </w:r>
    </w:p>
  </w:footnote>
  <w:footnote w:id="9">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w:t>
      </w:r>
      <w:r w:rsidRPr="001679D5">
        <w:t xml:space="preserve"> paragraph (d) of Rule 17a-4, as proposed to be amended.  </w:t>
      </w:r>
    </w:p>
  </w:footnote>
  <w:footnote w:id="10">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w:t>
      </w:r>
      <w:r w:rsidRPr="001679D5">
        <w:t xml:space="preserve"> paragraph (b</w:t>
      </w:r>
      <w:proofErr w:type="gramStart"/>
      <w:r w:rsidRPr="001679D5">
        <w:t>)(</w:t>
      </w:r>
      <w:proofErr w:type="gramEnd"/>
      <w:r w:rsidRPr="001679D5">
        <w:t>4) of Rule 17a-4, as proposed to be amended.</w:t>
      </w:r>
    </w:p>
  </w:footnote>
  <w:footnote w:id="11">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w:t>
      </w:r>
      <w:r w:rsidRPr="001679D5">
        <w:t xml:space="preserve"> Rule 17a-4, as proposed to be amended (paragraph (b</w:t>
      </w:r>
      <w:proofErr w:type="gramStart"/>
      <w:r w:rsidRPr="001679D5">
        <w:t>)(</w:t>
      </w:r>
      <w:proofErr w:type="gramEnd"/>
      <w:r w:rsidRPr="001679D5">
        <w:t>8)(v) through (viii) (identifying information about swaps); paragraph (b)(8)(xvi) (risk margin calculation); and paragraph (b)(14) (Regulation SBSR information)).</w:t>
      </w:r>
    </w:p>
  </w:footnote>
  <w:footnote w:id="12">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w:t>
      </w:r>
      <w:r w:rsidRPr="001679D5">
        <w:t xml:space="preserve"> Rule 17a-4, as proposed to be amended (paragraph (b)(1), cross-referencing paragraph (a)(25) of Rule 17a-3, as proposed to be amended (proposed Rule 18a-3 calculations); paragraph (b)(1), cross-referencing paragraph (a)(28) of Rule 17a-3, as proposed to be amended (unverified transactions); paragraph (b)(1), cross-referencing paragraph (a)(30) of Rule 17a-3, as proposed to be amended (compliance with external business conduct standards); paragraph (b)(15) (documents and notices related to the external business conduct standards); and paragraph (b)(16) (special entity documents)).</w:t>
      </w:r>
    </w:p>
  </w:footnote>
  <w:footnote w:id="13">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w:t>
      </w:r>
      <w:r w:rsidRPr="001679D5">
        <w:t xml:space="preserve"> paragraph (b)(1) of Rule 17a-4, as proposed to be amended (cross-referencing paragraph (a)(26) of Rule 17a-3, as proposed to be amended (compliance with proposed Rule 18a-4 possession or control requirements); paragraph (a)(27) of Rule 17a-3, as proposed to be amended (proposed Rule 18a</w:t>
      </w:r>
      <w:r w:rsidRPr="001679D5">
        <w:noBreakHyphen/>
        <w:t>4 reserve account computations); and paragraph (a)(29) of Rule 17a-3, as proposed to be amended (political contributions)).</w:t>
      </w:r>
    </w:p>
  </w:footnote>
  <w:footnote w:id="14">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w:t>
      </w:r>
      <w:r w:rsidRPr="001679D5">
        <w:t xml:space="preserve"> paragraph (b</w:t>
      </w:r>
      <w:proofErr w:type="gramStart"/>
      <w:r w:rsidRPr="001679D5">
        <w:t>)(</w:t>
      </w:r>
      <w:proofErr w:type="gramEnd"/>
      <w:r w:rsidRPr="001679D5">
        <w:t>1) of Rule 17a-4, as proposed to be amended (cross-referencing paragraph (a)(24) of Rule 17a-3, as proposed to be amended).</w:t>
      </w:r>
    </w:p>
  </w:footnote>
  <w:footnote w:id="15">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The burden estimate for paragraph (b</w:t>
      </w:r>
      <w:proofErr w:type="gramStart"/>
      <w:r w:rsidRPr="001679D5">
        <w:t>)(</w:t>
      </w:r>
      <w:proofErr w:type="gramEnd"/>
      <w:r w:rsidRPr="001679D5">
        <w:t xml:space="preserve">11) of Rule 17a-4 </w:t>
      </w:r>
      <w:r w:rsidR="00830118">
        <w:t>was</w:t>
      </w:r>
      <w:r w:rsidRPr="001679D5">
        <w:t xml:space="preserve"> in a </w:t>
      </w:r>
      <w:r w:rsidR="00830118">
        <w:t>separate</w:t>
      </w:r>
      <w:r w:rsidRPr="001679D5">
        <w:t xml:space="preserve"> </w:t>
      </w:r>
      <w:r w:rsidR="00830118">
        <w:t xml:space="preserve">information collection </w:t>
      </w:r>
      <w:r w:rsidRPr="001679D5">
        <w:t>(OMB control number 3235-0506) with paragraph (a)(16) of Rule 17a-3.  Paragraph (a</w:t>
      </w:r>
      <w:proofErr w:type="gramStart"/>
      <w:r w:rsidRPr="001679D5">
        <w:t>)(</w:t>
      </w:r>
      <w:proofErr w:type="gramEnd"/>
      <w:r w:rsidRPr="001679D5">
        <w:t xml:space="preserve">16) of Rule 17a-3 </w:t>
      </w:r>
      <w:r w:rsidR="00830118">
        <w:t>is being</w:t>
      </w:r>
      <w:r w:rsidRPr="001679D5">
        <w:t xml:space="preserve"> moved to the </w:t>
      </w:r>
      <w:r w:rsidR="00830118">
        <w:t>information</w:t>
      </w:r>
      <w:r w:rsidRPr="001679D5">
        <w:t xml:space="preserve"> collection for Rule 17a-3.</w:t>
      </w:r>
    </w:p>
  </w:footnote>
  <w:footnote w:id="16">
    <w:p w:rsidR="007426A2" w:rsidRPr="001679D5" w:rsidRDefault="007426A2" w:rsidP="008D4797">
      <w:pPr>
        <w:pStyle w:val="FootnoteText"/>
        <w:tabs>
          <w:tab w:val="left" w:pos="0"/>
        </w:tabs>
        <w:spacing w:after="120"/>
      </w:pPr>
      <w:r w:rsidRPr="001679D5">
        <w:rPr>
          <w:rStyle w:val="FootnoteReference"/>
        </w:rPr>
        <w:footnoteRef/>
      </w:r>
      <w:r w:rsidRPr="001679D5">
        <w:t xml:space="preserve"> </w:t>
      </w:r>
      <w:r w:rsidR="00DE11F0" w:rsidRPr="001679D5">
        <w:tab/>
      </w:r>
      <w:r w:rsidRPr="001679D5">
        <w:rPr>
          <w:i/>
        </w:rPr>
        <w:t xml:space="preserve">See </w:t>
      </w:r>
      <w:r w:rsidRPr="001679D5">
        <w:t>17 CFR 240.17a-4(f</w:t>
      </w:r>
      <w:proofErr w:type="gramStart"/>
      <w:r w:rsidRPr="001679D5">
        <w:t>)(</w:t>
      </w:r>
      <w:proofErr w:type="gramEnd"/>
      <w:r w:rsidRPr="001679D5">
        <w:t>2)(ii)(A).</w:t>
      </w:r>
    </w:p>
  </w:footnote>
  <w:footnote w:id="17">
    <w:p w:rsidR="008879AE" w:rsidRPr="001D786F" w:rsidRDefault="008879AE" w:rsidP="008879AE">
      <w:pPr>
        <w:pStyle w:val="Default"/>
        <w:spacing w:after="120"/>
        <w:ind w:left="720" w:hanging="720"/>
        <w:rPr>
          <w:sz w:val="20"/>
          <w:szCs w:val="20"/>
        </w:rPr>
      </w:pPr>
      <w:r w:rsidRPr="001D786F">
        <w:rPr>
          <w:rStyle w:val="FootnoteReference"/>
          <w:sz w:val="20"/>
          <w:szCs w:val="20"/>
        </w:rPr>
        <w:footnoteRef/>
      </w:r>
      <w:r w:rsidRPr="001D786F">
        <w:rPr>
          <w:sz w:val="20"/>
          <w:szCs w:val="20"/>
        </w:rPr>
        <w:t xml:space="preserve"> </w:t>
      </w:r>
      <w:r w:rsidRPr="001D786F">
        <w:rPr>
          <w:sz w:val="20"/>
          <w:szCs w:val="20"/>
        </w:rPr>
        <w:tab/>
        <w:t xml:space="preserve">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  </w:t>
      </w:r>
    </w:p>
  </w:footnote>
  <w:footnote w:id="18">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 Supporting Statement for the Paperwork Reduction Act New Information Collection Submission for Rule 17a-4</w:t>
      </w:r>
      <w:r w:rsidRPr="001679D5">
        <w:t xml:space="preserve"> (Oct. 12, 2013), </w:t>
      </w:r>
      <w:r w:rsidRPr="001679D5">
        <w:rPr>
          <w:i/>
        </w:rPr>
        <w:t xml:space="preserve">available at </w:t>
      </w:r>
      <w:r w:rsidRPr="001679D5">
        <w:t>http://www.reginfo.gov/public/do/PRAViewDocument?ref_nbr=201311-3235-003 (</w:t>
      </w:r>
      <w:r w:rsidRPr="001679D5">
        <w:rPr>
          <w:spacing w:val="-3"/>
        </w:rPr>
        <w:t>1,196,086 hours / 4,709 broker-dealers as of December 31, 2011 = 254 hours per broker-dealer).</w:t>
      </w:r>
    </w:p>
  </w:footnote>
  <w:footnote w:id="19">
    <w:p w:rsidR="007426A2" w:rsidRPr="001679D5" w:rsidRDefault="007426A2" w:rsidP="008D4797">
      <w:pPr>
        <w:pStyle w:val="FootnoteText"/>
        <w:spacing w:after="120"/>
        <w:ind w:left="720" w:hanging="720"/>
      </w:pPr>
      <w:r w:rsidRPr="001679D5">
        <w:rPr>
          <w:rStyle w:val="FootnoteReference"/>
        </w:rPr>
        <w:footnoteRef/>
      </w:r>
      <w:r w:rsidRPr="001679D5">
        <w:rPr>
          <w:rStyle w:val="FootnoteReference"/>
        </w:rPr>
        <w:t xml:space="preserve"> </w:t>
      </w:r>
      <w:r w:rsidRPr="001679D5">
        <w:tab/>
      </w:r>
      <w:r w:rsidRPr="001679D5">
        <w:rPr>
          <w:spacing w:val="-3"/>
        </w:rPr>
        <w:t>4,</w:t>
      </w:r>
      <w:r w:rsidR="00275F1C">
        <w:rPr>
          <w:spacing w:val="-3"/>
        </w:rPr>
        <w:t>545</w:t>
      </w:r>
      <w:r w:rsidRPr="001679D5">
        <w:t xml:space="preserve"> broker</w:t>
      </w:r>
      <w:r w:rsidR="006B34CE">
        <w:t xml:space="preserve">-dealers as of </w:t>
      </w:r>
      <w:r w:rsidR="00275F1C">
        <w:t>April 1, 2013</w:t>
      </w:r>
      <w:r w:rsidRPr="001679D5">
        <w:t xml:space="preserve"> x 254 hours per broker-dealer = </w:t>
      </w:r>
      <w:r w:rsidR="00275F1C">
        <w:t>1,154,430</w:t>
      </w:r>
      <w:r w:rsidRPr="001679D5">
        <w:t xml:space="preserve"> hours.</w:t>
      </w:r>
    </w:p>
  </w:footnote>
  <w:footnote w:id="20">
    <w:p w:rsidR="007426A2" w:rsidRPr="001679D5" w:rsidRDefault="007426A2" w:rsidP="008D4797">
      <w:pPr>
        <w:pStyle w:val="FootnoteText"/>
        <w:tabs>
          <w:tab w:val="left" w:pos="720"/>
        </w:tabs>
        <w:spacing w:after="120"/>
        <w:ind w:left="720" w:hanging="720"/>
      </w:pPr>
      <w:r w:rsidRPr="001679D5">
        <w:rPr>
          <w:rStyle w:val="FootnoteReference"/>
        </w:rPr>
        <w:footnoteRef/>
      </w:r>
      <w:r w:rsidRPr="001679D5">
        <w:t xml:space="preserve"> </w:t>
      </w:r>
      <w:r w:rsidRPr="001679D5">
        <w:tab/>
      </w:r>
      <w:r w:rsidRPr="001679D5">
        <w:rPr>
          <w:spacing w:val="-3"/>
        </w:rPr>
        <w:t xml:space="preserve">An internal broker-dealer system is any facility that provides a mechanism for collecting, receiving, disseminating, or displaying system orders and facilitating agreement to the basic terms of a purchase or sale of a security between a customer and the sponsor, but excludes a national securities exchange, an exchange exempt from registration based on limited volume, and an alternative trading system.  </w:t>
      </w:r>
      <w:r w:rsidRPr="001679D5">
        <w:rPr>
          <w:spacing w:val="-3"/>
          <w:u w:val="single"/>
        </w:rPr>
        <w:t>See</w:t>
      </w:r>
      <w:r w:rsidRPr="001679D5">
        <w:rPr>
          <w:spacing w:val="-3"/>
        </w:rPr>
        <w:t xml:space="preserve"> 17 C.F.R. 240.17a-3(a</w:t>
      </w:r>
      <w:proofErr w:type="gramStart"/>
      <w:r w:rsidRPr="001679D5">
        <w:rPr>
          <w:spacing w:val="-3"/>
        </w:rPr>
        <w:t>)(</w:t>
      </w:r>
      <w:proofErr w:type="gramEnd"/>
      <w:r w:rsidRPr="001679D5">
        <w:rPr>
          <w:spacing w:val="-3"/>
        </w:rPr>
        <w:t>16)(ii)(A).  Because an internal broker-dealer system is not included in the definition of an exchange, it is regulated under the broker-dealer regulatory scheme.</w:t>
      </w:r>
    </w:p>
  </w:footnote>
  <w:footnote w:id="21">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 xml:space="preserve">The Commission believes that most over-the-counter (“OTC”) market makers maintain an internal broker-dealer system.  In 2010, the Commission estimated that there are approximately 150 OTC market makers responsible for more than 1% of the trading volume in an exchange-traded security.  </w:t>
      </w:r>
      <w:r w:rsidRPr="001679D5">
        <w:rPr>
          <w:i/>
        </w:rPr>
        <w:t>See</w:t>
      </w:r>
      <w:r w:rsidRPr="001679D5">
        <w:t xml:space="preserve"> Commission, Supporting Statement for the Paperwork Reduction Act Information Collection Submission for Rule 602 of Regulation NMS (Nov. 7, 2013), </w:t>
      </w:r>
      <w:r w:rsidRPr="001679D5">
        <w:rPr>
          <w:i/>
        </w:rPr>
        <w:t>available at</w:t>
      </w:r>
      <w:r w:rsidRPr="001679D5">
        <w:t xml:space="preserve"> http://www.reginfo.gov/public/do/DownloadDocument?documentID=431473&amp;version=1. </w:t>
      </w:r>
    </w:p>
  </w:footnote>
  <w:footnote w:id="22">
    <w:p w:rsidR="007426A2" w:rsidRPr="001679D5" w:rsidRDefault="007426A2" w:rsidP="008D4797">
      <w:pPr>
        <w:pStyle w:val="FootnoteText"/>
        <w:tabs>
          <w:tab w:val="left" w:pos="720"/>
        </w:tabs>
        <w:spacing w:after="120"/>
        <w:ind w:left="720" w:hanging="720"/>
      </w:pPr>
      <w:r w:rsidRPr="001679D5">
        <w:rPr>
          <w:rStyle w:val="FootnoteReference"/>
        </w:rPr>
        <w:footnoteRef/>
      </w:r>
      <w:r w:rsidRPr="001679D5">
        <w:t xml:space="preserve"> </w:t>
      </w:r>
      <w:r w:rsidRPr="001679D5">
        <w:tab/>
      </w:r>
      <w:r w:rsidRPr="001679D5">
        <w:rPr>
          <w:spacing w:val="-3"/>
        </w:rPr>
        <w:t>3 hours x 150 internal broker-dealer systems = 450 hours.</w:t>
      </w:r>
    </w:p>
  </w:footnote>
  <w:footnote w:id="23">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 Recordkeeping and Reporting Requirements for Security-Based Swap Dealers, Major Security-Based Swap Participants, and Broker-Dealers; Capital Rule for Certain Security-Based Swap Dealers; Proposed Rules</w:t>
      </w:r>
      <w:r w:rsidRPr="001679D5">
        <w:t>, Exchange Act Release No. 71</w:t>
      </w:r>
      <w:r w:rsidR="008879AE">
        <w:t>958 (Apr. 17, 2014), 79 FR 25193</w:t>
      </w:r>
      <w:r w:rsidRPr="001679D5">
        <w:t xml:space="preserve"> (May 2, 2014).</w:t>
      </w:r>
    </w:p>
  </w:footnote>
  <w:footnote w:id="24">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rFonts w:eastAsiaTheme="minorHAnsi"/>
        </w:rPr>
        <w:t xml:space="preserve">Specifically, broker-dealer SBSDs and broker-dealer MSBSPs </w:t>
      </w:r>
      <w:r w:rsidR="000C6CEE">
        <w:rPr>
          <w:rFonts w:eastAsiaTheme="minorHAnsi"/>
        </w:rPr>
        <w:t>would be required to</w:t>
      </w:r>
      <w:r w:rsidRPr="001679D5">
        <w:rPr>
          <w:rFonts w:eastAsiaTheme="minorHAnsi"/>
        </w:rPr>
        <w:t xml:space="preserve"> preserve proposed Form SBS instead of Form X</w:t>
      </w:r>
      <w:r w:rsidRPr="001679D5">
        <w:rPr>
          <w:rFonts w:eastAsiaTheme="minorHAnsi"/>
        </w:rPr>
        <w:noBreakHyphen/>
        <w:t>17A</w:t>
      </w:r>
      <w:r w:rsidRPr="001679D5">
        <w:rPr>
          <w:rFonts w:eastAsiaTheme="minorHAnsi"/>
        </w:rPr>
        <w:noBreakHyphen/>
        <w:t>5</w:t>
      </w:r>
      <w:r w:rsidR="00657B80">
        <w:rPr>
          <w:rFonts w:eastAsiaTheme="minorHAnsi"/>
        </w:rPr>
        <w:t xml:space="preserve"> (</w:t>
      </w:r>
      <w:r w:rsidR="00657B80" w:rsidRPr="001679D5">
        <w:t>paragraph (b)(8) of Rule 17a-4, as proposed to be amended</w:t>
      </w:r>
      <w:r w:rsidR="00657B80">
        <w:t>)</w:t>
      </w:r>
      <w:r w:rsidRPr="001679D5">
        <w:rPr>
          <w:rFonts w:eastAsiaTheme="minorHAnsi"/>
        </w:rPr>
        <w:t>, possession or control information for security-based swap customers under proposed Rule 18a-4 instead of under Rule 15c3</w:t>
      </w:r>
      <w:r w:rsidRPr="001679D5">
        <w:rPr>
          <w:rFonts w:eastAsiaTheme="minorHAnsi"/>
        </w:rPr>
        <w:noBreakHyphen/>
        <w:t>3</w:t>
      </w:r>
      <w:r w:rsidR="00657B80">
        <w:rPr>
          <w:rFonts w:eastAsiaTheme="minorHAnsi"/>
        </w:rPr>
        <w:t xml:space="preserve"> (</w:t>
      </w:r>
      <w:r w:rsidR="00657B80" w:rsidRPr="001679D5">
        <w:t>paragraph (b)(8)(xiv) of Rule 17a-4, as proposed to be amended</w:t>
      </w:r>
      <w:r w:rsidR="00657B80">
        <w:t>)</w:t>
      </w:r>
      <w:r w:rsidRPr="001679D5">
        <w:rPr>
          <w:rFonts w:eastAsiaTheme="minorHAnsi"/>
        </w:rPr>
        <w:t>, and Forms SBSE-BD and SBSE-W instead of Forms BD and BDW</w:t>
      </w:r>
      <w:r w:rsidR="00657B80">
        <w:rPr>
          <w:rFonts w:eastAsiaTheme="minorHAnsi"/>
        </w:rPr>
        <w:t xml:space="preserve"> (</w:t>
      </w:r>
      <w:r w:rsidRPr="001679D5">
        <w:t>paragraph (d) of Rule 17a-4, as proposed to be amended</w:t>
      </w:r>
      <w:r w:rsidR="00657B80">
        <w:t>)</w:t>
      </w:r>
      <w:r w:rsidRPr="001679D5">
        <w:t>.</w:t>
      </w:r>
    </w:p>
  </w:footnote>
  <w:footnote w:id="25">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w:t>
      </w:r>
      <w:r w:rsidRPr="001679D5">
        <w:t xml:space="preserve"> paragraph (b</w:t>
      </w:r>
      <w:proofErr w:type="gramStart"/>
      <w:r w:rsidRPr="001679D5">
        <w:t>)(</w:t>
      </w:r>
      <w:proofErr w:type="gramEnd"/>
      <w:r w:rsidRPr="001679D5">
        <w:t>4) of Rule 17a-4, as proposed to be amended.</w:t>
      </w:r>
    </w:p>
  </w:footnote>
  <w:footnote w:id="26">
    <w:p w:rsidR="007426A2" w:rsidRPr="001679D5" w:rsidRDefault="007426A2" w:rsidP="008D4797">
      <w:pPr>
        <w:pStyle w:val="FootnoteText"/>
        <w:spacing w:after="120"/>
      </w:pPr>
      <w:r w:rsidRPr="001679D5">
        <w:rPr>
          <w:rStyle w:val="FootnoteReference"/>
        </w:rPr>
        <w:footnoteRef/>
      </w:r>
      <w:r w:rsidRPr="001679D5">
        <w:t xml:space="preserve"> </w:t>
      </w:r>
      <w:r w:rsidRPr="001679D5">
        <w:tab/>
      </w:r>
      <w:r w:rsidRPr="001679D5">
        <w:rPr>
          <w:rFonts w:eastAsiaTheme="minorHAnsi"/>
        </w:rPr>
        <w:t>16 broker-dealer SBSDs + 1 broker-dealer MSBSP</w:t>
      </w:r>
      <w:r w:rsidRPr="001679D5">
        <w:t xml:space="preserve"> = 17 respondents.</w:t>
      </w:r>
    </w:p>
  </w:footnote>
  <w:footnote w:id="27">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 xml:space="preserve">13 hours x 17 broker-dealer SBSDs and broker-dealer MSBSPs = 221 hours.  </w:t>
      </w:r>
    </w:p>
  </w:footnote>
  <w:footnote w:id="28">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 xml:space="preserve">6 hours x 17 broker-dealer SBSDs and broker-dealer MSBSPs = 102 hours. </w:t>
      </w:r>
    </w:p>
  </w:footnote>
  <w:footnote w:id="29">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(221 hours in first year + 102 hours in first year) + 102 hours in second year + 102 hours in third year = 527 hours.</w:t>
      </w:r>
    </w:p>
  </w:footnote>
  <w:footnote w:id="30">
    <w:p w:rsidR="007426A2" w:rsidRPr="001679D5" w:rsidRDefault="007426A2" w:rsidP="008D4797">
      <w:pPr>
        <w:pStyle w:val="FootnoteText"/>
        <w:spacing w:after="120"/>
      </w:pPr>
      <w:r w:rsidRPr="001679D5">
        <w:rPr>
          <w:rStyle w:val="FootnoteReference"/>
        </w:rPr>
        <w:footnoteRef/>
      </w:r>
      <w:r w:rsidR="008879AE">
        <w:t xml:space="preserve"> </w:t>
      </w:r>
      <w:r w:rsidR="008879AE">
        <w:tab/>
      </w:r>
      <w:proofErr w:type="gramStart"/>
      <w:r w:rsidR="008879AE">
        <w:t>527 hours / 3 years = 175.67</w:t>
      </w:r>
      <w:r w:rsidRPr="001679D5">
        <w:t xml:space="preserve"> hours per year</w:t>
      </w:r>
      <w:r w:rsidR="008879AE">
        <w:t xml:space="preserve"> or 10.33 hours per respondent per year</w:t>
      </w:r>
      <w:r w:rsidRPr="001679D5">
        <w:t>.</w:t>
      </w:r>
      <w:proofErr w:type="gramEnd"/>
    </w:p>
  </w:footnote>
  <w:footnote w:id="31">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w:t>
      </w:r>
      <w:r w:rsidRPr="001679D5">
        <w:t xml:space="preserve"> Rule 17a-4, as proposed to be amended (paragraph (b</w:t>
      </w:r>
      <w:proofErr w:type="gramStart"/>
      <w:r w:rsidRPr="001679D5">
        <w:t>)(</w:t>
      </w:r>
      <w:proofErr w:type="gramEnd"/>
      <w:r w:rsidRPr="001679D5">
        <w:t>8)(v) through (viii) (identifying information about swaps); paragraph (b)(8)(xvi) (risk margin calculation); and paragraph (b)(14) (Regulation SBSR information)).</w:t>
      </w:r>
    </w:p>
  </w:footnote>
  <w:footnote w:id="32">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00E62904" w:rsidRPr="001679D5">
        <w:rPr>
          <w:i/>
        </w:rPr>
        <w:t>See Supporting Statement for the Paperwork Reduction Act New Information Collection Submission for Rule 17a-3</w:t>
      </w:r>
      <w:r w:rsidR="00E62904" w:rsidRPr="001679D5">
        <w:t xml:space="preserve"> (Nov. 4, 2013), </w:t>
      </w:r>
      <w:r w:rsidR="00E62904" w:rsidRPr="001679D5">
        <w:rPr>
          <w:i/>
        </w:rPr>
        <w:t xml:space="preserve">available at </w:t>
      </w:r>
      <w:r w:rsidR="00E62904" w:rsidRPr="001679D5">
        <w:t>http://www.reginfo.gov/public/do/PRAViewDocument?ref_nbr=201311-3235-002</w:t>
      </w:r>
      <w:r w:rsidR="00DE11F0" w:rsidRPr="001679D5">
        <w:rPr>
          <w:spacing w:val="-3"/>
        </w:rPr>
        <w:t>.</w:t>
      </w:r>
    </w:p>
  </w:footnote>
  <w:footnote w:id="33">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w:t>
      </w:r>
      <w:r w:rsidRPr="001679D5">
        <w:t xml:space="preserve"> </w:t>
      </w:r>
      <w:r w:rsidRPr="001679D5">
        <w:rPr>
          <w:i/>
        </w:rPr>
        <w:t>Supporting Statement for the Paperwork Reduction Act Information Collection Submission for Rule 15c3-1</w:t>
      </w:r>
      <w:r w:rsidRPr="001679D5">
        <w:t xml:space="preserve"> (</w:t>
      </w:r>
      <w:r w:rsidR="00E62904">
        <w:t>Apr. 13, 2014</w:t>
      </w:r>
      <w:r w:rsidRPr="001679D5">
        <w:t xml:space="preserve">), </w:t>
      </w:r>
      <w:r w:rsidRPr="001679D5">
        <w:rPr>
          <w:i/>
        </w:rPr>
        <w:t>available at</w:t>
      </w:r>
      <w:r w:rsidRPr="001679D5">
        <w:t xml:space="preserve"> </w:t>
      </w:r>
      <w:r w:rsidR="00E62904" w:rsidRPr="00E62904">
        <w:t>http://www.reginfo.gov/public/do/DownloadDocument?documentID=475036&amp;version=1</w:t>
      </w:r>
      <w:r w:rsidRPr="001679D5">
        <w:t>.</w:t>
      </w:r>
    </w:p>
  </w:footnote>
  <w:footnote w:id="34">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 Regulation SBSR – Reporting and Dissemination of Security-Based Swap Information</w:t>
      </w:r>
      <w:r w:rsidRPr="001679D5">
        <w:t xml:space="preserve">, </w:t>
      </w:r>
      <w:r w:rsidR="00E62904">
        <w:t xml:space="preserve">Exchange Act Release No. 63346 (Nov. 19, 2010), </w:t>
      </w:r>
      <w:r w:rsidRPr="001679D5">
        <w:t xml:space="preserve">75 FR </w:t>
      </w:r>
      <w:r w:rsidR="00E62904">
        <w:t xml:space="preserve">75208, </w:t>
      </w:r>
      <w:r w:rsidRPr="001679D5">
        <w:t>75246–75250</w:t>
      </w:r>
      <w:r w:rsidR="00E62904">
        <w:t xml:space="preserve"> (Dec. 2, 2010)</w:t>
      </w:r>
      <w:r w:rsidRPr="001679D5">
        <w:t>.</w:t>
      </w:r>
    </w:p>
  </w:footnote>
  <w:footnote w:id="35">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rFonts w:eastAsiaTheme="minorHAnsi"/>
        </w:rPr>
        <w:t>16 broker-dealer SBSDs + 1 broker-dealer MSBSP</w:t>
      </w:r>
      <w:r w:rsidRPr="001679D5">
        <w:t xml:space="preserve"> + 25 non-SBSD/MSBSP broker-dealers engaged in security-based swap activities = 42 respondents.</w:t>
      </w:r>
    </w:p>
  </w:footnote>
  <w:footnote w:id="36">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 xml:space="preserve">39 hours x 42 respondents = 1,638 hours.  </w:t>
      </w:r>
    </w:p>
  </w:footnote>
  <w:footnote w:id="37">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 xml:space="preserve">18 hours x 42 respondents = 756 hours. </w:t>
      </w:r>
    </w:p>
  </w:footnote>
  <w:footnote w:id="38">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(1,638 hours in first year + 756 hours in first year) + 756 hours in second year + 756 hours in third year = 3,906 hours.</w:t>
      </w:r>
    </w:p>
  </w:footnote>
  <w:footnote w:id="39">
    <w:p w:rsidR="007426A2" w:rsidRPr="001679D5" w:rsidRDefault="007426A2" w:rsidP="008D4797">
      <w:pPr>
        <w:pStyle w:val="FootnoteText"/>
        <w:spacing w:after="120"/>
      </w:pPr>
      <w:r w:rsidRPr="001679D5">
        <w:rPr>
          <w:rStyle w:val="FootnoteReference"/>
        </w:rPr>
        <w:footnoteRef/>
      </w:r>
      <w:r w:rsidRPr="001679D5">
        <w:t xml:space="preserve"> </w:t>
      </w:r>
      <w:r w:rsidRPr="001679D5">
        <w:tab/>
      </w:r>
      <w:proofErr w:type="gramStart"/>
      <w:r w:rsidRPr="001679D5">
        <w:t>3,906 hours / 3 years = 1,302 hours per year</w:t>
      </w:r>
      <w:r w:rsidR="008879AE">
        <w:t xml:space="preserve"> </w:t>
      </w:r>
      <w:r w:rsidR="008879AE">
        <w:t xml:space="preserve">or </w:t>
      </w:r>
      <w:r w:rsidR="003051E7">
        <w:t>31</w:t>
      </w:r>
      <w:r w:rsidR="008879AE">
        <w:t xml:space="preserve"> hours per respondent per year</w:t>
      </w:r>
      <w:r w:rsidRPr="001679D5">
        <w:t>.</w:t>
      </w:r>
      <w:proofErr w:type="gramEnd"/>
    </w:p>
  </w:footnote>
  <w:footnote w:id="40">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w:t>
      </w:r>
      <w:r w:rsidRPr="001679D5">
        <w:t xml:space="preserve"> Rule 17a-4, as proposed to be amended (paragraph (b)(1), cross-referencing paragraph (a)(25) of Rule 17a-3, as proposed to be amended (proposed Rule 18a-3 calculations); paragraph (b)(1), cross-referencing paragraph (a)(28) of Rule 17a-3, as proposed to be amended (unverified transactions); paragraph (b)(1), cross-referencing paragraph (a)(30) of Rule 17a-3, as proposed to be amended (compliance with external business conduct standards); paragraph (b)(15) (documents and notices related to the external business conduct standards); and paragraph (b)(16) (special entity documents)).</w:t>
      </w:r>
    </w:p>
  </w:footnote>
  <w:footnote w:id="41">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00DE11F0" w:rsidRPr="001679D5">
        <w:rPr>
          <w:i/>
        </w:rPr>
        <w:t>See Supporting Statement for the Paperwork Reduction Act New Information Collection Submission for Rule 17a-3</w:t>
      </w:r>
      <w:r w:rsidR="00DE11F0" w:rsidRPr="001679D5">
        <w:t xml:space="preserve"> (Nov. 4, 2013), </w:t>
      </w:r>
      <w:r w:rsidR="00DE11F0" w:rsidRPr="001679D5">
        <w:rPr>
          <w:i/>
        </w:rPr>
        <w:t xml:space="preserve">available at </w:t>
      </w:r>
      <w:r w:rsidR="00DE11F0" w:rsidRPr="001679D5">
        <w:t>http://www.reginfo.gov/public/do/PRAViewDo</w:t>
      </w:r>
      <w:r w:rsidR="00844806">
        <w:t>cument?ref_nbr=201311-3235-002</w:t>
      </w:r>
      <w:r w:rsidR="00DE11F0" w:rsidRPr="001679D5">
        <w:rPr>
          <w:spacing w:val="-3"/>
        </w:rPr>
        <w:t>.</w:t>
      </w:r>
    </w:p>
  </w:footnote>
  <w:footnote w:id="42">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 Business Conduct Standards for Security-Based Swap Dealers and Major Security-Based Swap Participants</w:t>
      </w:r>
      <w:r w:rsidRPr="001679D5">
        <w:t>,</w:t>
      </w:r>
      <w:r w:rsidR="00844806">
        <w:t xml:space="preserve"> Exchange Act Release No. 64766 (June 29, 2011),</w:t>
      </w:r>
      <w:r w:rsidRPr="001679D5">
        <w:t xml:space="preserve"> 76 FR </w:t>
      </w:r>
      <w:r w:rsidR="00844806">
        <w:t>42396,</w:t>
      </w:r>
      <w:r w:rsidRPr="001679D5">
        <w:t xml:space="preserve"> 42443–42448</w:t>
      </w:r>
      <w:r w:rsidR="00844806">
        <w:t xml:space="preserve"> (July 18, 2011)</w:t>
      </w:r>
      <w:r w:rsidRPr="001679D5">
        <w:t>.</w:t>
      </w:r>
    </w:p>
  </w:footnote>
  <w:footnote w:id="43">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rFonts w:eastAsiaTheme="minorHAnsi"/>
        </w:rPr>
        <w:t>16 broker-dealer SBSDs + 1 broker-dealer MSBSP</w:t>
      </w:r>
      <w:r w:rsidRPr="001679D5">
        <w:t xml:space="preserve"> = 17 respondents.</w:t>
      </w:r>
    </w:p>
  </w:footnote>
  <w:footnote w:id="44">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 xml:space="preserve">65 hours x 17 broker-dealer SBSDs and broker-dealer MSBSPs = 1,105 hours.  </w:t>
      </w:r>
    </w:p>
  </w:footnote>
  <w:footnote w:id="45">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 xml:space="preserve">30 hours x 17 broker-dealer SBSDs and broker-dealer MSBSPs = 510 hours. </w:t>
      </w:r>
    </w:p>
  </w:footnote>
  <w:footnote w:id="46">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(1,105 hours in first year + 510 hours in first year) + 510 hours in second year + 510 hours in third year = 2,635 hours.</w:t>
      </w:r>
    </w:p>
  </w:footnote>
  <w:footnote w:id="47">
    <w:p w:rsidR="007426A2" w:rsidRPr="001679D5" w:rsidRDefault="007426A2" w:rsidP="008D4797">
      <w:pPr>
        <w:pStyle w:val="FootnoteText"/>
        <w:spacing w:after="120"/>
      </w:pPr>
      <w:r w:rsidRPr="001679D5">
        <w:rPr>
          <w:rStyle w:val="FootnoteReference"/>
        </w:rPr>
        <w:footnoteRef/>
      </w:r>
      <w:r w:rsidRPr="001679D5">
        <w:t xml:space="preserve"> </w:t>
      </w:r>
      <w:r w:rsidRPr="001679D5">
        <w:tab/>
      </w:r>
      <w:proofErr w:type="gramStart"/>
      <w:r w:rsidRPr="001679D5">
        <w:t>2,635 hours / 3 years = 878</w:t>
      </w:r>
      <w:r w:rsidR="009E5B89">
        <w:t>.33</w:t>
      </w:r>
      <w:r w:rsidRPr="001679D5">
        <w:t xml:space="preserve"> hours per year</w:t>
      </w:r>
      <w:r w:rsidR="008879AE">
        <w:t xml:space="preserve"> </w:t>
      </w:r>
      <w:r w:rsidR="008879AE">
        <w:t xml:space="preserve">or </w:t>
      </w:r>
      <w:r w:rsidR="009E5B89">
        <w:t>51.67</w:t>
      </w:r>
      <w:r w:rsidR="008879AE">
        <w:t xml:space="preserve"> hours per respondent per year</w:t>
      </w:r>
      <w:r w:rsidRPr="001679D5">
        <w:t>.</w:t>
      </w:r>
      <w:proofErr w:type="gramEnd"/>
    </w:p>
  </w:footnote>
  <w:footnote w:id="48">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w:t>
      </w:r>
      <w:r w:rsidRPr="001679D5">
        <w:t xml:space="preserve"> paragraph (b)(1) of Rule 17a-4, as proposed to be amended (cross-referencing paragraph (a)(26) of Rule 17a-3, as proposed to be amended (compliance with proposed Rule 18a-4 possession or control requirements); paragraph (a)(27) of Rule 17a-3, as proposed to be amended (proposed Rule 18a</w:t>
      </w:r>
      <w:r w:rsidRPr="001679D5">
        <w:noBreakHyphen/>
        <w:t>4 reserve account computations); and paragraph (a)(29) of Rule 17a-3, as proposed to be amended (political contributions)).</w:t>
      </w:r>
    </w:p>
  </w:footnote>
  <w:footnote w:id="49">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 xml:space="preserve">39 hours x 16 broker-dealer SBSDs = 624 hours.  </w:t>
      </w:r>
    </w:p>
  </w:footnote>
  <w:footnote w:id="50">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 xml:space="preserve">18 hours x 16 broker-dealer SBSDs = 288 hours. </w:t>
      </w:r>
    </w:p>
  </w:footnote>
  <w:footnote w:id="51">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(624 hours in first year + 288 hours in first year) + 288 hours in second year + 288 hours in third year = 1,488 hours.</w:t>
      </w:r>
    </w:p>
  </w:footnote>
  <w:footnote w:id="52">
    <w:p w:rsidR="007426A2" w:rsidRPr="001679D5" w:rsidRDefault="007426A2" w:rsidP="008D4797">
      <w:pPr>
        <w:pStyle w:val="FootnoteText"/>
        <w:spacing w:after="120"/>
      </w:pPr>
      <w:r w:rsidRPr="001679D5">
        <w:rPr>
          <w:rStyle w:val="FootnoteReference"/>
        </w:rPr>
        <w:footnoteRef/>
      </w:r>
      <w:r w:rsidRPr="001679D5">
        <w:t xml:space="preserve"> </w:t>
      </w:r>
      <w:r w:rsidRPr="001679D5">
        <w:tab/>
      </w:r>
      <w:proofErr w:type="gramStart"/>
      <w:r w:rsidRPr="001679D5">
        <w:t>1,488 hours / 3 years = 496</w:t>
      </w:r>
      <w:r w:rsidR="001679D5" w:rsidRPr="001679D5">
        <w:t xml:space="preserve"> hours per year</w:t>
      </w:r>
      <w:r w:rsidR="008879AE">
        <w:t xml:space="preserve"> </w:t>
      </w:r>
      <w:r w:rsidR="008879AE">
        <w:t xml:space="preserve">or </w:t>
      </w:r>
      <w:r w:rsidR="009E5B89">
        <w:t>31</w:t>
      </w:r>
      <w:r w:rsidR="008879AE">
        <w:t xml:space="preserve"> hours per respondent per year</w:t>
      </w:r>
      <w:r w:rsidR="001679D5" w:rsidRPr="001679D5">
        <w:t>.</w:t>
      </w:r>
      <w:proofErr w:type="gramEnd"/>
    </w:p>
  </w:footnote>
  <w:footnote w:id="53">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r w:rsidRPr="001679D5">
        <w:rPr>
          <w:i/>
        </w:rPr>
        <w:t>See</w:t>
      </w:r>
      <w:r w:rsidRPr="001679D5">
        <w:t xml:space="preserve"> paragraph (b</w:t>
      </w:r>
      <w:proofErr w:type="gramStart"/>
      <w:r w:rsidRPr="001679D5">
        <w:t>)(</w:t>
      </w:r>
      <w:proofErr w:type="gramEnd"/>
      <w:r w:rsidRPr="001679D5">
        <w:t>1) of Rule 17a-4, as proposed to be amended (cross-referencing paragraph (a)(24) of Rule 17a-3, as proposed to be amended).</w:t>
      </w:r>
    </w:p>
  </w:footnote>
  <w:footnote w:id="54">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 xml:space="preserve">13 hours x 10 ANC broker-dealers = 130 hours.  </w:t>
      </w:r>
    </w:p>
  </w:footnote>
  <w:footnote w:id="55">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6 hours x 10 ANC broker-dea</w:t>
      </w:r>
      <w:r w:rsidR="006D3A62">
        <w:t>lers = 60 hours</w:t>
      </w:r>
      <w:r w:rsidR="007312D9">
        <w:t>.</w:t>
      </w:r>
    </w:p>
  </w:footnote>
  <w:footnote w:id="56">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t>(130 hours in first year + 60 hours in first year) + 60 hours in second year + 60 hours in third year = 310 hours.</w:t>
      </w:r>
    </w:p>
  </w:footnote>
  <w:footnote w:id="57">
    <w:p w:rsidR="007426A2" w:rsidRPr="001679D5" w:rsidRDefault="007426A2" w:rsidP="008D4797">
      <w:pPr>
        <w:pStyle w:val="FootnoteText"/>
        <w:spacing w:after="120"/>
      </w:pPr>
      <w:r w:rsidRPr="001679D5">
        <w:rPr>
          <w:rStyle w:val="FootnoteReference"/>
        </w:rPr>
        <w:footnoteRef/>
      </w:r>
      <w:r w:rsidRPr="001679D5">
        <w:t xml:space="preserve"> </w:t>
      </w:r>
      <w:r w:rsidRPr="001679D5">
        <w:tab/>
      </w:r>
      <w:proofErr w:type="gramStart"/>
      <w:r w:rsidRPr="001679D5">
        <w:t>310 hours / 3 years = 103</w:t>
      </w:r>
      <w:r w:rsidR="009E5B89">
        <w:t>.33</w:t>
      </w:r>
      <w:r w:rsidRPr="001679D5">
        <w:t xml:space="preserve"> hours per year</w:t>
      </w:r>
      <w:r w:rsidR="008879AE">
        <w:t xml:space="preserve"> </w:t>
      </w:r>
      <w:r w:rsidR="008879AE">
        <w:t xml:space="preserve">or </w:t>
      </w:r>
      <w:r w:rsidR="009E5B89">
        <w:t>10.33</w:t>
      </w:r>
      <w:r w:rsidR="008879AE">
        <w:t xml:space="preserve"> hours per respondent per year</w:t>
      </w:r>
      <w:r w:rsidRPr="001679D5">
        <w:t>.</w:t>
      </w:r>
      <w:proofErr w:type="gramEnd"/>
    </w:p>
  </w:footnote>
  <w:footnote w:id="58">
    <w:p w:rsidR="007426A2" w:rsidRPr="001679D5" w:rsidRDefault="007426A2" w:rsidP="008D4797">
      <w:pPr>
        <w:pStyle w:val="FootnoteText"/>
        <w:spacing w:after="120"/>
        <w:ind w:left="720" w:hanging="720"/>
      </w:pPr>
      <w:r w:rsidRPr="001679D5">
        <w:rPr>
          <w:rStyle w:val="FootnoteReference"/>
        </w:rPr>
        <w:footnoteRef/>
      </w:r>
      <w:r w:rsidRPr="001679D5">
        <w:t xml:space="preserve"> </w:t>
      </w:r>
      <w:r w:rsidRPr="001679D5">
        <w:tab/>
      </w:r>
      <w:proofErr w:type="gramStart"/>
      <w:r w:rsidR="004A0CAE">
        <w:t>1,154,430</w:t>
      </w:r>
      <w:r w:rsidR="006B34CE" w:rsidRPr="00205696">
        <w:t xml:space="preserve"> </w:t>
      </w:r>
      <w:r w:rsidR="006B34CE">
        <w:t xml:space="preserve">hours </w:t>
      </w:r>
      <w:r w:rsidR="0037515C">
        <w:t>+ 450 hours + 175.67</w:t>
      </w:r>
      <w:r w:rsidRPr="001679D5">
        <w:t xml:space="preserve"> hours + 1,302 hours + </w:t>
      </w:r>
      <w:r w:rsidR="003F6C0A" w:rsidRPr="001679D5">
        <w:t>878</w:t>
      </w:r>
      <w:r w:rsidR="0037515C">
        <w:t>.33</w:t>
      </w:r>
      <w:r w:rsidRPr="001679D5">
        <w:t xml:space="preserve"> hours + </w:t>
      </w:r>
      <w:r w:rsidR="003F6C0A" w:rsidRPr="001679D5">
        <w:t>496</w:t>
      </w:r>
      <w:r w:rsidRPr="001679D5">
        <w:t xml:space="preserve"> hours </w:t>
      </w:r>
      <w:r w:rsidR="003F6C0A" w:rsidRPr="001679D5">
        <w:t>+ 103</w:t>
      </w:r>
      <w:r w:rsidR="0037515C">
        <w:t>.33</w:t>
      </w:r>
      <w:r w:rsidR="003F6C0A" w:rsidRPr="001679D5">
        <w:t xml:space="preserve"> hours </w:t>
      </w:r>
      <w:r w:rsidRPr="001679D5">
        <w:t>= 1,</w:t>
      </w:r>
      <w:r w:rsidR="004A0CAE">
        <w:t>157,835</w:t>
      </w:r>
      <w:r w:rsidR="0037515C">
        <w:t>.33</w:t>
      </w:r>
      <w:r w:rsidRPr="001679D5">
        <w:t xml:space="preserve"> hours.</w:t>
      </w:r>
      <w:proofErr w:type="gramEnd"/>
    </w:p>
  </w:footnote>
  <w:footnote w:id="59">
    <w:p w:rsidR="007426A2" w:rsidRPr="001679D5" w:rsidRDefault="007426A2" w:rsidP="008D4797">
      <w:pPr>
        <w:pStyle w:val="FootnoteText"/>
        <w:spacing w:after="120"/>
      </w:pPr>
      <w:r w:rsidRPr="001679D5">
        <w:rPr>
          <w:rStyle w:val="FootnoteReference"/>
        </w:rPr>
        <w:footnoteRef/>
      </w:r>
      <w:r w:rsidRPr="001679D5">
        <w:t xml:space="preserve"> </w:t>
      </w:r>
      <w:r w:rsidRPr="001679D5">
        <w:tab/>
      </w:r>
      <w:r w:rsidRPr="001679D5">
        <w:rPr>
          <w:bCs/>
        </w:rPr>
        <w:t>4,</w:t>
      </w:r>
      <w:r w:rsidR="00BF16FD">
        <w:rPr>
          <w:bCs/>
        </w:rPr>
        <w:t>545</w:t>
      </w:r>
      <w:r w:rsidRPr="001679D5">
        <w:rPr>
          <w:bCs/>
        </w:rPr>
        <w:t xml:space="preserve"> broker-dealers x $5,000</w:t>
      </w:r>
      <w:r w:rsidR="00D027FA" w:rsidRPr="001679D5">
        <w:rPr>
          <w:bCs/>
        </w:rPr>
        <w:t xml:space="preserve"> per firm</w:t>
      </w:r>
      <w:r w:rsidRPr="001679D5">
        <w:rPr>
          <w:bCs/>
        </w:rPr>
        <w:t xml:space="preserve"> = $</w:t>
      </w:r>
      <w:r w:rsidR="00202B5B">
        <w:rPr>
          <w:bCs/>
        </w:rPr>
        <w:t>2</w:t>
      </w:r>
      <w:r w:rsidR="00BF16FD">
        <w:rPr>
          <w:bCs/>
        </w:rPr>
        <w:t>2,725,000</w:t>
      </w:r>
      <w:r w:rsidRPr="001679D5">
        <w:rPr>
          <w:bCs/>
        </w:rPr>
        <w:t>.</w:t>
      </w:r>
    </w:p>
  </w:footnote>
  <w:footnote w:id="60">
    <w:p w:rsidR="00F743C5" w:rsidRPr="001679D5" w:rsidRDefault="00F743C5" w:rsidP="008D4797">
      <w:pPr>
        <w:pStyle w:val="FootnoteText"/>
        <w:spacing w:after="120"/>
      </w:pPr>
      <w:r w:rsidRPr="001679D5">
        <w:rPr>
          <w:rStyle w:val="FootnoteReference"/>
        </w:rPr>
        <w:footnoteRef/>
      </w:r>
      <w:r w:rsidRPr="001679D5">
        <w:t xml:space="preserve"> </w:t>
      </w:r>
      <w:r w:rsidRPr="001679D5">
        <w:tab/>
      </w:r>
      <w:r w:rsidRPr="001679D5">
        <w:rPr>
          <w:rFonts w:eastAsiaTheme="minorHAnsi"/>
        </w:rPr>
        <w:t>16 broker-dealer SBSDs + 1 broker-dealer MSBSP</w:t>
      </w:r>
      <w:r w:rsidRPr="001679D5">
        <w:t xml:space="preserve"> = 17 respondents.</w:t>
      </w:r>
    </w:p>
  </w:footnote>
  <w:footnote w:id="61">
    <w:p w:rsidR="00A83FB6" w:rsidRPr="001679D5" w:rsidRDefault="00A83FB6" w:rsidP="008D4797">
      <w:pPr>
        <w:pStyle w:val="FootnoteText"/>
        <w:spacing w:after="120"/>
      </w:pPr>
      <w:r w:rsidRPr="001679D5">
        <w:rPr>
          <w:rStyle w:val="FootnoteReference"/>
        </w:rPr>
        <w:footnoteRef/>
      </w:r>
      <w:r w:rsidRPr="001679D5">
        <w:t xml:space="preserve"> </w:t>
      </w:r>
      <w:r w:rsidRPr="001679D5">
        <w:tab/>
        <w:t xml:space="preserve">$2,000 </w:t>
      </w:r>
      <w:r w:rsidR="00F743C5" w:rsidRPr="001679D5">
        <w:t xml:space="preserve">per firm </w:t>
      </w:r>
      <w:r w:rsidRPr="001679D5">
        <w:t xml:space="preserve">x 17 </w:t>
      </w:r>
      <w:r w:rsidR="00F743C5" w:rsidRPr="001679D5">
        <w:t>respondents</w:t>
      </w:r>
      <w:r w:rsidRPr="001679D5">
        <w:t xml:space="preserve"> = $34,000.</w:t>
      </w:r>
    </w:p>
  </w:footnote>
  <w:footnote w:id="62">
    <w:p w:rsidR="00A83FB6" w:rsidRPr="001679D5" w:rsidRDefault="00A83FB6" w:rsidP="008D4797">
      <w:pPr>
        <w:pStyle w:val="FootnoteText"/>
        <w:spacing w:after="120"/>
        <w:ind w:left="720" w:hanging="720"/>
      </w:pPr>
      <w:r w:rsidRPr="001679D5">
        <w:rPr>
          <w:rStyle w:val="FootnoteReference"/>
        </w:rPr>
        <w:footnoteRef/>
      </w:r>
      <w:r w:rsidRPr="001679D5">
        <w:t xml:space="preserve"> </w:t>
      </w:r>
      <w:r w:rsidRPr="001679D5">
        <w:tab/>
        <w:t>16 broker</w:t>
      </w:r>
      <w:r w:rsidRPr="001679D5">
        <w:noBreakHyphen/>
        <w:t xml:space="preserve">dealer SBSDs + 1 broker-dealer MSBSP + 25 non-SBSD/MSBSP broker-dealers engaged in security-based swap activities = 42 </w:t>
      </w:r>
      <w:r w:rsidR="00F743C5" w:rsidRPr="001679D5">
        <w:t>respondents</w:t>
      </w:r>
      <w:r w:rsidRPr="001679D5">
        <w:t>.</w:t>
      </w:r>
    </w:p>
  </w:footnote>
  <w:footnote w:id="63">
    <w:p w:rsidR="00A83FB6" w:rsidRPr="001679D5" w:rsidRDefault="00A83FB6" w:rsidP="008D4797">
      <w:pPr>
        <w:pStyle w:val="FootnoteText"/>
        <w:spacing w:after="120"/>
      </w:pPr>
      <w:r w:rsidRPr="001679D5">
        <w:rPr>
          <w:rStyle w:val="FootnoteReference"/>
        </w:rPr>
        <w:footnoteRef/>
      </w:r>
      <w:r w:rsidRPr="001679D5">
        <w:t xml:space="preserve"> </w:t>
      </w:r>
      <w:r w:rsidRPr="001679D5">
        <w:tab/>
        <w:t xml:space="preserve">$360 </w:t>
      </w:r>
      <w:r w:rsidR="00F743C5" w:rsidRPr="001679D5">
        <w:t xml:space="preserve">per firm </w:t>
      </w:r>
      <w:r w:rsidRPr="001679D5">
        <w:t>x 42 respondents = $15,120.</w:t>
      </w:r>
    </w:p>
  </w:footnote>
  <w:footnote w:id="64">
    <w:p w:rsidR="00F743C5" w:rsidRPr="001679D5" w:rsidRDefault="00F743C5" w:rsidP="008D4797">
      <w:pPr>
        <w:pStyle w:val="FootnoteText"/>
        <w:spacing w:after="120"/>
      </w:pPr>
      <w:r w:rsidRPr="001679D5">
        <w:rPr>
          <w:rStyle w:val="FootnoteReference"/>
        </w:rPr>
        <w:footnoteRef/>
      </w:r>
      <w:r w:rsidRPr="001679D5">
        <w:t xml:space="preserve"> </w:t>
      </w:r>
      <w:r w:rsidRPr="001679D5">
        <w:tab/>
      </w:r>
      <w:r w:rsidRPr="001679D5">
        <w:rPr>
          <w:rFonts w:eastAsiaTheme="minorHAnsi"/>
        </w:rPr>
        <w:t>16 broker-dealer SBSDs + 1 broker-dealer MSBSP</w:t>
      </w:r>
      <w:r w:rsidRPr="001679D5">
        <w:t xml:space="preserve"> = 17 respondents.</w:t>
      </w:r>
    </w:p>
  </w:footnote>
  <w:footnote w:id="65">
    <w:p w:rsidR="00A83FB6" w:rsidRPr="001679D5" w:rsidRDefault="00A83FB6" w:rsidP="008D4797">
      <w:pPr>
        <w:pStyle w:val="FootnoteText"/>
        <w:spacing w:after="120"/>
      </w:pPr>
      <w:r w:rsidRPr="001679D5">
        <w:rPr>
          <w:rStyle w:val="FootnoteReference"/>
        </w:rPr>
        <w:footnoteRef/>
      </w:r>
      <w:r w:rsidRPr="001679D5">
        <w:t xml:space="preserve"> </w:t>
      </w:r>
      <w:r w:rsidRPr="001679D5">
        <w:tab/>
        <w:t xml:space="preserve">$600 </w:t>
      </w:r>
      <w:r w:rsidR="00F743C5" w:rsidRPr="001679D5">
        <w:t xml:space="preserve">per firm </w:t>
      </w:r>
      <w:r w:rsidRPr="001679D5">
        <w:t xml:space="preserve">x 17 </w:t>
      </w:r>
      <w:r w:rsidR="00F743C5" w:rsidRPr="001679D5">
        <w:t>respondents</w:t>
      </w:r>
      <w:r w:rsidRPr="001679D5">
        <w:t xml:space="preserve"> = $10,200.</w:t>
      </w:r>
    </w:p>
  </w:footnote>
  <w:footnote w:id="66">
    <w:p w:rsidR="00A83FB6" w:rsidRPr="001679D5" w:rsidRDefault="00A83FB6" w:rsidP="008D4797">
      <w:pPr>
        <w:pStyle w:val="FootnoteText"/>
        <w:spacing w:after="120"/>
      </w:pPr>
      <w:r w:rsidRPr="001679D5">
        <w:rPr>
          <w:rStyle w:val="FootnoteReference"/>
        </w:rPr>
        <w:footnoteRef/>
      </w:r>
      <w:r w:rsidRPr="001679D5">
        <w:t xml:space="preserve"> </w:t>
      </w:r>
      <w:r w:rsidRPr="001679D5">
        <w:tab/>
        <w:t xml:space="preserve">$360 </w:t>
      </w:r>
      <w:r w:rsidR="00F743C5" w:rsidRPr="001679D5">
        <w:t xml:space="preserve">per firm </w:t>
      </w:r>
      <w:r w:rsidRPr="001679D5">
        <w:t>x 16 broker-dealer SBSDs = $5,760.</w:t>
      </w:r>
    </w:p>
  </w:footnote>
  <w:footnote w:id="67">
    <w:p w:rsidR="00A83FB6" w:rsidRPr="001679D5" w:rsidRDefault="00A83FB6" w:rsidP="008D4797">
      <w:pPr>
        <w:pStyle w:val="FootnoteText"/>
        <w:spacing w:after="120"/>
      </w:pPr>
      <w:r w:rsidRPr="001679D5">
        <w:rPr>
          <w:rStyle w:val="FootnoteReference"/>
        </w:rPr>
        <w:footnoteRef/>
      </w:r>
      <w:r w:rsidRPr="001679D5">
        <w:t xml:space="preserve"> </w:t>
      </w:r>
      <w:r w:rsidRPr="001679D5">
        <w:tab/>
        <w:t xml:space="preserve">$120 </w:t>
      </w:r>
      <w:r w:rsidR="00F743C5" w:rsidRPr="001679D5">
        <w:t xml:space="preserve">per firm </w:t>
      </w:r>
      <w:r w:rsidRPr="001679D5">
        <w:t>x 10 ANC broker-dealers = $1,200.</w:t>
      </w:r>
    </w:p>
  </w:footnote>
  <w:footnote w:id="68">
    <w:p w:rsidR="006E33AB" w:rsidRPr="001679D5" w:rsidRDefault="006E33AB" w:rsidP="008D4797">
      <w:pPr>
        <w:pStyle w:val="FootnoteText"/>
        <w:spacing w:after="120"/>
      </w:pPr>
      <w:r w:rsidRPr="001679D5">
        <w:rPr>
          <w:rStyle w:val="FootnoteReference"/>
        </w:rPr>
        <w:footnoteRef/>
      </w:r>
      <w:r w:rsidR="00202B5B">
        <w:t xml:space="preserve"> </w:t>
      </w:r>
      <w:r w:rsidR="00202B5B">
        <w:tab/>
      </w:r>
      <w:r w:rsidR="00202B5B" w:rsidRPr="001679D5">
        <w:rPr>
          <w:bCs/>
        </w:rPr>
        <w:t>$</w:t>
      </w:r>
      <w:r w:rsidR="00730FCD" w:rsidRPr="00730FCD">
        <w:rPr>
          <w:bCs/>
        </w:rPr>
        <w:t>22,725,000</w:t>
      </w:r>
      <w:r w:rsidR="00730FCD">
        <w:rPr>
          <w:bCs/>
        </w:rPr>
        <w:t xml:space="preserve"> </w:t>
      </w:r>
      <w:r w:rsidRPr="001679D5">
        <w:t>+ $34,000 + $15,120 + $10,200</w:t>
      </w:r>
      <w:r w:rsidR="000C62BA">
        <w:t xml:space="preserve"> + $5,760 + $1,200 = $2</w:t>
      </w:r>
      <w:r w:rsidR="00133C29">
        <w:t>2,791,280</w:t>
      </w:r>
      <w:r w:rsidRPr="001679D5">
        <w:t>.</w:t>
      </w:r>
    </w:p>
  </w:footnote>
  <w:footnote w:id="69">
    <w:p w:rsidR="006E33AB" w:rsidRPr="001679D5" w:rsidRDefault="006E33AB" w:rsidP="008D4797">
      <w:pPr>
        <w:pStyle w:val="FootnoteText"/>
        <w:spacing w:after="120"/>
      </w:pPr>
      <w:r w:rsidRPr="001679D5">
        <w:rPr>
          <w:rStyle w:val="FootnoteReference"/>
        </w:rPr>
        <w:footnoteRef/>
      </w:r>
      <w:r w:rsidRPr="001679D5">
        <w:tab/>
      </w:r>
      <w:proofErr w:type="gramStart"/>
      <w:r w:rsidRPr="001679D5">
        <w:t>176 hours + 1,302 hours + 878 hours + 496 hours + 103 hours = 2,955 hours.</w:t>
      </w:r>
      <w:proofErr w:type="gramEnd"/>
    </w:p>
  </w:footnote>
  <w:footnote w:id="70">
    <w:p w:rsidR="00C25DB0" w:rsidRPr="001679D5" w:rsidRDefault="00C25DB0" w:rsidP="008D4797">
      <w:pPr>
        <w:pStyle w:val="FootnoteText"/>
        <w:spacing w:after="120"/>
      </w:pPr>
      <w:r w:rsidRPr="001679D5">
        <w:rPr>
          <w:rStyle w:val="FootnoteReference"/>
        </w:rPr>
        <w:footnoteRef/>
      </w:r>
      <w:r w:rsidRPr="001679D5">
        <w:t xml:space="preserve"> </w:t>
      </w:r>
      <w:r w:rsidRPr="001679D5">
        <w:tab/>
        <w:t>$34,000 + $15,120 + $10,200 + $5,760 + $1,200 = $66,280</w:t>
      </w:r>
      <w:r w:rsidR="001679D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6A2" w:rsidRDefault="007426A2" w:rsidP="00B139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26A2" w:rsidRDefault="007426A2" w:rsidP="00987B5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6A2" w:rsidRDefault="007426A2" w:rsidP="00D23CFA">
    <w:pPr>
      <w:pStyle w:val="Header"/>
      <w:framePr w:wrap="around" w:vAnchor="text" w:hAnchor="margin" w:xAlign="right" w:y="1"/>
      <w:rPr>
        <w:rStyle w:val="PageNumber"/>
      </w:rPr>
    </w:pPr>
  </w:p>
  <w:p w:rsidR="007426A2" w:rsidRDefault="007426A2" w:rsidP="00987B5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B4370"/>
    <w:multiLevelType w:val="hybridMultilevel"/>
    <w:tmpl w:val="BC42C6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48A7ACA"/>
    <w:multiLevelType w:val="multilevel"/>
    <w:tmpl w:val="3C7A7F44"/>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511E3F7C"/>
    <w:multiLevelType w:val="hybridMultilevel"/>
    <w:tmpl w:val="7D407F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A215B98"/>
    <w:multiLevelType w:val="multilevel"/>
    <w:tmpl w:val="3C7A7F4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nsid w:val="6330704E"/>
    <w:multiLevelType w:val="hybridMultilevel"/>
    <w:tmpl w:val="BC42C6C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3FD1A35"/>
    <w:multiLevelType w:val="hybridMultilevel"/>
    <w:tmpl w:val="A98028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A96EF3"/>
    <w:multiLevelType w:val="multilevel"/>
    <w:tmpl w:val="3C7A7F44"/>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40"/>
    <w:rsid w:val="00020414"/>
    <w:rsid w:val="00022A32"/>
    <w:rsid w:val="0003274D"/>
    <w:rsid w:val="00033E62"/>
    <w:rsid w:val="00045AA9"/>
    <w:rsid w:val="000660AB"/>
    <w:rsid w:val="00072B1A"/>
    <w:rsid w:val="00075FF2"/>
    <w:rsid w:val="00096936"/>
    <w:rsid w:val="000A1240"/>
    <w:rsid w:val="000A5497"/>
    <w:rsid w:val="000B3584"/>
    <w:rsid w:val="000B4BD2"/>
    <w:rsid w:val="000C62BA"/>
    <w:rsid w:val="000C6CEE"/>
    <w:rsid w:val="000D37C2"/>
    <w:rsid w:val="000D6E4F"/>
    <w:rsid w:val="000E0252"/>
    <w:rsid w:val="000E4F5A"/>
    <w:rsid w:val="000F20E7"/>
    <w:rsid w:val="00106BB6"/>
    <w:rsid w:val="00112E32"/>
    <w:rsid w:val="0011449D"/>
    <w:rsid w:val="00121BCF"/>
    <w:rsid w:val="00133C29"/>
    <w:rsid w:val="001463E0"/>
    <w:rsid w:val="00146FDB"/>
    <w:rsid w:val="00160694"/>
    <w:rsid w:val="001659C1"/>
    <w:rsid w:val="001679D5"/>
    <w:rsid w:val="00171FE1"/>
    <w:rsid w:val="00187B2C"/>
    <w:rsid w:val="001A7D33"/>
    <w:rsid w:val="001B3EEE"/>
    <w:rsid w:val="002024F7"/>
    <w:rsid w:val="00202B5B"/>
    <w:rsid w:val="00211959"/>
    <w:rsid w:val="00215E52"/>
    <w:rsid w:val="00237FEB"/>
    <w:rsid w:val="00243F91"/>
    <w:rsid w:val="00252ECF"/>
    <w:rsid w:val="00270997"/>
    <w:rsid w:val="00275F1C"/>
    <w:rsid w:val="00281838"/>
    <w:rsid w:val="00282314"/>
    <w:rsid w:val="00291618"/>
    <w:rsid w:val="002E0486"/>
    <w:rsid w:val="002E4CE1"/>
    <w:rsid w:val="002E7204"/>
    <w:rsid w:val="003051E7"/>
    <w:rsid w:val="003166D0"/>
    <w:rsid w:val="00324992"/>
    <w:rsid w:val="00327CF2"/>
    <w:rsid w:val="00334460"/>
    <w:rsid w:val="00337D23"/>
    <w:rsid w:val="00347B55"/>
    <w:rsid w:val="00357C9F"/>
    <w:rsid w:val="00360040"/>
    <w:rsid w:val="00360191"/>
    <w:rsid w:val="00360763"/>
    <w:rsid w:val="00363650"/>
    <w:rsid w:val="0037515C"/>
    <w:rsid w:val="00397ED5"/>
    <w:rsid w:val="003A4274"/>
    <w:rsid w:val="003B5F8B"/>
    <w:rsid w:val="003C597B"/>
    <w:rsid w:val="003D2270"/>
    <w:rsid w:val="003D5863"/>
    <w:rsid w:val="003E1746"/>
    <w:rsid w:val="003E243B"/>
    <w:rsid w:val="003E2F74"/>
    <w:rsid w:val="003E5809"/>
    <w:rsid w:val="003F05EC"/>
    <w:rsid w:val="003F6C0A"/>
    <w:rsid w:val="00422E7D"/>
    <w:rsid w:val="00444FA8"/>
    <w:rsid w:val="00447D50"/>
    <w:rsid w:val="00463E2D"/>
    <w:rsid w:val="00485CD9"/>
    <w:rsid w:val="00487DEA"/>
    <w:rsid w:val="00495A04"/>
    <w:rsid w:val="004A0CAE"/>
    <w:rsid w:val="004A6229"/>
    <w:rsid w:val="004B34E4"/>
    <w:rsid w:val="004C7BE0"/>
    <w:rsid w:val="004D5D2A"/>
    <w:rsid w:val="004E4C5B"/>
    <w:rsid w:val="005043F5"/>
    <w:rsid w:val="00504939"/>
    <w:rsid w:val="00512E50"/>
    <w:rsid w:val="00530DF9"/>
    <w:rsid w:val="005458E4"/>
    <w:rsid w:val="005737D8"/>
    <w:rsid w:val="00595E98"/>
    <w:rsid w:val="005B3914"/>
    <w:rsid w:val="005C363F"/>
    <w:rsid w:val="005C6AD1"/>
    <w:rsid w:val="005D5AE8"/>
    <w:rsid w:val="005E2A36"/>
    <w:rsid w:val="006250DB"/>
    <w:rsid w:val="00633DBE"/>
    <w:rsid w:val="006437EE"/>
    <w:rsid w:val="00651A8B"/>
    <w:rsid w:val="00654F5A"/>
    <w:rsid w:val="00657B80"/>
    <w:rsid w:val="006601C8"/>
    <w:rsid w:val="00673482"/>
    <w:rsid w:val="00685938"/>
    <w:rsid w:val="00687288"/>
    <w:rsid w:val="00695A42"/>
    <w:rsid w:val="00696130"/>
    <w:rsid w:val="006A11F9"/>
    <w:rsid w:val="006B34CE"/>
    <w:rsid w:val="006D3A62"/>
    <w:rsid w:val="006D4D92"/>
    <w:rsid w:val="006D595A"/>
    <w:rsid w:val="006E1BF0"/>
    <w:rsid w:val="006E2300"/>
    <w:rsid w:val="006E33AB"/>
    <w:rsid w:val="006F131B"/>
    <w:rsid w:val="006F13A2"/>
    <w:rsid w:val="006F79A0"/>
    <w:rsid w:val="007047D3"/>
    <w:rsid w:val="0070712F"/>
    <w:rsid w:val="007110BE"/>
    <w:rsid w:val="00711605"/>
    <w:rsid w:val="00713D47"/>
    <w:rsid w:val="0071588B"/>
    <w:rsid w:val="00724420"/>
    <w:rsid w:val="00730FCD"/>
    <w:rsid w:val="007312D9"/>
    <w:rsid w:val="007334BB"/>
    <w:rsid w:val="007426A2"/>
    <w:rsid w:val="007512D2"/>
    <w:rsid w:val="007521FE"/>
    <w:rsid w:val="00757E0C"/>
    <w:rsid w:val="00766083"/>
    <w:rsid w:val="007723A9"/>
    <w:rsid w:val="00776D04"/>
    <w:rsid w:val="00787C9B"/>
    <w:rsid w:val="00791865"/>
    <w:rsid w:val="0079515B"/>
    <w:rsid w:val="007B58D7"/>
    <w:rsid w:val="007D02E6"/>
    <w:rsid w:val="007E06E8"/>
    <w:rsid w:val="007E1FA0"/>
    <w:rsid w:val="007E6415"/>
    <w:rsid w:val="00814ECC"/>
    <w:rsid w:val="00830118"/>
    <w:rsid w:val="0083179D"/>
    <w:rsid w:val="00834299"/>
    <w:rsid w:val="0084127A"/>
    <w:rsid w:val="00844806"/>
    <w:rsid w:val="0084657B"/>
    <w:rsid w:val="00856C9D"/>
    <w:rsid w:val="00861CE0"/>
    <w:rsid w:val="00865CB1"/>
    <w:rsid w:val="00874955"/>
    <w:rsid w:val="00874B55"/>
    <w:rsid w:val="00886760"/>
    <w:rsid w:val="008879AE"/>
    <w:rsid w:val="0089349C"/>
    <w:rsid w:val="008C5B0E"/>
    <w:rsid w:val="008C6D56"/>
    <w:rsid w:val="008C74E5"/>
    <w:rsid w:val="008D4797"/>
    <w:rsid w:val="008E5BC9"/>
    <w:rsid w:val="009031F3"/>
    <w:rsid w:val="00911BA9"/>
    <w:rsid w:val="00915F38"/>
    <w:rsid w:val="00921C6F"/>
    <w:rsid w:val="0096643E"/>
    <w:rsid w:val="00966E8F"/>
    <w:rsid w:val="00970865"/>
    <w:rsid w:val="00972F90"/>
    <w:rsid w:val="00987B5A"/>
    <w:rsid w:val="0099434C"/>
    <w:rsid w:val="009945D5"/>
    <w:rsid w:val="009A376D"/>
    <w:rsid w:val="009C0C54"/>
    <w:rsid w:val="009D0B35"/>
    <w:rsid w:val="009D1114"/>
    <w:rsid w:val="009D12A4"/>
    <w:rsid w:val="009E5B89"/>
    <w:rsid w:val="009F2D3C"/>
    <w:rsid w:val="009F2EF1"/>
    <w:rsid w:val="00A002DA"/>
    <w:rsid w:val="00A05886"/>
    <w:rsid w:val="00A10FDD"/>
    <w:rsid w:val="00A4006B"/>
    <w:rsid w:val="00A40A86"/>
    <w:rsid w:val="00A60B7C"/>
    <w:rsid w:val="00A625E5"/>
    <w:rsid w:val="00A83FB6"/>
    <w:rsid w:val="00A85342"/>
    <w:rsid w:val="00A963AC"/>
    <w:rsid w:val="00AC3352"/>
    <w:rsid w:val="00AD12EE"/>
    <w:rsid w:val="00AE4850"/>
    <w:rsid w:val="00B13923"/>
    <w:rsid w:val="00B2402E"/>
    <w:rsid w:val="00B30903"/>
    <w:rsid w:val="00B40328"/>
    <w:rsid w:val="00B44448"/>
    <w:rsid w:val="00B5377D"/>
    <w:rsid w:val="00B73AF3"/>
    <w:rsid w:val="00B83EF2"/>
    <w:rsid w:val="00B9331B"/>
    <w:rsid w:val="00B953B6"/>
    <w:rsid w:val="00B97971"/>
    <w:rsid w:val="00BC1307"/>
    <w:rsid w:val="00BD497F"/>
    <w:rsid w:val="00BE1F71"/>
    <w:rsid w:val="00BF16FD"/>
    <w:rsid w:val="00BF4E03"/>
    <w:rsid w:val="00BF7A5F"/>
    <w:rsid w:val="00C00C19"/>
    <w:rsid w:val="00C25DB0"/>
    <w:rsid w:val="00C26195"/>
    <w:rsid w:val="00C5118E"/>
    <w:rsid w:val="00C7103A"/>
    <w:rsid w:val="00C742B5"/>
    <w:rsid w:val="00C74678"/>
    <w:rsid w:val="00C807D2"/>
    <w:rsid w:val="00CA27B6"/>
    <w:rsid w:val="00CA6CB4"/>
    <w:rsid w:val="00CC16BB"/>
    <w:rsid w:val="00CC30B6"/>
    <w:rsid w:val="00CD1BC7"/>
    <w:rsid w:val="00CF4E26"/>
    <w:rsid w:val="00D027FA"/>
    <w:rsid w:val="00D054E7"/>
    <w:rsid w:val="00D11ED4"/>
    <w:rsid w:val="00D13D82"/>
    <w:rsid w:val="00D23CFA"/>
    <w:rsid w:val="00D37439"/>
    <w:rsid w:val="00D51225"/>
    <w:rsid w:val="00D5140A"/>
    <w:rsid w:val="00DD1F0A"/>
    <w:rsid w:val="00DD793D"/>
    <w:rsid w:val="00DE11F0"/>
    <w:rsid w:val="00E42FC5"/>
    <w:rsid w:val="00E50F17"/>
    <w:rsid w:val="00E62904"/>
    <w:rsid w:val="00E96E0A"/>
    <w:rsid w:val="00EB03AE"/>
    <w:rsid w:val="00EB3B64"/>
    <w:rsid w:val="00EB4187"/>
    <w:rsid w:val="00EB7C03"/>
    <w:rsid w:val="00ED0A93"/>
    <w:rsid w:val="00F1665E"/>
    <w:rsid w:val="00F21E3A"/>
    <w:rsid w:val="00F2797D"/>
    <w:rsid w:val="00F35BD2"/>
    <w:rsid w:val="00F64BB8"/>
    <w:rsid w:val="00F737E3"/>
    <w:rsid w:val="00F743C5"/>
    <w:rsid w:val="00F86AE0"/>
    <w:rsid w:val="00FC39ED"/>
    <w:rsid w:val="00FC72A1"/>
    <w:rsid w:val="00FE7DA7"/>
    <w:rsid w:val="00FF1866"/>
    <w:rsid w:val="00FF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firstLine="720"/>
      <w:outlineLvl w:val="0"/>
    </w:pPr>
    <w:rPr>
      <w:rFonts w:ascii="CG Times" w:hAnsi="CG Times"/>
      <w:b/>
      <w:u w:val="single"/>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rFonts w:ascii="CG Times" w:hAnsi="CG Times"/>
      <w:smallCaps/>
      <w:szCs w:val="20"/>
    </w:rPr>
  </w:style>
  <w:style w:type="paragraph" w:styleId="Heading3">
    <w:name w:val="heading 3"/>
    <w:basedOn w:val="Normal"/>
    <w:next w:val="Normal"/>
    <w:qFormat/>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textAlignment w:val="baseline"/>
    </w:pPr>
    <w:rPr>
      <w:rFonts w:ascii="CG Times" w:hAnsi="CG Times"/>
      <w:szCs w:val="20"/>
    </w:r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ootnote Text Char1"/>
    <w:basedOn w:val="Normal"/>
    <w:link w:val="FootnoteTextChar"/>
    <w:qFormat/>
    <w:pPr>
      <w:overflowPunct w:val="0"/>
      <w:autoSpaceDE w:val="0"/>
      <w:autoSpaceDN w:val="0"/>
      <w:adjustRightInd w:val="0"/>
      <w:textAlignment w:val="baseline"/>
    </w:pPr>
    <w:rPr>
      <w:sz w:val="20"/>
      <w:szCs w:val="20"/>
    </w:rPr>
  </w:style>
  <w:style w:type="character" w:styleId="FootnoteReference">
    <w:name w:val="footnote reference"/>
    <w:aliases w:val="Style 19,Style 16,fr,Style 35,Style 39,Style 14,12,Style 6,Footnote Reference Superscript,SUPERS,BVI fnr,Footnote symbol,(Footnote Reference),Footnote reference number,note TESI,EN Footnote Reference,Voetnootverwijzing"/>
    <w:uiPriority w:val="99"/>
    <w:qFormat/>
    <w:rPr>
      <w:vertAlign w:val="superscript"/>
    </w:rPr>
  </w:style>
  <w:style w:type="paragraph" w:styleId="BodyTextIndent">
    <w:name w:val="Body Text Indent"/>
    <w:basedOn w:val="Normal"/>
    <w:pPr>
      <w:ind w:left="720" w:firstLine="720"/>
    </w:pPr>
    <w:rPr>
      <w:rFonts w:ascii="CG Times" w:hAnsi="CG Times"/>
    </w:rPr>
  </w:style>
  <w:style w:type="paragraph" w:styleId="BodyText2">
    <w:name w:val="Body Text 2"/>
    <w:basedOn w:val="Normal"/>
    <w:pPr>
      <w:overflowPunct w:val="0"/>
      <w:autoSpaceDE w:val="0"/>
      <w:autoSpaceDN w:val="0"/>
      <w:adjustRightInd w:val="0"/>
      <w:spacing w:before="60"/>
      <w:ind w:left="720"/>
      <w:textAlignment w:val="baseline"/>
    </w:pPr>
    <w:rPr>
      <w:rFonts w:ascii="CG Times" w:hAnsi="CG Times"/>
      <w:szCs w:val="20"/>
    </w:rPr>
  </w:style>
  <w:style w:type="character" w:styleId="PageNumber">
    <w:name w:val="page number"/>
    <w:basedOn w:val="DefaultParagraphFont"/>
  </w:style>
  <w:style w:type="paragraph" w:styleId="Title">
    <w:name w:val="Title"/>
    <w:basedOn w:val="Normal"/>
    <w:link w:val="TitleChar"/>
    <w:qFormat/>
    <w:pPr>
      <w:overflowPunct w:val="0"/>
      <w:autoSpaceDE w:val="0"/>
      <w:autoSpaceDN w:val="0"/>
      <w:adjustRightInd w:val="0"/>
      <w:jc w:val="center"/>
      <w:textAlignment w:val="baseline"/>
    </w:pPr>
    <w:rPr>
      <w:rFonts w:ascii="CG Times" w:hAnsi="CG Times"/>
      <w:b/>
      <w:szCs w:val="2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ind w:left="720"/>
    </w:pPr>
    <w:rPr>
      <w:rFonts w:ascii="CG Times" w:hAnsi="CG Times"/>
    </w:rPr>
  </w:style>
  <w:style w:type="paragraph" w:styleId="BodyTextIndent3">
    <w:name w:val="Body Text Indent 3"/>
    <w:basedOn w:val="Normal"/>
    <w:pPr>
      <w:ind w:firstLine="720"/>
    </w:pPr>
    <w:rPr>
      <w:rFonts w:ascii="CG Times" w:hAnsi="CG Times"/>
    </w:rPr>
  </w:style>
  <w:style w:type="paragraph" w:styleId="BodyText3">
    <w:name w:val="Body Text 3"/>
    <w:basedOn w:val="Normal"/>
    <w:rPr>
      <w:rFonts w:ascii="CG Times" w:hAnsi="CG Times"/>
      <w:b/>
      <w:bCs/>
      <w:i/>
      <w:iCs/>
    </w:rPr>
  </w:style>
  <w:style w:type="paragraph" w:styleId="BalloonText">
    <w:name w:val="Balloon Text"/>
    <w:basedOn w:val="Normal"/>
    <w:semiHidden/>
    <w:rsid w:val="0003274D"/>
    <w:rPr>
      <w:rFonts w:ascii="Tahoma" w:hAnsi="Tahoma" w:cs="Tahoma"/>
      <w:sz w:val="16"/>
      <w:szCs w:val="16"/>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link w:val="FootnoteText"/>
    <w:rsid w:val="00B2402E"/>
  </w:style>
  <w:style w:type="paragraph" w:customStyle="1" w:styleId="Default">
    <w:name w:val="Default"/>
    <w:rsid w:val="00B2402E"/>
    <w:pPr>
      <w:autoSpaceDE w:val="0"/>
      <w:autoSpaceDN w:val="0"/>
      <w:adjustRightInd w:val="0"/>
    </w:pPr>
    <w:rPr>
      <w:color w:val="000000"/>
      <w:sz w:val="24"/>
      <w:szCs w:val="24"/>
    </w:rPr>
  </w:style>
  <w:style w:type="character" w:styleId="Hyperlink">
    <w:name w:val="Hyperlink"/>
    <w:uiPriority w:val="99"/>
    <w:rsid w:val="00911BA9"/>
    <w:rPr>
      <w:rFonts w:cs="Times New Roman"/>
      <w:color w:val="0000FF"/>
      <w:u w:val="single"/>
    </w:rPr>
  </w:style>
  <w:style w:type="character" w:customStyle="1" w:styleId="FooterChar">
    <w:name w:val="Footer Char"/>
    <w:link w:val="Footer"/>
    <w:uiPriority w:val="99"/>
    <w:rsid w:val="00F2797D"/>
    <w:rPr>
      <w:sz w:val="24"/>
      <w:szCs w:val="24"/>
    </w:rPr>
  </w:style>
  <w:style w:type="character" w:styleId="CommentReference">
    <w:name w:val="annotation reference"/>
    <w:rsid w:val="002024F7"/>
    <w:rPr>
      <w:sz w:val="16"/>
      <w:szCs w:val="16"/>
    </w:rPr>
  </w:style>
  <w:style w:type="paragraph" w:styleId="CommentText">
    <w:name w:val="annotation text"/>
    <w:basedOn w:val="Normal"/>
    <w:link w:val="CommentTextChar"/>
    <w:rsid w:val="002024F7"/>
    <w:rPr>
      <w:sz w:val="20"/>
      <w:szCs w:val="20"/>
    </w:rPr>
  </w:style>
  <w:style w:type="character" w:customStyle="1" w:styleId="CommentTextChar">
    <w:name w:val="Comment Text Char"/>
    <w:basedOn w:val="DefaultParagraphFont"/>
    <w:link w:val="CommentText"/>
    <w:rsid w:val="002024F7"/>
  </w:style>
  <w:style w:type="paragraph" w:styleId="CommentSubject">
    <w:name w:val="annotation subject"/>
    <w:basedOn w:val="CommentText"/>
    <w:next w:val="CommentText"/>
    <w:link w:val="CommentSubjectChar"/>
    <w:rsid w:val="002024F7"/>
    <w:rPr>
      <w:b/>
      <w:bCs/>
    </w:rPr>
  </w:style>
  <w:style w:type="character" w:customStyle="1" w:styleId="CommentSubjectChar">
    <w:name w:val="Comment Subject Char"/>
    <w:link w:val="CommentSubject"/>
    <w:rsid w:val="002024F7"/>
    <w:rPr>
      <w:b/>
      <w:bCs/>
    </w:rPr>
  </w:style>
  <w:style w:type="character" w:customStyle="1" w:styleId="TitleChar">
    <w:name w:val="Title Char"/>
    <w:basedOn w:val="DefaultParagraphFont"/>
    <w:link w:val="Title"/>
    <w:rsid w:val="00A40A86"/>
    <w:rPr>
      <w:rFonts w:ascii="CG Times" w:hAnsi="CG Times"/>
      <w:b/>
      <w:sz w:val="24"/>
      <w:u w:val="single"/>
    </w:rPr>
  </w:style>
  <w:style w:type="table" w:styleId="TableGrid">
    <w:name w:val="Table Grid"/>
    <w:basedOn w:val="TableNormal"/>
    <w:uiPriority w:val="59"/>
    <w:rsid w:val="00485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879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firstLine="720"/>
      <w:outlineLvl w:val="0"/>
    </w:pPr>
    <w:rPr>
      <w:rFonts w:ascii="CG Times" w:hAnsi="CG Times"/>
      <w:b/>
      <w:u w:val="single"/>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rFonts w:ascii="CG Times" w:hAnsi="CG Times"/>
      <w:smallCaps/>
      <w:szCs w:val="20"/>
    </w:rPr>
  </w:style>
  <w:style w:type="paragraph" w:styleId="Heading3">
    <w:name w:val="heading 3"/>
    <w:basedOn w:val="Normal"/>
    <w:next w:val="Normal"/>
    <w:qFormat/>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textAlignment w:val="baseline"/>
    </w:pPr>
    <w:rPr>
      <w:rFonts w:ascii="CG Times" w:hAnsi="CG Times"/>
      <w:szCs w:val="20"/>
    </w:r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ootnote Text Char1"/>
    <w:basedOn w:val="Normal"/>
    <w:link w:val="FootnoteTextChar"/>
    <w:qFormat/>
    <w:pPr>
      <w:overflowPunct w:val="0"/>
      <w:autoSpaceDE w:val="0"/>
      <w:autoSpaceDN w:val="0"/>
      <w:adjustRightInd w:val="0"/>
      <w:textAlignment w:val="baseline"/>
    </w:pPr>
    <w:rPr>
      <w:sz w:val="20"/>
      <w:szCs w:val="20"/>
    </w:rPr>
  </w:style>
  <w:style w:type="character" w:styleId="FootnoteReference">
    <w:name w:val="footnote reference"/>
    <w:aliases w:val="Style 19,Style 16,fr,Style 35,Style 39,Style 14,12,Style 6,Footnote Reference Superscript,SUPERS,BVI fnr,Footnote symbol,(Footnote Reference),Footnote reference number,note TESI,EN Footnote Reference,Voetnootverwijzing"/>
    <w:uiPriority w:val="99"/>
    <w:qFormat/>
    <w:rPr>
      <w:vertAlign w:val="superscript"/>
    </w:rPr>
  </w:style>
  <w:style w:type="paragraph" w:styleId="BodyTextIndent">
    <w:name w:val="Body Text Indent"/>
    <w:basedOn w:val="Normal"/>
    <w:pPr>
      <w:ind w:left="720" w:firstLine="720"/>
    </w:pPr>
    <w:rPr>
      <w:rFonts w:ascii="CG Times" w:hAnsi="CG Times"/>
    </w:rPr>
  </w:style>
  <w:style w:type="paragraph" w:styleId="BodyText2">
    <w:name w:val="Body Text 2"/>
    <w:basedOn w:val="Normal"/>
    <w:pPr>
      <w:overflowPunct w:val="0"/>
      <w:autoSpaceDE w:val="0"/>
      <w:autoSpaceDN w:val="0"/>
      <w:adjustRightInd w:val="0"/>
      <w:spacing w:before="60"/>
      <w:ind w:left="720"/>
      <w:textAlignment w:val="baseline"/>
    </w:pPr>
    <w:rPr>
      <w:rFonts w:ascii="CG Times" w:hAnsi="CG Times"/>
      <w:szCs w:val="20"/>
    </w:rPr>
  </w:style>
  <w:style w:type="character" w:styleId="PageNumber">
    <w:name w:val="page number"/>
    <w:basedOn w:val="DefaultParagraphFont"/>
  </w:style>
  <w:style w:type="paragraph" w:styleId="Title">
    <w:name w:val="Title"/>
    <w:basedOn w:val="Normal"/>
    <w:link w:val="TitleChar"/>
    <w:qFormat/>
    <w:pPr>
      <w:overflowPunct w:val="0"/>
      <w:autoSpaceDE w:val="0"/>
      <w:autoSpaceDN w:val="0"/>
      <w:adjustRightInd w:val="0"/>
      <w:jc w:val="center"/>
      <w:textAlignment w:val="baseline"/>
    </w:pPr>
    <w:rPr>
      <w:rFonts w:ascii="CG Times" w:hAnsi="CG Times"/>
      <w:b/>
      <w:szCs w:val="2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ind w:left="720"/>
    </w:pPr>
    <w:rPr>
      <w:rFonts w:ascii="CG Times" w:hAnsi="CG Times"/>
    </w:rPr>
  </w:style>
  <w:style w:type="paragraph" w:styleId="BodyTextIndent3">
    <w:name w:val="Body Text Indent 3"/>
    <w:basedOn w:val="Normal"/>
    <w:pPr>
      <w:ind w:firstLine="720"/>
    </w:pPr>
    <w:rPr>
      <w:rFonts w:ascii="CG Times" w:hAnsi="CG Times"/>
    </w:rPr>
  </w:style>
  <w:style w:type="paragraph" w:styleId="BodyText3">
    <w:name w:val="Body Text 3"/>
    <w:basedOn w:val="Normal"/>
    <w:rPr>
      <w:rFonts w:ascii="CG Times" w:hAnsi="CG Times"/>
      <w:b/>
      <w:bCs/>
      <w:i/>
      <w:iCs/>
    </w:rPr>
  </w:style>
  <w:style w:type="paragraph" w:styleId="BalloonText">
    <w:name w:val="Balloon Text"/>
    <w:basedOn w:val="Normal"/>
    <w:semiHidden/>
    <w:rsid w:val="0003274D"/>
    <w:rPr>
      <w:rFonts w:ascii="Tahoma" w:hAnsi="Tahoma" w:cs="Tahoma"/>
      <w:sz w:val="16"/>
      <w:szCs w:val="16"/>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link w:val="FootnoteText"/>
    <w:rsid w:val="00B2402E"/>
  </w:style>
  <w:style w:type="paragraph" w:customStyle="1" w:styleId="Default">
    <w:name w:val="Default"/>
    <w:rsid w:val="00B2402E"/>
    <w:pPr>
      <w:autoSpaceDE w:val="0"/>
      <w:autoSpaceDN w:val="0"/>
      <w:adjustRightInd w:val="0"/>
    </w:pPr>
    <w:rPr>
      <w:color w:val="000000"/>
      <w:sz w:val="24"/>
      <w:szCs w:val="24"/>
    </w:rPr>
  </w:style>
  <w:style w:type="character" w:styleId="Hyperlink">
    <w:name w:val="Hyperlink"/>
    <w:uiPriority w:val="99"/>
    <w:rsid w:val="00911BA9"/>
    <w:rPr>
      <w:rFonts w:cs="Times New Roman"/>
      <w:color w:val="0000FF"/>
      <w:u w:val="single"/>
    </w:rPr>
  </w:style>
  <w:style w:type="character" w:customStyle="1" w:styleId="FooterChar">
    <w:name w:val="Footer Char"/>
    <w:link w:val="Footer"/>
    <w:uiPriority w:val="99"/>
    <w:rsid w:val="00F2797D"/>
    <w:rPr>
      <w:sz w:val="24"/>
      <w:szCs w:val="24"/>
    </w:rPr>
  </w:style>
  <w:style w:type="character" w:styleId="CommentReference">
    <w:name w:val="annotation reference"/>
    <w:rsid w:val="002024F7"/>
    <w:rPr>
      <w:sz w:val="16"/>
      <w:szCs w:val="16"/>
    </w:rPr>
  </w:style>
  <w:style w:type="paragraph" w:styleId="CommentText">
    <w:name w:val="annotation text"/>
    <w:basedOn w:val="Normal"/>
    <w:link w:val="CommentTextChar"/>
    <w:rsid w:val="002024F7"/>
    <w:rPr>
      <w:sz w:val="20"/>
      <w:szCs w:val="20"/>
    </w:rPr>
  </w:style>
  <w:style w:type="character" w:customStyle="1" w:styleId="CommentTextChar">
    <w:name w:val="Comment Text Char"/>
    <w:basedOn w:val="DefaultParagraphFont"/>
    <w:link w:val="CommentText"/>
    <w:rsid w:val="002024F7"/>
  </w:style>
  <w:style w:type="paragraph" w:styleId="CommentSubject">
    <w:name w:val="annotation subject"/>
    <w:basedOn w:val="CommentText"/>
    <w:next w:val="CommentText"/>
    <w:link w:val="CommentSubjectChar"/>
    <w:rsid w:val="002024F7"/>
    <w:rPr>
      <w:b/>
      <w:bCs/>
    </w:rPr>
  </w:style>
  <w:style w:type="character" w:customStyle="1" w:styleId="CommentSubjectChar">
    <w:name w:val="Comment Subject Char"/>
    <w:link w:val="CommentSubject"/>
    <w:rsid w:val="002024F7"/>
    <w:rPr>
      <w:b/>
      <w:bCs/>
    </w:rPr>
  </w:style>
  <w:style w:type="character" w:customStyle="1" w:styleId="TitleChar">
    <w:name w:val="Title Char"/>
    <w:basedOn w:val="DefaultParagraphFont"/>
    <w:link w:val="Title"/>
    <w:rsid w:val="00A40A86"/>
    <w:rPr>
      <w:rFonts w:ascii="CG Times" w:hAnsi="CG Times"/>
      <w:b/>
      <w:sz w:val="24"/>
      <w:u w:val="single"/>
    </w:rPr>
  </w:style>
  <w:style w:type="table" w:styleId="TableGrid">
    <w:name w:val="Table Grid"/>
    <w:basedOn w:val="TableNormal"/>
    <w:uiPriority w:val="59"/>
    <w:rsid w:val="00485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87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1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ec.gov/rules/proposed.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9F923-2039-438A-AA61-E2518BAE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4078</Words>
  <Characters>23518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Amendments to the Books and Records Rules</vt:lpstr>
    </vt:vector>
  </TitlesOfParts>
  <Company>Securities and Exhange Commission</Company>
  <LinksUpToDate>false</LinksUpToDate>
  <CharactersWithSpaces>27541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to the Books and Records Rules</dc:title>
  <dc:creator>us</dc:creator>
  <cp:lastModifiedBy>Tontz, Jennifer</cp:lastModifiedBy>
  <cp:revision>2</cp:revision>
  <cp:lastPrinted>2016-03-17T20:25:00Z</cp:lastPrinted>
  <dcterms:created xsi:type="dcterms:W3CDTF">2016-03-17T20:50:00Z</dcterms:created>
  <dcterms:modified xsi:type="dcterms:W3CDTF">2016-03-17T20:50:00Z</dcterms:modified>
</cp:coreProperties>
</file>