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109" w:rsidRPr="00B52482" w:rsidRDefault="0083525A" w:rsidP="0083525A">
      <w:pPr>
        <w:jc w:val="center"/>
        <w:rPr>
          <w:b/>
        </w:rPr>
      </w:pPr>
      <w:r w:rsidRPr="00B52482">
        <w:rPr>
          <w:b/>
        </w:rPr>
        <w:t>Justification for Non-Substantive Change</w:t>
      </w:r>
    </w:p>
    <w:p w:rsidR="0083525A" w:rsidRDefault="006F04D9" w:rsidP="0083525A">
      <w:pPr>
        <w:jc w:val="center"/>
        <w:rPr>
          <w:b/>
        </w:rPr>
      </w:pPr>
      <w:r>
        <w:rPr>
          <w:b/>
        </w:rPr>
        <w:t>Simple Network Applications Process and Multipurpose Application Form</w:t>
      </w:r>
    </w:p>
    <w:p w:rsidR="006A4389" w:rsidRPr="00B52482" w:rsidRDefault="006A4389" w:rsidP="0083525A">
      <w:pPr>
        <w:jc w:val="center"/>
        <w:rPr>
          <w:b/>
        </w:rPr>
      </w:pPr>
      <w:r w:rsidRPr="006A4389">
        <w:rPr>
          <w:b/>
        </w:rPr>
        <w:t xml:space="preserve">OMB </w:t>
      </w:r>
      <w:r>
        <w:rPr>
          <w:b/>
        </w:rPr>
        <w:t xml:space="preserve">Control Number: </w:t>
      </w:r>
      <w:r w:rsidRPr="006A4389">
        <w:rPr>
          <w:b/>
        </w:rPr>
        <w:t>0694-0</w:t>
      </w:r>
      <w:r w:rsidR="006F04D9">
        <w:rPr>
          <w:b/>
        </w:rPr>
        <w:t>088</w:t>
      </w:r>
    </w:p>
    <w:p w:rsidR="0083525A" w:rsidRDefault="0083525A"/>
    <w:p w:rsidR="0083525A" w:rsidRDefault="0083525A" w:rsidP="00CD4061">
      <w:pPr>
        <w:spacing w:after="0" w:line="240" w:lineRule="auto"/>
      </w:pPr>
      <w:r>
        <w:t>This non-substantive change is needed to support publication of a</w:t>
      </w:r>
      <w:r w:rsidR="003A7B4C">
        <w:t xml:space="preserve"> proposed rule “</w:t>
      </w:r>
      <w:r w:rsidR="003A7B4C" w:rsidRPr="003A7B4C">
        <w:t>Proposed Revisions to the Export Administration Regulations (EAR): Unverified List (UVL)</w:t>
      </w:r>
      <w:r>
        <w:t>”</w:t>
      </w:r>
      <w:r w:rsidR="00B52482">
        <w:t xml:space="preserve"> (RIN </w:t>
      </w:r>
      <w:r w:rsidR="008F6428" w:rsidRPr="008F6428">
        <w:t>0694-AF7</w:t>
      </w:r>
      <w:r w:rsidR="003A7B4C">
        <w:t>0</w:t>
      </w:r>
      <w:r w:rsidR="00B52482">
        <w:t>).</w:t>
      </w:r>
    </w:p>
    <w:p w:rsidR="00CD4061" w:rsidRDefault="00CD4061" w:rsidP="00CD4061">
      <w:pPr>
        <w:spacing w:after="0" w:line="240" w:lineRule="auto"/>
      </w:pPr>
    </w:p>
    <w:p w:rsidR="00891875" w:rsidRDefault="00CD4061" w:rsidP="006C6EDD">
      <w:pPr>
        <w:spacing w:after="0" w:line="240" w:lineRule="auto"/>
      </w:pPr>
      <w:r w:rsidRPr="006C6EDD">
        <w:t xml:space="preserve">This rule changes the </w:t>
      </w:r>
      <w:r w:rsidR="006C6EDD" w:rsidRPr="009021AE">
        <w:t>information collection</w:t>
      </w:r>
      <w:r w:rsidR="006C6EDD">
        <w:t xml:space="preserve">, </w:t>
      </w:r>
      <w:r w:rsidR="006C6EDD" w:rsidRPr="006C6EDD">
        <w:t>License Exceptions and Exclusions,</w:t>
      </w:r>
      <w:r w:rsidR="006C6EDD">
        <w:t xml:space="preserve"> </w:t>
      </w:r>
      <w:r w:rsidR="006C6EDD" w:rsidRPr="006C6EDD">
        <w:t>OMB Control N</w:t>
      </w:r>
      <w:r w:rsidR="00891875">
        <w:t xml:space="preserve">o. </w:t>
      </w:r>
    </w:p>
    <w:p w:rsidR="00C67940" w:rsidRDefault="006C6EDD" w:rsidP="006C6EDD">
      <w:pPr>
        <w:spacing w:after="0" w:line="240" w:lineRule="auto"/>
      </w:pPr>
      <w:r w:rsidRPr="006C6EDD">
        <w:t>0694-0137</w:t>
      </w:r>
      <w:r>
        <w:t xml:space="preserve">, </w:t>
      </w:r>
      <w:r w:rsidR="00CD4061" w:rsidRPr="009021AE">
        <w:t xml:space="preserve">by suspending the availability of license exceptions for exports, </w:t>
      </w:r>
      <w:proofErr w:type="spellStart"/>
      <w:r w:rsidR="00CD4061" w:rsidRPr="009021AE">
        <w:t>reexp</w:t>
      </w:r>
      <w:r w:rsidR="00C67940">
        <w:t>orts</w:t>
      </w:r>
      <w:proofErr w:type="spellEnd"/>
      <w:r w:rsidR="00C67940">
        <w:t>, and transfers</w:t>
      </w:r>
    </w:p>
    <w:p w:rsidR="003062F0" w:rsidRDefault="00CD4061" w:rsidP="006C6EDD">
      <w:pPr>
        <w:spacing w:after="0" w:line="240" w:lineRule="auto"/>
        <w:rPr>
          <w:rFonts w:cs="Tahoma"/>
          <w:color w:val="000000"/>
        </w:rPr>
      </w:pPr>
      <w:proofErr w:type="gramStart"/>
      <w:r w:rsidRPr="009021AE">
        <w:t>(in-country) to persons listed on the UVL.</w:t>
      </w:r>
      <w:proofErr w:type="gramEnd"/>
      <w:r w:rsidRPr="009021AE">
        <w:t xml:space="preserve">  </w:t>
      </w:r>
      <w:r w:rsidRPr="009021AE">
        <w:rPr>
          <w:rFonts w:cs="Tahoma"/>
          <w:color w:val="000000"/>
        </w:rPr>
        <w:t xml:space="preserve">A license exception </w:t>
      </w:r>
      <w:r w:rsidR="00AB2B60">
        <w:rPr>
          <w:rFonts w:cs="Tahoma"/>
          <w:color w:val="000000"/>
        </w:rPr>
        <w:t xml:space="preserve">is when </w:t>
      </w:r>
      <w:r w:rsidRPr="009021AE">
        <w:rPr>
          <w:rFonts w:cs="Tahoma"/>
          <w:color w:val="000000"/>
        </w:rPr>
        <w:t xml:space="preserve">someone can ship an item that would normally require a license, </w:t>
      </w:r>
      <w:r>
        <w:rPr>
          <w:rFonts w:cs="Tahoma"/>
          <w:color w:val="000000"/>
        </w:rPr>
        <w:t xml:space="preserve">under license exception, </w:t>
      </w:r>
      <w:r w:rsidRPr="009021AE">
        <w:rPr>
          <w:rFonts w:cs="Tahoma"/>
          <w:color w:val="000000"/>
        </w:rPr>
        <w:t>i</w:t>
      </w:r>
      <w:r w:rsidR="006C6EDD">
        <w:rPr>
          <w:rFonts w:cs="Tahoma"/>
          <w:color w:val="000000"/>
        </w:rPr>
        <w:t xml:space="preserve">f certain conditions are met. </w:t>
      </w:r>
    </w:p>
    <w:p w:rsidR="003062F0" w:rsidRDefault="003062F0" w:rsidP="006C6EDD">
      <w:pPr>
        <w:spacing w:after="0" w:line="240" w:lineRule="auto"/>
        <w:rPr>
          <w:rFonts w:cs="Tahoma"/>
          <w:color w:val="000000"/>
        </w:rPr>
      </w:pPr>
    </w:p>
    <w:p w:rsidR="006C6EDD" w:rsidRDefault="00CD4061" w:rsidP="006C6EDD">
      <w:pPr>
        <w:spacing w:after="0" w:line="240" w:lineRule="auto"/>
      </w:pPr>
      <w:r>
        <w:t>The suspension of license exceptions means that individuals will need to</w:t>
      </w:r>
      <w:r w:rsidR="006C6EDD">
        <w:t xml:space="preserve"> apply for a license using the Simple Network Applications Process and Multipurpose Application Form </w:t>
      </w:r>
      <w:bookmarkStart w:id="0" w:name="_GoBack"/>
      <w:bookmarkEnd w:id="0"/>
      <w:r w:rsidR="003062F0">
        <w:t xml:space="preserve">which </w:t>
      </w:r>
      <w:r w:rsidR="00AB2B60">
        <w:t xml:space="preserve">will </w:t>
      </w:r>
      <w:r w:rsidR="006C6EDD">
        <w:t>result</w:t>
      </w:r>
      <w:r w:rsidR="003062F0">
        <w:t xml:space="preserve"> </w:t>
      </w:r>
      <w:r w:rsidR="006C6EDD">
        <w:t>in an increase of burden hours</w:t>
      </w:r>
      <w:r w:rsidR="00891875">
        <w:t xml:space="preserve"> to OMB Control No. 0694-0088.</w:t>
      </w:r>
    </w:p>
    <w:p w:rsidR="00AD6E28" w:rsidRDefault="00CD4061" w:rsidP="006C6EDD">
      <w:pPr>
        <w:spacing w:after="0" w:line="240" w:lineRule="auto"/>
      </w:pPr>
      <w:r>
        <w:t xml:space="preserve"> </w:t>
      </w:r>
    </w:p>
    <w:p w:rsidR="00CD4061" w:rsidRDefault="00AD6E28" w:rsidP="00CD4061">
      <w:pPr>
        <w:spacing w:after="0" w:line="240" w:lineRule="auto"/>
      </w:pPr>
      <w:r w:rsidRPr="00AD6E28">
        <w:t xml:space="preserve">It is estimated that this change will </w:t>
      </w:r>
      <w:r w:rsidR="00891875">
        <w:t xml:space="preserve">add </w:t>
      </w:r>
      <w:r w:rsidR="004A2DB0">
        <w:t>1</w:t>
      </w:r>
      <w:r w:rsidR="006F04D9">
        <w:t>8 export licenses per year</w:t>
      </w:r>
      <w:r w:rsidR="00F02565">
        <w:t xml:space="preserve">.  Of these 18, two </w:t>
      </w:r>
      <w:r w:rsidR="003062F0">
        <w:t xml:space="preserve">applications are </w:t>
      </w:r>
      <w:r w:rsidR="00F02565">
        <w:t xml:space="preserve">expected </w:t>
      </w:r>
      <w:r w:rsidR="003062F0">
        <w:t xml:space="preserve">to have </w:t>
      </w:r>
      <w:r w:rsidR="00F02565">
        <w:t xml:space="preserve">minimal supporting documentation and 16 </w:t>
      </w:r>
      <w:r w:rsidR="003062F0">
        <w:t xml:space="preserve">applications are expected </w:t>
      </w:r>
      <w:r w:rsidR="00F02565">
        <w:t xml:space="preserve">have significant supporting documentation.   Therefore the burden increase is estimated to be 2 x 19 minutes + 16 x 49 minutes = </w:t>
      </w:r>
      <w:r w:rsidR="00852AB9" w:rsidRPr="004C6064">
        <w:rPr>
          <w:b/>
        </w:rPr>
        <w:t>1</w:t>
      </w:r>
      <w:r w:rsidR="00494B3C">
        <w:rPr>
          <w:b/>
        </w:rPr>
        <w:t>4</w:t>
      </w:r>
      <w:r w:rsidR="00852AB9" w:rsidRPr="004C6064">
        <w:rPr>
          <w:b/>
        </w:rPr>
        <w:t xml:space="preserve"> </w:t>
      </w:r>
      <w:r w:rsidRPr="004C6064">
        <w:rPr>
          <w:b/>
        </w:rPr>
        <w:t>hours annually</w:t>
      </w:r>
      <w:r w:rsidRPr="00AD6E28">
        <w:t>.</w:t>
      </w:r>
    </w:p>
    <w:p w:rsidR="00AB2B60" w:rsidRDefault="00AB2B60" w:rsidP="00CD4061">
      <w:pPr>
        <w:spacing w:after="0" w:line="240" w:lineRule="auto"/>
      </w:pPr>
    </w:p>
    <w:p w:rsidR="00AB2B60" w:rsidRDefault="00AB2B60" w:rsidP="00AB2B60">
      <w:pPr>
        <w:spacing w:after="0" w:line="240" w:lineRule="auto"/>
        <w:rPr>
          <w:rFonts w:eastAsia="Times New Roman"/>
          <w:spacing w:val="-2"/>
        </w:rPr>
      </w:pPr>
      <w:r>
        <w:t>(</w:t>
      </w:r>
      <w:r w:rsidRPr="00AB2B60">
        <w:t xml:space="preserve">The burden estimates are </w:t>
      </w:r>
      <w:r>
        <w:t xml:space="preserve">based on input of </w:t>
      </w:r>
      <w:r w:rsidRPr="00AB2B60">
        <w:rPr>
          <w:rFonts w:eastAsia="Times New Roman"/>
        </w:rPr>
        <w:t>li</w:t>
      </w:r>
      <w:r w:rsidRPr="00AB2B60">
        <w:rPr>
          <w:rFonts w:eastAsia="Times New Roman"/>
          <w:spacing w:val="-1"/>
        </w:rPr>
        <w:t>ce</w:t>
      </w:r>
      <w:r w:rsidRPr="00AB2B60">
        <w:rPr>
          <w:rFonts w:eastAsia="Times New Roman"/>
        </w:rPr>
        <w:t>nse</w:t>
      </w:r>
      <w:r w:rsidRPr="00AB2B60">
        <w:rPr>
          <w:rFonts w:eastAsia="Times New Roman"/>
          <w:spacing w:val="-1"/>
        </w:rPr>
        <w:t xml:space="preserve"> a</w:t>
      </w:r>
      <w:r w:rsidRPr="00AB2B60">
        <w:rPr>
          <w:rFonts w:eastAsia="Times New Roman"/>
        </w:rPr>
        <w:t>ppli</w:t>
      </w:r>
      <w:r w:rsidRPr="00AB2B60">
        <w:rPr>
          <w:rFonts w:eastAsia="Times New Roman"/>
          <w:spacing w:val="1"/>
        </w:rPr>
        <w:t>c</w:t>
      </w:r>
      <w:r w:rsidRPr="00AB2B60">
        <w:rPr>
          <w:rFonts w:eastAsia="Times New Roman"/>
          <w:spacing w:val="-1"/>
        </w:rPr>
        <w:t>a</w:t>
      </w:r>
      <w:r w:rsidRPr="00AB2B60">
        <w:rPr>
          <w:rFonts w:eastAsia="Times New Roman"/>
        </w:rPr>
        <w:t>tion</w:t>
      </w:r>
      <w:r>
        <w:rPr>
          <w:rFonts w:eastAsia="Times New Roman"/>
        </w:rPr>
        <w:t xml:space="preserve"> and </w:t>
      </w:r>
      <w:r w:rsidRPr="00AB2B60">
        <w:rPr>
          <w:rFonts w:eastAsia="Times New Roman"/>
          <w:spacing w:val="-1"/>
        </w:rPr>
        <w:t>a</w:t>
      </w:r>
      <w:r w:rsidRPr="00AB2B60">
        <w:rPr>
          <w:rFonts w:eastAsia="Times New Roman"/>
        </w:rPr>
        <w:t>ppli</w:t>
      </w:r>
      <w:r w:rsidRPr="00AB2B60">
        <w:rPr>
          <w:rFonts w:eastAsia="Times New Roman"/>
          <w:spacing w:val="-1"/>
        </w:rPr>
        <w:t>ca</w:t>
      </w:r>
      <w:r w:rsidRPr="00AB2B60">
        <w:rPr>
          <w:rFonts w:eastAsia="Times New Roman"/>
        </w:rPr>
        <w:t>tion</w:t>
      </w:r>
      <w:r w:rsidRPr="00AB2B60">
        <w:rPr>
          <w:rFonts w:eastAsia="Times New Roman"/>
          <w:spacing w:val="-1"/>
        </w:rPr>
        <w:t>-</w:t>
      </w:r>
      <w:r w:rsidRPr="00AB2B60">
        <w:rPr>
          <w:rFonts w:eastAsia="Times New Roman"/>
        </w:rPr>
        <w:t>sp</w:t>
      </w:r>
      <w:r w:rsidRPr="00AB2B60">
        <w:rPr>
          <w:rFonts w:eastAsia="Times New Roman"/>
          <w:spacing w:val="-1"/>
        </w:rPr>
        <w:t>ec</w:t>
      </w:r>
      <w:r w:rsidRPr="00AB2B60">
        <w:rPr>
          <w:rFonts w:eastAsia="Times New Roman"/>
        </w:rPr>
        <w:t>i</w:t>
      </w:r>
      <w:r w:rsidRPr="00AB2B60">
        <w:rPr>
          <w:rFonts w:eastAsia="Times New Roman"/>
          <w:spacing w:val="-1"/>
        </w:rPr>
        <w:t>f</w:t>
      </w:r>
      <w:r w:rsidRPr="00AB2B60">
        <w:rPr>
          <w:rFonts w:eastAsia="Times New Roman"/>
        </w:rPr>
        <w:t>ic</w:t>
      </w:r>
      <w:r w:rsidRPr="00AB2B60">
        <w:rPr>
          <w:rFonts w:eastAsia="Times New Roman"/>
          <w:spacing w:val="-1"/>
        </w:rPr>
        <w:t xml:space="preserve"> </w:t>
      </w:r>
      <w:r w:rsidRPr="00AB2B60">
        <w:rPr>
          <w:rFonts w:eastAsia="Times New Roman"/>
        </w:rPr>
        <w:t>d</w:t>
      </w:r>
      <w:r w:rsidRPr="00AB2B60">
        <w:rPr>
          <w:rFonts w:eastAsia="Times New Roman"/>
          <w:spacing w:val="-1"/>
        </w:rPr>
        <w:t>a</w:t>
      </w:r>
      <w:r w:rsidRPr="00AB2B60">
        <w:rPr>
          <w:rFonts w:eastAsia="Times New Roman"/>
          <w:spacing w:val="3"/>
        </w:rPr>
        <w:t>t</w:t>
      </w:r>
      <w:r w:rsidRPr="00AB2B60">
        <w:rPr>
          <w:rFonts w:eastAsia="Times New Roman"/>
        </w:rPr>
        <w:t>a</w:t>
      </w:r>
      <w:r w:rsidRPr="00AB2B60">
        <w:rPr>
          <w:rFonts w:eastAsia="Times New Roman"/>
          <w:spacing w:val="-1"/>
        </w:rPr>
        <w:t xml:space="preserve"> </w:t>
      </w:r>
      <w:r w:rsidRPr="00AB2B60">
        <w:rPr>
          <w:rFonts w:eastAsia="Times New Roman"/>
        </w:rPr>
        <w:t>into the</w:t>
      </w:r>
      <w:r w:rsidRPr="00AB2B60">
        <w:rPr>
          <w:rFonts w:eastAsia="Times New Roman"/>
          <w:spacing w:val="-1"/>
        </w:rPr>
        <w:t xml:space="preserve"> </w:t>
      </w:r>
      <w:r w:rsidRPr="00AB2B60">
        <w:rPr>
          <w:rFonts w:eastAsia="Times New Roman"/>
          <w:spacing w:val="1"/>
        </w:rPr>
        <w:t>S</w:t>
      </w:r>
      <w:r w:rsidRPr="00AB2B60">
        <w:rPr>
          <w:rFonts w:eastAsia="Times New Roman"/>
        </w:rPr>
        <w:t>NA</w:t>
      </w:r>
      <w:r w:rsidRPr="00AB2B60">
        <w:rPr>
          <w:rFonts w:eastAsia="Times New Roman"/>
          <w:spacing w:val="1"/>
        </w:rPr>
        <w:t>P</w:t>
      </w:r>
      <w:r w:rsidRPr="00AB2B60">
        <w:rPr>
          <w:rFonts w:eastAsia="Times New Roman"/>
          <w:spacing w:val="-1"/>
        </w:rPr>
        <w:t>-</w:t>
      </w:r>
      <w:r w:rsidRPr="00AB2B60">
        <w:rPr>
          <w:rFonts w:eastAsia="Times New Roman"/>
        </w:rPr>
        <w:t>R</w:t>
      </w:r>
      <w:r w:rsidRPr="00AB2B60">
        <w:rPr>
          <w:rFonts w:eastAsia="Times New Roman"/>
          <w:spacing w:val="1"/>
        </w:rPr>
        <w:t xml:space="preserve"> </w:t>
      </w:r>
      <w:r w:rsidRPr="00AB2B60">
        <w:rPr>
          <w:rFonts w:eastAsia="Times New Roman"/>
          <w:spacing w:val="3"/>
        </w:rPr>
        <w:t>s</w:t>
      </w:r>
      <w:r w:rsidRPr="00AB2B60">
        <w:rPr>
          <w:rFonts w:eastAsia="Times New Roman"/>
          <w:spacing w:val="-5"/>
        </w:rPr>
        <w:t>y</w:t>
      </w:r>
      <w:r w:rsidRPr="00AB2B60">
        <w:rPr>
          <w:rFonts w:eastAsia="Times New Roman"/>
        </w:rPr>
        <w:t>st</w:t>
      </w:r>
      <w:r w:rsidRPr="00AB2B60">
        <w:rPr>
          <w:rFonts w:eastAsia="Times New Roman"/>
          <w:spacing w:val="-1"/>
        </w:rPr>
        <w:t>e</w:t>
      </w:r>
      <w:r w:rsidRPr="00AB2B60">
        <w:rPr>
          <w:rFonts w:eastAsia="Times New Roman"/>
          <w:spacing w:val="-2"/>
        </w:rPr>
        <w:t>m</w:t>
      </w:r>
      <w:r>
        <w:rPr>
          <w:rFonts w:eastAsia="Times New Roman"/>
          <w:spacing w:val="-2"/>
        </w:rPr>
        <w:t xml:space="preserve">, </w:t>
      </w:r>
      <w:r w:rsidRPr="00AB2B60">
        <w:rPr>
          <w:rFonts w:eastAsia="Times New Roman"/>
        </w:rPr>
        <w:t>sub</w:t>
      </w:r>
      <w:r w:rsidRPr="00AB2B60">
        <w:rPr>
          <w:rFonts w:eastAsia="Times New Roman"/>
          <w:spacing w:val="-2"/>
        </w:rPr>
        <w:t>m</w:t>
      </w:r>
      <w:r>
        <w:rPr>
          <w:rFonts w:eastAsia="Times New Roman"/>
        </w:rPr>
        <w:t xml:space="preserve">ission of </w:t>
      </w:r>
      <w:r w:rsidRPr="00AB2B60">
        <w:rPr>
          <w:rFonts w:eastAsia="Times New Roman"/>
        </w:rPr>
        <w:t>supp</w:t>
      </w:r>
      <w:r w:rsidRPr="00AB2B60">
        <w:rPr>
          <w:rFonts w:eastAsia="Times New Roman"/>
          <w:spacing w:val="-2"/>
        </w:rPr>
        <w:t>o</w:t>
      </w:r>
      <w:r w:rsidRPr="00AB2B60">
        <w:rPr>
          <w:rFonts w:eastAsia="Times New Roman"/>
          <w:spacing w:val="-1"/>
        </w:rPr>
        <w:t>r</w:t>
      </w:r>
      <w:r w:rsidRPr="00AB2B60">
        <w:rPr>
          <w:rFonts w:eastAsia="Times New Roman"/>
        </w:rPr>
        <w:t>ting</w:t>
      </w:r>
      <w:r w:rsidRPr="00AB2B60">
        <w:rPr>
          <w:rFonts w:eastAsia="Times New Roman"/>
          <w:spacing w:val="-2"/>
        </w:rPr>
        <w:t xml:space="preserve"> </w:t>
      </w:r>
      <w:r w:rsidRPr="00AB2B60">
        <w:rPr>
          <w:rFonts w:eastAsia="Times New Roman"/>
        </w:rPr>
        <w:t>do</w:t>
      </w:r>
      <w:r w:rsidRPr="00AB2B60">
        <w:rPr>
          <w:rFonts w:eastAsia="Times New Roman"/>
          <w:spacing w:val="-1"/>
        </w:rPr>
        <w:t>c</w:t>
      </w:r>
      <w:r w:rsidRPr="00AB2B60">
        <w:rPr>
          <w:rFonts w:eastAsia="Times New Roman"/>
        </w:rPr>
        <w:t>u</w:t>
      </w:r>
      <w:r w:rsidRPr="00AB2B60">
        <w:rPr>
          <w:rFonts w:eastAsia="Times New Roman"/>
          <w:spacing w:val="3"/>
        </w:rPr>
        <w:t>m</w:t>
      </w:r>
      <w:r w:rsidRPr="00AB2B60">
        <w:rPr>
          <w:rFonts w:eastAsia="Times New Roman"/>
          <w:spacing w:val="-1"/>
        </w:rPr>
        <w:t>e</w:t>
      </w:r>
      <w:r w:rsidRPr="00AB2B60">
        <w:rPr>
          <w:rFonts w:eastAsia="Times New Roman"/>
        </w:rPr>
        <w:t xml:space="preserve">nts into </w:t>
      </w:r>
      <w:r w:rsidRPr="00AB2B60">
        <w:rPr>
          <w:rFonts w:eastAsia="Times New Roman"/>
          <w:spacing w:val="1"/>
        </w:rPr>
        <w:t>S</w:t>
      </w:r>
      <w:r w:rsidRPr="00AB2B60">
        <w:rPr>
          <w:rFonts w:eastAsia="Times New Roman"/>
        </w:rPr>
        <w:t>NAP</w:t>
      </w:r>
      <w:r>
        <w:rPr>
          <w:rFonts w:eastAsia="Times New Roman"/>
        </w:rPr>
        <w:t xml:space="preserve">, and </w:t>
      </w:r>
      <w:r w:rsidRPr="00AB2B60">
        <w:rPr>
          <w:rFonts w:eastAsia="Times New Roman"/>
          <w:spacing w:val="-1"/>
        </w:rPr>
        <w:t>rec</w:t>
      </w:r>
      <w:r w:rsidRPr="00AB2B60">
        <w:rPr>
          <w:rFonts w:eastAsia="Times New Roman"/>
        </w:rPr>
        <w:t>o</w:t>
      </w:r>
      <w:r w:rsidRPr="00AB2B60">
        <w:rPr>
          <w:rFonts w:eastAsia="Times New Roman"/>
          <w:spacing w:val="-1"/>
        </w:rPr>
        <w:t>r</w:t>
      </w:r>
      <w:r w:rsidRPr="00AB2B60">
        <w:rPr>
          <w:rFonts w:eastAsia="Times New Roman"/>
        </w:rPr>
        <w:t>d</w:t>
      </w:r>
      <w:r w:rsidRPr="00AB2B60">
        <w:rPr>
          <w:rFonts w:eastAsia="Times New Roman"/>
          <w:spacing w:val="2"/>
        </w:rPr>
        <w:t>k</w:t>
      </w:r>
      <w:r w:rsidRPr="00AB2B60">
        <w:rPr>
          <w:rFonts w:eastAsia="Times New Roman"/>
          <w:spacing w:val="-1"/>
        </w:rPr>
        <w:t>ee</w:t>
      </w:r>
      <w:r w:rsidRPr="00AB2B60">
        <w:rPr>
          <w:rFonts w:eastAsia="Times New Roman"/>
        </w:rPr>
        <w:t>pi</w:t>
      </w:r>
      <w:r w:rsidRPr="00AB2B60">
        <w:rPr>
          <w:rFonts w:eastAsia="Times New Roman"/>
          <w:spacing w:val="2"/>
        </w:rPr>
        <w:t>n</w:t>
      </w:r>
      <w:r w:rsidRPr="00AB2B60">
        <w:rPr>
          <w:rFonts w:eastAsia="Times New Roman"/>
          <w:spacing w:val="-2"/>
        </w:rPr>
        <w:t>g</w:t>
      </w:r>
      <w:r>
        <w:rPr>
          <w:rFonts w:eastAsia="Times New Roman"/>
          <w:spacing w:val="-2"/>
        </w:rPr>
        <w:t>.)</w:t>
      </w:r>
    </w:p>
    <w:p w:rsidR="008E5118" w:rsidRDefault="00AD6E28" w:rsidP="00CD4061">
      <w:pPr>
        <w:spacing w:after="0" w:line="240" w:lineRule="auto"/>
      </w:pPr>
      <w:r w:rsidRPr="00AD6E28">
        <w:t xml:space="preserve">   </w:t>
      </w:r>
      <w:r w:rsidR="004C6064">
        <w:t xml:space="preserve"> </w:t>
      </w:r>
    </w:p>
    <w:p w:rsidR="005909D2" w:rsidRDefault="005909D2"/>
    <w:sectPr w:rsidR="00590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5A"/>
    <w:rsid w:val="00041E59"/>
    <w:rsid w:val="0007125F"/>
    <w:rsid w:val="00126792"/>
    <w:rsid w:val="00181333"/>
    <w:rsid w:val="00196C07"/>
    <w:rsid w:val="0024598C"/>
    <w:rsid w:val="00245DE8"/>
    <w:rsid w:val="003062F0"/>
    <w:rsid w:val="003A7B4C"/>
    <w:rsid w:val="00494B3C"/>
    <w:rsid w:val="004A2DB0"/>
    <w:rsid w:val="004C6064"/>
    <w:rsid w:val="005909D2"/>
    <w:rsid w:val="0059330F"/>
    <w:rsid w:val="006A4389"/>
    <w:rsid w:val="006C584A"/>
    <w:rsid w:val="006C6EDD"/>
    <w:rsid w:val="006F04D9"/>
    <w:rsid w:val="00747B7E"/>
    <w:rsid w:val="0082706F"/>
    <w:rsid w:val="0083525A"/>
    <w:rsid w:val="00852AB9"/>
    <w:rsid w:val="00891875"/>
    <w:rsid w:val="008D5BD8"/>
    <w:rsid w:val="008E4AF9"/>
    <w:rsid w:val="008E5118"/>
    <w:rsid w:val="008F6428"/>
    <w:rsid w:val="00A469CE"/>
    <w:rsid w:val="00AB2B60"/>
    <w:rsid w:val="00AD6E28"/>
    <w:rsid w:val="00B52482"/>
    <w:rsid w:val="00C67940"/>
    <w:rsid w:val="00CD0DA6"/>
    <w:rsid w:val="00CD4061"/>
    <w:rsid w:val="00D82109"/>
    <w:rsid w:val="00E936B1"/>
    <w:rsid w:val="00F02565"/>
    <w:rsid w:val="00F715EF"/>
    <w:rsid w:val="00FE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 </cp:lastModifiedBy>
  <cp:revision>3</cp:revision>
  <dcterms:created xsi:type="dcterms:W3CDTF">2013-09-25T14:02:00Z</dcterms:created>
  <dcterms:modified xsi:type="dcterms:W3CDTF">2013-09-25T14:10:00Z</dcterms:modified>
</cp:coreProperties>
</file>