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B3DFD" w14:textId="77777777" w:rsidR="00355A73" w:rsidRDefault="00355A73" w:rsidP="00E0410A">
      <w:pPr>
        <w:pStyle w:val="Default"/>
        <w:jc w:val="center"/>
        <w:rPr>
          <w:rFonts w:asciiTheme="minorHAnsi" w:hAnsiTheme="minorHAnsi"/>
          <w:sz w:val="22"/>
          <w:szCs w:val="22"/>
        </w:rPr>
      </w:pPr>
    </w:p>
    <w:p w14:paraId="31F5F00C" w14:textId="77777777" w:rsidR="00355A73" w:rsidRDefault="00355A73" w:rsidP="00E0410A">
      <w:pPr>
        <w:pStyle w:val="Default"/>
        <w:jc w:val="center"/>
        <w:rPr>
          <w:rFonts w:asciiTheme="minorHAnsi" w:hAnsiTheme="minorHAnsi"/>
          <w:sz w:val="22"/>
          <w:szCs w:val="22"/>
        </w:rPr>
      </w:pPr>
    </w:p>
    <w:p w14:paraId="4306CDBB" w14:textId="77777777" w:rsidR="00355A73" w:rsidRDefault="00355A73" w:rsidP="00E0410A">
      <w:pPr>
        <w:pStyle w:val="Default"/>
        <w:jc w:val="center"/>
        <w:rPr>
          <w:rFonts w:asciiTheme="minorHAnsi" w:hAnsiTheme="minorHAnsi"/>
          <w:sz w:val="22"/>
          <w:szCs w:val="22"/>
        </w:rPr>
      </w:pPr>
    </w:p>
    <w:p w14:paraId="53F8A2A3" w14:textId="3ACF009D" w:rsidR="0061604A" w:rsidRPr="00DC3157" w:rsidRDefault="0061604A" w:rsidP="00E0410A">
      <w:pPr>
        <w:pStyle w:val="Default"/>
        <w:jc w:val="center"/>
        <w:rPr>
          <w:rFonts w:asciiTheme="minorHAnsi" w:hAnsiTheme="minorHAnsi"/>
          <w:sz w:val="22"/>
          <w:szCs w:val="22"/>
        </w:rPr>
      </w:pPr>
      <w:r w:rsidRPr="00DC3157">
        <w:rPr>
          <w:rFonts w:asciiTheme="minorHAnsi" w:hAnsiTheme="minorHAnsi"/>
          <w:sz w:val="22"/>
          <w:szCs w:val="22"/>
        </w:rPr>
        <w:t>Re</w:t>
      </w:r>
      <w:r w:rsidR="00E0410A" w:rsidRPr="00DC3157">
        <w:rPr>
          <w:rFonts w:asciiTheme="minorHAnsi" w:hAnsiTheme="minorHAnsi"/>
          <w:sz w:val="22"/>
          <w:szCs w:val="22"/>
        </w:rPr>
        <w:t xml:space="preserve">quest for </w:t>
      </w:r>
      <w:r w:rsidR="00775595" w:rsidRPr="00DC3157">
        <w:rPr>
          <w:rFonts w:asciiTheme="minorHAnsi" w:hAnsiTheme="minorHAnsi"/>
          <w:sz w:val="22"/>
          <w:szCs w:val="22"/>
        </w:rPr>
        <w:t xml:space="preserve">Approval of a </w:t>
      </w:r>
      <w:proofErr w:type="spellStart"/>
      <w:r w:rsidR="00E0410A" w:rsidRPr="00DC3157">
        <w:rPr>
          <w:rFonts w:asciiTheme="minorHAnsi" w:hAnsiTheme="minorHAnsi"/>
          <w:sz w:val="22"/>
          <w:szCs w:val="22"/>
        </w:rPr>
        <w:t>Nonsubstantive</w:t>
      </w:r>
      <w:proofErr w:type="spellEnd"/>
      <w:r w:rsidR="00E0410A" w:rsidRPr="00DC3157">
        <w:rPr>
          <w:rFonts w:asciiTheme="minorHAnsi" w:hAnsiTheme="minorHAnsi"/>
          <w:sz w:val="22"/>
          <w:szCs w:val="22"/>
        </w:rPr>
        <w:t xml:space="preserve"> Change</w:t>
      </w:r>
      <w:r w:rsidR="00775595" w:rsidRPr="00DC3157">
        <w:rPr>
          <w:rFonts w:asciiTheme="minorHAnsi" w:hAnsiTheme="minorHAnsi"/>
          <w:sz w:val="22"/>
          <w:szCs w:val="22"/>
        </w:rPr>
        <w:t>:</w:t>
      </w:r>
    </w:p>
    <w:p w14:paraId="04842DF2" w14:textId="77777777" w:rsidR="00E0410A" w:rsidRPr="00DC3157" w:rsidRDefault="00E0410A" w:rsidP="00E0410A">
      <w:pPr>
        <w:pStyle w:val="Default"/>
        <w:jc w:val="center"/>
        <w:rPr>
          <w:rFonts w:asciiTheme="minorHAnsi" w:hAnsiTheme="minorHAnsi"/>
          <w:sz w:val="22"/>
          <w:szCs w:val="22"/>
        </w:rPr>
      </w:pPr>
    </w:p>
    <w:p w14:paraId="5DE35183" w14:textId="77777777" w:rsidR="00E0410A" w:rsidRPr="00DC3157" w:rsidRDefault="00E0410A" w:rsidP="00E0410A">
      <w:pPr>
        <w:pStyle w:val="Default"/>
        <w:jc w:val="center"/>
        <w:rPr>
          <w:rFonts w:asciiTheme="minorHAnsi" w:hAnsiTheme="minorHAnsi"/>
          <w:b/>
          <w:sz w:val="22"/>
          <w:szCs w:val="22"/>
        </w:rPr>
      </w:pPr>
      <w:r w:rsidRPr="00DC3157">
        <w:rPr>
          <w:rFonts w:asciiTheme="minorHAnsi" w:hAnsiTheme="minorHAnsi"/>
          <w:b/>
          <w:sz w:val="22"/>
          <w:szCs w:val="22"/>
        </w:rPr>
        <w:t>National Health Interview Survey (NHIS</w:t>
      </w:r>
      <w:proofErr w:type="gramStart"/>
      <w:r w:rsidRPr="00DC3157">
        <w:rPr>
          <w:rFonts w:asciiTheme="minorHAnsi" w:hAnsiTheme="minorHAnsi"/>
          <w:b/>
          <w:sz w:val="22"/>
          <w:szCs w:val="22"/>
        </w:rPr>
        <w:t>)</w:t>
      </w:r>
      <w:proofErr w:type="gramEnd"/>
      <w:r w:rsidRPr="00DC3157">
        <w:rPr>
          <w:rFonts w:asciiTheme="minorHAnsi" w:hAnsiTheme="minorHAnsi"/>
          <w:b/>
          <w:sz w:val="22"/>
          <w:szCs w:val="22"/>
        </w:rPr>
        <w:br/>
      </w:r>
      <w:r w:rsidR="00355A73" w:rsidRPr="00DC3157">
        <w:rPr>
          <w:rFonts w:asciiTheme="minorHAnsi" w:hAnsiTheme="minorHAnsi"/>
          <w:b/>
          <w:sz w:val="22"/>
          <w:szCs w:val="22"/>
        </w:rPr>
        <w:t>ADAPTIVE DESIGN EXPERIMENT</w:t>
      </w:r>
      <w:r w:rsidRPr="00DC3157">
        <w:rPr>
          <w:rFonts w:asciiTheme="minorHAnsi" w:hAnsiTheme="minorHAnsi"/>
          <w:b/>
          <w:sz w:val="22"/>
          <w:szCs w:val="22"/>
        </w:rPr>
        <w:t xml:space="preserve"> </w:t>
      </w:r>
    </w:p>
    <w:p w14:paraId="74BAFC0F" w14:textId="77777777" w:rsidR="00E0410A" w:rsidRPr="00DC3157" w:rsidRDefault="00E0410A" w:rsidP="00E0410A">
      <w:pPr>
        <w:pStyle w:val="Default"/>
        <w:jc w:val="center"/>
        <w:rPr>
          <w:rFonts w:asciiTheme="minorHAnsi" w:hAnsiTheme="minorHAnsi"/>
          <w:sz w:val="22"/>
          <w:szCs w:val="22"/>
        </w:rPr>
      </w:pPr>
    </w:p>
    <w:p w14:paraId="3E2DCAE0" w14:textId="77777777" w:rsidR="0061604A" w:rsidRPr="00DC3157" w:rsidRDefault="0061604A" w:rsidP="00E0410A">
      <w:pPr>
        <w:pStyle w:val="Default"/>
        <w:jc w:val="center"/>
        <w:rPr>
          <w:rFonts w:asciiTheme="minorHAnsi" w:hAnsiTheme="minorHAnsi"/>
          <w:sz w:val="22"/>
          <w:szCs w:val="22"/>
        </w:rPr>
      </w:pPr>
      <w:r w:rsidRPr="00DC3157">
        <w:rPr>
          <w:rFonts w:asciiTheme="minorHAnsi" w:hAnsiTheme="minorHAnsi"/>
          <w:sz w:val="22"/>
          <w:szCs w:val="22"/>
        </w:rPr>
        <w:t>OMB No. 0920-0214</w:t>
      </w:r>
    </w:p>
    <w:p w14:paraId="7DCCBD2D" w14:textId="5ED40867" w:rsidR="00E0410A" w:rsidRPr="00DC3157" w:rsidRDefault="00E0410A" w:rsidP="00E0410A">
      <w:pPr>
        <w:spacing w:after="0" w:line="240" w:lineRule="auto"/>
        <w:jc w:val="center"/>
        <w:rPr>
          <w:rFonts w:ascii="Calibri" w:hAnsi="Calibri"/>
          <w:bCs/>
          <w:iCs/>
        </w:rPr>
      </w:pPr>
      <w:r w:rsidRPr="00DC3157">
        <w:rPr>
          <w:rFonts w:ascii="Calibri" w:hAnsi="Calibri"/>
          <w:bCs/>
          <w:iCs/>
        </w:rPr>
        <w:t>(</w:t>
      </w:r>
      <w:r w:rsidR="00775595" w:rsidRPr="00DC3157">
        <w:rPr>
          <w:rFonts w:ascii="Calibri" w:hAnsi="Calibri"/>
          <w:bCs/>
          <w:iCs/>
        </w:rPr>
        <w:t>Expiration Date</w:t>
      </w:r>
      <w:r w:rsidRPr="00DC3157">
        <w:rPr>
          <w:rFonts w:ascii="Calibri" w:hAnsi="Calibri"/>
          <w:bCs/>
          <w:iCs/>
        </w:rPr>
        <w:t xml:space="preserve"> 12/31/2017)</w:t>
      </w:r>
    </w:p>
    <w:p w14:paraId="32826454" w14:textId="77777777" w:rsidR="00E0410A" w:rsidRPr="00DC3157" w:rsidRDefault="00E0410A" w:rsidP="00E0410A">
      <w:pPr>
        <w:spacing w:after="0" w:line="240" w:lineRule="auto"/>
        <w:jc w:val="center"/>
        <w:rPr>
          <w:rFonts w:ascii="Calibri" w:hAnsi="Calibri"/>
          <w:bCs/>
          <w:iCs/>
        </w:rPr>
      </w:pPr>
    </w:p>
    <w:p w14:paraId="4F4FC374" w14:textId="77777777" w:rsidR="00E0410A" w:rsidRPr="00DC3157" w:rsidRDefault="00E0410A" w:rsidP="00E0410A">
      <w:pPr>
        <w:spacing w:after="0" w:line="240" w:lineRule="auto"/>
        <w:jc w:val="center"/>
        <w:rPr>
          <w:rFonts w:ascii="Calibri" w:hAnsi="Calibri" w:cs="Times New Roman TUR"/>
          <w:bCs/>
          <w:iCs/>
        </w:rPr>
      </w:pPr>
    </w:p>
    <w:p w14:paraId="60645048" w14:textId="77777777" w:rsidR="00775595" w:rsidRPr="00DC3157" w:rsidRDefault="00775595" w:rsidP="00E0410A">
      <w:pPr>
        <w:spacing w:after="0" w:line="240" w:lineRule="auto"/>
        <w:jc w:val="center"/>
        <w:rPr>
          <w:rFonts w:ascii="Calibri" w:hAnsi="Calibri" w:cs="Times New Roman TUR"/>
          <w:bCs/>
          <w:iCs/>
        </w:rPr>
      </w:pPr>
    </w:p>
    <w:p w14:paraId="0368B785" w14:textId="77777777" w:rsidR="00775595" w:rsidRPr="00DC3157" w:rsidRDefault="00775595" w:rsidP="00E0410A">
      <w:pPr>
        <w:spacing w:after="0" w:line="240" w:lineRule="auto"/>
        <w:jc w:val="center"/>
        <w:rPr>
          <w:rFonts w:ascii="Calibri" w:hAnsi="Calibri" w:cs="Times New Roman TUR"/>
          <w:bCs/>
          <w:iCs/>
        </w:rPr>
      </w:pPr>
    </w:p>
    <w:p w14:paraId="6355293A" w14:textId="77777777" w:rsidR="00775595" w:rsidRPr="00DC3157" w:rsidRDefault="00775595" w:rsidP="00E0410A">
      <w:pPr>
        <w:spacing w:after="0" w:line="240" w:lineRule="auto"/>
        <w:jc w:val="center"/>
        <w:rPr>
          <w:rFonts w:ascii="Calibri" w:hAnsi="Calibri" w:cs="Times New Roman TUR"/>
          <w:bCs/>
          <w:iCs/>
        </w:rPr>
      </w:pPr>
    </w:p>
    <w:p w14:paraId="551B93F3" w14:textId="77777777" w:rsidR="00775595" w:rsidRPr="00DC3157" w:rsidRDefault="00775595" w:rsidP="00E0410A">
      <w:pPr>
        <w:spacing w:after="0" w:line="240" w:lineRule="auto"/>
        <w:jc w:val="center"/>
        <w:rPr>
          <w:rFonts w:ascii="Calibri" w:hAnsi="Calibri" w:cs="Times New Roman TUR"/>
          <w:bCs/>
          <w:iCs/>
        </w:rPr>
      </w:pPr>
    </w:p>
    <w:p w14:paraId="1E07B11D" w14:textId="77777777" w:rsidR="00775595" w:rsidRPr="00DC3157" w:rsidRDefault="00775595" w:rsidP="00E0410A">
      <w:pPr>
        <w:spacing w:after="0" w:line="240" w:lineRule="auto"/>
        <w:jc w:val="center"/>
        <w:rPr>
          <w:rFonts w:ascii="Calibri" w:hAnsi="Calibri" w:cs="Times New Roman TUR"/>
          <w:bCs/>
          <w:iCs/>
        </w:rPr>
      </w:pPr>
    </w:p>
    <w:p w14:paraId="2822653A" w14:textId="77777777" w:rsidR="00775595" w:rsidRPr="00DC3157" w:rsidRDefault="00775595" w:rsidP="00E0410A">
      <w:pPr>
        <w:spacing w:after="0" w:line="240" w:lineRule="auto"/>
        <w:jc w:val="center"/>
        <w:rPr>
          <w:rFonts w:ascii="Calibri" w:hAnsi="Calibri" w:cs="Times New Roman TUR"/>
          <w:bCs/>
          <w:iCs/>
        </w:rPr>
      </w:pPr>
    </w:p>
    <w:p w14:paraId="4A9224AE" w14:textId="77777777" w:rsidR="00775595" w:rsidRPr="00DC3157" w:rsidRDefault="00775595" w:rsidP="00E0410A">
      <w:pPr>
        <w:spacing w:after="0" w:line="240" w:lineRule="auto"/>
        <w:jc w:val="center"/>
        <w:rPr>
          <w:rFonts w:ascii="Calibri" w:hAnsi="Calibri" w:cs="Times New Roman TUR"/>
          <w:bCs/>
          <w:iCs/>
        </w:rPr>
      </w:pPr>
    </w:p>
    <w:p w14:paraId="63961368" w14:textId="77777777" w:rsidR="00775595" w:rsidRPr="00DC3157" w:rsidRDefault="00775595" w:rsidP="00E0410A">
      <w:pPr>
        <w:spacing w:after="0" w:line="240" w:lineRule="auto"/>
        <w:jc w:val="center"/>
        <w:rPr>
          <w:rFonts w:ascii="Calibri" w:hAnsi="Calibri" w:cs="Times New Roman TUR"/>
          <w:bCs/>
          <w:iCs/>
        </w:rPr>
      </w:pPr>
    </w:p>
    <w:p w14:paraId="420A2A48" w14:textId="77777777" w:rsidR="00E0410A" w:rsidRPr="00DC3157" w:rsidRDefault="00E0410A" w:rsidP="00E0410A">
      <w:pPr>
        <w:spacing w:after="0" w:line="240" w:lineRule="auto"/>
        <w:jc w:val="center"/>
        <w:rPr>
          <w:rFonts w:ascii="Calibri" w:hAnsi="Calibri" w:cs="Times New Roman TUR"/>
          <w:bCs/>
          <w:iCs/>
        </w:rPr>
      </w:pPr>
      <w:r w:rsidRPr="00DC3157">
        <w:rPr>
          <w:rFonts w:ascii="Calibri" w:hAnsi="Calibri" w:cs="Times New Roman TUR"/>
          <w:bCs/>
          <w:iCs/>
        </w:rPr>
        <w:t>Contact Information:</w:t>
      </w:r>
    </w:p>
    <w:p w14:paraId="1B04F0A3" w14:textId="77777777" w:rsidR="00E0410A" w:rsidRPr="00DC3157" w:rsidRDefault="00E0410A" w:rsidP="00E0410A">
      <w:pPr>
        <w:spacing w:after="0" w:line="240" w:lineRule="auto"/>
        <w:jc w:val="center"/>
        <w:rPr>
          <w:rFonts w:ascii="Calibri" w:hAnsi="Calibri" w:cs="Times New Roman TUR"/>
          <w:bCs/>
          <w:iCs/>
        </w:rPr>
      </w:pPr>
    </w:p>
    <w:p w14:paraId="279066F2" w14:textId="77777777" w:rsidR="00E0410A" w:rsidRPr="00DC3157" w:rsidRDefault="00E0410A" w:rsidP="00E0410A">
      <w:pPr>
        <w:spacing w:after="0" w:line="240" w:lineRule="auto"/>
        <w:jc w:val="center"/>
        <w:rPr>
          <w:rFonts w:ascii="Calibri" w:hAnsi="Calibri" w:cs="Times New Roman TUR"/>
          <w:bCs/>
          <w:iCs/>
        </w:rPr>
      </w:pPr>
      <w:r w:rsidRPr="00DC3157">
        <w:rPr>
          <w:rFonts w:ascii="Calibri" w:hAnsi="Calibri" w:cs="Times New Roman TUR"/>
          <w:bCs/>
          <w:iCs/>
        </w:rPr>
        <w:t>Marcie Cynamon</w:t>
      </w:r>
    </w:p>
    <w:p w14:paraId="0A766E61" w14:textId="0FAED8EF" w:rsidR="00E0410A" w:rsidRPr="00DC3157" w:rsidRDefault="00775595" w:rsidP="00E0410A">
      <w:pPr>
        <w:spacing w:after="0" w:line="240" w:lineRule="auto"/>
        <w:jc w:val="center"/>
        <w:rPr>
          <w:rFonts w:ascii="Calibri" w:hAnsi="Calibri" w:cs="Times New Roman TUR"/>
          <w:bCs/>
          <w:iCs/>
        </w:rPr>
      </w:pPr>
      <w:r w:rsidRPr="00DC3157">
        <w:rPr>
          <w:rFonts w:ascii="Calibri" w:hAnsi="Calibri" w:cs="Times New Roman TUR"/>
          <w:bCs/>
          <w:iCs/>
        </w:rPr>
        <w:t xml:space="preserve">Director, </w:t>
      </w:r>
      <w:r w:rsidR="00E0410A" w:rsidRPr="00DC3157">
        <w:rPr>
          <w:rFonts w:ascii="Calibri" w:hAnsi="Calibri" w:cs="Times New Roman TUR"/>
          <w:bCs/>
          <w:iCs/>
        </w:rPr>
        <w:t>Division of Health Interview Statistics</w:t>
      </w:r>
    </w:p>
    <w:p w14:paraId="7C752347" w14:textId="77777777" w:rsidR="00E0410A" w:rsidRPr="00DC3157" w:rsidRDefault="00E0410A" w:rsidP="00E0410A">
      <w:pPr>
        <w:spacing w:after="0" w:line="240" w:lineRule="auto"/>
        <w:jc w:val="center"/>
        <w:rPr>
          <w:rFonts w:ascii="Calibri" w:hAnsi="Calibri" w:cs="Times New Roman TUR"/>
          <w:bCs/>
          <w:iCs/>
        </w:rPr>
      </w:pPr>
      <w:r w:rsidRPr="00DC3157">
        <w:rPr>
          <w:rFonts w:ascii="Calibri" w:hAnsi="Calibri" w:cs="Times New Roman TUR"/>
          <w:bCs/>
          <w:iCs/>
        </w:rPr>
        <w:t>National Center for Health Statistics/CDC</w:t>
      </w:r>
    </w:p>
    <w:p w14:paraId="34D742CB" w14:textId="77777777" w:rsidR="00E0410A" w:rsidRPr="00DC3157" w:rsidRDefault="00E0410A" w:rsidP="00E0410A">
      <w:pPr>
        <w:spacing w:after="0" w:line="240" w:lineRule="auto"/>
        <w:jc w:val="center"/>
        <w:rPr>
          <w:rFonts w:ascii="Calibri" w:hAnsi="Calibri" w:cs="Times New Roman TUR"/>
          <w:bCs/>
          <w:iCs/>
        </w:rPr>
      </w:pPr>
      <w:r w:rsidRPr="00DC3157">
        <w:rPr>
          <w:rFonts w:ascii="Calibri" w:hAnsi="Calibri" w:cs="Times New Roman TUR"/>
          <w:bCs/>
          <w:iCs/>
        </w:rPr>
        <w:t>3311 Toledo Road</w:t>
      </w:r>
    </w:p>
    <w:p w14:paraId="412A4415" w14:textId="77777777" w:rsidR="00E0410A" w:rsidRPr="00DC3157" w:rsidRDefault="00E0410A" w:rsidP="00E0410A">
      <w:pPr>
        <w:spacing w:after="0" w:line="240" w:lineRule="auto"/>
        <w:jc w:val="center"/>
        <w:rPr>
          <w:rFonts w:ascii="Calibri" w:hAnsi="Calibri" w:cs="Times New Roman TUR"/>
          <w:bCs/>
          <w:iCs/>
        </w:rPr>
      </w:pPr>
      <w:r w:rsidRPr="00DC3157">
        <w:rPr>
          <w:rFonts w:ascii="Calibri" w:hAnsi="Calibri" w:cs="Times New Roman TUR"/>
          <w:bCs/>
          <w:iCs/>
        </w:rPr>
        <w:t>Hyattsville, MD 20782</w:t>
      </w:r>
    </w:p>
    <w:p w14:paraId="0D82A768" w14:textId="77777777" w:rsidR="00E0410A" w:rsidRPr="00DC3157" w:rsidRDefault="00E0410A" w:rsidP="00E0410A">
      <w:pPr>
        <w:spacing w:after="0" w:line="240" w:lineRule="auto"/>
        <w:jc w:val="center"/>
        <w:rPr>
          <w:rFonts w:ascii="Calibri" w:hAnsi="Calibri" w:cs="Times New Roman TUR"/>
          <w:bCs/>
          <w:iCs/>
        </w:rPr>
      </w:pPr>
      <w:r w:rsidRPr="00DC3157">
        <w:rPr>
          <w:rFonts w:ascii="Calibri" w:hAnsi="Calibri" w:cs="Times New Roman TUR"/>
          <w:bCs/>
          <w:iCs/>
        </w:rPr>
        <w:t>301.458.4174 (voice)</w:t>
      </w:r>
    </w:p>
    <w:p w14:paraId="685D0916" w14:textId="77777777" w:rsidR="00E0410A" w:rsidRPr="00DC3157" w:rsidRDefault="00E0410A" w:rsidP="00E0410A">
      <w:pPr>
        <w:spacing w:after="0" w:line="240" w:lineRule="auto"/>
        <w:jc w:val="center"/>
        <w:rPr>
          <w:rFonts w:ascii="Calibri" w:hAnsi="Calibri" w:cs="Times New Roman TUR"/>
          <w:bCs/>
          <w:iCs/>
        </w:rPr>
      </w:pPr>
      <w:r w:rsidRPr="00DC3157">
        <w:rPr>
          <w:rFonts w:ascii="Calibri" w:hAnsi="Calibri" w:cs="Times New Roman TUR"/>
          <w:bCs/>
          <w:iCs/>
        </w:rPr>
        <w:t>301.458.4035 (fax)</w:t>
      </w:r>
    </w:p>
    <w:p w14:paraId="543275B2" w14:textId="77777777" w:rsidR="00E0410A" w:rsidRPr="00DC3157" w:rsidRDefault="00DC3157" w:rsidP="00E0410A">
      <w:pPr>
        <w:spacing w:after="0" w:line="240" w:lineRule="auto"/>
        <w:jc w:val="center"/>
        <w:rPr>
          <w:rFonts w:ascii="Calibri" w:hAnsi="Calibri" w:cs="Times New Roman TUR"/>
          <w:bCs/>
          <w:iCs/>
        </w:rPr>
      </w:pPr>
      <w:hyperlink r:id="rId7" w:history="1">
        <w:r w:rsidR="00E0410A" w:rsidRPr="00DC3157">
          <w:rPr>
            <w:rStyle w:val="Hyperlink"/>
            <w:rFonts w:ascii="Calibri" w:hAnsi="Calibri" w:cs="Times New Roman TUR"/>
            <w:bCs/>
            <w:iCs/>
          </w:rPr>
          <w:t>mlc6@cdc.gov</w:t>
        </w:r>
      </w:hyperlink>
    </w:p>
    <w:p w14:paraId="2EDA0C4D" w14:textId="77777777" w:rsidR="00E0410A" w:rsidRPr="00DC3157" w:rsidRDefault="00E0410A" w:rsidP="00E0410A">
      <w:pPr>
        <w:spacing w:after="0" w:line="240" w:lineRule="auto"/>
        <w:jc w:val="center"/>
        <w:rPr>
          <w:rFonts w:ascii="Calibri" w:hAnsi="Calibri" w:cs="Times New Roman TUR"/>
          <w:bCs/>
          <w:iCs/>
        </w:rPr>
      </w:pPr>
    </w:p>
    <w:p w14:paraId="7E16A941" w14:textId="77777777" w:rsidR="0061604A" w:rsidRPr="00DC3157" w:rsidRDefault="0061604A" w:rsidP="00E0410A">
      <w:pPr>
        <w:pStyle w:val="Default"/>
        <w:jc w:val="center"/>
        <w:rPr>
          <w:rFonts w:asciiTheme="minorHAnsi" w:hAnsiTheme="minorHAnsi"/>
          <w:b/>
          <w:sz w:val="22"/>
          <w:szCs w:val="22"/>
        </w:rPr>
      </w:pPr>
    </w:p>
    <w:p w14:paraId="41C4F34F" w14:textId="39A20E59" w:rsidR="00775595" w:rsidRPr="00DC3157" w:rsidRDefault="00775595" w:rsidP="00E0410A">
      <w:pPr>
        <w:pStyle w:val="Default"/>
        <w:jc w:val="center"/>
        <w:rPr>
          <w:rFonts w:asciiTheme="minorHAnsi" w:hAnsiTheme="minorHAnsi"/>
          <w:sz w:val="22"/>
          <w:szCs w:val="22"/>
        </w:rPr>
      </w:pPr>
      <w:r w:rsidRPr="00DC3157">
        <w:rPr>
          <w:rFonts w:asciiTheme="minorHAnsi" w:hAnsiTheme="minorHAnsi"/>
          <w:sz w:val="22"/>
          <w:szCs w:val="22"/>
        </w:rPr>
        <w:t>April 2</w:t>
      </w:r>
      <w:r w:rsidR="00A3634C" w:rsidRPr="00DC3157">
        <w:rPr>
          <w:rFonts w:asciiTheme="minorHAnsi" w:hAnsiTheme="minorHAnsi"/>
          <w:sz w:val="22"/>
          <w:szCs w:val="22"/>
        </w:rPr>
        <w:t>7</w:t>
      </w:r>
      <w:r w:rsidRPr="00DC3157">
        <w:rPr>
          <w:rFonts w:asciiTheme="minorHAnsi" w:hAnsiTheme="minorHAnsi"/>
          <w:sz w:val="22"/>
          <w:szCs w:val="22"/>
        </w:rPr>
        <w:t>, 2016</w:t>
      </w:r>
    </w:p>
    <w:p w14:paraId="46682729" w14:textId="77777777" w:rsidR="00E0410A" w:rsidRPr="00DC3157" w:rsidRDefault="00E0410A" w:rsidP="00E0410A">
      <w:pPr>
        <w:spacing w:after="0" w:line="240" w:lineRule="auto"/>
        <w:rPr>
          <w:rFonts w:cs="Times New Roman"/>
          <w:b/>
          <w:color w:val="000000"/>
        </w:rPr>
      </w:pPr>
      <w:r w:rsidRPr="00DC3157">
        <w:rPr>
          <w:b/>
        </w:rPr>
        <w:br w:type="page"/>
      </w:r>
    </w:p>
    <w:p w14:paraId="24B3362C" w14:textId="17319214" w:rsidR="00927738" w:rsidRPr="00DC3157" w:rsidRDefault="00AC0045" w:rsidP="00927738">
      <w:pPr>
        <w:pStyle w:val="Default"/>
        <w:jc w:val="center"/>
        <w:rPr>
          <w:rFonts w:asciiTheme="minorHAnsi" w:hAnsiTheme="minorHAnsi"/>
          <w:b/>
          <w:sz w:val="22"/>
          <w:szCs w:val="22"/>
          <w:u w:val="single"/>
        </w:rPr>
      </w:pPr>
      <w:r w:rsidRPr="00DC3157">
        <w:rPr>
          <w:rFonts w:asciiTheme="minorHAnsi" w:hAnsiTheme="minorHAnsi"/>
          <w:b/>
          <w:sz w:val="22"/>
          <w:szCs w:val="22"/>
          <w:u w:val="single"/>
        </w:rPr>
        <w:lastRenderedPageBreak/>
        <w:t>NATIONAL HEALTH INTERVIEW SURVEY (NHIS</w:t>
      </w:r>
      <w:proofErr w:type="gramStart"/>
      <w:r w:rsidRPr="00DC3157">
        <w:rPr>
          <w:rFonts w:asciiTheme="minorHAnsi" w:hAnsiTheme="minorHAnsi"/>
          <w:b/>
          <w:sz w:val="22"/>
          <w:szCs w:val="22"/>
          <w:u w:val="single"/>
        </w:rPr>
        <w:t>)</w:t>
      </w:r>
      <w:proofErr w:type="gramEnd"/>
      <w:r w:rsidRPr="00DC3157">
        <w:rPr>
          <w:rFonts w:asciiTheme="minorHAnsi" w:hAnsiTheme="minorHAnsi"/>
          <w:b/>
          <w:sz w:val="22"/>
          <w:szCs w:val="22"/>
          <w:u w:val="single"/>
        </w:rPr>
        <w:br/>
        <w:t>ADAPTIVE DESIGN EXPERIMENT</w:t>
      </w:r>
    </w:p>
    <w:p w14:paraId="0A320D81" w14:textId="77777777" w:rsidR="00927738" w:rsidRPr="00DC3157" w:rsidRDefault="00927738" w:rsidP="00B60F5F">
      <w:pPr>
        <w:pStyle w:val="Default"/>
        <w:rPr>
          <w:rFonts w:asciiTheme="minorHAnsi" w:hAnsiTheme="minorHAnsi"/>
          <w:b/>
          <w:sz w:val="22"/>
          <w:szCs w:val="22"/>
        </w:rPr>
      </w:pPr>
    </w:p>
    <w:p w14:paraId="3D3CC755" w14:textId="5B839AC0" w:rsidR="00FA4036" w:rsidRPr="00DC3157" w:rsidRDefault="00AC0045" w:rsidP="00B60F5F">
      <w:pPr>
        <w:pStyle w:val="Default"/>
        <w:rPr>
          <w:rFonts w:asciiTheme="minorHAnsi" w:hAnsiTheme="minorHAnsi"/>
          <w:b/>
          <w:sz w:val="22"/>
          <w:szCs w:val="22"/>
        </w:rPr>
      </w:pPr>
      <w:r w:rsidRPr="00DC3157">
        <w:rPr>
          <w:rFonts w:asciiTheme="minorHAnsi" w:hAnsiTheme="minorHAnsi"/>
          <w:b/>
          <w:sz w:val="22"/>
          <w:szCs w:val="22"/>
        </w:rPr>
        <w:t>A</w:t>
      </w:r>
      <w:r w:rsidR="001D5A90" w:rsidRPr="00DC3157">
        <w:rPr>
          <w:rFonts w:asciiTheme="minorHAnsi" w:hAnsiTheme="minorHAnsi"/>
          <w:b/>
          <w:sz w:val="22"/>
          <w:szCs w:val="22"/>
        </w:rPr>
        <w:t xml:space="preserve">1. </w:t>
      </w:r>
      <w:r w:rsidR="00E80544" w:rsidRPr="00DC3157">
        <w:rPr>
          <w:rFonts w:asciiTheme="minorHAnsi" w:hAnsiTheme="minorHAnsi"/>
          <w:b/>
          <w:sz w:val="22"/>
          <w:szCs w:val="22"/>
        </w:rPr>
        <w:tab/>
      </w:r>
      <w:r w:rsidRPr="00DC3157">
        <w:rPr>
          <w:rFonts w:asciiTheme="minorHAnsi" w:hAnsiTheme="minorHAnsi"/>
          <w:b/>
          <w:sz w:val="22"/>
          <w:szCs w:val="22"/>
        </w:rPr>
        <w:t>Circumstances Making the Collection of Information Necessary</w:t>
      </w:r>
    </w:p>
    <w:p w14:paraId="44F17C35" w14:textId="4AA04611" w:rsidR="00E80544" w:rsidRPr="00DC3157" w:rsidRDefault="00AC0045" w:rsidP="001D5A90">
      <w:pPr>
        <w:spacing w:after="0" w:line="240" w:lineRule="auto"/>
      </w:pPr>
      <w:r w:rsidRPr="00DC3157">
        <w:t xml:space="preserve">This request is for a </w:t>
      </w:r>
      <w:proofErr w:type="spellStart"/>
      <w:r w:rsidRPr="00DC3157">
        <w:t>nonsubstantive</w:t>
      </w:r>
      <w:proofErr w:type="spellEnd"/>
      <w:r w:rsidRPr="00DC3157">
        <w:t xml:space="preserve"> change to an approved data collection (OMB No. 0920-0214; exp. 12/31/2017), the National Health Interview Survey (NHIS). With this </w:t>
      </w:r>
      <w:proofErr w:type="spellStart"/>
      <w:r w:rsidRPr="00DC3157">
        <w:t>nonsubstantive</w:t>
      </w:r>
      <w:proofErr w:type="spellEnd"/>
      <w:r w:rsidRPr="00DC3157">
        <w:t xml:space="preserve"> change request, the</w:t>
      </w:r>
      <w:r w:rsidR="001109E9" w:rsidRPr="00DC3157">
        <w:t xml:space="preserve"> Division of Health Interview Statistics</w:t>
      </w:r>
      <w:r w:rsidRPr="00DC3157">
        <w:t xml:space="preserve"> </w:t>
      </w:r>
      <w:r w:rsidR="00712BC7" w:rsidRPr="00DC3157">
        <w:t>seeks</w:t>
      </w:r>
      <w:r w:rsidRPr="00DC3157">
        <w:t xml:space="preserve"> clearance to test </w:t>
      </w:r>
      <w:r w:rsidR="001109E9" w:rsidRPr="00DC3157">
        <w:t>the use of adaptive design</w:t>
      </w:r>
      <w:r w:rsidRPr="00DC3157">
        <w:t xml:space="preserve"> in the </w:t>
      </w:r>
      <w:r w:rsidR="00112B14" w:rsidRPr="00DC3157">
        <w:t>NHIS</w:t>
      </w:r>
      <w:r w:rsidR="00E80544" w:rsidRPr="00DC3157">
        <w:t xml:space="preserve">. The aim is to investigate the impact of adaptive </w:t>
      </w:r>
      <w:r w:rsidR="00112B14" w:rsidRPr="00DC3157">
        <w:t>case prioritization</w:t>
      </w:r>
      <w:r w:rsidR="00E80544" w:rsidRPr="00DC3157">
        <w:t xml:space="preserve"> on sample</w:t>
      </w:r>
      <w:r w:rsidR="004F7604" w:rsidRPr="00DC3157">
        <w:t xml:space="preserve"> representativeness and nonresponse bias</w:t>
      </w:r>
      <w:r w:rsidR="00E80544" w:rsidRPr="00DC3157">
        <w:t>, while maintaining survey costs</w:t>
      </w:r>
      <w:r w:rsidR="00551213" w:rsidRPr="00DC3157">
        <w:t xml:space="preserve"> and minimizing any possible negative effect on the overall response rate</w:t>
      </w:r>
      <w:r w:rsidR="00E80544" w:rsidRPr="00DC3157">
        <w:t>.</w:t>
      </w:r>
    </w:p>
    <w:p w14:paraId="77A41158" w14:textId="77777777" w:rsidR="00E80544" w:rsidRPr="00DC3157" w:rsidRDefault="00E80544" w:rsidP="001D5A90">
      <w:pPr>
        <w:spacing w:after="0" w:line="240" w:lineRule="auto"/>
      </w:pPr>
    </w:p>
    <w:p w14:paraId="6D41CF7A" w14:textId="035DDEF4" w:rsidR="00112B14" w:rsidRPr="00DC3157" w:rsidRDefault="00112B14" w:rsidP="00112B14">
      <w:pPr>
        <w:pStyle w:val="Default"/>
        <w:rPr>
          <w:rFonts w:asciiTheme="minorHAnsi" w:hAnsiTheme="minorHAnsi"/>
          <w:sz w:val="22"/>
          <w:szCs w:val="22"/>
        </w:rPr>
      </w:pPr>
      <w:r w:rsidRPr="00DC3157">
        <w:rPr>
          <w:rFonts w:asciiTheme="minorHAnsi" w:hAnsiTheme="minorHAnsi"/>
          <w:sz w:val="22"/>
          <w:szCs w:val="22"/>
        </w:rPr>
        <w:t>Declining response rates and increasing data collection costs have forced survey organizations to consider new data collection strategies [1]. Adaptive design has emerged as a tool for tailoring contact to cases, based on data monitoring both between and during data collection periods [2]. There is a range of data collection features that can be tailored, including mode of data collection [3], incentives [4, 5], number of contacts [6], and case prioritization [7]. The feature used for tailoring should be chosen to achieve specific survey goals. For example, one may want to increase response rate or sample representativeness for a given cost, or maintain the same response rate, while reducing cost.</w:t>
      </w:r>
      <w:r w:rsidR="00551213" w:rsidRPr="00DC3157">
        <w:rPr>
          <w:rFonts w:asciiTheme="minorHAnsi" w:hAnsiTheme="minorHAnsi"/>
          <w:sz w:val="22"/>
          <w:szCs w:val="22"/>
        </w:rPr>
        <w:t xml:space="preserve"> The planned case prioritization experiment is a test of the former; prioritization entails altering the amount of effort an interviewer expends on a case based on data monitoring metrics.</w:t>
      </w:r>
    </w:p>
    <w:p w14:paraId="10C16C2A" w14:textId="77777777" w:rsidR="00112B14" w:rsidRPr="00DC3157" w:rsidRDefault="00112B14" w:rsidP="001D5A90">
      <w:pPr>
        <w:spacing w:after="0" w:line="240" w:lineRule="auto"/>
      </w:pPr>
    </w:p>
    <w:p w14:paraId="75F70A85" w14:textId="77777777" w:rsidR="001D5A90" w:rsidRPr="00DC3157" w:rsidRDefault="001D5A90" w:rsidP="00B60F5F">
      <w:pPr>
        <w:pStyle w:val="Default"/>
        <w:rPr>
          <w:rFonts w:asciiTheme="minorHAnsi" w:hAnsiTheme="minorHAnsi"/>
          <w:sz w:val="22"/>
          <w:szCs w:val="22"/>
        </w:rPr>
      </w:pPr>
    </w:p>
    <w:p w14:paraId="215B753F" w14:textId="720053AD" w:rsidR="00FA4036" w:rsidRPr="00DC3157" w:rsidRDefault="00E80544" w:rsidP="00B60F5F">
      <w:pPr>
        <w:pStyle w:val="Default"/>
        <w:rPr>
          <w:rFonts w:asciiTheme="minorHAnsi" w:hAnsiTheme="minorHAnsi"/>
          <w:sz w:val="22"/>
          <w:szCs w:val="22"/>
        </w:rPr>
      </w:pPr>
      <w:r w:rsidRPr="00DC3157">
        <w:rPr>
          <w:rFonts w:asciiTheme="minorHAnsi" w:hAnsiTheme="minorHAnsi"/>
          <w:b/>
          <w:bCs/>
          <w:sz w:val="22"/>
          <w:szCs w:val="22"/>
        </w:rPr>
        <w:t>A</w:t>
      </w:r>
      <w:r w:rsidR="001D5A90" w:rsidRPr="00DC3157">
        <w:rPr>
          <w:rFonts w:asciiTheme="minorHAnsi" w:hAnsiTheme="minorHAnsi"/>
          <w:b/>
          <w:bCs/>
          <w:sz w:val="22"/>
          <w:szCs w:val="22"/>
        </w:rPr>
        <w:t>2</w:t>
      </w:r>
      <w:r w:rsidR="00FA4036" w:rsidRPr="00DC3157">
        <w:rPr>
          <w:rFonts w:asciiTheme="minorHAnsi" w:hAnsiTheme="minorHAnsi"/>
          <w:b/>
          <w:bCs/>
          <w:sz w:val="22"/>
          <w:szCs w:val="22"/>
        </w:rPr>
        <w:t xml:space="preserve">. </w:t>
      </w:r>
      <w:r w:rsidRPr="00DC3157">
        <w:rPr>
          <w:rFonts w:asciiTheme="minorHAnsi" w:hAnsiTheme="minorHAnsi"/>
          <w:b/>
          <w:bCs/>
          <w:sz w:val="22"/>
          <w:szCs w:val="22"/>
        </w:rPr>
        <w:tab/>
        <w:t>Purpose and Use of the Information Collection</w:t>
      </w:r>
      <w:r w:rsidR="00FA4036" w:rsidRPr="00DC3157">
        <w:rPr>
          <w:rFonts w:asciiTheme="minorHAnsi" w:hAnsiTheme="minorHAnsi"/>
          <w:b/>
          <w:bCs/>
          <w:sz w:val="22"/>
          <w:szCs w:val="22"/>
        </w:rPr>
        <w:t xml:space="preserve"> </w:t>
      </w:r>
    </w:p>
    <w:p w14:paraId="408A85F8" w14:textId="77777777" w:rsidR="00B60F5F" w:rsidRPr="00DC3157" w:rsidRDefault="00B60F5F" w:rsidP="00B60F5F">
      <w:pPr>
        <w:pStyle w:val="Default"/>
        <w:rPr>
          <w:rFonts w:asciiTheme="minorHAnsi" w:hAnsiTheme="minorHAnsi"/>
          <w:sz w:val="22"/>
          <w:szCs w:val="22"/>
        </w:rPr>
      </w:pPr>
    </w:p>
    <w:p w14:paraId="6A1AF3C5" w14:textId="08234816" w:rsidR="00551213" w:rsidRPr="00DC3157" w:rsidRDefault="00551213" w:rsidP="00551213">
      <w:pPr>
        <w:pStyle w:val="Default"/>
        <w:rPr>
          <w:rFonts w:asciiTheme="minorHAnsi" w:hAnsiTheme="minorHAnsi"/>
          <w:sz w:val="22"/>
          <w:szCs w:val="22"/>
        </w:rPr>
      </w:pPr>
      <w:r w:rsidRPr="00DC3157">
        <w:rPr>
          <w:rFonts w:asciiTheme="minorHAnsi" w:hAnsiTheme="minorHAnsi"/>
          <w:sz w:val="22"/>
          <w:szCs w:val="22"/>
        </w:rPr>
        <w:t>The planned NHIS case prioritization experiment will be carried out in collaboration with the Center for Adaptive Design (CAD) at the U.S. Census Bureau</w:t>
      </w:r>
      <w:r w:rsidR="00A96A35" w:rsidRPr="00DC3157">
        <w:rPr>
          <w:rFonts w:asciiTheme="minorHAnsi" w:hAnsiTheme="minorHAnsi"/>
          <w:sz w:val="22"/>
          <w:szCs w:val="22"/>
        </w:rPr>
        <w:t>, and is scheduled to begin in July 2016, to encompass the third quarter of data collection. D</w:t>
      </w:r>
      <w:r w:rsidRPr="00DC3157">
        <w:rPr>
          <w:rFonts w:asciiTheme="minorHAnsi" w:hAnsiTheme="minorHAnsi"/>
          <w:sz w:val="22"/>
          <w:szCs w:val="22"/>
        </w:rPr>
        <w:t>ata monitoring metrics and quality indicators</w:t>
      </w:r>
      <w:r w:rsidR="00A96A35" w:rsidRPr="00DC3157">
        <w:rPr>
          <w:rFonts w:asciiTheme="minorHAnsi" w:hAnsiTheme="minorHAnsi"/>
          <w:sz w:val="22"/>
          <w:szCs w:val="22"/>
        </w:rPr>
        <w:t xml:space="preserve"> will be used to assign</w:t>
      </w:r>
      <w:r w:rsidRPr="00DC3157">
        <w:rPr>
          <w:rFonts w:asciiTheme="minorHAnsi" w:hAnsiTheme="minorHAnsi"/>
          <w:sz w:val="22"/>
          <w:szCs w:val="22"/>
        </w:rPr>
        <w:t xml:space="preserve"> a priority level to cases in each interviewer’s workload</w:t>
      </w:r>
      <w:r w:rsidR="00A96A35" w:rsidRPr="00DC3157">
        <w:rPr>
          <w:rFonts w:asciiTheme="minorHAnsi" w:hAnsiTheme="minorHAnsi"/>
          <w:sz w:val="22"/>
          <w:szCs w:val="22"/>
        </w:rPr>
        <w:t xml:space="preserve">, with the aim of </w:t>
      </w:r>
      <w:r w:rsidRPr="00DC3157">
        <w:rPr>
          <w:rFonts w:asciiTheme="minorHAnsi" w:hAnsiTheme="minorHAnsi"/>
          <w:sz w:val="22"/>
          <w:szCs w:val="22"/>
        </w:rPr>
        <w:t>increas</w:t>
      </w:r>
      <w:r w:rsidR="00A96A35" w:rsidRPr="00DC3157">
        <w:rPr>
          <w:rFonts w:asciiTheme="minorHAnsi" w:hAnsiTheme="minorHAnsi"/>
          <w:sz w:val="22"/>
          <w:szCs w:val="22"/>
        </w:rPr>
        <w:t>ing</w:t>
      </w:r>
      <w:r w:rsidRPr="00DC3157">
        <w:rPr>
          <w:rFonts w:asciiTheme="minorHAnsi" w:hAnsiTheme="minorHAnsi"/>
          <w:sz w:val="22"/>
          <w:szCs w:val="22"/>
        </w:rPr>
        <w:t xml:space="preserve"> sam</w:t>
      </w:r>
      <w:r w:rsidR="00A96A35" w:rsidRPr="00DC3157">
        <w:rPr>
          <w:rFonts w:asciiTheme="minorHAnsi" w:hAnsiTheme="minorHAnsi"/>
          <w:sz w:val="22"/>
          <w:szCs w:val="22"/>
        </w:rPr>
        <w:t>ple representativeness and reducing</w:t>
      </w:r>
      <w:r w:rsidRPr="00DC3157">
        <w:rPr>
          <w:rFonts w:asciiTheme="minorHAnsi" w:hAnsiTheme="minorHAnsi"/>
          <w:sz w:val="22"/>
          <w:szCs w:val="22"/>
        </w:rPr>
        <w:t xml:space="preserve"> nonresponse bias within a fixed cost</w:t>
      </w:r>
      <w:r w:rsidR="00A96A35" w:rsidRPr="00DC3157">
        <w:rPr>
          <w:rFonts w:asciiTheme="minorHAnsi" w:hAnsiTheme="minorHAnsi"/>
          <w:sz w:val="22"/>
          <w:szCs w:val="22"/>
        </w:rPr>
        <w:t>.</w:t>
      </w:r>
    </w:p>
    <w:p w14:paraId="65625351" w14:textId="77777777" w:rsidR="00A96A35" w:rsidRPr="00DC3157" w:rsidRDefault="00A96A35" w:rsidP="00551213">
      <w:pPr>
        <w:pStyle w:val="Default"/>
        <w:rPr>
          <w:rFonts w:asciiTheme="minorHAnsi" w:hAnsiTheme="minorHAnsi"/>
          <w:sz w:val="22"/>
          <w:szCs w:val="22"/>
        </w:rPr>
      </w:pPr>
    </w:p>
    <w:p w14:paraId="213CC6DA" w14:textId="6B2A05C1" w:rsidR="00551213" w:rsidRPr="00DC3157" w:rsidRDefault="00A96A35" w:rsidP="00551213">
      <w:pPr>
        <w:spacing w:after="0" w:line="240" w:lineRule="auto"/>
      </w:pPr>
      <w:r w:rsidRPr="00DC3157">
        <w:t>The planned experiment requires no additional data collection from respondents, or changes to data collection procedures experienced by survey participants. Case prioritization will occur based</w:t>
      </w:r>
      <w:r w:rsidR="00551213" w:rsidRPr="00DC3157">
        <w:t xml:space="preserve"> on response propensity models</w:t>
      </w:r>
      <w:r w:rsidRPr="00DC3157">
        <w:t xml:space="preserve">, </w:t>
      </w:r>
      <w:r w:rsidR="00551213" w:rsidRPr="00DC3157">
        <w:t xml:space="preserve">constructed using historical NHIS sample variables, contact </w:t>
      </w:r>
      <w:proofErr w:type="spellStart"/>
      <w:r w:rsidR="00551213" w:rsidRPr="00DC3157">
        <w:t>paradata</w:t>
      </w:r>
      <w:proofErr w:type="spellEnd"/>
      <w:r w:rsidR="00551213" w:rsidRPr="00DC3157">
        <w:t xml:space="preserve"> variables, Neighborhood Observation Instrument (NOI) variables, and planning database variables</w:t>
      </w:r>
      <w:r w:rsidRPr="00DC3157">
        <w:t>. The p</w:t>
      </w:r>
      <w:r w:rsidR="00551213" w:rsidRPr="00DC3157">
        <w:t xml:space="preserve">ropensity score </w:t>
      </w:r>
      <w:r w:rsidRPr="00DC3157">
        <w:t xml:space="preserve">generated from these models </w:t>
      </w:r>
      <w:r w:rsidR="00551213" w:rsidRPr="00DC3157">
        <w:t>for each case</w:t>
      </w:r>
      <w:r w:rsidRPr="00DC3157">
        <w:t>—</w:t>
      </w:r>
      <w:r w:rsidR="00551213" w:rsidRPr="00DC3157">
        <w:t>based on its likelihood of response and contribution to representativeness</w:t>
      </w:r>
      <w:r w:rsidRPr="00DC3157">
        <w:t xml:space="preserve">—will inform its prioritization or de-prioritization </w:t>
      </w:r>
      <w:r w:rsidR="00551213" w:rsidRPr="00DC3157">
        <w:t xml:space="preserve">for </w:t>
      </w:r>
      <w:r w:rsidRPr="00DC3157">
        <w:t>interviewer contact</w:t>
      </w:r>
      <w:r w:rsidR="00551213" w:rsidRPr="00DC3157">
        <w:t xml:space="preserve">. </w:t>
      </w:r>
    </w:p>
    <w:p w14:paraId="14F4E42C" w14:textId="77777777" w:rsidR="00395642" w:rsidRPr="00DC3157" w:rsidRDefault="00395642" w:rsidP="00B60F5F">
      <w:pPr>
        <w:pStyle w:val="Default"/>
        <w:rPr>
          <w:rFonts w:asciiTheme="minorHAnsi" w:hAnsiTheme="minorHAnsi"/>
          <w:b/>
          <w:bCs/>
          <w:sz w:val="22"/>
          <w:szCs w:val="22"/>
        </w:rPr>
      </w:pPr>
    </w:p>
    <w:p w14:paraId="56C4F27D" w14:textId="5C977B6D" w:rsidR="00A96A35" w:rsidRPr="00DC3157" w:rsidRDefault="00A96A35" w:rsidP="00B60F5F">
      <w:pPr>
        <w:pStyle w:val="Default"/>
        <w:rPr>
          <w:rFonts w:asciiTheme="minorHAnsi" w:hAnsiTheme="minorHAnsi"/>
          <w:sz w:val="22"/>
          <w:szCs w:val="22"/>
          <w:u w:val="single"/>
        </w:rPr>
      </w:pPr>
      <w:r w:rsidRPr="00DC3157">
        <w:rPr>
          <w:rFonts w:asciiTheme="minorHAnsi" w:hAnsiTheme="minorHAnsi"/>
          <w:sz w:val="22"/>
          <w:szCs w:val="22"/>
          <w:u w:val="single"/>
        </w:rPr>
        <w:t>Experimental Design</w:t>
      </w:r>
    </w:p>
    <w:p w14:paraId="2856F376" w14:textId="72A06878" w:rsidR="00FA4036" w:rsidRPr="00DC3157" w:rsidRDefault="009F71D5" w:rsidP="00B60F5F">
      <w:pPr>
        <w:pStyle w:val="Default"/>
        <w:rPr>
          <w:rFonts w:asciiTheme="minorHAnsi" w:hAnsiTheme="minorHAnsi"/>
          <w:sz w:val="22"/>
          <w:szCs w:val="22"/>
        </w:rPr>
      </w:pPr>
      <w:r w:rsidRPr="00DC3157">
        <w:rPr>
          <w:rFonts w:asciiTheme="minorHAnsi" w:hAnsiTheme="minorHAnsi"/>
          <w:sz w:val="22"/>
          <w:szCs w:val="22"/>
        </w:rPr>
        <w:t xml:space="preserve">The approximate total sample size for the experiment is 17,000 families, of which </w:t>
      </w:r>
      <w:r w:rsidR="00A96A35" w:rsidRPr="00DC3157">
        <w:rPr>
          <w:rFonts w:asciiTheme="minorHAnsi" w:hAnsiTheme="minorHAnsi"/>
          <w:sz w:val="22"/>
          <w:szCs w:val="22"/>
        </w:rPr>
        <w:t>it is anticipated that</w:t>
      </w:r>
      <w:r w:rsidRPr="00DC3157">
        <w:rPr>
          <w:rFonts w:asciiTheme="minorHAnsi" w:hAnsiTheme="minorHAnsi"/>
          <w:sz w:val="22"/>
          <w:szCs w:val="22"/>
        </w:rPr>
        <w:t xml:space="preserve"> roughly 14,000 will be in-scope (eligible for the survey). </w:t>
      </w:r>
      <w:r w:rsidR="00FA4036" w:rsidRPr="00DC3157">
        <w:rPr>
          <w:rFonts w:asciiTheme="minorHAnsi" w:hAnsiTheme="minorHAnsi"/>
          <w:sz w:val="22"/>
          <w:szCs w:val="22"/>
        </w:rPr>
        <w:t>Figure 1</w:t>
      </w:r>
      <w:r w:rsidR="00E916D1" w:rsidRPr="00DC3157">
        <w:rPr>
          <w:rFonts w:asciiTheme="minorHAnsi" w:hAnsiTheme="minorHAnsi"/>
          <w:sz w:val="22"/>
          <w:szCs w:val="22"/>
        </w:rPr>
        <w:t xml:space="preserve"> (below)</w:t>
      </w:r>
      <w:r w:rsidR="00FA4036" w:rsidRPr="00DC3157">
        <w:rPr>
          <w:rFonts w:asciiTheme="minorHAnsi" w:hAnsiTheme="minorHAnsi"/>
          <w:sz w:val="22"/>
          <w:szCs w:val="22"/>
        </w:rPr>
        <w:t xml:space="preserve"> shows that although cases will be assigned to either the experimental or control groups before data collection starts, all cases will be treated the same for the first 13 days of data collection</w:t>
      </w:r>
      <w:r w:rsidR="00561E14" w:rsidRPr="00DC3157">
        <w:rPr>
          <w:rFonts w:asciiTheme="minorHAnsi" w:hAnsiTheme="minorHAnsi"/>
          <w:sz w:val="22"/>
          <w:szCs w:val="22"/>
        </w:rPr>
        <w:t xml:space="preserve"> in each month</w:t>
      </w:r>
      <w:r w:rsidR="00FA4036" w:rsidRPr="00DC3157">
        <w:rPr>
          <w:rFonts w:asciiTheme="minorHAnsi" w:hAnsiTheme="minorHAnsi"/>
          <w:sz w:val="22"/>
          <w:szCs w:val="22"/>
        </w:rPr>
        <w:t xml:space="preserve">. During this time, interviewers </w:t>
      </w:r>
      <w:r w:rsidR="00D13049" w:rsidRPr="00DC3157">
        <w:rPr>
          <w:rFonts w:asciiTheme="minorHAnsi" w:hAnsiTheme="minorHAnsi"/>
          <w:sz w:val="22"/>
          <w:szCs w:val="22"/>
        </w:rPr>
        <w:t xml:space="preserve">(referred to as “FR” in the figure, </w:t>
      </w:r>
      <w:r w:rsidR="00FA5E34" w:rsidRPr="00DC3157">
        <w:rPr>
          <w:rFonts w:asciiTheme="minorHAnsi" w:hAnsiTheme="minorHAnsi"/>
          <w:sz w:val="22"/>
          <w:szCs w:val="22"/>
        </w:rPr>
        <w:t xml:space="preserve">short </w:t>
      </w:r>
      <w:r w:rsidR="00D13049" w:rsidRPr="00DC3157">
        <w:rPr>
          <w:rFonts w:asciiTheme="minorHAnsi" w:hAnsiTheme="minorHAnsi"/>
          <w:sz w:val="22"/>
          <w:szCs w:val="22"/>
        </w:rPr>
        <w:t xml:space="preserve">for “field representative”) </w:t>
      </w:r>
      <w:r w:rsidR="00FA4036" w:rsidRPr="00DC3157">
        <w:rPr>
          <w:rFonts w:asciiTheme="minorHAnsi" w:hAnsiTheme="minorHAnsi"/>
          <w:sz w:val="22"/>
          <w:szCs w:val="22"/>
        </w:rPr>
        <w:t xml:space="preserve">must ensure that at least one contact attempt is made for each case, and that interviewer observations are documented for each case in the </w:t>
      </w:r>
      <w:r w:rsidR="00561E14" w:rsidRPr="00DC3157">
        <w:rPr>
          <w:rFonts w:asciiTheme="minorHAnsi" w:hAnsiTheme="minorHAnsi"/>
          <w:sz w:val="22"/>
          <w:szCs w:val="22"/>
        </w:rPr>
        <w:t>N</w:t>
      </w:r>
      <w:r w:rsidR="00FA4036" w:rsidRPr="00DC3157">
        <w:rPr>
          <w:rFonts w:asciiTheme="minorHAnsi" w:hAnsiTheme="minorHAnsi"/>
          <w:sz w:val="22"/>
          <w:szCs w:val="22"/>
        </w:rPr>
        <w:t xml:space="preserve">eighborhood </w:t>
      </w:r>
      <w:r w:rsidR="00561E14" w:rsidRPr="00DC3157">
        <w:rPr>
          <w:rFonts w:asciiTheme="minorHAnsi" w:hAnsiTheme="minorHAnsi"/>
          <w:sz w:val="22"/>
          <w:szCs w:val="22"/>
        </w:rPr>
        <w:t>O</w:t>
      </w:r>
      <w:r w:rsidR="00FA4036" w:rsidRPr="00DC3157">
        <w:rPr>
          <w:rFonts w:asciiTheme="minorHAnsi" w:hAnsiTheme="minorHAnsi"/>
          <w:sz w:val="22"/>
          <w:szCs w:val="22"/>
        </w:rPr>
        <w:t xml:space="preserve">bservation </w:t>
      </w:r>
      <w:r w:rsidR="00561E14" w:rsidRPr="00DC3157">
        <w:rPr>
          <w:rFonts w:asciiTheme="minorHAnsi" w:hAnsiTheme="minorHAnsi"/>
          <w:sz w:val="22"/>
          <w:szCs w:val="22"/>
        </w:rPr>
        <w:t>I</w:t>
      </w:r>
      <w:r w:rsidR="00FA4036" w:rsidRPr="00DC3157">
        <w:rPr>
          <w:rFonts w:asciiTheme="minorHAnsi" w:hAnsiTheme="minorHAnsi"/>
          <w:sz w:val="22"/>
          <w:szCs w:val="22"/>
        </w:rPr>
        <w:t>nstrument (NOI). The NOI data</w:t>
      </w:r>
      <w:r w:rsidR="00297F91" w:rsidRPr="00DC3157">
        <w:rPr>
          <w:rStyle w:val="FootnoteReference"/>
          <w:rFonts w:asciiTheme="minorHAnsi" w:hAnsiTheme="minorHAnsi"/>
          <w:sz w:val="22"/>
          <w:szCs w:val="22"/>
        </w:rPr>
        <w:footnoteReference w:id="1"/>
      </w:r>
      <w:r w:rsidR="00FA4036" w:rsidRPr="00DC3157">
        <w:rPr>
          <w:rFonts w:asciiTheme="minorHAnsi" w:hAnsiTheme="minorHAnsi"/>
          <w:sz w:val="22"/>
          <w:szCs w:val="22"/>
        </w:rPr>
        <w:t xml:space="preserve"> will be combined with covariate data that is available before the start of data collection and contact history instrument (CHI) data</w:t>
      </w:r>
      <w:r w:rsidR="00297F91" w:rsidRPr="00DC3157">
        <w:rPr>
          <w:rStyle w:val="FootnoteReference"/>
          <w:rFonts w:asciiTheme="minorHAnsi" w:hAnsiTheme="minorHAnsi"/>
          <w:sz w:val="22"/>
          <w:szCs w:val="22"/>
        </w:rPr>
        <w:footnoteReference w:id="2"/>
      </w:r>
      <w:r w:rsidR="00FA4036" w:rsidRPr="00DC3157">
        <w:rPr>
          <w:rFonts w:asciiTheme="minorHAnsi" w:hAnsiTheme="minorHAnsi"/>
          <w:sz w:val="22"/>
          <w:szCs w:val="22"/>
        </w:rPr>
        <w:t xml:space="preserve"> that is collected during every contact attempt </w:t>
      </w:r>
      <w:r w:rsidR="00561E14" w:rsidRPr="00DC3157">
        <w:rPr>
          <w:rFonts w:asciiTheme="minorHAnsi" w:hAnsiTheme="minorHAnsi"/>
          <w:sz w:val="22"/>
          <w:szCs w:val="22"/>
        </w:rPr>
        <w:t xml:space="preserve">for each case </w:t>
      </w:r>
      <w:r w:rsidR="00FA4036" w:rsidRPr="00DC3157">
        <w:rPr>
          <w:rFonts w:asciiTheme="minorHAnsi" w:hAnsiTheme="minorHAnsi"/>
          <w:sz w:val="22"/>
          <w:szCs w:val="22"/>
        </w:rPr>
        <w:t>to run models and create monitoring m</w:t>
      </w:r>
      <w:r w:rsidR="00B60F5F" w:rsidRPr="00DC3157">
        <w:rPr>
          <w:rFonts w:asciiTheme="minorHAnsi" w:hAnsiTheme="minorHAnsi"/>
          <w:sz w:val="22"/>
          <w:szCs w:val="22"/>
        </w:rPr>
        <w:t xml:space="preserve">etrics </w:t>
      </w:r>
      <w:r w:rsidR="00561E14" w:rsidRPr="00DC3157">
        <w:rPr>
          <w:rFonts w:asciiTheme="minorHAnsi" w:hAnsiTheme="minorHAnsi"/>
          <w:sz w:val="22"/>
          <w:szCs w:val="22"/>
        </w:rPr>
        <w:t>for</w:t>
      </w:r>
      <w:r w:rsidR="00B60F5F" w:rsidRPr="00DC3157">
        <w:rPr>
          <w:rFonts w:asciiTheme="minorHAnsi" w:hAnsiTheme="minorHAnsi"/>
          <w:sz w:val="22"/>
          <w:szCs w:val="22"/>
        </w:rPr>
        <w:t xml:space="preserve"> days 13-15.</w:t>
      </w:r>
    </w:p>
    <w:p w14:paraId="2AC6CE95" w14:textId="77777777" w:rsidR="00B60F5F" w:rsidRPr="00DC3157" w:rsidRDefault="00B60F5F" w:rsidP="00B60F5F">
      <w:pPr>
        <w:pStyle w:val="Default"/>
        <w:rPr>
          <w:rFonts w:asciiTheme="minorHAnsi" w:hAnsiTheme="minorHAnsi"/>
          <w:sz w:val="22"/>
          <w:szCs w:val="22"/>
        </w:rPr>
      </w:pPr>
    </w:p>
    <w:p w14:paraId="27F0065E" w14:textId="77777777" w:rsidR="00FA4036" w:rsidRPr="00DC3157" w:rsidRDefault="00FA4036" w:rsidP="00B60F5F">
      <w:pPr>
        <w:pStyle w:val="Default"/>
        <w:rPr>
          <w:rFonts w:asciiTheme="minorHAnsi" w:hAnsiTheme="minorHAnsi"/>
          <w:sz w:val="22"/>
          <w:szCs w:val="22"/>
        </w:rPr>
      </w:pPr>
      <w:r w:rsidRPr="00DC3157">
        <w:rPr>
          <w:rFonts w:asciiTheme="minorHAnsi" w:hAnsiTheme="minorHAnsi"/>
          <w:sz w:val="22"/>
          <w:szCs w:val="22"/>
        </w:rPr>
        <w:lastRenderedPageBreak/>
        <w:t>During days 13</w:t>
      </w:r>
      <w:r w:rsidR="00561E14" w:rsidRPr="00DC3157">
        <w:rPr>
          <w:rFonts w:asciiTheme="minorHAnsi" w:hAnsiTheme="minorHAnsi"/>
          <w:sz w:val="22"/>
          <w:szCs w:val="22"/>
        </w:rPr>
        <w:t>-</w:t>
      </w:r>
      <w:r w:rsidRPr="00DC3157">
        <w:rPr>
          <w:rFonts w:asciiTheme="minorHAnsi" w:hAnsiTheme="minorHAnsi"/>
          <w:sz w:val="22"/>
          <w:szCs w:val="22"/>
        </w:rPr>
        <w:t xml:space="preserve">15, the priority (H: high, M: medium, L: low) for </w:t>
      </w:r>
      <w:r w:rsidR="00561E14" w:rsidRPr="00DC3157">
        <w:rPr>
          <w:rFonts w:asciiTheme="minorHAnsi" w:hAnsiTheme="minorHAnsi"/>
          <w:sz w:val="22"/>
          <w:szCs w:val="22"/>
        </w:rPr>
        <w:t>each incomplete case</w:t>
      </w:r>
      <w:r w:rsidRPr="00DC3157">
        <w:rPr>
          <w:rFonts w:asciiTheme="minorHAnsi" w:hAnsiTheme="minorHAnsi"/>
          <w:sz w:val="22"/>
          <w:szCs w:val="22"/>
        </w:rPr>
        <w:t xml:space="preserve"> will be determined, based on a calculation of how strategic a case is to achieving the experimental goal of improving </w:t>
      </w:r>
      <w:r w:rsidR="00561E14" w:rsidRPr="00DC3157">
        <w:rPr>
          <w:rFonts w:asciiTheme="minorHAnsi" w:hAnsiTheme="minorHAnsi"/>
          <w:sz w:val="22"/>
          <w:szCs w:val="22"/>
        </w:rPr>
        <w:t xml:space="preserve">sample </w:t>
      </w:r>
      <w:r w:rsidRPr="00DC3157">
        <w:rPr>
          <w:rFonts w:asciiTheme="minorHAnsi" w:hAnsiTheme="minorHAnsi"/>
          <w:sz w:val="22"/>
          <w:szCs w:val="22"/>
        </w:rPr>
        <w:t>representativeness and managing costs without negatively affecting overall response. For example, we would</w:t>
      </w:r>
      <w:r w:rsidR="00561E14" w:rsidRPr="00DC3157">
        <w:rPr>
          <w:rFonts w:asciiTheme="minorHAnsi" w:hAnsiTheme="minorHAnsi"/>
          <w:sz w:val="22"/>
          <w:szCs w:val="22"/>
        </w:rPr>
        <w:t xml:space="preserve"> want to </w:t>
      </w:r>
      <w:r w:rsidR="008B1B70" w:rsidRPr="00DC3157">
        <w:rPr>
          <w:rFonts w:asciiTheme="minorHAnsi" w:hAnsiTheme="minorHAnsi"/>
          <w:sz w:val="22"/>
          <w:szCs w:val="22"/>
        </w:rPr>
        <w:t xml:space="preserve">assign high priority to </w:t>
      </w:r>
      <w:r w:rsidR="00561E14" w:rsidRPr="00DC3157">
        <w:rPr>
          <w:rFonts w:asciiTheme="minorHAnsi" w:hAnsiTheme="minorHAnsi"/>
          <w:sz w:val="22"/>
          <w:szCs w:val="22"/>
        </w:rPr>
        <w:t xml:space="preserve">a case that, if </w:t>
      </w:r>
      <w:r w:rsidRPr="00DC3157">
        <w:rPr>
          <w:rFonts w:asciiTheme="minorHAnsi" w:hAnsiTheme="minorHAnsi"/>
          <w:sz w:val="22"/>
          <w:szCs w:val="22"/>
        </w:rPr>
        <w:t xml:space="preserve">completed, would improve representativeness. However, this decision would have to be balanced by how likely the case </w:t>
      </w:r>
      <w:r w:rsidR="00561E14" w:rsidRPr="00DC3157">
        <w:rPr>
          <w:rFonts w:asciiTheme="minorHAnsi" w:hAnsiTheme="minorHAnsi"/>
          <w:sz w:val="22"/>
          <w:szCs w:val="22"/>
        </w:rPr>
        <w:t>is</w:t>
      </w:r>
      <w:r w:rsidRPr="00DC3157">
        <w:rPr>
          <w:rFonts w:asciiTheme="minorHAnsi" w:hAnsiTheme="minorHAnsi"/>
          <w:sz w:val="22"/>
          <w:szCs w:val="22"/>
        </w:rPr>
        <w:t xml:space="preserve"> to be completed. If the case appeared impossible to convert</w:t>
      </w:r>
      <w:r w:rsidR="008B1B70" w:rsidRPr="00DC3157">
        <w:rPr>
          <w:rFonts w:asciiTheme="minorHAnsi" w:hAnsiTheme="minorHAnsi"/>
          <w:sz w:val="22"/>
          <w:szCs w:val="22"/>
        </w:rPr>
        <w:t xml:space="preserve"> based on the interviewer’s notes</w:t>
      </w:r>
      <w:r w:rsidRPr="00DC3157">
        <w:rPr>
          <w:rFonts w:asciiTheme="minorHAnsi" w:hAnsiTheme="minorHAnsi"/>
          <w:sz w:val="22"/>
          <w:szCs w:val="22"/>
        </w:rPr>
        <w:t xml:space="preserve">, we may not </w:t>
      </w:r>
      <w:r w:rsidR="00561E14" w:rsidRPr="00DC3157">
        <w:rPr>
          <w:rFonts w:asciiTheme="minorHAnsi" w:hAnsiTheme="minorHAnsi"/>
          <w:sz w:val="22"/>
          <w:szCs w:val="22"/>
        </w:rPr>
        <w:t>assign a high priority to</w:t>
      </w:r>
      <w:r w:rsidRPr="00DC3157">
        <w:rPr>
          <w:rFonts w:asciiTheme="minorHAnsi" w:hAnsiTheme="minorHAnsi"/>
          <w:sz w:val="22"/>
          <w:szCs w:val="22"/>
        </w:rPr>
        <w:t xml:space="preserve"> the case, effectively expending additional resources to</w:t>
      </w:r>
      <w:r w:rsidR="008B1B70" w:rsidRPr="00DC3157">
        <w:rPr>
          <w:rFonts w:asciiTheme="minorHAnsi" w:hAnsiTheme="minorHAnsi"/>
          <w:sz w:val="22"/>
          <w:szCs w:val="22"/>
        </w:rPr>
        <w:t xml:space="preserve"> a fruitless pursuit</w:t>
      </w:r>
      <w:r w:rsidRPr="00DC3157">
        <w:rPr>
          <w:rFonts w:asciiTheme="minorHAnsi" w:hAnsiTheme="minorHAnsi"/>
          <w:sz w:val="22"/>
          <w:szCs w:val="22"/>
        </w:rPr>
        <w:t xml:space="preserve">. Similarly, if a case had a very high likelihood of response, but would not improve representativeness because we already had an overabundance of respondents with the same characteristics, we would not want to prioritize a case simply because the case is likely to respond. All cases </w:t>
      </w:r>
      <w:r w:rsidR="00561E14" w:rsidRPr="00DC3157">
        <w:rPr>
          <w:rFonts w:asciiTheme="minorHAnsi" w:hAnsiTheme="minorHAnsi"/>
          <w:sz w:val="22"/>
          <w:szCs w:val="22"/>
        </w:rPr>
        <w:t xml:space="preserve">(both experimental and control) </w:t>
      </w:r>
      <w:r w:rsidRPr="00DC3157">
        <w:rPr>
          <w:rFonts w:asciiTheme="minorHAnsi" w:hAnsiTheme="minorHAnsi"/>
          <w:sz w:val="22"/>
          <w:szCs w:val="22"/>
        </w:rPr>
        <w:t>will be assigned a priority status</w:t>
      </w:r>
      <w:r w:rsidR="00561E14" w:rsidRPr="00DC3157">
        <w:rPr>
          <w:rFonts w:asciiTheme="minorHAnsi" w:hAnsiTheme="minorHAnsi"/>
          <w:sz w:val="22"/>
          <w:szCs w:val="22"/>
        </w:rPr>
        <w:t>, which</w:t>
      </w:r>
      <w:r w:rsidRPr="00DC3157">
        <w:rPr>
          <w:rFonts w:asciiTheme="minorHAnsi" w:hAnsiTheme="minorHAnsi"/>
          <w:sz w:val="22"/>
          <w:szCs w:val="22"/>
        </w:rPr>
        <w:t xml:space="preserve"> may be useful later for propensity matching or direct comparisons among subgroups in the experimental vs. control groups. However, only experimental cases will have the priority statuses displayed in field management repo</w:t>
      </w:r>
      <w:r w:rsidR="00B60F5F" w:rsidRPr="00DC3157">
        <w:rPr>
          <w:rFonts w:asciiTheme="minorHAnsi" w:hAnsiTheme="minorHAnsi"/>
          <w:sz w:val="22"/>
          <w:szCs w:val="22"/>
        </w:rPr>
        <w:t>rts and on interviewer laptops.</w:t>
      </w:r>
      <w:r w:rsidR="002847B0" w:rsidRPr="00DC3157">
        <w:rPr>
          <w:rFonts w:asciiTheme="minorHAnsi" w:hAnsiTheme="minorHAnsi"/>
          <w:sz w:val="22"/>
          <w:szCs w:val="22"/>
        </w:rPr>
        <w:t xml:space="preserve">  The experimental cases with low priority status will “disappear” from the interviewer’s workload.</w:t>
      </w:r>
    </w:p>
    <w:p w14:paraId="3E310EA1" w14:textId="77777777" w:rsidR="00B60F5F" w:rsidRPr="00DC3157" w:rsidRDefault="00B60F5F" w:rsidP="00B60F5F">
      <w:pPr>
        <w:pStyle w:val="Default"/>
        <w:rPr>
          <w:rFonts w:asciiTheme="minorHAnsi" w:hAnsiTheme="minorHAnsi"/>
          <w:sz w:val="22"/>
          <w:szCs w:val="22"/>
        </w:rPr>
      </w:pPr>
    </w:p>
    <w:p w14:paraId="7B0AFF17" w14:textId="77777777" w:rsidR="00FA4036" w:rsidRPr="00DC3157" w:rsidRDefault="00561E14" w:rsidP="00B60F5F">
      <w:pPr>
        <w:pStyle w:val="Default"/>
        <w:rPr>
          <w:rFonts w:asciiTheme="minorHAnsi" w:hAnsiTheme="minorHAnsi"/>
          <w:sz w:val="22"/>
          <w:szCs w:val="22"/>
        </w:rPr>
      </w:pPr>
      <w:r w:rsidRPr="00DC3157">
        <w:rPr>
          <w:rFonts w:asciiTheme="minorHAnsi" w:hAnsiTheme="minorHAnsi"/>
          <w:sz w:val="22"/>
          <w:szCs w:val="22"/>
        </w:rPr>
        <w:t>D</w:t>
      </w:r>
      <w:r w:rsidR="00FA4036" w:rsidRPr="00DC3157">
        <w:rPr>
          <w:rFonts w:asciiTheme="minorHAnsi" w:hAnsiTheme="minorHAnsi"/>
          <w:sz w:val="22"/>
          <w:szCs w:val="22"/>
        </w:rPr>
        <w:t>uring the second half of the month</w:t>
      </w:r>
      <w:r w:rsidRPr="00DC3157">
        <w:rPr>
          <w:rFonts w:asciiTheme="minorHAnsi" w:hAnsiTheme="minorHAnsi"/>
          <w:sz w:val="22"/>
          <w:szCs w:val="22"/>
        </w:rPr>
        <w:t>, c</w:t>
      </w:r>
      <w:r w:rsidR="00FA4036" w:rsidRPr="00DC3157">
        <w:rPr>
          <w:rFonts w:asciiTheme="minorHAnsi" w:hAnsiTheme="minorHAnsi"/>
          <w:sz w:val="22"/>
          <w:szCs w:val="22"/>
        </w:rPr>
        <w:t>ases assigned to high or low priorit</w:t>
      </w:r>
      <w:r w:rsidRPr="00DC3157">
        <w:rPr>
          <w:rFonts w:asciiTheme="minorHAnsi" w:hAnsiTheme="minorHAnsi"/>
          <w:sz w:val="22"/>
          <w:szCs w:val="22"/>
        </w:rPr>
        <w:t>y</w:t>
      </w:r>
      <w:r w:rsidR="00FA4036" w:rsidRPr="00DC3157">
        <w:rPr>
          <w:rFonts w:asciiTheme="minorHAnsi" w:hAnsiTheme="minorHAnsi"/>
          <w:sz w:val="22"/>
          <w:szCs w:val="22"/>
        </w:rPr>
        <w:t xml:space="preserve"> in the experimental group will be treated differently by interviewers in the field, while all other cases will be worked with a “Business as Usual” </w:t>
      </w:r>
      <w:r w:rsidRPr="00DC3157">
        <w:rPr>
          <w:rFonts w:asciiTheme="minorHAnsi" w:hAnsiTheme="minorHAnsi"/>
          <w:sz w:val="22"/>
          <w:szCs w:val="22"/>
        </w:rPr>
        <w:t>approach</w:t>
      </w:r>
      <w:r w:rsidR="00FA4036" w:rsidRPr="00DC3157">
        <w:rPr>
          <w:rFonts w:asciiTheme="minorHAnsi" w:hAnsiTheme="minorHAnsi"/>
          <w:sz w:val="22"/>
          <w:szCs w:val="22"/>
        </w:rPr>
        <w:t>. The goal is for lower priority cases to be worked less intensely and high priority cases to be worked more intensely, in pursuit of the goals for the data collection.</w:t>
      </w:r>
    </w:p>
    <w:p w14:paraId="6FE915EE" w14:textId="77777777" w:rsidR="000474F3" w:rsidRPr="00DC3157" w:rsidRDefault="000474F3" w:rsidP="00B60F5F">
      <w:pPr>
        <w:autoSpaceDE w:val="0"/>
        <w:autoSpaceDN w:val="0"/>
        <w:adjustRightInd w:val="0"/>
        <w:spacing w:after="0" w:line="240" w:lineRule="auto"/>
        <w:rPr>
          <w:rFonts w:cs="Times New Roman"/>
          <w:color w:val="000000"/>
        </w:rPr>
      </w:pPr>
    </w:p>
    <w:p w14:paraId="5BFB3FF9" w14:textId="77777777" w:rsidR="00880D1A" w:rsidRPr="00DC3157" w:rsidRDefault="00FF5216" w:rsidP="00B60F5F">
      <w:pPr>
        <w:autoSpaceDE w:val="0"/>
        <w:autoSpaceDN w:val="0"/>
        <w:adjustRightInd w:val="0"/>
        <w:spacing w:after="0" w:line="240" w:lineRule="auto"/>
        <w:rPr>
          <w:rFonts w:cs="Times New Roman"/>
          <w:b/>
          <w:color w:val="000000"/>
        </w:rPr>
      </w:pPr>
      <w:r w:rsidRPr="00DC3157">
        <w:rPr>
          <w:rFonts w:cs="Times New Roman"/>
          <w:b/>
          <w:noProof/>
          <w:color w:val="000000"/>
        </w:rPr>
        <w:lastRenderedPageBreak/>
        <w:drawing>
          <wp:inline distT="0" distB="0" distL="0" distR="0" wp14:anchorId="03579CC7" wp14:editId="608C7321">
            <wp:extent cx="5361317" cy="5634607"/>
            <wp:effectExtent l="0" t="0" r="0" b="4445"/>
            <wp:docPr id="1" name="Picture 1" descr="C:\Users\wpl8\Desktop\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pl8\Desktop\Figure 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941" r="744" b="11392"/>
                    <a:stretch/>
                  </pic:blipFill>
                  <pic:spPr bwMode="auto">
                    <a:xfrm>
                      <a:off x="0" y="0"/>
                      <a:ext cx="5376093" cy="5650137"/>
                    </a:xfrm>
                    <a:prstGeom prst="rect">
                      <a:avLst/>
                    </a:prstGeom>
                    <a:noFill/>
                    <a:ln>
                      <a:noFill/>
                    </a:ln>
                    <a:extLst>
                      <a:ext uri="{53640926-AAD7-44D8-BBD7-CCE9431645EC}">
                        <a14:shadowObscured xmlns:a14="http://schemas.microsoft.com/office/drawing/2010/main"/>
                      </a:ext>
                    </a:extLst>
                  </pic:spPr>
                </pic:pic>
              </a:graphicData>
            </a:graphic>
          </wp:inline>
        </w:drawing>
      </w:r>
    </w:p>
    <w:p w14:paraId="50D21EAE" w14:textId="77777777" w:rsidR="00880D1A" w:rsidRPr="00DC3157" w:rsidRDefault="00880D1A" w:rsidP="00B60F5F">
      <w:pPr>
        <w:autoSpaceDE w:val="0"/>
        <w:autoSpaceDN w:val="0"/>
        <w:adjustRightInd w:val="0"/>
        <w:spacing w:after="0" w:line="240" w:lineRule="auto"/>
        <w:rPr>
          <w:rFonts w:cs="Times New Roman"/>
          <w:b/>
          <w:color w:val="000000"/>
        </w:rPr>
      </w:pPr>
    </w:p>
    <w:p w14:paraId="27EFD048" w14:textId="77777777" w:rsidR="008B499F" w:rsidRPr="00DC3157" w:rsidRDefault="008B499F" w:rsidP="00B60F5F">
      <w:pPr>
        <w:autoSpaceDE w:val="0"/>
        <w:autoSpaceDN w:val="0"/>
        <w:adjustRightInd w:val="0"/>
        <w:spacing w:after="0" w:line="240" w:lineRule="auto"/>
        <w:rPr>
          <w:rFonts w:cs="Times New Roman"/>
          <w:b/>
          <w:color w:val="000000"/>
        </w:rPr>
      </w:pPr>
    </w:p>
    <w:p w14:paraId="3616102E" w14:textId="1A729DB4" w:rsidR="000474F3" w:rsidRPr="00DC3157" w:rsidRDefault="000474F3" w:rsidP="008B499F">
      <w:pPr>
        <w:keepNext/>
        <w:autoSpaceDE w:val="0"/>
        <w:autoSpaceDN w:val="0"/>
        <w:adjustRightInd w:val="0"/>
        <w:spacing w:after="0" w:line="240" w:lineRule="auto"/>
        <w:rPr>
          <w:rFonts w:cs="Times New Roman"/>
          <w:color w:val="000000"/>
          <w:u w:val="single"/>
        </w:rPr>
      </w:pPr>
      <w:r w:rsidRPr="00DC3157">
        <w:rPr>
          <w:rFonts w:cs="Times New Roman"/>
          <w:color w:val="000000"/>
          <w:u w:val="single"/>
        </w:rPr>
        <w:t>Data and Metrics</w:t>
      </w:r>
    </w:p>
    <w:p w14:paraId="07778D21" w14:textId="77777777" w:rsidR="00D12C04" w:rsidRPr="00DC3157" w:rsidRDefault="002847B0" w:rsidP="00B60F5F">
      <w:pPr>
        <w:autoSpaceDE w:val="0"/>
        <w:autoSpaceDN w:val="0"/>
        <w:adjustRightInd w:val="0"/>
        <w:spacing w:after="0" w:line="240" w:lineRule="auto"/>
        <w:rPr>
          <w:rFonts w:cs="Times New Roman"/>
          <w:color w:val="000000"/>
        </w:rPr>
      </w:pPr>
      <w:r w:rsidRPr="00DC3157">
        <w:rPr>
          <w:rFonts w:cs="Times New Roman"/>
          <w:color w:val="000000"/>
        </w:rPr>
        <w:t>For this experiment, metrics are needed t</w:t>
      </w:r>
      <w:r w:rsidR="00D12C04" w:rsidRPr="00DC3157">
        <w:rPr>
          <w:rFonts w:cs="Times New Roman"/>
          <w:color w:val="000000"/>
        </w:rPr>
        <w:t xml:space="preserve">hat will predict likelihood of response and how much a case will contribute to representativeness of the respondent population. We will use response propensity models to predict likelihood of response. Unlike propensity models used in weighting adjustments [8], where we are concerned about finding variables that predict the outcomes of interest, here we are concerned solely with predicting likelihood of response. </w:t>
      </w:r>
    </w:p>
    <w:p w14:paraId="106DEB5B" w14:textId="77777777" w:rsidR="00B60F5F" w:rsidRPr="00DC3157" w:rsidRDefault="00B60F5F" w:rsidP="00B60F5F">
      <w:pPr>
        <w:autoSpaceDE w:val="0"/>
        <w:autoSpaceDN w:val="0"/>
        <w:adjustRightInd w:val="0"/>
        <w:spacing w:after="0" w:line="240" w:lineRule="auto"/>
        <w:rPr>
          <w:rFonts w:cs="Times New Roman"/>
          <w:color w:val="000000"/>
        </w:rPr>
      </w:pPr>
    </w:p>
    <w:p w14:paraId="63EAB6A8" w14:textId="77777777" w:rsidR="00D12C04" w:rsidRPr="00DC3157" w:rsidRDefault="00D12C04" w:rsidP="00B60F5F">
      <w:pPr>
        <w:autoSpaceDE w:val="0"/>
        <w:autoSpaceDN w:val="0"/>
        <w:adjustRightInd w:val="0"/>
        <w:spacing w:after="0" w:line="240" w:lineRule="auto"/>
        <w:rPr>
          <w:rFonts w:cs="Times New Roman"/>
          <w:color w:val="000000"/>
        </w:rPr>
      </w:pPr>
      <w:r w:rsidRPr="00DC3157">
        <w:rPr>
          <w:rFonts w:cs="Times New Roman"/>
          <w:color w:val="000000"/>
        </w:rPr>
        <w:t xml:space="preserve">Identification of cases that will contribute to representativeness relies on R-indicators [9]. R-indicators are based upon a balancing propensity model that, like those used for nonresponse adjustment, focus on the outcomes of interest. The idea is that if we have balanced response across all subgroups that are related to outcomes of interest, the survey will be better protected against nonresponse bias. Estimating the between and within subgroup variance of response propensities [10] will allow us to determine which cases are in over-represented or under-represented subgroups. </w:t>
      </w:r>
    </w:p>
    <w:p w14:paraId="3E6E3880" w14:textId="77777777" w:rsidR="00B60F5F" w:rsidRPr="00DC3157" w:rsidRDefault="00B60F5F" w:rsidP="00B60F5F">
      <w:pPr>
        <w:autoSpaceDE w:val="0"/>
        <w:autoSpaceDN w:val="0"/>
        <w:adjustRightInd w:val="0"/>
        <w:spacing w:after="0" w:line="240" w:lineRule="auto"/>
        <w:rPr>
          <w:rFonts w:cs="Times New Roman"/>
          <w:color w:val="000000"/>
        </w:rPr>
      </w:pPr>
    </w:p>
    <w:p w14:paraId="257A6ECD" w14:textId="77777777" w:rsidR="00D12C04" w:rsidRPr="00DC3157" w:rsidRDefault="002847B0" w:rsidP="00B60F5F">
      <w:pPr>
        <w:autoSpaceDE w:val="0"/>
        <w:autoSpaceDN w:val="0"/>
        <w:adjustRightInd w:val="0"/>
        <w:spacing w:after="0" w:line="240" w:lineRule="auto"/>
        <w:rPr>
          <w:rFonts w:cs="Times New Roman"/>
          <w:color w:val="000000"/>
        </w:rPr>
      </w:pPr>
      <w:r w:rsidRPr="00DC3157">
        <w:rPr>
          <w:rFonts w:cs="Times New Roman"/>
          <w:color w:val="000000"/>
        </w:rPr>
        <w:lastRenderedPageBreak/>
        <w:t>S</w:t>
      </w:r>
      <w:r w:rsidR="00D12C04" w:rsidRPr="00DC3157">
        <w:rPr>
          <w:rFonts w:cs="Times New Roman"/>
          <w:color w:val="000000"/>
        </w:rPr>
        <w:t xml:space="preserve">everal data sources </w:t>
      </w:r>
      <w:r w:rsidRPr="00DC3157">
        <w:rPr>
          <w:rFonts w:cs="Times New Roman"/>
          <w:color w:val="000000"/>
        </w:rPr>
        <w:t xml:space="preserve">are </w:t>
      </w:r>
      <w:r w:rsidR="00D12C04" w:rsidRPr="00DC3157">
        <w:rPr>
          <w:rFonts w:cs="Times New Roman"/>
          <w:color w:val="000000"/>
        </w:rPr>
        <w:t>available for these two categories of models. First, we have the sample design data from the NHIS. These data include information about sampling, such as base</w:t>
      </w:r>
      <w:r w:rsidRPr="00DC3157">
        <w:rPr>
          <w:rFonts w:cs="Times New Roman"/>
          <w:color w:val="000000"/>
        </w:rPr>
        <w:t xml:space="preserve"> </w:t>
      </w:r>
      <w:r w:rsidR="00D12C04" w:rsidRPr="00DC3157">
        <w:rPr>
          <w:rFonts w:cs="Times New Roman"/>
          <w:color w:val="000000"/>
        </w:rPr>
        <w:t xml:space="preserve">weights and stratification information, as well as geographic information. These variables are fixed covariates that </w:t>
      </w:r>
      <w:r w:rsidRPr="00DC3157">
        <w:rPr>
          <w:rFonts w:cs="Times New Roman"/>
          <w:color w:val="000000"/>
        </w:rPr>
        <w:t>are available</w:t>
      </w:r>
      <w:r w:rsidR="00D12C04" w:rsidRPr="00DC3157">
        <w:rPr>
          <w:rFonts w:cs="Times New Roman"/>
          <w:color w:val="000000"/>
        </w:rPr>
        <w:t xml:space="preserve"> prior to the start of data collection. In addition, we have access to the Planning Database (PDB), which is a database of block-group level sociodemographic</w:t>
      </w:r>
      <w:r w:rsidRPr="00DC3157">
        <w:rPr>
          <w:rFonts w:cs="Times New Roman"/>
          <w:color w:val="000000"/>
        </w:rPr>
        <w:t xml:space="preserve"> characteristics, derived from decennial c</w:t>
      </w:r>
      <w:r w:rsidR="00D12C04" w:rsidRPr="00DC3157">
        <w:rPr>
          <w:rFonts w:cs="Times New Roman"/>
          <w:color w:val="000000"/>
        </w:rPr>
        <w:t xml:space="preserve">ensus data as well as American Community Survey 5-year estimates. </w:t>
      </w:r>
    </w:p>
    <w:p w14:paraId="64F98251" w14:textId="77777777" w:rsidR="00B60F5F" w:rsidRPr="00DC3157" w:rsidRDefault="00B60F5F" w:rsidP="00B60F5F">
      <w:pPr>
        <w:autoSpaceDE w:val="0"/>
        <w:autoSpaceDN w:val="0"/>
        <w:adjustRightInd w:val="0"/>
        <w:spacing w:after="0" w:line="240" w:lineRule="auto"/>
        <w:rPr>
          <w:rFonts w:cs="Times New Roman"/>
          <w:color w:val="000000"/>
        </w:rPr>
      </w:pPr>
    </w:p>
    <w:p w14:paraId="53094114" w14:textId="589DF97C" w:rsidR="00D12C04" w:rsidRPr="00DC3157" w:rsidRDefault="00D12C04" w:rsidP="00B60F5F">
      <w:pPr>
        <w:autoSpaceDE w:val="0"/>
        <w:autoSpaceDN w:val="0"/>
        <w:adjustRightInd w:val="0"/>
        <w:spacing w:after="0" w:line="240" w:lineRule="auto"/>
        <w:rPr>
          <w:rFonts w:cs="Times New Roman"/>
          <w:color w:val="000000"/>
        </w:rPr>
      </w:pPr>
      <w:r w:rsidRPr="00DC3157">
        <w:rPr>
          <w:rFonts w:cs="Times New Roman"/>
          <w:color w:val="000000"/>
        </w:rPr>
        <w:t xml:space="preserve">There are also two main sources of </w:t>
      </w:r>
      <w:proofErr w:type="spellStart"/>
      <w:r w:rsidRPr="00DC3157">
        <w:rPr>
          <w:rFonts w:cs="Times New Roman"/>
          <w:color w:val="000000"/>
        </w:rPr>
        <w:t>paradata</w:t>
      </w:r>
      <w:proofErr w:type="spellEnd"/>
      <w:r w:rsidRPr="00DC3157">
        <w:rPr>
          <w:rFonts w:cs="Times New Roman"/>
          <w:color w:val="000000"/>
        </w:rPr>
        <w:t xml:space="preserve"> gathered during the course of data collection. First, we are relying on the interviewers to make observations in the neighborhood observation instrument (NOI). In addition, we have the contact history instrument (CHI) data, which details the date, time, and outcomes of contact attempts, contact strategies used, respondent reluctance, and </w:t>
      </w:r>
      <w:r w:rsidR="00AC17D2" w:rsidRPr="00DC3157">
        <w:rPr>
          <w:rFonts w:cs="Times New Roman"/>
          <w:color w:val="000000"/>
        </w:rPr>
        <w:t>interviewer</w:t>
      </w:r>
      <w:r w:rsidRPr="00DC3157">
        <w:rPr>
          <w:rFonts w:cs="Times New Roman"/>
          <w:color w:val="000000"/>
        </w:rPr>
        <w:t xml:space="preserve"> notes. </w:t>
      </w:r>
      <w:r w:rsidR="002847B0" w:rsidRPr="00DC3157">
        <w:rPr>
          <w:rFonts w:cs="Times New Roman"/>
          <w:color w:val="000000"/>
        </w:rPr>
        <w:t xml:space="preserve"> T</w:t>
      </w:r>
      <w:r w:rsidRPr="00DC3157">
        <w:rPr>
          <w:rFonts w:cs="Times New Roman"/>
          <w:color w:val="000000"/>
        </w:rPr>
        <w:t xml:space="preserve">hese data collected about the contact process </w:t>
      </w:r>
      <w:r w:rsidR="00496BB1" w:rsidRPr="00DC3157">
        <w:rPr>
          <w:rFonts w:cs="Times New Roman"/>
          <w:color w:val="000000"/>
        </w:rPr>
        <w:t xml:space="preserve">will be used </w:t>
      </w:r>
      <w:r w:rsidRPr="00DC3157">
        <w:rPr>
          <w:rFonts w:cs="Times New Roman"/>
          <w:color w:val="000000"/>
        </w:rPr>
        <w:t>to predict response [11]. In addition, previous work on the NHIS has shown that NOI observations can predict response and effort required [12</w:t>
      </w:r>
      <w:proofErr w:type="gramStart"/>
      <w:r w:rsidRPr="00DC3157">
        <w:rPr>
          <w:rFonts w:cs="Times New Roman"/>
          <w:color w:val="000000"/>
        </w:rPr>
        <w:t>][</w:t>
      </w:r>
      <w:proofErr w:type="gramEnd"/>
      <w:r w:rsidRPr="00DC3157">
        <w:rPr>
          <w:rFonts w:cs="Times New Roman"/>
          <w:color w:val="000000"/>
        </w:rPr>
        <w:t xml:space="preserve">13]. </w:t>
      </w:r>
    </w:p>
    <w:p w14:paraId="25128C6F" w14:textId="77777777" w:rsidR="00B60F5F" w:rsidRPr="00DC3157" w:rsidRDefault="00B60F5F" w:rsidP="00B60F5F">
      <w:pPr>
        <w:autoSpaceDE w:val="0"/>
        <w:autoSpaceDN w:val="0"/>
        <w:adjustRightInd w:val="0"/>
        <w:spacing w:after="0" w:line="240" w:lineRule="auto"/>
        <w:rPr>
          <w:rFonts w:cs="Times New Roman"/>
          <w:color w:val="000000"/>
        </w:rPr>
      </w:pPr>
    </w:p>
    <w:p w14:paraId="53A254F1" w14:textId="77777777" w:rsidR="00D12C04" w:rsidRPr="00DC3157" w:rsidRDefault="00D12C04" w:rsidP="00B60F5F">
      <w:pPr>
        <w:autoSpaceDE w:val="0"/>
        <w:autoSpaceDN w:val="0"/>
        <w:adjustRightInd w:val="0"/>
        <w:spacing w:after="0" w:line="240" w:lineRule="auto"/>
      </w:pPr>
      <w:r w:rsidRPr="00DC3157">
        <w:rPr>
          <w:rFonts w:cs="Times New Roman"/>
          <w:color w:val="000000"/>
        </w:rPr>
        <w:t xml:space="preserve">Much of the exploratory work will be determining which variables are optimal for inclusion in the response propensity model and the balancing propensity model used in R-indicators. We will build these models using historical NHIS sample variables, contact </w:t>
      </w:r>
      <w:proofErr w:type="spellStart"/>
      <w:r w:rsidRPr="00DC3157">
        <w:rPr>
          <w:rFonts w:cs="Times New Roman"/>
          <w:color w:val="000000"/>
        </w:rPr>
        <w:t>paradata</w:t>
      </w:r>
      <w:proofErr w:type="spellEnd"/>
      <w:r w:rsidRPr="00DC3157">
        <w:rPr>
          <w:rFonts w:cs="Times New Roman"/>
          <w:color w:val="000000"/>
        </w:rPr>
        <w:t xml:space="preserve"> variables, NOI variables, and planning database variables. Once we can group cases into the high, medium, and low categories for both likelihood of response, and contribution to representativeness, priority status can be assigned to all cases in both the control and the treatment groups. </w:t>
      </w:r>
    </w:p>
    <w:p w14:paraId="6EE4FE8D" w14:textId="77777777" w:rsidR="00B60F5F" w:rsidRPr="00DC3157" w:rsidRDefault="00B60F5F" w:rsidP="00B60F5F">
      <w:pPr>
        <w:spacing w:after="0" w:line="240" w:lineRule="auto"/>
      </w:pPr>
    </w:p>
    <w:p w14:paraId="7F41852D" w14:textId="3A18BD82" w:rsidR="00C059EF" w:rsidRPr="00DC3157" w:rsidRDefault="00C059EF" w:rsidP="00B60F5F">
      <w:pPr>
        <w:spacing w:after="0" w:line="240" w:lineRule="auto"/>
        <w:rPr>
          <w:u w:val="single"/>
        </w:rPr>
      </w:pPr>
      <w:r w:rsidRPr="00DC3157">
        <w:rPr>
          <w:u w:val="single"/>
        </w:rPr>
        <w:t>Evaluation Plan</w:t>
      </w:r>
    </w:p>
    <w:p w14:paraId="1257C1E0" w14:textId="02985332" w:rsidR="009F71D5" w:rsidRPr="00DC3157" w:rsidRDefault="004F6FBC" w:rsidP="009F71D5">
      <w:pPr>
        <w:spacing w:after="0" w:line="240" w:lineRule="auto"/>
      </w:pPr>
      <w:r w:rsidRPr="00DC3157">
        <w:t xml:space="preserve">To assess the effectiveness of response propensity-based case prioritization, the experimental and control groups shown in Figure 1 will be compared on a number of indicators. </w:t>
      </w:r>
      <w:r w:rsidR="009F71D5" w:rsidRPr="00DC3157">
        <w:t xml:space="preserve">Both process and outcome measures will be examined as part of the evaluation of the experiment; they </w:t>
      </w:r>
      <w:r w:rsidRPr="00DC3157">
        <w:t>include response rates, sample representativeness (as measured by reductions in nonresponse bias</w:t>
      </w:r>
      <w:r w:rsidR="00627227" w:rsidRPr="00DC3157">
        <w:t xml:space="preserve"> and </w:t>
      </w:r>
      <w:r w:rsidR="001D5DCD" w:rsidRPr="00DC3157">
        <w:t xml:space="preserve">possible </w:t>
      </w:r>
      <w:r w:rsidRPr="00DC3157">
        <w:t xml:space="preserve">reduction in variance of estimates), </w:t>
      </w:r>
      <w:r w:rsidR="00627227" w:rsidRPr="00DC3157">
        <w:t>and proxy measures</w:t>
      </w:r>
      <w:r w:rsidRPr="00DC3157">
        <w:t xml:space="preserve"> of cost </w:t>
      </w:r>
      <w:r w:rsidR="00627227" w:rsidRPr="00DC3157">
        <w:t>(including the number of contact attempts required to complete a case, interview length, etc.).</w:t>
      </w:r>
      <w:r w:rsidR="009F71D5" w:rsidRPr="00DC3157">
        <w:t xml:space="preserve"> The experiment will be considered successful if its evaluation shows improved representativeness (reductions in nonresponse bias, possible reductions in variance of estimates), as well as potential reductions in cost and improvements in response rates.</w:t>
      </w:r>
    </w:p>
    <w:p w14:paraId="7694B877" w14:textId="77777777" w:rsidR="009F71D5" w:rsidRPr="00DC3157" w:rsidRDefault="009F71D5" w:rsidP="009F71D5">
      <w:pPr>
        <w:spacing w:after="0" w:line="240" w:lineRule="auto"/>
      </w:pPr>
    </w:p>
    <w:p w14:paraId="59D4C4B4" w14:textId="77777777" w:rsidR="009F71D5" w:rsidRPr="00DC3157" w:rsidRDefault="009F71D5" w:rsidP="006C6C4D">
      <w:pPr>
        <w:keepNext/>
        <w:spacing w:after="0" w:line="240" w:lineRule="auto"/>
        <w:rPr>
          <w:i/>
        </w:rPr>
      </w:pPr>
      <w:r w:rsidRPr="00DC3157">
        <w:rPr>
          <w:i/>
        </w:rPr>
        <w:t>Sample Representativeness</w:t>
      </w:r>
    </w:p>
    <w:p w14:paraId="2F9DBD78" w14:textId="4FC87F0A" w:rsidR="009F71D5" w:rsidRPr="00DC3157" w:rsidRDefault="009F71D5" w:rsidP="009F71D5">
      <w:pPr>
        <w:spacing w:after="0" w:line="240" w:lineRule="auto"/>
      </w:pPr>
      <w:r w:rsidRPr="00DC3157">
        <w:t>The primary objective of this experiment is to improve sample balance or representativeness (minimize nonresponse bias) within current cost constraints while maintaining current response rates. During each month of the quarter, the R-indicator (a measure of variation in response propensities that ranges between 0 and 1) will be monitored for both the control and experimental groups using the aforementioned balancing model. The R-indicator provides an assessment of sample representativeness conditional on the covariates included in the balancing model. (Again, the balancing model will include covariates that are a mixture of interviewer observational measures along with decennial Census and ACS measures captured at the Census block group or tract level. The covariates selected for the model are those that are highly correlated with key health outcomes.) A decreasing R-indicator represents an increase in the variation in response propensities, suggesting less sample balance or representativeness. An increasing R-indicator indicates less variation in response propensities and better sample balance. Comparing R-indicators for the experimental and control groups during and at the end of data collection will provide an assessment of whether the experimental case prioritizations led to improved representativeness (indicated by a higher value on the R-indicator for the experimental compared to the control group).</w:t>
      </w:r>
    </w:p>
    <w:p w14:paraId="517A6DA6" w14:textId="77777777" w:rsidR="009F71D5" w:rsidRPr="00DC3157" w:rsidRDefault="009F71D5" w:rsidP="009F71D5">
      <w:pPr>
        <w:spacing w:after="0" w:line="240" w:lineRule="auto"/>
      </w:pPr>
    </w:p>
    <w:p w14:paraId="270F3E5A" w14:textId="490C1316" w:rsidR="009F71D5" w:rsidRPr="00DC3157" w:rsidRDefault="009F71D5" w:rsidP="009F71D5">
      <w:pPr>
        <w:spacing w:after="0" w:line="240" w:lineRule="auto"/>
      </w:pPr>
      <w:r w:rsidRPr="00DC3157">
        <w:t xml:space="preserve">Post-data collection, demographic characteristics of the two groups, including age, sex, race/ethnicity, and education level, will be compared. Next, point and variance estimates of 16 select health variables included in NHIS’s Early Release (ER) indicator reports (e.g., health insurance coverage, failure to obtain needed medical </w:t>
      </w:r>
      <w:r w:rsidRPr="00DC3157">
        <w:lastRenderedPageBreak/>
        <w:t xml:space="preserve">care, cigarette smoking and alcohol consumption, and general health status) will be compared between the two groups. If increased representativeness of the sample has been achieved, differences in the estimates across the two groups should be observed. Using past analyses of nonresponse bias, statements can be made as to whether the experimental group estimate is moving in a direction that minimizes nonresponse bias. Reductions in variance would also suggest increased representativeness. A more representative sample should result in smaller nonresponse and </w:t>
      </w:r>
      <w:proofErr w:type="spellStart"/>
      <w:r w:rsidRPr="00DC3157">
        <w:t>poststratification</w:t>
      </w:r>
      <w:proofErr w:type="spellEnd"/>
      <w:r w:rsidRPr="00DC3157">
        <w:t xml:space="preserve"> adjustments, reducing the variability of sample weights. Design effects and standard errors for all estimates examined will be compared between the control and experimental groups. </w:t>
      </w:r>
    </w:p>
    <w:p w14:paraId="0ED7BDAB" w14:textId="77777777" w:rsidR="009F71D5" w:rsidRPr="00DC3157" w:rsidRDefault="009F71D5" w:rsidP="009F71D5">
      <w:pPr>
        <w:spacing w:after="0" w:line="240" w:lineRule="auto"/>
      </w:pPr>
    </w:p>
    <w:p w14:paraId="26C97EBD" w14:textId="77777777" w:rsidR="009F71D5" w:rsidRPr="00DC3157" w:rsidRDefault="009F71D5" w:rsidP="009F71D5">
      <w:pPr>
        <w:spacing w:after="0" w:line="240" w:lineRule="auto"/>
        <w:rPr>
          <w:i/>
        </w:rPr>
      </w:pPr>
      <w:r w:rsidRPr="00DC3157">
        <w:rPr>
          <w:i/>
        </w:rPr>
        <w:t>Response Rates and Survey Costs</w:t>
      </w:r>
    </w:p>
    <w:p w14:paraId="4AB20E62" w14:textId="3415F4E8" w:rsidR="009F71D5" w:rsidRPr="00DC3157" w:rsidRDefault="009F71D5" w:rsidP="009F71D5">
      <w:pPr>
        <w:spacing w:after="0" w:line="240" w:lineRule="auto"/>
      </w:pPr>
      <w:r w:rsidRPr="00DC3157">
        <w:t xml:space="preserve">Since the goal is to improve representativeness within current cost constraints while maintaining current response rates, overall and module-specific response rates, completed interview rates, sufficient partial interview rates, and refusal rates will be compared by control and experimental groups. In addition, the total number of contact attempts (in-person visits and phone calls) for the two groups will serve as a proxy for survey costs. </w:t>
      </w:r>
    </w:p>
    <w:p w14:paraId="2BDEA1FD" w14:textId="77777777" w:rsidR="009F71D5" w:rsidRPr="00DC3157" w:rsidRDefault="009F71D5" w:rsidP="009F71D5">
      <w:pPr>
        <w:spacing w:after="0" w:line="240" w:lineRule="auto"/>
      </w:pPr>
    </w:p>
    <w:p w14:paraId="06FF7080" w14:textId="77777777" w:rsidR="009F71D5" w:rsidRPr="00DC3157" w:rsidRDefault="009F71D5" w:rsidP="009F71D5">
      <w:pPr>
        <w:spacing w:after="0" w:line="240" w:lineRule="auto"/>
        <w:rPr>
          <w:i/>
        </w:rPr>
      </w:pPr>
      <w:r w:rsidRPr="00DC3157">
        <w:rPr>
          <w:i/>
        </w:rPr>
        <w:t>Other Data Quality Indicators</w:t>
      </w:r>
    </w:p>
    <w:p w14:paraId="108B816B" w14:textId="77777777" w:rsidR="009F71D5" w:rsidRPr="00DC3157" w:rsidRDefault="009F71D5" w:rsidP="009F71D5">
      <w:pPr>
        <w:spacing w:after="0" w:line="240" w:lineRule="auto"/>
      </w:pPr>
      <w:r w:rsidRPr="00DC3157">
        <w:t>Additional measures of data quality will also be examined by adaptive design group, including, but not limited to, item nonresponse rates (“don’t know” and “refused” responses), item response times, and survey breakoffs</w:t>
      </w:r>
    </w:p>
    <w:p w14:paraId="52F0B213" w14:textId="77777777" w:rsidR="009F71D5" w:rsidRPr="00DC3157" w:rsidRDefault="009F71D5" w:rsidP="009F71D5">
      <w:pPr>
        <w:spacing w:after="0" w:line="240" w:lineRule="auto"/>
        <w:rPr>
          <w:i/>
        </w:rPr>
      </w:pPr>
    </w:p>
    <w:p w14:paraId="6CC84A4B" w14:textId="77777777" w:rsidR="009F71D5" w:rsidRPr="00DC3157" w:rsidRDefault="009F71D5" w:rsidP="009F71D5">
      <w:pPr>
        <w:spacing w:after="0" w:line="240" w:lineRule="auto"/>
        <w:rPr>
          <w:i/>
        </w:rPr>
      </w:pPr>
      <w:r w:rsidRPr="00DC3157">
        <w:rPr>
          <w:i/>
        </w:rPr>
        <w:t>Distribution of Interviewer Effort</w:t>
      </w:r>
    </w:p>
    <w:p w14:paraId="7A24B1DC" w14:textId="76EC5253" w:rsidR="009F71D5" w:rsidRPr="00DC3157" w:rsidRDefault="009F71D5" w:rsidP="009F71D5">
      <w:pPr>
        <w:spacing w:after="0" w:line="240" w:lineRule="auto"/>
      </w:pPr>
      <w:r w:rsidRPr="00DC3157">
        <w:t>The success of the experiment is predicated on interviewers adjusting their effort according to the prioritizations assigned to their cases. Once the case prioritizations are assigned and pushed out to FR laptops on the 16</w:t>
      </w:r>
      <w:r w:rsidRPr="00DC3157">
        <w:rPr>
          <w:vertAlign w:val="superscript"/>
        </w:rPr>
        <w:t>th</w:t>
      </w:r>
      <w:r w:rsidRPr="00DC3157">
        <w:t xml:space="preserve"> of each month, the distribution of contact attempts by case prioritization will be monitored. Focusing on the experimental group, for example, are interviewers shifting their contact attempts away from low priority cases toward high priority cases? When interviewers make their contact attempts will also be monitored. Are interviewers in the experimental group moving attempts on high priority cases to more lucrative time slots (e.g., evening hours and weekends)?</w:t>
      </w:r>
    </w:p>
    <w:p w14:paraId="62B5D4B9" w14:textId="77777777" w:rsidR="004F6FBC" w:rsidRPr="00DC3157" w:rsidRDefault="004F6FBC" w:rsidP="00B60F5F">
      <w:pPr>
        <w:spacing w:after="0" w:line="240" w:lineRule="auto"/>
      </w:pPr>
    </w:p>
    <w:p w14:paraId="721E92C7" w14:textId="77777777" w:rsidR="00B60F5F" w:rsidRPr="00DC3157" w:rsidRDefault="00B60F5F" w:rsidP="00B60F5F">
      <w:pPr>
        <w:spacing w:after="0" w:line="240" w:lineRule="auto"/>
        <w:rPr>
          <w:b/>
        </w:rPr>
      </w:pPr>
    </w:p>
    <w:p w14:paraId="5A9BBAAE" w14:textId="235580C6" w:rsidR="00A96A35" w:rsidRPr="00DC3157" w:rsidRDefault="00A96A35" w:rsidP="00B60F5F">
      <w:pPr>
        <w:spacing w:after="0" w:line="240" w:lineRule="auto"/>
        <w:rPr>
          <w:b/>
        </w:rPr>
      </w:pPr>
      <w:r w:rsidRPr="00DC3157">
        <w:rPr>
          <w:b/>
        </w:rPr>
        <w:t xml:space="preserve">A12. </w:t>
      </w:r>
      <w:r w:rsidRPr="00DC3157">
        <w:rPr>
          <w:b/>
        </w:rPr>
        <w:tab/>
        <w:t>Estimates of Annualized Burden Hours and Cost</w:t>
      </w:r>
    </w:p>
    <w:p w14:paraId="19F1D455" w14:textId="62C12000" w:rsidR="00B60F5F" w:rsidRPr="00DC3157" w:rsidRDefault="00A3634C" w:rsidP="00B60F5F">
      <w:pPr>
        <w:spacing w:after="0" w:line="240" w:lineRule="auto"/>
        <w:rPr>
          <w:b/>
        </w:rPr>
      </w:pPr>
      <w:r w:rsidRPr="00DC3157">
        <w:t xml:space="preserve">Requiring no additional data collection nor changes to data collection procedures experienced by NHIS respondents, the planned adaptive design experiment would not alter the previously-approved estimates of annualized burden hours and </w:t>
      </w:r>
      <w:r w:rsidR="002556EC" w:rsidRPr="00DC3157">
        <w:t xml:space="preserve">survey administration </w:t>
      </w:r>
      <w:r w:rsidRPr="00DC3157">
        <w:t>cost</w:t>
      </w:r>
      <w:r w:rsidR="002556EC" w:rsidRPr="00DC3157">
        <w:t>s</w:t>
      </w:r>
      <w:r w:rsidRPr="00DC3157">
        <w:t>.</w:t>
      </w:r>
      <w:r w:rsidR="002556EC" w:rsidRPr="00DC3157">
        <w:t xml:space="preserve"> Costs associated with implementing the experiment are limited to interviewer training expenses, and are covered by funds designated to Methodological Projects listed in Line 5 of the previously-approved burden table.</w:t>
      </w:r>
    </w:p>
    <w:p w14:paraId="1F6E03FD" w14:textId="251D1962" w:rsidR="00A3634C" w:rsidRPr="00DC3157" w:rsidRDefault="00A3634C" w:rsidP="002556EC">
      <w:pPr>
        <w:tabs>
          <w:tab w:val="left" w:pos="7515"/>
        </w:tabs>
        <w:jc w:val="center"/>
        <w:rPr>
          <w:u w:val="single"/>
        </w:rPr>
      </w:pPr>
    </w:p>
    <w:p w14:paraId="7F34CA3E" w14:textId="77777777" w:rsidR="00A96A35" w:rsidRPr="00DC3157" w:rsidRDefault="00A96A35" w:rsidP="00A3634C">
      <w:pPr>
        <w:tabs>
          <w:tab w:val="left" w:pos="7515"/>
        </w:tabs>
        <w:rPr>
          <w:u w:val="single"/>
        </w:rPr>
      </w:pPr>
      <w:r w:rsidRPr="00DC3157">
        <w:br w:type="page"/>
      </w:r>
      <w:r w:rsidR="00A3634C" w:rsidRPr="00DC3157">
        <w:rPr>
          <w:u w:val="single"/>
        </w:rPr>
        <w:lastRenderedPageBreak/>
        <w:tab/>
      </w:r>
    </w:p>
    <w:p w14:paraId="6D6B740D" w14:textId="1E82EA94" w:rsidR="00FA4036" w:rsidRPr="00DC3157" w:rsidRDefault="00B60F5F" w:rsidP="00B60F5F">
      <w:pPr>
        <w:spacing w:after="0" w:line="240" w:lineRule="auto"/>
        <w:rPr>
          <w:u w:val="single"/>
        </w:rPr>
      </w:pPr>
      <w:r w:rsidRPr="00DC3157">
        <w:rPr>
          <w:u w:val="single"/>
        </w:rPr>
        <w:t>References</w:t>
      </w:r>
    </w:p>
    <w:p w14:paraId="4E50193F" w14:textId="77777777" w:rsidR="00B60F5F" w:rsidRPr="00DC3157" w:rsidRDefault="00B60F5F" w:rsidP="00B60F5F">
      <w:pPr>
        <w:pStyle w:val="Default"/>
        <w:rPr>
          <w:rFonts w:asciiTheme="minorHAnsi" w:hAnsiTheme="minorHAnsi"/>
          <w:sz w:val="22"/>
          <w:szCs w:val="22"/>
        </w:rPr>
      </w:pPr>
      <w:r w:rsidRPr="00DC3157">
        <w:rPr>
          <w:rFonts w:asciiTheme="minorHAnsi" w:hAnsiTheme="minorHAnsi"/>
          <w:sz w:val="22"/>
          <w:szCs w:val="22"/>
        </w:rPr>
        <w:t xml:space="preserve">[1] Groves, R.; </w:t>
      </w:r>
      <w:proofErr w:type="spellStart"/>
      <w:r w:rsidRPr="00DC3157">
        <w:rPr>
          <w:rFonts w:asciiTheme="minorHAnsi" w:hAnsiTheme="minorHAnsi"/>
          <w:sz w:val="22"/>
          <w:szCs w:val="22"/>
        </w:rPr>
        <w:t>Heeringa</w:t>
      </w:r>
      <w:proofErr w:type="spellEnd"/>
      <w:r w:rsidRPr="00DC3157">
        <w:rPr>
          <w:rFonts w:asciiTheme="minorHAnsi" w:hAnsiTheme="minorHAnsi"/>
          <w:sz w:val="22"/>
          <w:szCs w:val="22"/>
        </w:rPr>
        <w:t xml:space="preserve">, S. “Responsive design for household surveys: tools for actively controlling survey errors and costs.” </w:t>
      </w:r>
      <w:r w:rsidRPr="00DC3157">
        <w:rPr>
          <w:rFonts w:asciiTheme="minorHAnsi" w:hAnsiTheme="minorHAnsi"/>
          <w:i/>
          <w:iCs/>
          <w:sz w:val="22"/>
          <w:szCs w:val="22"/>
        </w:rPr>
        <w:t>Journal of the Royal Statistical Society, Series A</w:t>
      </w:r>
      <w:r w:rsidRPr="00DC3157">
        <w:rPr>
          <w:rFonts w:asciiTheme="minorHAnsi" w:hAnsiTheme="minorHAnsi"/>
          <w:sz w:val="22"/>
          <w:szCs w:val="22"/>
        </w:rPr>
        <w:t xml:space="preserve">. 169 (2006): pp 439-457. </w:t>
      </w:r>
    </w:p>
    <w:p w14:paraId="71E56FE8" w14:textId="77777777" w:rsidR="00B60F5F" w:rsidRPr="00DC3157" w:rsidRDefault="00B60F5F" w:rsidP="00B60F5F">
      <w:pPr>
        <w:pStyle w:val="Default"/>
        <w:rPr>
          <w:rFonts w:asciiTheme="minorHAnsi" w:hAnsiTheme="minorHAnsi"/>
          <w:sz w:val="22"/>
          <w:szCs w:val="22"/>
        </w:rPr>
      </w:pPr>
      <w:r w:rsidRPr="00DC3157">
        <w:rPr>
          <w:rFonts w:asciiTheme="minorHAnsi" w:hAnsiTheme="minorHAnsi"/>
          <w:sz w:val="22"/>
          <w:szCs w:val="22"/>
        </w:rPr>
        <w:t xml:space="preserve">[2] </w:t>
      </w:r>
      <w:proofErr w:type="spellStart"/>
      <w:r w:rsidRPr="00DC3157">
        <w:rPr>
          <w:rFonts w:asciiTheme="minorHAnsi" w:hAnsiTheme="minorHAnsi"/>
          <w:sz w:val="22"/>
          <w:szCs w:val="22"/>
        </w:rPr>
        <w:t>Axinn</w:t>
      </w:r>
      <w:proofErr w:type="spellEnd"/>
      <w:r w:rsidRPr="00DC3157">
        <w:rPr>
          <w:rFonts w:asciiTheme="minorHAnsi" w:hAnsiTheme="minorHAnsi"/>
          <w:sz w:val="22"/>
          <w:szCs w:val="22"/>
        </w:rPr>
        <w:t xml:space="preserve">, W.; Link, C.; Groves, R. “Responsive Design Demographic Data Collection and Models of Demographic Behavior.” </w:t>
      </w:r>
      <w:r w:rsidRPr="00DC3157">
        <w:rPr>
          <w:rFonts w:asciiTheme="minorHAnsi" w:hAnsiTheme="minorHAnsi"/>
          <w:i/>
          <w:iCs/>
          <w:sz w:val="22"/>
          <w:szCs w:val="22"/>
        </w:rPr>
        <w:t>Demography</w:t>
      </w:r>
      <w:r w:rsidRPr="00DC3157">
        <w:rPr>
          <w:rFonts w:asciiTheme="minorHAnsi" w:hAnsiTheme="minorHAnsi"/>
          <w:sz w:val="22"/>
          <w:szCs w:val="22"/>
        </w:rPr>
        <w:t xml:space="preserve">. 48 (2011): pp 1127 – 1149. </w:t>
      </w:r>
    </w:p>
    <w:p w14:paraId="0A031850" w14:textId="77777777" w:rsidR="00B60F5F" w:rsidRPr="00DC3157" w:rsidRDefault="00B60F5F" w:rsidP="00B60F5F">
      <w:pPr>
        <w:pStyle w:val="Default"/>
        <w:rPr>
          <w:rFonts w:asciiTheme="minorHAnsi" w:hAnsiTheme="minorHAnsi"/>
          <w:sz w:val="22"/>
          <w:szCs w:val="22"/>
        </w:rPr>
      </w:pPr>
      <w:r w:rsidRPr="00DC3157">
        <w:rPr>
          <w:rFonts w:asciiTheme="minorHAnsi" w:hAnsiTheme="minorHAnsi"/>
          <w:sz w:val="22"/>
          <w:szCs w:val="22"/>
        </w:rPr>
        <w:t xml:space="preserve">[3] </w:t>
      </w:r>
      <w:proofErr w:type="spellStart"/>
      <w:r w:rsidRPr="00DC3157">
        <w:rPr>
          <w:rFonts w:asciiTheme="minorHAnsi" w:hAnsiTheme="minorHAnsi"/>
          <w:sz w:val="22"/>
          <w:szCs w:val="22"/>
        </w:rPr>
        <w:t>Calinescu</w:t>
      </w:r>
      <w:proofErr w:type="spellEnd"/>
      <w:r w:rsidRPr="00DC3157">
        <w:rPr>
          <w:rFonts w:asciiTheme="minorHAnsi" w:hAnsiTheme="minorHAnsi"/>
          <w:sz w:val="22"/>
          <w:szCs w:val="22"/>
        </w:rPr>
        <w:t xml:space="preserve">, M.; </w:t>
      </w:r>
      <w:proofErr w:type="spellStart"/>
      <w:r w:rsidRPr="00DC3157">
        <w:rPr>
          <w:rFonts w:asciiTheme="minorHAnsi" w:hAnsiTheme="minorHAnsi"/>
          <w:sz w:val="22"/>
          <w:szCs w:val="22"/>
        </w:rPr>
        <w:t>Bhulai</w:t>
      </w:r>
      <w:proofErr w:type="spellEnd"/>
      <w:r w:rsidRPr="00DC3157">
        <w:rPr>
          <w:rFonts w:asciiTheme="minorHAnsi" w:hAnsiTheme="minorHAnsi"/>
          <w:sz w:val="22"/>
          <w:szCs w:val="22"/>
        </w:rPr>
        <w:t xml:space="preserve">, S.; Schouten, B. “Optimal Resource Allocation in Survey Designs.” </w:t>
      </w:r>
      <w:r w:rsidRPr="00DC3157">
        <w:rPr>
          <w:rFonts w:asciiTheme="minorHAnsi" w:hAnsiTheme="minorHAnsi"/>
          <w:i/>
          <w:iCs/>
          <w:sz w:val="22"/>
          <w:szCs w:val="22"/>
        </w:rPr>
        <w:t>European Journal of Operations Research</w:t>
      </w:r>
      <w:r w:rsidRPr="00DC3157">
        <w:rPr>
          <w:rFonts w:asciiTheme="minorHAnsi" w:hAnsiTheme="minorHAnsi"/>
          <w:sz w:val="22"/>
          <w:szCs w:val="22"/>
        </w:rPr>
        <w:t xml:space="preserve">. 226:1 (April, 2013): pp 115-121. </w:t>
      </w:r>
    </w:p>
    <w:p w14:paraId="33C86072" w14:textId="77777777" w:rsidR="00B60F5F" w:rsidRPr="00DC3157" w:rsidRDefault="00B60F5F" w:rsidP="00B60F5F">
      <w:pPr>
        <w:pStyle w:val="Default"/>
        <w:rPr>
          <w:rFonts w:asciiTheme="minorHAnsi" w:hAnsiTheme="minorHAnsi"/>
          <w:sz w:val="22"/>
          <w:szCs w:val="22"/>
        </w:rPr>
      </w:pPr>
      <w:r w:rsidRPr="00DC3157">
        <w:rPr>
          <w:rFonts w:asciiTheme="minorHAnsi" w:hAnsiTheme="minorHAnsi"/>
          <w:sz w:val="22"/>
          <w:szCs w:val="22"/>
        </w:rPr>
        <w:t xml:space="preserve">[4] Mercer A.; </w:t>
      </w:r>
      <w:proofErr w:type="spellStart"/>
      <w:r w:rsidRPr="00DC3157">
        <w:rPr>
          <w:rFonts w:asciiTheme="minorHAnsi" w:hAnsiTheme="minorHAnsi"/>
          <w:sz w:val="22"/>
          <w:szCs w:val="22"/>
        </w:rPr>
        <w:t>Caporaso</w:t>
      </w:r>
      <w:proofErr w:type="spellEnd"/>
      <w:r w:rsidRPr="00DC3157">
        <w:rPr>
          <w:rFonts w:asciiTheme="minorHAnsi" w:hAnsiTheme="minorHAnsi"/>
          <w:sz w:val="22"/>
          <w:szCs w:val="22"/>
        </w:rPr>
        <w:t xml:space="preserve">, A.; Cantor, D.; Townsend, R. “How Much Gets You How Much? Monetary Incentives and Response Rates in Household Surveys.” </w:t>
      </w:r>
      <w:r w:rsidRPr="00DC3157">
        <w:rPr>
          <w:rFonts w:asciiTheme="minorHAnsi" w:hAnsiTheme="minorHAnsi"/>
          <w:i/>
          <w:iCs/>
          <w:sz w:val="22"/>
          <w:szCs w:val="22"/>
        </w:rPr>
        <w:t>Public Opinion Quarterly</w:t>
      </w:r>
      <w:r w:rsidRPr="00DC3157">
        <w:rPr>
          <w:rFonts w:asciiTheme="minorHAnsi" w:hAnsiTheme="minorHAnsi"/>
          <w:sz w:val="22"/>
          <w:szCs w:val="22"/>
        </w:rPr>
        <w:t xml:space="preserve">. 79: 1 (2015): pp 105-129. </w:t>
      </w:r>
    </w:p>
    <w:p w14:paraId="2928D5C6" w14:textId="77777777" w:rsidR="00B60F5F" w:rsidRPr="00DC3157" w:rsidRDefault="00B60F5F" w:rsidP="00B60F5F">
      <w:pPr>
        <w:pStyle w:val="Default"/>
        <w:rPr>
          <w:rFonts w:asciiTheme="minorHAnsi" w:hAnsiTheme="minorHAnsi"/>
          <w:sz w:val="22"/>
          <w:szCs w:val="22"/>
        </w:rPr>
      </w:pPr>
      <w:r w:rsidRPr="00DC3157">
        <w:rPr>
          <w:rFonts w:asciiTheme="minorHAnsi" w:hAnsiTheme="minorHAnsi"/>
          <w:sz w:val="22"/>
          <w:szCs w:val="22"/>
        </w:rPr>
        <w:t xml:space="preserve">[5] Coffey, S.; </w:t>
      </w:r>
      <w:proofErr w:type="spellStart"/>
      <w:r w:rsidRPr="00DC3157">
        <w:rPr>
          <w:rFonts w:asciiTheme="minorHAnsi" w:hAnsiTheme="minorHAnsi"/>
          <w:sz w:val="22"/>
          <w:szCs w:val="22"/>
        </w:rPr>
        <w:t>Reist</w:t>
      </w:r>
      <w:proofErr w:type="spellEnd"/>
      <w:r w:rsidRPr="00DC3157">
        <w:rPr>
          <w:rFonts w:asciiTheme="minorHAnsi" w:hAnsiTheme="minorHAnsi"/>
          <w:sz w:val="22"/>
          <w:szCs w:val="22"/>
        </w:rPr>
        <w:t xml:space="preserve">, B.; </w:t>
      </w:r>
      <w:proofErr w:type="spellStart"/>
      <w:r w:rsidRPr="00DC3157">
        <w:rPr>
          <w:rFonts w:asciiTheme="minorHAnsi" w:hAnsiTheme="minorHAnsi"/>
          <w:sz w:val="22"/>
          <w:szCs w:val="22"/>
        </w:rPr>
        <w:t>Zotti</w:t>
      </w:r>
      <w:proofErr w:type="spellEnd"/>
      <w:r w:rsidRPr="00DC3157">
        <w:rPr>
          <w:rFonts w:asciiTheme="minorHAnsi" w:hAnsiTheme="minorHAnsi"/>
          <w:sz w:val="22"/>
          <w:szCs w:val="22"/>
        </w:rPr>
        <w:t xml:space="preserve">, A. “Static Adaptive Design in the NSCG: Results of a Targeted Incentive Timing Study.” Presentation at the Joint Statistical Meetings, 2015. Seattle, WA. </w:t>
      </w:r>
    </w:p>
    <w:p w14:paraId="1E9DD709" w14:textId="77777777" w:rsidR="00B60F5F" w:rsidRPr="00DC3157" w:rsidRDefault="00B60F5F" w:rsidP="00B60F5F">
      <w:pPr>
        <w:pStyle w:val="Default"/>
        <w:rPr>
          <w:rFonts w:asciiTheme="minorHAnsi" w:hAnsiTheme="minorHAnsi"/>
          <w:sz w:val="22"/>
          <w:szCs w:val="22"/>
        </w:rPr>
      </w:pPr>
      <w:r w:rsidRPr="00DC3157">
        <w:rPr>
          <w:rFonts w:asciiTheme="minorHAnsi" w:hAnsiTheme="minorHAnsi"/>
          <w:sz w:val="22"/>
          <w:szCs w:val="22"/>
        </w:rPr>
        <w:t xml:space="preserve">[6] Konicki, S. “Adaptive Design Research for the 2020 Census.” Presentation at the Joint Statistical Meetings, 2015. Seattle, WA. </w:t>
      </w:r>
    </w:p>
    <w:p w14:paraId="284F4066" w14:textId="77777777" w:rsidR="00B60F5F" w:rsidRPr="00DC3157" w:rsidRDefault="00B60F5F" w:rsidP="00B60F5F">
      <w:pPr>
        <w:pStyle w:val="Default"/>
        <w:rPr>
          <w:rFonts w:asciiTheme="minorHAnsi" w:hAnsiTheme="minorHAnsi"/>
          <w:sz w:val="22"/>
          <w:szCs w:val="22"/>
        </w:rPr>
      </w:pPr>
      <w:r w:rsidRPr="00DC3157">
        <w:rPr>
          <w:rFonts w:asciiTheme="minorHAnsi" w:hAnsiTheme="minorHAnsi"/>
          <w:sz w:val="22"/>
          <w:szCs w:val="22"/>
        </w:rPr>
        <w:t xml:space="preserve">[7] Wagner, J.; West, B.; </w:t>
      </w:r>
      <w:proofErr w:type="spellStart"/>
      <w:r w:rsidRPr="00DC3157">
        <w:rPr>
          <w:rFonts w:asciiTheme="minorHAnsi" w:hAnsiTheme="minorHAnsi"/>
          <w:sz w:val="22"/>
          <w:szCs w:val="22"/>
        </w:rPr>
        <w:t>Kirgis</w:t>
      </w:r>
      <w:proofErr w:type="spellEnd"/>
      <w:r w:rsidRPr="00DC3157">
        <w:rPr>
          <w:rFonts w:asciiTheme="minorHAnsi" w:hAnsiTheme="minorHAnsi"/>
          <w:sz w:val="22"/>
          <w:szCs w:val="22"/>
        </w:rPr>
        <w:t xml:space="preserve">, N.; </w:t>
      </w:r>
      <w:proofErr w:type="spellStart"/>
      <w:r w:rsidRPr="00DC3157">
        <w:rPr>
          <w:rFonts w:asciiTheme="minorHAnsi" w:hAnsiTheme="minorHAnsi"/>
          <w:sz w:val="22"/>
          <w:szCs w:val="22"/>
        </w:rPr>
        <w:t>Lepkowski</w:t>
      </w:r>
      <w:proofErr w:type="spellEnd"/>
      <w:r w:rsidRPr="00DC3157">
        <w:rPr>
          <w:rFonts w:asciiTheme="minorHAnsi" w:hAnsiTheme="minorHAnsi"/>
          <w:sz w:val="22"/>
          <w:szCs w:val="22"/>
        </w:rPr>
        <w:t xml:space="preserve">, J.; </w:t>
      </w:r>
      <w:proofErr w:type="spellStart"/>
      <w:r w:rsidRPr="00DC3157">
        <w:rPr>
          <w:rFonts w:asciiTheme="minorHAnsi" w:hAnsiTheme="minorHAnsi"/>
          <w:sz w:val="22"/>
          <w:szCs w:val="22"/>
        </w:rPr>
        <w:t>Axinn</w:t>
      </w:r>
      <w:proofErr w:type="spellEnd"/>
      <w:r w:rsidRPr="00DC3157">
        <w:rPr>
          <w:rFonts w:asciiTheme="minorHAnsi" w:hAnsiTheme="minorHAnsi"/>
          <w:sz w:val="22"/>
          <w:szCs w:val="22"/>
        </w:rPr>
        <w:t xml:space="preserve">, W.; </w:t>
      </w:r>
      <w:proofErr w:type="spellStart"/>
      <w:r w:rsidRPr="00DC3157">
        <w:rPr>
          <w:rFonts w:asciiTheme="minorHAnsi" w:hAnsiTheme="minorHAnsi"/>
          <w:sz w:val="22"/>
          <w:szCs w:val="22"/>
        </w:rPr>
        <w:t>Ndiaye</w:t>
      </w:r>
      <w:proofErr w:type="spellEnd"/>
      <w:r w:rsidRPr="00DC3157">
        <w:rPr>
          <w:rFonts w:asciiTheme="minorHAnsi" w:hAnsiTheme="minorHAnsi"/>
          <w:sz w:val="22"/>
          <w:szCs w:val="22"/>
        </w:rPr>
        <w:t xml:space="preserve">, S. “Use of </w:t>
      </w:r>
      <w:proofErr w:type="spellStart"/>
      <w:r w:rsidRPr="00DC3157">
        <w:rPr>
          <w:rFonts w:asciiTheme="minorHAnsi" w:hAnsiTheme="minorHAnsi"/>
          <w:sz w:val="22"/>
          <w:szCs w:val="22"/>
        </w:rPr>
        <w:t>Paradata</w:t>
      </w:r>
      <w:proofErr w:type="spellEnd"/>
      <w:r w:rsidRPr="00DC3157">
        <w:rPr>
          <w:rFonts w:asciiTheme="minorHAnsi" w:hAnsiTheme="minorHAnsi"/>
          <w:sz w:val="22"/>
          <w:szCs w:val="22"/>
        </w:rPr>
        <w:t xml:space="preserve"> in a Responsive Design Framework to Manage a Field Data Collection.” Journal of Official Statistics. 28:4 (2012): pp. 477-499. </w:t>
      </w:r>
    </w:p>
    <w:p w14:paraId="03665184" w14:textId="77777777" w:rsidR="00B60F5F" w:rsidRPr="00DC3157" w:rsidRDefault="00B60F5F" w:rsidP="00B60F5F">
      <w:pPr>
        <w:pStyle w:val="Default"/>
        <w:rPr>
          <w:rFonts w:asciiTheme="minorHAnsi" w:hAnsiTheme="minorHAnsi"/>
          <w:sz w:val="22"/>
          <w:szCs w:val="22"/>
        </w:rPr>
      </w:pPr>
      <w:r w:rsidRPr="00DC3157">
        <w:rPr>
          <w:rFonts w:asciiTheme="minorHAnsi" w:hAnsiTheme="minorHAnsi"/>
          <w:sz w:val="22"/>
          <w:szCs w:val="22"/>
        </w:rPr>
        <w:t xml:space="preserve">[8] Little, R. J.; </w:t>
      </w:r>
      <w:proofErr w:type="spellStart"/>
      <w:r w:rsidRPr="00DC3157">
        <w:rPr>
          <w:rFonts w:asciiTheme="minorHAnsi" w:hAnsiTheme="minorHAnsi"/>
          <w:sz w:val="22"/>
          <w:szCs w:val="22"/>
        </w:rPr>
        <w:t>Vartivarian</w:t>
      </w:r>
      <w:proofErr w:type="spellEnd"/>
      <w:r w:rsidRPr="00DC3157">
        <w:rPr>
          <w:rFonts w:asciiTheme="minorHAnsi" w:hAnsiTheme="minorHAnsi"/>
          <w:sz w:val="22"/>
          <w:szCs w:val="22"/>
        </w:rPr>
        <w:t xml:space="preserve">, S. L. “Does Weighting for Nonresponse Increase the Variance of Survey Means?” </w:t>
      </w:r>
      <w:r w:rsidRPr="00DC3157">
        <w:rPr>
          <w:rFonts w:asciiTheme="minorHAnsi" w:hAnsiTheme="minorHAnsi"/>
          <w:i/>
          <w:iCs/>
          <w:sz w:val="22"/>
          <w:szCs w:val="22"/>
        </w:rPr>
        <w:t>Survey Methodology</w:t>
      </w:r>
      <w:r w:rsidRPr="00DC3157">
        <w:rPr>
          <w:rFonts w:asciiTheme="minorHAnsi" w:hAnsiTheme="minorHAnsi"/>
          <w:sz w:val="22"/>
          <w:szCs w:val="22"/>
        </w:rPr>
        <w:t xml:space="preserve">. 31 (2005): pp. 161-168. </w:t>
      </w:r>
    </w:p>
    <w:p w14:paraId="0751DADF" w14:textId="77777777" w:rsidR="00B60F5F" w:rsidRPr="00DC3157" w:rsidRDefault="00B60F5F" w:rsidP="00B60F5F">
      <w:pPr>
        <w:pStyle w:val="Default"/>
        <w:rPr>
          <w:rFonts w:asciiTheme="minorHAnsi" w:hAnsiTheme="minorHAnsi"/>
          <w:sz w:val="22"/>
          <w:szCs w:val="22"/>
        </w:rPr>
      </w:pPr>
      <w:r w:rsidRPr="00DC3157">
        <w:rPr>
          <w:rFonts w:asciiTheme="minorHAnsi" w:hAnsiTheme="minorHAnsi"/>
          <w:sz w:val="22"/>
          <w:szCs w:val="22"/>
        </w:rPr>
        <w:t xml:space="preserve">[9] Schouten, B. </w:t>
      </w:r>
      <w:proofErr w:type="spellStart"/>
      <w:r w:rsidRPr="00DC3157">
        <w:rPr>
          <w:rFonts w:asciiTheme="minorHAnsi" w:hAnsiTheme="minorHAnsi"/>
          <w:sz w:val="22"/>
          <w:szCs w:val="22"/>
        </w:rPr>
        <w:t>Cobben</w:t>
      </w:r>
      <w:proofErr w:type="spellEnd"/>
      <w:r w:rsidRPr="00DC3157">
        <w:rPr>
          <w:rFonts w:asciiTheme="minorHAnsi" w:hAnsiTheme="minorHAnsi"/>
          <w:sz w:val="22"/>
          <w:szCs w:val="22"/>
        </w:rPr>
        <w:t xml:space="preserve">, F. Bethlehem, J. “Indicators for representativeness of survey response.” </w:t>
      </w:r>
      <w:r w:rsidRPr="00DC3157">
        <w:rPr>
          <w:rFonts w:asciiTheme="minorHAnsi" w:hAnsiTheme="minorHAnsi"/>
          <w:i/>
          <w:iCs/>
          <w:sz w:val="22"/>
          <w:szCs w:val="22"/>
        </w:rPr>
        <w:t>Survey Methodology</w:t>
      </w:r>
      <w:r w:rsidRPr="00DC3157">
        <w:rPr>
          <w:rFonts w:asciiTheme="minorHAnsi" w:hAnsiTheme="minorHAnsi"/>
          <w:sz w:val="22"/>
          <w:szCs w:val="22"/>
        </w:rPr>
        <w:t xml:space="preserve">. 35.1 (June 2009): pp 101 – 113. </w:t>
      </w:r>
    </w:p>
    <w:p w14:paraId="6A464D0A" w14:textId="77777777" w:rsidR="00B60F5F" w:rsidRPr="00DC3157" w:rsidRDefault="00B60F5F" w:rsidP="00B60F5F">
      <w:pPr>
        <w:pStyle w:val="Default"/>
        <w:rPr>
          <w:rFonts w:asciiTheme="minorHAnsi" w:hAnsiTheme="minorHAnsi"/>
          <w:sz w:val="22"/>
          <w:szCs w:val="22"/>
        </w:rPr>
      </w:pPr>
      <w:r w:rsidRPr="00DC3157">
        <w:rPr>
          <w:rFonts w:asciiTheme="minorHAnsi" w:hAnsiTheme="minorHAnsi"/>
          <w:sz w:val="22"/>
          <w:szCs w:val="22"/>
        </w:rPr>
        <w:t xml:space="preserve">[10] Schouten, B. </w:t>
      </w:r>
      <w:proofErr w:type="spellStart"/>
      <w:r w:rsidRPr="00DC3157">
        <w:rPr>
          <w:rFonts w:asciiTheme="minorHAnsi" w:hAnsiTheme="minorHAnsi"/>
          <w:sz w:val="22"/>
          <w:szCs w:val="22"/>
        </w:rPr>
        <w:t>Shlomo</w:t>
      </w:r>
      <w:proofErr w:type="spellEnd"/>
      <w:r w:rsidRPr="00DC3157">
        <w:rPr>
          <w:rFonts w:asciiTheme="minorHAnsi" w:hAnsiTheme="minorHAnsi"/>
          <w:sz w:val="22"/>
          <w:szCs w:val="22"/>
        </w:rPr>
        <w:t xml:space="preserve">, N. Skinner, C. “Indicators for monitoring and improving representativeness of response.” </w:t>
      </w:r>
      <w:r w:rsidRPr="00DC3157">
        <w:rPr>
          <w:rFonts w:asciiTheme="minorHAnsi" w:hAnsiTheme="minorHAnsi"/>
          <w:i/>
          <w:iCs/>
          <w:sz w:val="22"/>
          <w:szCs w:val="22"/>
        </w:rPr>
        <w:t>Journal of Official Statistics</w:t>
      </w:r>
      <w:r w:rsidRPr="00DC3157">
        <w:rPr>
          <w:rFonts w:asciiTheme="minorHAnsi" w:hAnsiTheme="minorHAnsi"/>
          <w:sz w:val="22"/>
          <w:szCs w:val="22"/>
        </w:rPr>
        <w:t xml:space="preserve">. 27.2 (2011): pp 231 – 253. </w:t>
      </w:r>
    </w:p>
    <w:p w14:paraId="26066308" w14:textId="77777777" w:rsidR="00B60F5F" w:rsidRPr="00DC3157" w:rsidRDefault="00B60F5F" w:rsidP="00B60F5F">
      <w:pPr>
        <w:pStyle w:val="Default"/>
        <w:rPr>
          <w:rFonts w:asciiTheme="minorHAnsi" w:hAnsiTheme="minorHAnsi"/>
          <w:sz w:val="22"/>
          <w:szCs w:val="22"/>
        </w:rPr>
      </w:pPr>
      <w:r w:rsidRPr="00DC3157">
        <w:rPr>
          <w:rFonts w:asciiTheme="minorHAnsi" w:hAnsiTheme="minorHAnsi"/>
          <w:sz w:val="22"/>
          <w:szCs w:val="22"/>
        </w:rPr>
        <w:t xml:space="preserve">[11] West, B.T. “An Examination of the Quality and Utility of Interviewer Observations in the National Survey of Family Growth.” </w:t>
      </w:r>
      <w:r w:rsidRPr="00DC3157">
        <w:rPr>
          <w:rFonts w:asciiTheme="minorHAnsi" w:hAnsiTheme="minorHAnsi"/>
          <w:i/>
          <w:iCs/>
          <w:sz w:val="22"/>
          <w:szCs w:val="22"/>
        </w:rPr>
        <w:t>Journal of the Royal Statistical Society, Series A</w:t>
      </w:r>
      <w:r w:rsidRPr="00DC3157">
        <w:rPr>
          <w:rFonts w:asciiTheme="minorHAnsi" w:hAnsiTheme="minorHAnsi"/>
          <w:sz w:val="22"/>
          <w:szCs w:val="22"/>
        </w:rPr>
        <w:t xml:space="preserve">. 176:1 (2013): pp. 211-225. </w:t>
      </w:r>
    </w:p>
    <w:p w14:paraId="5E12010C" w14:textId="77777777" w:rsidR="00B60F5F" w:rsidRPr="00DC3157" w:rsidRDefault="00B60F5F" w:rsidP="00B60F5F">
      <w:pPr>
        <w:pStyle w:val="Default"/>
        <w:rPr>
          <w:rFonts w:asciiTheme="minorHAnsi" w:hAnsiTheme="minorHAnsi"/>
          <w:sz w:val="22"/>
          <w:szCs w:val="22"/>
        </w:rPr>
      </w:pPr>
      <w:r w:rsidRPr="00DC3157">
        <w:rPr>
          <w:rFonts w:asciiTheme="minorHAnsi" w:hAnsiTheme="minorHAnsi"/>
          <w:sz w:val="22"/>
          <w:szCs w:val="22"/>
        </w:rPr>
        <w:t xml:space="preserve">[12] Erdman, C. and Dahlhamer, J. (2013) “Evaluating Interviewer Observations in the National Health Interview Survey: Associations with response propensity.” Proceedings of the Joint Statistical Meetings, Section on Survey Research Methods. Montreal, CN. </w:t>
      </w:r>
    </w:p>
    <w:p w14:paraId="73BF0CB6" w14:textId="77777777" w:rsidR="00B60F5F" w:rsidRPr="00F322E7" w:rsidRDefault="00B60F5F" w:rsidP="00F322E7">
      <w:pPr>
        <w:pStyle w:val="Default"/>
        <w:rPr>
          <w:rFonts w:asciiTheme="minorHAnsi" w:hAnsiTheme="minorHAnsi"/>
          <w:sz w:val="22"/>
          <w:szCs w:val="22"/>
        </w:rPr>
      </w:pPr>
      <w:r w:rsidRPr="00DC3157">
        <w:rPr>
          <w:rFonts w:asciiTheme="minorHAnsi" w:hAnsiTheme="minorHAnsi"/>
          <w:sz w:val="22"/>
          <w:szCs w:val="22"/>
        </w:rPr>
        <w:t>[13] Walsh, R.; Dahlhamer, J.; Bates, N. (2014) “Assessing Interviewer Observations in the NHIS.” Proceedings of the Joint Statistical Meetings, Section on Survey</w:t>
      </w:r>
      <w:r w:rsidR="00F322E7" w:rsidRPr="00DC3157">
        <w:rPr>
          <w:rFonts w:asciiTheme="minorHAnsi" w:hAnsiTheme="minorHAnsi"/>
          <w:sz w:val="22"/>
          <w:szCs w:val="22"/>
        </w:rPr>
        <w:t xml:space="preserve"> Research Methods. Boston, MA.</w:t>
      </w:r>
      <w:bookmarkStart w:id="0" w:name="_GoBack"/>
      <w:bookmarkEnd w:id="0"/>
      <w:r w:rsidR="00F322E7">
        <w:rPr>
          <w:rFonts w:asciiTheme="minorHAnsi" w:hAnsiTheme="minorHAnsi"/>
          <w:sz w:val="22"/>
          <w:szCs w:val="22"/>
        </w:rPr>
        <w:t xml:space="preserve"> </w:t>
      </w:r>
    </w:p>
    <w:sectPr w:rsidR="00B60F5F" w:rsidRPr="00F322E7"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A41D8" w14:textId="77777777" w:rsidR="00627227" w:rsidRDefault="00627227" w:rsidP="008B5D54">
      <w:pPr>
        <w:spacing w:after="0" w:line="240" w:lineRule="auto"/>
      </w:pPr>
      <w:r>
        <w:separator/>
      </w:r>
    </w:p>
  </w:endnote>
  <w:endnote w:type="continuationSeparator" w:id="0">
    <w:p w14:paraId="798F1F44" w14:textId="77777777" w:rsidR="00627227" w:rsidRDefault="00627227"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TU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E837F" w14:textId="77777777" w:rsidR="00627227" w:rsidRDefault="00627227" w:rsidP="008B5D54">
      <w:pPr>
        <w:spacing w:after="0" w:line="240" w:lineRule="auto"/>
      </w:pPr>
      <w:r>
        <w:separator/>
      </w:r>
    </w:p>
  </w:footnote>
  <w:footnote w:type="continuationSeparator" w:id="0">
    <w:p w14:paraId="1FC17174" w14:textId="77777777" w:rsidR="00627227" w:rsidRDefault="00627227" w:rsidP="008B5D54">
      <w:pPr>
        <w:spacing w:after="0" w:line="240" w:lineRule="auto"/>
      </w:pPr>
      <w:r>
        <w:continuationSeparator/>
      </w:r>
    </w:p>
  </w:footnote>
  <w:footnote w:id="1">
    <w:p w14:paraId="1A69B893" w14:textId="56E1BB6B" w:rsidR="00627227" w:rsidRPr="009F71D5" w:rsidRDefault="00627227" w:rsidP="00297F91">
      <w:pPr>
        <w:pStyle w:val="Default"/>
        <w:rPr>
          <w:rFonts w:asciiTheme="minorHAnsi" w:hAnsiTheme="minorHAnsi"/>
          <w:sz w:val="19"/>
          <w:szCs w:val="19"/>
        </w:rPr>
      </w:pPr>
      <w:r w:rsidRPr="009F71D5">
        <w:rPr>
          <w:rStyle w:val="FootnoteReference"/>
          <w:rFonts w:asciiTheme="minorHAnsi" w:hAnsiTheme="minorHAnsi"/>
          <w:sz w:val="19"/>
          <w:szCs w:val="19"/>
        </w:rPr>
        <w:footnoteRef/>
      </w:r>
      <w:r w:rsidRPr="009F71D5">
        <w:rPr>
          <w:rFonts w:asciiTheme="minorHAnsi" w:hAnsiTheme="minorHAnsi"/>
          <w:sz w:val="19"/>
          <w:szCs w:val="19"/>
        </w:rPr>
        <w:t xml:space="preserve"> These data include information the </w:t>
      </w:r>
      <w:r w:rsidR="00AC17D2">
        <w:rPr>
          <w:rFonts w:asciiTheme="minorHAnsi" w:hAnsiTheme="minorHAnsi"/>
          <w:sz w:val="19"/>
          <w:szCs w:val="19"/>
        </w:rPr>
        <w:t>interviewer</w:t>
      </w:r>
      <w:r w:rsidRPr="009F71D5">
        <w:rPr>
          <w:rFonts w:asciiTheme="minorHAnsi" w:hAnsiTheme="minorHAnsi"/>
          <w:sz w:val="19"/>
          <w:szCs w:val="19"/>
        </w:rPr>
        <w:t xml:space="preserve"> observes about the housing unit that may be predictive of survey response.</w:t>
      </w:r>
    </w:p>
  </w:footnote>
  <w:footnote w:id="2">
    <w:p w14:paraId="5431F523" w14:textId="2B08AAD5" w:rsidR="00627227" w:rsidRPr="00297F91" w:rsidRDefault="00627227" w:rsidP="00297F91">
      <w:pPr>
        <w:pStyle w:val="Default"/>
        <w:rPr>
          <w:rFonts w:asciiTheme="minorHAnsi" w:hAnsiTheme="minorHAnsi"/>
          <w:sz w:val="19"/>
          <w:szCs w:val="19"/>
        </w:rPr>
      </w:pPr>
      <w:r w:rsidRPr="009F71D5">
        <w:rPr>
          <w:rStyle w:val="FootnoteReference"/>
          <w:rFonts w:asciiTheme="minorHAnsi" w:hAnsiTheme="minorHAnsi"/>
          <w:sz w:val="19"/>
          <w:szCs w:val="19"/>
        </w:rPr>
        <w:footnoteRef/>
      </w:r>
      <w:r w:rsidRPr="009F71D5">
        <w:rPr>
          <w:rFonts w:asciiTheme="minorHAnsi" w:hAnsiTheme="minorHAnsi"/>
          <w:sz w:val="19"/>
          <w:szCs w:val="19"/>
        </w:rPr>
        <w:t xml:space="preserve"> These data include information about the date, time, and outcomes of contact attempts, contact strategies used, respondent reluctance, and </w:t>
      </w:r>
      <w:r w:rsidR="00AC17D2">
        <w:rPr>
          <w:rFonts w:asciiTheme="minorHAnsi" w:hAnsiTheme="minorHAnsi"/>
          <w:sz w:val="19"/>
          <w:szCs w:val="19"/>
        </w:rPr>
        <w:t>interviewer</w:t>
      </w:r>
      <w:r w:rsidRPr="009F71D5">
        <w:rPr>
          <w:rFonts w:asciiTheme="minorHAnsi" w:hAnsiTheme="minorHAnsi"/>
          <w:sz w:val="19"/>
          <w:szCs w:val="19"/>
        </w:rPr>
        <w:t xml:space="preserve"> notes.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036"/>
    <w:rsid w:val="00017D10"/>
    <w:rsid w:val="0002126C"/>
    <w:rsid w:val="000474F3"/>
    <w:rsid w:val="001109E9"/>
    <w:rsid w:val="00112B14"/>
    <w:rsid w:val="001901D8"/>
    <w:rsid w:val="001A1671"/>
    <w:rsid w:val="001D3299"/>
    <w:rsid w:val="001D5A90"/>
    <w:rsid w:val="001D5DCD"/>
    <w:rsid w:val="002556EC"/>
    <w:rsid w:val="002847B0"/>
    <w:rsid w:val="00297F91"/>
    <w:rsid w:val="003051EC"/>
    <w:rsid w:val="003176D6"/>
    <w:rsid w:val="00355A73"/>
    <w:rsid w:val="00395642"/>
    <w:rsid w:val="0041262D"/>
    <w:rsid w:val="004213C0"/>
    <w:rsid w:val="0045457C"/>
    <w:rsid w:val="00496BB1"/>
    <w:rsid w:val="004D2139"/>
    <w:rsid w:val="004F6FBC"/>
    <w:rsid w:val="004F7604"/>
    <w:rsid w:val="00551213"/>
    <w:rsid w:val="00552D00"/>
    <w:rsid w:val="00561E14"/>
    <w:rsid w:val="0061604A"/>
    <w:rsid w:val="00627227"/>
    <w:rsid w:val="006C6578"/>
    <w:rsid w:val="006C6C4D"/>
    <w:rsid w:val="006E2B48"/>
    <w:rsid w:val="00712BC7"/>
    <w:rsid w:val="00775595"/>
    <w:rsid w:val="008171EA"/>
    <w:rsid w:val="00845102"/>
    <w:rsid w:val="00845DA4"/>
    <w:rsid w:val="00880D1A"/>
    <w:rsid w:val="008B1B70"/>
    <w:rsid w:val="008B499F"/>
    <w:rsid w:val="008B5D54"/>
    <w:rsid w:val="00927738"/>
    <w:rsid w:val="009E7330"/>
    <w:rsid w:val="009F71D5"/>
    <w:rsid w:val="00A3634C"/>
    <w:rsid w:val="00A45E42"/>
    <w:rsid w:val="00A96A35"/>
    <w:rsid w:val="00A96CBF"/>
    <w:rsid w:val="00AC0045"/>
    <w:rsid w:val="00AC17D2"/>
    <w:rsid w:val="00B047AF"/>
    <w:rsid w:val="00B55735"/>
    <w:rsid w:val="00B55D87"/>
    <w:rsid w:val="00B608AC"/>
    <w:rsid w:val="00B60F5F"/>
    <w:rsid w:val="00B83725"/>
    <w:rsid w:val="00C059EF"/>
    <w:rsid w:val="00C430DD"/>
    <w:rsid w:val="00C730DA"/>
    <w:rsid w:val="00CB293B"/>
    <w:rsid w:val="00CB52D1"/>
    <w:rsid w:val="00D12C04"/>
    <w:rsid w:val="00D13049"/>
    <w:rsid w:val="00DC3157"/>
    <w:rsid w:val="00DC57CC"/>
    <w:rsid w:val="00DD7FEB"/>
    <w:rsid w:val="00E0410A"/>
    <w:rsid w:val="00E70B2C"/>
    <w:rsid w:val="00E80544"/>
    <w:rsid w:val="00E916D1"/>
    <w:rsid w:val="00F208E6"/>
    <w:rsid w:val="00F322E7"/>
    <w:rsid w:val="00F406B9"/>
    <w:rsid w:val="00FA4036"/>
    <w:rsid w:val="00FA5E34"/>
    <w:rsid w:val="00FD49A3"/>
    <w:rsid w:val="00FF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C61F52"/>
  <w15:chartTrackingRefBased/>
  <w15:docId w15:val="{57451506-0318-4EA6-AB15-F1D6628E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Default">
    <w:name w:val="Default"/>
    <w:rsid w:val="00FA403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70B2C"/>
    <w:rPr>
      <w:sz w:val="16"/>
      <w:szCs w:val="16"/>
    </w:rPr>
  </w:style>
  <w:style w:type="paragraph" w:styleId="CommentText">
    <w:name w:val="annotation text"/>
    <w:basedOn w:val="Normal"/>
    <w:link w:val="CommentTextChar"/>
    <w:uiPriority w:val="99"/>
    <w:semiHidden/>
    <w:unhideWhenUsed/>
    <w:rsid w:val="00E70B2C"/>
    <w:pPr>
      <w:spacing w:line="240" w:lineRule="auto"/>
    </w:pPr>
    <w:rPr>
      <w:sz w:val="20"/>
      <w:szCs w:val="20"/>
    </w:rPr>
  </w:style>
  <w:style w:type="character" w:customStyle="1" w:styleId="CommentTextChar">
    <w:name w:val="Comment Text Char"/>
    <w:basedOn w:val="DefaultParagraphFont"/>
    <w:link w:val="CommentText"/>
    <w:uiPriority w:val="99"/>
    <w:semiHidden/>
    <w:rsid w:val="00E70B2C"/>
    <w:rPr>
      <w:sz w:val="20"/>
      <w:szCs w:val="20"/>
    </w:rPr>
  </w:style>
  <w:style w:type="paragraph" w:styleId="CommentSubject">
    <w:name w:val="annotation subject"/>
    <w:basedOn w:val="CommentText"/>
    <w:next w:val="CommentText"/>
    <w:link w:val="CommentSubjectChar"/>
    <w:uiPriority w:val="99"/>
    <w:semiHidden/>
    <w:unhideWhenUsed/>
    <w:rsid w:val="00E70B2C"/>
    <w:rPr>
      <w:b/>
      <w:bCs/>
    </w:rPr>
  </w:style>
  <w:style w:type="character" w:customStyle="1" w:styleId="CommentSubjectChar">
    <w:name w:val="Comment Subject Char"/>
    <w:basedOn w:val="CommentTextChar"/>
    <w:link w:val="CommentSubject"/>
    <w:uiPriority w:val="99"/>
    <w:semiHidden/>
    <w:rsid w:val="00E70B2C"/>
    <w:rPr>
      <w:b/>
      <w:bCs/>
      <w:sz w:val="20"/>
      <w:szCs w:val="20"/>
    </w:rPr>
  </w:style>
  <w:style w:type="paragraph" w:styleId="BalloonText">
    <w:name w:val="Balloon Text"/>
    <w:basedOn w:val="Normal"/>
    <w:link w:val="BalloonTextChar"/>
    <w:uiPriority w:val="99"/>
    <w:semiHidden/>
    <w:unhideWhenUsed/>
    <w:rsid w:val="00E70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B2C"/>
    <w:rPr>
      <w:rFonts w:ascii="Segoe UI" w:hAnsi="Segoe UI" w:cs="Segoe UI"/>
      <w:sz w:val="18"/>
      <w:szCs w:val="18"/>
    </w:rPr>
  </w:style>
  <w:style w:type="character" w:styleId="Hyperlink">
    <w:name w:val="Hyperlink"/>
    <w:uiPriority w:val="99"/>
    <w:rsid w:val="00E0410A"/>
    <w:rPr>
      <w:color w:val="0000FF"/>
      <w:u w:val="single"/>
    </w:rPr>
  </w:style>
  <w:style w:type="paragraph" w:styleId="FootnoteText">
    <w:name w:val="footnote text"/>
    <w:basedOn w:val="Normal"/>
    <w:link w:val="FootnoteTextChar"/>
    <w:uiPriority w:val="99"/>
    <w:semiHidden/>
    <w:unhideWhenUsed/>
    <w:rsid w:val="00297F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7F91"/>
    <w:rPr>
      <w:sz w:val="20"/>
      <w:szCs w:val="20"/>
    </w:rPr>
  </w:style>
  <w:style w:type="character" w:styleId="FootnoteReference">
    <w:name w:val="footnote reference"/>
    <w:basedOn w:val="DefaultParagraphFont"/>
    <w:uiPriority w:val="99"/>
    <w:semiHidden/>
    <w:unhideWhenUsed/>
    <w:rsid w:val="00297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lc6@cdc.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1208A-AE14-425B-8263-5BA1A6E4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Joestl, Sarah S. (CDC/OPHSS/NCHS)</dc:creator>
  <cp:keywords/>
  <dc:description/>
  <cp:lastModifiedBy>Sarah S. Joestl</cp:lastModifiedBy>
  <cp:revision>23</cp:revision>
  <dcterms:created xsi:type="dcterms:W3CDTF">2016-03-29T13:50:00Z</dcterms:created>
  <dcterms:modified xsi:type="dcterms:W3CDTF">2016-04-27T17:12:00Z</dcterms:modified>
</cp:coreProperties>
</file>