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18F44" w14:textId="3244277E" w:rsidR="00862D47" w:rsidRDefault="00862D47" w:rsidP="00060AA4">
      <w:pPr>
        <w:spacing w:after="0" w:line="240" w:lineRule="auto"/>
        <w:rPr>
          <w:rFonts w:ascii="Georgia" w:hAnsi="Georgia" w:cs="Times New Roman"/>
          <w:b/>
        </w:rPr>
      </w:pP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r>
        <w:rPr>
          <w:rFonts w:ascii="Georgia" w:hAnsi="Georgia" w:cs="Times New Roman"/>
          <w:b/>
        </w:rPr>
        <w:tab/>
      </w:r>
    </w:p>
    <w:p w14:paraId="1B820EEE" w14:textId="77777777" w:rsidR="00862D47" w:rsidRDefault="00862D47" w:rsidP="00060AA4">
      <w:pPr>
        <w:spacing w:after="0" w:line="240" w:lineRule="auto"/>
        <w:rPr>
          <w:rFonts w:ascii="Georgia" w:hAnsi="Georgia" w:cs="Times New Roman"/>
          <w:b/>
        </w:rPr>
      </w:pPr>
    </w:p>
    <w:p w14:paraId="6783712A" w14:textId="0EDE5261" w:rsidR="00862D47" w:rsidRDefault="00862D47" w:rsidP="00060AA4">
      <w:pPr>
        <w:spacing w:after="0" w:line="240" w:lineRule="auto"/>
        <w:rPr>
          <w:caps/>
          <w:noProof/>
          <w:sz w:val="18"/>
        </w:rPr>
      </w:pPr>
      <w:r>
        <w:rPr>
          <w:caps/>
          <w:noProof/>
          <w:sz w:val="18"/>
        </w:rPr>
        <w:t xml:space="preserve">                                                                                                                                                                                                                                                 </w:t>
      </w:r>
      <w:r>
        <w:rPr>
          <w:caps/>
          <w:noProof/>
          <w:sz w:val="18"/>
        </w:rPr>
        <w:drawing>
          <wp:inline distT="0" distB="0" distL="0" distR="0" wp14:anchorId="401F9C16" wp14:editId="17B3E0D2">
            <wp:extent cx="1813257"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867" cy="711832"/>
                    </a:xfrm>
                    <a:prstGeom prst="rect">
                      <a:avLst/>
                    </a:prstGeom>
                  </pic:spPr>
                </pic:pic>
              </a:graphicData>
            </a:graphic>
          </wp:inline>
        </w:drawing>
      </w:r>
    </w:p>
    <w:p w14:paraId="020B0525" w14:textId="77777777" w:rsidR="00862D47" w:rsidRDefault="00862D47" w:rsidP="00060AA4">
      <w:pPr>
        <w:spacing w:after="0" w:line="240" w:lineRule="auto"/>
        <w:rPr>
          <w:caps/>
          <w:noProof/>
          <w:sz w:val="18"/>
        </w:rPr>
      </w:pPr>
    </w:p>
    <w:p w14:paraId="0DAC1886" w14:textId="77777777" w:rsidR="00862D47" w:rsidRPr="00862D47" w:rsidRDefault="00862D47" w:rsidP="00060AA4">
      <w:pPr>
        <w:spacing w:after="0" w:line="240" w:lineRule="auto"/>
        <w:rPr>
          <w:caps/>
          <w:noProof/>
          <w:sz w:val="18"/>
        </w:rPr>
      </w:pPr>
    </w:p>
    <w:p w14:paraId="77FC3400" w14:textId="0005DF3B" w:rsidR="00060AA4" w:rsidRPr="008E1B5D" w:rsidRDefault="00060AA4" w:rsidP="00060AA4">
      <w:pPr>
        <w:spacing w:after="0" w:line="240" w:lineRule="auto"/>
        <w:rPr>
          <w:rFonts w:ascii="Georgia" w:hAnsi="Georgia" w:cs="Times New Roman"/>
          <w:b/>
        </w:rPr>
      </w:pPr>
      <w:r w:rsidRPr="008E1B5D">
        <w:rPr>
          <w:rFonts w:ascii="Georgia" w:hAnsi="Georgia" w:cs="Times New Roman"/>
          <w:b/>
        </w:rPr>
        <w:t xml:space="preserve">From: </w:t>
      </w:r>
      <w:r w:rsidR="00FD5357" w:rsidRPr="00FD5357">
        <w:rPr>
          <w:rFonts w:ascii="Georgia" w:hAnsi="Georgia" w:cs="Times New Roman"/>
        </w:rPr>
        <w:t>DHHS/CMS/OA/CCIIO/</w:t>
      </w:r>
      <w:r w:rsidR="00AA5244">
        <w:rPr>
          <w:rFonts w:ascii="Georgia" w:hAnsi="Georgia" w:cs="Times New Roman"/>
        </w:rPr>
        <w:t>State Exchange Group</w:t>
      </w:r>
    </w:p>
    <w:p w14:paraId="2163CD34" w14:textId="77777777" w:rsidR="00060AA4" w:rsidRPr="008E1B5D" w:rsidRDefault="00060AA4" w:rsidP="00060AA4">
      <w:pPr>
        <w:spacing w:after="0" w:line="240" w:lineRule="auto"/>
        <w:rPr>
          <w:rFonts w:ascii="Georgia" w:hAnsi="Georgia" w:cs="Times New Roman"/>
          <w:b/>
        </w:rPr>
      </w:pPr>
      <w:r w:rsidRPr="008E1B5D">
        <w:rPr>
          <w:rFonts w:ascii="Georgia" w:hAnsi="Georgia" w:cs="Times New Roman"/>
          <w:b/>
        </w:rPr>
        <w:t xml:space="preserve">To: </w:t>
      </w:r>
      <w:r w:rsidR="001A6A7D" w:rsidRPr="003C7A68">
        <w:rPr>
          <w:rFonts w:ascii="Georgia" w:hAnsi="Georgia" w:cs="Times New Roman"/>
        </w:rPr>
        <w:t>Office of Management and Budget</w:t>
      </w:r>
    </w:p>
    <w:p w14:paraId="0CC3F845" w14:textId="74C35A4A" w:rsidR="00060AA4" w:rsidRDefault="00060AA4" w:rsidP="00060AA4">
      <w:pPr>
        <w:spacing w:after="0" w:line="240" w:lineRule="auto"/>
        <w:rPr>
          <w:rFonts w:ascii="Georgia" w:hAnsi="Georgia" w:cs="Times New Roman"/>
          <w:b/>
        </w:rPr>
      </w:pPr>
      <w:r w:rsidRPr="008E1B5D">
        <w:rPr>
          <w:rFonts w:ascii="Georgia" w:hAnsi="Georgia" w:cs="Times New Roman"/>
          <w:b/>
        </w:rPr>
        <w:t xml:space="preserve">Re: </w:t>
      </w:r>
      <w:r w:rsidR="00CC38EB">
        <w:rPr>
          <w:rFonts w:ascii="Georgia" w:hAnsi="Georgia" w:cs="Times New Roman"/>
        </w:rPr>
        <w:t>Requested</w:t>
      </w:r>
      <w:r w:rsidR="003C7A68" w:rsidRPr="003C7A68">
        <w:rPr>
          <w:rFonts w:ascii="Georgia" w:hAnsi="Georgia" w:cs="Times New Roman"/>
        </w:rPr>
        <w:t xml:space="preserve"> </w:t>
      </w:r>
      <w:r w:rsidR="00CC38EB">
        <w:rPr>
          <w:rFonts w:ascii="Georgia" w:hAnsi="Georgia" w:cs="Times New Roman"/>
        </w:rPr>
        <w:t>Approval of Non</w:t>
      </w:r>
      <w:r w:rsidR="009731D8">
        <w:rPr>
          <w:rFonts w:ascii="Georgia" w:hAnsi="Georgia" w:cs="Times New Roman"/>
        </w:rPr>
        <w:t>-</w:t>
      </w:r>
      <w:r w:rsidR="00CC38EB">
        <w:rPr>
          <w:rFonts w:ascii="Georgia" w:hAnsi="Georgia" w:cs="Times New Roman"/>
        </w:rPr>
        <w:t>substantive Change</w:t>
      </w:r>
      <w:r w:rsidR="003C7A68" w:rsidRPr="003C7A68">
        <w:rPr>
          <w:rFonts w:ascii="Georgia" w:hAnsi="Georgia" w:cs="Times New Roman"/>
        </w:rPr>
        <w:t xml:space="preserve"> to Notice of Action</w:t>
      </w:r>
      <w:r w:rsidR="003C7A68">
        <w:rPr>
          <w:rFonts w:ascii="Georgia" w:hAnsi="Georgia" w:cs="Times New Roman"/>
        </w:rPr>
        <w:t>:</w:t>
      </w:r>
      <w:r w:rsidR="003C7A68" w:rsidRPr="003C7A68">
        <w:rPr>
          <w:rFonts w:ascii="Georgia" w:hAnsi="Georgia" w:cs="Times New Roman"/>
        </w:rPr>
        <w:t xml:space="preserve"> </w:t>
      </w:r>
      <w:r w:rsidR="002F33D2">
        <w:rPr>
          <w:rFonts w:ascii="Georgia" w:hAnsi="Georgia" w:cs="Times New Roman"/>
        </w:rPr>
        <w:t xml:space="preserve">State-based Marketplace Annual Reporting Tool (SMART) </w:t>
      </w:r>
      <w:r w:rsidR="003C7A68">
        <w:rPr>
          <w:rFonts w:ascii="Georgia" w:hAnsi="Georgia" w:cs="Times New Roman"/>
        </w:rPr>
        <w:t>(</w:t>
      </w:r>
      <w:r w:rsidR="001A6A7D" w:rsidRPr="003C7A68">
        <w:rPr>
          <w:rFonts w:ascii="Georgia" w:hAnsi="Georgia" w:cs="Times New Roman"/>
        </w:rPr>
        <w:t>OMB Control Number 0938-1</w:t>
      </w:r>
      <w:r w:rsidR="002F33D2">
        <w:rPr>
          <w:rFonts w:ascii="Georgia" w:hAnsi="Georgia" w:cs="Times New Roman"/>
        </w:rPr>
        <w:t>191</w:t>
      </w:r>
      <w:r w:rsidR="001A6A7D" w:rsidRPr="003C7A68">
        <w:rPr>
          <w:rFonts w:ascii="Georgia" w:hAnsi="Georgia" w:cs="Times New Roman"/>
        </w:rPr>
        <w:t>)</w:t>
      </w:r>
    </w:p>
    <w:p w14:paraId="55182144" w14:textId="23460C3F" w:rsidR="008E1B5D" w:rsidRPr="003C7A68" w:rsidRDefault="003C7A68" w:rsidP="00060AA4">
      <w:pPr>
        <w:spacing w:after="0" w:line="240" w:lineRule="auto"/>
        <w:rPr>
          <w:rFonts w:ascii="Georgia" w:hAnsi="Georgia" w:cs="Times New Roman"/>
        </w:rPr>
      </w:pPr>
      <w:r>
        <w:rPr>
          <w:rFonts w:ascii="Georgia" w:hAnsi="Georgia" w:cs="Times New Roman"/>
          <w:b/>
        </w:rPr>
        <w:t xml:space="preserve">Date: </w:t>
      </w:r>
      <w:r w:rsidR="002968F2">
        <w:rPr>
          <w:rFonts w:ascii="Georgia" w:hAnsi="Georgia" w:cs="Times New Roman"/>
        </w:rPr>
        <w:t>1</w:t>
      </w:r>
      <w:r w:rsidR="00AA5244">
        <w:rPr>
          <w:rFonts w:ascii="Georgia" w:hAnsi="Georgia" w:cs="Times New Roman"/>
        </w:rPr>
        <w:t>3</w:t>
      </w:r>
      <w:r w:rsidR="002F33D2">
        <w:rPr>
          <w:rFonts w:ascii="Georgia" w:hAnsi="Georgia" w:cs="Times New Roman"/>
        </w:rPr>
        <w:t xml:space="preserve"> April 2016</w:t>
      </w:r>
    </w:p>
    <w:p w14:paraId="19C1225E" w14:textId="77777777" w:rsidR="00D468C0" w:rsidRPr="008E1B5D" w:rsidRDefault="00415CFB" w:rsidP="00060AA4">
      <w:pPr>
        <w:spacing w:after="0" w:line="240" w:lineRule="auto"/>
        <w:rPr>
          <w:rFonts w:ascii="Georgia" w:hAnsi="Georgia" w:cs="Times New Roman"/>
        </w:rPr>
      </w:pPr>
      <w:r>
        <w:rPr>
          <w:rFonts w:ascii="Georgia" w:hAnsi="Georgia" w:cs="Times New Roman"/>
        </w:rPr>
        <w:pict w14:anchorId="1EB35BA6">
          <v:rect id="_x0000_i1025" style="width:0;height:1.5pt" o:hralign="center" o:hrstd="t" o:hr="t" fillcolor="#aca899" stroked="f"/>
        </w:pict>
      </w:r>
    </w:p>
    <w:p w14:paraId="215042DF" w14:textId="77777777" w:rsidR="008E1B5D" w:rsidRDefault="008E1B5D" w:rsidP="008E1B5D">
      <w:pPr>
        <w:spacing w:after="0"/>
        <w:rPr>
          <w:rFonts w:ascii="Georgia" w:hAnsi="Georgia" w:cs="Times New Roman"/>
        </w:rPr>
      </w:pPr>
    </w:p>
    <w:p w14:paraId="1F222CDF" w14:textId="73372BBA" w:rsidR="00E76CFE" w:rsidRDefault="00357196" w:rsidP="002F33D2">
      <w:pPr>
        <w:pStyle w:val="BodyText"/>
        <w:rPr>
          <w:rFonts w:eastAsia="Times New Roman"/>
        </w:rPr>
      </w:pPr>
      <w:r>
        <w:rPr>
          <w:rFonts w:ascii="Georgia" w:hAnsi="Georgia" w:cs="Times New Roman"/>
          <w:b/>
        </w:rPr>
        <w:t>Summary</w:t>
      </w:r>
      <w:r>
        <w:rPr>
          <w:rFonts w:ascii="Georgia" w:hAnsi="Georgia" w:cs="Times New Roman"/>
        </w:rPr>
        <w:br/>
      </w:r>
      <w:r w:rsidR="00E76CFE" w:rsidRPr="00A175BD">
        <w:rPr>
          <w:rFonts w:ascii="Georgia" w:hAnsi="Georgia"/>
        </w:rPr>
        <w:t xml:space="preserve">The Centers for Medicare and Medicaid Services’ (CMS’) Center for Consumer Information and Insurance Oversight (CCIIO) is responsible for the oversight and monitoring of State-based Marketplaces (SBMs) pursuant to 45 </w:t>
      </w:r>
      <w:r w:rsidR="00E76CFE" w:rsidRPr="00A175BD">
        <w:rPr>
          <w:rFonts w:ascii="Georgia" w:eastAsia="Calibri" w:hAnsi="Georgia"/>
          <w:color w:val="000000" w:themeColor="text1"/>
        </w:rPr>
        <w:t xml:space="preserve">C.F.R. </w:t>
      </w:r>
      <w:r w:rsidR="00E76CFE" w:rsidRPr="00A175BD">
        <w:rPr>
          <w:rFonts w:ascii="Georgia" w:hAnsi="Georgia"/>
        </w:rPr>
        <w:t xml:space="preserve">§ 155.1200 (General Program Integrity and </w:t>
      </w:r>
      <w:r w:rsidR="0043694A">
        <w:rPr>
          <w:rFonts w:ascii="Georgia" w:hAnsi="Georgia"/>
        </w:rPr>
        <w:t>Oversight R</w:t>
      </w:r>
      <w:r w:rsidR="00E76CFE" w:rsidRPr="00A175BD">
        <w:rPr>
          <w:rFonts w:ascii="Georgia" w:hAnsi="Georgia"/>
        </w:rPr>
        <w:t xml:space="preserve">esponsibilities) and 45 </w:t>
      </w:r>
      <w:r w:rsidR="00E76CFE" w:rsidRPr="00A175BD">
        <w:rPr>
          <w:rFonts w:ascii="Georgia" w:eastAsia="Calibri" w:hAnsi="Georgia"/>
          <w:color w:val="000000" w:themeColor="text1"/>
        </w:rPr>
        <w:t xml:space="preserve">C.F.R. </w:t>
      </w:r>
      <w:r w:rsidR="00E76CFE" w:rsidRPr="00A175BD">
        <w:rPr>
          <w:rFonts w:ascii="Georgia" w:hAnsi="Georgia"/>
        </w:rPr>
        <w:t>§ 155.1210 (Maintenance of Records).</w:t>
      </w:r>
      <w:r w:rsidR="00E76CFE" w:rsidRPr="00A175BD">
        <w:rPr>
          <w:rFonts w:ascii="Georgia" w:hAnsi="Georgia"/>
          <w:lang w:val="en"/>
        </w:rPr>
        <w:t xml:space="preserve"> This final rule requires SBMs to </w:t>
      </w:r>
      <w:r w:rsidR="00E76CFE" w:rsidRPr="00A175BD">
        <w:rPr>
          <w:rFonts w:ascii="Georgia" w:eastAsia="Times New Roman" w:hAnsi="Georgia"/>
        </w:rPr>
        <w:t xml:space="preserve">conduct a defined set of oversight activities, including external financial and programmatic audits, to track and monitor how it is meeting Affordable Care Act (ACA) program integrity standards. </w:t>
      </w:r>
      <w:r w:rsidR="009E617A" w:rsidRPr="009E617A">
        <w:rPr>
          <w:rFonts w:ascii="Georgia" w:eastAsia="Times New Roman" w:hAnsi="Georgia"/>
        </w:rPr>
        <w:t>CCIIO</w:t>
      </w:r>
      <w:r w:rsidR="00E76CFE" w:rsidRPr="00A175BD">
        <w:rPr>
          <w:rFonts w:ascii="Georgia" w:eastAsia="Times New Roman" w:hAnsi="Georgia"/>
        </w:rPr>
        <w:t xml:space="preserve"> utilizes the State-based Marketplace Annual Reporting Tool (SMART) to document an SBM’s compliance with these and other regulatory requirements</w:t>
      </w:r>
    </w:p>
    <w:p w14:paraId="7D2021E7" w14:textId="75D57F4C" w:rsidR="002F33D2" w:rsidRPr="00A175BD" w:rsidRDefault="00E76CFE" w:rsidP="002F33D2">
      <w:pPr>
        <w:pStyle w:val="BodyText"/>
        <w:rPr>
          <w:rFonts w:ascii="Georgia" w:hAnsi="Georgia"/>
        </w:rPr>
      </w:pPr>
      <w:r w:rsidRPr="00C10EBF">
        <w:rPr>
          <w:rFonts w:ascii="Georgia" w:hAnsi="Georgia"/>
        </w:rPr>
        <w:t xml:space="preserve">The Plan Year (PY) 2014 SMART was approved by the Office of </w:t>
      </w:r>
      <w:bookmarkStart w:id="0" w:name="_GoBack"/>
      <w:bookmarkEnd w:id="0"/>
      <w:r w:rsidRPr="00C10EBF">
        <w:rPr>
          <w:rFonts w:ascii="Georgia" w:hAnsi="Georgia"/>
        </w:rPr>
        <w:lastRenderedPageBreak/>
        <w:t>Management and Budget (OMB) on Thursday, July 3, 2014 (OMB Control Number: 0938-1191)</w:t>
      </w:r>
      <w:r>
        <w:rPr>
          <w:rFonts w:ascii="Georgia" w:hAnsi="Georgia"/>
        </w:rPr>
        <w:t xml:space="preserve"> and t</w:t>
      </w:r>
      <w:r w:rsidR="002F33D2" w:rsidRPr="00A175BD">
        <w:rPr>
          <w:rFonts w:ascii="Georgia" w:hAnsi="Georgia"/>
        </w:rPr>
        <w:t>he first</w:t>
      </w:r>
      <w:r w:rsidRPr="00E76CFE">
        <w:rPr>
          <w:rFonts w:ascii="Georgia" w:hAnsi="Georgia"/>
        </w:rPr>
        <w:t xml:space="preserve"> </w:t>
      </w:r>
      <w:r w:rsidR="002F33D2" w:rsidRPr="00A175BD">
        <w:rPr>
          <w:rFonts w:ascii="Georgia" w:hAnsi="Georgia"/>
        </w:rPr>
        <w:t>SMART w</w:t>
      </w:r>
      <w:r w:rsidRPr="00E76CFE">
        <w:rPr>
          <w:rFonts w:ascii="Georgia" w:hAnsi="Georgia"/>
        </w:rPr>
        <w:t xml:space="preserve">as submitted to </w:t>
      </w:r>
      <w:r w:rsidR="009E617A">
        <w:rPr>
          <w:rFonts w:ascii="Georgia" w:hAnsi="Georgia"/>
        </w:rPr>
        <w:t>CCIIO</w:t>
      </w:r>
      <w:r w:rsidR="002F33D2" w:rsidRPr="00A175BD">
        <w:rPr>
          <w:rFonts w:ascii="Georgia" w:hAnsi="Georgia"/>
        </w:rPr>
        <w:t xml:space="preserve"> b</w:t>
      </w:r>
      <w:r w:rsidRPr="00E76CFE">
        <w:rPr>
          <w:rFonts w:ascii="Georgia" w:hAnsi="Georgia"/>
        </w:rPr>
        <w:t xml:space="preserve">y each </w:t>
      </w:r>
      <w:r w:rsidR="002F33D2" w:rsidRPr="00A175BD">
        <w:rPr>
          <w:rFonts w:ascii="Georgia" w:hAnsi="Georgia"/>
        </w:rPr>
        <w:t xml:space="preserve">SBM on April 1, 2015. Based on lessons learned collected during the first year of the SMART’s development and implementation, </w:t>
      </w:r>
      <w:r w:rsidR="009E617A">
        <w:rPr>
          <w:rFonts w:ascii="Georgia" w:hAnsi="Georgia"/>
        </w:rPr>
        <w:t>CCIIO</w:t>
      </w:r>
      <w:r w:rsidR="002F33D2" w:rsidRPr="00A175BD">
        <w:rPr>
          <w:rFonts w:ascii="Georgia" w:hAnsi="Georgia"/>
        </w:rPr>
        <w:t xml:space="preserve"> has taken a closer review of the Program Integrity (PI) Final Rule Part II requirements. </w:t>
      </w:r>
      <w:r w:rsidRPr="00C10EBF">
        <w:rPr>
          <w:rFonts w:ascii="Georgia" w:hAnsi="Georgia"/>
        </w:rPr>
        <w:t>Since this time, SEG</w:t>
      </w:r>
      <w:r w:rsidRPr="00687B06">
        <w:rPr>
          <w:rFonts w:ascii="Georgia" w:hAnsi="Georgia"/>
        </w:rPr>
        <w:t xml:space="preserve"> has identified</w:t>
      </w:r>
      <w:r w:rsidRPr="00C10EBF">
        <w:rPr>
          <w:rFonts w:ascii="Georgia" w:hAnsi="Georgia"/>
        </w:rPr>
        <w:t xml:space="preserve"> changes to the PY 2015 SMART </w:t>
      </w:r>
      <w:r w:rsidR="00F158E1">
        <w:rPr>
          <w:rFonts w:ascii="Georgia" w:hAnsi="Georgia"/>
        </w:rPr>
        <w:t xml:space="preserve">to </w:t>
      </w:r>
      <w:r w:rsidRPr="000A3647">
        <w:rPr>
          <w:rFonts w:ascii="Georgia" w:hAnsi="Georgia"/>
        </w:rPr>
        <w:t>better align</w:t>
      </w:r>
      <w:r w:rsidR="00F158E1">
        <w:rPr>
          <w:rFonts w:ascii="Georgia" w:hAnsi="Georgia"/>
        </w:rPr>
        <w:t xml:space="preserve"> to the reporting requirements provided </w:t>
      </w:r>
      <w:r w:rsidRPr="000A3647">
        <w:rPr>
          <w:rFonts w:ascii="Georgia" w:hAnsi="Georgia"/>
        </w:rPr>
        <w:t>in the PI Final Rule Part II.</w:t>
      </w:r>
      <w:r w:rsidR="00F158E1">
        <w:rPr>
          <w:rFonts w:ascii="Georgia" w:hAnsi="Georgia"/>
        </w:rPr>
        <w:t xml:space="preserve"> </w:t>
      </w:r>
      <w:r w:rsidR="00F158E1" w:rsidRPr="008E1B5D">
        <w:rPr>
          <w:rFonts w:ascii="Georgia" w:hAnsi="Georgia" w:cs="Times New Roman"/>
        </w:rPr>
        <w:t xml:space="preserve">As a result there are some </w:t>
      </w:r>
      <w:r w:rsidR="00F158E1">
        <w:rPr>
          <w:rFonts w:ascii="Georgia" w:hAnsi="Georgia" w:cs="Times New Roman"/>
        </w:rPr>
        <w:t xml:space="preserve">key amendments to the attestations in the SMART </w:t>
      </w:r>
      <w:r w:rsidR="00F158E1" w:rsidRPr="008E1B5D">
        <w:rPr>
          <w:rFonts w:ascii="Georgia" w:hAnsi="Georgia" w:cs="Times New Roman"/>
        </w:rPr>
        <w:t>that woul</w:t>
      </w:r>
      <w:r w:rsidR="00F158E1">
        <w:rPr>
          <w:rFonts w:ascii="Georgia" w:hAnsi="Georgia" w:cs="Times New Roman"/>
        </w:rPr>
        <w:t xml:space="preserve">d provide clarification on the reporting requirements and oversight </w:t>
      </w:r>
      <w:r w:rsidR="00F158E1" w:rsidRPr="008E1B5D">
        <w:rPr>
          <w:rFonts w:ascii="Georgia" w:hAnsi="Georgia" w:cs="Times New Roman"/>
        </w:rPr>
        <w:t xml:space="preserve">activities States are to carry out.  </w:t>
      </w:r>
    </w:p>
    <w:p w14:paraId="16532873" w14:textId="06E71539" w:rsidR="007E2C88" w:rsidRDefault="007E2C88" w:rsidP="0043694A">
      <w:pPr>
        <w:spacing w:after="0" w:line="240" w:lineRule="auto"/>
        <w:rPr>
          <w:rFonts w:ascii="Georgia" w:hAnsi="Georgia" w:cs="Times New Roman"/>
        </w:rPr>
      </w:pPr>
      <w:r>
        <w:rPr>
          <w:rFonts w:ascii="Georgia" w:hAnsi="Georgia" w:cs="Times New Roman"/>
        </w:rPr>
        <w:t xml:space="preserve">We do not anticipate </w:t>
      </w:r>
      <w:r w:rsidR="00357196">
        <w:rPr>
          <w:rFonts w:ascii="Georgia" w:hAnsi="Georgia" w:cs="Times New Roman"/>
        </w:rPr>
        <w:t xml:space="preserve">that this amendment will result in </w:t>
      </w:r>
      <w:r w:rsidR="005A06CD">
        <w:rPr>
          <w:rFonts w:ascii="Georgia" w:hAnsi="Georgia" w:cs="Times New Roman"/>
        </w:rPr>
        <w:t>a significant increase</w:t>
      </w:r>
      <w:r>
        <w:rPr>
          <w:rFonts w:ascii="Georgia" w:hAnsi="Georgia" w:cs="Times New Roman"/>
        </w:rPr>
        <w:t xml:space="preserve"> in the burden </w:t>
      </w:r>
      <w:r w:rsidR="00357196">
        <w:rPr>
          <w:rFonts w:ascii="Georgia" w:hAnsi="Georgia" w:cs="Times New Roman"/>
        </w:rPr>
        <w:t xml:space="preserve">to respondents. </w:t>
      </w:r>
      <w:r w:rsidR="00357196" w:rsidRPr="008E1B5D">
        <w:rPr>
          <w:rFonts w:ascii="Georgia" w:hAnsi="Georgia" w:cs="Times New Roman"/>
        </w:rPr>
        <w:t xml:space="preserve">We are requesting that </w:t>
      </w:r>
      <w:r w:rsidR="005A06CD">
        <w:rPr>
          <w:rFonts w:ascii="Georgia" w:hAnsi="Georgia" w:cs="Times New Roman"/>
        </w:rPr>
        <w:t>non-substantive change</w:t>
      </w:r>
      <w:r w:rsidR="00357196" w:rsidRPr="008E1B5D">
        <w:rPr>
          <w:rFonts w:ascii="Georgia" w:hAnsi="Georgia" w:cs="Times New Roman"/>
        </w:rPr>
        <w:t xml:space="preserve"> for this </w:t>
      </w:r>
      <w:r w:rsidR="005A06CD">
        <w:rPr>
          <w:rFonts w:ascii="Georgia" w:hAnsi="Georgia" w:cs="Times New Roman"/>
        </w:rPr>
        <w:t>package</w:t>
      </w:r>
      <w:r w:rsidR="00357196" w:rsidRPr="008E1B5D">
        <w:rPr>
          <w:rFonts w:ascii="Georgia" w:hAnsi="Georgia" w:cs="Times New Roman"/>
        </w:rPr>
        <w:t xml:space="preserve"> be approved and issued by </w:t>
      </w:r>
      <w:r w:rsidR="00F55235">
        <w:rPr>
          <w:rFonts w:ascii="Georgia" w:hAnsi="Georgia" w:cs="Times New Roman"/>
        </w:rPr>
        <w:t>30</w:t>
      </w:r>
      <w:r w:rsidR="00D35350">
        <w:rPr>
          <w:rFonts w:ascii="Georgia" w:hAnsi="Georgia" w:cs="Times New Roman"/>
        </w:rPr>
        <w:t xml:space="preserve">, </w:t>
      </w:r>
      <w:r w:rsidR="00F55235">
        <w:rPr>
          <w:rFonts w:ascii="Georgia" w:hAnsi="Georgia" w:cs="Times New Roman"/>
        </w:rPr>
        <w:t>April</w:t>
      </w:r>
      <w:r w:rsidR="00D35350">
        <w:rPr>
          <w:rFonts w:ascii="Georgia" w:hAnsi="Georgia" w:cs="Times New Roman"/>
        </w:rPr>
        <w:t xml:space="preserve"> 201</w:t>
      </w:r>
      <w:r w:rsidR="00F55235">
        <w:rPr>
          <w:rFonts w:ascii="Georgia" w:hAnsi="Georgia" w:cs="Times New Roman"/>
        </w:rPr>
        <w:t>6</w:t>
      </w:r>
      <w:r w:rsidR="00357196" w:rsidRPr="008E1B5D">
        <w:rPr>
          <w:rFonts w:ascii="Georgia" w:hAnsi="Georgia" w:cs="Times New Roman"/>
        </w:rPr>
        <w:t xml:space="preserve">. This will </w:t>
      </w:r>
      <w:r w:rsidR="005A06CD">
        <w:rPr>
          <w:rFonts w:ascii="Georgia" w:hAnsi="Georgia" w:cs="Times New Roman"/>
        </w:rPr>
        <w:t>provide respondents with amp</w:t>
      </w:r>
      <w:r w:rsidR="00B565DD">
        <w:rPr>
          <w:rFonts w:ascii="Georgia" w:hAnsi="Georgia" w:cs="Times New Roman"/>
        </w:rPr>
        <w:t xml:space="preserve">le </w:t>
      </w:r>
      <w:r w:rsidR="005A06CD">
        <w:rPr>
          <w:rFonts w:ascii="Georgia" w:hAnsi="Georgia" w:cs="Times New Roman"/>
        </w:rPr>
        <w:t>opportunity to prepare for the change ahead</w:t>
      </w:r>
      <w:r w:rsidR="00D35350">
        <w:rPr>
          <w:rFonts w:ascii="Georgia" w:hAnsi="Georgia" w:cs="Times New Roman"/>
        </w:rPr>
        <w:t xml:space="preserve"> of the</w:t>
      </w:r>
      <w:r w:rsidR="005A06CD">
        <w:rPr>
          <w:rFonts w:ascii="Georgia" w:hAnsi="Georgia" w:cs="Times New Roman"/>
        </w:rPr>
        <w:t xml:space="preserve"> </w:t>
      </w:r>
      <w:r w:rsidR="00F55235">
        <w:rPr>
          <w:rFonts w:ascii="Georgia" w:hAnsi="Georgia" w:cs="Times New Roman"/>
        </w:rPr>
        <w:t xml:space="preserve">01 June 2016 </w:t>
      </w:r>
      <w:r w:rsidR="005A06CD">
        <w:rPr>
          <w:rFonts w:ascii="Georgia" w:hAnsi="Georgia" w:cs="Times New Roman"/>
        </w:rPr>
        <w:t>report</w:t>
      </w:r>
      <w:r w:rsidR="00D35350">
        <w:rPr>
          <w:rFonts w:ascii="Georgia" w:hAnsi="Georgia" w:cs="Times New Roman"/>
        </w:rPr>
        <w:t>ing</w:t>
      </w:r>
      <w:r w:rsidR="005A06CD">
        <w:rPr>
          <w:rFonts w:ascii="Georgia" w:hAnsi="Georgia" w:cs="Times New Roman"/>
        </w:rPr>
        <w:t xml:space="preserve"> due date.   </w:t>
      </w:r>
    </w:p>
    <w:p w14:paraId="21B4B4C6" w14:textId="77777777" w:rsidR="00A175BD" w:rsidRDefault="00A175BD" w:rsidP="00A175BD">
      <w:pPr>
        <w:spacing w:after="0"/>
        <w:rPr>
          <w:rFonts w:ascii="Georgia" w:hAnsi="Georgia" w:cs="Times New Roman"/>
        </w:rPr>
      </w:pPr>
    </w:p>
    <w:p w14:paraId="0F43832C" w14:textId="77777777" w:rsidR="007E2C88" w:rsidRPr="007E2C88" w:rsidRDefault="00CC38EB" w:rsidP="00357196">
      <w:pPr>
        <w:spacing w:after="0"/>
        <w:rPr>
          <w:rFonts w:ascii="Georgia" w:hAnsi="Georgia" w:cs="Times New Roman"/>
          <w:b/>
        </w:rPr>
      </w:pPr>
      <w:r>
        <w:rPr>
          <w:rFonts w:ascii="Georgia" w:hAnsi="Georgia" w:cs="Times New Roman"/>
          <w:b/>
        </w:rPr>
        <w:t>Changes</w:t>
      </w:r>
    </w:p>
    <w:p w14:paraId="2C0BD5B9" w14:textId="02CFBC68" w:rsidR="00341457" w:rsidRPr="008E1B5D" w:rsidRDefault="00CC38EB" w:rsidP="00522F60">
      <w:pPr>
        <w:rPr>
          <w:rFonts w:ascii="Georgia" w:hAnsi="Georgia" w:cs="Times New Roman"/>
        </w:rPr>
      </w:pPr>
      <w:r>
        <w:rPr>
          <w:rFonts w:ascii="Georgia" w:hAnsi="Georgia" w:cs="Times New Roman"/>
        </w:rPr>
        <w:t>CCIIO request</w:t>
      </w:r>
      <w:r w:rsidR="00C15C88">
        <w:rPr>
          <w:rFonts w:ascii="Georgia" w:hAnsi="Georgia" w:cs="Times New Roman"/>
        </w:rPr>
        <w:t>s</w:t>
      </w:r>
      <w:r>
        <w:rPr>
          <w:rFonts w:ascii="Georgia" w:hAnsi="Georgia" w:cs="Times New Roman"/>
        </w:rPr>
        <w:t xml:space="preserve"> approval of non-substantive change</w:t>
      </w:r>
      <w:r w:rsidR="00417931">
        <w:rPr>
          <w:rFonts w:ascii="Georgia" w:hAnsi="Georgia" w:cs="Times New Roman"/>
        </w:rPr>
        <w:t>s</w:t>
      </w:r>
      <w:r w:rsidR="00341457" w:rsidRPr="008E1B5D">
        <w:rPr>
          <w:rFonts w:ascii="Georgia" w:hAnsi="Georgia" w:cs="Times New Roman"/>
        </w:rPr>
        <w:t xml:space="preserve"> around</w:t>
      </w:r>
      <w:r w:rsidR="00876FE1" w:rsidRPr="008E1B5D">
        <w:rPr>
          <w:rFonts w:ascii="Georgia" w:hAnsi="Georgia" w:cs="Times New Roman"/>
        </w:rPr>
        <w:t xml:space="preserve">: </w:t>
      </w:r>
    </w:p>
    <w:p w14:paraId="5D12F086" w14:textId="37DB900D" w:rsidR="003D5738" w:rsidRDefault="00522F60" w:rsidP="00357196">
      <w:pPr>
        <w:spacing w:after="0"/>
        <w:ind w:left="720"/>
        <w:rPr>
          <w:rFonts w:ascii="Georgia" w:hAnsi="Georgia" w:cs="Times New Roman"/>
        </w:rPr>
      </w:pPr>
      <w:r>
        <w:rPr>
          <w:rFonts w:ascii="Georgia" w:hAnsi="Georgia" w:cs="Times New Roman"/>
        </w:rPr>
        <w:t>1</w:t>
      </w:r>
      <w:r w:rsidR="00341457" w:rsidRPr="008E1B5D">
        <w:rPr>
          <w:rFonts w:ascii="Georgia" w:hAnsi="Georgia" w:cs="Times New Roman"/>
        </w:rPr>
        <w:t xml:space="preserve">) </w:t>
      </w:r>
      <w:r w:rsidR="003428AB">
        <w:rPr>
          <w:rFonts w:ascii="Georgia" w:hAnsi="Georgia" w:cs="Times New Roman"/>
        </w:rPr>
        <w:t>Minor editorial changes to the Executive Summary, Performance Metrics, and Financial and Program Integrity sections;</w:t>
      </w:r>
    </w:p>
    <w:p w14:paraId="5F3FE9AD" w14:textId="0D3B5D14" w:rsidR="003428AB" w:rsidRDefault="003428AB" w:rsidP="00357196">
      <w:pPr>
        <w:spacing w:after="0"/>
        <w:ind w:left="720"/>
        <w:rPr>
          <w:rFonts w:ascii="Georgia" w:hAnsi="Georgia" w:cs="Times New Roman"/>
        </w:rPr>
      </w:pPr>
      <w:r>
        <w:rPr>
          <w:rFonts w:ascii="Georgia" w:hAnsi="Georgia" w:cs="Times New Roman"/>
        </w:rPr>
        <w:t xml:space="preserve">2) Removing the State-Blueprint Profiles and Updates and Information Technology, Privacy, and Security sections; </w:t>
      </w:r>
    </w:p>
    <w:p w14:paraId="30D33EBE" w14:textId="6B9B24E0" w:rsidR="002968F2" w:rsidRDefault="003428AB" w:rsidP="002968F2">
      <w:pPr>
        <w:spacing w:after="0"/>
        <w:ind w:left="990" w:hanging="270"/>
        <w:rPr>
          <w:rFonts w:ascii="Georgia" w:hAnsi="Georgia" w:cs="Times New Roman"/>
        </w:rPr>
      </w:pPr>
      <w:r>
        <w:rPr>
          <w:rFonts w:ascii="Georgia" w:hAnsi="Georgia" w:cs="Times New Roman"/>
        </w:rPr>
        <w:lastRenderedPageBreak/>
        <w:t xml:space="preserve">3) </w:t>
      </w:r>
      <w:r w:rsidR="002968F2">
        <w:rPr>
          <w:rFonts w:ascii="Georgia" w:hAnsi="Georgia" w:cs="Times New Roman"/>
        </w:rPr>
        <w:t>Converting performance monitoring data information f</w:t>
      </w:r>
      <w:r w:rsidR="00AA5244">
        <w:rPr>
          <w:rFonts w:ascii="Georgia" w:hAnsi="Georgia" w:cs="Times New Roman"/>
        </w:rPr>
        <w:t>rom</w:t>
      </w:r>
      <w:r w:rsidR="002968F2">
        <w:rPr>
          <w:rFonts w:ascii="Georgia" w:hAnsi="Georgia" w:cs="Times New Roman"/>
        </w:rPr>
        <w:t xml:space="preserve"> the Establishment </w:t>
      </w:r>
      <w:r w:rsidR="00AA5244">
        <w:rPr>
          <w:rFonts w:ascii="Georgia" w:hAnsi="Georgia" w:cs="Times New Roman"/>
        </w:rPr>
        <w:t>Grant</w:t>
      </w:r>
      <w:r w:rsidR="002968F2">
        <w:rPr>
          <w:rFonts w:ascii="Georgia" w:hAnsi="Georgia" w:cs="Times New Roman"/>
        </w:rPr>
        <w:t xml:space="preserve"> information collection into an attestation; and</w:t>
      </w:r>
    </w:p>
    <w:p w14:paraId="6F2C0280" w14:textId="2826A626" w:rsidR="003428AB" w:rsidRDefault="002968F2" w:rsidP="00357196">
      <w:pPr>
        <w:spacing w:after="0"/>
        <w:ind w:left="720"/>
        <w:rPr>
          <w:rFonts w:ascii="Georgia" w:hAnsi="Georgia" w:cs="Times New Roman"/>
        </w:rPr>
      </w:pPr>
      <w:r>
        <w:rPr>
          <w:rFonts w:ascii="Georgia" w:hAnsi="Georgia" w:cs="Times New Roman"/>
        </w:rPr>
        <w:t xml:space="preserve">4) </w:t>
      </w:r>
      <w:r w:rsidR="003428AB">
        <w:rPr>
          <w:rFonts w:ascii="Georgia" w:hAnsi="Georgia" w:cs="Times New Roman"/>
        </w:rPr>
        <w:t xml:space="preserve">Converting eligibility and enrollment information from </w:t>
      </w:r>
      <w:r w:rsidR="00B565DD" w:rsidRPr="00B565DD">
        <w:rPr>
          <w:rFonts w:ascii="Georgia" w:hAnsi="Georgia" w:cs="Times New Roman"/>
        </w:rPr>
        <w:t>the Exchange Final Rule information collection into attestations.</w:t>
      </w:r>
    </w:p>
    <w:p w14:paraId="2C87D251" w14:textId="77777777" w:rsidR="00A175BD" w:rsidRDefault="00A175BD" w:rsidP="00CC38EB">
      <w:pPr>
        <w:spacing w:after="0"/>
        <w:rPr>
          <w:rFonts w:ascii="Georgia" w:hAnsi="Georgia" w:cs="Times New Roman"/>
          <w:b/>
        </w:rPr>
      </w:pPr>
    </w:p>
    <w:p w14:paraId="1302ADDD" w14:textId="77777777" w:rsidR="002968F2" w:rsidRDefault="002968F2" w:rsidP="00CC38EB">
      <w:pPr>
        <w:spacing w:after="0"/>
        <w:rPr>
          <w:rFonts w:ascii="Georgia" w:hAnsi="Georgia" w:cs="Times New Roman"/>
          <w:b/>
        </w:rPr>
      </w:pPr>
    </w:p>
    <w:p w14:paraId="4AD847A0" w14:textId="719C44B7" w:rsidR="009731D8" w:rsidRDefault="00CC38EB" w:rsidP="00CC38EB">
      <w:pPr>
        <w:spacing w:after="0"/>
        <w:rPr>
          <w:rFonts w:ascii="Georgia" w:hAnsi="Georgia" w:cs="Times New Roman"/>
          <w:b/>
        </w:rPr>
      </w:pPr>
      <w:r w:rsidRPr="009C62CA">
        <w:rPr>
          <w:rFonts w:ascii="Georgia" w:hAnsi="Georgia" w:cs="Times New Roman"/>
          <w:b/>
        </w:rPr>
        <w:t>Anticipated Burden Impact</w:t>
      </w:r>
    </w:p>
    <w:p w14:paraId="6640B464" w14:textId="7D0CE3C0" w:rsidR="009731D8" w:rsidRDefault="009731D8" w:rsidP="00CC38EB">
      <w:pPr>
        <w:spacing w:after="0"/>
        <w:rPr>
          <w:rFonts w:ascii="Georgia" w:hAnsi="Georgia" w:cs="Times New Roman"/>
        </w:rPr>
      </w:pPr>
      <w:r w:rsidRPr="009731D8">
        <w:rPr>
          <w:rFonts w:ascii="Georgia" w:hAnsi="Georgia" w:cs="Times New Roman"/>
        </w:rPr>
        <w:t xml:space="preserve">CCIIO anticipates there will be no </w:t>
      </w:r>
      <w:r w:rsidR="00D97B6C">
        <w:rPr>
          <w:rFonts w:ascii="Georgia" w:hAnsi="Georgia" w:cs="Times New Roman"/>
        </w:rPr>
        <w:t xml:space="preserve">substantial </w:t>
      </w:r>
      <w:r w:rsidRPr="009731D8">
        <w:rPr>
          <w:rFonts w:ascii="Georgia" w:hAnsi="Georgia" w:cs="Times New Roman"/>
        </w:rPr>
        <w:t xml:space="preserve">increase in burden to </w:t>
      </w:r>
      <w:r w:rsidR="003428AB">
        <w:rPr>
          <w:rFonts w:ascii="Georgia" w:hAnsi="Georgia" w:cs="Times New Roman"/>
        </w:rPr>
        <w:t>S</w:t>
      </w:r>
      <w:r w:rsidR="009E617A">
        <w:rPr>
          <w:rFonts w:ascii="Georgia" w:hAnsi="Georgia" w:cs="Times New Roman"/>
        </w:rPr>
        <w:t>B</w:t>
      </w:r>
      <w:r w:rsidR="003428AB">
        <w:rPr>
          <w:rFonts w:ascii="Georgia" w:hAnsi="Georgia" w:cs="Times New Roman"/>
        </w:rPr>
        <w:t>M</w:t>
      </w:r>
      <w:r w:rsidR="009E617A">
        <w:rPr>
          <w:rFonts w:ascii="Georgia" w:hAnsi="Georgia" w:cs="Times New Roman"/>
        </w:rPr>
        <w:t xml:space="preserve">s </w:t>
      </w:r>
      <w:r w:rsidRPr="009731D8">
        <w:rPr>
          <w:rFonts w:ascii="Georgia" w:hAnsi="Georgia" w:cs="Times New Roman"/>
        </w:rPr>
        <w:t>based on th</w:t>
      </w:r>
      <w:r w:rsidR="009E617A">
        <w:rPr>
          <w:rFonts w:ascii="Georgia" w:hAnsi="Georgia" w:cs="Times New Roman"/>
        </w:rPr>
        <w:t>ese</w:t>
      </w:r>
      <w:r w:rsidRPr="009731D8">
        <w:rPr>
          <w:rFonts w:ascii="Georgia" w:hAnsi="Georgia" w:cs="Times New Roman"/>
        </w:rPr>
        <w:t xml:space="preserve"> change</w:t>
      </w:r>
      <w:r w:rsidR="009E617A">
        <w:rPr>
          <w:rFonts w:ascii="Georgia" w:hAnsi="Georgia" w:cs="Times New Roman"/>
        </w:rPr>
        <w:t>s</w:t>
      </w:r>
      <w:r w:rsidRPr="009731D8">
        <w:rPr>
          <w:rFonts w:ascii="Georgia" w:hAnsi="Georgia" w:cs="Times New Roman"/>
        </w:rPr>
        <w:t xml:space="preserve">.  </w:t>
      </w:r>
    </w:p>
    <w:p w14:paraId="5B55566A" w14:textId="77777777" w:rsidR="000752B4" w:rsidRDefault="000752B4" w:rsidP="00CC38EB">
      <w:pPr>
        <w:spacing w:after="0"/>
        <w:rPr>
          <w:rFonts w:ascii="Georgia" w:hAnsi="Georgia" w:cs="Times New Roman"/>
        </w:rPr>
      </w:pPr>
    </w:p>
    <w:p w14:paraId="73E10489" w14:textId="3962F038" w:rsidR="009731D8" w:rsidRDefault="009731D8" w:rsidP="009731D8">
      <w:pPr>
        <w:pStyle w:val="Heading3"/>
        <w:spacing w:before="0"/>
      </w:pPr>
      <w:r w:rsidRPr="000274BD">
        <w:t xml:space="preserve">Summary </w:t>
      </w:r>
      <w:r w:rsidR="0014581F">
        <w:t xml:space="preserve">smart </w:t>
      </w:r>
      <w:r w:rsidRPr="000274BD">
        <w:t>Requirements</w:t>
      </w:r>
    </w:p>
    <w:tbl>
      <w:tblPr>
        <w:tblStyle w:val="LightGrid-Accent11"/>
        <w:tblW w:w="13464" w:type="dxa"/>
        <w:tblLook w:val="04A0" w:firstRow="1" w:lastRow="0" w:firstColumn="1" w:lastColumn="0" w:noHBand="0" w:noVBand="1"/>
      </w:tblPr>
      <w:tblGrid>
        <w:gridCol w:w="2232"/>
        <w:gridCol w:w="6475"/>
        <w:gridCol w:w="4757"/>
      </w:tblGrid>
      <w:tr w:rsidR="00E30A28" w:rsidRPr="00AD7445" w14:paraId="7159BE52" w14:textId="77777777" w:rsidTr="0043694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32" w:type="dxa"/>
          </w:tcPr>
          <w:p w14:paraId="1A77E86B" w14:textId="42783228" w:rsidR="00E30A28" w:rsidRPr="00AD7445" w:rsidRDefault="00417931" w:rsidP="00295BEA">
            <w:pPr>
              <w:jc w:val="center"/>
              <w:rPr>
                <w:rFonts w:asciiTheme="minorHAnsi" w:hAnsiTheme="minorHAnsi" w:cstheme="minorHAnsi"/>
                <w:sz w:val="24"/>
                <w:szCs w:val="24"/>
              </w:rPr>
            </w:pPr>
            <w:r>
              <w:rPr>
                <w:rFonts w:asciiTheme="minorHAnsi" w:hAnsiTheme="minorHAnsi" w:cstheme="minorHAnsi"/>
                <w:sz w:val="24"/>
                <w:szCs w:val="24"/>
              </w:rPr>
              <w:t>SMART Section</w:t>
            </w:r>
          </w:p>
        </w:tc>
        <w:tc>
          <w:tcPr>
            <w:tcW w:w="6475" w:type="dxa"/>
          </w:tcPr>
          <w:p w14:paraId="051C1309" w14:textId="1828FF14" w:rsidR="00E30A28" w:rsidRPr="00AD7445" w:rsidRDefault="00E30A28" w:rsidP="00295B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D7445">
              <w:rPr>
                <w:rFonts w:asciiTheme="minorHAnsi" w:hAnsiTheme="minorHAnsi" w:cstheme="minorHAnsi"/>
                <w:sz w:val="24"/>
                <w:szCs w:val="24"/>
              </w:rPr>
              <w:t>Requirement</w:t>
            </w:r>
          </w:p>
        </w:tc>
        <w:tc>
          <w:tcPr>
            <w:tcW w:w="4757" w:type="dxa"/>
          </w:tcPr>
          <w:p w14:paraId="211302A9" w14:textId="77CE4DDF" w:rsidR="00E30A28" w:rsidRPr="00AD7445" w:rsidRDefault="004B72EF" w:rsidP="00295BE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Change</w:t>
            </w:r>
          </w:p>
        </w:tc>
      </w:tr>
      <w:tr w:rsidR="00E30A28" w:rsidRPr="00AD7445" w14:paraId="501464A2" w14:textId="77777777" w:rsidTr="00A175B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2" w:type="dxa"/>
            <w:tcBorders>
              <w:top w:val="single" w:sz="18" w:space="0" w:color="4F81BD" w:themeColor="accent1"/>
            </w:tcBorders>
          </w:tcPr>
          <w:p w14:paraId="1AE74115" w14:textId="3F5CFB19" w:rsidR="00E30A28" w:rsidRPr="00A175BD" w:rsidRDefault="00417931" w:rsidP="00295BEA">
            <w:pPr>
              <w:rPr>
                <w:rFonts w:asciiTheme="minorHAnsi" w:hAnsiTheme="minorHAnsi" w:cstheme="minorHAnsi"/>
                <w:sz w:val="22"/>
                <w:szCs w:val="22"/>
              </w:rPr>
            </w:pPr>
            <w:r w:rsidRPr="00A175BD">
              <w:rPr>
                <w:rFonts w:cstheme="minorHAnsi"/>
                <w:sz w:val="22"/>
                <w:szCs w:val="22"/>
              </w:rPr>
              <w:t>Executive Summary</w:t>
            </w:r>
          </w:p>
        </w:tc>
        <w:tc>
          <w:tcPr>
            <w:tcW w:w="6475" w:type="dxa"/>
            <w:tcBorders>
              <w:top w:val="single" w:sz="18" w:space="0" w:color="4F81BD" w:themeColor="accent1"/>
            </w:tcBorders>
          </w:tcPr>
          <w:p w14:paraId="27469110" w14:textId="0A31D54D" w:rsidR="00E30A28" w:rsidRPr="0043694A" w:rsidRDefault="0014581F" w:rsidP="0032183B">
            <w:pPr>
              <w:pStyle w:val="ListParagraph"/>
              <w:numPr>
                <w:ilvl w:val="0"/>
                <w:numId w:val="15"/>
              </w:numPr>
              <w:ind w:left="289" w:hanging="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Opportunity for Marketplace to highlight Marketplace accomplishments</w:t>
            </w:r>
          </w:p>
        </w:tc>
        <w:tc>
          <w:tcPr>
            <w:tcW w:w="4757" w:type="dxa"/>
            <w:tcBorders>
              <w:top w:val="single" w:sz="18" w:space="0" w:color="4F81BD" w:themeColor="accent1"/>
            </w:tcBorders>
          </w:tcPr>
          <w:p w14:paraId="5937E336" w14:textId="34D09F33" w:rsidR="00E30A28" w:rsidRPr="0043694A" w:rsidRDefault="0014581F" w:rsidP="0032183B">
            <w:pPr>
              <w:pStyle w:val="ListParagraph"/>
              <w:numPr>
                <w:ilvl w:val="0"/>
                <w:numId w:val="15"/>
              </w:numPr>
              <w:ind w:left="289"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Minor editorial changes</w:t>
            </w:r>
          </w:p>
        </w:tc>
      </w:tr>
      <w:tr w:rsidR="00E30A28" w:rsidRPr="00AD7445" w14:paraId="451D4118" w14:textId="77777777" w:rsidTr="00A175B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32" w:type="dxa"/>
          </w:tcPr>
          <w:p w14:paraId="396588C6" w14:textId="408E5946" w:rsidR="00E30A28" w:rsidRPr="00A175BD" w:rsidRDefault="0014581F" w:rsidP="0014581F">
            <w:pPr>
              <w:rPr>
                <w:rFonts w:asciiTheme="minorHAnsi" w:hAnsiTheme="minorHAnsi" w:cstheme="minorHAnsi"/>
                <w:sz w:val="22"/>
                <w:szCs w:val="22"/>
              </w:rPr>
            </w:pPr>
            <w:r w:rsidRPr="00A175BD">
              <w:rPr>
                <w:rFonts w:cstheme="minorHAnsi"/>
                <w:sz w:val="22"/>
                <w:szCs w:val="22"/>
              </w:rPr>
              <w:t>Performance Metrics</w:t>
            </w:r>
          </w:p>
        </w:tc>
        <w:tc>
          <w:tcPr>
            <w:tcW w:w="6475" w:type="dxa"/>
          </w:tcPr>
          <w:p w14:paraId="4469B38B" w14:textId="198152E5" w:rsidR="00E30A28" w:rsidRPr="0043694A" w:rsidRDefault="00C52FA3"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The performance metrics were created to provide insight into the performance and impact of SBMs. This set of standardized metrics ensures basic transparency and allows consistent cross-state comparisons of the impact of varying approaches to SBM implementation.</w:t>
            </w:r>
          </w:p>
        </w:tc>
        <w:tc>
          <w:tcPr>
            <w:tcW w:w="4757" w:type="dxa"/>
          </w:tcPr>
          <w:p w14:paraId="503822BB" w14:textId="1155D4F7" w:rsidR="00E30A28" w:rsidRPr="0043694A" w:rsidRDefault="003428AB"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Moved section from II to III.</w:t>
            </w:r>
          </w:p>
          <w:p w14:paraId="44B43920" w14:textId="77777777" w:rsidR="003428AB" w:rsidRDefault="003428AB"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Minor editorial changes.</w:t>
            </w:r>
          </w:p>
          <w:p w14:paraId="2619C167" w14:textId="7AC51A29" w:rsidR="002968F2" w:rsidRPr="0043694A" w:rsidRDefault="002968F2"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Converted performance monitoring data content (weekly </w:t>
            </w:r>
            <w:r w:rsidR="00AA5244">
              <w:rPr>
                <w:rFonts w:asciiTheme="minorHAnsi" w:hAnsiTheme="minorHAnsi" w:cstheme="minorHAnsi"/>
                <w:sz w:val="22"/>
                <w:szCs w:val="22"/>
              </w:rPr>
              <w:t>enrollment</w:t>
            </w:r>
            <w:r>
              <w:rPr>
                <w:rFonts w:asciiTheme="minorHAnsi" w:hAnsiTheme="minorHAnsi" w:cstheme="minorHAnsi"/>
                <w:sz w:val="22"/>
                <w:szCs w:val="22"/>
              </w:rPr>
              <w:t xml:space="preserve"> metrics) from the Establishment </w:t>
            </w:r>
            <w:r w:rsidR="00AA5244">
              <w:rPr>
                <w:rFonts w:asciiTheme="minorHAnsi" w:hAnsiTheme="minorHAnsi" w:cstheme="minorHAnsi"/>
                <w:sz w:val="22"/>
                <w:szCs w:val="22"/>
              </w:rPr>
              <w:t>Grant</w:t>
            </w:r>
            <w:r>
              <w:rPr>
                <w:rFonts w:asciiTheme="minorHAnsi" w:hAnsiTheme="minorHAnsi" w:cstheme="minorHAnsi"/>
                <w:sz w:val="22"/>
                <w:szCs w:val="22"/>
              </w:rPr>
              <w:t xml:space="preserve"> information collection into an attestation.</w:t>
            </w:r>
          </w:p>
        </w:tc>
      </w:tr>
      <w:tr w:rsidR="00417931" w:rsidRPr="00AD7445" w14:paraId="3555FB33" w14:textId="77777777" w:rsidTr="004179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32" w:type="dxa"/>
            <w:tcBorders>
              <w:bottom w:val="single" w:sz="4" w:space="0" w:color="auto"/>
            </w:tcBorders>
          </w:tcPr>
          <w:p w14:paraId="78506AFE" w14:textId="1499373A" w:rsidR="00417931" w:rsidRPr="00A175BD" w:rsidDel="00417931" w:rsidRDefault="00417931" w:rsidP="00295BEA">
            <w:pPr>
              <w:rPr>
                <w:rFonts w:asciiTheme="minorHAnsi" w:hAnsiTheme="minorHAnsi" w:cstheme="minorHAnsi"/>
                <w:sz w:val="22"/>
                <w:szCs w:val="22"/>
              </w:rPr>
            </w:pPr>
            <w:r w:rsidRPr="00A175BD">
              <w:rPr>
                <w:rFonts w:cstheme="minorHAnsi"/>
                <w:sz w:val="22"/>
                <w:szCs w:val="22"/>
              </w:rPr>
              <w:t>State-Blueprint Profiles &amp; Updates</w:t>
            </w:r>
          </w:p>
        </w:tc>
        <w:tc>
          <w:tcPr>
            <w:tcW w:w="6475" w:type="dxa"/>
            <w:tcBorders>
              <w:bottom w:val="single" w:sz="4" w:space="0" w:color="auto"/>
            </w:tcBorders>
          </w:tcPr>
          <w:p w14:paraId="402589B6" w14:textId="77A7BA81" w:rsidR="00417931" w:rsidRPr="0043694A" w:rsidRDefault="003428AB" w:rsidP="00E30A28">
            <w:pPr>
              <w:pStyle w:val="ListParagraph"/>
              <w:numPr>
                <w:ilvl w:val="0"/>
                <w:numId w:val="15"/>
              </w:numPr>
              <w:ind w:left="289"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State Blueprint Profiles are created through data collected from SBMs on policy and operational decisions. These profiles are used to track and analyze varying approaches to implementation of each Marketplace.</w:t>
            </w:r>
          </w:p>
        </w:tc>
        <w:tc>
          <w:tcPr>
            <w:tcW w:w="4757" w:type="dxa"/>
            <w:tcBorders>
              <w:bottom w:val="single" w:sz="4" w:space="0" w:color="auto"/>
            </w:tcBorders>
          </w:tcPr>
          <w:p w14:paraId="7B20D345" w14:textId="5BEB40D7" w:rsidR="00417931" w:rsidRPr="0043694A" w:rsidRDefault="00417931" w:rsidP="00C52FA3">
            <w:pPr>
              <w:pStyle w:val="ListParagraph"/>
              <w:numPr>
                <w:ilvl w:val="0"/>
                <w:numId w:val="15"/>
              </w:numPr>
              <w:ind w:left="289"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Removed this secti</w:t>
            </w:r>
            <w:r w:rsidR="0014581F" w:rsidRPr="0043694A">
              <w:rPr>
                <w:rFonts w:asciiTheme="minorHAnsi" w:hAnsiTheme="minorHAnsi" w:cstheme="minorHAnsi"/>
                <w:sz w:val="22"/>
                <w:szCs w:val="22"/>
              </w:rPr>
              <w:t xml:space="preserve">on </w:t>
            </w:r>
            <w:r w:rsidRPr="0043694A">
              <w:rPr>
                <w:rFonts w:asciiTheme="minorHAnsi" w:hAnsiTheme="minorHAnsi" w:cstheme="minorHAnsi"/>
                <w:sz w:val="22"/>
                <w:szCs w:val="22"/>
              </w:rPr>
              <w:t xml:space="preserve">including all attestations </w:t>
            </w:r>
            <w:r w:rsidR="0014581F" w:rsidRPr="0043694A">
              <w:rPr>
                <w:rFonts w:asciiTheme="minorHAnsi" w:hAnsiTheme="minorHAnsi" w:cstheme="minorHAnsi"/>
                <w:sz w:val="22"/>
                <w:szCs w:val="22"/>
              </w:rPr>
              <w:t xml:space="preserve">listed </w:t>
            </w:r>
            <w:r w:rsidRPr="0043694A">
              <w:rPr>
                <w:rFonts w:asciiTheme="minorHAnsi" w:hAnsiTheme="minorHAnsi" w:cstheme="minorHAnsi"/>
                <w:sz w:val="22"/>
                <w:szCs w:val="22"/>
              </w:rPr>
              <w:t xml:space="preserve">and </w:t>
            </w:r>
            <w:r w:rsidR="00C52FA3" w:rsidRPr="0043694A">
              <w:rPr>
                <w:rFonts w:asciiTheme="minorHAnsi" w:hAnsiTheme="minorHAnsi" w:cstheme="minorHAnsi"/>
                <w:sz w:val="22"/>
                <w:szCs w:val="22"/>
              </w:rPr>
              <w:t>State-Blueprint Profile</w:t>
            </w:r>
            <w:r w:rsidR="0014581F" w:rsidRPr="0043694A">
              <w:rPr>
                <w:rFonts w:asciiTheme="minorHAnsi" w:hAnsiTheme="minorHAnsi" w:cstheme="minorHAnsi"/>
                <w:sz w:val="22"/>
                <w:szCs w:val="22"/>
              </w:rPr>
              <w:t xml:space="preserve"> upload.</w:t>
            </w:r>
          </w:p>
        </w:tc>
      </w:tr>
      <w:tr w:rsidR="00E30A28" w:rsidRPr="00AD7445" w14:paraId="23181190" w14:textId="77777777" w:rsidTr="00A175BD">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32" w:type="dxa"/>
            <w:tcBorders>
              <w:bottom w:val="single" w:sz="4" w:space="0" w:color="auto"/>
            </w:tcBorders>
          </w:tcPr>
          <w:p w14:paraId="0E5703CC" w14:textId="24D7BCEE" w:rsidR="00E30A28" w:rsidRPr="00A175BD" w:rsidRDefault="0014581F" w:rsidP="0014581F">
            <w:pPr>
              <w:rPr>
                <w:rFonts w:asciiTheme="minorHAnsi" w:hAnsiTheme="minorHAnsi" w:cstheme="minorHAnsi"/>
                <w:sz w:val="22"/>
                <w:szCs w:val="22"/>
              </w:rPr>
            </w:pPr>
            <w:r w:rsidRPr="00A175BD">
              <w:rPr>
                <w:rFonts w:cstheme="minorHAnsi"/>
                <w:sz w:val="22"/>
                <w:szCs w:val="22"/>
              </w:rPr>
              <w:t>Eligibility and Enrollment</w:t>
            </w:r>
          </w:p>
        </w:tc>
        <w:tc>
          <w:tcPr>
            <w:tcW w:w="6475" w:type="dxa"/>
            <w:tcBorders>
              <w:bottom w:val="single" w:sz="4" w:space="0" w:color="auto"/>
            </w:tcBorders>
          </w:tcPr>
          <w:p w14:paraId="3B3966ED" w14:textId="0377CEF5" w:rsidR="00E30A28" w:rsidRPr="0043694A" w:rsidRDefault="00C52FA3"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Eligibility and enrollment requirements were created to enhance transparency and ensure fairness for consumers. SBMs should submit reports regarding eligibility and enrollment to CMS as part of this SMART. These reports should focus on eligibility verifications, inconsistencies, non-discrimination safeguards, accessibility of information, and fraud and abuse incidences.</w:t>
            </w:r>
          </w:p>
        </w:tc>
        <w:tc>
          <w:tcPr>
            <w:tcW w:w="4757" w:type="dxa"/>
            <w:tcBorders>
              <w:bottom w:val="single" w:sz="4" w:space="0" w:color="auto"/>
            </w:tcBorders>
          </w:tcPr>
          <w:p w14:paraId="62A8B63B" w14:textId="264B2DF9" w:rsidR="003428AB" w:rsidRPr="0043694A" w:rsidRDefault="003428AB">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cstheme="minorHAnsi"/>
                <w:sz w:val="22"/>
                <w:szCs w:val="22"/>
              </w:rPr>
              <w:t>Moved this section from IV to II.</w:t>
            </w:r>
          </w:p>
          <w:p w14:paraId="09B54909" w14:textId="7D63DB1C" w:rsidR="00E30A28" w:rsidRPr="0043694A" w:rsidRDefault="00C52FA3" w:rsidP="00E30A28">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Removed duplicative attestations since the performance metrics reporting includes the reporting requirements.</w:t>
            </w:r>
          </w:p>
          <w:p w14:paraId="242E6652" w14:textId="2985C519" w:rsidR="00C52FA3" w:rsidRPr="0043694A" w:rsidRDefault="00C52FA3" w:rsidP="00B565DD">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 xml:space="preserve">Converted eligibility and enrollment content </w:t>
            </w:r>
            <w:r w:rsidR="00B565DD">
              <w:rPr>
                <w:rFonts w:asciiTheme="minorHAnsi" w:hAnsiTheme="minorHAnsi" w:cstheme="minorHAnsi"/>
                <w:sz w:val="22"/>
                <w:szCs w:val="22"/>
              </w:rPr>
              <w:t>from the Exchange Final Rule information collection into attestations.</w:t>
            </w:r>
          </w:p>
        </w:tc>
      </w:tr>
      <w:tr w:rsidR="00E30A28" w:rsidRPr="00AD7445" w14:paraId="0AC76815" w14:textId="77777777" w:rsidTr="00A175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32" w:type="dxa"/>
            <w:tcBorders>
              <w:bottom w:val="single" w:sz="4" w:space="0" w:color="auto"/>
            </w:tcBorders>
          </w:tcPr>
          <w:p w14:paraId="6D667682" w14:textId="2D2F804D" w:rsidR="00E30A28" w:rsidRPr="00A175BD" w:rsidRDefault="00417931" w:rsidP="00295BEA">
            <w:pPr>
              <w:rPr>
                <w:rFonts w:asciiTheme="minorHAnsi" w:hAnsiTheme="minorHAnsi" w:cstheme="minorHAnsi"/>
                <w:sz w:val="22"/>
                <w:szCs w:val="22"/>
              </w:rPr>
            </w:pPr>
            <w:r w:rsidRPr="00A175BD">
              <w:rPr>
                <w:rFonts w:cstheme="minorHAnsi"/>
                <w:sz w:val="22"/>
                <w:szCs w:val="22"/>
              </w:rPr>
              <w:t>Financial and Program Integrity</w:t>
            </w:r>
          </w:p>
        </w:tc>
        <w:tc>
          <w:tcPr>
            <w:tcW w:w="6475" w:type="dxa"/>
            <w:tcBorders>
              <w:bottom w:val="single" w:sz="4" w:space="0" w:color="auto"/>
            </w:tcBorders>
          </w:tcPr>
          <w:p w14:paraId="0EDD5815" w14:textId="1259D175" w:rsidR="00E30A28" w:rsidRPr="0043694A" w:rsidRDefault="003428AB" w:rsidP="00A175BD">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3694A">
              <w:rPr>
                <w:rFonts w:cstheme="minorHAnsi"/>
                <w:sz w:val="22"/>
                <w:szCs w:val="22"/>
              </w:rPr>
              <w:t xml:space="preserve">Requirements on financial and program integrity were developed to ensure proper oversight, accurate accounting of all activities, receipts, and expenditures, and assurance for identifying and addressing incidences of fraud, waste, and abuse. </w:t>
            </w:r>
          </w:p>
        </w:tc>
        <w:tc>
          <w:tcPr>
            <w:tcW w:w="4757" w:type="dxa"/>
            <w:tcBorders>
              <w:bottom w:val="single" w:sz="4" w:space="0" w:color="auto"/>
            </w:tcBorders>
          </w:tcPr>
          <w:p w14:paraId="7AE8B977" w14:textId="1A65A3FA" w:rsidR="00E30A28" w:rsidRPr="0043694A" w:rsidRDefault="00C52FA3" w:rsidP="00E30A28">
            <w:pPr>
              <w:pStyle w:val="ListParagraph"/>
              <w:numPr>
                <w:ilvl w:val="0"/>
                <w:numId w:val="15"/>
              </w:numPr>
              <w:ind w:left="289"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Minor editorial changes</w:t>
            </w:r>
          </w:p>
          <w:p w14:paraId="04C424CD" w14:textId="5553549A" w:rsidR="004B72EF" w:rsidRPr="0043694A" w:rsidRDefault="004B72EF" w:rsidP="00E30A28">
            <w:pPr>
              <w:pStyle w:val="ListParagraph"/>
              <w:numPr>
                <w:ilvl w:val="0"/>
                <w:numId w:val="15"/>
              </w:numPr>
              <w:ind w:left="289" w:hanging="18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Moved O&amp;M plan submission from State-Blueprint Profile section.</w:t>
            </w:r>
          </w:p>
          <w:p w14:paraId="5C88E509" w14:textId="444DE220" w:rsidR="00C52FA3" w:rsidRPr="0043694A" w:rsidRDefault="00C52FA3" w:rsidP="00A175BD">
            <w:pPr>
              <w:pStyle w:val="ListParagraph"/>
              <w:ind w:left="289"/>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30A28" w:rsidRPr="00AD7445" w14:paraId="3730E41D" w14:textId="77777777" w:rsidTr="00A175BD">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232" w:type="dxa"/>
            <w:tcBorders>
              <w:bottom w:val="none" w:sz="0" w:space="0" w:color="auto"/>
            </w:tcBorders>
          </w:tcPr>
          <w:p w14:paraId="1EF0B0FE" w14:textId="48506CFC" w:rsidR="00E30A28" w:rsidRPr="00A175BD" w:rsidRDefault="00417931" w:rsidP="00295BEA">
            <w:pPr>
              <w:rPr>
                <w:rFonts w:asciiTheme="minorHAnsi" w:hAnsiTheme="minorHAnsi" w:cstheme="minorHAnsi"/>
                <w:sz w:val="22"/>
                <w:szCs w:val="22"/>
              </w:rPr>
            </w:pPr>
            <w:r w:rsidRPr="00A175BD">
              <w:rPr>
                <w:rFonts w:cstheme="minorHAnsi"/>
                <w:sz w:val="22"/>
                <w:szCs w:val="22"/>
              </w:rPr>
              <w:t>Privacy and Security</w:t>
            </w:r>
          </w:p>
        </w:tc>
        <w:tc>
          <w:tcPr>
            <w:tcW w:w="6475" w:type="dxa"/>
            <w:tcBorders>
              <w:bottom w:val="none" w:sz="0" w:space="0" w:color="auto"/>
            </w:tcBorders>
          </w:tcPr>
          <w:p w14:paraId="12C2BF11" w14:textId="3B62947D" w:rsidR="00E30A28" w:rsidRPr="0043694A" w:rsidRDefault="003428AB" w:rsidP="00A175BD">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cstheme="minorHAnsi"/>
                <w:sz w:val="22"/>
                <w:szCs w:val="22"/>
              </w:rPr>
            </w:pPr>
            <w:r w:rsidRPr="0043694A">
              <w:rPr>
                <w:rFonts w:cstheme="minorHAnsi"/>
                <w:sz w:val="22"/>
                <w:szCs w:val="22"/>
              </w:rPr>
              <w:t>Each SBM is required to submit information technology (IT), privacy and security plans and documentation to ensure compliance with state and federal requirements.</w:t>
            </w:r>
          </w:p>
        </w:tc>
        <w:tc>
          <w:tcPr>
            <w:tcW w:w="4757" w:type="dxa"/>
            <w:tcBorders>
              <w:bottom w:val="none" w:sz="0" w:space="0" w:color="auto"/>
            </w:tcBorders>
          </w:tcPr>
          <w:p w14:paraId="5428AAE5" w14:textId="157A0E0E" w:rsidR="00E30A28" w:rsidRPr="0043694A" w:rsidRDefault="00417931" w:rsidP="0014581F">
            <w:pPr>
              <w:pStyle w:val="ListParagraph"/>
              <w:numPr>
                <w:ilvl w:val="0"/>
                <w:numId w:val="15"/>
              </w:numPr>
              <w:ind w:left="289" w:hanging="180"/>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3694A">
              <w:rPr>
                <w:rFonts w:asciiTheme="minorHAnsi" w:hAnsiTheme="minorHAnsi" w:cstheme="minorHAnsi"/>
                <w:sz w:val="22"/>
                <w:szCs w:val="22"/>
              </w:rPr>
              <w:t>Removed this section</w:t>
            </w:r>
            <w:r w:rsidR="0043694A" w:rsidRPr="0043694A">
              <w:rPr>
                <w:rFonts w:asciiTheme="minorHAnsi" w:hAnsiTheme="minorHAnsi" w:cstheme="minorHAnsi"/>
                <w:sz w:val="22"/>
                <w:szCs w:val="22"/>
              </w:rPr>
              <w:t>,</w:t>
            </w:r>
            <w:r w:rsidRPr="0043694A">
              <w:rPr>
                <w:rFonts w:asciiTheme="minorHAnsi" w:hAnsiTheme="minorHAnsi" w:cstheme="minorHAnsi"/>
                <w:sz w:val="22"/>
                <w:szCs w:val="22"/>
              </w:rPr>
              <w:t xml:space="preserve"> including all </w:t>
            </w:r>
            <w:r w:rsidR="0014581F" w:rsidRPr="0043694A">
              <w:rPr>
                <w:rFonts w:asciiTheme="minorHAnsi" w:hAnsiTheme="minorHAnsi" w:cstheme="minorHAnsi"/>
                <w:sz w:val="22"/>
                <w:szCs w:val="22"/>
              </w:rPr>
              <w:t>attestations</w:t>
            </w:r>
            <w:r w:rsidRPr="0043694A">
              <w:rPr>
                <w:rFonts w:asciiTheme="minorHAnsi" w:hAnsiTheme="minorHAnsi" w:cstheme="minorHAnsi"/>
                <w:sz w:val="22"/>
                <w:szCs w:val="22"/>
              </w:rPr>
              <w:t xml:space="preserve"> listed.</w:t>
            </w:r>
          </w:p>
        </w:tc>
      </w:tr>
    </w:tbl>
    <w:p w14:paraId="5FA02B8B" w14:textId="77777777" w:rsidR="003C7A68" w:rsidRPr="008E1B5D" w:rsidRDefault="003C7A68" w:rsidP="008E1B5D">
      <w:pPr>
        <w:spacing w:after="0"/>
        <w:rPr>
          <w:rFonts w:ascii="Georgia" w:hAnsi="Georgia" w:cs="Times New Roman"/>
        </w:rPr>
      </w:pPr>
    </w:p>
    <w:sectPr w:rsidR="003C7A68" w:rsidRPr="008E1B5D" w:rsidSect="00CC38EB">
      <w:footerReference w:type="default" r:id="rId1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D124E" w14:textId="77777777" w:rsidR="00415CFB" w:rsidRDefault="00415CFB" w:rsidP="00361B99">
      <w:pPr>
        <w:spacing w:after="0" w:line="240" w:lineRule="auto"/>
      </w:pPr>
      <w:r>
        <w:separator/>
      </w:r>
    </w:p>
  </w:endnote>
  <w:endnote w:type="continuationSeparator" w:id="0">
    <w:p w14:paraId="6429A97C" w14:textId="77777777" w:rsidR="00415CFB" w:rsidRDefault="00415CFB" w:rsidP="00361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7F28" w14:textId="5EE36FE6" w:rsidR="002968F2" w:rsidRPr="002968F2" w:rsidRDefault="002968F2" w:rsidP="002968F2">
    <w:pPr>
      <w:spacing w:after="0" w:line="240" w:lineRule="auto"/>
      <w:jc w:val="center"/>
      <w:rPr>
        <w:sz w:val="18"/>
        <w:szCs w:val="18"/>
      </w:rPr>
    </w:pPr>
    <w:r w:rsidRPr="002968F2">
      <w:rPr>
        <w:sz w:val="18"/>
        <w:szCs w:val="18"/>
      </w:rPr>
      <w:t xml:space="preserve">Page </w:t>
    </w:r>
    <w:r w:rsidRPr="002968F2">
      <w:rPr>
        <w:bCs/>
        <w:sz w:val="18"/>
        <w:szCs w:val="18"/>
      </w:rPr>
      <w:fldChar w:fldCharType="begin"/>
    </w:r>
    <w:r w:rsidRPr="002968F2">
      <w:rPr>
        <w:bCs/>
        <w:sz w:val="18"/>
        <w:szCs w:val="18"/>
      </w:rPr>
      <w:instrText xml:space="preserve"> PAGE  \* Arabic  \* MERGEFORMAT </w:instrText>
    </w:r>
    <w:r w:rsidRPr="002968F2">
      <w:rPr>
        <w:bCs/>
        <w:sz w:val="18"/>
        <w:szCs w:val="18"/>
      </w:rPr>
      <w:fldChar w:fldCharType="separate"/>
    </w:r>
    <w:r w:rsidR="00CA7B44">
      <w:rPr>
        <w:bCs/>
        <w:noProof/>
        <w:sz w:val="18"/>
        <w:szCs w:val="18"/>
      </w:rPr>
      <w:t>1</w:t>
    </w:r>
    <w:r w:rsidRPr="002968F2">
      <w:rPr>
        <w:bCs/>
        <w:sz w:val="18"/>
        <w:szCs w:val="18"/>
      </w:rPr>
      <w:fldChar w:fldCharType="end"/>
    </w:r>
    <w:r w:rsidRPr="002968F2">
      <w:rPr>
        <w:sz w:val="18"/>
        <w:szCs w:val="18"/>
      </w:rPr>
      <w:t xml:space="preserve"> of </w:t>
    </w:r>
    <w:r w:rsidRPr="002968F2">
      <w:rPr>
        <w:bCs/>
        <w:sz w:val="18"/>
        <w:szCs w:val="18"/>
      </w:rPr>
      <w:fldChar w:fldCharType="begin"/>
    </w:r>
    <w:r w:rsidRPr="002968F2">
      <w:rPr>
        <w:bCs/>
        <w:sz w:val="18"/>
        <w:szCs w:val="18"/>
      </w:rPr>
      <w:instrText xml:space="preserve"> NUMPAGES  \* Arabic  \* MERGEFORMAT </w:instrText>
    </w:r>
    <w:r w:rsidRPr="002968F2">
      <w:rPr>
        <w:bCs/>
        <w:sz w:val="18"/>
        <w:szCs w:val="18"/>
      </w:rPr>
      <w:fldChar w:fldCharType="separate"/>
    </w:r>
    <w:r w:rsidR="00CA7B44">
      <w:rPr>
        <w:bCs/>
        <w:noProof/>
        <w:sz w:val="18"/>
        <w:szCs w:val="18"/>
      </w:rPr>
      <w:t>1</w:t>
    </w:r>
    <w:r w:rsidRPr="002968F2">
      <w:rPr>
        <w:bCs/>
        <w:sz w:val="18"/>
        <w:szCs w:val="18"/>
      </w:rPr>
      <w:fldChar w:fldCharType="end"/>
    </w:r>
  </w:p>
  <w:p w14:paraId="22705E29" w14:textId="77777777" w:rsidR="0078003F" w:rsidRPr="00CF0EE4" w:rsidRDefault="0078003F" w:rsidP="002968F2">
    <w:pPr>
      <w:spacing w:after="0" w:line="240" w:lineRule="auto"/>
      <w:jc w:val="center"/>
      <w:rPr>
        <w:sz w:val="18"/>
        <w:szCs w:val="18"/>
      </w:rPr>
    </w:pPr>
    <w:r w:rsidRPr="00CF0EE4">
      <w:rPr>
        <w:sz w:val="18"/>
        <w:szCs w:val="18"/>
      </w:rPr>
      <w:t>INFORMATION NOT RELEASABLE TO THE PUBLIC UNLESS AUTHORIZED BY LAW: 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fullest extent of the law.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09DFF" w14:textId="77777777" w:rsidR="00415CFB" w:rsidRDefault="00415CFB" w:rsidP="00361B99">
      <w:pPr>
        <w:spacing w:after="0" w:line="240" w:lineRule="auto"/>
      </w:pPr>
      <w:r>
        <w:separator/>
      </w:r>
    </w:p>
  </w:footnote>
  <w:footnote w:type="continuationSeparator" w:id="0">
    <w:p w14:paraId="033AC020" w14:textId="77777777" w:rsidR="00415CFB" w:rsidRDefault="00415CFB" w:rsidP="00361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DCB"/>
    <w:multiLevelType w:val="hybridMultilevel"/>
    <w:tmpl w:val="6A22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2631"/>
    <w:multiLevelType w:val="hybridMultilevel"/>
    <w:tmpl w:val="E0F010D2"/>
    <w:lvl w:ilvl="0" w:tplc="88A23CAC">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4149D1"/>
    <w:multiLevelType w:val="hybridMultilevel"/>
    <w:tmpl w:val="4A9A88EA"/>
    <w:lvl w:ilvl="0" w:tplc="05F04B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D83D2F"/>
    <w:multiLevelType w:val="hybridMultilevel"/>
    <w:tmpl w:val="C3260AD0"/>
    <w:lvl w:ilvl="0" w:tplc="DD6C2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B4F8C"/>
    <w:multiLevelType w:val="hybridMultilevel"/>
    <w:tmpl w:val="4A9A88EA"/>
    <w:lvl w:ilvl="0" w:tplc="05F04B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F7F6728"/>
    <w:multiLevelType w:val="hybridMultilevel"/>
    <w:tmpl w:val="61963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F5AB1"/>
    <w:multiLevelType w:val="hybridMultilevel"/>
    <w:tmpl w:val="21D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D51FA"/>
    <w:multiLevelType w:val="hybridMultilevel"/>
    <w:tmpl w:val="6DFA7F40"/>
    <w:lvl w:ilvl="0" w:tplc="8D929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E1560E"/>
    <w:multiLevelType w:val="hybridMultilevel"/>
    <w:tmpl w:val="404621D0"/>
    <w:lvl w:ilvl="0" w:tplc="853A6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065FA"/>
    <w:multiLevelType w:val="hybridMultilevel"/>
    <w:tmpl w:val="BBDE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22E14"/>
    <w:multiLevelType w:val="hybridMultilevel"/>
    <w:tmpl w:val="BF9E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D3CFF"/>
    <w:multiLevelType w:val="hybridMultilevel"/>
    <w:tmpl w:val="BE901A36"/>
    <w:lvl w:ilvl="0" w:tplc="98EC0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F802FA"/>
    <w:multiLevelType w:val="hybridMultilevel"/>
    <w:tmpl w:val="AA949808"/>
    <w:lvl w:ilvl="0" w:tplc="CB0E5B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693360E"/>
    <w:multiLevelType w:val="hybridMultilevel"/>
    <w:tmpl w:val="48F66FDE"/>
    <w:lvl w:ilvl="0" w:tplc="31F60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E07E20"/>
    <w:multiLevelType w:val="hybridMultilevel"/>
    <w:tmpl w:val="C3D4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E83996"/>
    <w:multiLevelType w:val="hybridMultilevel"/>
    <w:tmpl w:val="D68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1"/>
  </w:num>
  <w:num w:numId="8">
    <w:abstractNumId w:val="0"/>
  </w:num>
  <w:num w:numId="9">
    <w:abstractNumId w:val="3"/>
  </w:num>
  <w:num w:numId="10">
    <w:abstractNumId w:val="10"/>
  </w:num>
  <w:num w:numId="11">
    <w:abstractNumId w:val="11"/>
  </w:num>
  <w:num w:numId="12">
    <w:abstractNumId w:val="12"/>
  </w:num>
  <w:num w:numId="13">
    <w:abstractNumId w:val="8"/>
  </w:num>
  <w:num w:numId="14">
    <w:abstractNumId w:val="13"/>
  </w:num>
  <w:num w:numId="15">
    <w:abstractNumId w:val="9"/>
  </w:num>
  <w:num w:numId="16">
    <w:abstractNumId w:val="15"/>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07"/>
    <w:rsid w:val="0000488B"/>
    <w:rsid w:val="00011F75"/>
    <w:rsid w:val="000576B9"/>
    <w:rsid w:val="00060AA4"/>
    <w:rsid w:val="000752B4"/>
    <w:rsid w:val="000A086C"/>
    <w:rsid w:val="000B1433"/>
    <w:rsid w:val="000B2E0B"/>
    <w:rsid w:val="000B3AFB"/>
    <w:rsid w:val="000C52BA"/>
    <w:rsid w:val="00100492"/>
    <w:rsid w:val="0010390D"/>
    <w:rsid w:val="00111D32"/>
    <w:rsid w:val="00124192"/>
    <w:rsid w:val="001260C1"/>
    <w:rsid w:val="00134391"/>
    <w:rsid w:val="00137616"/>
    <w:rsid w:val="0014581F"/>
    <w:rsid w:val="00150AB5"/>
    <w:rsid w:val="00150DFB"/>
    <w:rsid w:val="001820E1"/>
    <w:rsid w:val="001A6A7D"/>
    <w:rsid w:val="001F6CF2"/>
    <w:rsid w:val="002113DB"/>
    <w:rsid w:val="00211992"/>
    <w:rsid w:val="00221807"/>
    <w:rsid w:val="00255877"/>
    <w:rsid w:val="00281749"/>
    <w:rsid w:val="002968F2"/>
    <w:rsid w:val="002A2299"/>
    <w:rsid w:val="002E642E"/>
    <w:rsid w:val="002E6BD9"/>
    <w:rsid w:val="002F1954"/>
    <w:rsid w:val="002F33D2"/>
    <w:rsid w:val="0031430C"/>
    <w:rsid w:val="0032183B"/>
    <w:rsid w:val="003376B6"/>
    <w:rsid w:val="003400C5"/>
    <w:rsid w:val="00341457"/>
    <w:rsid w:val="003428AB"/>
    <w:rsid w:val="00354446"/>
    <w:rsid w:val="00357196"/>
    <w:rsid w:val="0036126E"/>
    <w:rsid w:val="00361B99"/>
    <w:rsid w:val="00365EAC"/>
    <w:rsid w:val="00375B2C"/>
    <w:rsid w:val="00394595"/>
    <w:rsid w:val="003A0307"/>
    <w:rsid w:val="003A341B"/>
    <w:rsid w:val="003C7A68"/>
    <w:rsid w:val="003D2A2E"/>
    <w:rsid w:val="003D5738"/>
    <w:rsid w:val="003E44A0"/>
    <w:rsid w:val="003E7E2A"/>
    <w:rsid w:val="003F3890"/>
    <w:rsid w:val="004116CE"/>
    <w:rsid w:val="00415CFB"/>
    <w:rsid w:val="00417931"/>
    <w:rsid w:val="00431DF8"/>
    <w:rsid w:val="0043694A"/>
    <w:rsid w:val="004466B8"/>
    <w:rsid w:val="0045004C"/>
    <w:rsid w:val="0045280C"/>
    <w:rsid w:val="00461C79"/>
    <w:rsid w:val="00494CE9"/>
    <w:rsid w:val="00496047"/>
    <w:rsid w:val="004B72EF"/>
    <w:rsid w:val="004D3DA2"/>
    <w:rsid w:val="004E6D38"/>
    <w:rsid w:val="004F3211"/>
    <w:rsid w:val="004F3D74"/>
    <w:rsid w:val="00512384"/>
    <w:rsid w:val="005170A0"/>
    <w:rsid w:val="00522F60"/>
    <w:rsid w:val="00534868"/>
    <w:rsid w:val="00545A83"/>
    <w:rsid w:val="00552B56"/>
    <w:rsid w:val="005A06CD"/>
    <w:rsid w:val="005A774F"/>
    <w:rsid w:val="005B1BDE"/>
    <w:rsid w:val="005B5321"/>
    <w:rsid w:val="005E327F"/>
    <w:rsid w:val="005E79D9"/>
    <w:rsid w:val="006056FA"/>
    <w:rsid w:val="00613BFE"/>
    <w:rsid w:val="00614EFD"/>
    <w:rsid w:val="00630DD1"/>
    <w:rsid w:val="0063479A"/>
    <w:rsid w:val="006405FA"/>
    <w:rsid w:val="00652417"/>
    <w:rsid w:val="00687050"/>
    <w:rsid w:val="00687B06"/>
    <w:rsid w:val="00693232"/>
    <w:rsid w:val="006B30C1"/>
    <w:rsid w:val="006C329B"/>
    <w:rsid w:val="006E622E"/>
    <w:rsid w:val="00711D6C"/>
    <w:rsid w:val="0072227D"/>
    <w:rsid w:val="00733DE1"/>
    <w:rsid w:val="007360A4"/>
    <w:rsid w:val="0074530D"/>
    <w:rsid w:val="007771A0"/>
    <w:rsid w:val="0078003F"/>
    <w:rsid w:val="00780E5B"/>
    <w:rsid w:val="007824A8"/>
    <w:rsid w:val="007A7275"/>
    <w:rsid w:val="007B292D"/>
    <w:rsid w:val="007E2C88"/>
    <w:rsid w:val="007E588D"/>
    <w:rsid w:val="00824E3F"/>
    <w:rsid w:val="0085099F"/>
    <w:rsid w:val="00860DE5"/>
    <w:rsid w:val="00862D47"/>
    <w:rsid w:val="00865D12"/>
    <w:rsid w:val="00876FE1"/>
    <w:rsid w:val="00881285"/>
    <w:rsid w:val="008A0694"/>
    <w:rsid w:val="008C5902"/>
    <w:rsid w:val="008D66C5"/>
    <w:rsid w:val="008E1B5D"/>
    <w:rsid w:val="008F4D2D"/>
    <w:rsid w:val="009731D8"/>
    <w:rsid w:val="00980075"/>
    <w:rsid w:val="0098597E"/>
    <w:rsid w:val="009A4799"/>
    <w:rsid w:val="009B1FD0"/>
    <w:rsid w:val="009C62CA"/>
    <w:rsid w:val="009E2EC6"/>
    <w:rsid w:val="009E617A"/>
    <w:rsid w:val="00A1443E"/>
    <w:rsid w:val="00A175BD"/>
    <w:rsid w:val="00A17662"/>
    <w:rsid w:val="00A24EF4"/>
    <w:rsid w:val="00A46FEF"/>
    <w:rsid w:val="00A6269B"/>
    <w:rsid w:val="00A67B63"/>
    <w:rsid w:val="00A77960"/>
    <w:rsid w:val="00A9537A"/>
    <w:rsid w:val="00AA232F"/>
    <w:rsid w:val="00AA3D25"/>
    <w:rsid w:val="00AA5244"/>
    <w:rsid w:val="00AD221B"/>
    <w:rsid w:val="00AD34AC"/>
    <w:rsid w:val="00AD51C7"/>
    <w:rsid w:val="00B565DD"/>
    <w:rsid w:val="00B56D1B"/>
    <w:rsid w:val="00B73A6E"/>
    <w:rsid w:val="00B936FC"/>
    <w:rsid w:val="00BB1C0D"/>
    <w:rsid w:val="00BE3D03"/>
    <w:rsid w:val="00C15C88"/>
    <w:rsid w:val="00C31E7E"/>
    <w:rsid w:val="00C41004"/>
    <w:rsid w:val="00C44F09"/>
    <w:rsid w:val="00C47D71"/>
    <w:rsid w:val="00C52FA3"/>
    <w:rsid w:val="00CA7B44"/>
    <w:rsid w:val="00CC38EB"/>
    <w:rsid w:val="00CC652D"/>
    <w:rsid w:val="00CF789C"/>
    <w:rsid w:val="00D35350"/>
    <w:rsid w:val="00D468C0"/>
    <w:rsid w:val="00D90A5D"/>
    <w:rsid w:val="00D97B6C"/>
    <w:rsid w:val="00DA657A"/>
    <w:rsid w:val="00DC050B"/>
    <w:rsid w:val="00DD2B57"/>
    <w:rsid w:val="00DE4991"/>
    <w:rsid w:val="00E1546B"/>
    <w:rsid w:val="00E30A28"/>
    <w:rsid w:val="00E41EE2"/>
    <w:rsid w:val="00E53CF0"/>
    <w:rsid w:val="00E76CFE"/>
    <w:rsid w:val="00EB628A"/>
    <w:rsid w:val="00EC783A"/>
    <w:rsid w:val="00ED6C77"/>
    <w:rsid w:val="00F04250"/>
    <w:rsid w:val="00F06BAB"/>
    <w:rsid w:val="00F158E1"/>
    <w:rsid w:val="00F50E04"/>
    <w:rsid w:val="00F53477"/>
    <w:rsid w:val="00F55235"/>
    <w:rsid w:val="00F71953"/>
    <w:rsid w:val="00F927E1"/>
    <w:rsid w:val="00FA0628"/>
    <w:rsid w:val="00FC36C5"/>
    <w:rsid w:val="00FD5357"/>
    <w:rsid w:val="00FD70F2"/>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35C9"/>
  <w15:docId w15:val="{47619A2A-D319-4A2C-AFD1-C0392729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731D8"/>
    <w:pPr>
      <w:pBdr>
        <w:top w:val="single" w:sz="6" w:space="2" w:color="4F81BD" w:themeColor="accent1"/>
        <w:left w:val="single" w:sz="6" w:space="2" w:color="4F81BD" w:themeColor="accent1"/>
      </w:pBdr>
      <w:spacing w:before="300" w:after="0"/>
      <w:outlineLvl w:val="2"/>
    </w:pPr>
    <w:rPr>
      <w:caps/>
      <w:color w:val="243F60" w:themeColor="accent1" w:themeShade="7F"/>
      <w:spacing w:val="1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D6C"/>
    <w:pPr>
      <w:spacing w:after="0" w:line="240" w:lineRule="auto"/>
      <w:ind w:left="720"/>
    </w:pPr>
    <w:rPr>
      <w:rFonts w:ascii="Calibri" w:hAnsi="Calibri" w:cs="Times New Roman"/>
    </w:rPr>
  </w:style>
  <w:style w:type="paragraph" w:styleId="PlainText">
    <w:name w:val="Plain Text"/>
    <w:basedOn w:val="Normal"/>
    <w:link w:val="PlainTextChar"/>
    <w:uiPriority w:val="99"/>
    <w:unhideWhenUsed/>
    <w:rsid w:val="003F38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F3890"/>
    <w:rPr>
      <w:rFonts w:ascii="Consolas" w:hAnsi="Consolas"/>
      <w:sz w:val="21"/>
      <w:szCs w:val="21"/>
    </w:rPr>
  </w:style>
  <w:style w:type="paragraph" w:styleId="Header">
    <w:name w:val="header"/>
    <w:basedOn w:val="Normal"/>
    <w:link w:val="HeaderChar"/>
    <w:uiPriority w:val="99"/>
    <w:unhideWhenUsed/>
    <w:rsid w:val="00361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B99"/>
  </w:style>
  <w:style w:type="paragraph" w:styleId="Footer">
    <w:name w:val="footer"/>
    <w:basedOn w:val="Normal"/>
    <w:link w:val="FooterChar"/>
    <w:uiPriority w:val="99"/>
    <w:unhideWhenUsed/>
    <w:rsid w:val="00361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99"/>
  </w:style>
  <w:style w:type="paragraph" w:styleId="BalloonText">
    <w:name w:val="Balloon Text"/>
    <w:basedOn w:val="Normal"/>
    <w:link w:val="BalloonTextChar"/>
    <w:uiPriority w:val="99"/>
    <w:semiHidden/>
    <w:unhideWhenUsed/>
    <w:rsid w:val="0036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B99"/>
    <w:rPr>
      <w:rFonts w:ascii="Tahoma" w:hAnsi="Tahoma" w:cs="Tahoma"/>
      <w:sz w:val="16"/>
      <w:szCs w:val="16"/>
    </w:rPr>
  </w:style>
  <w:style w:type="table" w:styleId="TableGrid">
    <w:name w:val="Table Grid"/>
    <w:basedOn w:val="TableNormal"/>
    <w:uiPriority w:val="59"/>
    <w:rsid w:val="00057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3211"/>
    <w:rPr>
      <w:sz w:val="16"/>
      <w:szCs w:val="16"/>
    </w:rPr>
  </w:style>
  <w:style w:type="paragraph" w:styleId="CommentText">
    <w:name w:val="annotation text"/>
    <w:basedOn w:val="Normal"/>
    <w:link w:val="CommentTextChar"/>
    <w:uiPriority w:val="99"/>
    <w:semiHidden/>
    <w:unhideWhenUsed/>
    <w:rsid w:val="004F3211"/>
    <w:pPr>
      <w:spacing w:line="240" w:lineRule="auto"/>
    </w:pPr>
    <w:rPr>
      <w:sz w:val="20"/>
      <w:szCs w:val="20"/>
    </w:rPr>
  </w:style>
  <w:style w:type="character" w:customStyle="1" w:styleId="CommentTextChar">
    <w:name w:val="Comment Text Char"/>
    <w:basedOn w:val="DefaultParagraphFont"/>
    <w:link w:val="CommentText"/>
    <w:uiPriority w:val="99"/>
    <w:semiHidden/>
    <w:rsid w:val="004F3211"/>
    <w:rPr>
      <w:sz w:val="20"/>
      <w:szCs w:val="20"/>
    </w:rPr>
  </w:style>
  <w:style w:type="paragraph" w:styleId="CommentSubject">
    <w:name w:val="annotation subject"/>
    <w:basedOn w:val="CommentText"/>
    <w:next w:val="CommentText"/>
    <w:link w:val="CommentSubjectChar"/>
    <w:uiPriority w:val="99"/>
    <w:semiHidden/>
    <w:unhideWhenUsed/>
    <w:rsid w:val="004F3211"/>
    <w:rPr>
      <w:b/>
      <w:bCs/>
    </w:rPr>
  </w:style>
  <w:style w:type="character" w:customStyle="1" w:styleId="CommentSubjectChar">
    <w:name w:val="Comment Subject Char"/>
    <w:basedOn w:val="CommentTextChar"/>
    <w:link w:val="CommentSubject"/>
    <w:uiPriority w:val="99"/>
    <w:semiHidden/>
    <w:rsid w:val="004F3211"/>
    <w:rPr>
      <w:b/>
      <w:bCs/>
      <w:sz w:val="20"/>
      <w:szCs w:val="20"/>
    </w:rPr>
  </w:style>
  <w:style w:type="table" w:styleId="LightGrid-Accent1">
    <w:name w:val="Light Grid Accent 1"/>
    <w:basedOn w:val="TableNormal"/>
    <w:uiPriority w:val="62"/>
    <w:rsid w:val="00E41EE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3Char">
    <w:name w:val="Heading 3 Char"/>
    <w:basedOn w:val="DefaultParagraphFont"/>
    <w:link w:val="Heading3"/>
    <w:uiPriority w:val="9"/>
    <w:rsid w:val="009731D8"/>
    <w:rPr>
      <w:rFonts w:eastAsiaTheme="minorEastAsia"/>
      <w:caps/>
      <w:color w:val="243F60" w:themeColor="accent1" w:themeShade="7F"/>
      <w:spacing w:val="15"/>
      <w:lang w:bidi="en-US"/>
    </w:rPr>
  </w:style>
  <w:style w:type="table" w:customStyle="1" w:styleId="LightGrid-Accent11">
    <w:name w:val="Light Grid - Accent 11"/>
    <w:basedOn w:val="TableNormal"/>
    <w:uiPriority w:val="62"/>
    <w:rsid w:val="00E30A2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link w:val="BodyTextChar"/>
    <w:uiPriority w:val="99"/>
    <w:qFormat/>
    <w:rsid w:val="002F33D2"/>
    <w:pPr>
      <w:widowControl w:val="0"/>
      <w:suppressAutoHyphens/>
      <w:autoSpaceDE w:val="0"/>
      <w:autoSpaceDN w:val="0"/>
      <w:adjustRightInd w:val="0"/>
      <w:spacing w:after="240" w:line="240" w:lineRule="auto"/>
      <w:textAlignment w:val="center"/>
    </w:pPr>
    <w:rPr>
      <w:rFonts w:ascii="Times New Roman" w:eastAsia="MS Gothic" w:hAnsi="Times New Roman" w:cs="MyriadPro-Regular"/>
    </w:rPr>
  </w:style>
  <w:style w:type="character" w:customStyle="1" w:styleId="BodyTextChar">
    <w:name w:val="Body Text Char"/>
    <w:basedOn w:val="DefaultParagraphFont"/>
    <w:link w:val="BodyText"/>
    <w:uiPriority w:val="99"/>
    <w:rsid w:val="002F33D2"/>
    <w:rPr>
      <w:rFonts w:ascii="Times New Roman" w:eastAsia="MS Gothic" w:hAnsi="Times New Roman" w:cs="Myriad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76799">
      <w:bodyDiv w:val="1"/>
      <w:marLeft w:val="0"/>
      <w:marRight w:val="0"/>
      <w:marTop w:val="0"/>
      <w:marBottom w:val="0"/>
      <w:divBdr>
        <w:top w:val="none" w:sz="0" w:space="0" w:color="auto"/>
        <w:left w:val="none" w:sz="0" w:space="0" w:color="auto"/>
        <w:bottom w:val="none" w:sz="0" w:space="0" w:color="auto"/>
        <w:right w:val="none" w:sz="0" w:space="0" w:color="auto"/>
      </w:divBdr>
    </w:div>
    <w:div w:id="1345282967">
      <w:bodyDiv w:val="1"/>
      <w:marLeft w:val="0"/>
      <w:marRight w:val="0"/>
      <w:marTop w:val="0"/>
      <w:marBottom w:val="0"/>
      <w:divBdr>
        <w:top w:val="none" w:sz="0" w:space="0" w:color="auto"/>
        <w:left w:val="none" w:sz="0" w:space="0" w:color="auto"/>
        <w:bottom w:val="none" w:sz="0" w:space="0" w:color="auto"/>
        <w:right w:val="none" w:sz="0" w:space="0" w:color="auto"/>
      </w:divBdr>
    </w:div>
    <w:div w:id="1840583460">
      <w:bodyDiv w:val="1"/>
      <w:marLeft w:val="0"/>
      <w:marRight w:val="0"/>
      <w:marTop w:val="0"/>
      <w:marBottom w:val="0"/>
      <w:divBdr>
        <w:top w:val="none" w:sz="0" w:space="0" w:color="auto"/>
        <w:left w:val="none" w:sz="0" w:space="0" w:color="auto"/>
        <w:bottom w:val="none" w:sz="0" w:space="0" w:color="auto"/>
        <w:right w:val="none" w:sz="0" w:space="0" w:color="auto"/>
      </w:divBdr>
    </w:div>
    <w:div w:id="21148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6CF7831F8024FAE981B829B9E80DB" ma:contentTypeVersion="0" ma:contentTypeDescription="Create a new document." ma:contentTypeScope="" ma:versionID="c4af22d55c802e5a9ffa56c14775f536">
  <xsd:schema xmlns:xsd="http://www.w3.org/2001/XMLSchema" xmlns:xs="http://www.w3.org/2001/XMLSchema" xmlns:p="http://schemas.microsoft.com/office/2006/metadata/properties" targetNamespace="http://schemas.microsoft.com/office/2006/metadata/properties" ma:root="true" ma:fieldsID="1dfc436c337670e0f43753e9412b4b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F2161-7969-422C-8C3E-982CC6A44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BEE30-E7AE-4706-8C9A-C9EAD8EFA6F2}">
  <ds:schemaRefs>
    <ds:schemaRef ds:uri="http://schemas.microsoft.com/sharepoint/v3/contenttype/forms"/>
  </ds:schemaRefs>
</ds:datastoreItem>
</file>

<file path=customXml/itemProps3.xml><?xml version="1.0" encoding="utf-8"?>
<ds:datastoreItem xmlns:ds="http://schemas.openxmlformats.org/officeDocument/2006/customXml" ds:itemID="{2690CC31-D57C-4714-A37F-56BDF001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ED482F-778B-418A-92B4-5364BF33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JAMAA HILL</cp:lastModifiedBy>
  <cp:revision>2</cp:revision>
  <cp:lastPrinted>2013-04-23T15:39:00Z</cp:lastPrinted>
  <dcterms:created xsi:type="dcterms:W3CDTF">2016-04-28T17:38:00Z</dcterms:created>
  <dcterms:modified xsi:type="dcterms:W3CDTF">2016-04-28T17:38:00Z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0x0101002236CF7831F8024FAE981B829B9E80DB</vt:lpwstr>
  </property>
  <property fmtid="{D5CDD505-2E9C-101B-9397-08002B2CF9AE}" pid="4" name="_AdHocReviewCycleID">
    <vt:i4>-2068207148</vt:i4>
  </property>
  <property fmtid="{D5CDD505-2E9C-101B-9397-08002B2CF9AE}" pid="5" name="_EmailSubject">
    <vt:lpwstr>SEG's memo for non-substantive change on PY 2015 SMART</vt:lpwstr>
  </property>
  <property fmtid="{D5CDD505-2E9C-101B-9397-08002B2CF9AE}" pid="6" name="_AuthorEmail">
    <vt:lpwstr>Christy.Woods@cms.hhs.gov</vt:lpwstr>
  </property>
  <property fmtid="{D5CDD505-2E9C-101B-9397-08002B2CF9AE}" pid="7" name="_AuthorEmailDisplayName">
    <vt:lpwstr>Woods, Christy (CMS/CCIIO)</vt:lpwstr>
  </property>
  <property fmtid="{D5CDD505-2E9C-101B-9397-08002B2CF9AE}" pid="8" name="_ReviewingToolsShownOnce">
    <vt:lpwstr/>
  </property>
</Properties>
</file>