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C9" w:rsidRPr="002534C9" w:rsidRDefault="002534C9" w:rsidP="002534C9">
      <w:pPr>
        <w:pStyle w:val="ListParagraph"/>
        <w:keepNext/>
        <w:widowControl w:val="0"/>
        <w:numPr>
          <w:ilvl w:val="0"/>
          <w:numId w:val="4"/>
        </w:numPr>
        <w:autoSpaceDE w:val="0"/>
        <w:autoSpaceDN w:val="0"/>
        <w:adjustRightInd w:val="0"/>
        <w:spacing w:before="120" w:after="120" w:line="240" w:lineRule="auto"/>
        <w:outlineLvl w:val="0"/>
        <w:rPr>
          <w:rFonts w:ascii="Times New Roman Bold" w:eastAsia="Times New Roman" w:hAnsi="Times New Roman Bold" w:cs="Times New Roman"/>
          <w:b/>
          <w:bCs/>
          <w:caps/>
          <w:sz w:val="24"/>
          <w:szCs w:val="24"/>
        </w:rPr>
      </w:pPr>
      <w:bookmarkStart w:id="0" w:name="_Toc352663607"/>
      <w:bookmarkStart w:id="1" w:name="_GoBack"/>
      <w:bookmarkEnd w:id="1"/>
      <w:r w:rsidRPr="002534C9">
        <w:rPr>
          <w:rFonts w:ascii="Times New Roman Bold" w:eastAsia="Times New Roman" w:hAnsi="Times New Roman Bold" w:cs="Times New Roman"/>
          <w:b/>
          <w:bCs/>
          <w:caps/>
          <w:sz w:val="24"/>
          <w:szCs w:val="24"/>
        </w:rPr>
        <w:t xml:space="preserve">DATA COLLECTION PROCEDURES: </w:t>
      </w:r>
      <w:proofErr w:type="spellStart"/>
      <w:r w:rsidRPr="002534C9">
        <w:rPr>
          <w:rFonts w:ascii="Times New Roman Bold" w:eastAsia="Times New Roman" w:hAnsi="Times New Roman Bold" w:cs="Times New Roman"/>
          <w:b/>
          <w:bCs/>
          <w:caps/>
          <w:sz w:val="24"/>
          <w:szCs w:val="24"/>
        </w:rPr>
        <w:t>FPAR</w:t>
      </w:r>
      <w:proofErr w:type="spellEnd"/>
      <w:r w:rsidRPr="002534C9">
        <w:rPr>
          <w:rFonts w:ascii="Times New Roman Bold" w:eastAsia="Times New Roman" w:hAnsi="Times New Roman Bold" w:cs="Times New Roman"/>
          <w:b/>
          <w:bCs/>
          <w:caps/>
          <w:sz w:val="24"/>
          <w:szCs w:val="24"/>
        </w:rPr>
        <w:t xml:space="preserve"> Data System</w:t>
      </w:r>
      <w:bookmarkEnd w:id="0"/>
    </w:p>
    <w:p w:rsidR="002534C9" w:rsidRPr="002534C9" w:rsidRDefault="002534C9" w:rsidP="002534C9">
      <w:pPr>
        <w:spacing w:after="120" w:line="260" w:lineRule="atLeast"/>
        <w:ind w:left="360"/>
        <w:rPr>
          <w:rFonts w:ascii="Times New Roman" w:eastAsia="Times New Roman" w:hAnsi="Times New Roman" w:cs="Times New Roman"/>
          <w:sz w:val="23"/>
        </w:rPr>
      </w:pPr>
      <w:r w:rsidRPr="002534C9">
        <w:rPr>
          <w:rFonts w:ascii="Times New Roman" w:eastAsia="Times New Roman" w:hAnsi="Times New Roman" w:cs="Times New Roman"/>
          <w:sz w:val="23"/>
        </w:rPr>
        <w:t xml:space="preserve">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reporting requirement does not use statistical methods. In accordance with federal regulations, annual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submission is required of all Title X family planning services grantees for purposes of monitoring and reporting program performance (45 </w:t>
      </w:r>
      <w:proofErr w:type="spellStart"/>
      <w:r w:rsidRPr="002534C9">
        <w:rPr>
          <w:rFonts w:ascii="Times New Roman" w:eastAsia="Times New Roman" w:hAnsi="Times New Roman" w:cs="Times New Roman"/>
          <w:sz w:val="23"/>
        </w:rPr>
        <w:t>CFR</w:t>
      </w:r>
      <w:proofErr w:type="spellEnd"/>
      <w:r w:rsidRPr="002534C9">
        <w:rPr>
          <w:rFonts w:ascii="Times New Roman" w:eastAsia="Times New Roman" w:hAnsi="Times New Roman" w:cs="Times New Roman"/>
          <w:sz w:val="23"/>
        </w:rPr>
        <w:t xml:space="preserve"> Part 74 and 45 </w:t>
      </w:r>
      <w:proofErr w:type="spellStart"/>
      <w:r w:rsidRPr="002534C9">
        <w:rPr>
          <w:rFonts w:ascii="Times New Roman" w:eastAsia="Times New Roman" w:hAnsi="Times New Roman" w:cs="Times New Roman"/>
          <w:sz w:val="23"/>
        </w:rPr>
        <w:t>CFR</w:t>
      </w:r>
      <w:proofErr w:type="spellEnd"/>
      <w:r w:rsidRPr="002534C9">
        <w:rPr>
          <w:rFonts w:ascii="Times New Roman" w:eastAsia="Times New Roman" w:hAnsi="Times New Roman" w:cs="Times New Roman"/>
          <w:sz w:val="23"/>
        </w:rPr>
        <w:t xml:space="preserve"> Part 92).</w:t>
      </w:r>
      <w:hyperlink w:anchor="_ENREF_6" w:tooltip=",  #563" w:history="1">
        <w:r w:rsidRPr="002534C9">
          <w:rPr>
            <w:rFonts w:ascii="Times New Roman" w:eastAsia="Times New Roman" w:hAnsi="Times New Roman" w:cs="Times New Roman"/>
            <w:sz w:val="23"/>
          </w:rPr>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rsidRPr="002534C9">
          <w:rPr>
            <w:rFonts w:ascii="Times New Roman" w:eastAsia="Times New Roman" w:hAnsi="Times New Roman" w:cs="Times New Roman"/>
            <w:sz w:val="23"/>
          </w:rPr>
          <w:instrText xml:space="preserve"> ADDIN EN.CITE </w:instrText>
        </w:r>
        <w:r w:rsidRPr="002534C9">
          <w:rPr>
            <w:rFonts w:ascii="Times New Roman" w:eastAsia="Times New Roman" w:hAnsi="Times New Roman" w:cs="Times New Roman"/>
            <w:sz w:val="23"/>
          </w:rPr>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rsidRPr="002534C9">
          <w:rPr>
            <w:rFonts w:ascii="Times New Roman" w:eastAsia="Times New Roman" w:hAnsi="Times New Roman" w:cs="Times New Roman"/>
            <w:sz w:val="23"/>
          </w:rPr>
          <w:instrText xml:space="preserve"> ADDIN EN.CITE.DATA </w:instrText>
        </w:r>
        <w:r w:rsidRPr="002534C9">
          <w:rPr>
            <w:rFonts w:ascii="Times New Roman" w:eastAsia="Times New Roman" w:hAnsi="Times New Roman" w:cs="Times New Roman"/>
            <w:sz w:val="23"/>
          </w:rPr>
        </w:r>
        <w:r w:rsidRPr="002534C9">
          <w:rPr>
            <w:rFonts w:ascii="Times New Roman" w:eastAsia="Times New Roman" w:hAnsi="Times New Roman" w:cs="Times New Roman"/>
            <w:sz w:val="23"/>
          </w:rPr>
          <w:fldChar w:fldCharType="end"/>
        </w:r>
        <w:r w:rsidRPr="002534C9">
          <w:rPr>
            <w:rFonts w:ascii="Times New Roman" w:eastAsia="Times New Roman" w:hAnsi="Times New Roman" w:cs="Times New Roman"/>
            <w:sz w:val="23"/>
          </w:rPr>
        </w:r>
        <w:r w:rsidRPr="002534C9">
          <w:rPr>
            <w:rFonts w:ascii="Times New Roman" w:eastAsia="Times New Roman" w:hAnsi="Times New Roman" w:cs="Times New Roman"/>
            <w:sz w:val="23"/>
          </w:rPr>
          <w:fldChar w:fldCharType="separate"/>
        </w:r>
        <w:r w:rsidRPr="002534C9">
          <w:rPr>
            <w:rFonts w:ascii="Times New Roman" w:eastAsia="Times New Roman" w:hAnsi="Times New Roman" w:cs="Times New Roman"/>
            <w:noProof/>
            <w:sz w:val="23"/>
            <w:vertAlign w:val="superscript"/>
          </w:rPr>
          <w:t>6-8</w:t>
        </w:r>
        <w:r w:rsidRPr="002534C9">
          <w:rPr>
            <w:rFonts w:ascii="Times New Roman" w:eastAsia="Times New Roman" w:hAnsi="Times New Roman" w:cs="Times New Roman"/>
            <w:sz w:val="23"/>
          </w:rPr>
          <w:fldChar w:fldCharType="end"/>
        </w:r>
      </w:hyperlink>
      <w:r w:rsidRPr="002534C9">
        <w:rPr>
          <w:rFonts w:ascii="Times New Roman" w:eastAsia="Times New Roman" w:hAnsi="Times New Roman" w:cs="Times New Roman"/>
          <w:sz w:val="23"/>
        </w:rPr>
        <w:t xml:space="preserve"> The Family Planning Annual Report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Data System (</w:t>
      </w:r>
      <w:hyperlink r:id="rId6" w:history="1">
        <w:r w:rsidRPr="002534C9">
          <w:rPr>
            <w:rFonts w:ascii="Times New Roman" w:eastAsia="Times New Roman" w:hAnsi="Times New Roman" w:cs="Times New Roman"/>
            <w:color w:val="0000FF"/>
            <w:sz w:val="23"/>
            <w:u w:val="single"/>
          </w:rPr>
          <w:t>https://fpar.opa.hhs.gov</w:t>
        </w:r>
      </w:hyperlink>
      <w:r w:rsidRPr="002534C9">
        <w:rPr>
          <w:rFonts w:ascii="Times New Roman" w:eastAsia="Times New Roman" w:hAnsi="Times New Roman" w:cs="Times New Roman"/>
          <w:color w:val="0000FF"/>
          <w:sz w:val="23"/>
          <w:u w:val="single"/>
        </w:rPr>
        <w:t>)</w:t>
      </w:r>
      <w:r w:rsidRPr="002534C9">
        <w:rPr>
          <w:rFonts w:ascii="Times New Roman" w:eastAsia="Times New Roman" w:hAnsi="Times New Roman" w:cs="Times New Roman"/>
          <w:sz w:val="23"/>
        </w:rPr>
        <w:t xml:space="preserve"> is dedicated to collecting and managing Title X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The System’s purpose is to facilitate user-friendly submission of annual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by Title X service grantees and to provide a central location for review, approval, storage, and management of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by HHS/</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staff at the regional and central levels. The website’s target audiences include authorized staff of over 90 Title X service grantees and approximately 25 HHS/</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staff at regional and central levels that are responsible for administering grants and monitoring performance. The general public is not an intended audience. </w:t>
      </w:r>
    </w:p>
    <w:p w:rsidR="002534C9" w:rsidRPr="002534C9" w:rsidRDefault="002534C9" w:rsidP="002534C9">
      <w:pPr>
        <w:widowControl w:val="0"/>
        <w:numPr>
          <w:ilvl w:val="0"/>
          <w:numId w:val="3"/>
        </w:numPr>
        <w:autoSpaceDE w:val="0"/>
        <w:autoSpaceDN w:val="0"/>
        <w:adjustRightInd w:val="0"/>
        <w:spacing w:after="120" w:line="240" w:lineRule="auto"/>
        <w:ind w:left="360"/>
        <w:outlineLvl w:val="2"/>
        <w:rPr>
          <w:rFonts w:ascii="Times New Roman" w:eastAsia="Times New Roman" w:hAnsi="Times New Roman" w:cs="Times New Roman"/>
          <w:b/>
          <w:sz w:val="24"/>
          <w:szCs w:val="24"/>
          <w:u w:val="single"/>
        </w:rPr>
      </w:pPr>
      <w:bookmarkStart w:id="2" w:name="_Toc352663608"/>
      <w:r w:rsidRPr="002534C9">
        <w:rPr>
          <w:rFonts w:ascii="Times New Roman" w:eastAsia="Times New Roman" w:hAnsi="Times New Roman" w:cs="Times New Roman"/>
          <w:b/>
          <w:sz w:val="24"/>
          <w:szCs w:val="24"/>
          <w:u w:val="single"/>
        </w:rPr>
        <w:t>Security and Access</w:t>
      </w:r>
      <w:bookmarkEnd w:id="2"/>
    </w:p>
    <w:p w:rsidR="002534C9" w:rsidRPr="002534C9" w:rsidRDefault="002534C9" w:rsidP="002534C9">
      <w:pPr>
        <w:spacing w:after="120" w:line="260" w:lineRule="atLeast"/>
        <w:ind w:left="360"/>
        <w:rPr>
          <w:rFonts w:ascii="Times New Roman" w:eastAsia="Times New Roman" w:hAnsi="Times New Roman" w:cs="Times New Roman"/>
          <w:sz w:val="23"/>
        </w:rPr>
      </w:pPr>
      <w:proofErr w:type="gramStart"/>
      <w:r w:rsidRPr="002534C9">
        <w:rPr>
          <w:rFonts w:ascii="Times New Roman" w:eastAsia="Times New Roman" w:hAnsi="Times New Roman" w:cs="Times New Roman"/>
          <w:b/>
          <w:bCs/>
          <w:i/>
          <w:iCs/>
          <w:sz w:val="23"/>
        </w:rPr>
        <w:t>Security.</w:t>
      </w:r>
      <w:proofErr w:type="gramEnd"/>
      <w:r w:rsidRPr="002534C9">
        <w:rPr>
          <w:rFonts w:ascii="Times New Roman" w:eastAsia="Times New Roman" w:hAnsi="Times New Roman" w:cs="Times New Roman"/>
          <w:b/>
          <w:bCs/>
          <w:i/>
          <w:iCs/>
          <w:sz w:val="23"/>
        </w:rPr>
        <w:t xml:space="preserve"> </w:t>
      </w:r>
      <w:r w:rsidRPr="002534C9">
        <w:rPr>
          <w:rFonts w:ascii="Times New Roman" w:eastAsia="Times New Roman" w:hAnsi="Times New Roman" w:cs="Times New Roman"/>
          <w:sz w:val="23"/>
        </w:rPr>
        <w:t xml:space="preserve">The system is designed and built according to industry and HHS standards and best practices for security (e.g., privacy and access controls, data transmission, and data storage and backup), accessibility (Section 508), usability, and look-and-feel.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is a negligible risk system, as classified by the HHS Office of the Chief Information Officer following a September 2011 review of the System Security Plan and Privacy Impact Assessment. The website accommodates the following roles (levels of user access):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Coordinator (</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/DC), </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Regional Office staff (</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/RO), grantee, and System Administrator. Access to the site and to different pages, content, and features depends on the users’ role, which is controlled by a unique username (e-mail address) and strong password.  Each role has a defined scope of which pages and data that role can view or edit. </w:t>
      </w:r>
    </w:p>
    <w:p w:rsidR="002534C9" w:rsidRPr="002534C9" w:rsidRDefault="002534C9" w:rsidP="002534C9">
      <w:pPr>
        <w:spacing w:after="120" w:line="260" w:lineRule="atLeast"/>
        <w:ind w:left="360"/>
        <w:rPr>
          <w:rFonts w:ascii="Times New Roman" w:eastAsia="Times New Roman" w:hAnsi="Times New Roman" w:cs="Times New Roman"/>
          <w:sz w:val="23"/>
        </w:rPr>
      </w:pPr>
      <w:r w:rsidRPr="002534C9">
        <w:rPr>
          <w:rFonts w:ascii="Times New Roman" w:eastAsia="Times New Roman" w:hAnsi="Times New Roman" w:cs="Times New Roman"/>
          <w:sz w:val="23"/>
        </w:rPr>
        <w:t xml:space="preserve">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is hosted on </w:t>
      </w:r>
      <w:proofErr w:type="spellStart"/>
      <w:r w:rsidRPr="002534C9">
        <w:rPr>
          <w:rFonts w:ascii="Times New Roman" w:eastAsia="Times New Roman" w:hAnsi="Times New Roman" w:cs="Times New Roman"/>
          <w:sz w:val="23"/>
        </w:rPr>
        <w:t>RTI</w:t>
      </w:r>
      <w:proofErr w:type="spellEnd"/>
      <w:r w:rsidRPr="002534C9">
        <w:rPr>
          <w:rFonts w:ascii="Times New Roman" w:eastAsia="Times New Roman" w:hAnsi="Times New Roman" w:cs="Times New Roman"/>
          <w:sz w:val="23"/>
        </w:rPr>
        <w:t xml:space="preserve"> servers that, for redundancy purposes, are housed in data centers in two different locations (Ragland Data Center in the Haynes Building and Herbert Building) on </w:t>
      </w:r>
      <w:proofErr w:type="spellStart"/>
      <w:r w:rsidRPr="002534C9">
        <w:rPr>
          <w:rFonts w:ascii="Times New Roman" w:eastAsia="Times New Roman" w:hAnsi="Times New Roman" w:cs="Times New Roman"/>
          <w:sz w:val="23"/>
        </w:rPr>
        <w:t>RTI’s</w:t>
      </w:r>
      <w:proofErr w:type="spellEnd"/>
      <w:r w:rsidRPr="002534C9">
        <w:rPr>
          <w:rFonts w:ascii="Times New Roman" w:eastAsia="Times New Roman" w:hAnsi="Times New Roman" w:cs="Times New Roman"/>
          <w:sz w:val="23"/>
        </w:rPr>
        <w:t xml:space="preserve"> main campus in Research Triangle Park, North Carolina. These locations are protected by physical and environmental security controls in line with </w:t>
      </w:r>
      <w:proofErr w:type="spellStart"/>
      <w:r w:rsidRPr="002534C9">
        <w:rPr>
          <w:rFonts w:ascii="Times New Roman" w:eastAsia="Times New Roman" w:hAnsi="Times New Roman" w:cs="Times New Roman"/>
          <w:sz w:val="23"/>
        </w:rPr>
        <w:t>NIST</w:t>
      </w:r>
      <w:proofErr w:type="spellEnd"/>
      <w:r w:rsidRPr="002534C9">
        <w:rPr>
          <w:rFonts w:ascii="Times New Roman" w:eastAsia="Times New Roman" w:hAnsi="Times New Roman" w:cs="Times New Roman"/>
          <w:sz w:val="23"/>
        </w:rPr>
        <w:t xml:space="preserve"> 800–53.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is accessible to authorized </w:t>
      </w:r>
      <w:proofErr w:type="spellStart"/>
      <w:r w:rsidRPr="002534C9">
        <w:rPr>
          <w:rFonts w:ascii="Times New Roman" w:eastAsia="Times New Roman" w:hAnsi="Times New Roman" w:cs="Times New Roman"/>
          <w:sz w:val="23"/>
        </w:rPr>
        <w:t>RTI</w:t>
      </w:r>
      <w:proofErr w:type="spellEnd"/>
      <w:r w:rsidRPr="002534C9">
        <w:rPr>
          <w:rFonts w:ascii="Times New Roman" w:eastAsia="Times New Roman" w:hAnsi="Times New Roman" w:cs="Times New Roman"/>
          <w:sz w:val="23"/>
        </w:rPr>
        <w:t xml:space="preserve"> project personnel and registered users using strong authentication.  All data collected by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are stored in password-protected Microsoft SQL Server database that resides behind a secure firewall.  </w:t>
      </w:r>
    </w:p>
    <w:p w:rsidR="002534C9" w:rsidRPr="002534C9" w:rsidRDefault="002534C9" w:rsidP="002534C9">
      <w:pPr>
        <w:spacing w:after="120" w:line="260" w:lineRule="atLeast"/>
        <w:ind w:left="360"/>
        <w:rPr>
          <w:rFonts w:ascii="Times New Roman" w:eastAsia="Times New Roman" w:hAnsi="Times New Roman" w:cs="Times New Roman"/>
          <w:sz w:val="23"/>
        </w:rPr>
      </w:pPr>
      <w:proofErr w:type="gramStart"/>
      <w:r w:rsidRPr="002534C9">
        <w:rPr>
          <w:rFonts w:ascii="Times New Roman" w:eastAsia="Times New Roman" w:hAnsi="Times New Roman" w:cs="Times New Roman"/>
          <w:b/>
          <w:bCs/>
          <w:i/>
          <w:iCs/>
          <w:sz w:val="23"/>
        </w:rPr>
        <w:t>Access.</w:t>
      </w:r>
      <w:proofErr w:type="gramEnd"/>
      <w:r w:rsidRPr="002534C9">
        <w:rPr>
          <w:rFonts w:ascii="Times New Roman" w:eastAsia="Times New Roman" w:hAnsi="Times New Roman" w:cs="Times New Roman"/>
          <w:b/>
          <w:bCs/>
          <w:i/>
          <w:iCs/>
          <w:sz w:val="23"/>
        </w:rPr>
        <w:t xml:space="preserve"> </w:t>
      </w:r>
      <w:r w:rsidRPr="002534C9">
        <w:rPr>
          <w:rFonts w:ascii="Times New Roman" w:eastAsia="Times New Roman" w:hAnsi="Times New Roman" w:cs="Times New Roman"/>
          <w:sz w:val="23"/>
        </w:rPr>
        <w:t xml:space="preserve">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complies with federal accessibility requirements under the Section 508 Amendment to the Rehabilitation Act of 1973 and has been tested for compliance with Section 508 requirements internally at </w:t>
      </w:r>
      <w:proofErr w:type="spellStart"/>
      <w:r w:rsidRPr="002534C9">
        <w:rPr>
          <w:rFonts w:ascii="Times New Roman" w:eastAsia="Times New Roman" w:hAnsi="Times New Roman" w:cs="Times New Roman"/>
          <w:sz w:val="23"/>
        </w:rPr>
        <w:t>RTI</w:t>
      </w:r>
      <w:proofErr w:type="spellEnd"/>
      <w:r w:rsidRPr="002534C9">
        <w:rPr>
          <w:rFonts w:ascii="Times New Roman" w:eastAsia="Times New Roman" w:hAnsi="Times New Roman" w:cs="Times New Roman"/>
          <w:sz w:val="23"/>
        </w:rPr>
        <w:t xml:space="preserve"> and by the HHS Office of the Assistant Secretary for Public Affairs.</w:t>
      </w:r>
      <w:r w:rsidRPr="002534C9">
        <w:rPr>
          <w:rFonts w:ascii="Times New Roman" w:eastAsia="Times New Roman" w:hAnsi="Times New Roman" w:cs="Times New Roman"/>
          <w:b/>
          <w:bCs/>
          <w:i/>
          <w:iCs/>
          <w:sz w:val="23"/>
        </w:rPr>
        <w:t xml:space="preserve"> </w:t>
      </w:r>
      <w:r w:rsidRPr="002534C9">
        <w:rPr>
          <w:rFonts w:ascii="Times New Roman" w:eastAsia="Times New Roman" w:hAnsi="Times New Roman" w:cs="Times New Roman"/>
          <w:sz w:val="23"/>
        </w:rPr>
        <w:t xml:space="preserve">Authorized users can access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from their workstations, using several internet browsers. The system is optimized for use with either Internet Explorer (version 8 or higher) or Firefox (version 8 or higher). In addition, users must have installed on their systems Adobe Reader and Adobe Flash Player software, both of which are free, to access documents and features of the website,</w:t>
      </w:r>
    </w:p>
    <w:p w:rsidR="002534C9" w:rsidRPr="002534C9" w:rsidRDefault="002534C9" w:rsidP="002534C9">
      <w:pPr>
        <w:widowControl w:val="0"/>
        <w:numPr>
          <w:ilvl w:val="0"/>
          <w:numId w:val="3"/>
        </w:numPr>
        <w:autoSpaceDE w:val="0"/>
        <w:autoSpaceDN w:val="0"/>
        <w:adjustRightInd w:val="0"/>
        <w:spacing w:after="120" w:line="240" w:lineRule="auto"/>
        <w:ind w:left="360"/>
        <w:outlineLvl w:val="2"/>
        <w:rPr>
          <w:rFonts w:ascii="Times New Roman" w:eastAsia="Times New Roman" w:hAnsi="Times New Roman" w:cs="Times New Roman"/>
          <w:b/>
          <w:sz w:val="24"/>
          <w:szCs w:val="24"/>
          <w:u w:val="single"/>
        </w:rPr>
      </w:pPr>
      <w:bookmarkStart w:id="3" w:name="_Toc352663609"/>
      <w:r w:rsidRPr="002534C9">
        <w:rPr>
          <w:rFonts w:ascii="Times New Roman" w:eastAsia="Times New Roman" w:hAnsi="Times New Roman" w:cs="Times New Roman"/>
          <w:b/>
          <w:sz w:val="24"/>
          <w:szCs w:val="24"/>
          <w:u w:val="single"/>
        </w:rPr>
        <w:t>Website Structure and Navigation</w:t>
      </w:r>
      <w:bookmarkEnd w:id="3"/>
    </w:p>
    <w:p w:rsidR="002534C9" w:rsidRPr="002534C9" w:rsidRDefault="002534C9" w:rsidP="002534C9">
      <w:pPr>
        <w:spacing w:after="120" w:line="260" w:lineRule="atLeast"/>
        <w:ind w:left="360"/>
        <w:rPr>
          <w:rFonts w:ascii="Times New Roman" w:eastAsia="Times New Roman" w:hAnsi="Times New Roman" w:cs="Times New Roman"/>
          <w:b/>
          <w:bCs/>
          <w:i/>
          <w:iCs/>
          <w:sz w:val="23"/>
        </w:rPr>
      </w:pPr>
      <w:proofErr w:type="gramStart"/>
      <w:r w:rsidRPr="002534C9">
        <w:rPr>
          <w:rFonts w:ascii="Times New Roman" w:eastAsia="Times New Roman" w:hAnsi="Times New Roman" w:cs="Times New Roman"/>
          <w:b/>
          <w:bCs/>
          <w:i/>
          <w:iCs/>
          <w:sz w:val="23"/>
        </w:rPr>
        <w:t>Structure.</w:t>
      </w:r>
      <w:proofErr w:type="gramEnd"/>
      <w:r w:rsidRPr="002534C9">
        <w:rPr>
          <w:rFonts w:ascii="Times New Roman" w:eastAsia="Times New Roman" w:hAnsi="Times New Roman" w:cs="Times New Roman"/>
          <w:b/>
          <w:bCs/>
          <w:i/>
          <w:iCs/>
          <w:sz w:val="23"/>
        </w:rPr>
        <w:t xml:space="preserve"> </w:t>
      </w:r>
      <w:r w:rsidRPr="002534C9">
        <w:rPr>
          <w:rFonts w:ascii="Times New Roman" w:eastAsia="Times New Roman" w:hAnsi="Times New Roman" w:cs="Times New Roman"/>
          <w:sz w:val="23"/>
        </w:rPr>
        <w:t xml:space="preserve">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website includes both public and private (secure) pages. All visitors to the website can view three public pages: (a) Home, (b) Reports &amp; Forms, and (c) Training. The private pages of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are accessible only to authorized users (i.e., require log in). Authorized users include HHS/</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and grantee staff that is registered and </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-approved to access the System. After login and prior to entering the private pages, all authorized users must accept the terms of the Privacy Statement regarding privacy expectations and the </w:t>
      </w:r>
      <w:r w:rsidRPr="002534C9">
        <w:rPr>
          <w:rFonts w:ascii="Times New Roman" w:eastAsia="Times New Roman" w:hAnsi="Times New Roman" w:cs="Times New Roman"/>
          <w:sz w:val="23"/>
        </w:rPr>
        <w:lastRenderedPageBreak/>
        <w:t xml:space="preserve">consequences of unauthorized or improper use. The six private pages are (a) </w:t>
      </w:r>
      <w:proofErr w:type="spellStart"/>
      <w:r w:rsidRPr="002534C9">
        <w:rPr>
          <w:rFonts w:ascii="Times New Roman" w:eastAsia="Times New Roman" w:hAnsi="Times New Roman" w:cs="Times New Roman"/>
          <w:sz w:val="23"/>
        </w:rPr>
        <w:t>MyFPAR</w:t>
      </w:r>
      <w:proofErr w:type="spellEnd"/>
      <w:r w:rsidRPr="002534C9">
        <w:rPr>
          <w:rFonts w:ascii="Times New Roman" w:eastAsia="Times New Roman" w:hAnsi="Times New Roman" w:cs="Times New Roman"/>
          <w:sz w:val="23"/>
        </w:rPr>
        <w:t xml:space="preserve">, (b) Website Reports, (c) User Administration, (d) Contacts, (e) Links, and (f) Support. The footer on each web page includes links associated to HHS or </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(e.g., Accessibility, Freedom of Information, and Privacy Policy) and a site map.</w:t>
      </w:r>
      <w:r w:rsidRPr="002534C9">
        <w:rPr>
          <w:rFonts w:ascii="Times New Roman" w:eastAsia="Times New Roman" w:hAnsi="Times New Roman" w:cs="Times New Roman"/>
          <w:b/>
          <w:bCs/>
          <w:i/>
          <w:iCs/>
          <w:sz w:val="23"/>
        </w:rPr>
        <w:t xml:space="preserve"> </w:t>
      </w:r>
    </w:p>
    <w:p w:rsidR="002534C9" w:rsidRPr="002534C9" w:rsidRDefault="002534C9" w:rsidP="002534C9">
      <w:pPr>
        <w:spacing w:after="120" w:line="260" w:lineRule="atLeast"/>
        <w:ind w:left="360"/>
        <w:rPr>
          <w:rFonts w:ascii="Times New Roman" w:eastAsia="Times New Roman" w:hAnsi="Times New Roman" w:cs="Times New Roman"/>
          <w:sz w:val="23"/>
        </w:rPr>
      </w:pPr>
      <w:proofErr w:type="gramStart"/>
      <w:r w:rsidRPr="002534C9">
        <w:rPr>
          <w:rFonts w:ascii="Times New Roman" w:eastAsia="Times New Roman" w:hAnsi="Times New Roman" w:cs="Times New Roman"/>
          <w:b/>
          <w:bCs/>
          <w:i/>
          <w:iCs/>
          <w:sz w:val="23"/>
        </w:rPr>
        <w:t>Navigation.</w:t>
      </w:r>
      <w:proofErr w:type="gramEnd"/>
      <w:r w:rsidRPr="002534C9">
        <w:rPr>
          <w:rFonts w:ascii="Times New Roman" w:eastAsia="Times New Roman" w:hAnsi="Times New Roman" w:cs="Times New Roman"/>
          <w:b/>
          <w:bCs/>
          <w:i/>
          <w:iCs/>
          <w:sz w:val="23"/>
        </w:rPr>
        <w:t xml:space="preserve"> </w:t>
      </w:r>
      <w:r w:rsidRPr="002534C9">
        <w:rPr>
          <w:rFonts w:ascii="Times New Roman" w:eastAsia="Times New Roman" w:hAnsi="Times New Roman" w:cs="Times New Roman"/>
          <w:sz w:val="23"/>
        </w:rPr>
        <w:t xml:space="preserve">To ease and streamline navigation, all web pages share the same layout. The title bar is at the top of the page with the horizontal tab menu underneath. Below the horizontal tab menu is the page content and a footer menu. The private pages have some additional elements, including display of the user’s name and a “Logout” link above the tab menu and a “Change Password” link under the tab menu. Function buttons and links are displayed either within the rows of detail data or near the bottom of the content section. The System’s web application has multiple modes of navigation to enhance the user experience, including a horizontal tab menu and breadcrumbs, intuitive flow with function buttons and links, and a site map in the footer. The horizontal tab menu allows for quick navigation across website pages. The system also uses “breadcrumbs” in the upper left corner of every web page and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entry form to help users understand their location and ease their navigation within embedded pages. Finally, action buttons or links foster an intuitive flow of actions and site navigation. When clicked, action buttons or links perform functions or take users to other web pages. </w:t>
      </w:r>
    </w:p>
    <w:p w:rsidR="002534C9" w:rsidRPr="002534C9" w:rsidRDefault="002534C9" w:rsidP="002534C9">
      <w:pPr>
        <w:widowControl w:val="0"/>
        <w:numPr>
          <w:ilvl w:val="0"/>
          <w:numId w:val="3"/>
        </w:numPr>
        <w:autoSpaceDE w:val="0"/>
        <w:autoSpaceDN w:val="0"/>
        <w:adjustRightInd w:val="0"/>
        <w:spacing w:after="120" w:line="240" w:lineRule="auto"/>
        <w:ind w:left="360"/>
        <w:outlineLvl w:val="2"/>
        <w:rPr>
          <w:rFonts w:ascii="Times New Roman" w:eastAsia="Times New Roman" w:hAnsi="Times New Roman" w:cs="Times New Roman"/>
          <w:b/>
          <w:sz w:val="24"/>
          <w:szCs w:val="24"/>
          <w:u w:val="single"/>
        </w:rPr>
      </w:pPr>
      <w:bookmarkStart w:id="4" w:name="_Toc352663610"/>
      <w:proofErr w:type="spellStart"/>
      <w:r w:rsidRPr="002534C9">
        <w:rPr>
          <w:rFonts w:ascii="Times New Roman" w:eastAsia="Times New Roman" w:hAnsi="Times New Roman" w:cs="Times New Roman"/>
          <w:b/>
          <w:sz w:val="24"/>
          <w:szCs w:val="24"/>
          <w:u w:val="single"/>
        </w:rPr>
        <w:t>FPAR</w:t>
      </w:r>
      <w:proofErr w:type="spellEnd"/>
      <w:r w:rsidRPr="002534C9">
        <w:rPr>
          <w:rFonts w:ascii="Times New Roman" w:eastAsia="Times New Roman" w:hAnsi="Times New Roman" w:cs="Times New Roman"/>
          <w:b/>
          <w:sz w:val="24"/>
          <w:szCs w:val="24"/>
          <w:u w:val="single"/>
        </w:rPr>
        <w:t xml:space="preserve"> Data Collection</w:t>
      </w:r>
      <w:bookmarkEnd w:id="4"/>
    </w:p>
    <w:p w:rsidR="002534C9" w:rsidRPr="002534C9" w:rsidRDefault="002534C9" w:rsidP="002534C9">
      <w:pPr>
        <w:spacing w:after="120" w:line="260" w:lineRule="atLeast"/>
        <w:ind w:left="360"/>
        <w:rPr>
          <w:rFonts w:ascii="Times New Roman" w:eastAsia="Times New Roman" w:hAnsi="Times New Roman" w:cs="Times New Roman"/>
          <w:sz w:val="23"/>
        </w:rPr>
      </w:pPr>
      <w:r w:rsidRPr="002534C9">
        <w:rPr>
          <w:rFonts w:ascii="Times New Roman" w:eastAsia="Times New Roman" w:hAnsi="Times New Roman" w:cs="Times New Roman"/>
          <w:sz w:val="23"/>
        </w:rPr>
        <w:t xml:space="preserve">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provides 15 web-based data entry tables (a Grantee Profile Cover Sheet and 14 data tables), matching the content and structure of the OMB-approved (OMB No. 0990–0221) reporting tables. A grantee user must access their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on the (private) </w:t>
      </w:r>
      <w:proofErr w:type="spellStart"/>
      <w:r w:rsidRPr="002534C9">
        <w:rPr>
          <w:rFonts w:ascii="Times New Roman" w:eastAsia="Times New Roman" w:hAnsi="Times New Roman" w:cs="Times New Roman"/>
          <w:sz w:val="23"/>
        </w:rPr>
        <w:t>MyFPAR</w:t>
      </w:r>
      <w:proofErr w:type="spellEnd"/>
      <w:r w:rsidRPr="002534C9">
        <w:rPr>
          <w:rFonts w:ascii="Times New Roman" w:eastAsia="Times New Roman" w:hAnsi="Times New Roman" w:cs="Times New Roman"/>
          <w:sz w:val="23"/>
        </w:rPr>
        <w:t xml:space="preserve"> page by clicking the “Edit” link, which directs the user to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Preparation Checklist. This Checklist displays all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tables, the status of each table (e.g., Initial, In Process, or Completed), table-specific action links, and action buttons to submit the completed report or close and exit the report without submitting it. </w:t>
      </w:r>
    </w:p>
    <w:p w:rsidR="002534C9" w:rsidRPr="002534C9" w:rsidRDefault="002534C9" w:rsidP="002534C9">
      <w:pPr>
        <w:spacing w:after="120" w:line="260" w:lineRule="atLeast"/>
        <w:ind w:left="360"/>
        <w:rPr>
          <w:rFonts w:ascii="Times New Roman" w:eastAsia="Times New Roman" w:hAnsi="Times New Roman" w:cs="Times New Roman"/>
          <w:sz w:val="23"/>
        </w:rPr>
      </w:pPr>
      <w:r w:rsidRPr="002534C9">
        <w:rPr>
          <w:rFonts w:ascii="Times New Roman" w:eastAsia="Times New Roman" w:hAnsi="Times New Roman" w:cs="Times New Roman"/>
          <w:sz w:val="23"/>
        </w:rPr>
        <w:t xml:space="preserve">The web data entry forms are intuitive and easy to use, according to internal and client acceptance testing. Under each form is a large text field where grantees can enter table-specific comments. To the extent possible, </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provides </w:t>
      </w:r>
      <w:proofErr w:type="spellStart"/>
      <w:r w:rsidRPr="002534C9">
        <w:rPr>
          <w:rFonts w:ascii="Times New Roman" w:eastAsia="Times New Roman" w:hAnsi="Times New Roman" w:cs="Times New Roman"/>
          <w:sz w:val="23"/>
        </w:rPr>
        <w:t>RTI</w:t>
      </w:r>
      <w:proofErr w:type="spellEnd"/>
      <w:r w:rsidRPr="002534C9">
        <w:rPr>
          <w:rFonts w:ascii="Times New Roman" w:eastAsia="Times New Roman" w:hAnsi="Times New Roman" w:cs="Times New Roman"/>
          <w:sz w:val="23"/>
        </w:rPr>
        <w:t xml:space="preserve"> with data to pre-populate fields that contain information about the grant (number and period), the grantee (name and address), and the Title X project director (name and contact information). Where applicable, the data entry forms automatically sum rows and columns. This feature eases reporting for grantees and provides information that the system uses for cross-table validations. All data entry tables have clearly defined action buttons to execute interactive validations, save data, and exit the table.</w:t>
      </w:r>
    </w:p>
    <w:p w:rsidR="002534C9" w:rsidRPr="002534C9" w:rsidRDefault="002534C9" w:rsidP="002534C9">
      <w:pPr>
        <w:spacing w:after="120" w:line="260" w:lineRule="atLeast"/>
        <w:ind w:left="360"/>
        <w:rPr>
          <w:rFonts w:ascii="Times New Roman" w:eastAsia="Times New Roman" w:hAnsi="Times New Roman" w:cs="Times New Roman"/>
          <w:sz w:val="23"/>
        </w:rPr>
      </w:pPr>
      <w:r w:rsidRPr="002534C9">
        <w:rPr>
          <w:rFonts w:ascii="Times New Roman" w:eastAsia="Times New Roman" w:hAnsi="Times New Roman" w:cs="Times New Roman"/>
          <w:sz w:val="23"/>
        </w:rPr>
        <w:t xml:space="preserve">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interactively validates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to ensure complete and consistent (within and across tables) reporting. The </w:t>
      </w:r>
      <w:proofErr w:type="spellStart"/>
      <w:r w:rsidRPr="002534C9">
        <w:rPr>
          <w:rFonts w:ascii="Times New Roman" w:eastAsia="Times New Roman" w:hAnsi="Times New Roman" w:cs="Times New Roman"/>
          <w:i/>
          <w:iCs/>
          <w:sz w:val="23"/>
        </w:rPr>
        <w:t>FPAR</w:t>
      </w:r>
      <w:proofErr w:type="spellEnd"/>
      <w:r w:rsidRPr="002534C9">
        <w:rPr>
          <w:rFonts w:ascii="Times New Roman" w:eastAsia="Times New Roman" w:hAnsi="Times New Roman" w:cs="Times New Roman"/>
          <w:i/>
          <w:iCs/>
          <w:sz w:val="23"/>
        </w:rPr>
        <w:t xml:space="preserve"> Data System Interactive </w:t>
      </w:r>
      <w:proofErr w:type="spellStart"/>
      <w:r w:rsidRPr="002534C9">
        <w:rPr>
          <w:rFonts w:ascii="Times New Roman" w:eastAsia="Times New Roman" w:hAnsi="Times New Roman" w:cs="Times New Roman"/>
          <w:i/>
          <w:iCs/>
          <w:sz w:val="23"/>
        </w:rPr>
        <w:t>FPAR</w:t>
      </w:r>
      <w:proofErr w:type="spellEnd"/>
      <w:r w:rsidRPr="002534C9">
        <w:rPr>
          <w:rFonts w:ascii="Times New Roman" w:eastAsia="Times New Roman" w:hAnsi="Times New Roman" w:cs="Times New Roman"/>
          <w:i/>
          <w:iCs/>
          <w:sz w:val="23"/>
        </w:rPr>
        <w:t xml:space="preserve"> Validations</w:t>
      </w:r>
      <w:r w:rsidRPr="002534C9">
        <w:rPr>
          <w:rFonts w:ascii="Times New Roman" w:eastAsia="Times New Roman" w:hAnsi="Times New Roman" w:cs="Times New Roman"/>
          <w:sz w:val="23"/>
        </w:rPr>
        <w:t xml:space="preserve"> document describes the rules that apply for each validation check performed by the system. Within a data table, the user can execute validation checks one of two ways using the “Validate” or “Complete” action buttons. The “Complete” button will validate the data and return the user to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Preparation Checklist if the data pass all checks. The “Validate” button will check the data without closing the table if the data pass all validations. With either action button, if there are validation errors, a message (red text) will appear above the table describing each error. Additionally, a red asterisk will identify each data field that failed the validation check.  Once the user has identified and corrected the errors, they can re-validate the data using either action button. A blank data entry field is a validation error. Users must enter a “0” to denote a zero value. For selected fields that lack a comparison field for validation (e.g., STD tests in Table 12 or FTEs in Table 13), the system will calculate relevant comparisons (e.g., STD test-to-user ratios) for the </w:t>
      </w:r>
      <w:r w:rsidRPr="002534C9">
        <w:rPr>
          <w:rFonts w:ascii="Times New Roman" w:eastAsia="Times New Roman" w:hAnsi="Times New Roman" w:cs="Times New Roman"/>
          <w:sz w:val="23"/>
        </w:rPr>
        <w:lastRenderedPageBreak/>
        <w:t xml:space="preserve">current year are compared with the same values from the previous year’s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The grantee can decide whether any discrepancy between years is unusual or expected based on program activities and strategies. Underneath each data entry form is a “Note” field where the user can enter table-specific comments.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entry tables are viewable and editable by grantees, HHS/</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regional office staff, and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Coordinator. Regional office staff is able to view and edit grantee data only for grantees in the regions that they oversee.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Coordinator has access to all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entry tables for all grantees. Grantees can view only their own data.</w:t>
      </w:r>
    </w:p>
    <w:p w:rsidR="002534C9" w:rsidRPr="002534C9" w:rsidRDefault="002534C9" w:rsidP="002534C9">
      <w:pPr>
        <w:spacing w:after="120" w:line="260" w:lineRule="atLeast"/>
        <w:ind w:left="360"/>
        <w:rPr>
          <w:rFonts w:ascii="Times New Roman" w:eastAsia="Times New Roman" w:hAnsi="Times New Roman" w:cs="Times New Roman"/>
          <w:sz w:val="23"/>
        </w:rPr>
      </w:pPr>
      <w:r w:rsidRPr="002534C9">
        <w:rPr>
          <w:rFonts w:ascii="Times New Roman" w:eastAsia="Times New Roman" w:hAnsi="Times New Roman" w:cs="Times New Roman"/>
          <w:sz w:val="23"/>
        </w:rPr>
        <w:t xml:space="preserve">Finally,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are transmitted through the Internet using 128-bit encrypted connection and Secure Sockets Layer (</w:t>
      </w:r>
      <w:proofErr w:type="spellStart"/>
      <w:r w:rsidRPr="002534C9">
        <w:rPr>
          <w:rFonts w:ascii="Times New Roman" w:eastAsia="Times New Roman" w:hAnsi="Times New Roman" w:cs="Times New Roman"/>
          <w:sz w:val="23"/>
        </w:rPr>
        <w:t>SSL</w:t>
      </w:r>
      <w:proofErr w:type="spellEnd"/>
      <w:r w:rsidRPr="002534C9">
        <w:rPr>
          <w:rFonts w:ascii="Times New Roman" w:eastAsia="Times New Roman" w:hAnsi="Times New Roman" w:cs="Times New Roman"/>
          <w:sz w:val="23"/>
        </w:rPr>
        <w:t xml:space="preserve">) technology and stored in a password-protected database connected to the website through the Contractor’s secure network. A system time-out feature warns a user after 25 minutes of inactivity and automatically logs the user out after 30 minutes of inactivity. </w:t>
      </w:r>
    </w:p>
    <w:p w:rsidR="002534C9" w:rsidRPr="002534C9" w:rsidRDefault="002534C9" w:rsidP="002534C9">
      <w:pPr>
        <w:widowControl w:val="0"/>
        <w:numPr>
          <w:ilvl w:val="0"/>
          <w:numId w:val="3"/>
        </w:numPr>
        <w:autoSpaceDE w:val="0"/>
        <w:autoSpaceDN w:val="0"/>
        <w:adjustRightInd w:val="0"/>
        <w:spacing w:after="120" w:line="240" w:lineRule="auto"/>
        <w:ind w:left="360"/>
        <w:outlineLvl w:val="2"/>
        <w:rPr>
          <w:rFonts w:ascii="Times New Roman" w:eastAsia="Times New Roman" w:hAnsi="Times New Roman" w:cs="Times New Roman"/>
          <w:b/>
          <w:sz w:val="24"/>
          <w:szCs w:val="24"/>
          <w:u w:val="single"/>
        </w:rPr>
      </w:pPr>
      <w:bookmarkStart w:id="5" w:name="_Toc352663611"/>
      <w:proofErr w:type="spellStart"/>
      <w:r w:rsidRPr="002534C9">
        <w:rPr>
          <w:rFonts w:ascii="Times New Roman" w:eastAsia="Times New Roman" w:hAnsi="Times New Roman" w:cs="Times New Roman"/>
          <w:b/>
          <w:sz w:val="24"/>
          <w:szCs w:val="24"/>
          <w:u w:val="single"/>
        </w:rPr>
        <w:t>FPAR</w:t>
      </w:r>
      <w:proofErr w:type="spellEnd"/>
      <w:r w:rsidRPr="002534C9">
        <w:rPr>
          <w:rFonts w:ascii="Times New Roman" w:eastAsia="Times New Roman" w:hAnsi="Times New Roman" w:cs="Times New Roman"/>
          <w:b/>
          <w:sz w:val="24"/>
          <w:szCs w:val="24"/>
          <w:u w:val="single"/>
        </w:rPr>
        <w:t xml:space="preserve"> Review and Approval via the </w:t>
      </w:r>
      <w:proofErr w:type="spellStart"/>
      <w:r w:rsidRPr="002534C9">
        <w:rPr>
          <w:rFonts w:ascii="Times New Roman" w:eastAsia="Times New Roman" w:hAnsi="Times New Roman" w:cs="Times New Roman"/>
          <w:b/>
          <w:sz w:val="24"/>
          <w:szCs w:val="24"/>
          <w:u w:val="single"/>
        </w:rPr>
        <w:t>MyFPAR</w:t>
      </w:r>
      <w:proofErr w:type="spellEnd"/>
      <w:r w:rsidRPr="002534C9">
        <w:rPr>
          <w:rFonts w:ascii="Times New Roman" w:eastAsia="Times New Roman" w:hAnsi="Times New Roman" w:cs="Times New Roman"/>
          <w:b/>
          <w:sz w:val="24"/>
          <w:szCs w:val="24"/>
          <w:u w:val="single"/>
        </w:rPr>
        <w:t xml:space="preserve"> page</w:t>
      </w:r>
      <w:bookmarkEnd w:id="5"/>
    </w:p>
    <w:p w:rsidR="002534C9" w:rsidRPr="002534C9" w:rsidRDefault="002534C9" w:rsidP="002534C9">
      <w:pPr>
        <w:spacing w:after="120" w:line="260" w:lineRule="atLeast"/>
        <w:ind w:left="360"/>
        <w:rPr>
          <w:rFonts w:ascii="Times New Roman" w:eastAsia="Times New Roman" w:hAnsi="Times New Roman" w:cs="Times New Roman"/>
          <w:sz w:val="23"/>
        </w:rPr>
      </w:pPr>
      <w:r w:rsidRPr="002534C9">
        <w:rPr>
          <w:rFonts w:ascii="Times New Roman" w:eastAsia="Times New Roman" w:hAnsi="Times New Roman" w:cs="Times New Roman"/>
          <w:sz w:val="23"/>
        </w:rPr>
        <w:t>HHS/</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staff performs all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review and acceptance actions by using links for each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in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Tracking and Management Table (</w:t>
      </w:r>
      <w:proofErr w:type="spellStart"/>
      <w:r w:rsidRPr="002534C9">
        <w:rPr>
          <w:rFonts w:ascii="Times New Roman" w:eastAsia="Times New Roman" w:hAnsi="Times New Roman" w:cs="Times New Roman"/>
          <w:sz w:val="23"/>
        </w:rPr>
        <w:t>MyFPAR</w:t>
      </w:r>
      <w:proofErr w:type="spellEnd"/>
      <w:r w:rsidRPr="002534C9">
        <w:rPr>
          <w:rFonts w:ascii="Times New Roman" w:eastAsia="Times New Roman" w:hAnsi="Times New Roman" w:cs="Times New Roman"/>
          <w:sz w:val="23"/>
        </w:rPr>
        <w:t xml:space="preserve"> page). When a grantee submits a final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the system generates an automated e-mail to inform </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regional office staff (first-level review) that the grantee’s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is ready for review and acceptance. HHS/</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staff may view the grantee’s final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by clicking on the PDF action link. Once the regional office staff has completed their review, they may either accept or allow revision of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by clicking on one of these two action links. If they accept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the system will generate an automated e-mail to inform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Coordinator (second-level review) that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is ready for final review and acceptance. If the regional office staff or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Coordinator allows a revision, the system will take two actions: (a) send an automated e-mail to the grantee or regional office staff that includes the revision instructions or request and (b) “open”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to editing. Once revised,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must be re-submitted and pass through all review and approval steps.</w:t>
      </w:r>
    </w:p>
    <w:p w:rsidR="002534C9" w:rsidRPr="002534C9" w:rsidRDefault="002534C9" w:rsidP="002534C9">
      <w:pPr>
        <w:widowControl w:val="0"/>
        <w:numPr>
          <w:ilvl w:val="0"/>
          <w:numId w:val="3"/>
        </w:numPr>
        <w:autoSpaceDE w:val="0"/>
        <w:autoSpaceDN w:val="0"/>
        <w:adjustRightInd w:val="0"/>
        <w:spacing w:after="120" w:line="240" w:lineRule="auto"/>
        <w:ind w:left="360"/>
        <w:outlineLvl w:val="2"/>
        <w:rPr>
          <w:rFonts w:ascii="Times New Roman" w:eastAsia="Times New Roman" w:hAnsi="Times New Roman" w:cs="Times New Roman"/>
          <w:b/>
          <w:sz w:val="24"/>
          <w:szCs w:val="24"/>
          <w:u w:val="single"/>
        </w:rPr>
      </w:pPr>
      <w:bookmarkStart w:id="6" w:name="_Toc352663612"/>
      <w:r w:rsidRPr="002534C9">
        <w:rPr>
          <w:rFonts w:ascii="Times New Roman" w:eastAsia="Times New Roman" w:hAnsi="Times New Roman" w:cs="Times New Roman"/>
          <w:b/>
          <w:sz w:val="24"/>
          <w:szCs w:val="24"/>
          <w:u w:val="single"/>
        </w:rPr>
        <w:t>Automate System E-mail Notifications</w:t>
      </w:r>
      <w:bookmarkEnd w:id="6"/>
    </w:p>
    <w:p w:rsidR="002534C9" w:rsidRPr="002534C9" w:rsidRDefault="002534C9" w:rsidP="002534C9">
      <w:pPr>
        <w:spacing w:after="120" w:line="260" w:lineRule="atLeast"/>
        <w:ind w:left="360"/>
        <w:rPr>
          <w:rFonts w:ascii="Times New Roman" w:eastAsia="Times New Roman" w:hAnsi="Times New Roman" w:cs="Times New Roman"/>
          <w:sz w:val="23"/>
        </w:rPr>
      </w:pPr>
      <w:r w:rsidRPr="002534C9">
        <w:rPr>
          <w:rFonts w:ascii="Times New Roman" w:eastAsia="Times New Roman" w:hAnsi="Times New Roman" w:cs="Times New Roman"/>
          <w:sz w:val="23"/>
        </w:rPr>
        <w:t xml:space="preserve">As noted above,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System generates automated e-mail messages to notify the grantee, HHS/</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regional office staff, and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Coordinators of key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events–when an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is submitted, accepted by regional office, or accepted by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Data Coordinator and when HHS/</w:t>
      </w:r>
      <w:proofErr w:type="spellStart"/>
      <w:r w:rsidRPr="002534C9">
        <w:rPr>
          <w:rFonts w:ascii="Times New Roman" w:eastAsia="Times New Roman" w:hAnsi="Times New Roman" w:cs="Times New Roman"/>
          <w:sz w:val="23"/>
        </w:rPr>
        <w:t>OPA</w:t>
      </w:r>
      <w:proofErr w:type="spellEnd"/>
      <w:r w:rsidRPr="002534C9">
        <w:rPr>
          <w:rFonts w:ascii="Times New Roman" w:eastAsia="Times New Roman" w:hAnsi="Times New Roman" w:cs="Times New Roman"/>
          <w:sz w:val="23"/>
        </w:rPr>
        <w:t xml:space="preserve"> staff request a revision–and to alert the person responsible for executing the next action in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processing. In addition, the system sends e-mails to notify grantees about the </w:t>
      </w:r>
      <w:proofErr w:type="spellStart"/>
      <w:r w:rsidRPr="002534C9">
        <w:rPr>
          <w:rFonts w:ascii="Times New Roman" w:eastAsia="Times New Roman" w:hAnsi="Times New Roman" w:cs="Times New Roman"/>
          <w:sz w:val="23"/>
        </w:rPr>
        <w:t>FPAR</w:t>
      </w:r>
      <w:proofErr w:type="spellEnd"/>
      <w:r w:rsidRPr="002534C9">
        <w:rPr>
          <w:rFonts w:ascii="Times New Roman" w:eastAsia="Times New Roman" w:hAnsi="Times New Roman" w:cs="Times New Roman"/>
          <w:sz w:val="23"/>
        </w:rPr>
        <w:t xml:space="preserve"> submission schedule, user registration, training webinars, or system maintenance, to remind users of their user name, or to provide instructions for resetting a password. </w:t>
      </w:r>
    </w:p>
    <w:p w:rsidR="002534C9" w:rsidRPr="002534C9" w:rsidRDefault="002534C9" w:rsidP="002534C9">
      <w:pPr>
        <w:spacing w:after="0" w:line="240" w:lineRule="auto"/>
        <w:rPr>
          <w:rFonts w:ascii="Times New Roman" w:eastAsia="Times New Roman" w:hAnsi="Times New Roman" w:cs="Times New Roman"/>
          <w:sz w:val="24"/>
          <w:szCs w:val="24"/>
        </w:rPr>
      </w:pPr>
    </w:p>
    <w:p w:rsidR="002534C9" w:rsidRPr="002534C9" w:rsidRDefault="002534C9" w:rsidP="002534C9">
      <w:pPr>
        <w:keepNext/>
        <w:widowControl w:val="0"/>
        <w:numPr>
          <w:ilvl w:val="0"/>
          <w:numId w:val="1"/>
        </w:numPr>
        <w:tabs>
          <w:tab w:val="left" w:pos="360"/>
        </w:tabs>
        <w:autoSpaceDE w:val="0"/>
        <w:autoSpaceDN w:val="0"/>
        <w:adjustRightInd w:val="0"/>
        <w:spacing w:after="120" w:line="240" w:lineRule="auto"/>
        <w:ind w:left="360"/>
        <w:outlineLvl w:val="0"/>
        <w:rPr>
          <w:rFonts w:ascii="Times New Roman Bold" w:eastAsia="Times New Roman" w:hAnsi="Times New Roman Bold" w:cs="Times New Roman"/>
          <w:b/>
          <w:bCs/>
          <w:caps/>
          <w:sz w:val="24"/>
          <w:szCs w:val="24"/>
        </w:rPr>
      </w:pPr>
      <w:r w:rsidRPr="002534C9">
        <w:rPr>
          <w:rFonts w:ascii="Times New Roman Bold" w:eastAsia="Times New Roman" w:hAnsi="Times New Roman Bold" w:cs="Times New Roman"/>
          <w:b/>
          <w:bCs/>
          <w:caps/>
          <w:sz w:val="24"/>
          <w:szCs w:val="24"/>
        </w:rPr>
        <w:br w:type="page"/>
      </w:r>
      <w:bookmarkStart w:id="7" w:name="_Toc352663613"/>
      <w:r w:rsidRPr="002534C9">
        <w:rPr>
          <w:rFonts w:ascii="Times New Roman Bold" w:eastAsia="Times New Roman" w:hAnsi="Times New Roman Bold" w:cs="Times New Roman"/>
          <w:b/>
          <w:bCs/>
          <w:caps/>
          <w:sz w:val="24"/>
          <w:szCs w:val="24"/>
        </w:rPr>
        <w:lastRenderedPageBreak/>
        <w:t>REFERENCES</w:t>
      </w:r>
      <w:bookmarkEnd w:id="7"/>
    </w:p>
    <w:p w:rsidR="002534C9" w:rsidRPr="002534C9" w:rsidRDefault="002534C9" w:rsidP="002534C9">
      <w:pPr>
        <w:spacing w:after="120" w:line="240" w:lineRule="auto"/>
        <w:rPr>
          <w:rFonts w:ascii="Times New Roman" w:eastAsia="Times New Roman" w:hAnsi="Times New Roman" w:cs="Times New Roman"/>
          <w:noProof/>
          <w:sz w:val="24"/>
          <w:szCs w:val="24"/>
        </w:rPr>
      </w:pPr>
      <w:r w:rsidRPr="002534C9">
        <w:rPr>
          <w:rFonts w:ascii="Times New Roman" w:eastAsia="Times New Roman" w:hAnsi="Times New Roman" w:cs="14"/>
          <w:noProof/>
        </w:rPr>
        <w:fldChar w:fldCharType="begin"/>
      </w:r>
      <w:r w:rsidRPr="002534C9">
        <w:rPr>
          <w:rFonts w:ascii="Times New Roman" w:eastAsia="Times New Roman" w:hAnsi="Times New Roman" w:cs="14"/>
          <w:noProof/>
        </w:rPr>
        <w:instrText xml:space="preserve"> ADDIN EN.REFLIST </w:instrText>
      </w:r>
      <w:r w:rsidRPr="002534C9">
        <w:rPr>
          <w:rFonts w:ascii="Times New Roman" w:eastAsia="Times New Roman" w:hAnsi="Times New Roman" w:cs="14"/>
          <w:noProof/>
        </w:rPr>
        <w:fldChar w:fldCharType="separate"/>
      </w:r>
      <w:bookmarkStart w:id="8" w:name="_ENREF_1"/>
      <w:r w:rsidRPr="002534C9">
        <w:rPr>
          <w:rFonts w:ascii="Times New Roman" w:eastAsia="Times New Roman" w:hAnsi="Times New Roman" w:cs="Times New Roman"/>
          <w:noProof/>
          <w:sz w:val="24"/>
          <w:szCs w:val="24"/>
        </w:rPr>
        <w:t xml:space="preserve">1. 42 USC 300 Section 1001 [300], Project Grants and Contracts for Family Planning Services. Retrieved March 1, 2013, from </w:t>
      </w:r>
      <w:hyperlink r:id="rId7" w:history="1">
        <w:r w:rsidRPr="002534C9">
          <w:rPr>
            <w:rFonts w:ascii="Times New Roman" w:eastAsia="Times New Roman" w:hAnsi="Times New Roman" w:cs="Times New Roman"/>
            <w:noProof/>
            <w:color w:val="0000FF"/>
            <w:sz w:val="24"/>
            <w:szCs w:val="24"/>
            <w:u w:val="single"/>
          </w:rPr>
          <w:t>http://www.hhs.gov/opa/pdfs/title-x-statute-attachment-a.pdf</w:t>
        </w:r>
      </w:hyperlink>
      <w:r w:rsidRPr="002534C9">
        <w:rPr>
          <w:rFonts w:ascii="Times New Roman" w:eastAsia="Times New Roman" w:hAnsi="Times New Roman" w:cs="Times New Roman"/>
          <w:noProof/>
          <w:sz w:val="24"/>
          <w:szCs w:val="24"/>
        </w:rPr>
        <w:t>; 1970.</w:t>
      </w:r>
      <w:bookmarkEnd w:id="8"/>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9" w:name="_ENREF_2"/>
      <w:r w:rsidRPr="002534C9">
        <w:rPr>
          <w:rFonts w:ascii="Times New Roman" w:eastAsia="Times New Roman" w:hAnsi="Times New Roman" w:cs="Times New Roman"/>
          <w:noProof/>
          <w:sz w:val="24"/>
          <w:szCs w:val="24"/>
        </w:rPr>
        <w:t xml:space="preserve">2. 42 USC 300 Section 1006 [300a-4], Regulations and Payments. Retrieved March 1, 2013, from </w:t>
      </w:r>
      <w:hyperlink r:id="rId8" w:history="1">
        <w:r w:rsidRPr="002534C9">
          <w:rPr>
            <w:rFonts w:ascii="Times New Roman" w:eastAsia="Times New Roman" w:hAnsi="Times New Roman" w:cs="Times New Roman"/>
            <w:noProof/>
            <w:color w:val="0000FF"/>
            <w:sz w:val="24"/>
            <w:szCs w:val="24"/>
            <w:u w:val="single"/>
          </w:rPr>
          <w:t>http://www.hhs.gov/opa/pdfs/title-x-statute-attachment-a.pdf</w:t>
        </w:r>
      </w:hyperlink>
      <w:r w:rsidRPr="002534C9">
        <w:rPr>
          <w:rFonts w:ascii="Times New Roman" w:eastAsia="Times New Roman" w:hAnsi="Times New Roman" w:cs="Times New Roman"/>
          <w:noProof/>
          <w:sz w:val="24"/>
          <w:szCs w:val="24"/>
        </w:rPr>
        <w:t xml:space="preserve"> ; 1970.</w:t>
      </w:r>
      <w:bookmarkEnd w:id="9"/>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0" w:name="_ENREF_3"/>
      <w:r w:rsidRPr="002534C9">
        <w:rPr>
          <w:rFonts w:ascii="Times New Roman" w:eastAsia="Times New Roman" w:hAnsi="Times New Roman" w:cs="Times New Roman"/>
          <w:noProof/>
          <w:sz w:val="24"/>
          <w:szCs w:val="24"/>
        </w:rPr>
        <w:t xml:space="preserve">3. 42 Code of Federal Regulations (CFR) Part 59, Grants for Family Planning Services (October 1, 2000). Retrieved March 1, 2013, from </w:t>
      </w:r>
      <w:hyperlink r:id="rId9" w:history="1">
        <w:r w:rsidRPr="002534C9">
          <w:rPr>
            <w:rFonts w:ascii="Times New Roman" w:eastAsia="Times New Roman" w:hAnsi="Times New Roman" w:cs="Times New Roman"/>
            <w:noProof/>
            <w:color w:val="0000FF"/>
            <w:sz w:val="24"/>
            <w:szCs w:val="24"/>
            <w:u w:val="single"/>
          </w:rPr>
          <w:t>http://www.hhs.gov/opa/pdfs/42-cfr-59-b.pdf</w:t>
        </w:r>
      </w:hyperlink>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1" w:name="_ENREF_4"/>
      <w:bookmarkEnd w:id="10"/>
      <w:r w:rsidRPr="002534C9">
        <w:rPr>
          <w:rFonts w:ascii="Times New Roman" w:eastAsia="Times New Roman" w:hAnsi="Times New Roman" w:cs="Times New Roman"/>
          <w:noProof/>
          <w:sz w:val="24"/>
          <w:szCs w:val="24"/>
        </w:rPr>
        <w:t>4. Frost JJ, Zolna, M. Contraceptive Needs and Services, 2013 Update. New York, New York: Guttmacher Institute; 2015.</w:t>
      </w:r>
      <w:bookmarkEnd w:id="11"/>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2" w:name="_ENREF_5"/>
      <w:r w:rsidRPr="002534C9">
        <w:rPr>
          <w:rFonts w:ascii="Times New Roman" w:eastAsia="Times New Roman" w:hAnsi="Times New Roman" w:cs="Times New Roman"/>
          <w:noProof/>
          <w:sz w:val="24"/>
          <w:szCs w:val="24"/>
        </w:rPr>
        <w:t>5. Frost JJ, Frohwirth L, Purcell, A. The Availability and Use of Publicly Funded Family Planning Clinics: U.S. Trends, 1994–2001. Perspectives on Sexual and Reproductive Health 2004;36:206-15.</w:t>
      </w:r>
      <w:bookmarkEnd w:id="12"/>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3" w:name="_ENREF_6"/>
      <w:r w:rsidRPr="002534C9">
        <w:rPr>
          <w:rFonts w:ascii="Times New Roman" w:eastAsia="Times New Roman" w:hAnsi="Times New Roman" w:cs="Times New Roman"/>
          <w:noProof/>
          <w:sz w:val="24"/>
          <w:szCs w:val="24"/>
        </w:rPr>
        <w:t xml:space="preserve">6. 45 CFR Part 74, Uniform Administrative Requirements for Awards and Subawards to Institutions of Higher Education, Hospitals, Other Nonprofit Organizations, and Certain Grants and Agreements with States, Local Governments and Indian Tribal Governments. Retrieved March 1, 2013, from </w:t>
      </w:r>
      <w:hyperlink r:id="rId10" w:history="1">
        <w:r w:rsidRPr="002534C9">
          <w:rPr>
            <w:rFonts w:ascii="Times New Roman" w:eastAsia="Times New Roman" w:hAnsi="Times New Roman" w:cs="Times New Roman"/>
            <w:noProof/>
            <w:color w:val="0000FF"/>
            <w:sz w:val="24"/>
            <w:szCs w:val="24"/>
            <w:u w:val="single"/>
          </w:rPr>
          <w:t>http://www.hhs.gov/opa/grants-and-funding/grant-forms-and-references/45-cfr-74.html</w:t>
        </w:r>
      </w:hyperlink>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4" w:name="_ENREF_7"/>
      <w:bookmarkEnd w:id="13"/>
      <w:r w:rsidRPr="002534C9">
        <w:rPr>
          <w:rFonts w:ascii="Times New Roman" w:eastAsia="Times New Roman" w:hAnsi="Times New Roman" w:cs="Times New Roman"/>
          <w:noProof/>
          <w:sz w:val="24"/>
          <w:szCs w:val="24"/>
        </w:rPr>
        <w:t xml:space="preserve">7. 45 CFR Part 92, Uniform Administrative Requirements for Grants and Cooperative Agreements to State and Local Governments. Retrieved March 1, 2013, from </w:t>
      </w:r>
      <w:hyperlink r:id="rId11" w:history="1">
        <w:r w:rsidRPr="002534C9">
          <w:rPr>
            <w:rFonts w:ascii="Times New Roman" w:eastAsia="Times New Roman" w:hAnsi="Times New Roman" w:cs="Times New Roman"/>
            <w:noProof/>
            <w:color w:val="0000FF"/>
            <w:sz w:val="24"/>
            <w:szCs w:val="24"/>
            <w:u w:val="single"/>
          </w:rPr>
          <w:t>http://www.hhs.gov/opa/pdfs/45-cfr-92.pdf</w:t>
        </w:r>
      </w:hyperlink>
      <w:r w:rsidRPr="002534C9">
        <w:rPr>
          <w:rFonts w:ascii="Times New Roman" w:eastAsia="Times New Roman" w:hAnsi="Times New Roman" w:cs="Times New Roman"/>
          <w:noProof/>
          <w:sz w:val="24"/>
          <w:szCs w:val="24"/>
        </w:rPr>
        <w:t>.</w:t>
      </w:r>
      <w:bookmarkEnd w:id="14"/>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5" w:name="_ENREF_8"/>
      <w:r w:rsidRPr="002534C9">
        <w:rPr>
          <w:rFonts w:ascii="Times New Roman" w:eastAsia="Times New Roman" w:hAnsi="Times New Roman" w:cs="Times New Roman"/>
          <w:noProof/>
          <w:sz w:val="24"/>
          <w:szCs w:val="24"/>
        </w:rPr>
        <w:t xml:space="preserve">8. FY13 Announcement of Anticipated Availability of Funds for Family Planning Services Grants (CFDA: 93.217). 2013. RetrievedMarch 27, 2013, from </w:t>
      </w:r>
      <w:hyperlink r:id="rId12" w:history="1">
        <w:r w:rsidRPr="002534C9">
          <w:rPr>
            <w:rFonts w:ascii="Times New Roman" w:eastAsia="Times New Roman" w:hAnsi="Times New Roman" w:cs="Times New Roman"/>
            <w:noProof/>
            <w:color w:val="0000FF"/>
            <w:sz w:val="24"/>
            <w:szCs w:val="24"/>
            <w:u w:val="single"/>
          </w:rPr>
          <w:t>https://www.grantsolutions.gov/gs/preaward/previewPublicAnnouncement.do?id=15585.</w:t>
        </w:r>
      </w:hyperlink>
      <w:bookmarkEnd w:id="15"/>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6" w:name="_ENREF_9"/>
      <w:r w:rsidRPr="002534C9">
        <w:rPr>
          <w:rFonts w:ascii="Times New Roman" w:eastAsia="Times New Roman" w:hAnsi="Times New Roman" w:cs="Times New Roman"/>
          <w:noProof/>
          <w:sz w:val="24"/>
          <w:szCs w:val="24"/>
        </w:rPr>
        <w:t xml:space="preserve">9. 42 U.S. Code (USC) 300, Chapter 6A, Subchapter VIII-Title X of the Public Health Service Act, Population Research and Voluntary Family Planning Programs. Retrieved March 1, 2013, from </w:t>
      </w:r>
      <w:hyperlink r:id="rId13" w:history="1">
        <w:r w:rsidRPr="002534C9">
          <w:rPr>
            <w:rFonts w:ascii="Times New Roman" w:eastAsia="Times New Roman" w:hAnsi="Times New Roman" w:cs="Times New Roman"/>
            <w:noProof/>
            <w:color w:val="0000FF"/>
            <w:sz w:val="24"/>
            <w:szCs w:val="24"/>
            <w:u w:val="single"/>
          </w:rPr>
          <w:t>http://www.hhs.gov/opa/pdfs/title-x-statute-attachment-a.pdf</w:t>
        </w:r>
      </w:hyperlink>
      <w:r w:rsidRPr="002534C9">
        <w:rPr>
          <w:rFonts w:ascii="Times New Roman" w:eastAsia="Times New Roman" w:hAnsi="Times New Roman" w:cs="Times New Roman"/>
          <w:noProof/>
          <w:sz w:val="24"/>
          <w:szCs w:val="24"/>
        </w:rPr>
        <w:t>; 1970.</w:t>
      </w:r>
      <w:bookmarkEnd w:id="16"/>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7" w:name="_ENREF_10"/>
      <w:r w:rsidRPr="002534C9">
        <w:rPr>
          <w:rFonts w:ascii="Times New Roman" w:eastAsia="Times New Roman" w:hAnsi="Times New Roman" w:cs="Times New Roman"/>
          <w:noProof/>
          <w:sz w:val="24"/>
          <w:szCs w:val="24"/>
        </w:rPr>
        <w:t>10. HHS Office of Population Affairs. Program Requirements for Title X Funded Family Planning Projects. USDHHS, Version 1.0 ed., Washington, D.C., April 2014.</w:t>
      </w:r>
      <w:bookmarkEnd w:id="17"/>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8" w:name="_ENREF_11"/>
      <w:r w:rsidRPr="002534C9">
        <w:rPr>
          <w:rFonts w:ascii="Times New Roman" w:eastAsia="Times New Roman" w:hAnsi="Times New Roman" w:cs="Times New Roman"/>
          <w:noProof/>
          <w:sz w:val="24"/>
          <w:szCs w:val="24"/>
        </w:rPr>
        <w:t>11. Gavin L, Carter, M, et al. Providing Quality Family Planning Services Recommendations of CDC and the U.S. Office of Population Affairs MMWR 2014;63.</w:t>
      </w:r>
      <w:bookmarkEnd w:id="18"/>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19" w:name="_ENREF_12"/>
      <w:r w:rsidRPr="002534C9">
        <w:rPr>
          <w:rFonts w:ascii="Times New Roman" w:eastAsia="Times New Roman" w:hAnsi="Times New Roman" w:cs="Times New Roman"/>
          <w:noProof/>
          <w:sz w:val="24"/>
          <w:szCs w:val="24"/>
        </w:rPr>
        <w:t>12. Office of Management and Budget. Revisions to the Standards for the Classification of Federal Data on Race and Ethnicity. Fed Regist October 30, 1997;62:58782-90.</w:t>
      </w:r>
      <w:bookmarkEnd w:id="19"/>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0" w:name="_ENREF_13"/>
      <w:r w:rsidRPr="002534C9">
        <w:rPr>
          <w:rFonts w:ascii="Times New Roman" w:eastAsia="Times New Roman" w:hAnsi="Times New Roman" w:cs="Times New Roman"/>
          <w:noProof/>
          <w:sz w:val="24"/>
          <w:szCs w:val="24"/>
        </w:rPr>
        <w:t>13. Fowler CI, Gable, J, Wang J, &amp; Lasater B. Family Planning Annual Report: 2014 National Summary. Research Triangle Park, NC: RTI International; 2015 August 2015.</w:t>
      </w:r>
      <w:bookmarkEnd w:id="20"/>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1" w:name="_ENREF_14"/>
      <w:r w:rsidRPr="002534C9">
        <w:rPr>
          <w:rFonts w:ascii="Times New Roman" w:eastAsia="Times New Roman" w:hAnsi="Times New Roman" w:cs="Times New Roman"/>
          <w:noProof/>
          <w:sz w:val="24"/>
          <w:szCs w:val="24"/>
        </w:rPr>
        <w:t>14. Bernstein J, Chollet D, Peterson S. How Does Insurance Coverage Improve Health Outcomes? Washington, DC: Mathematica Policy Research, Inc.; April 2010.</w:t>
      </w:r>
      <w:bookmarkEnd w:id="21"/>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2" w:name="_ENREF_15"/>
      <w:r w:rsidRPr="002534C9">
        <w:rPr>
          <w:rFonts w:ascii="Times New Roman" w:eastAsia="Times New Roman" w:hAnsi="Times New Roman" w:cs="Times New Roman"/>
          <w:noProof/>
          <w:sz w:val="24"/>
          <w:szCs w:val="24"/>
        </w:rPr>
        <w:t>15.The Henry J. Kaiser Family Foundation. Women's Health Insurance Coverage. Washington, DC: The Henry J. Kaiser Family Foundation; October 2012.</w:t>
      </w:r>
      <w:bookmarkEnd w:id="22"/>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3" w:name="_ENREF_16"/>
      <w:r w:rsidRPr="002534C9">
        <w:rPr>
          <w:rFonts w:ascii="Times New Roman" w:eastAsia="Times New Roman" w:hAnsi="Times New Roman" w:cs="Times New Roman"/>
          <w:noProof/>
          <w:sz w:val="24"/>
          <w:szCs w:val="24"/>
        </w:rPr>
        <w:lastRenderedPageBreak/>
        <w:t>16. Frost JJ. U.S. Women's Reliance on Publicly Funded Family Planning Clinics as Their Usual Source of Medical Care. 2008 NSFG Research Conference. Hyattsville, MD; 2008:18.</w:t>
      </w:r>
      <w:bookmarkEnd w:id="23"/>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4" w:name="_ENREF_17"/>
      <w:r w:rsidRPr="002534C9">
        <w:rPr>
          <w:rFonts w:ascii="Times New Roman" w:eastAsia="Times New Roman" w:hAnsi="Times New Roman" w:cs="Times New Roman"/>
          <w:noProof/>
          <w:sz w:val="24"/>
          <w:szCs w:val="24"/>
        </w:rPr>
        <w:t>17. Summer L. The Impact of the Affordable Care Act on the Safety Net. Washington, DC: AcademyHealth; April 2011.</w:t>
      </w:r>
      <w:bookmarkEnd w:id="24"/>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5" w:name="_ENREF_18"/>
      <w:r w:rsidRPr="002534C9">
        <w:rPr>
          <w:rFonts w:ascii="Times New Roman" w:eastAsia="Times New Roman" w:hAnsi="Times New Roman" w:cs="Times New Roman"/>
          <w:noProof/>
          <w:sz w:val="24"/>
          <w:szCs w:val="24"/>
        </w:rPr>
        <w:t>18. Witgert KE, Hess C. Issues and Policy Options in Sustaining a Safety Net Infrastructure to Meet the Health Care Needs of Vulnerable Populations. Washington, DC: National Academy for State Health Policy; October 2012.</w:t>
      </w:r>
      <w:bookmarkEnd w:id="25"/>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6" w:name="_ENREF_19"/>
      <w:r w:rsidRPr="002534C9">
        <w:rPr>
          <w:rFonts w:ascii="Times New Roman" w:eastAsia="Times New Roman" w:hAnsi="Times New Roman" w:cs="Times New Roman"/>
          <w:noProof/>
          <w:sz w:val="24"/>
          <w:szCs w:val="24"/>
        </w:rPr>
        <w:t>19. Kenney GM, Zuckerman S, Dubay L, et al. Opting in to the Medicaid Expansion under the ACA: Who are the Uninsured Adults Who Could Gain Health Insurance Coverage? Washington, DC: Urban Institute; August 2012.</w:t>
      </w:r>
      <w:bookmarkEnd w:id="26"/>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7" w:name="_ENREF_20"/>
      <w:r w:rsidRPr="002534C9">
        <w:rPr>
          <w:rFonts w:ascii="Times New Roman" w:eastAsia="Times New Roman" w:hAnsi="Times New Roman" w:cs="Times New Roman"/>
          <w:noProof/>
          <w:sz w:val="24"/>
          <w:szCs w:val="24"/>
        </w:rPr>
        <w:t>20. Contract No. HHSP 233200800516. Establishment of a Family Planning Sentinel Clinic Network, September 30, 2008-September 29, 2011.</w:t>
      </w:r>
      <w:bookmarkEnd w:id="27"/>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8" w:name="_ENREF_21"/>
      <w:r w:rsidRPr="002534C9">
        <w:rPr>
          <w:rFonts w:ascii="Times New Roman" w:eastAsia="Times New Roman" w:hAnsi="Times New Roman" w:cs="Times New Roman"/>
          <w:noProof/>
          <w:sz w:val="24"/>
          <w:szCs w:val="24"/>
        </w:rPr>
        <w:t>21. RTI International. 2011 FPAR: Data Validation, Quality, and Transition Report. Research Triangle Park, NC: RTI; 2012.</w:t>
      </w:r>
      <w:bookmarkEnd w:id="28"/>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29" w:name="_ENREF_22"/>
      <w:r w:rsidRPr="002534C9">
        <w:rPr>
          <w:rFonts w:ascii="Times New Roman" w:eastAsia="Times New Roman" w:hAnsi="Times New Roman" w:cs="Times New Roman"/>
          <w:noProof/>
          <w:sz w:val="24"/>
          <w:szCs w:val="24"/>
        </w:rPr>
        <w:t>22. RTI International. 2011 FPAR Submission Report. Research Triangle Park, NC: RTI; 2012.</w:t>
      </w:r>
      <w:bookmarkEnd w:id="29"/>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30" w:name="_ENREF_23"/>
      <w:r w:rsidRPr="002534C9">
        <w:rPr>
          <w:rFonts w:ascii="Times New Roman" w:eastAsia="Times New Roman" w:hAnsi="Times New Roman" w:cs="Times New Roman"/>
          <w:noProof/>
          <w:sz w:val="24"/>
          <w:szCs w:val="24"/>
        </w:rPr>
        <w:t>23. RTI International. Family Planning Annual Report Burden Study. Research Triangle Park, NC: RTI; 2009.</w:t>
      </w:r>
      <w:bookmarkEnd w:id="30"/>
    </w:p>
    <w:p w:rsidR="002534C9" w:rsidRPr="002534C9" w:rsidRDefault="002534C9" w:rsidP="002534C9">
      <w:pPr>
        <w:spacing w:after="120" w:line="240" w:lineRule="auto"/>
        <w:rPr>
          <w:rFonts w:ascii="Times New Roman" w:eastAsia="Times New Roman" w:hAnsi="Times New Roman" w:cs="Times New Roman"/>
          <w:noProof/>
          <w:sz w:val="24"/>
          <w:szCs w:val="24"/>
        </w:rPr>
      </w:pPr>
      <w:bookmarkStart w:id="31" w:name="_ENREF_24"/>
      <w:r w:rsidRPr="002534C9">
        <w:rPr>
          <w:rFonts w:ascii="Times New Roman" w:eastAsia="Times New Roman" w:hAnsi="Times New Roman" w:cs="Times New Roman"/>
          <w:noProof/>
          <w:sz w:val="24"/>
          <w:szCs w:val="24"/>
        </w:rPr>
        <w:t>24. Bureau of Labor Statistics. May 2011 National Industry-Specific Occupational Employment and Wage Estimates: Sector 62-Health Care and Social Assistance; March 2012.</w:t>
      </w:r>
      <w:bookmarkEnd w:id="31"/>
    </w:p>
    <w:p w:rsidR="002534C9" w:rsidRPr="002534C9" w:rsidRDefault="002534C9" w:rsidP="002534C9">
      <w:pPr>
        <w:spacing w:after="120" w:line="240" w:lineRule="auto"/>
        <w:ind w:left="720" w:hanging="720"/>
        <w:rPr>
          <w:rFonts w:ascii="Times New Roman" w:eastAsia="Times New Roman" w:hAnsi="Times New Roman" w:cs="Times New Roman"/>
          <w:noProof/>
        </w:rPr>
      </w:pPr>
      <w:r w:rsidRPr="002534C9">
        <w:rPr>
          <w:rFonts w:ascii="Times New Roman" w:eastAsia="Times New Roman" w:hAnsi="Times New Roman" w:cs="Times New Roman"/>
          <w:noProof/>
        </w:rPr>
        <w:fldChar w:fldCharType="end"/>
      </w:r>
    </w:p>
    <w:p w:rsidR="002534C9" w:rsidRPr="002534C9" w:rsidRDefault="002534C9" w:rsidP="002534C9">
      <w:pPr>
        <w:spacing w:before="60" w:after="60" w:line="240" w:lineRule="auto"/>
        <w:ind w:left="720" w:hanging="720"/>
        <w:rPr>
          <w:rFonts w:ascii="Times New Roman" w:eastAsia="Times New Roman" w:hAnsi="Times New Roman" w:cs="Times New Roman"/>
          <w:sz w:val="24"/>
          <w:szCs w:val="24"/>
        </w:rPr>
      </w:pPr>
    </w:p>
    <w:p w:rsidR="00C53124" w:rsidRDefault="002534C9"/>
    <w:sectPr w:rsidR="00C53124" w:rsidSect="00760BBD">
      <w:pgSz w:w="12320" w:h="1580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notTrueType/>
    <w:pitch w:val="default"/>
    <w:sig w:usb0="00000003" w:usb1="00000000" w:usb2="00000000" w:usb3="00000000" w:csb0="00000001" w:csb1="00000000"/>
  </w:font>
  <w:font w:name="14">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2">
    <w:nsid w:val="498713E8"/>
    <w:multiLevelType w:val="hybridMultilevel"/>
    <w:tmpl w:val="8264D3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C9"/>
    <w:rsid w:val="002534C9"/>
    <w:rsid w:val="00610057"/>
    <w:rsid w:val="0095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534C9"/>
    <w:pPr>
      <w:widowControl w:val="0"/>
      <w:numPr>
        <w:numId w:val="2"/>
      </w:numPr>
      <w:autoSpaceDE w:val="0"/>
      <w:autoSpaceDN w:val="0"/>
      <w:adjustRightInd w:val="0"/>
      <w:spacing w:before="240" w:after="0" w:line="240" w:lineRule="auto"/>
      <w:outlineLvl w:val="2"/>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4C9"/>
    <w:rPr>
      <w:rFonts w:ascii="Times New Roman" w:eastAsia="Times New Roman" w:hAnsi="Times New Roman" w:cs="Times New Roman"/>
      <w:sz w:val="20"/>
      <w:szCs w:val="24"/>
    </w:rPr>
  </w:style>
  <w:style w:type="paragraph" w:styleId="ListParagraph">
    <w:name w:val="List Paragraph"/>
    <w:basedOn w:val="Normal"/>
    <w:uiPriority w:val="34"/>
    <w:qFormat/>
    <w:rsid w:val="00253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534C9"/>
    <w:pPr>
      <w:widowControl w:val="0"/>
      <w:numPr>
        <w:numId w:val="2"/>
      </w:numPr>
      <w:autoSpaceDE w:val="0"/>
      <w:autoSpaceDN w:val="0"/>
      <w:adjustRightInd w:val="0"/>
      <w:spacing w:before="240" w:after="0" w:line="240" w:lineRule="auto"/>
      <w:outlineLvl w:val="2"/>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4C9"/>
    <w:rPr>
      <w:rFonts w:ascii="Times New Roman" w:eastAsia="Times New Roman" w:hAnsi="Times New Roman" w:cs="Times New Roman"/>
      <w:sz w:val="20"/>
      <w:szCs w:val="24"/>
    </w:rPr>
  </w:style>
  <w:style w:type="paragraph" w:styleId="ListParagraph">
    <w:name w:val="List Paragraph"/>
    <w:basedOn w:val="Normal"/>
    <w:uiPriority w:val="34"/>
    <w:qFormat/>
    <w:rsid w:val="0025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pa/pdfs/title-x-statute-attachment-a.pdf" TargetMode="External"/><Relationship Id="rId13" Type="http://schemas.openxmlformats.org/officeDocument/2006/relationships/hyperlink" Target="http://www.hhs.gov/opa/pdfs/title-x-statute-attachment-a.pdf" TargetMode="External"/><Relationship Id="rId3" Type="http://schemas.microsoft.com/office/2007/relationships/stylesWithEffects" Target="stylesWithEffects.xml"/><Relationship Id="rId7" Type="http://schemas.openxmlformats.org/officeDocument/2006/relationships/hyperlink" Target="http://www.hhs.gov/opa/pdfs/title-x-statute-attachment-a.pdf" TargetMode="External"/><Relationship Id="rId12" Type="http://schemas.openxmlformats.org/officeDocument/2006/relationships/hyperlink" Target="https://www.grantsolutions.gov/gs/preaward/previewPublicAnnouncement.do?id=15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par.opa.hhs.gov" TargetMode="External"/><Relationship Id="rId11" Type="http://schemas.openxmlformats.org/officeDocument/2006/relationships/hyperlink" Target="http://www.hhs.gov/opa/pdfs/45-cfr-9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pa/grants-and-funding/grant-forms-and-references/45-cfr-74.html" TargetMode="External"/><Relationship Id="rId4" Type="http://schemas.openxmlformats.org/officeDocument/2006/relationships/settings" Target="settings.xml"/><Relationship Id="rId9" Type="http://schemas.openxmlformats.org/officeDocument/2006/relationships/hyperlink" Target="http://www.hhs.gov/opa/pdfs/42-cfr-59-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2016-07-05T18:40:00Z</dcterms:created>
  <dcterms:modified xsi:type="dcterms:W3CDTF">2016-07-05T18:42:00Z</dcterms:modified>
</cp:coreProperties>
</file>