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31AEE" w14:textId="77777777" w:rsidR="00421095" w:rsidRPr="00596C3F" w:rsidRDefault="00207226" w:rsidP="00421095">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Pr>
          <w:b/>
          <w:bCs/>
        </w:rPr>
        <w:t>P</w:t>
      </w:r>
      <w:bookmarkStart w:id="0" w:name="_GoBack"/>
      <w:bookmarkEnd w:id="0"/>
      <w:r>
        <w:rPr>
          <w:b/>
          <w:bCs/>
        </w:rPr>
        <w:t xml:space="preserve">art B. </w:t>
      </w:r>
      <w:r w:rsidR="00421095" w:rsidRPr="00596C3F">
        <w:rPr>
          <w:b/>
          <w:bCs/>
        </w:rPr>
        <w:t>Collection of Information Employing Statistical Methods</w:t>
      </w:r>
    </w:p>
    <w:p w14:paraId="09ECFBA0" w14:textId="77777777" w:rsidR="00421095" w:rsidRPr="00596C3F" w:rsidRDefault="00421095" w:rsidP="00421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37DD076" w14:textId="77777777" w:rsidR="00F84901" w:rsidRPr="00596C3F" w:rsidRDefault="00F84901" w:rsidP="00F84901">
      <w:pPr>
        <w:pStyle w:val="ListParagraph"/>
        <w:numPr>
          <w:ilvl w:val="0"/>
          <w:numId w:val="5"/>
        </w:numPr>
        <w:rPr>
          <w:b/>
          <w:u w:val="single"/>
        </w:rPr>
      </w:pPr>
      <w:r w:rsidRPr="00596C3F">
        <w:rPr>
          <w:b/>
          <w:u w:val="single"/>
        </w:rPr>
        <w:t>Universe and Respondent Selection</w:t>
      </w:r>
    </w:p>
    <w:p w14:paraId="6CB32691" w14:textId="77777777" w:rsidR="00F84901" w:rsidRPr="00596C3F" w:rsidRDefault="00F84901" w:rsidP="00F84901">
      <w:pPr>
        <w:pStyle w:val="SP-SglSpPara"/>
        <w:ind w:firstLine="0"/>
        <w:jc w:val="left"/>
        <w:rPr>
          <w:sz w:val="24"/>
          <w:szCs w:val="24"/>
        </w:rPr>
      </w:pPr>
    </w:p>
    <w:p w14:paraId="2FDB7180" w14:textId="738C5D20" w:rsidR="00F84901" w:rsidRDefault="00F84901" w:rsidP="00F84901">
      <w:pPr>
        <w:pStyle w:val="SP-SglSpPara"/>
        <w:ind w:firstLine="0"/>
        <w:jc w:val="left"/>
        <w:rPr>
          <w:sz w:val="24"/>
          <w:szCs w:val="24"/>
        </w:rPr>
      </w:pPr>
      <w:r w:rsidRPr="00596C3F">
        <w:rPr>
          <w:sz w:val="24"/>
          <w:szCs w:val="24"/>
        </w:rPr>
        <w:t xml:space="preserve">The target population for the </w:t>
      </w:r>
      <w:r w:rsidRPr="00B478DB">
        <w:rPr>
          <w:sz w:val="24"/>
          <w:szCs w:val="24"/>
        </w:rPr>
        <w:t xml:space="preserve">2016 </w:t>
      </w:r>
      <w:r>
        <w:rPr>
          <w:sz w:val="24"/>
          <w:szCs w:val="24"/>
        </w:rPr>
        <w:t>Law Enforcement Management and Administrative Statistics</w:t>
      </w:r>
      <w:r w:rsidRPr="00B478DB">
        <w:rPr>
          <w:sz w:val="24"/>
          <w:szCs w:val="24"/>
        </w:rPr>
        <w:t xml:space="preserve"> (</w:t>
      </w:r>
      <w:r>
        <w:rPr>
          <w:sz w:val="24"/>
          <w:szCs w:val="24"/>
        </w:rPr>
        <w:t>LEMAS</w:t>
      </w:r>
      <w:r w:rsidRPr="00B478DB">
        <w:rPr>
          <w:sz w:val="24"/>
          <w:szCs w:val="24"/>
        </w:rPr>
        <w:t xml:space="preserve">) </w:t>
      </w:r>
      <w:r>
        <w:rPr>
          <w:sz w:val="24"/>
          <w:szCs w:val="24"/>
        </w:rPr>
        <w:t xml:space="preserve">survey </w:t>
      </w:r>
      <w:r w:rsidRPr="00596C3F">
        <w:rPr>
          <w:sz w:val="24"/>
          <w:szCs w:val="24"/>
        </w:rPr>
        <w:t xml:space="preserve">is all local </w:t>
      </w:r>
      <w:r w:rsidR="00E42BA9">
        <w:rPr>
          <w:sz w:val="24"/>
          <w:szCs w:val="24"/>
        </w:rPr>
        <w:t xml:space="preserve">and county </w:t>
      </w:r>
      <w:r w:rsidRPr="00596C3F">
        <w:rPr>
          <w:sz w:val="24"/>
          <w:szCs w:val="24"/>
        </w:rPr>
        <w:t>police, sheriff</w:t>
      </w:r>
      <w:r w:rsidR="00E42BA9">
        <w:rPr>
          <w:sz w:val="24"/>
          <w:szCs w:val="24"/>
        </w:rPr>
        <w:t xml:space="preserve"> departments</w:t>
      </w:r>
      <w:r w:rsidRPr="00596C3F">
        <w:rPr>
          <w:sz w:val="24"/>
          <w:szCs w:val="24"/>
        </w:rPr>
        <w:t xml:space="preserve">, and </w:t>
      </w:r>
      <w:r w:rsidR="00E42BA9">
        <w:rPr>
          <w:sz w:val="24"/>
          <w:szCs w:val="24"/>
        </w:rPr>
        <w:t xml:space="preserve">primary </w:t>
      </w:r>
      <w:r w:rsidRPr="00596C3F">
        <w:rPr>
          <w:sz w:val="24"/>
          <w:szCs w:val="24"/>
        </w:rPr>
        <w:t xml:space="preserve">state police agencies </w:t>
      </w:r>
      <w:r w:rsidR="00A50A7E">
        <w:rPr>
          <w:sz w:val="24"/>
          <w:szCs w:val="24"/>
        </w:rPr>
        <w:t xml:space="preserve">that employ the equivalent of </w:t>
      </w:r>
      <w:r w:rsidRPr="00596C3F">
        <w:rPr>
          <w:sz w:val="24"/>
          <w:szCs w:val="24"/>
        </w:rPr>
        <w:t>at least one full</w:t>
      </w:r>
      <w:r w:rsidR="00A50A7E">
        <w:rPr>
          <w:sz w:val="24"/>
          <w:szCs w:val="24"/>
        </w:rPr>
        <w:t>-</w:t>
      </w:r>
      <w:r w:rsidRPr="00596C3F">
        <w:rPr>
          <w:sz w:val="24"/>
          <w:szCs w:val="24"/>
        </w:rPr>
        <w:t>time sworn officer</w:t>
      </w:r>
      <w:r w:rsidR="00C54A43">
        <w:rPr>
          <w:sz w:val="24"/>
          <w:szCs w:val="24"/>
        </w:rPr>
        <w:t xml:space="preserve"> (FTE)</w:t>
      </w:r>
      <w:r w:rsidRPr="00596C3F">
        <w:rPr>
          <w:sz w:val="24"/>
          <w:szCs w:val="24"/>
        </w:rPr>
        <w:t>.</w:t>
      </w:r>
      <w:r w:rsidR="006F5F0F">
        <w:rPr>
          <w:rStyle w:val="FootnoteReference"/>
          <w:sz w:val="24"/>
          <w:szCs w:val="24"/>
        </w:rPr>
        <w:footnoteReference w:id="1"/>
      </w:r>
      <w:r w:rsidRPr="00596C3F">
        <w:rPr>
          <w:sz w:val="24"/>
          <w:szCs w:val="24"/>
        </w:rPr>
        <w:t xml:space="preserve"> </w:t>
      </w:r>
      <w:r w:rsidR="000573C0">
        <w:rPr>
          <w:sz w:val="24"/>
          <w:szCs w:val="24"/>
        </w:rPr>
        <w:t xml:space="preserve">The 2016 </w:t>
      </w:r>
      <w:r>
        <w:rPr>
          <w:sz w:val="24"/>
          <w:szCs w:val="24"/>
        </w:rPr>
        <w:t>LEMAS</w:t>
      </w:r>
      <w:r w:rsidRPr="00596C3F">
        <w:rPr>
          <w:sz w:val="24"/>
          <w:szCs w:val="24"/>
        </w:rPr>
        <w:t xml:space="preserve"> will use the </w:t>
      </w:r>
      <w:r w:rsidR="00A30300">
        <w:rPr>
          <w:sz w:val="24"/>
          <w:szCs w:val="24"/>
        </w:rPr>
        <w:t>2014 Census of State and Local Law Enforcement Agencies (CSLLEA)</w:t>
      </w:r>
      <w:r w:rsidRPr="00596C3F">
        <w:rPr>
          <w:sz w:val="24"/>
          <w:szCs w:val="24"/>
        </w:rPr>
        <w:t xml:space="preserve"> to identify the universe of eligible </w:t>
      </w:r>
      <w:r w:rsidR="00226164">
        <w:rPr>
          <w:sz w:val="24"/>
          <w:szCs w:val="24"/>
        </w:rPr>
        <w:t>agencies</w:t>
      </w:r>
      <w:r w:rsidRPr="00596C3F">
        <w:rPr>
          <w:sz w:val="24"/>
          <w:szCs w:val="24"/>
        </w:rPr>
        <w:t xml:space="preserve">. The sample of </w:t>
      </w:r>
      <w:r w:rsidR="00AE707C">
        <w:rPr>
          <w:sz w:val="24"/>
          <w:szCs w:val="24"/>
        </w:rPr>
        <w:t xml:space="preserve">law enforcement </w:t>
      </w:r>
      <w:r w:rsidRPr="00596C3F">
        <w:rPr>
          <w:sz w:val="24"/>
          <w:szCs w:val="24"/>
        </w:rPr>
        <w:t xml:space="preserve">agencies </w:t>
      </w:r>
      <w:r w:rsidR="00AE707C">
        <w:rPr>
          <w:sz w:val="24"/>
          <w:szCs w:val="24"/>
        </w:rPr>
        <w:t xml:space="preserve">(LEAs) </w:t>
      </w:r>
      <w:r w:rsidRPr="00596C3F">
        <w:rPr>
          <w:sz w:val="24"/>
          <w:szCs w:val="24"/>
        </w:rPr>
        <w:t xml:space="preserve">to be surveyed </w:t>
      </w:r>
      <w:r w:rsidR="00AE707C">
        <w:rPr>
          <w:sz w:val="24"/>
          <w:szCs w:val="24"/>
        </w:rPr>
        <w:t xml:space="preserve">for the 2016 LEMAS </w:t>
      </w:r>
      <w:r w:rsidRPr="00596C3F">
        <w:rPr>
          <w:sz w:val="24"/>
          <w:szCs w:val="24"/>
        </w:rPr>
        <w:t>will be drawn from this list based upon the sampling design described below</w:t>
      </w:r>
      <w:r>
        <w:rPr>
          <w:sz w:val="24"/>
          <w:szCs w:val="24"/>
        </w:rPr>
        <w:t>.</w:t>
      </w:r>
    </w:p>
    <w:p w14:paraId="109E19D7" w14:textId="77777777" w:rsidR="00D365E4" w:rsidRPr="00596C3F" w:rsidRDefault="00D365E4" w:rsidP="004630DD"/>
    <w:p w14:paraId="1C51F485" w14:textId="77777777" w:rsidR="00F84901" w:rsidRPr="00D534B2" w:rsidRDefault="00F84901" w:rsidP="00F84901">
      <w:pPr>
        <w:rPr>
          <w:u w:val="single"/>
        </w:rPr>
      </w:pPr>
      <w:r w:rsidRPr="00D534B2">
        <w:rPr>
          <w:u w:val="single"/>
        </w:rPr>
        <w:t>Sampling Frame</w:t>
      </w:r>
    </w:p>
    <w:p w14:paraId="0F1E5AA0" w14:textId="7B5FE39A" w:rsidR="000573C0" w:rsidRDefault="00F84901" w:rsidP="00F84901">
      <w:r w:rsidRPr="00B62B62">
        <w:t xml:space="preserve">The CSLLEA is the most systematic source of national data on the number of sworn and non-sworn personnel employed by </w:t>
      </w:r>
      <w:r w:rsidR="00AE707C">
        <w:t>LEAs</w:t>
      </w:r>
      <w:r w:rsidRPr="00B62B62">
        <w:t xml:space="preserve"> nationwide</w:t>
      </w:r>
      <w:r w:rsidR="00787BF0">
        <w:t xml:space="preserve">. </w:t>
      </w:r>
      <w:r w:rsidR="006F5F0F">
        <w:t xml:space="preserve">The CSLLEA is a census of all general and special purpose law enforcement agencies in the U.S. </w:t>
      </w:r>
      <w:r w:rsidR="007D4974">
        <w:t xml:space="preserve">It </w:t>
      </w:r>
      <w:r w:rsidR="00787BF0">
        <w:t>collects information on</w:t>
      </w:r>
      <w:r w:rsidRPr="00B62B62">
        <w:t xml:space="preserve"> </w:t>
      </w:r>
      <w:r w:rsidR="00AE707C">
        <w:t>LEA</w:t>
      </w:r>
      <w:r w:rsidRPr="00B62B62">
        <w:t xml:space="preserve"> functions, facilities, personnel, and budget. </w:t>
      </w:r>
      <w:r w:rsidR="000573C0">
        <w:t xml:space="preserve">The CSLLEA </w:t>
      </w:r>
      <w:r w:rsidR="00A30300">
        <w:t xml:space="preserve">frame was created by using the 2008 CSLLEA and updating this content by obtaining </w:t>
      </w:r>
      <w:r w:rsidR="000573C0">
        <w:t xml:space="preserve">each states’ </w:t>
      </w:r>
      <w:r w:rsidR="00A30300">
        <w:t xml:space="preserve">most current </w:t>
      </w:r>
      <w:r w:rsidR="000573C0">
        <w:t xml:space="preserve">Police Officer Standards and Training (POST) agency </w:t>
      </w:r>
      <w:r w:rsidR="00A30300">
        <w:t>list</w:t>
      </w:r>
      <w:r w:rsidR="000573C0">
        <w:t xml:space="preserve">. Information from the </w:t>
      </w:r>
      <w:r w:rsidR="00A30300">
        <w:t xml:space="preserve">2008 </w:t>
      </w:r>
      <w:r w:rsidR="000573C0">
        <w:t>CSLLEA</w:t>
      </w:r>
      <w:r w:rsidR="00A30300">
        <w:t xml:space="preserve"> and POST lists were</w:t>
      </w:r>
      <w:r w:rsidR="000573C0">
        <w:t xml:space="preserve"> merged and vetted</w:t>
      </w:r>
      <w:r w:rsidR="007D4974">
        <w:t>,</w:t>
      </w:r>
      <w:r w:rsidR="000573C0">
        <w:t xml:space="preserve"> resulting in the most comprehensive list of law enforcement agencies known. </w:t>
      </w:r>
    </w:p>
    <w:p w14:paraId="1A876A78" w14:textId="77777777" w:rsidR="00AE707C" w:rsidRPr="00B62B62" w:rsidRDefault="00AE707C" w:rsidP="00F84901"/>
    <w:p w14:paraId="580C35DD" w14:textId="77777777" w:rsidR="00F84901" w:rsidRPr="00D534B2" w:rsidRDefault="00F84901" w:rsidP="00F84901">
      <w:pPr>
        <w:rPr>
          <w:u w:val="single"/>
        </w:rPr>
      </w:pPr>
      <w:r w:rsidRPr="00D534B2">
        <w:rPr>
          <w:u w:val="single"/>
        </w:rPr>
        <w:t>LEMAS Sampling Designs and Response Rates</w:t>
      </w:r>
    </w:p>
    <w:p w14:paraId="677B48EF" w14:textId="3B10AD76" w:rsidR="00F84901" w:rsidRPr="00B62B62" w:rsidRDefault="00F84901" w:rsidP="00F84901">
      <w:r w:rsidRPr="00B62B62">
        <w:t xml:space="preserve">The </w:t>
      </w:r>
      <w:r>
        <w:t>LEMAS</w:t>
      </w:r>
      <w:r w:rsidRPr="00B62B62">
        <w:t xml:space="preserve"> will use a sampling design based on the protocol used to develop the sample for </w:t>
      </w:r>
      <w:proofErr w:type="gramStart"/>
      <w:r>
        <w:t>past</w:t>
      </w:r>
      <w:proofErr w:type="gramEnd"/>
      <w:r w:rsidRPr="00B62B62">
        <w:t xml:space="preserve"> LEMAS </w:t>
      </w:r>
      <w:r>
        <w:t>s</w:t>
      </w:r>
      <w:r w:rsidRPr="00B62B62">
        <w:t>urvey</w:t>
      </w:r>
      <w:r>
        <w:t>s</w:t>
      </w:r>
      <w:r w:rsidRPr="00B62B62">
        <w:t xml:space="preserve">. Specifically, LEMAS uses a stratified simple random sample design in which LEAs are stratified by agency type and agency size. Agency type has three categories: (1) local police, (2) </w:t>
      </w:r>
      <w:r w:rsidR="00696348">
        <w:t>s</w:t>
      </w:r>
      <w:r w:rsidRPr="00B62B62">
        <w:t xml:space="preserve">heriff’s offices, and (3) state police. To obtain a representative sample of all agency sizes, the sample is stratified by agency size. Agency size is split into seven categories: (1) 1 </w:t>
      </w:r>
      <w:r w:rsidR="00C54A43">
        <w:t>FTE</w:t>
      </w:r>
      <w:r w:rsidRPr="00B62B62">
        <w:t xml:space="preserve">, (2) 2 – 4 </w:t>
      </w:r>
      <w:r w:rsidR="00C54A43">
        <w:t>FTEs</w:t>
      </w:r>
      <w:r w:rsidRPr="00B62B62">
        <w:t xml:space="preserve"> (3) 5 – 9 </w:t>
      </w:r>
      <w:r w:rsidR="00C54A43">
        <w:t>FTEs</w:t>
      </w:r>
      <w:r w:rsidRPr="00B62B62">
        <w:t xml:space="preserve">, (4) 10 – 24 </w:t>
      </w:r>
      <w:r w:rsidR="00C54A43">
        <w:t>FTEs</w:t>
      </w:r>
      <w:r w:rsidRPr="00B62B62">
        <w:t xml:space="preserve">, (5) 25 – 49 </w:t>
      </w:r>
      <w:r w:rsidR="00C54A43">
        <w:t>FTEs</w:t>
      </w:r>
      <w:r w:rsidRPr="00B62B62">
        <w:t xml:space="preserve">, (6) 50 – 99 </w:t>
      </w:r>
      <w:r w:rsidR="00C54A43">
        <w:t>FTEs</w:t>
      </w:r>
      <w:r w:rsidRPr="00B62B62">
        <w:t xml:space="preserve">, and (7) 100 or more </w:t>
      </w:r>
      <w:r w:rsidR="00C54A43">
        <w:t>FTEs</w:t>
      </w:r>
      <w:r w:rsidRPr="00B62B62">
        <w:t xml:space="preserve">. In the LEMAS, LEAs with 100 or more </w:t>
      </w:r>
      <w:r w:rsidR="00C54A43">
        <w:t>FTEs</w:t>
      </w:r>
      <w:r w:rsidR="00C54A43" w:rsidRPr="00B62B62">
        <w:t xml:space="preserve"> </w:t>
      </w:r>
      <w:r w:rsidRPr="00B62B62">
        <w:t>are sampled with certainty</w:t>
      </w:r>
      <w:r w:rsidR="00787BF0">
        <w:t xml:space="preserve"> making </w:t>
      </w:r>
      <w:r w:rsidRPr="00B62B62">
        <w:t xml:space="preserve">these agencies self-representing (SR). For agencies with less than 100 </w:t>
      </w:r>
      <w:r w:rsidR="00C54A43">
        <w:t xml:space="preserve">FTEs </w:t>
      </w:r>
      <w:r w:rsidR="00FE43C2">
        <w:t>(non-</w:t>
      </w:r>
      <w:r w:rsidR="00787BF0">
        <w:t>self-representing)</w:t>
      </w:r>
      <w:r w:rsidRPr="00B62B62">
        <w:t>, the LEMAS has employed various allocation methods depending on the analytic goals of the particular iteration.</w:t>
      </w:r>
    </w:p>
    <w:p w14:paraId="7FA9D701" w14:textId="77777777" w:rsidR="00F84901" w:rsidRDefault="00F84901" w:rsidP="00F84901">
      <w:pPr>
        <w:pStyle w:val="SP-SglSpPara"/>
        <w:ind w:firstLine="0"/>
        <w:jc w:val="left"/>
        <w:rPr>
          <w:sz w:val="24"/>
          <w:szCs w:val="24"/>
        </w:rPr>
      </w:pPr>
    </w:p>
    <w:p w14:paraId="31AA4DEE" w14:textId="049F6CF7" w:rsidR="00F84901" w:rsidRPr="00B62B62" w:rsidRDefault="00F84901" w:rsidP="00F84901">
      <w:r w:rsidRPr="00B62B62">
        <w:t>The LEMAS has traditionally experienced a high response rate. For example, the 2013 LEMAS had an overall response rate of 86.3</w:t>
      </w:r>
      <w:r w:rsidR="00696348">
        <w:t xml:space="preserve"> percent</w:t>
      </w:r>
      <w:r w:rsidRPr="00B62B62">
        <w:t xml:space="preserve">. However, as seen in </w:t>
      </w:r>
      <w:r w:rsidRPr="00B62B62">
        <w:rPr>
          <w:b/>
          <w:bCs/>
        </w:rPr>
        <w:t>Table 1</w:t>
      </w:r>
      <w:r w:rsidRPr="00B62B62">
        <w:t xml:space="preserve">, the response rate varied by agency type and agency size. </w:t>
      </w:r>
      <w:r>
        <w:t xml:space="preserve">Additionally, many of these agencies, particularly those in the SR strata, will have received multiple surveys within a short time frame – a body worn camera survey from </w:t>
      </w:r>
      <w:r w:rsidR="00787BF0">
        <w:t>the Police Executive Research Forum (PERF)</w:t>
      </w:r>
      <w:r w:rsidR="0068628D">
        <w:t xml:space="preserve"> and</w:t>
      </w:r>
      <w:r>
        <w:t xml:space="preserve"> the </w:t>
      </w:r>
      <w:r w:rsidRPr="00AD5DAF">
        <w:t xml:space="preserve">2016 </w:t>
      </w:r>
      <w:r w:rsidR="00787BF0">
        <w:t xml:space="preserve">LEMAS </w:t>
      </w:r>
      <w:r w:rsidRPr="00AD5DAF">
        <w:t>Bod</w:t>
      </w:r>
      <w:r>
        <w:t>y-Worn Camera Survey Supplement</w:t>
      </w:r>
      <w:r w:rsidRPr="00B62B62">
        <w:t xml:space="preserve">. </w:t>
      </w:r>
      <w:r w:rsidR="0068628D">
        <w:t>As a result</w:t>
      </w:r>
      <w:r w:rsidRPr="00B62B62">
        <w:t>, we will assume a response rate that differs by agency type and size with lower response rates for smaller agencies</w:t>
      </w:r>
      <w:r>
        <w:t xml:space="preserve"> than </w:t>
      </w:r>
      <w:r w:rsidR="007D45D3">
        <w:t xml:space="preserve">in </w:t>
      </w:r>
      <w:r>
        <w:t>previous LEMAS waves</w:t>
      </w:r>
      <w:r w:rsidRPr="00B62B62">
        <w:t xml:space="preserve">. </w:t>
      </w:r>
    </w:p>
    <w:p w14:paraId="28AB9125" w14:textId="77777777" w:rsidR="00A30300" w:rsidRDefault="00A30300" w:rsidP="00156904">
      <w:pPr>
        <w:keepNext/>
        <w:spacing w:after="200"/>
        <w:ind w:right="90"/>
        <w:rPr>
          <w:rFonts w:eastAsia="Calibri"/>
          <w:b/>
          <w:bCs/>
        </w:rPr>
      </w:pPr>
    </w:p>
    <w:p w14:paraId="0505BCB5" w14:textId="3B9FFE50" w:rsidR="00F84901" w:rsidRPr="002E1515" w:rsidRDefault="00F84901" w:rsidP="00156904">
      <w:pPr>
        <w:keepNext/>
        <w:spacing w:after="200"/>
        <w:ind w:right="90"/>
        <w:rPr>
          <w:rFonts w:eastAsia="Calibri"/>
          <w:b/>
          <w:bCs/>
        </w:rPr>
      </w:pPr>
      <w:r w:rsidRPr="002E1515">
        <w:rPr>
          <w:rFonts w:eastAsia="Calibri"/>
          <w:b/>
          <w:bCs/>
        </w:rPr>
        <w:t xml:space="preserve">Table </w:t>
      </w:r>
      <w:r w:rsidRPr="002E1515">
        <w:rPr>
          <w:rFonts w:eastAsia="Calibri"/>
          <w:b/>
          <w:bCs/>
        </w:rPr>
        <w:fldChar w:fldCharType="begin"/>
      </w:r>
      <w:r w:rsidRPr="002E1515">
        <w:rPr>
          <w:rFonts w:eastAsia="Calibri"/>
          <w:b/>
          <w:bCs/>
        </w:rPr>
        <w:instrText xml:space="preserve"> SEQ Table \* ARABIC </w:instrText>
      </w:r>
      <w:r w:rsidRPr="002E1515">
        <w:rPr>
          <w:rFonts w:eastAsia="Calibri"/>
          <w:b/>
          <w:bCs/>
        </w:rPr>
        <w:fldChar w:fldCharType="separate"/>
      </w:r>
      <w:r w:rsidR="00140B9D">
        <w:rPr>
          <w:rFonts w:eastAsia="Calibri"/>
          <w:b/>
          <w:bCs/>
          <w:noProof/>
        </w:rPr>
        <w:t>1</w:t>
      </w:r>
      <w:r w:rsidRPr="002E1515">
        <w:rPr>
          <w:rFonts w:eastAsia="Calibri"/>
          <w:b/>
          <w:bCs/>
        </w:rPr>
        <w:fldChar w:fldCharType="end"/>
      </w:r>
      <w:r w:rsidRPr="002E1515">
        <w:rPr>
          <w:rFonts w:eastAsia="Calibri"/>
          <w:b/>
          <w:bCs/>
        </w:rPr>
        <w:t>: 2013 LEMA</w:t>
      </w:r>
      <w:r w:rsidR="0037297B">
        <w:rPr>
          <w:rFonts w:eastAsia="Calibri"/>
          <w:b/>
          <w:bCs/>
        </w:rPr>
        <w:t>S</w:t>
      </w:r>
      <w:r w:rsidR="00DD5DDC">
        <w:rPr>
          <w:rFonts w:eastAsia="Calibri"/>
          <w:b/>
          <w:bCs/>
        </w:rPr>
        <w:t xml:space="preserve"> survey r</w:t>
      </w:r>
      <w:r w:rsidRPr="002E1515">
        <w:rPr>
          <w:rFonts w:eastAsia="Calibri"/>
          <w:b/>
          <w:bCs/>
        </w:rPr>
        <w:t xml:space="preserve">esponse </w:t>
      </w:r>
      <w:r w:rsidR="00DD5DDC">
        <w:rPr>
          <w:rFonts w:eastAsia="Calibri"/>
          <w:b/>
          <w:bCs/>
        </w:rPr>
        <w:t>r</w:t>
      </w:r>
      <w:r w:rsidRPr="002E1515">
        <w:rPr>
          <w:rFonts w:eastAsia="Calibri"/>
          <w:b/>
          <w:bCs/>
        </w:rPr>
        <w:t>ates</w:t>
      </w:r>
      <w:r w:rsidR="0037297B">
        <w:rPr>
          <w:rFonts w:eastAsia="Calibri"/>
          <w:b/>
          <w:bCs/>
        </w:rPr>
        <w:t>,</w:t>
      </w:r>
      <w:r w:rsidR="00DD5DDC">
        <w:rPr>
          <w:rFonts w:eastAsia="Calibri"/>
          <w:b/>
          <w:bCs/>
        </w:rPr>
        <w:t xml:space="preserve"> by agency t</w:t>
      </w:r>
      <w:r w:rsidRPr="002E1515">
        <w:rPr>
          <w:rFonts w:eastAsia="Calibri"/>
          <w:b/>
          <w:bCs/>
        </w:rPr>
        <w:t xml:space="preserve">ype and </w:t>
      </w:r>
      <w:r w:rsidR="00DD5DDC">
        <w:rPr>
          <w:rFonts w:eastAsia="Calibri"/>
          <w:b/>
          <w:bCs/>
        </w:rPr>
        <w:t>s</w:t>
      </w:r>
      <w:r w:rsidRPr="002E1515">
        <w:rPr>
          <w:rFonts w:eastAsia="Calibri"/>
          <w:b/>
          <w:bCs/>
        </w:rPr>
        <w:t>ize</w:t>
      </w:r>
    </w:p>
    <w:tbl>
      <w:tblPr>
        <w:tblStyle w:val="TableGrid"/>
        <w:tblW w:w="0" w:type="auto"/>
        <w:tblLook w:val="04A0" w:firstRow="1" w:lastRow="0" w:firstColumn="1" w:lastColumn="0" w:noHBand="0" w:noVBand="1"/>
      </w:tblPr>
      <w:tblGrid>
        <w:gridCol w:w="1615"/>
        <w:gridCol w:w="1350"/>
        <w:gridCol w:w="990"/>
        <w:gridCol w:w="1170"/>
      </w:tblGrid>
      <w:tr w:rsidR="00F84901" w:rsidRPr="002E1515" w14:paraId="5EFDBB3A" w14:textId="77777777" w:rsidTr="00156904">
        <w:tc>
          <w:tcPr>
            <w:tcW w:w="1615" w:type="dxa"/>
            <w:shd w:val="clear" w:color="auto" w:fill="C6D9F1" w:themeFill="text2" w:themeFillTint="33"/>
          </w:tcPr>
          <w:p w14:paraId="48251796" w14:textId="77777777" w:rsidR="00F84901" w:rsidRPr="002E1515" w:rsidRDefault="00F84901" w:rsidP="00D534B2">
            <w:pPr>
              <w:jc w:val="center"/>
            </w:pPr>
            <w:r w:rsidRPr="002E1515">
              <w:t>Agency Type</w:t>
            </w:r>
          </w:p>
        </w:tc>
        <w:tc>
          <w:tcPr>
            <w:tcW w:w="1350" w:type="dxa"/>
            <w:shd w:val="clear" w:color="auto" w:fill="C6D9F1" w:themeFill="text2" w:themeFillTint="33"/>
          </w:tcPr>
          <w:p w14:paraId="5206B94C" w14:textId="77777777" w:rsidR="00F84901" w:rsidRPr="002E1515" w:rsidRDefault="0037297B" w:rsidP="00D534B2">
            <w:pPr>
              <w:jc w:val="center"/>
            </w:pPr>
            <w:r>
              <w:t xml:space="preserve">Agency </w:t>
            </w:r>
            <w:proofErr w:type="spellStart"/>
            <w:r>
              <w:t>Size</w:t>
            </w:r>
            <w:r w:rsidRPr="00D534B2">
              <w:rPr>
                <w:vertAlign w:val="superscript"/>
              </w:rPr>
              <w:t>a</w:t>
            </w:r>
            <w:proofErr w:type="spellEnd"/>
          </w:p>
        </w:tc>
        <w:tc>
          <w:tcPr>
            <w:tcW w:w="990" w:type="dxa"/>
            <w:shd w:val="clear" w:color="auto" w:fill="C6D9F1" w:themeFill="text2" w:themeFillTint="33"/>
          </w:tcPr>
          <w:p w14:paraId="66FF7059" w14:textId="77777777" w:rsidR="00F84901" w:rsidRPr="002E1515" w:rsidRDefault="00F84901" w:rsidP="00D534B2">
            <w:pPr>
              <w:jc w:val="center"/>
            </w:pPr>
            <w:r w:rsidRPr="002E1515">
              <w:t>Sample Size</w:t>
            </w:r>
          </w:p>
        </w:tc>
        <w:tc>
          <w:tcPr>
            <w:tcW w:w="1170" w:type="dxa"/>
            <w:shd w:val="clear" w:color="auto" w:fill="C6D9F1" w:themeFill="text2" w:themeFillTint="33"/>
          </w:tcPr>
          <w:p w14:paraId="7085FB11" w14:textId="77777777" w:rsidR="00F84901" w:rsidRPr="002E1515" w:rsidRDefault="00F84901" w:rsidP="00D534B2">
            <w:pPr>
              <w:jc w:val="center"/>
            </w:pPr>
            <w:r w:rsidRPr="002E1515">
              <w:t>Response Rate</w:t>
            </w:r>
          </w:p>
        </w:tc>
      </w:tr>
      <w:tr w:rsidR="00F84901" w:rsidRPr="002E1515" w14:paraId="169FFB5D" w14:textId="77777777" w:rsidTr="00156904">
        <w:tc>
          <w:tcPr>
            <w:tcW w:w="1615" w:type="dxa"/>
            <w:vMerge w:val="restart"/>
          </w:tcPr>
          <w:p w14:paraId="47048A3E" w14:textId="77777777" w:rsidR="00F84901" w:rsidRPr="002E1515" w:rsidRDefault="00F84901" w:rsidP="00F84901">
            <w:r w:rsidRPr="002E1515">
              <w:t>Local Police</w:t>
            </w:r>
          </w:p>
        </w:tc>
        <w:tc>
          <w:tcPr>
            <w:tcW w:w="1350" w:type="dxa"/>
            <w:vAlign w:val="bottom"/>
          </w:tcPr>
          <w:p w14:paraId="14385520" w14:textId="77777777" w:rsidR="00F84901" w:rsidRPr="002E1515" w:rsidRDefault="00F84901" w:rsidP="00F84901">
            <w:r w:rsidRPr="002E1515">
              <w:t>100+</w:t>
            </w:r>
          </w:p>
        </w:tc>
        <w:tc>
          <w:tcPr>
            <w:tcW w:w="990" w:type="dxa"/>
            <w:vAlign w:val="bottom"/>
          </w:tcPr>
          <w:p w14:paraId="502675FB" w14:textId="77777777" w:rsidR="00F84901" w:rsidRPr="002E1515" w:rsidRDefault="00F84901" w:rsidP="00F84901">
            <w:pPr>
              <w:jc w:val="right"/>
            </w:pPr>
            <w:r w:rsidRPr="002E1515">
              <w:t>632</w:t>
            </w:r>
          </w:p>
        </w:tc>
        <w:tc>
          <w:tcPr>
            <w:tcW w:w="1170" w:type="dxa"/>
            <w:vAlign w:val="bottom"/>
          </w:tcPr>
          <w:p w14:paraId="6E88F15A" w14:textId="77777777" w:rsidR="00F84901" w:rsidRPr="002E1515" w:rsidRDefault="00F84901" w:rsidP="00F84901">
            <w:pPr>
              <w:jc w:val="right"/>
            </w:pPr>
            <w:r w:rsidRPr="002E1515">
              <w:t>91.1%</w:t>
            </w:r>
          </w:p>
        </w:tc>
      </w:tr>
      <w:tr w:rsidR="00F84901" w:rsidRPr="002E1515" w14:paraId="20402A75" w14:textId="77777777" w:rsidTr="00156904">
        <w:tc>
          <w:tcPr>
            <w:tcW w:w="1615" w:type="dxa"/>
            <w:vMerge/>
          </w:tcPr>
          <w:p w14:paraId="127AE765" w14:textId="77777777" w:rsidR="00F84901" w:rsidRPr="002E1515" w:rsidRDefault="00F84901" w:rsidP="00F84901"/>
        </w:tc>
        <w:tc>
          <w:tcPr>
            <w:tcW w:w="1350" w:type="dxa"/>
            <w:vAlign w:val="bottom"/>
          </w:tcPr>
          <w:p w14:paraId="100BC18C" w14:textId="77777777" w:rsidR="00F84901" w:rsidRPr="002E1515" w:rsidRDefault="00F84901" w:rsidP="00F84901">
            <w:r w:rsidRPr="002E1515">
              <w:t>50-99</w:t>
            </w:r>
          </w:p>
        </w:tc>
        <w:tc>
          <w:tcPr>
            <w:tcW w:w="990" w:type="dxa"/>
            <w:vAlign w:val="bottom"/>
          </w:tcPr>
          <w:p w14:paraId="2E0CBFA6" w14:textId="77777777" w:rsidR="00F84901" w:rsidRPr="002E1515" w:rsidRDefault="00F84901" w:rsidP="00F84901">
            <w:pPr>
              <w:jc w:val="right"/>
            </w:pPr>
            <w:r w:rsidRPr="002E1515">
              <w:t>311</w:t>
            </w:r>
          </w:p>
        </w:tc>
        <w:tc>
          <w:tcPr>
            <w:tcW w:w="1170" w:type="dxa"/>
            <w:vAlign w:val="bottom"/>
          </w:tcPr>
          <w:p w14:paraId="3A210817" w14:textId="77777777" w:rsidR="00F84901" w:rsidRPr="002E1515" w:rsidRDefault="00F84901" w:rsidP="00F84901">
            <w:pPr>
              <w:jc w:val="right"/>
            </w:pPr>
            <w:r w:rsidRPr="002E1515">
              <w:t>91.3%</w:t>
            </w:r>
          </w:p>
        </w:tc>
      </w:tr>
      <w:tr w:rsidR="00F84901" w:rsidRPr="002E1515" w14:paraId="4734C533" w14:textId="77777777" w:rsidTr="00156904">
        <w:tc>
          <w:tcPr>
            <w:tcW w:w="1615" w:type="dxa"/>
            <w:vMerge/>
          </w:tcPr>
          <w:p w14:paraId="58A984A6" w14:textId="77777777" w:rsidR="00F84901" w:rsidRPr="002E1515" w:rsidRDefault="00F84901" w:rsidP="00F84901"/>
        </w:tc>
        <w:tc>
          <w:tcPr>
            <w:tcW w:w="1350" w:type="dxa"/>
            <w:vAlign w:val="bottom"/>
          </w:tcPr>
          <w:p w14:paraId="7A52AC58" w14:textId="77777777" w:rsidR="00F84901" w:rsidRPr="002E1515" w:rsidRDefault="00F84901" w:rsidP="00F84901">
            <w:r w:rsidRPr="002E1515">
              <w:t>25-49</w:t>
            </w:r>
          </w:p>
        </w:tc>
        <w:tc>
          <w:tcPr>
            <w:tcW w:w="990" w:type="dxa"/>
            <w:vAlign w:val="bottom"/>
          </w:tcPr>
          <w:p w14:paraId="50AA9637" w14:textId="77777777" w:rsidR="00F84901" w:rsidRPr="002E1515" w:rsidRDefault="00F84901" w:rsidP="00F84901">
            <w:pPr>
              <w:jc w:val="right"/>
            </w:pPr>
            <w:r w:rsidRPr="002E1515">
              <w:t>366</w:t>
            </w:r>
          </w:p>
        </w:tc>
        <w:tc>
          <w:tcPr>
            <w:tcW w:w="1170" w:type="dxa"/>
            <w:vAlign w:val="bottom"/>
          </w:tcPr>
          <w:p w14:paraId="3B51ABB3" w14:textId="77777777" w:rsidR="00F84901" w:rsidRPr="002E1515" w:rsidRDefault="00F84901" w:rsidP="00F84901">
            <w:pPr>
              <w:jc w:val="right"/>
            </w:pPr>
            <w:r w:rsidRPr="002E1515">
              <w:t>89.0%</w:t>
            </w:r>
          </w:p>
        </w:tc>
      </w:tr>
      <w:tr w:rsidR="00F84901" w:rsidRPr="002E1515" w14:paraId="524A76DB" w14:textId="77777777" w:rsidTr="00156904">
        <w:tc>
          <w:tcPr>
            <w:tcW w:w="1615" w:type="dxa"/>
            <w:vMerge/>
          </w:tcPr>
          <w:p w14:paraId="4E7E00D4" w14:textId="77777777" w:rsidR="00F84901" w:rsidRPr="002E1515" w:rsidRDefault="00F84901" w:rsidP="00F84901"/>
        </w:tc>
        <w:tc>
          <w:tcPr>
            <w:tcW w:w="1350" w:type="dxa"/>
            <w:vAlign w:val="bottom"/>
          </w:tcPr>
          <w:p w14:paraId="52F2B3E9" w14:textId="77777777" w:rsidR="00F84901" w:rsidRPr="002E1515" w:rsidRDefault="00F84901" w:rsidP="00F84901">
            <w:r w:rsidRPr="002E1515">
              <w:t>10-24</w:t>
            </w:r>
          </w:p>
        </w:tc>
        <w:tc>
          <w:tcPr>
            <w:tcW w:w="990" w:type="dxa"/>
            <w:vAlign w:val="bottom"/>
          </w:tcPr>
          <w:p w14:paraId="43ECC4E4" w14:textId="77777777" w:rsidR="00F84901" w:rsidRPr="002E1515" w:rsidRDefault="00F84901" w:rsidP="00F84901">
            <w:pPr>
              <w:jc w:val="right"/>
            </w:pPr>
            <w:r w:rsidRPr="002E1515">
              <w:t>457</w:t>
            </w:r>
          </w:p>
        </w:tc>
        <w:tc>
          <w:tcPr>
            <w:tcW w:w="1170" w:type="dxa"/>
            <w:vAlign w:val="bottom"/>
          </w:tcPr>
          <w:p w14:paraId="6D4A3119" w14:textId="77777777" w:rsidR="00F84901" w:rsidRPr="002E1515" w:rsidRDefault="00F84901" w:rsidP="00F84901">
            <w:pPr>
              <w:jc w:val="right"/>
            </w:pPr>
            <w:r w:rsidRPr="002E1515">
              <w:t>87.9%</w:t>
            </w:r>
          </w:p>
        </w:tc>
      </w:tr>
      <w:tr w:rsidR="00F84901" w:rsidRPr="002E1515" w14:paraId="526588DD" w14:textId="77777777" w:rsidTr="00156904">
        <w:tc>
          <w:tcPr>
            <w:tcW w:w="1615" w:type="dxa"/>
            <w:vMerge/>
          </w:tcPr>
          <w:p w14:paraId="0DBE8342" w14:textId="77777777" w:rsidR="00F84901" w:rsidRPr="002E1515" w:rsidRDefault="00F84901" w:rsidP="00F84901"/>
        </w:tc>
        <w:tc>
          <w:tcPr>
            <w:tcW w:w="1350" w:type="dxa"/>
            <w:vAlign w:val="bottom"/>
          </w:tcPr>
          <w:p w14:paraId="60BE2A54" w14:textId="77777777" w:rsidR="00F84901" w:rsidRPr="002E1515" w:rsidRDefault="00F84901" w:rsidP="00F84901">
            <w:r w:rsidRPr="002E1515">
              <w:t>5-9</w:t>
            </w:r>
          </w:p>
        </w:tc>
        <w:tc>
          <w:tcPr>
            <w:tcW w:w="990" w:type="dxa"/>
            <w:vAlign w:val="bottom"/>
          </w:tcPr>
          <w:p w14:paraId="7A6AD0EC" w14:textId="77777777" w:rsidR="00F84901" w:rsidRPr="002E1515" w:rsidRDefault="00F84901" w:rsidP="00F84901">
            <w:pPr>
              <w:jc w:val="right"/>
            </w:pPr>
            <w:r w:rsidRPr="002E1515">
              <w:t>347</w:t>
            </w:r>
          </w:p>
        </w:tc>
        <w:tc>
          <w:tcPr>
            <w:tcW w:w="1170" w:type="dxa"/>
            <w:vAlign w:val="bottom"/>
          </w:tcPr>
          <w:p w14:paraId="6EDDE9F7" w14:textId="77777777" w:rsidR="00F84901" w:rsidRPr="002E1515" w:rsidRDefault="00F84901" w:rsidP="00F84901">
            <w:pPr>
              <w:jc w:val="right"/>
            </w:pPr>
            <w:r w:rsidRPr="002E1515">
              <w:t>84.0%</w:t>
            </w:r>
          </w:p>
        </w:tc>
      </w:tr>
      <w:tr w:rsidR="00F84901" w:rsidRPr="002E1515" w14:paraId="4AA6B98D" w14:textId="77777777" w:rsidTr="00156904">
        <w:tc>
          <w:tcPr>
            <w:tcW w:w="1615" w:type="dxa"/>
            <w:vMerge/>
          </w:tcPr>
          <w:p w14:paraId="1C4061ED" w14:textId="77777777" w:rsidR="00F84901" w:rsidRPr="002E1515" w:rsidRDefault="00F84901" w:rsidP="00F84901"/>
        </w:tc>
        <w:tc>
          <w:tcPr>
            <w:tcW w:w="1350" w:type="dxa"/>
            <w:vAlign w:val="bottom"/>
          </w:tcPr>
          <w:p w14:paraId="6CF97A31" w14:textId="77777777" w:rsidR="00F84901" w:rsidRPr="002E1515" w:rsidRDefault="00F84901" w:rsidP="00F84901">
            <w:r w:rsidRPr="002E1515">
              <w:t>2-4</w:t>
            </w:r>
          </w:p>
        </w:tc>
        <w:tc>
          <w:tcPr>
            <w:tcW w:w="990" w:type="dxa"/>
            <w:vAlign w:val="bottom"/>
          </w:tcPr>
          <w:p w14:paraId="39D19360" w14:textId="77777777" w:rsidR="00F84901" w:rsidRPr="002E1515" w:rsidRDefault="00F84901" w:rsidP="00F84901">
            <w:pPr>
              <w:jc w:val="right"/>
            </w:pPr>
            <w:r w:rsidRPr="002E1515">
              <w:t>188</w:t>
            </w:r>
          </w:p>
        </w:tc>
        <w:tc>
          <w:tcPr>
            <w:tcW w:w="1170" w:type="dxa"/>
            <w:vAlign w:val="bottom"/>
          </w:tcPr>
          <w:p w14:paraId="380FA12B" w14:textId="77777777" w:rsidR="00F84901" w:rsidRPr="002E1515" w:rsidRDefault="00F84901" w:rsidP="00F84901">
            <w:pPr>
              <w:jc w:val="right"/>
            </w:pPr>
            <w:r w:rsidRPr="002E1515">
              <w:t>87.8%</w:t>
            </w:r>
          </w:p>
        </w:tc>
      </w:tr>
      <w:tr w:rsidR="00F84901" w:rsidRPr="002E1515" w14:paraId="403D03A6" w14:textId="77777777" w:rsidTr="00156904">
        <w:tc>
          <w:tcPr>
            <w:tcW w:w="1615" w:type="dxa"/>
            <w:vMerge/>
          </w:tcPr>
          <w:p w14:paraId="79292246" w14:textId="77777777" w:rsidR="00F84901" w:rsidRPr="002E1515" w:rsidRDefault="00F84901" w:rsidP="00F84901"/>
        </w:tc>
        <w:tc>
          <w:tcPr>
            <w:tcW w:w="1350" w:type="dxa"/>
            <w:vAlign w:val="bottom"/>
          </w:tcPr>
          <w:p w14:paraId="3A14BF48" w14:textId="77777777" w:rsidR="00F84901" w:rsidRPr="002E1515" w:rsidRDefault="00F84901" w:rsidP="00F84901">
            <w:r w:rsidRPr="002E1515">
              <w:t>1</w:t>
            </w:r>
          </w:p>
        </w:tc>
        <w:tc>
          <w:tcPr>
            <w:tcW w:w="990" w:type="dxa"/>
            <w:vAlign w:val="bottom"/>
          </w:tcPr>
          <w:p w14:paraId="48FAFDB4" w14:textId="77777777" w:rsidR="00F84901" w:rsidRPr="002E1515" w:rsidRDefault="00F84901" w:rsidP="00F84901">
            <w:pPr>
              <w:jc w:val="right"/>
            </w:pPr>
            <w:r w:rsidRPr="002E1515">
              <w:t>52</w:t>
            </w:r>
          </w:p>
        </w:tc>
        <w:tc>
          <w:tcPr>
            <w:tcW w:w="1170" w:type="dxa"/>
            <w:vAlign w:val="bottom"/>
          </w:tcPr>
          <w:p w14:paraId="5FE3C658" w14:textId="77777777" w:rsidR="00F84901" w:rsidRPr="002E1515" w:rsidRDefault="00F84901" w:rsidP="00F84901">
            <w:pPr>
              <w:jc w:val="right"/>
            </w:pPr>
            <w:r w:rsidRPr="002E1515">
              <w:t>69.8%</w:t>
            </w:r>
          </w:p>
        </w:tc>
      </w:tr>
      <w:tr w:rsidR="00F84901" w:rsidRPr="002E1515" w14:paraId="36DF18C0" w14:textId="77777777" w:rsidTr="00156904">
        <w:tc>
          <w:tcPr>
            <w:tcW w:w="1615" w:type="dxa"/>
            <w:vMerge w:val="restart"/>
          </w:tcPr>
          <w:p w14:paraId="7FC1BD6F" w14:textId="77777777" w:rsidR="00F84901" w:rsidRPr="002E1515" w:rsidRDefault="00A12BEA" w:rsidP="00D534B2">
            <w:r w:rsidRPr="002E1515">
              <w:t>Sheriff</w:t>
            </w:r>
            <w:r>
              <w:t>’s</w:t>
            </w:r>
            <w:r w:rsidRPr="002E1515">
              <w:t xml:space="preserve"> Office</w:t>
            </w:r>
          </w:p>
        </w:tc>
        <w:tc>
          <w:tcPr>
            <w:tcW w:w="1350" w:type="dxa"/>
            <w:vAlign w:val="bottom"/>
          </w:tcPr>
          <w:p w14:paraId="468D4C20" w14:textId="77777777" w:rsidR="00F84901" w:rsidRPr="002E1515" w:rsidRDefault="00F84901" w:rsidP="00F84901">
            <w:r w:rsidRPr="002E1515">
              <w:t>100+</w:t>
            </w:r>
          </w:p>
        </w:tc>
        <w:tc>
          <w:tcPr>
            <w:tcW w:w="990" w:type="dxa"/>
            <w:vAlign w:val="bottom"/>
          </w:tcPr>
          <w:p w14:paraId="35AE4AC2" w14:textId="77777777" w:rsidR="00F84901" w:rsidRPr="002E1515" w:rsidRDefault="00F84901" w:rsidP="00F84901">
            <w:pPr>
              <w:jc w:val="right"/>
            </w:pPr>
            <w:r w:rsidRPr="002E1515">
              <w:t>370</w:t>
            </w:r>
          </w:p>
        </w:tc>
        <w:tc>
          <w:tcPr>
            <w:tcW w:w="1170" w:type="dxa"/>
            <w:vAlign w:val="bottom"/>
          </w:tcPr>
          <w:p w14:paraId="7A76B3DD" w14:textId="77777777" w:rsidR="00F84901" w:rsidRPr="002E1515" w:rsidRDefault="00F84901" w:rsidP="00F84901">
            <w:pPr>
              <w:jc w:val="right"/>
            </w:pPr>
            <w:r w:rsidRPr="002E1515">
              <w:t>81.9%</w:t>
            </w:r>
          </w:p>
        </w:tc>
      </w:tr>
      <w:tr w:rsidR="00F84901" w:rsidRPr="002E1515" w14:paraId="3427DF01" w14:textId="77777777" w:rsidTr="00156904">
        <w:tc>
          <w:tcPr>
            <w:tcW w:w="1615" w:type="dxa"/>
            <w:vMerge/>
          </w:tcPr>
          <w:p w14:paraId="27C55425" w14:textId="77777777" w:rsidR="00F84901" w:rsidRPr="002E1515" w:rsidRDefault="00F84901" w:rsidP="00F84901"/>
        </w:tc>
        <w:tc>
          <w:tcPr>
            <w:tcW w:w="1350" w:type="dxa"/>
            <w:vAlign w:val="bottom"/>
          </w:tcPr>
          <w:p w14:paraId="5839D37A" w14:textId="77777777" w:rsidR="00F84901" w:rsidRPr="002E1515" w:rsidRDefault="00F84901" w:rsidP="00F84901">
            <w:r w:rsidRPr="002E1515">
              <w:t>50-99</w:t>
            </w:r>
          </w:p>
        </w:tc>
        <w:tc>
          <w:tcPr>
            <w:tcW w:w="990" w:type="dxa"/>
            <w:vAlign w:val="bottom"/>
          </w:tcPr>
          <w:p w14:paraId="3D72C676" w14:textId="77777777" w:rsidR="00F84901" w:rsidRPr="002E1515" w:rsidRDefault="00F84901" w:rsidP="00F84901">
            <w:pPr>
              <w:jc w:val="right"/>
            </w:pPr>
            <w:r w:rsidRPr="002E1515">
              <w:t>109</w:t>
            </w:r>
          </w:p>
        </w:tc>
        <w:tc>
          <w:tcPr>
            <w:tcW w:w="1170" w:type="dxa"/>
            <w:vAlign w:val="bottom"/>
          </w:tcPr>
          <w:p w14:paraId="77348038" w14:textId="77777777" w:rsidR="00F84901" w:rsidRPr="002E1515" w:rsidRDefault="00F84901" w:rsidP="00F84901">
            <w:pPr>
              <w:jc w:val="right"/>
            </w:pPr>
            <w:r w:rsidRPr="002E1515">
              <w:t>74.8%</w:t>
            </w:r>
          </w:p>
        </w:tc>
      </w:tr>
      <w:tr w:rsidR="00F84901" w:rsidRPr="002E1515" w14:paraId="6E5ADB0E" w14:textId="77777777" w:rsidTr="00156904">
        <w:tc>
          <w:tcPr>
            <w:tcW w:w="1615" w:type="dxa"/>
            <w:vMerge/>
          </w:tcPr>
          <w:p w14:paraId="78A2EA2C" w14:textId="77777777" w:rsidR="00F84901" w:rsidRPr="002E1515" w:rsidRDefault="00F84901" w:rsidP="00F84901"/>
        </w:tc>
        <w:tc>
          <w:tcPr>
            <w:tcW w:w="1350" w:type="dxa"/>
            <w:vAlign w:val="bottom"/>
          </w:tcPr>
          <w:p w14:paraId="1CFE9EC3" w14:textId="77777777" w:rsidR="00F84901" w:rsidRPr="002E1515" w:rsidRDefault="00F84901" w:rsidP="00F84901">
            <w:r w:rsidRPr="002E1515">
              <w:t>25-49</w:t>
            </w:r>
          </w:p>
        </w:tc>
        <w:tc>
          <w:tcPr>
            <w:tcW w:w="990" w:type="dxa"/>
            <w:vAlign w:val="bottom"/>
          </w:tcPr>
          <w:p w14:paraId="6F1D4D38" w14:textId="77777777" w:rsidR="00F84901" w:rsidRPr="002E1515" w:rsidRDefault="00F84901" w:rsidP="00F84901">
            <w:pPr>
              <w:jc w:val="right"/>
            </w:pPr>
            <w:r w:rsidRPr="002E1515">
              <w:t>135</w:t>
            </w:r>
          </w:p>
        </w:tc>
        <w:tc>
          <w:tcPr>
            <w:tcW w:w="1170" w:type="dxa"/>
            <w:vAlign w:val="bottom"/>
          </w:tcPr>
          <w:p w14:paraId="522847E4" w14:textId="77777777" w:rsidR="00F84901" w:rsidRPr="002E1515" w:rsidRDefault="00F84901" w:rsidP="00F84901">
            <w:pPr>
              <w:jc w:val="right"/>
            </w:pPr>
            <w:r w:rsidRPr="002E1515">
              <w:t>88.1%</w:t>
            </w:r>
          </w:p>
        </w:tc>
      </w:tr>
      <w:tr w:rsidR="00F84901" w:rsidRPr="002E1515" w14:paraId="4C7A247F" w14:textId="77777777" w:rsidTr="00156904">
        <w:tc>
          <w:tcPr>
            <w:tcW w:w="1615" w:type="dxa"/>
            <w:vMerge/>
          </w:tcPr>
          <w:p w14:paraId="2E929123" w14:textId="77777777" w:rsidR="00F84901" w:rsidRPr="002E1515" w:rsidRDefault="00F84901" w:rsidP="00F84901"/>
        </w:tc>
        <w:tc>
          <w:tcPr>
            <w:tcW w:w="1350" w:type="dxa"/>
            <w:vAlign w:val="bottom"/>
          </w:tcPr>
          <w:p w14:paraId="47D6B8AB" w14:textId="77777777" w:rsidR="00F84901" w:rsidRPr="002E1515" w:rsidRDefault="00F84901" w:rsidP="00F84901">
            <w:r w:rsidRPr="002E1515">
              <w:t>10-24</w:t>
            </w:r>
          </w:p>
        </w:tc>
        <w:tc>
          <w:tcPr>
            <w:tcW w:w="990" w:type="dxa"/>
            <w:vAlign w:val="bottom"/>
          </w:tcPr>
          <w:p w14:paraId="13774081" w14:textId="77777777" w:rsidR="00F84901" w:rsidRPr="002E1515" w:rsidRDefault="00F84901" w:rsidP="00F84901">
            <w:pPr>
              <w:jc w:val="right"/>
            </w:pPr>
            <w:r w:rsidRPr="002E1515">
              <w:t>162</w:t>
            </w:r>
          </w:p>
        </w:tc>
        <w:tc>
          <w:tcPr>
            <w:tcW w:w="1170" w:type="dxa"/>
            <w:vAlign w:val="bottom"/>
          </w:tcPr>
          <w:p w14:paraId="60F25A2C" w14:textId="77777777" w:rsidR="00F84901" w:rsidRPr="002E1515" w:rsidRDefault="00F84901" w:rsidP="00F84901">
            <w:pPr>
              <w:jc w:val="right"/>
            </w:pPr>
            <w:r w:rsidRPr="002E1515">
              <w:t>77.0%</w:t>
            </w:r>
          </w:p>
        </w:tc>
      </w:tr>
      <w:tr w:rsidR="00F84901" w:rsidRPr="002E1515" w14:paraId="54C06D80" w14:textId="77777777" w:rsidTr="00156904">
        <w:tc>
          <w:tcPr>
            <w:tcW w:w="1615" w:type="dxa"/>
            <w:vMerge/>
          </w:tcPr>
          <w:p w14:paraId="04D7062A" w14:textId="77777777" w:rsidR="00F84901" w:rsidRPr="002E1515" w:rsidRDefault="00F84901" w:rsidP="00F84901"/>
        </w:tc>
        <w:tc>
          <w:tcPr>
            <w:tcW w:w="1350" w:type="dxa"/>
            <w:vAlign w:val="bottom"/>
          </w:tcPr>
          <w:p w14:paraId="48142D8F" w14:textId="77777777" w:rsidR="00F84901" w:rsidRPr="002E1515" w:rsidRDefault="00F84901" w:rsidP="00F84901">
            <w:r w:rsidRPr="002E1515">
              <w:t>5-9</w:t>
            </w:r>
          </w:p>
        </w:tc>
        <w:tc>
          <w:tcPr>
            <w:tcW w:w="990" w:type="dxa"/>
            <w:vAlign w:val="bottom"/>
          </w:tcPr>
          <w:p w14:paraId="4924988C" w14:textId="77777777" w:rsidR="00F84901" w:rsidRPr="002E1515" w:rsidRDefault="00F84901" w:rsidP="00F84901">
            <w:pPr>
              <w:jc w:val="right"/>
            </w:pPr>
            <w:r w:rsidRPr="002E1515">
              <w:t>109</w:t>
            </w:r>
          </w:p>
        </w:tc>
        <w:tc>
          <w:tcPr>
            <w:tcW w:w="1170" w:type="dxa"/>
            <w:vAlign w:val="bottom"/>
          </w:tcPr>
          <w:p w14:paraId="1BFD0548" w14:textId="77777777" w:rsidR="00F84901" w:rsidRPr="002E1515" w:rsidRDefault="00F84901" w:rsidP="00F84901">
            <w:pPr>
              <w:jc w:val="right"/>
            </w:pPr>
            <w:r w:rsidRPr="002E1515">
              <w:t>74.5%</w:t>
            </w:r>
          </w:p>
        </w:tc>
      </w:tr>
      <w:tr w:rsidR="00F84901" w:rsidRPr="002E1515" w14:paraId="1419D054" w14:textId="77777777" w:rsidTr="00156904">
        <w:tc>
          <w:tcPr>
            <w:tcW w:w="1615" w:type="dxa"/>
            <w:vMerge/>
          </w:tcPr>
          <w:p w14:paraId="7535B93D" w14:textId="77777777" w:rsidR="00F84901" w:rsidRPr="002E1515" w:rsidRDefault="00F84901" w:rsidP="00F84901"/>
        </w:tc>
        <w:tc>
          <w:tcPr>
            <w:tcW w:w="1350" w:type="dxa"/>
            <w:vAlign w:val="bottom"/>
          </w:tcPr>
          <w:p w14:paraId="29104F06" w14:textId="77777777" w:rsidR="00F84901" w:rsidRPr="002E1515" w:rsidRDefault="00F84901" w:rsidP="00F84901">
            <w:r w:rsidRPr="002E1515">
              <w:t>2-4</w:t>
            </w:r>
          </w:p>
        </w:tc>
        <w:tc>
          <w:tcPr>
            <w:tcW w:w="990" w:type="dxa"/>
            <w:vAlign w:val="bottom"/>
          </w:tcPr>
          <w:p w14:paraId="71B46860" w14:textId="77777777" w:rsidR="00F84901" w:rsidRPr="002E1515" w:rsidRDefault="00F84901" w:rsidP="00F84901">
            <w:pPr>
              <w:jc w:val="right"/>
            </w:pPr>
            <w:r w:rsidRPr="002E1515">
              <w:t>42</w:t>
            </w:r>
          </w:p>
        </w:tc>
        <w:tc>
          <w:tcPr>
            <w:tcW w:w="1170" w:type="dxa"/>
            <w:vAlign w:val="bottom"/>
          </w:tcPr>
          <w:p w14:paraId="31152ADB" w14:textId="77777777" w:rsidR="00F84901" w:rsidRPr="002E1515" w:rsidRDefault="00F84901" w:rsidP="00F84901">
            <w:pPr>
              <w:jc w:val="right"/>
            </w:pPr>
            <w:r w:rsidRPr="002E1515">
              <w:t>85.4%</w:t>
            </w:r>
          </w:p>
        </w:tc>
      </w:tr>
      <w:tr w:rsidR="00F84901" w:rsidRPr="002E1515" w14:paraId="0A0A3CD0" w14:textId="77777777" w:rsidTr="00156904">
        <w:tc>
          <w:tcPr>
            <w:tcW w:w="1615" w:type="dxa"/>
            <w:vMerge/>
          </w:tcPr>
          <w:p w14:paraId="3D59E5E8" w14:textId="77777777" w:rsidR="00F84901" w:rsidRPr="002E1515" w:rsidRDefault="00F84901" w:rsidP="00F84901"/>
        </w:tc>
        <w:tc>
          <w:tcPr>
            <w:tcW w:w="1350" w:type="dxa"/>
            <w:vAlign w:val="bottom"/>
          </w:tcPr>
          <w:p w14:paraId="3CD5C262" w14:textId="77777777" w:rsidR="00F84901" w:rsidRPr="002E1515" w:rsidRDefault="00F84901" w:rsidP="00F84901">
            <w:r w:rsidRPr="002E1515">
              <w:t>1</w:t>
            </w:r>
          </w:p>
        </w:tc>
        <w:tc>
          <w:tcPr>
            <w:tcW w:w="990" w:type="dxa"/>
            <w:vAlign w:val="bottom"/>
          </w:tcPr>
          <w:p w14:paraId="6F8EFFEB" w14:textId="77777777" w:rsidR="00F84901" w:rsidRPr="002E1515" w:rsidRDefault="00F84901" w:rsidP="00F84901">
            <w:pPr>
              <w:jc w:val="right"/>
            </w:pPr>
            <w:r w:rsidRPr="002E1515">
              <w:t>6</w:t>
            </w:r>
          </w:p>
        </w:tc>
        <w:tc>
          <w:tcPr>
            <w:tcW w:w="1170" w:type="dxa"/>
            <w:vAlign w:val="bottom"/>
          </w:tcPr>
          <w:p w14:paraId="5BFCBDCD" w14:textId="77777777" w:rsidR="00F84901" w:rsidRPr="002E1515" w:rsidRDefault="00F84901" w:rsidP="00F84901">
            <w:pPr>
              <w:jc w:val="right"/>
            </w:pPr>
            <w:r w:rsidRPr="002E1515">
              <w:t>83.3%</w:t>
            </w:r>
          </w:p>
        </w:tc>
      </w:tr>
      <w:tr w:rsidR="00F84901" w:rsidRPr="002E1515" w14:paraId="74C0D845" w14:textId="77777777" w:rsidTr="00156904">
        <w:tc>
          <w:tcPr>
            <w:tcW w:w="1615" w:type="dxa"/>
          </w:tcPr>
          <w:p w14:paraId="45CBBB26" w14:textId="77777777" w:rsidR="00F84901" w:rsidRPr="002E1515" w:rsidRDefault="00F84901" w:rsidP="00F84901">
            <w:r w:rsidRPr="002E1515">
              <w:t>State</w:t>
            </w:r>
          </w:p>
        </w:tc>
        <w:tc>
          <w:tcPr>
            <w:tcW w:w="1350" w:type="dxa"/>
          </w:tcPr>
          <w:p w14:paraId="33D77480" w14:textId="77777777" w:rsidR="00F84901" w:rsidRPr="002E1515" w:rsidRDefault="00F84901" w:rsidP="00F84901">
            <w:r w:rsidRPr="002E1515">
              <w:t>All</w:t>
            </w:r>
          </w:p>
        </w:tc>
        <w:tc>
          <w:tcPr>
            <w:tcW w:w="990" w:type="dxa"/>
            <w:vAlign w:val="bottom"/>
          </w:tcPr>
          <w:p w14:paraId="6B9D2837" w14:textId="77777777" w:rsidR="00F84901" w:rsidRPr="002E1515" w:rsidRDefault="00F84901" w:rsidP="00F84901">
            <w:pPr>
              <w:jc w:val="right"/>
            </w:pPr>
            <w:r w:rsidRPr="002E1515">
              <w:t>50</w:t>
            </w:r>
          </w:p>
        </w:tc>
        <w:tc>
          <w:tcPr>
            <w:tcW w:w="1170" w:type="dxa"/>
            <w:vAlign w:val="bottom"/>
          </w:tcPr>
          <w:p w14:paraId="071CBE65" w14:textId="77777777" w:rsidR="00F84901" w:rsidRPr="002E1515" w:rsidRDefault="00F84901" w:rsidP="00F84901">
            <w:pPr>
              <w:jc w:val="right"/>
            </w:pPr>
            <w:r w:rsidRPr="002E1515">
              <w:t>92.0%</w:t>
            </w:r>
          </w:p>
        </w:tc>
      </w:tr>
    </w:tbl>
    <w:p w14:paraId="2535B605" w14:textId="1A8B30FB" w:rsidR="00F84901" w:rsidRPr="00D534B2" w:rsidRDefault="0037297B" w:rsidP="00156904">
      <w:pPr>
        <w:pStyle w:val="SP-SglSpPara"/>
        <w:ind w:firstLine="0"/>
        <w:jc w:val="left"/>
        <w:rPr>
          <w:sz w:val="20"/>
        </w:rPr>
      </w:pPr>
      <w:proofErr w:type="gramStart"/>
      <w:r w:rsidRPr="00C06CDB">
        <w:rPr>
          <w:vertAlign w:val="superscript"/>
        </w:rPr>
        <w:t>a</w:t>
      </w:r>
      <w:proofErr w:type="gramEnd"/>
      <w:r>
        <w:rPr>
          <w:vertAlign w:val="superscript"/>
        </w:rPr>
        <w:t xml:space="preserve"> </w:t>
      </w:r>
      <w:r w:rsidRPr="00D534B2">
        <w:rPr>
          <w:sz w:val="20"/>
        </w:rPr>
        <w:t xml:space="preserve">Number of </w:t>
      </w:r>
      <w:r w:rsidR="007D45D3">
        <w:rPr>
          <w:sz w:val="20"/>
        </w:rPr>
        <w:t>full-time sworn</w:t>
      </w:r>
      <w:r w:rsidR="007D45D3" w:rsidRPr="00D534B2">
        <w:rPr>
          <w:sz w:val="20"/>
        </w:rPr>
        <w:t xml:space="preserve"> </w:t>
      </w:r>
      <w:r w:rsidRPr="00D534B2">
        <w:rPr>
          <w:sz w:val="20"/>
        </w:rPr>
        <w:t>officers</w:t>
      </w:r>
      <w:r w:rsidR="007D45D3">
        <w:rPr>
          <w:sz w:val="20"/>
        </w:rPr>
        <w:t>.</w:t>
      </w:r>
    </w:p>
    <w:p w14:paraId="1894A779" w14:textId="77777777" w:rsidR="00696348" w:rsidRDefault="00696348" w:rsidP="00F84901">
      <w:pPr>
        <w:keepNext/>
        <w:keepLines/>
        <w:spacing w:after="200"/>
        <w:jc w:val="center"/>
        <w:rPr>
          <w:rFonts w:eastAsia="Calibri"/>
          <w:b/>
          <w:bCs/>
        </w:rPr>
      </w:pPr>
      <w:bookmarkStart w:id="1" w:name="_Ref433185524"/>
    </w:p>
    <w:p w14:paraId="19E995A4" w14:textId="77777777" w:rsidR="007D45D3" w:rsidRPr="002E1515" w:rsidRDefault="007D45D3" w:rsidP="007D45D3">
      <w:r>
        <w:t>Past experiences on the LEMAS</w:t>
      </w:r>
      <w:r w:rsidRPr="002E1515">
        <w:t xml:space="preserve"> suggest that response rates will be lower among smaller agencies and non-local agencies. </w:t>
      </w:r>
      <w:r>
        <w:t>L</w:t>
      </w:r>
      <w:r w:rsidRPr="002E1515">
        <w:t>ower response rate</w:t>
      </w:r>
      <w:r>
        <w:t>s</w:t>
      </w:r>
      <w:r w:rsidRPr="002E1515">
        <w:t xml:space="preserve"> </w:t>
      </w:r>
      <w:r>
        <w:t xml:space="preserve">and differential response rates are recognized </w:t>
      </w:r>
      <w:r w:rsidRPr="002E1515">
        <w:t>as potential limitation</w:t>
      </w:r>
      <w:r>
        <w:t>s to the 2016 LEMAS,</w:t>
      </w:r>
      <w:r w:rsidRPr="002E1515">
        <w:t xml:space="preserve"> and </w:t>
      </w:r>
      <w:r>
        <w:t xml:space="preserve">steps </w:t>
      </w:r>
      <w:r w:rsidRPr="002E1515">
        <w:t xml:space="preserve">will </w:t>
      </w:r>
      <w:r>
        <w:t xml:space="preserve">be </w:t>
      </w:r>
      <w:r w:rsidRPr="002E1515">
        <w:t>take</w:t>
      </w:r>
      <w:r>
        <w:t>n</w:t>
      </w:r>
      <w:r w:rsidRPr="002E1515">
        <w:t xml:space="preserve"> to identify and ameliorate any issues caused by </w:t>
      </w:r>
      <w:r>
        <w:t>such an occurrence</w:t>
      </w:r>
      <w:r w:rsidRPr="002E1515">
        <w:t>. First, test</w:t>
      </w:r>
      <w:r>
        <w:t>s</w:t>
      </w:r>
      <w:r w:rsidRPr="002E1515">
        <w:t xml:space="preserve"> for potential bias in response </w:t>
      </w:r>
      <w:r>
        <w:t xml:space="preserve">will be performed </w:t>
      </w:r>
      <w:r w:rsidRPr="002E1515">
        <w:t>by comparing agencies on known characteristics</w:t>
      </w:r>
      <w:r>
        <w:t>,</w:t>
      </w:r>
      <w:r w:rsidRPr="002E1515">
        <w:t xml:space="preserve"> including agency size, type, and geographic region. Second, the likelihood of potential bias </w:t>
      </w:r>
      <w:r>
        <w:t xml:space="preserve">will be reduced </w:t>
      </w:r>
      <w:r w:rsidRPr="002E1515">
        <w:t xml:space="preserve">through nonresponse adjustments, which are discussed </w:t>
      </w:r>
      <w:r w:rsidRPr="00D534B2">
        <w:t>in a later section</w:t>
      </w:r>
      <w:r>
        <w:t xml:space="preserve">. The goal of this survey is to have unbiased estimates that can be obtained with lower response rates with the proper adjustments. </w:t>
      </w:r>
      <w:r w:rsidRPr="002E1515">
        <w:rPr>
          <w:b/>
        </w:rPr>
        <w:t>Table 2</w:t>
      </w:r>
      <w:r>
        <w:t xml:space="preserve"> </w:t>
      </w:r>
      <w:r w:rsidRPr="00B62B62">
        <w:t xml:space="preserve">presents the assumed response rates for the </w:t>
      </w:r>
      <w:r>
        <w:t>2016 LEMAS</w:t>
      </w:r>
      <w:r w:rsidRPr="00B62B62">
        <w:t>.</w:t>
      </w:r>
    </w:p>
    <w:p w14:paraId="311E6F66" w14:textId="77777777" w:rsidR="007D45D3" w:rsidRDefault="007D45D3" w:rsidP="00156904">
      <w:pPr>
        <w:keepNext/>
        <w:keepLines/>
        <w:spacing w:after="200"/>
        <w:rPr>
          <w:rFonts w:eastAsia="Calibri"/>
          <w:b/>
          <w:bCs/>
        </w:rPr>
      </w:pPr>
    </w:p>
    <w:p w14:paraId="77A46615" w14:textId="7A317B2B" w:rsidR="00F84901" w:rsidRPr="008A2D7A" w:rsidRDefault="00F84901" w:rsidP="00D534B2">
      <w:pPr>
        <w:keepNext/>
        <w:keepLines/>
        <w:spacing w:after="200"/>
        <w:rPr>
          <w:rFonts w:eastAsia="Calibri"/>
          <w:b/>
          <w:bCs/>
          <w:i/>
          <w:iCs/>
          <w:color w:val="1F497D"/>
        </w:rPr>
      </w:pPr>
      <w:bookmarkStart w:id="2" w:name="_Ref442686135"/>
      <w:r w:rsidRPr="008A2D7A">
        <w:rPr>
          <w:rFonts w:eastAsia="Calibri"/>
          <w:b/>
          <w:bCs/>
        </w:rPr>
        <w:t xml:space="preserve">Table </w:t>
      </w:r>
      <w:r w:rsidRPr="008A2D7A">
        <w:rPr>
          <w:rFonts w:eastAsia="Calibri"/>
          <w:b/>
          <w:bCs/>
        </w:rPr>
        <w:fldChar w:fldCharType="begin"/>
      </w:r>
      <w:r w:rsidRPr="008A2D7A">
        <w:rPr>
          <w:rFonts w:eastAsia="Calibri"/>
          <w:b/>
          <w:bCs/>
        </w:rPr>
        <w:instrText xml:space="preserve"> SEQ Table \* ARABIC </w:instrText>
      </w:r>
      <w:r w:rsidRPr="008A2D7A">
        <w:rPr>
          <w:rFonts w:eastAsia="Calibri"/>
          <w:b/>
          <w:bCs/>
        </w:rPr>
        <w:fldChar w:fldCharType="separate"/>
      </w:r>
      <w:r w:rsidR="00140B9D">
        <w:rPr>
          <w:rFonts w:eastAsia="Calibri"/>
          <w:b/>
          <w:bCs/>
          <w:noProof/>
        </w:rPr>
        <w:t>2</w:t>
      </w:r>
      <w:r w:rsidRPr="008A2D7A">
        <w:rPr>
          <w:rFonts w:eastAsia="Calibri"/>
          <w:b/>
          <w:bCs/>
        </w:rPr>
        <w:fldChar w:fldCharType="end"/>
      </w:r>
      <w:bookmarkEnd w:id="1"/>
      <w:bookmarkEnd w:id="2"/>
      <w:r w:rsidR="00DD5DDC">
        <w:rPr>
          <w:rFonts w:eastAsia="Calibri"/>
          <w:b/>
          <w:bCs/>
        </w:rPr>
        <w:t>: Assumed r</w:t>
      </w:r>
      <w:r w:rsidRPr="008A2D7A">
        <w:rPr>
          <w:rFonts w:eastAsia="Calibri"/>
          <w:b/>
          <w:bCs/>
        </w:rPr>
        <w:t xml:space="preserve">esponse </w:t>
      </w:r>
      <w:r w:rsidR="00DD5DDC">
        <w:rPr>
          <w:rFonts w:eastAsia="Calibri"/>
          <w:b/>
          <w:bCs/>
        </w:rPr>
        <w:t>r</w:t>
      </w:r>
      <w:r w:rsidRPr="008A2D7A">
        <w:rPr>
          <w:rFonts w:eastAsia="Calibri"/>
          <w:b/>
          <w:bCs/>
        </w:rPr>
        <w:t>ates</w:t>
      </w:r>
      <w:r w:rsidR="007D45D3">
        <w:rPr>
          <w:rFonts w:eastAsia="Calibri"/>
          <w:b/>
          <w:bCs/>
        </w:rPr>
        <w:t xml:space="preserve"> for the 2016 LEMAS</w:t>
      </w:r>
      <w:r w:rsidR="0037297B">
        <w:rPr>
          <w:rFonts w:eastAsia="Calibri"/>
          <w:b/>
          <w:bCs/>
        </w:rPr>
        <w:t>,</w:t>
      </w:r>
      <w:r w:rsidRPr="008A2D7A">
        <w:rPr>
          <w:rFonts w:eastAsia="Calibri"/>
          <w:b/>
          <w:bCs/>
        </w:rPr>
        <w:t xml:space="preserve"> by </w:t>
      </w:r>
      <w:r w:rsidR="00DD5DDC">
        <w:rPr>
          <w:rFonts w:eastAsia="Calibri"/>
          <w:b/>
          <w:bCs/>
        </w:rPr>
        <w:t>agency t</w:t>
      </w:r>
      <w:r w:rsidRPr="008A2D7A">
        <w:rPr>
          <w:rFonts w:eastAsia="Calibri"/>
          <w:b/>
          <w:bCs/>
        </w:rPr>
        <w:t xml:space="preserve">ype and </w:t>
      </w:r>
      <w:r w:rsidR="00DD5DDC">
        <w:rPr>
          <w:rFonts w:eastAsia="Calibri"/>
          <w:b/>
          <w:bCs/>
        </w:rPr>
        <w:t>self-representation s</w:t>
      </w:r>
      <w:r w:rsidR="0037297B">
        <w:rPr>
          <w:rFonts w:eastAsia="Calibri"/>
          <w:b/>
          <w:bCs/>
        </w:rPr>
        <w:t>tatus</w:t>
      </w:r>
    </w:p>
    <w:tbl>
      <w:tblPr>
        <w:tblStyle w:val="TableGrid1"/>
        <w:tblW w:w="0" w:type="auto"/>
        <w:tblLook w:val="04A0" w:firstRow="1" w:lastRow="0" w:firstColumn="1" w:lastColumn="0" w:noHBand="0" w:noVBand="1"/>
      </w:tblPr>
      <w:tblGrid>
        <w:gridCol w:w="3116"/>
        <w:gridCol w:w="3117"/>
        <w:gridCol w:w="3117"/>
      </w:tblGrid>
      <w:tr w:rsidR="00F84901" w:rsidRPr="008A2D7A" w14:paraId="17DF7890" w14:textId="77777777" w:rsidTr="00D534B2">
        <w:tc>
          <w:tcPr>
            <w:tcW w:w="3116" w:type="dxa"/>
            <w:shd w:val="clear" w:color="auto" w:fill="C6D9F1" w:themeFill="text2" w:themeFillTint="33"/>
          </w:tcPr>
          <w:p w14:paraId="78ED1F26" w14:textId="77777777" w:rsidR="00F84901" w:rsidRPr="008A2D7A" w:rsidRDefault="00F84901" w:rsidP="00F84901">
            <w:pPr>
              <w:keepNext/>
              <w:keepLines/>
            </w:pPr>
            <w:r w:rsidRPr="008A2D7A">
              <w:t>Agency Type</w:t>
            </w:r>
          </w:p>
        </w:tc>
        <w:tc>
          <w:tcPr>
            <w:tcW w:w="3117" w:type="dxa"/>
            <w:shd w:val="clear" w:color="auto" w:fill="C6D9F1" w:themeFill="text2" w:themeFillTint="33"/>
          </w:tcPr>
          <w:p w14:paraId="3BD0E7D2" w14:textId="77777777" w:rsidR="00F84901" w:rsidRPr="008A2D7A" w:rsidRDefault="0037297B" w:rsidP="00D534B2">
            <w:pPr>
              <w:keepNext/>
              <w:keepLines/>
            </w:pPr>
            <w:r>
              <w:t>Self-representation Status</w:t>
            </w:r>
          </w:p>
        </w:tc>
        <w:tc>
          <w:tcPr>
            <w:tcW w:w="3117" w:type="dxa"/>
            <w:shd w:val="clear" w:color="auto" w:fill="C6D9F1" w:themeFill="text2" w:themeFillTint="33"/>
          </w:tcPr>
          <w:p w14:paraId="585A363C" w14:textId="77777777" w:rsidR="00F84901" w:rsidRPr="008A2D7A" w:rsidRDefault="00F84901" w:rsidP="00F84901">
            <w:pPr>
              <w:keepNext/>
              <w:keepLines/>
            </w:pPr>
            <w:r w:rsidRPr="008A2D7A">
              <w:t>Response Rate</w:t>
            </w:r>
          </w:p>
        </w:tc>
      </w:tr>
      <w:tr w:rsidR="00F84901" w:rsidRPr="008A2D7A" w14:paraId="5678BD29" w14:textId="77777777" w:rsidTr="00F84901">
        <w:tc>
          <w:tcPr>
            <w:tcW w:w="3116" w:type="dxa"/>
          </w:tcPr>
          <w:p w14:paraId="7320DAD7" w14:textId="77777777" w:rsidR="00F84901" w:rsidRPr="008A2D7A" w:rsidRDefault="00F84901" w:rsidP="00F84901">
            <w:pPr>
              <w:keepNext/>
              <w:keepLines/>
            </w:pPr>
            <w:r w:rsidRPr="008A2D7A">
              <w:t>Local Police</w:t>
            </w:r>
          </w:p>
        </w:tc>
        <w:tc>
          <w:tcPr>
            <w:tcW w:w="3117" w:type="dxa"/>
          </w:tcPr>
          <w:p w14:paraId="4E786297" w14:textId="77777777" w:rsidR="00F84901" w:rsidRPr="008A2D7A" w:rsidRDefault="00F84901" w:rsidP="00F84901">
            <w:pPr>
              <w:keepNext/>
              <w:keepLines/>
            </w:pPr>
            <w:r w:rsidRPr="008A2D7A">
              <w:t>Self-representing</w:t>
            </w:r>
          </w:p>
        </w:tc>
        <w:tc>
          <w:tcPr>
            <w:tcW w:w="3117" w:type="dxa"/>
          </w:tcPr>
          <w:p w14:paraId="7B6B17B0" w14:textId="77777777" w:rsidR="00F84901" w:rsidRPr="008A2D7A" w:rsidRDefault="00F84901" w:rsidP="00F84901">
            <w:pPr>
              <w:keepNext/>
              <w:keepLines/>
            </w:pPr>
            <w:r w:rsidRPr="008A2D7A">
              <w:t>95%</w:t>
            </w:r>
          </w:p>
        </w:tc>
      </w:tr>
      <w:tr w:rsidR="00F84901" w:rsidRPr="008A2D7A" w14:paraId="5C45AA32" w14:textId="77777777" w:rsidTr="00F84901">
        <w:tc>
          <w:tcPr>
            <w:tcW w:w="3116" w:type="dxa"/>
          </w:tcPr>
          <w:p w14:paraId="70FDC268" w14:textId="77777777" w:rsidR="00F84901" w:rsidRPr="008A2D7A" w:rsidRDefault="00F84901" w:rsidP="00F84901">
            <w:pPr>
              <w:keepNext/>
              <w:keepLines/>
            </w:pPr>
          </w:p>
        </w:tc>
        <w:tc>
          <w:tcPr>
            <w:tcW w:w="3117" w:type="dxa"/>
          </w:tcPr>
          <w:p w14:paraId="5217FAEE" w14:textId="77777777" w:rsidR="00F84901" w:rsidRPr="008A2D7A" w:rsidRDefault="00F84901" w:rsidP="0037297B">
            <w:pPr>
              <w:keepNext/>
              <w:keepLines/>
              <w:rPr>
                <w:vertAlign w:val="superscript"/>
              </w:rPr>
            </w:pPr>
            <w:r w:rsidRPr="008A2D7A">
              <w:t>Non-self-</w:t>
            </w:r>
            <w:proofErr w:type="spellStart"/>
            <w:r w:rsidRPr="008A2D7A">
              <w:t>representing</w:t>
            </w:r>
            <w:r w:rsidR="0037297B" w:rsidRPr="00D534B2">
              <w:rPr>
                <w:vertAlign w:val="superscript"/>
              </w:rPr>
              <w:t>a</w:t>
            </w:r>
            <w:proofErr w:type="spellEnd"/>
          </w:p>
        </w:tc>
        <w:tc>
          <w:tcPr>
            <w:tcW w:w="3117" w:type="dxa"/>
          </w:tcPr>
          <w:p w14:paraId="7D024CB5" w14:textId="77777777" w:rsidR="00F84901" w:rsidRPr="008A2D7A" w:rsidRDefault="00F84901" w:rsidP="00F84901">
            <w:pPr>
              <w:keepNext/>
              <w:keepLines/>
            </w:pPr>
            <w:r>
              <w:t>85</w:t>
            </w:r>
            <w:r w:rsidRPr="008A2D7A">
              <w:t>%</w:t>
            </w:r>
          </w:p>
        </w:tc>
      </w:tr>
      <w:tr w:rsidR="00F84901" w:rsidRPr="008A2D7A" w14:paraId="58B95269" w14:textId="77777777" w:rsidTr="00F84901">
        <w:tc>
          <w:tcPr>
            <w:tcW w:w="3116" w:type="dxa"/>
          </w:tcPr>
          <w:p w14:paraId="779F3679" w14:textId="77777777" w:rsidR="00F84901" w:rsidRPr="008A2D7A" w:rsidRDefault="00F84901" w:rsidP="00F84901">
            <w:pPr>
              <w:keepNext/>
              <w:keepLines/>
            </w:pPr>
            <w:r w:rsidRPr="008A2D7A">
              <w:t>Sheriff’s Office</w:t>
            </w:r>
          </w:p>
        </w:tc>
        <w:tc>
          <w:tcPr>
            <w:tcW w:w="3117" w:type="dxa"/>
          </w:tcPr>
          <w:p w14:paraId="31F9B8E4" w14:textId="77777777" w:rsidR="00F84901" w:rsidRPr="008A2D7A" w:rsidRDefault="00F84901" w:rsidP="00F84901">
            <w:pPr>
              <w:keepNext/>
              <w:keepLines/>
            </w:pPr>
            <w:r w:rsidRPr="008A2D7A">
              <w:t>Self-representing</w:t>
            </w:r>
          </w:p>
        </w:tc>
        <w:tc>
          <w:tcPr>
            <w:tcW w:w="3117" w:type="dxa"/>
          </w:tcPr>
          <w:p w14:paraId="5436E343" w14:textId="77777777" w:rsidR="00F84901" w:rsidRPr="008A2D7A" w:rsidRDefault="00F84901" w:rsidP="00F84901">
            <w:pPr>
              <w:keepNext/>
              <w:keepLines/>
            </w:pPr>
            <w:r w:rsidRPr="008A2D7A">
              <w:t>85%</w:t>
            </w:r>
          </w:p>
        </w:tc>
      </w:tr>
      <w:tr w:rsidR="00F84901" w:rsidRPr="008A2D7A" w14:paraId="6894D314" w14:textId="77777777" w:rsidTr="00F84901">
        <w:tc>
          <w:tcPr>
            <w:tcW w:w="3116" w:type="dxa"/>
          </w:tcPr>
          <w:p w14:paraId="589B7483" w14:textId="77777777" w:rsidR="00F84901" w:rsidRPr="008A2D7A" w:rsidRDefault="00F84901" w:rsidP="00F84901">
            <w:pPr>
              <w:keepNext/>
              <w:keepLines/>
            </w:pPr>
          </w:p>
        </w:tc>
        <w:tc>
          <w:tcPr>
            <w:tcW w:w="3117" w:type="dxa"/>
          </w:tcPr>
          <w:p w14:paraId="5ED1B4C8" w14:textId="77777777" w:rsidR="00F84901" w:rsidRPr="008A2D7A" w:rsidRDefault="00F84901" w:rsidP="00F84901">
            <w:pPr>
              <w:keepNext/>
              <w:keepLines/>
            </w:pPr>
            <w:r w:rsidRPr="008A2D7A">
              <w:t>Non-self-</w:t>
            </w:r>
            <w:proofErr w:type="spellStart"/>
            <w:r w:rsidRPr="008A2D7A">
              <w:t>representing</w:t>
            </w:r>
            <w:r w:rsidR="0037297B" w:rsidRPr="00C06CDB">
              <w:rPr>
                <w:vertAlign w:val="superscript"/>
              </w:rPr>
              <w:t>a</w:t>
            </w:r>
            <w:proofErr w:type="spellEnd"/>
          </w:p>
        </w:tc>
        <w:tc>
          <w:tcPr>
            <w:tcW w:w="3117" w:type="dxa"/>
          </w:tcPr>
          <w:p w14:paraId="2E114BC7" w14:textId="77777777" w:rsidR="00F84901" w:rsidRPr="008A2D7A" w:rsidRDefault="00F84901" w:rsidP="00F84901">
            <w:pPr>
              <w:keepNext/>
              <w:keepLines/>
            </w:pPr>
            <w:r>
              <w:t>75</w:t>
            </w:r>
            <w:r w:rsidRPr="008A2D7A">
              <w:t>%</w:t>
            </w:r>
          </w:p>
        </w:tc>
      </w:tr>
      <w:tr w:rsidR="00F84901" w:rsidRPr="008A2D7A" w14:paraId="4214E602" w14:textId="77777777" w:rsidTr="00156904">
        <w:tc>
          <w:tcPr>
            <w:tcW w:w="3116" w:type="dxa"/>
            <w:tcBorders>
              <w:bottom w:val="single" w:sz="4" w:space="0" w:color="000000"/>
            </w:tcBorders>
          </w:tcPr>
          <w:p w14:paraId="3072928A" w14:textId="77777777" w:rsidR="00F84901" w:rsidRPr="008A2D7A" w:rsidRDefault="00F84901" w:rsidP="00F84901">
            <w:pPr>
              <w:keepNext/>
              <w:keepLines/>
            </w:pPr>
            <w:r w:rsidRPr="008A2D7A">
              <w:t>State Police</w:t>
            </w:r>
          </w:p>
        </w:tc>
        <w:tc>
          <w:tcPr>
            <w:tcW w:w="3117" w:type="dxa"/>
            <w:tcBorders>
              <w:bottom w:val="single" w:sz="4" w:space="0" w:color="000000"/>
            </w:tcBorders>
          </w:tcPr>
          <w:p w14:paraId="366C7DAB" w14:textId="77777777" w:rsidR="00F84901" w:rsidRPr="008A2D7A" w:rsidRDefault="007D45D3" w:rsidP="00F84901">
            <w:pPr>
              <w:keepNext/>
              <w:keepLines/>
            </w:pPr>
            <w:r w:rsidRPr="008A2D7A">
              <w:t>Self-representing</w:t>
            </w:r>
          </w:p>
        </w:tc>
        <w:tc>
          <w:tcPr>
            <w:tcW w:w="3117" w:type="dxa"/>
          </w:tcPr>
          <w:p w14:paraId="7B1DD22C" w14:textId="77777777" w:rsidR="00F84901" w:rsidRPr="008A2D7A" w:rsidRDefault="00F84901" w:rsidP="00F84901">
            <w:pPr>
              <w:keepNext/>
              <w:keepLines/>
            </w:pPr>
            <w:r w:rsidRPr="008A2D7A">
              <w:t>90%</w:t>
            </w:r>
          </w:p>
        </w:tc>
      </w:tr>
      <w:tr w:rsidR="003147EB" w:rsidRPr="008A2D7A" w14:paraId="3105D01C" w14:textId="77777777" w:rsidTr="00156904">
        <w:tc>
          <w:tcPr>
            <w:tcW w:w="3116" w:type="dxa"/>
            <w:tcBorders>
              <w:right w:val="nil"/>
            </w:tcBorders>
          </w:tcPr>
          <w:p w14:paraId="36C8B6AA" w14:textId="77777777" w:rsidR="003147EB" w:rsidRPr="008A2D7A" w:rsidRDefault="003147EB" w:rsidP="00F84901">
            <w:pPr>
              <w:keepNext/>
              <w:keepLines/>
            </w:pPr>
            <w:r>
              <w:t>All agencies</w:t>
            </w:r>
          </w:p>
        </w:tc>
        <w:tc>
          <w:tcPr>
            <w:tcW w:w="3117" w:type="dxa"/>
            <w:tcBorders>
              <w:left w:val="nil"/>
            </w:tcBorders>
          </w:tcPr>
          <w:p w14:paraId="4D146CBA" w14:textId="77777777" w:rsidR="003147EB" w:rsidRPr="008A2D7A" w:rsidRDefault="003147EB" w:rsidP="00F84901">
            <w:pPr>
              <w:keepNext/>
              <w:keepLines/>
            </w:pPr>
          </w:p>
        </w:tc>
        <w:tc>
          <w:tcPr>
            <w:tcW w:w="3117" w:type="dxa"/>
          </w:tcPr>
          <w:p w14:paraId="239BF4AA" w14:textId="77777777" w:rsidR="003147EB" w:rsidRPr="008A2D7A" w:rsidRDefault="003147EB" w:rsidP="00F84901">
            <w:pPr>
              <w:keepNext/>
              <w:keepLines/>
            </w:pPr>
            <w:r>
              <w:t>86%</w:t>
            </w:r>
          </w:p>
        </w:tc>
      </w:tr>
    </w:tbl>
    <w:p w14:paraId="470D9E69" w14:textId="68E2D9C2" w:rsidR="00F84901" w:rsidRDefault="0037297B" w:rsidP="00F84901">
      <w:pPr>
        <w:rPr>
          <w:sz w:val="20"/>
          <w:szCs w:val="20"/>
        </w:rPr>
      </w:pPr>
      <w:proofErr w:type="gramStart"/>
      <w:r w:rsidRPr="00D534B2">
        <w:rPr>
          <w:sz w:val="20"/>
          <w:szCs w:val="20"/>
          <w:vertAlign w:val="superscript"/>
        </w:rPr>
        <w:t>a</w:t>
      </w:r>
      <w:proofErr w:type="gramEnd"/>
      <w:r>
        <w:rPr>
          <w:sz w:val="20"/>
          <w:szCs w:val="20"/>
        </w:rPr>
        <w:t xml:space="preserve"> </w:t>
      </w:r>
      <w:r w:rsidRPr="00C06CDB">
        <w:rPr>
          <w:sz w:val="20"/>
          <w:szCs w:val="20"/>
        </w:rPr>
        <w:t xml:space="preserve">Non-self-representing agencies are comprised of agencies with less than 100 </w:t>
      </w:r>
      <w:r w:rsidR="00226164">
        <w:rPr>
          <w:sz w:val="20"/>
          <w:szCs w:val="20"/>
        </w:rPr>
        <w:t>FTE</w:t>
      </w:r>
      <w:r w:rsidR="0095719B">
        <w:rPr>
          <w:sz w:val="20"/>
          <w:szCs w:val="20"/>
        </w:rPr>
        <w:t>s</w:t>
      </w:r>
      <w:r w:rsidRPr="00C06CDB">
        <w:rPr>
          <w:sz w:val="20"/>
          <w:szCs w:val="20"/>
        </w:rPr>
        <w:t xml:space="preserve">. </w:t>
      </w:r>
    </w:p>
    <w:p w14:paraId="67028ECC" w14:textId="77777777" w:rsidR="008534AF" w:rsidRDefault="008534AF" w:rsidP="008534AF">
      <w:pPr>
        <w:autoSpaceDE w:val="0"/>
        <w:autoSpaceDN w:val="0"/>
        <w:adjustRightInd w:val="0"/>
        <w:rPr>
          <w:rFonts w:eastAsia="Calibri"/>
          <w:u w:val="single"/>
        </w:rPr>
      </w:pPr>
    </w:p>
    <w:p w14:paraId="7F56A638" w14:textId="77777777" w:rsidR="00F84901" w:rsidRPr="00D534B2" w:rsidRDefault="00F84901" w:rsidP="008534AF">
      <w:pPr>
        <w:autoSpaceDE w:val="0"/>
        <w:autoSpaceDN w:val="0"/>
        <w:adjustRightInd w:val="0"/>
        <w:rPr>
          <w:rFonts w:eastAsia="Calibri"/>
          <w:u w:val="single"/>
        </w:rPr>
      </w:pPr>
      <w:r w:rsidRPr="00D534B2">
        <w:rPr>
          <w:rFonts w:eastAsia="Calibri"/>
          <w:u w:val="single"/>
        </w:rPr>
        <w:lastRenderedPageBreak/>
        <w:t>Sample Allocation and Sample Size</w:t>
      </w:r>
    </w:p>
    <w:p w14:paraId="3A33ADD4" w14:textId="58EBF834" w:rsidR="000A1127" w:rsidRDefault="000A1127" w:rsidP="000A1127">
      <w:pPr>
        <w:pStyle w:val="Default"/>
        <w:rPr>
          <w:rFonts w:ascii="Times New Roman" w:hAnsi="Times New Roman" w:cs="Times New Roman"/>
        </w:rPr>
      </w:pPr>
      <w:r>
        <w:rPr>
          <w:rFonts w:ascii="Times New Roman" w:hAnsi="Times New Roman" w:cs="Times New Roman"/>
        </w:rPr>
        <w:t xml:space="preserve">As was done in prior LEMAS surveys, the 2016 LEMAS will select all large law enforcement agencies with 100 or more full-time equivalent sworn officers; these SR agencies are found in cells </w:t>
      </w:r>
      <w:r w:rsidR="00A30300">
        <w:rPr>
          <w:rFonts w:ascii="Times New Roman" w:hAnsi="Times New Roman" w:cs="Times New Roman"/>
        </w:rPr>
        <w:t xml:space="preserve">numbered </w:t>
      </w:r>
      <w:r>
        <w:rPr>
          <w:rFonts w:ascii="Times New Roman" w:hAnsi="Times New Roman" w:cs="Times New Roman"/>
        </w:rPr>
        <w:t xml:space="preserve">7, 14 and 15 in </w:t>
      </w:r>
      <w:r w:rsidRPr="00156904">
        <w:rPr>
          <w:rFonts w:ascii="Times New Roman" w:hAnsi="Times New Roman" w:cs="Times New Roman"/>
          <w:b/>
        </w:rPr>
        <w:t>Table 3</w:t>
      </w:r>
      <w:r>
        <w:rPr>
          <w:rFonts w:ascii="Times New Roman" w:hAnsi="Times New Roman" w:cs="Times New Roman"/>
        </w:rPr>
        <w:t xml:space="preserve">.  This ensures our ability to measure change overtime within a consistent set of large agencies.  The 2016 LEMAS will sample within the other cells in </w:t>
      </w:r>
      <w:r w:rsidRPr="00156904">
        <w:rPr>
          <w:rFonts w:ascii="Times New Roman" w:hAnsi="Times New Roman" w:cs="Times New Roman"/>
          <w:b/>
        </w:rPr>
        <w:t>Table 3</w:t>
      </w:r>
      <w:r w:rsidR="00A95CFB">
        <w:rPr>
          <w:rFonts w:ascii="Times New Roman" w:hAnsi="Times New Roman" w:cs="Times New Roman"/>
        </w:rPr>
        <w:t>; these are the non-self-</w:t>
      </w:r>
      <w:r>
        <w:rPr>
          <w:rFonts w:ascii="Times New Roman" w:hAnsi="Times New Roman" w:cs="Times New Roman"/>
        </w:rPr>
        <w:t xml:space="preserve">representing (NSR) agencies with less than 100 FTEs.  </w:t>
      </w:r>
    </w:p>
    <w:p w14:paraId="6BA05EAD" w14:textId="77777777" w:rsidR="000A1127" w:rsidRDefault="000A1127" w:rsidP="000A1127">
      <w:pPr>
        <w:pStyle w:val="Default"/>
        <w:rPr>
          <w:rFonts w:ascii="Times New Roman" w:hAnsi="Times New Roman" w:cs="Times New Roman"/>
        </w:rPr>
      </w:pPr>
    </w:p>
    <w:p w14:paraId="025D09B0" w14:textId="77777777" w:rsidR="000A1127" w:rsidRPr="00D833C1" w:rsidRDefault="000A1127" w:rsidP="00156904">
      <w:pPr>
        <w:pStyle w:val="Default"/>
        <w:rPr>
          <w:rFonts w:ascii="Times New Roman" w:hAnsi="Times New Roman" w:cs="Times New Roman"/>
        </w:rPr>
      </w:pPr>
      <w:r w:rsidRPr="003253BD">
        <w:rPr>
          <w:rFonts w:ascii="Times New Roman" w:hAnsi="Times New Roman" w:cs="Times New Roman"/>
          <w:b/>
          <w:bCs/>
        </w:rPr>
        <w:t>T</w:t>
      </w:r>
      <w:r w:rsidRPr="00D833C1">
        <w:rPr>
          <w:rFonts w:ascii="Times New Roman" w:hAnsi="Times New Roman" w:cs="Times New Roman"/>
          <w:b/>
          <w:bCs/>
        </w:rPr>
        <w:t xml:space="preserve">able </w:t>
      </w:r>
      <w:r>
        <w:rPr>
          <w:rFonts w:ascii="Times New Roman" w:hAnsi="Times New Roman" w:cs="Times New Roman"/>
          <w:b/>
          <w:bCs/>
        </w:rPr>
        <w:t>3</w:t>
      </w:r>
      <w:r w:rsidRPr="00D833C1">
        <w:rPr>
          <w:rFonts w:ascii="Times New Roman" w:hAnsi="Times New Roman" w:cs="Times New Roman"/>
          <w:b/>
          <w:bCs/>
        </w:rPr>
        <w:t xml:space="preserve">: Sampling Strata for the </w:t>
      </w:r>
      <w:r w:rsidR="00AA688D">
        <w:rPr>
          <w:rFonts w:ascii="Times New Roman" w:hAnsi="Times New Roman" w:cs="Times New Roman"/>
          <w:b/>
          <w:bCs/>
        </w:rPr>
        <w:t>2016 LEMAS</w:t>
      </w:r>
    </w:p>
    <w:p w14:paraId="46495BB6" w14:textId="77777777" w:rsidR="000A1127" w:rsidRDefault="000A1127">
      <w:pPr>
        <w:pStyle w:val="Default"/>
        <w:rPr>
          <w:rFonts w:ascii="Times New Roman" w:hAnsi="Times New Roman" w:cs="Times New Roman"/>
        </w:rPr>
      </w:pPr>
    </w:p>
    <w:tbl>
      <w:tblPr>
        <w:tblW w:w="6407" w:type="dxa"/>
        <w:tblInd w:w="-5" w:type="dxa"/>
        <w:tblLook w:val="04A0" w:firstRow="1" w:lastRow="0" w:firstColumn="1" w:lastColumn="0" w:noHBand="0" w:noVBand="1"/>
      </w:tblPr>
      <w:tblGrid>
        <w:gridCol w:w="3155"/>
        <w:gridCol w:w="1084"/>
        <w:gridCol w:w="1084"/>
        <w:gridCol w:w="1084"/>
      </w:tblGrid>
      <w:tr w:rsidR="000A1127" w:rsidRPr="00D833C1" w14:paraId="3454556C" w14:textId="77777777" w:rsidTr="00156904">
        <w:trPr>
          <w:trHeight w:val="302"/>
        </w:trPr>
        <w:tc>
          <w:tcPr>
            <w:tcW w:w="3155" w:type="dxa"/>
            <w:tcBorders>
              <w:top w:val="single" w:sz="4" w:space="0" w:color="auto"/>
              <w:left w:val="single" w:sz="4" w:space="0" w:color="auto"/>
              <w:bottom w:val="single" w:sz="4" w:space="0" w:color="000000"/>
              <w:right w:val="single" w:sz="4" w:space="0" w:color="auto"/>
            </w:tcBorders>
            <w:vAlign w:val="center"/>
            <w:hideMark/>
          </w:tcPr>
          <w:p w14:paraId="0750267F" w14:textId="77777777" w:rsidR="000A1127" w:rsidRPr="00B6441D" w:rsidRDefault="000A1127">
            <w:pPr>
              <w:jc w:val="center"/>
              <w:rPr>
                <w:bCs/>
              </w:rPr>
            </w:pPr>
            <w:r w:rsidRPr="00B6441D">
              <w:rPr>
                <w:bCs/>
              </w:rPr>
              <w:t>Agency Size Categories</w:t>
            </w:r>
          </w:p>
        </w:tc>
        <w:tc>
          <w:tcPr>
            <w:tcW w:w="1084" w:type="dxa"/>
            <w:tcBorders>
              <w:top w:val="single" w:sz="4" w:space="0" w:color="auto"/>
              <w:left w:val="nil"/>
              <w:bottom w:val="single" w:sz="4" w:space="0" w:color="auto"/>
              <w:right w:val="single" w:sz="4" w:space="0" w:color="auto"/>
            </w:tcBorders>
            <w:shd w:val="clear" w:color="auto" w:fill="auto"/>
            <w:vAlign w:val="bottom"/>
            <w:hideMark/>
          </w:tcPr>
          <w:p w14:paraId="28E1844B" w14:textId="77777777" w:rsidR="000A1127" w:rsidRPr="00B6441D" w:rsidRDefault="000A1127">
            <w:pPr>
              <w:jc w:val="center"/>
              <w:rPr>
                <w:bCs/>
              </w:rPr>
            </w:pPr>
            <w:r w:rsidRPr="00B6441D">
              <w:rPr>
                <w:bCs/>
              </w:rPr>
              <w:t>Local Police</w:t>
            </w:r>
          </w:p>
        </w:tc>
        <w:tc>
          <w:tcPr>
            <w:tcW w:w="1084" w:type="dxa"/>
            <w:tcBorders>
              <w:top w:val="single" w:sz="4" w:space="0" w:color="auto"/>
              <w:left w:val="nil"/>
              <w:bottom w:val="single" w:sz="4" w:space="0" w:color="auto"/>
              <w:right w:val="single" w:sz="4" w:space="0" w:color="auto"/>
            </w:tcBorders>
            <w:shd w:val="clear" w:color="auto" w:fill="auto"/>
            <w:vAlign w:val="bottom"/>
            <w:hideMark/>
          </w:tcPr>
          <w:p w14:paraId="6E9D06E3" w14:textId="77777777" w:rsidR="000A1127" w:rsidRPr="00B6441D" w:rsidRDefault="000A1127">
            <w:pPr>
              <w:jc w:val="center"/>
              <w:rPr>
                <w:bCs/>
              </w:rPr>
            </w:pPr>
            <w:r w:rsidRPr="00B6441D">
              <w:rPr>
                <w:bCs/>
              </w:rPr>
              <w:t>Sheriff Offices</w:t>
            </w:r>
          </w:p>
        </w:tc>
        <w:tc>
          <w:tcPr>
            <w:tcW w:w="1084" w:type="dxa"/>
            <w:tcBorders>
              <w:top w:val="single" w:sz="4" w:space="0" w:color="auto"/>
              <w:left w:val="nil"/>
              <w:bottom w:val="single" w:sz="4" w:space="0" w:color="auto"/>
              <w:right w:val="single" w:sz="4" w:space="0" w:color="auto"/>
            </w:tcBorders>
          </w:tcPr>
          <w:p w14:paraId="191E23E9" w14:textId="77777777" w:rsidR="000A1127" w:rsidRPr="00B6441D" w:rsidRDefault="000A1127">
            <w:pPr>
              <w:jc w:val="center"/>
              <w:rPr>
                <w:bCs/>
              </w:rPr>
            </w:pPr>
            <w:r w:rsidRPr="00B6441D">
              <w:rPr>
                <w:bCs/>
              </w:rPr>
              <w:t>State Police</w:t>
            </w:r>
          </w:p>
        </w:tc>
      </w:tr>
      <w:tr w:rsidR="000A1127" w:rsidRPr="00D833C1" w14:paraId="199C9255" w14:textId="77777777" w:rsidTr="00156904">
        <w:trPr>
          <w:trHeight w:val="151"/>
        </w:trPr>
        <w:tc>
          <w:tcPr>
            <w:tcW w:w="3155" w:type="dxa"/>
            <w:tcBorders>
              <w:top w:val="nil"/>
              <w:left w:val="single" w:sz="4" w:space="0" w:color="auto"/>
              <w:bottom w:val="single" w:sz="4" w:space="0" w:color="auto"/>
              <w:right w:val="single" w:sz="4" w:space="0" w:color="auto"/>
            </w:tcBorders>
            <w:shd w:val="clear" w:color="auto" w:fill="auto"/>
            <w:vAlign w:val="center"/>
            <w:hideMark/>
          </w:tcPr>
          <w:p w14:paraId="225DD76B" w14:textId="77777777" w:rsidR="000A1127" w:rsidRPr="00B6441D" w:rsidRDefault="000A1127" w:rsidP="009F5C3A">
            <w:pPr>
              <w:jc w:val="right"/>
              <w:rPr>
                <w:bCs/>
                <w:color w:val="000000"/>
              </w:rPr>
            </w:pPr>
            <w:r w:rsidRPr="00B6441D">
              <w:rPr>
                <w:bCs/>
                <w:color w:val="000000"/>
              </w:rPr>
              <w:t>One FTE Sworn Personnel</w:t>
            </w:r>
          </w:p>
        </w:tc>
        <w:tc>
          <w:tcPr>
            <w:tcW w:w="1084" w:type="dxa"/>
            <w:tcBorders>
              <w:top w:val="nil"/>
              <w:left w:val="nil"/>
              <w:bottom w:val="single" w:sz="4" w:space="0" w:color="auto"/>
              <w:right w:val="single" w:sz="4" w:space="0" w:color="auto"/>
            </w:tcBorders>
            <w:shd w:val="clear" w:color="auto" w:fill="auto"/>
            <w:noWrap/>
            <w:vAlign w:val="bottom"/>
            <w:hideMark/>
          </w:tcPr>
          <w:p w14:paraId="051DECC8" w14:textId="77777777" w:rsidR="000A1127" w:rsidRPr="00B6441D" w:rsidRDefault="000A1127" w:rsidP="009F5C3A">
            <w:pPr>
              <w:jc w:val="center"/>
              <w:rPr>
                <w:bCs/>
              </w:rPr>
            </w:pPr>
            <w:r w:rsidRPr="00B6441D">
              <w:rPr>
                <w:bCs/>
              </w:rPr>
              <w:t>1</w:t>
            </w:r>
          </w:p>
        </w:tc>
        <w:tc>
          <w:tcPr>
            <w:tcW w:w="1084" w:type="dxa"/>
            <w:tcBorders>
              <w:top w:val="nil"/>
              <w:left w:val="nil"/>
              <w:bottom w:val="single" w:sz="4" w:space="0" w:color="auto"/>
              <w:right w:val="single" w:sz="4" w:space="0" w:color="auto"/>
            </w:tcBorders>
            <w:shd w:val="clear" w:color="auto" w:fill="auto"/>
            <w:noWrap/>
            <w:vAlign w:val="bottom"/>
            <w:hideMark/>
          </w:tcPr>
          <w:p w14:paraId="68115E04" w14:textId="77777777" w:rsidR="000A1127" w:rsidRPr="00B6441D" w:rsidRDefault="000A1127" w:rsidP="009F5C3A">
            <w:pPr>
              <w:jc w:val="center"/>
              <w:rPr>
                <w:bCs/>
              </w:rPr>
            </w:pPr>
            <w:r w:rsidRPr="00B6441D">
              <w:rPr>
                <w:bCs/>
              </w:rPr>
              <w:t>8</w:t>
            </w:r>
          </w:p>
        </w:tc>
        <w:tc>
          <w:tcPr>
            <w:tcW w:w="1084" w:type="dxa"/>
            <w:vMerge w:val="restart"/>
            <w:tcBorders>
              <w:top w:val="single" w:sz="4" w:space="0" w:color="auto"/>
              <w:left w:val="nil"/>
              <w:right w:val="single" w:sz="4" w:space="0" w:color="auto"/>
            </w:tcBorders>
            <w:shd w:val="clear" w:color="auto" w:fill="808080" w:themeFill="background1" w:themeFillShade="80"/>
          </w:tcPr>
          <w:p w14:paraId="7D50A37B" w14:textId="77777777" w:rsidR="000A1127" w:rsidRPr="00B6441D" w:rsidRDefault="000A1127" w:rsidP="009F5C3A">
            <w:pPr>
              <w:jc w:val="center"/>
              <w:rPr>
                <w:bCs/>
              </w:rPr>
            </w:pPr>
          </w:p>
        </w:tc>
      </w:tr>
      <w:tr w:rsidR="000A1127" w:rsidRPr="00D833C1" w14:paraId="3D7DB450" w14:textId="77777777" w:rsidTr="00156904">
        <w:trPr>
          <w:trHeight w:val="151"/>
        </w:trPr>
        <w:tc>
          <w:tcPr>
            <w:tcW w:w="3155" w:type="dxa"/>
            <w:tcBorders>
              <w:top w:val="nil"/>
              <w:left w:val="single" w:sz="4" w:space="0" w:color="auto"/>
              <w:bottom w:val="single" w:sz="4" w:space="0" w:color="auto"/>
              <w:right w:val="single" w:sz="4" w:space="0" w:color="auto"/>
            </w:tcBorders>
            <w:shd w:val="clear" w:color="auto" w:fill="auto"/>
            <w:vAlign w:val="center"/>
            <w:hideMark/>
          </w:tcPr>
          <w:p w14:paraId="26A6890B" w14:textId="77777777" w:rsidR="000A1127" w:rsidRPr="00B6441D" w:rsidRDefault="000A1127" w:rsidP="009F5C3A">
            <w:pPr>
              <w:jc w:val="right"/>
              <w:rPr>
                <w:bCs/>
                <w:color w:val="000000"/>
              </w:rPr>
            </w:pPr>
            <w:r w:rsidRPr="00B6441D">
              <w:rPr>
                <w:bCs/>
                <w:color w:val="000000"/>
              </w:rPr>
              <w:t>2 to 4 FTE</w:t>
            </w:r>
          </w:p>
        </w:tc>
        <w:tc>
          <w:tcPr>
            <w:tcW w:w="1084" w:type="dxa"/>
            <w:tcBorders>
              <w:top w:val="nil"/>
              <w:left w:val="nil"/>
              <w:bottom w:val="single" w:sz="4" w:space="0" w:color="auto"/>
              <w:right w:val="single" w:sz="4" w:space="0" w:color="auto"/>
            </w:tcBorders>
            <w:shd w:val="clear" w:color="auto" w:fill="auto"/>
            <w:noWrap/>
            <w:vAlign w:val="bottom"/>
            <w:hideMark/>
          </w:tcPr>
          <w:p w14:paraId="5DE42D62" w14:textId="77777777" w:rsidR="000A1127" w:rsidRPr="00B6441D" w:rsidRDefault="000A1127" w:rsidP="009F5C3A">
            <w:pPr>
              <w:jc w:val="center"/>
              <w:rPr>
                <w:bCs/>
              </w:rPr>
            </w:pPr>
            <w:r w:rsidRPr="00B6441D">
              <w:rPr>
                <w:bCs/>
              </w:rPr>
              <w:t>2</w:t>
            </w:r>
          </w:p>
        </w:tc>
        <w:tc>
          <w:tcPr>
            <w:tcW w:w="1084" w:type="dxa"/>
            <w:tcBorders>
              <w:top w:val="nil"/>
              <w:left w:val="nil"/>
              <w:bottom w:val="single" w:sz="4" w:space="0" w:color="auto"/>
              <w:right w:val="single" w:sz="4" w:space="0" w:color="auto"/>
            </w:tcBorders>
            <w:shd w:val="clear" w:color="auto" w:fill="auto"/>
            <w:noWrap/>
            <w:vAlign w:val="bottom"/>
            <w:hideMark/>
          </w:tcPr>
          <w:p w14:paraId="15ADDFE5" w14:textId="77777777" w:rsidR="000A1127" w:rsidRPr="00B6441D" w:rsidRDefault="000A1127" w:rsidP="009F5C3A">
            <w:pPr>
              <w:jc w:val="center"/>
              <w:rPr>
                <w:bCs/>
              </w:rPr>
            </w:pPr>
            <w:r w:rsidRPr="00B6441D">
              <w:rPr>
                <w:bCs/>
              </w:rPr>
              <w:t>9</w:t>
            </w:r>
          </w:p>
        </w:tc>
        <w:tc>
          <w:tcPr>
            <w:tcW w:w="1084" w:type="dxa"/>
            <w:vMerge/>
            <w:tcBorders>
              <w:left w:val="nil"/>
              <w:right w:val="single" w:sz="4" w:space="0" w:color="auto"/>
            </w:tcBorders>
            <w:shd w:val="clear" w:color="auto" w:fill="808080" w:themeFill="background1" w:themeFillShade="80"/>
          </w:tcPr>
          <w:p w14:paraId="4A731F1F" w14:textId="77777777" w:rsidR="000A1127" w:rsidRPr="00B6441D" w:rsidRDefault="000A1127" w:rsidP="009F5C3A">
            <w:pPr>
              <w:jc w:val="center"/>
              <w:rPr>
                <w:bCs/>
              </w:rPr>
            </w:pPr>
          </w:p>
        </w:tc>
      </w:tr>
      <w:tr w:rsidR="000A1127" w:rsidRPr="00D833C1" w14:paraId="237FA84B" w14:textId="77777777" w:rsidTr="00156904">
        <w:trPr>
          <w:trHeight w:val="151"/>
        </w:trPr>
        <w:tc>
          <w:tcPr>
            <w:tcW w:w="3155" w:type="dxa"/>
            <w:tcBorders>
              <w:top w:val="nil"/>
              <w:left w:val="single" w:sz="4" w:space="0" w:color="auto"/>
              <w:bottom w:val="single" w:sz="4" w:space="0" w:color="auto"/>
              <w:right w:val="single" w:sz="4" w:space="0" w:color="auto"/>
            </w:tcBorders>
            <w:shd w:val="clear" w:color="auto" w:fill="auto"/>
            <w:vAlign w:val="center"/>
            <w:hideMark/>
          </w:tcPr>
          <w:p w14:paraId="1A7B48EA" w14:textId="77777777" w:rsidR="000A1127" w:rsidRPr="00B6441D" w:rsidRDefault="000A1127" w:rsidP="009F5C3A">
            <w:pPr>
              <w:jc w:val="right"/>
              <w:rPr>
                <w:bCs/>
                <w:color w:val="000000"/>
              </w:rPr>
            </w:pPr>
            <w:r w:rsidRPr="00B6441D">
              <w:rPr>
                <w:bCs/>
                <w:color w:val="000000"/>
              </w:rPr>
              <w:t>5 to 9 FTE</w:t>
            </w:r>
          </w:p>
        </w:tc>
        <w:tc>
          <w:tcPr>
            <w:tcW w:w="1084" w:type="dxa"/>
            <w:tcBorders>
              <w:top w:val="nil"/>
              <w:left w:val="nil"/>
              <w:bottom w:val="single" w:sz="4" w:space="0" w:color="auto"/>
              <w:right w:val="single" w:sz="4" w:space="0" w:color="auto"/>
            </w:tcBorders>
            <w:shd w:val="clear" w:color="auto" w:fill="auto"/>
            <w:noWrap/>
            <w:vAlign w:val="bottom"/>
            <w:hideMark/>
          </w:tcPr>
          <w:p w14:paraId="06A90969" w14:textId="77777777" w:rsidR="000A1127" w:rsidRPr="00B6441D" w:rsidRDefault="000A1127" w:rsidP="009F5C3A">
            <w:pPr>
              <w:jc w:val="center"/>
              <w:rPr>
                <w:bCs/>
              </w:rPr>
            </w:pPr>
            <w:r w:rsidRPr="00B6441D">
              <w:rPr>
                <w:bCs/>
              </w:rPr>
              <w:t>3</w:t>
            </w:r>
          </w:p>
        </w:tc>
        <w:tc>
          <w:tcPr>
            <w:tcW w:w="1084" w:type="dxa"/>
            <w:tcBorders>
              <w:top w:val="nil"/>
              <w:left w:val="nil"/>
              <w:bottom w:val="single" w:sz="4" w:space="0" w:color="auto"/>
              <w:right w:val="single" w:sz="4" w:space="0" w:color="auto"/>
            </w:tcBorders>
            <w:shd w:val="clear" w:color="auto" w:fill="auto"/>
            <w:noWrap/>
            <w:vAlign w:val="bottom"/>
            <w:hideMark/>
          </w:tcPr>
          <w:p w14:paraId="1DDAB0CD" w14:textId="77777777" w:rsidR="000A1127" w:rsidRPr="00B6441D" w:rsidRDefault="000A1127" w:rsidP="009F5C3A">
            <w:pPr>
              <w:jc w:val="center"/>
              <w:rPr>
                <w:bCs/>
              </w:rPr>
            </w:pPr>
            <w:r w:rsidRPr="00B6441D">
              <w:rPr>
                <w:bCs/>
              </w:rPr>
              <w:t>10</w:t>
            </w:r>
          </w:p>
        </w:tc>
        <w:tc>
          <w:tcPr>
            <w:tcW w:w="1084" w:type="dxa"/>
            <w:vMerge/>
            <w:tcBorders>
              <w:left w:val="nil"/>
              <w:right w:val="single" w:sz="4" w:space="0" w:color="auto"/>
            </w:tcBorders>
            <w:shd w:val="clear" w:color="auto" w:fill="808080" w:themeFill="background1" w:themeFillShade="80"/>
          </w:tcPr>
          <w:p w14:paraId="69BD7007" w14:textId="77777777" w:rsidR="000A1127" w:rsidRPr="00B6441D" w:rsidRDefault="000A1127" w:rsidP="009F5C3A">
            <w:pPr>
              <w:jc w:val="center"/>
              <w:rPr>
                <w:bCs/>
              </w:rPr>
            </w:pPr>
          </w:p>
        </w:tc>
      </w:tr>
      <w:tr w:rsidR="000A1127" w:rsidRPr="00D833C1" w14:paraId="1D017C3E" w14:textId="77777777" w:rsidTr="00156904">
        <w:trPr>
          <w:trHeight w:val="151"/>
        </w:trPr>
        <w:tc>
          <w:tcPr>
            <w:tcW w:w="3155" w:type="dxa"/>
            <w:tcBorders>
              <w:top w:val="nil"/>
              <w:left w:val="single" w:sz="4" w:space="0" w:color="auto"/>
              <w:bottom w:val="single" w:sz="4" w:space="0" w:color="auto"/>
              <w:right w:val="single" w:sz="4" w:space="0" w:color="auto"/>
            </w:tcBorders>
            <w:shd w:val="clear" w:color="auto" w:fill="auto"/>
            <w:vAlign w:val="center"/>
            <w:hideMark/>
          </w:tcPr>
          <w:p w14:paraId="7368005D" w14:textId="77777777" w:rsidR="000A1127" w:rsidRPr="00B6441D" w:rsidRDefault="000A1127" w:rsidP="009F5C3A">
            <w:pPr>
              <w:jc w:val="right"/>
              <w:rPr>
                <w:bCs/>
                <w:color w:val="000000"/>
              </w:rPr>
            </w:pPr>
            <w:r w:rsidRPr="00B6441D">
              <w:rPr>
                <w:bCs/>
                <w:color w:val="000000"/>
              </w:rPr>
              <w:t>10 to 24 FTE</w:t>
            </w:r>
          </w:p>
        </w:tc>
        <w:tc>
          <w:tcPr>
            <w:tcW w:w="1084" w:type="dxa"/>
            <w:tcBorders>
              <w:top w:val="nil"/>
              <w:left w:val="nil"/>
              <w:bottom w:val="single" w:sz="4" w:space="0" w:color="auto"/>
              <w:right w:val="single" w:sz="4" w:space="0" w:color="auto"/>
            </w:tcBorders>
            <w:shd w:val="clear" w:color="auto" w:fill="auto"/>
            <w:noWrap/>
            <w:vAlign w:val="bottom"/>
            <w:hideMark/>
          </w:tcPr>
          <w:p w14:paraId="77E2D5AF" w14:textId="77777777" w:rsidR="000A1127" w:rsidRPr="00B6441D" w:rsidRDefault="000A1127" w:rsidP="009F5C3A">
            <w:pPr>
              <w:jc w:val="center"/>
              <w:rPr>
                <w:bCs/>
              </w:rPr>
            </w:pPr>
            <w:r w:rsidRPr="00B6441D">
              <w:rPr>
                <w:bCs/>
              </w:rPr>
              <w:t>4</w:t>
            </w:r>
          </w:p>
        </w:tc>
        <w:tc>
          <w:tcPr>
            <w:tcW w:w="1084" w:type="dxa"/>
            <w:tcBorders>
              <w:top w:val="nil"/>
              <w:left w:val="nil"/>
              <w:bottom w:val="single" w:sz="4" w:space="0" w:color="auto"/>
              <w:right w:val="single" w:sz="4" w:space="0" w:color="auto"/>
            </w:tcBorders>
            <w:shd w:val="clear" w:color="auto" w:fill="auto"/>
            <w:noWrap/>
            <w:vAlign w:val="bottom"/>
            <w:hideMark/>
          </w:tcPr>
          <w:p w14:paraId="542C9BF9" w14:textId="77777777" w:rsidR="000A1127" w:rsidRPr="00B6441D" w:rsidRDefault="000A1127" w:rsidP="009F5C3A">
            <w:pPr>
              <w:jc w:val="center"/>
              <w:rPr>
                <w:bCs/>
              </w:rPr>
            </w:pPr>
            <w:r w:rsidRPr="00B6441D">
              <w:rPr>
                <w:bCs/>
              </w:rPr>
              <w:t>11</w:t>
            </w:r>
          </w:p>
        </w:tc>
        <w:tc>
          <w:tcPr>
            <w:tcW w:w="1084" w:type="dxa"/>
            <w:vMerge/>
            <w:tcBorders>
              <w:left w:val="nil"/>
              <w:right w:val="single" w:sz="4" w:space="0" w:color="auto"/>
            </w:tcBorders>
            <w:shd w:val="clear" w:color="auto" w:fill="808080" w:themeFill="background1" w:themeFillShade="80"/>
          </w:tcPr>
          <w:p w14:paraId="4E6893F8" w14:textId="77777777" w:rsidR="000A1127" w:rsidRPr="00B6441D" w:rsidRDefault="000A1127" w:rsidP="009F5C3A">
            <w:pPr>
              <w:jc w:val="center"/>
              <w:rPr>
                <w:bCs/>
              </w:rPr>
            </w:pPr>
          </w:p>
        </w:tc>
      </w:tr>
      <w:tr w:rsidR="000A1127" w:rsidRPr="00D833C1" w14:paraId="73EBD7A7" w14:textId="77777777" w:rsidTr="00156904">
        <w:trPr>
          <w:trHeight w:val="151"/>
        </w:trPr>
        <w:tc>
          <w:tcPr>
            <w:tcW w:w="3155" w:type="dxa"/>
            <w:tcBorders>
              <w:top w:val="nil"/>
              <w:left w:val="single" w:sz="4" w:space="0" w:color="auto"/>
              <w:bottom w:val="single" w:sz="4" w:space="0" w:color="auto"/>
              <w:right w:val="single" w:sz="4" w:space="0" w:color="auto"/>
            </w:tcBorders>
            <w:shd w:val="clear" w:color="auto" w:fill="auto"/>
            <w:vAlign w:val="center"/>
            <w:hideMark/>
          </w:tcPr>
          <w:p w14:paraId="5D08269F" w14:textId="77777777" w:rsidR="000A1127" w:rsidRPr="00B6441D" w:rsidRDefault="000A1127" w:rsidP="009F5C3A">
            <w:pPr>
              <w:jc w:val="right"/>
              <w:rPr>
                <w:bCs/>
                <w:color w:val="000000"/>
              </w:rPr>
            </w:pPr>
            <w:r w:rsidRPr="00B6441D">
              <w:rPr>
                <w:bCs/>
                <w:color w:val="000000"/>
              </w:rPr>
              <w:t>25 to 49 FTE</w:t>
            </w:r>
          </w:p>
        </w:tc>
        <w:tc>
          <w:tcPr>
            <w:tcW w:w="1084" w:type="dxa"/>
            <w:tcBorders>
              <w:top w:val="nil"/>
              <w:left w:val="nil"/>
              <w:bottom w:val="single" w:sz="4" w:space="0" w:color="auto"/>
              <w:right w:val="single" w:sz="4" w:space="0" w:color="auto"/>
            </w:tcBorders>
            <w:shd w:val="clear" w:color="auto" w:fill="auto"/>
            <w:noWrap/>
            <w:vAlign w:val="bottom"/>
            <w:hideMark/>
          </w:tcPr>
          <w:p w14:paraId="1CBE8246" w14:textId="77777777" w:rsidR="000A1127" w:rsidRPr="00B6441D" w:rsidRDefault="000A1127" w:rsidP="009F5C3A">
            <w:pPr>
              <w:jc w:val="center"/>
              <w:rPr>
                <w:bCs/>
              </w:rPr>
            </w:pPr>
            <w:r w:rsidRPr="00B6441D">
              <w:rPr>
                <w:bCs/>
              </w:rPr>
              <w:t>5</w:t>
            </w:r>
          </w:p>
        </w:tc>
        <w:tc>
          <w:tcPr>
            <w:tcW w:w="1084" w:type="dxa"/>
            <w:tcBorders>
              <w:top w:val="nil"/>
              <w:left w:val="nil"/>
              <w:bottom w:val="single" w:sz="4" w:space="0" w:color="auto"/>
              <w:right w:val="single" w:sz="4" w:space="0" w:color="auto"/>
            </w:tcBorders>
            <w:shd w:val="clear" w:color="auto" w:fill="auto"/>
            <w:noWrap/>
            <w:vAlign w:val="bottom"/>
            <w:hideMark/>
          </w:tcPr>
          <w:p w14:paraId="5398691B" w14:textId="77777777" w:rsidR="000A1127" w:rsidRPr="00B6441D" w:rsidRDefault="000A1127" w:rsidP="009F5C3A">
            <w:pPr>
              <w:jc w:val="center"/>
              <w:rPr>
                <w:bCs/>
              </w:rPr>
            </w:pPr>
            <w:r w:rsidRPr="00B6441D">
              <w:rPr>
                <w:bCs/>
              </w:rPr>
              <w:t>12</w:t>
            </w:r>
          </w:p>
        </w:tc>
        <w:tc>
          <w:tcPr>
            <w:tcW w:w="1084" w:type="dxa"/>
            <w:vMerge/>
            <w:tcBorders>
              <w:left w:val="nil"/>
              <w:right w:val="single" w:sz="4" w:space="0" w:color="auto"/>
            </w:tcBorders>
            <w:shd w:val="clear" w:color="auto" w:fill="808080" w:themeFill="background1" w:themeFillShade="80"/>
          </w:tcPr>
          <w:p w14:paraId="19051B0F" w14:textId="77777777" w:rsidR="000A1127" w:rsidRPr="00B6441D" w:rsidRDefault="000A1127" w:rsidP="009F5C3A">
            <w:pPr>
              <w:jc w:val="center"/>
              <w:rPr>
                <w:bCs/>
              </w:rPr>
            </w:pPr>
          </w:p>
        </w:tc>
      </w:tr>
      <w:tr w:rsidR="000A1127" w:rsidRPr="00D833C1" w14:paraId="50F6545B" w14:textId="77777777" w:rsidTr="00156904">
        <w:trPr>
          <w:trHeight w:val="151"/>
        </w:trPr>
        <w:tc>
          <w:tcPr>
            <w:tcW w:w="3155" w:type="dxa"/>
            <w:tcBorders>
              <w:top w:val="nil"/>
              <w:left w:val="single" w:sz="4" w:space="0" w:color="auto"/>
              <w:bottom w:val="single" w:sz="4" w:space="0" w:color="auto"/>
              <w:right w:val="single" w:sz="4" w:space="0" w:color="auto"/>
            </w:tcBorders>
            <w:shd w:val="clear" w:color="auto" w:fill="auto"/>
            <w:vAlign w:val="center"/>
            <w:hideMark/>
          </w:tcPr>
          <w:p w14:paraId="39BD0D44" w14:textId="77777777" w:rsidR="000A1127" w:rsidRPr="00B6441D" w:rsidRDefault="000A1127" w:rsidP="009F5C3A">
            <w:pPr>
              <w:jc w:val="right"/>
              <w:rPr>
                <w:bCs/>
                <w:color w:val="000000"/>
              </w:rPr>
            </w:pPr>
            <w:r w:rsidRPr="00B6441D">
              <w:rPr>
                <w:bCs/>
                <w:color w:val="000000"/>
              </w:rPr>
              <w:t>49 to 99 FTE</w:t>
            </w:r>
          </w:p>
        </w:tc>
        <w:tc>
          <w:tcPr>
            <w:tcW w:w="1084" w:type="dxa"/>
            <w:tcBorders>
              <w:top w:val="nil"/>
              <w:left w:val="nil"/>
              <w:bottom w:val="single" w:sz="4" w:space="0" w:color="auto"/>
              <w:right w:val="single" w:sz="4" w:space="0" w:color="auto"/>
            </w:tcBorders>
            <w:shd w:val="clear" w:color="auto" w:fill="auto"/>
            <w:noWrap/>
            <w:vAlign w:val="bottom"/>
            <w:hideMark/>
          </w:tcPr>
          <w:p w14:paraId="24B2BD40" w14:textId="77777777" w:rsidR="000A1127" w:rsidRPr="00B6441D" w:rsidRDefault="000A1127" w:rsidP="009F5C3A">
            <w:pPr>
              <w:jc w:val="center"/>
              <w:rPr>
                <w:bCs/>
              </w:rPr>
            </w:pPr>
            <w:r w:rsidRPr="00B6441D">
              <w:rPr>
                <w:bCs/>
              </w:rPr>
              <w:t>6</w:t>
            </w:r>
          </w:p>
        </w:tc>
        <w:tc>
          <w:tcPr>
            <w:tcW w:w="1084" w:type="dxa"/>
            <w:tcBorders>
              <w:top w:val="nil"/>
              <w:left w:val="nil"/>
              <w:bottom w:val="single" w:sz="4" w:space="0" w:color="auto"/>
              <w:right w:val="single" w:sz="4" w:space="0" w:color="auto"/>
            </w:tcBorders>
            <w:shd w:val="clear" w:color="auto" w:fill="auto"/>
            <w:noWrap/>
            <w:vAlign w:val="bottom"/>
            <w:hideMark/>
          </w:tcPr>
          <w:p w14:paraId="78130807" w14:textId="77777777" w:rsidR="000A1127" w:rsidRPr="00B6441D" w:rsidRDefault="000A1127" w:rsidP="009F5C3A">
            <w:pPr>
              <w:jc w:val="center"/>
              <w:rPr>
                <w:bCs/>
              </w:rPr>
            </w:pPr>
            <w:r w:rsidRPr="00B6441D">
              <w:rPr>
                <w:bCs/>
              </w:rPr>
              <w:t>13</w:t>
            </w:r>
          </w:p>
        </w:tc>
        <w:tc>
          <w:tcPr>
            <w:tcW w:w="1084" w:type="dxa"/>
            <w:vMerge/>
            <w:tcBorders>
              <w:left w:val="nil"/>
              <w:bottom w:val="single" w:sz="4" w:space="0" w:color="auto"/>
              <w:right w:val="single" w:sz="4" w:space="0" w:color="auto"/>
            </w:tcBorders>
            <w:shd w:val="clear" w:color="auto" w:fill="808080" w:themeFill="background1" w:themeFillShade="80"/>
          </w:tcPr>
          <w:p w14:paraId="0D27F533" w14:textId="77777777" w:rsidR="000A1127" w:rsidRPr="00B6441D" w:rsidRDefault="000A1127" w:rsidP="009F5C3A">
            <w:pPr>
              <w:jc w:val="center"/>
              <w:rPr>
                <w:bCs/>
              </w:rPr>
            </w:pPr>
          </w:p>
        </w:tc>
      </w:tr>
      <w:tr w:rsidR="000A1127" w:rsidRPr="00D833C1" w14:paraId="71B8A28B" w14:textId="77777777" w:rsidTr="00156904">
        <w:trPr>
          <w:trHeight w:val="151"/>
        </w:trPr>
        <w:tc>
          <w:tcPr>
            <w:tcW w:w="3155" w:type="dxa"/>
            <w:tcBorders>
              <w:top w:val="nil"/>
              <w:left w:val="single" w:sz="4" w:space="0" w:color="auto"/>
              <w:bottom w:val="single" w:sz="4" w:space="0" w:color="auto"/>
              <w:right w:val="single" w:sz="4" w:space="0" w:color="auto"/>
            </w:tcBorders>
            <w:shd w:val="clear" w:color="auto" w:fill="auto"/>
            <w:vAlign w:val="center"/>
            <w:hideMark/>
          </w:tcPr>
          <w:p w14:paraId="150F150E" w14:textId="77777777" w:rsidR="000A1127" w:rsidRPr="00B6441D" w:rsidRDefault="000A1127" w:rsidP="009F5C3A">
            <w:pPr>
              <w:jc w:val="right"/>
              <w:rPr>
                <w:bCs/>
                <w:color w:val="000000"/>
              </w:rPr>
            </w:pPr>
            <w:r w:rsidRPr="00B6441D">
              <w:rPr>
                <w:bCs/>
                <w:color w:val="000000"/>
              </w:rPr>
              <w:t>100 or More FTE</w:t>
            </w:r>
          </w:p>
        </w:tc>
        <w:tc>
          <w:tcPr>
            <w:tcW w:w="1084" w:type="dxa"/>
            <w:tcBorders>
              <w:top w:val="single" w:sz="4" w:space="0" w:color="auto"/>
              <w:left w:val="nil"/>
              <w:bottom w:val="single" w:sz="4" w:space="0" w:color="auto"/>
              <w:right w:val="single" w:sz="4" w:space="0" w:color="auto"/>
            </w:tcBorders>
            <w:shd w:val="clear" w:color="auto" w:fill="EEECE1" w:themeFill="background2"/>
            <w:noWrap/>
            <w:vAlign w:val="bottom"/>
            <w:hideMark/>
          </w:tcPr>
          <w:p w14:paraId="7EA7866F" w14:textId="77777777" w:rsidR="000A1127" w:rsidRPr="00B6441D" w:rsidRDefault="000A1127" w:rsidP="009F5C3A">
            <w:pPr>
              <w:jc w:val="center"/>
              <w:rPr>
                <w:bCs/>
              </w:rPr>
            </w:pPr>
            <w:r w:rsidRPr="00B6441D">
              <w:rPr>
                <w:bCs/>
              </w:rPr>
              <w:t>7</w:t>
            </w:r>
          </w:p>
        </w:tc>
        <w:tc>
          <w:tcPr>
            <w:tcW w:w="1084" w:type="dxa"/>
            <w:tcBorders>
              <w:top w:val="single" w:sz="4" w:space="0" w:color="auto"/>
              <w:left w:val="nil"/>
              <w:bottom w:val="single" w:sz="4" w:space="0" w:color="auto"/>
              <w:right w:val="single" w:sz="4" w:space="0" w:color="auto"/>
            </w:tcBorders>
            <w:shd w:val="clear" w:color="auto" w:fill="EEECE1" w:themeFill="background2"/>
            <w:noWrap/>
            <w:vAlign w:val="bottom"/>
            <w:hideMark/>
          </w:tcPr>
          <w:p w14:paraId="7BDD540B" w14:textId="77777777" w:rsidR="000A1127" w:rsidRPr="00B6441D" w:rsidRDefault="000A1127" w:rsidP="009F5C3A">
            <w:pPr>
              <w:jc w:val="center"/>
              <w:rPr>
                <w:bCs/>
              </w:rPr>
            </w:pPr>
            <w:r w:rsidRPr="00B6441D">
              <w:rPr>
                <w:bCs/>
              </w:rPr>
              <w:t>14</w:t>
            </w:r>
          </w:p>
        </w:tc>
        <w:tc>
          <w:tcPr>
            <w:tcW w:w="1084" w:type="dxa"/>
            <w:tcBorders>
              <w:top w:val="single" w:sz="4" w:space="0" w:color="auto"/>
              <w:left w:val="nil"/>
              <w:bottom w:val="single" w:sz="4" w:space="0" w:color="auto"/>
              <w:right w:val="single" w:sz="4" w:space="0" w:color="auto"/>
            </w:tcBorders>
            <w:shd w:val="clear" w:color="auto" w:fill="EEECE1" w:themeFill="background2"/>
          </w:tcPr>
          <w:p w14:paraId="74EE36C9" w14:textId="77777777" w:rsidR="000A1127" w:rsidRPr="00B6441D" w:rsidRDefault="000A1127" w:rsidP="009F5C3A">
            <w:pPr>
              <w:jc w:val="center"/>
              <w:rPr>
                <w:bCs/>
              </w:rPr>
            </w:pPr>
            <w:r w:rsidRPr="00B6441D">
              <w:rPr>
                <w:bCs/>
              </w:rPr>
              <w:t>15</w:t>
            </w:r>
          </w:p>
        </w:tc>
      </w:tr>
    </w:tbl>
    <w:p w14:paraId="5340B37E" w14:textId="77777777" w:rsidR="000A1127" w:rsidRDefault="000A1127" w:rsidP="000A1127">
      <w:pPr>
        <w:pStyle w:val="Default"/>
        <w:rPr>
          <w:rFonts w:ascii="Times New Roman" w:hAnsi="Times New Roman" w:cs="Times New Roman"/>
        </w:rPr>
      </w:pPr>
      <w:r>
        <w:rPr>
          <w:rFonts w:ascii="Times New Roman" w:hAnsi="Times New Roman" w:cs="Times New Roman"/>
        </w:rPr>
        <w:t xml:space="preserve"> </w:t>
      </w:r>
    </w:p>
    <w:p w14:paraId="7432D27F" w14:textId="77777777" w:rsidR="000A1127" w:rsidRDefault="000A1127" w:rsidP="000A1127">
      <w:pPr>
        <w:pStyle w:val="Default"/>
        <w:rPr>
          <w:rFonts w:ascii="Times New Roman" w:hAnsi="Times New Roman" w:cs="Times New Roman"/>
        </w:rPr>
      </w:pPr>
      <w:r>
        <w:rPr>
          <w:rFonts w:ascii="Times New Roman" w:hAnsi="Times New Roman" w:cs="Times New Roman"/>
        </w:rPr>
        <w:t>The NSR agencies have traditionally been subdivided into six strata based on the number of full time equivalent officers (FTE).  T</w:t>
      </w:r>
      <w:r w:rsidRPr="00EB419B">
        <w:rPr>
          <w:rFonts w:ascii="Times New Roman" w:hAnsi="Times New Roman" w:cs="Times New Roman"/>
        </w:rPr>
        <w:t>he</w:t>
      </w:r>
      <w:r>
        <w:rPr>
          <w:rFonts w:ascii="Times New Roman" w:hAnsi="Times New Roman" w:cs="Times New Roman"/>
        </w:rPr>
        <w:t>se groupings</w:t>
      </w:r>
      <w:r w:rsidRPr="00EB419B">
        <w:rPr>
          <w:rFonts w:ascii="Times New Roman" w:hAnsi="Times New Roman" w:cs="Times New Roman"/>
        </w:rPr>
        <w:t xml:space="preserve"> have been used historically by BJS for reporting key characteris</w:t>
      </w:r>
      <w:r>
        <w:rPr>
          <w:rFonts w:ascii="Times New Roman" w:hAnsi="Times New Roman" w:cs="Times New Roman"/>
        </w:rPr>
        <w:t>tics of officers and agencies. T</w:t>
      </w:r>
      <w:r w:rsidRPr="00EB419B">
        <w:rPr>
          <w:rFonts w:ascii="Times New Roman" w:hAnsi="Times New Roman" w:cs="Times New Roman"/>
        </w:rPr>
        <w:t>hey also serve as a stratification factor since independent samples would be drawn from each</w:t>
      </w:r>
      <w:r>
        <w:rPr>
          <w:rFonts w:ascii="Times New Roman" w:hAnsi="Times New Roman" w:cs="Times New Roman"/>
        </w:rPr>
        <w:t xml:space="preserve"> agency-type-by-size stratum.  Such stratification</w:t>
      </w:r>
      <w:r w:rsidRPr="00EB419B">
        <w:rPr>
          <w:rFonts w:ascii="Times New Roman" w:hAnsi="Times New Roman" w:cs="Times New Roman"/>
        </w:rPr>
        <w:t xml:space="preserve"> will increase the statistical precision of estimates at both officer and agency levels</w:t>
      </w:r>
      <w:r>
        <w:rPr>
          <w:rFonts w:ascii="Times New Roman" w:hAnsi="Times New Roman" w:cs="Times New Roman"/>
        </w:rPr>
        <w:t xml:space="preserve">.  The size cut points have been used in prior LEMAS sampling designs for police departments and we retained them in this design for consistency between the police and law enforcement strata.  </w:t>
      </w:r>
    </w:p>
    <w:p w14:paraId="5CC2374A" w14:textId="77777777" w:rsidR="000A1127" w:rsidRDefault="000A1127" w:rsidP="00F84901">
      <w:pPr>
        <w:pStyle w:val="SP-SglSpPara"/>
        <w:ind w:firstLine="0"/>
        <w:jc w:val="left"/>
        <w:rPr>
          <w:sz w:val="24"/>
          <w:szCs w:val="24"/>
        </w:rPr>
      </w:pPr>
    </w:p>
    <w:p w14:paraId="21CFF41E" w14:textId="79469FC4" w:rsidR="00047767" w:rsidRDefault="00F84901" w:rsidP="00F84901">
      <w:pPr>
        <w:pStyle w:val="SP-SglSpPara"/>
        <w:ind w:firstLine="0"/>
        <w:jc w:val="left"/>
        <w:rPr>
          <w:sz w:val="24"/>
          <w:szCs w:val="24"/>
        </w:rPr>
      </w:pPr>
      <w:r>
        <w:rPr>
          <w:sz w:val="24"/>
          <w:szCs w:val="24"/>
        </w:rPr>
        <w:t xml:space="preserve">The </w:t>
      </w:r>
      <w:r w:rsidR="00FE69CD">
        <w:rPr>
          <w:sz w:val="24"/>
          <w:szCs w:val="24"/>
        </w:rPr>
        <w:t xml:space="preserve">2016 </w:t>
      </w:r>
      <w:r>
        <w:rPr>
          <w:sz w:val="24"/>
          <w:szCs w:val="24"/>
        </w:rPr>
        <w:t xml:space="preserve">LEMAS survey </w:t>
      </w:r>
      <w:r w:rsidR="00F8259C">
        <w:rPr>
          <w:sz w:val="24"/>
          <w:szCs w:val="24"/>
        </w:rPr>
        <w:t xml:space="preserve">will </w:t>
      </w:r>
      <w:r w:rsidR="00FE69CD">
        <w:rPr>
          <w:sz w:val="24"/>
          <w:szCs w:val="24"/>
        </w:rPr>
        <w:t xml:space="preserve">address </w:t>
      </w:r>
      <w:r>
        <w:rPr>
          <w:sz w:val="24"/>
          <w:szCs w:val="24"/>
        </w:rPr>
        <w:t>a wide</w:t>
      </w:r>
      <w:r w:rsidR="00FE69CD">
        <w:rPr>
          <w:sz w:val="24"/>
          <w:szCs w:val="24"/>
        </w:rPr>
        <w:t xml:space="preserve"> </w:t>
      </w:r>
      <w:r>
        <w:rPr>
          <w:sz w:val="24"/>
          <w:szCs w:val="24"/>
        </w:rPr>
        <w:t xml:space="preserve">array of topics. To optimize the sampling allocation, multiple objectives of estimation </w:t>
      </w:r>
      <w:r w:rsidR="00F8259C">
        <w:rPr>
          <w:sz w:val="24"/>
          <w:szCs w:val="24"/>
        </w:rPr>
        <w:t xml:space="preserve">have been </w:t>
      </w:r>
      <w:r>
        <w:rPr>
          <w:sz w:val="24"/>
          <w:szCs w:val="24"/>
        </w:rPr>
        <w:t xml:space="preserve">considered. </w:t>
      </w:r>
      <w:r w:rsidR="00560FBB">
        <w:rPr>
          <w:sz w:val="24"/>
          <w:szCs w:val="24"/>
        </w:rPr>
        <w:t xml:space="preserve">We considered multiple allocation methods including proportional to number of agencies, proportional to number of </w:t>
      </w:r>
      <w:r w:rsidR="00226164">
        <w:rPr>
          <w:sz w:val="24"/>
          <w:szCs w:val="24"/>
        </w:rPr>
        <w:t>FTE</w:t>
      </w:r>
      <w:r w:rsidR="00560FBB">
        <w:rPr>
          <w:sz w:val="24"/>
          <w:szCs w:val="24"/>
        </w:rPr>
        <w:t xml:space="preserve">, and proportional to square root of </w:t>
      </w:r>
      <w:r w:rsidR="00226164">
        <w:rPr>
          <w:sz w:val="24"/>
          <w:szCs w:val="24"/>
        </w:rPr>
        <w:t>FTE</w:t>
      </w:r>
      <w:r w:rsidR="00560FBB">
        <w:rPr>
          <w:sz w:val="24"/>
          <w:szCs w:val="24"/>
        </w:rPr>
        <w:t xml:space="preserve">. We compared the allocations by evaluating the precision of estimates from each of the allocations. </w:t>
      </w:r>
      <w:r w:rsidR="00F8259C">
        <w:rPr>
          <w:sz w:val="24"/>
          <w:szCs w:val="24"/>
        </w:rPr>
        <w:t>S</w:t>
      </w:r>
      <w:r>
        <w:rPr>
          <w:sz w:val="24"/>
          <w:szCs w:val="24"/>
        </w:rPr>
        <w:t>ix</w:t>
      </w:r>
      <w:r w:rsidRPr="00707135">
        <w:rPr>
          <w:sz w:val="24"/>
          <w:szCs w:val="24"/>
        </w:rPr>
        <w:t xml:space="preserve"> </w:t>
      </w:r>
      <w:r w:rsidR="00047767">
        <w:rPr>
          <w:sz w:val="24"/>
          <w:szCs w:val="24"/>
        </w:rPr>
        <w:t xml:space="preserve">statistics </w:t>
      </w:r>
      <w:r w:rsidR="00F8259C">
        <w:rPr>
          <w:sz w:val="24"/>
          <w:szCs w:val="24"/>
        </w:rPr>
        <w:t xml:space="preserve">have been identified as appropriate </w:t>
      </w:r>
      <w:r w:rsidR="00047767">
        <w:rPr>
          <w:sz w:val="24"/>
          <w:szCs w:val="24"/>
        </w:rPr>
        <w:t xml:space="preserve">to consider in the allocation: </w:t>
      </w:r>
    </w:p>
    <w:p w14:paraId="41D4DB65" w14:textId="77777777" w:rsidR="00047767" w:rsidRDefault="00047767" w:rsidP="00F84901">
      <w:pPr>
        <w:pStyle w:val="SP-SglSpPara"/>
        <w:ind w:firstLine="0"/>
        <w:jc w:val="left"/>
        <w:rPr>
          <w:sz w:val="24"/>
          <w:szCs w:val="24"/>
        </w:rPr>
      </w:pPr>
    </w:p>
    <w:p w14:paraId="1DF189E2" w14:textId="28FE4DC1" w:rsidR="00594C83" w:rsidRPr="00D534B2" w:rsidRDefault="007D45D3" w:rsidP="00D534B2">
      <w:pPr>
        <w:pStyle w:val="ListParagraph"/>
        <w:numPr>
          <w:ilvl w:val="0"/>
          <w:numId w:val="25"/>
        </w:numPr>
        <w:rPr>
          <w:b/>
        </w:rPr>
      </w:pPr>
      <w:r>
        <w:t>three</w:t>
      </w:r>
      <w:r w:rsidRPr="00594C83">
        <w:t xml:space="preserve"> </w:t>
      </w:r>
      <w:r w:rsidR="00F84901" w:rsidRPr="00594C83">
        <w:t>agency</w:t>
      </w:r>
      <w:r w:rsidR="00594C83">
        <w:t>-</w:t>
      </w:r>
      <w:r w:rsidR="00F84901" w:rsidRPr="00594C83">
        <w:t>level statistics—average annual operating budget, percent of agencies using body-worn cameras</w:t>
      </w:r>
      <w:r w:rsidR="00594C83">
        <w:t xml:space="preserve"> (BWC)</w:t>
      </w:r>
      <w:r w:rsidR="00F84901" w:rsidRPr="00594C83">
        <w:t xml:space="preserve">, and percent of agencies with </w:t>
      </w:r>
      <w:r w:rsidR="00413C62">
        <w:t>community policing in their mission statement</w:t>
      </w:r>
    </w:p>
    <w:p w14:paraId="564374EC" w14:textId="3EF9BD87" w:rsidR="00594C83" w:rsidRPr="00D534B2" w:rsidRDefault="007D45D3" w:rsidP="00D534B2">
      <w:pPr>
        <w:pStyle w:val="ListParagraph"/>
        <w:numPr>
          <w:ilvl w:val="0"/>
          <w:numId w:val="25"/>
        </w:numPr>
        <w:rPr>
          <w:b/>
        </w:rPr>
      </w:pPr>
      <w:r w:rsidRPr="00594C83">
        <w:t>t</w:t>
      </w:r>
      <w:r>
        <w:t>hree</w:t>
      </w:r>
      <w:r w:rsidRPr="00594C83">
        <w:t xml:space="preserve"> </w:t>
      </w:r>
      <w:r w:rsidR="00F84901" w:rsidRPr="00594C83">
        <w:t>personnel</w:t>
      </w:r>
      <w:r w:rsidR="00594C83">
        <w:t>-</w:t>
      </w:r>
      <w:r w:rsidR="00F84901" w:rsidRPr="00594C83">
        <w:t>level statistics</w:t>
      </w:r>
      <w:r w:rsidR="00594C83" w:rsidRPr="00594C83">
        <w:t>—</w:t>
      </w:r>
      <w:r w:rsidR="006D1FAA">
        <w:t xml:space="preserve">number of full-time sworn officers (FTS), </w:t>
      </w:r>
      <w:r w:rsidR="00F84901" w:rsidRPr="00594C83">
        <w:t xml:space="preserve">number of full-time </w:t>
      </w:r>
      <w:r w:rsidR="00413C62">
        <w:t>non-sworn</w:t>
      </w:r>
      <w:r w:rsidR="00F84901" w:rsidRPr="00594C83">
        <w:t xml:space="preserve"> </w:t>
      </w:r>
      <w:r w:rsidR="00594C83">
        <w:t>(FT</w:t>
      </w:r>
      <w:r w:rsidR="00413C62">
        <w:t>N</w:t>
      </w:r>
      <w:r w:rsidR="00594C83">
        <w:t>S) officers</w:t>
      </w:r>
      <w:r w:rsidR="006D1FAA">
        <w:t>,</w:t>
      </w:r>
      <w:r w:rsidR="00594C83">
        <w:t xml:space="preserve"> </w:t>
      </w:r>
      <w:r w:rsidR="00F84901" w:rsidRPr="00594C83">
        <w:t xml:space="preserve">and percent of sworn </w:t>
      </w:r>
      <w:r w:rsidR="00594C83">
        <w:t xml:space="preserve">officers </w:t>
      </w:r>
      <w:r w:rsidR="00F84901" w:rsidRPr="00594C83">
        <w:t xml:space="preserve">that are </w:t>
      </w:r>
      <w:r w:rsidR="00413C62">
        <w:t>female</w:t>
      </w:r>
    </w:p>
    <w:p w14:paraId="74E9690F" w14:textId="77777777" w:rsidR="00594C83" w:rsidRDefault="00594C83" w:rsidP="00D534B2"/>
    <w:p w14:paraId="397050CC" w14:textId="44C97B9C" w:rsidR="00F84901" w:rsidRPr="00594C83" w:rsidRDefault="008A6C4F" w:rsidP="00D534B2">
      <w:pPr>
        <w:rPr>
          <w:b/>
        </w:rPr>
      </w:pPr>
      <w:r>
        <w:t>H</w:t>
      </w:r>
      <w:r w:rsidR="00F84901" w:rsidRPr="00594C83">
        <w:t xml:space="preserve">istoric data from the 2013 LEMAS </w:t>
      </w:r>
      <w:r w:rsidR="00594C83">
        <w:t xml:space="preserve">will be </w:t>
      </w:r>
      <w:r w:rsidR="00F84901" w:rsidRPr="00594C83">
        <w:t>used to estimate the mean</w:t>
      </w:r>
      <w:r>
        <w:t>, variance,</w:t>
      </w:r>
      <w:r w:rsidR="00F84901" w:rsidRPr="00594C83">
        <w:t xml:space="preserve"> and standard deviation </w:t>
      </w:r>
      <w:r>
        <w:t xml:space="preserve">of the six statistics </w:t>
      </w:r>
      <w:r w:rsidR="00F84901" w:rsidRPr="00594C83">
        <w:t xml:space="preserve">in each stratum (see </w:t>
      </w:r>
      <w:r w:rsidR="00F84901" w:rsidRPr="00594C83">
        <w:rPr>
          <w:b/>
        </w:rPr>
        <w:t xml:space="preserve">Table </w:t>
      </w:r>
      <w:r w:rsidR="00F84BA4">
        <w:rPr>
          <w:b/>
        </w:rPr>
        <w:t>4</w:t>
      </w:r>
      <w:r w:rsidR="00F84901" w:rsidRPr="00594C83">
        <w:t xml:space="preserve"> and </w:t>
      </w:r>
      <w:r w:rsidR="00F84901" w:rsidRPr="00594C83">
        <w:rPr>
          <w:b/>
        </w:rPr>
        <w:t xml:space="preserve">Table </w:t>
      </w:r>
      <w:r w:rsidR="00F84BA4">
        <w:rPr>
          <w:b/>
        </w:rPr>
        <w:t>5</w:t>
      </w:r>
      <w:r w:rsidR="00544989">
        <w:t>)</w:t>
      </w:r>
      <w:r w:rsidR="00F84901" w:rsidRPr="00594C83">
        <w:t xml:space="preserve">. Using the </w:t>
      </w:r>
      <w:r>
        <w:t xml:space="preserve">2014 </w:t>
      </w:r>
      <w:r w:rsidR="00F84901" w:rsidRPr="00594C83">
        <w:t xml:space="preserve">CSLLEA, frame counts for each stratum are included in </w:t>
      </w:r>
      <w:r w:rsidR="00F84901" w:rsidRPr="00594C83">
        <w:rPr>
          <w:b/>
        </w:rPr>
        <w:t xml:space="preserve">Table </w:t>
      </w:r>
      <w:r w:rsidR="00F84BA4">
        <w:rPr>
          <w:b/>
        </w:rPr>
        <w:t>6</w:t>
      </w:r>
      <w:r w:rsidR="00544989">
        <w:rPr>
          <w:b/>
        </w:rPr>
        <w:t xml:space="preserve"> </w:t>
      </w:r>
      <w:r w:rsidR="00544989">
        <w:t>as well as the distribution of agencies, officers, and square root of officers</w:t>
      </w:r>
      <w:r w:rsidR="00F84901" w:rsidRPr="00672455">
        <w:rPr>
          <w:b/>
        </w:rPr>
        <w:t>.</w:t>
      </w:r>
      <w:r w:rsidR="005411DA" w:rsidRPr="00672455">
        <w:rPr>
          <w:b/>
        </w:rPr>
        <w:t xml:space="preserve"> </w:t>
      </w:r>
      <w:r w:rsidR="00A30300" w:rsidRPr="00A30300">
        <w:t xml:space="preserve">For sample planning, a </w:t>
      </w:r>
      <w:r w:rsidR="00A30300">
        <w:t xml:space="preserve">preliminary </w:t>
      </w:r>
      <w:r w:rsidR="005411DA" w:rsidRPr="00672455">
        <w:t>2014 CSLLEA</w:t>
      </w:r>
      <w:r w:rsidR="00A30300">
        <w:t xml:space="preserve"> file</w:t>
      </w:r>
      <w:r w:rsidR="005411DA" w:rsidRPr="00672455">
        <w:t xml:space="preserve"> is used. </w:t>
      </w:r>
      <w:r w:rsidR="00672455" w:rsidRPr="00156904">
        <w:t>The</w:t>
      </w:r>
      <w:r w:rsidR="005411DA" w:rsidRPr="00672455">
        <w:t xml:space="preserve"> </w:t>
      </w:r>
      <w:r w:rsidR="00A30300">
        <w:t>final 2014 CSLLEA file is still being cleaned and processed</w:t>
      </w:r>
      <w:r w:rsidR="005411DA" w:rsidRPr="00672455">
        <w:t>.</w:t>
      </w:r>
    </w:p>
    <w:p w14:paraId="1E1E01B7" w14:textId="5B1C25F3" w:rsidR="00F84901" w:rsidRPr="00D13A9F" w:rsidRDefault="00F84901" w:rsidP="00D534B2">
      <w:pPr>
        <w:pStyle w:val="Caption"/>
        <w:keepNext/>
        <w:ind w:left="-720"/>
        <w:rPr>
          <w:rFonts w:ascii="Times New Roman" w:eastAsia="Calibri" w:hAnsi="Times New Roman" w:cs="Times New Roman"/>
          <w:b/>
          <w:bCs/>
          <w:i w:val="0"/>
          <w:iCs w:val="0"/>
          <w:color w:val="auto"/>
          <w:sz w:val="24"/>
          <w:szCs w:val="24"/>
        </w:rPr>
      </w:pPr>
      <w:r w:rsidRPr="00D13A9F">
        <w:rPr>
          <w:rFonts w:ascii="Times New Roman" w:eastAsia="Calibri" w:hAnsi="Times New Roman" w:cs="Times New Roman"/>
          <w:b/>
          <w:bCs/>
          <w:i w:val="0"/>
          <w:iCs w:val="0"/>
          <w:color w:val="auto"/>
          <w:sz w:val="24"/>
          <w:szCs w:val="24"/>
        </w:rPr>
        <w:lastRenderedPageBreak/>
        <w:t xml:space="preserve">Table </w:t>
      </w:r>
      <w:r w:rsidR="00F84BA4">
        <w:rPr>
          <w:rFonts w:ascii="Times New Roman" w:eastAsia="Calibri" w:hAnsi="Times New Roman" w:cs="Times New Roman"/>
          <w:b/>
          <w:bCs/>
          <w:i w:val="0"/>
          <w:iCs w:val="0"/>
          <w:color w:val="auto"/>
          <w:sz w:val="24"/>
          <w:szCs w:val="24"/>
        </w:rPr>
        <w:t>4</w:t>
      </w:r>
      <w:r w:rsidRPr="00D13A9F">
        <w:rPr>
          <w:rFonts w:ascii="Times New Roman" w:eastAsia="Calibri" w:hAnsi="Times New Roman" w:cs="Times New Roman"/>
          <w:b/>
          <w:bCs/>
          <w:i w:val="0"/>
          <w:iCs w:val="0"/>
          <w:color w:val="auto"/>
          <w:sz w:val="24"/>
          <w:szCs w:val="24"/>
        </w:rPr>
        <w:t xml:space="preserve">: </w:t>
      </w:r>
      <w:r>
        <w:rPr>
          <w:rFonts w:ascii="Times New Roman" w:eastAsia="Calibri" w:hAnsi="Times New Roman" w:cs="Times New Roman"/>
          <w:b/>
          <w:bCs/>
          <w:i w:val="0"/>
          <w:iCs w:val="0"/>
          <w:color w:val="auto"/>
          <w:sz w:val="24"/>
          <w:szCs w:val="24"/>
        </w:rPr>
        <w:t xml:space="preserve">Estimates of </w:t>
      </w:r>
      <w:r w:rsidR="00DD5DDC">
        <w:rPr>
          <w:rFonts w:ascii="Times New Roman" w:eastAsia="Calibri" w:hAnsi="Times New Roman" w:cs="Times New Roman"/>
          <w:b/>
          <w:bCs/>
          <w:i w:val="0"/>
          <w:iCs w:val="0"/>
          <w:color w:val="auto"/>
          <w:sz w:val="24"/>
          <w:szCs w:val="24"/>
        </w:rPr>
        <w:t>m</w:t>
      </w:r>
      <w:r>
        <w:rPr>
          <w:rFonts w:ascii="Times New Roman" w:eastAsia="Calibri" w:hAnsi="Times New Roman" w:cs="Times New Roman"/>
          <w:b/>
          <w:bCs/>
          <w:i w:val="0"/>
          <w:iCs w:val="0"/>
          <w:color w:val="auto"/>
          <w:sz w:val="24"/>
          <w:szCs w:val="24"/>
        </w:rPr>
        <w:t>eans/</w:t>
      </w:r>
      <w:r w:rsidR="00DD5DDC">
        <w:rPr>
          <w:rFonts w:ascii="Times New Roman" w:eastAsia="Calibri" w:hAnsi="Times New Roman" w:cs="Times New Roman"/>
          <w:b/>
          <w:bCs/>
          <w:i w:val="0"/>
          <w:iCs w:val="0"/>
          <w:color w:val="auto"/>
          <w:sz w:val="24"/>
          <w:szCs w:val="24"/>
        </w:rPr>
        <w:t>p</w:t>
      </w:r>
      <w:r w:rsidR="007D45D3">
        <w:rPr>
          <w:rFonts w:ascii="Times New Roman" w:eastAsia="Calibri" w:hAnsi="Times New Roman" w:cs="Times New Roman"/>
          <w:b/>
          <w:bCs/>
          <w:i w:val="0"/>
          <w:iCs w:val="0"/>
          <w:color w:val="auto"/>
          <w:sz w:val="24"/>
          <w:szCs w:val="24"/>
        </w:rPr>
        <w:t>ercent</w:t>
      </w:r>
      <w:r w:rsidR="0033314C">
        <w:rPr>
          <w:rFonts w:ascii="Times New Roman" w:eastAsia="Calibri" w:hAnsi="Times New Roman" w:cs="Times New Roman"/>
          <w:b/>
          <w:bCs/>
          <w:i w:val="0"/>
          <w:iCs w:val="0"/>
          <w:color w:val="auto"/>
          <w:sz w:val="24"/>
          <w:szCs w:val="24"/>
        </w:rPr>
        <w:t>age</w:t>
      </w:r>
      <w:r w:rsidR="007D45D3">
        <w:rPr>
          <w:rFonts w:ascii="Times New Roman" w:eastAsia="Calibri" w:hAnsi="Times New Roman" w:cs="Times New Roman"/>
          <w:b/>
          <w:bCs/>
          <w:i w:val="0"/>
          <w:iCs w:val="0"/>
          <w:color w:val="auto"/>
          <w:sz w:val="24"/>
          <w:szCs w:val="24"/>
        </w:rPr>
        <w:t>s</w:t>
      </w:r>
      <w:r w:rsidR="007D45D3" w:rsidRPr="00D13A9F">
        <w:rPr>
          <w:rFonts w:ascii="Times New Roman" w:eastAsia="Calibri" w:hAnsi="Times New Roman" w:cs="Times New Roman"/>
          <w:b/>
          <w:bCs/>
          <w:i w:val="0"/>
          <w:iCs w:val="0"/>
          <w:color w:val="auto"/>
          <w:sz w:val="24"/>
          <w:szCs w:val="24"/>
        </w:rPr>
        <w:t xml:space="preserve"> </w:t>
      </w:r>
      <w:r w:rsidRPr="00D13A9F">
        <w:rPr>
          <w:rFonts w:ascii="Times New Roman" w:eastAsia="Calibri" w:hAnsi="Times New Roman" w:cs="Times New Roman"/>
          <w:b/>
          <w:bCs/>
          <w:i w:val="0"/>
          <w:iCs w:val="0"/>
          <w:color w:val="auto"/>
          <w:sz w:val="24"/>
          <w:szCs w:val="24"/>
        </w:rPr>
        <w:t xml:space="preserve">of </w:t>
      </w:r>
      <w:r w:rsidR="00DD5DDC">
        <w:rPr>
          <w:rFonts w:ascii="Times New Roman" w:eastAsia="Calibri" w:hAnsi="Times New Roman" w:cs="Times New Roman"/>
          <w:b/>
          <w:bCs/>
          <w:i w:val="0"/>
          <w:iCs w:val="0"/>
          <w:color w:val="auto"/>
          <w:sz w:val="24"/>
          <w:szCs w:val="24"/>
        </w:rPr>
        <w:t>s</w:t>
      </w:r>
      <w:r w:rsidR="00594C83">
        <w:rPr>
          <w:rFonts w:ascii="Times New Roman" w:eastAsia="Calibri" w:hAnsi="Times New Roman" w:cs="Times New Roman"/>
          <w:b/>
          <w:bCs/>
          <w:i w:val="0"/>
          <w:iCs w:val="0"/>
          <w:color w:val="auto"/>
          <w:sz w:val="24"/>
          <w:szCs w:val="24"/>
        </w:rPr>
        <w:t xml:space="preserve">elected </w:t>
      </w:r>
      <w:r w:rsidR="00DD5DDC">
        <w:rPr>
          <w:rFonts w:ascii="Times New Roman" w:eastAsia="Calibri" w:hAnsi="Times New Roman" w:cs="Times New Roman"/>
          <w:b/>
          <w:bCs/>
          <w:i w:val="0"/>
          <w:iCs w:val="0"/>
          <w:color w:val="auto"/>
          <w:sz w:val="24"/>
          <w:szCs w:val="24"/>
        </w:rPr>
        <w:t>s</w:t>
      </w:r>
      <w:r w:rsidR="00594C83">
        <w:rPr>
          <w:rFonts w:ascii="Times New Roman" w:eastAsia="Calibri" w:hAnsi="Times New Roman" w:cs="Times New Roman"/>
          <w:b/>
          <w:bCs/>
          <w:i w:val="0"/>
          <w:iCs w:val="0"/>
          <w:color w:val="auto"/>
          <w:sz w:val="24"/>
          <w:szCs w:val="24"/>
        </w:rPr>
        <w:t>tatistics</w:t>
      </w:r>
      <w:r w:rsidR="007D45D3">
        <w:rPr>
          <w:rFonts w:ascii="Times New Roman" w:eastAsia="Calibri" w:hAnsi="Times New Roman" w:cs="Times New Roman"/>
          <w:b/>
          <w:bCs/>
          <w:i w:val="0"/>
          <w:iCs w:val="0"/>
          <w:color w:val="auto"/>
          <w:sz w:val="24"/>
          <w:szCs w:val="24"/>
        </w:rPr>
        <w:t xml:space="preserve">, by </w:t>
      </w:r>
      <w:r w:rsidR="00DD5DDC">
        <w:rPr>
          <w:rFonts w:ascii="Times New Roman" w:eastAsia="Calibri" w:hAnsi="Times New Roman" w:cs="Times New Roman"/>
          <w:b/>
          <w:bCs/>
          <w:i w:val="0"/>
          <w:iCs w:val="0"/>
          <w:color w:val="auto"/>
          <w:sz w:val="24"/>
          <w:szCs w:val="24"/>
        </w:rPr>
        <w:t>s</w:t>
      </w:r>
      <w:r w:rsidR="007D45D3">
        <w:rPr>
          <w:rFonts w:ascii="Times New Roman" w:eastAsia="Calibri" w:hAnsi="Times New Roman" w:cs="Times New Roman"/>
          <w:b/>
          <w:bCs/>
          <w:i w:val="0"/>
          <w:iCs w:val="0"/>
          <w:color w:val="auto"/>
          <w:sz w:val="24"/>
          <w:szCs w:val="24"/>
        </w:rPr>
        <w:t xml:space="preserve">tratum, </w:t>
      </w:r>
      <w:r w:rsidRPr="00D13A9F">
        <w:rPr>
          <w:rFonts w:ascii="Times New Roman" w:eastAsia="Calibri" w:hAnsi="Times New Roman" w:cs="Times New Roman"/>
          <w:b/>
          <w:bCs/>
          <w:i w:val="0"/>
          <w:iCs w:val="0"/>
          <w:color w:val="auto"/>
          <w:sz w:val="24"/>
          <w:szCs w:val="24"/>
        </w:rPr>
        <w:t>2013 LEMAS</w:t>
      </w:r>
    </w:p>
    <w:tbl>
      <w:tblPr>
        <w:tblStyle w:val="TableGrid"/>
        <w:tblW w:w="10743" w:type="dxa"/>
        <w:jc w:val="center"/>
        <w:tblLayout w:type="fixed"/>
        <w:tblLook w:val="04A0" w:firstRow="1" w:lastRow="0" w:firstColumn="1" w:lastColumn="0" w:noHBand="0" w:noVBand="1"/>
      </w:tblPr>
      <w:tblGrid>
        <w:gridCol w:w="1705"/>
        <w:gridCol w:w="1350"/>
        <w:gridCol w:w="1620"/>
        <w:gridCol w:w="990"/>
        <w:gridCol w:w="1440"/>
        <w:gridCol w:w="1170"/>
        <w:gridCol w:w="1260"/>
        <w:gridCol w:w="1208"/>
      </w:tblGrid>
      <w:tr w:rsidR="00672455" w:rsidRPr="002E1515" w14:paraId="5F65314C" w14:textId="77777777" w:rsidTr="00156904">
        <w:trPr>
          <w:jc w:val="center"/>
        </w:trPr>
        <w:tc>
          <w:tcPr>
            <w:tcW w:w="1705" w:type="dxa"/>
            <w:shd w:val="clear" w:color="auto" w:fill="C6D9F1" w:themeFill="text2" w:themeFillTint="33"/>
            <w:vAlign w:val="bottom"/>
          </w:tcPr>
          <w:p w14:paraId="003478EA" w14:textId="77777777" w:rsidR="007D45D3" w:rsidRPr="002E1515" w:rsidRDefault="007D45D3" w:rsidP="00C87BA8">
            <w:pPr>
              <w:jc w:val="center"/>
            </w:pPr>
            <w:r w:rsidRPr="002E1515">
              <w:t>Agency Type</w:t>
            </w:r>
          </w:p>
        </w:tc>
        <w:tc>
          <w:tcPr>
            <w:tcW w:w="1350" w:type="dxa"/>
            <w:shd w:val="clear" w:color="auto" w:fill="C6D9F1" w:themeFill="text2" w:themeFillTint="33"/>
            <w:vAlign w:val="bottom"/>
          </w:tcPr>
          <w:p w14:paraId="780F5BA8" w14:textId="77777777" w:rsidR="007D45D3" w:rsidRPr="002E1515" w:rsidRDefault="007D45D3" w:rsidP="00570489">
            <w:pPr>
              <w:jc w:val="center"/>
            </w:pPr>
            <w:r>
              <w:t xml:space="preserve">Agency </w:t>
            </w:r>
            <w:proofErr w:type="spellStart"/>
            <w:r>
              <w:t>Size</w:t>
            </w:r>
            <w:r w:rsidRPr="00D534B2">
              <w:rPr>
                <w:vertAlign w:val="superscript"/>
              </w:rPr>
              <w:t>a</w:t>
            </w:r>
            <w:proofErr w:type="spellEnd"/>
          </w:p>
        </w:tc>
        <w:tc>
          <w:tcPr>
            <w:tcW w:w="1620" w:type="dxa"/>
            <w:shd w:val="clear" w:color="auto" w:fill="C6D9F1" w:themeFill="text2" w:themeFillTint="33"/>
            <w:vAlign w:val="bottom"/>
          </w:tcPr>
          <w:p w14:paraId="003C3426" w14:textId="77777777" w:rsidR="007D45D3" w:rsidRDefault="007D45D3" w:rsidP="00D534B2">
            <w:pPr>
              <w:jc w:val="center"/>
            </w:pPr>
            <w:r>
              <w:t>Budget</w:t>
            </w:r>
          </w:p>
        </w:tc>
        <w:tc>
          <w:tcPr>
            <w:tcW w:w="990" w:type="dxa"/>
            <w:shd w:val="clear" w:color="auto" w:fill="C6D9F1" w:themeFill="text2" w:themeFillTint="33"/>
            <w:vAlign w:val="bottom"/>
          </w:tcPr>
          <w:p w14:paraId="20A937E6" w14:textId="77777777" w:rsidR="007D45D3" w:rsidRDefault="007D45D3" w:rsidP="00D534B2">
            <w:pPr>
              <w:jc w:val="center"/>
            </w:pPr>
            <w:r>
              <w:t>BWC Usage</w:t>
            </w:r>
          </w:p>
        </w:tc>
        <w:tc>
          <w:tcPr>
            <w:tcW w:w="1440" w:type="dxa"/>
            <w:shd w:val="clear" w:color="auto" w:fill="C6D9F1" w:themeFill="text2" w:themeFillTint="33"/>
            <w:vAlign w:val="bottom"/>
          </w:tcPr>
          <w:p w14:paraId="16D23ED6" w14:textId="77777777" w:rsidR="007D45D3" w:rsidRDefault="007D45D3" w:rsidP="00D534B2">
            <w:pPr>
              <w:jc w:val="center"/>
            </w:pPr>
            <w:r>
              <w:t>Community Policing</w:t>
            </w:r>
          </w:p>
        </w:tc>
        <w:tc>
          <w:tcPr>
            <w:tcW w:w="1170" w:type="dxa"/>
            <w:shd w:val="clear" w:color="auto" w:fill="C6D9F1" w:themeFill="text2" w:themeFillTint="33"/>
          </w:tcPr>
          <w:p w14:paraId="1AC15629" w14:textId="77777777" w:rsidR="007D45D3" w:rsidRDefault="007D45D3">
            <w:pPr>
              <w:jc w:val="center"/>
            </w:pPr>
            <w:r>
              <w:t>Number FTS Officers</w:t>
            </w:r>
          </w:p>
        </w:tc>
        <w:tc>
          <w:tcPr>
            <w:tcW w:w="1260" w:type="dxa"/>
            <w:shd w:val="clear" w:color="auto" w:fill="C6D9F1" w:themeFill="text2" w:themeFillTint="33"/>
            <w:vAlign w:val="bottom"/>
          </w:tcPr>
          <w:p w14:paraId="06132223" w14:textId="1C78D014" w:rsidR="007D45D3" w:rsidRDefault="007D45D3">
            <w:pPr>
              <w:jc w:val="center"/>
            </w:pPr>
            <w:r>
              <w:t>Number FTNS Staff</w:t>
            </w:r>
          </w:p>
        </w:tc>
        <w:tc>
          <w:tcPr>
            <w:tcW w:w="1208" w:type="dxa"/>
            <w:shd w:val="clear" w:color="auto" w:fill="C6D9F1" w:themeFill="text2" w:themeFillTint="33"/>
            <w:vAlign w:val="bottom"/>
          </w:tcPr>
          <w:p w14:paraId="271157E2" w14:textId="77777777" w:rsidR="007D45D3" w:rsidRDefault="007D45D3" w:rsidP="00D534B2">
            <w:pPr>
              <w:jc w:val="center"/>
            </w:pPr>
            <w:r>
              <w:t>Female Officers</w:t>
            </w:r>
          </w:p>
        </w:tc>
      </w:tr>
      <w:tr w:rsidR="00672455" w:rsidRPr="002E1515" w14:paraId="75704AE4" w14:textId="77777777" w:rsidTr="00156904">
        <w:trPr>
          <w:trHeight w:val="288"/>
          <w:jc w:val="center"/>
        </w:trPr>
        <w:tc>
          <w:tcPr>
            <w:tcW w:w="1705" w:type="dxa"/>
            <w:vMerge w:val="restart"/>
          </w:tcPr>
          <w:p w14:paraId="4821134A" w14:textId="77777777" w:rsidR="0033314C" w:rsidRPr="002E1515" w:rsidRDefault="0033314C" w:rsidP="0033314C">
            <w:r w:rsidRPr="002E1515">
              <w:t>Local Police</w:t>
            </w:r>
          </w:p>
        </w:tc>
        <w:tc>
          <w:tcPr>
            <w:tcW w:w="1350" w:type="dxa"/>
            <w:vAlign w:val="bottom"/>
          </w:tcPr>
          <w:p w14:paraId="37EDE031" w14:textId="77777777" w:rsidR="0033314C" w:rsidRPr="002E1515" w:rsidRDefault="0033314C" w:rsidP="0033314C">
            <w:pPr>
              <w:jc w:val="right"/>
            </w:pPr>
            <w:r w:rsidRPr="002E1515">
              <w:t>100+</w:t>
            </w:r>
          </w:p>
        </w:tc>
        <w:tc>
          <w:tcPr>
            <w:tcW w:w="1620" w:type="dxa"/>
          </w:tcPr>
          <w:p w14:paraId="3BBE7744" w14:textId="77777777" w:rsidR="0033314C" w:rsidRPr="00F03B37" w:rsidRDefault="0033314C" w:rsidP="0033314C">
            <w:pPr>
              <w:jc w:val="right"/>
            </w:pPr>
            <w:r>
              <w:t>$65,644,976</w:t>
            </w:r>
          </w:p>
        </w:tc>
        <w:tc>
          <w:tcPr>
            <w:tcW w:w="990" w:type="dxa"/>
          </w:tcPr>
          <w:p w14:paraId="14F23FC7" w14:textId="77777777" w:rsidR="0033314C" w:rsidRPr="00F03B37" w:rsidRDefault="0033314C" w:rsidP="0033314C">
            <w:pPr>
              <w:jc w:val="right"/>
            </w:pPr>
            <w:r w:rsidRPr="00F03B37">
              <w:t>22%</w:t>
            </w:r>
          </w:p>
        </w:tc>
        <w:tc>
          <w:tcPr>
            <w:tcW w:w="1440" w:type="dxa"/>
          </w:tcPr>
          <w:p w14:paraId="2C856121" w14:textId="77777777" w:rsidR="0033314C" w:rsidRPr="00F03B37" w:rsidRDefault="0033314C" w:rsidP="0033314C">
            <w:pPr>
              <w:jc w:val="right"/>
            </w:pPr>
            <w:r w:rsidRPr="00F03B37">
              <w:t>88%</w:t>
            </w:r>
          </w:p>
        </w:tc>
        <w:tc>
          <w:tcPr>
            <w:tcW w:w="1170" w:type="dxa"/>
          </w:tcPr>
          <w:p w14:paraId="13EBEC6F" w14:textId="77777777" w:rsidR="0033314C" w:rsidRPr="00F03B37" w:rsidRDefault="0033314C" w:rsidP="0033314C">
            <w:pPr>
              <w:jc w:val="right"/>
            </w:pPr>
            <w:r w:rsidRPr="00156904">
              <w:t>456.6</w:t>
            </w:r>
          </w:p>
        </w:tc>
        <w:tc>
          <w:tcPr>
            <w:tcW w:w="1260" w:type="dxa"/>
          </w:tcPr>
          <w:p w14:paraId="5CDA0FB3" w14:textId="77777777" w:rsidR="0033314C" w:rsidRPr="00F03B37" w:rsidRDefault="0033314C" w:rsidP="0033314C">
            <w:pPr>
              <w:jc w:val="right"/>
            </w:pPr>
            <w:r w:rsidRPr="00F03B37">
              <w:t>131.5</w:t>
            </w:r>
          </w:p>
        </w:tc>
        <w:tc>
          <w:tcPr>
            <w:tcW w:w="1208" w:type="dxa"/>
          </w:tcPr>
          <w:p w14:paraId="34993AC4" w14:textId="77777777" w:rsidR="0033314C" w:rsidRPr="00F03B37" w:rsidRDefault="0033314C" w:rsidP="0033314C">
            <w:pPr>
              <w:tabs>
                <w:tab w:val="right" w:pos="1088"/>
              </w:tabs>
              <w:jc w:val="right"/>
            </w:pPr>
            <w:r w:rsidRPr="00F03B37">
              <w:t>15%</w:t>
            </w:r>
          </w:p>
        </w:tc>
      </w:tr>
      <w:tr w:rsidR="00672455" w:rsidRPr="002E1515" w14:paraId="5A97A840" w14:textId="77777777" w:rsidTr="00156904">
        <w:trPr>
          <w:trHeight w:val="233"/>
          <w:jc w:val="center"/>
        </w:trPr>
        <w:tc>
          <w:tcPr>
            <w:tcW w:w="1705" w:type="dxa"/>
            <w:vMerge/>
          </w:tcPr>
          <w:p w14:paraId="6FF5F6ED" w14:textId="77777777" w:rsidR="0033314C" w:rsidRPr="002E1515" w:rsidRDefault="0033314C" w:rsidP="0033314C"/>
        </w:tc>
        <w:tc>
          <w:tcPr>
            <w:tcW w:w="1350" w:type="dxa"/>
            <w:vAlign w:val="bottom"/>
          </w:tcPr>
          <w:p w14:paraId="4A0EC3BB" w14:textId="77777777" w:rsidR="0033314C" w:rsidRPr="002E1515" w:rsidRDefault="0033314C" w:rsidP="0033314C">
            <w:pPr>
              <w:jc w:val="right"/>
            </w:pPr>
            <w:r w:rsidRPr="002E1515">
              <w:t>50-99</w:t>
            </w:r>
          </w:p>
        </w:tc>
        <w:tc>
          <w:tcPr>
            <w:tcW w:w="1620" w:type="dxa"/>
          </w:tcPr>
          <w:p w14:paraId="3377AA7C" w14:textId="77777777" w:rsidR="0033314C" w:rsidRPr="00F03B37" w:rsidRDefault="0033314C" w:rsidP="0033314C">
            <w:pPr>
              <w:jc w:val="right"/>
            </w:pPr>
            <w:r>
              <w:t>9,738,990</w:t>
            </w:r>
          </w:p>
        </w:tc>
        <w:tc>
          <w:tcPr>
            <w:tcW w:w="990" w:type="dxa"/>
          </w:tcPr>
          <w:p w14:paraId="10D430D0" w14:textId="77777777" w:rsidR="0033314C" w:rsidRPr="00F03B37" w:rsidRDefault="0033314C" w:rsidP="0033314C">
            <w:pPr>
              <w:jc w:val="right"/>
            </w:pPr>
            <w:r w:rsidRPr="00F03B37">
              <w:t>23%</w:t>
            </w:r>
          </w:p>
        </w:tc>
        <w:tc>
          <w:tcPr>
            <w:tcW w:w="1440" w:type="dxa"/>
          </w:tcPr>
          <w:p w14:paraId="37616644" w14:textId="77777777" w:rsidR="0033314C" w:rsidRPr="00F03B37" w:rsidRDefault="0033314C" w:rsidP="0033314C">
            <w:pPr>
              <w:jc w:val="right"/>
            </w:pPr>
            <w:r w:rsidRPr="00F03B37">
              <w:t>86%</w:t>
            </w:r>
          </w:p>
        </w:tc>
        <w:tc>
          <w:tcPr>
            <w:tcW w:w="1170" w:type="dxa"/>
          </w:tcPr>
          <w:p w14:paraId="2E9D1C37" w14:textId="77777777" w:rsidR="0033314C" w:rsidRPr="00F03B37" w:rsidRDefault="0033314C" w:rsidP="0033314C">
            <w:pPr>
              <w:jc w:val="right"/>
            </w:pPr>
            <w:r w:rsidRPr="00156904">
              <w:t xml:space="preserve">66.3 </w:t>
            </w:r>
          </w:p>
        </w:tc>
        <w:tc>
          <w:tcPr>
            <w:tcW w:w="1260" w:type="dxa"/>
          </w:tcPr>
          <w:p w14:paraId="5C5037D4" w14:textId="77777777" w:rsidR="0033314C" w:rsidRPr="00F03B37" w:rsidRDefault="0033314C" w:rsidP="0033314C">
            <w:pPr>
              <w:jc w:val="right"/>
            </w:pPr>
            <w:r w:rsidRPr="00F03B37">
              <w:t>18.4</w:t>
            </w:r>
          </w:p>
        </w:tc>
        <w:tc>
          <w:tcPr>
            <w:tcW w:w="1208" w:type="dxa"/>
          </w:tcPr>
          <w:p w14:paraId="0C7AB5A8" w14:textId="77777777" w:rsidR="0033314C" w:rsidRPr="00F03B37" w:rsidRDefault="0033314C" w:rsidP="0033314C">
            <w:pPr>
              <w:tabs>
                <w:tab w:val="right" w:pos="1111"/>
              </w:tabs>
              <w:jc w:val="right"/>
            </w:pPr>
            <w:r w:rsidRPr="00F03B37">
              <w:t>9%</w:t>
            </w:r>
          </w:p>
        </w:tc>
      </w:tr>
      <w:tr w:rsidR="00672455" w:rsidRPr="002E1515" w14:paraId="180CFB42" w14:textId="77777777" w:rsidTr="00156904">
        <w:trPr>
          <w:trHeight w:val="288"/>
          <w:jc w:val="center"/>
        </w:trPr>
        <w:tc>
          <w:tcPr>
            <w:tcW w:w="1705" w:type="dxa"/>
            <w:vMerge/>
          </w:tcPr>
          <w:p w14:paraId="071E7E43" w14:textId="77777777" w:rsidR="0033314C" w:rsidRPr="002E1515" w:rsidRDefault="0033314C" w:rsidP="0033314C"/>
        </w:tc>
        <w:tc>
          <w:tcPr>
            <w:tcW w:w="1350" w:type="dxa"/>
            <w:vAlign w:val="bottom"/>
          </w:tcPr>
          <w:p w14:paraId="37DE901B" w14:textId="77777777" w:rsidR="0033314C" w:rsidRPr="002E1515" w:rsidRDefault="0033314C" w:rsidP="0033314C">
            <w:pPr>
              <w:jc w:val="right"/>
            </w:pPr>
            <w:r w:rsidRPr="002E1515">
              <w:t>25-49</w:t>
            </w:r>
          </w:p>
        </w:tc>
        <w:tc>
          <w:tcPr>
            <w:tcW w:w="1620" w:type="dxa"/>
          </w:tcPr>
          <w:p w14:paraId="704B2563" w14:textId="77777777" w:rsidR="0033314C" w:rsidRPr="00F03B37" w:rsidRDefault="0033314C" w:rsidP="0033314C">
            <w:pPr>
              <w:jc w:val="right"/>
            </w:pPr>
            <w:r>
              <w:t>4,329,273</w:t>
            </w:r>
          </w:p>
        </w:tc>
        <w:tc>
          <w:tcPr>
            <w:tcW w:w="990" w:type="dxa"/>
          </w:tcPr>
          <w:p w14:paraId="0DE62F0B" w14:textId="77777777" w:rsidR="0033314C" w:rsidRPr="00F03B37" w:rsidRDefault="0033314C" w:rsidP="0033314C">
            <w:pPr>
              <w:jc w:val="right"/>
            </w:pPr>
            <w:r w:rsidRPr="00F03B37">
              <w:t>24%</w:t>
            </w:r>
          </w:p>
        </w:tc>
        <w:tc>
          <w:tcPr>
            <w:tcW w:w="1440" w:type="dxa"/>
          </w:tcPr>
          <w:p w14:paraId="52A77803" w14:textId="77777777" w:rsidR="0033314C" w:rsidRPr="00F03B37" w:rsidRDefault="0033314C" w:rsidP="0033314C">
            <w:pPr>
              <w:jc w:val="right"/>
            </w:pPr>
            <w:r w:rsidRPr="00F03B37">
              <w:t>83%</w:t>
            </w:r>
          </w:p>
        </w:tc>
        <w:tc>
          <w:tcPr>
            <w:tcW w:w="1170" w:type="dxa"/>
          </w:tcPr>
          <w:p w14:paraId="7DB3DBB6" w14:textId="77777777" w:rsidR="0033314C" w:rsidRPr="00F03B37" w:rsidRDefault="0033314C" w:rsidP="0033314C">
            <w:pPr>
              <w:jc w:val="right"/>
            </w:pPr>
            <w:r w:rsidRPr="00156904">
              <w:t xml:space="preserve">34.8 </w:t>
            </w:r>
          </w:p>
        </w:tc>
        <w:tc>
          <w:tcPr>
            <w:tcW w:w="1260" w:type="dxa"/>
          </w:tcPr>
          <w:p w14:paraId="7800C009" w14:textId="77777777" w:rsidR="0033314C" w:rsidRPr="00F03B37" w:rsidRDefault="0033314C" w:rsidP="0033314C">
            <w:pPr>
              <w:jc w:val="right"/>
            </w:pPr>
            <w:r w:rsidRPr="00F03B37">
              <w:t>8.8</w:t>
            </w:r>
          </w:p>
        </w:tc>
        <w:tc>
          <w:tcPr>
            <w:tcW w:w="1208" w:type="dxa"/>
          </w:tcPr>
          <w:p w14:paraId="4FD42144" w14:textId="77777777" w:rsidR="0033314C" w:rsidRPr="00F03B37" w:rsidRDefault="0033314C" w:rsidP="0033314C">
            <w:pPr>
              <w:tabs>
                <w:tab w:val="right" w:pos="1111"/>
              </w:tabs>
              <w:jc w:val="right"/>
            </w:pPr>
            <w:r w:rsidRPr="00F03B37">
              <w:t>8%</w:t>
            </w:r>
          </w:p>
        </w:tc>
      </w:tr>
      <w:tr w:rsidR="00672455" w:rsidRPr="002E1515" w14:paraId="0677B6BA" w14:textId="77777777" w:rsidTr="00156904">
        <w:trPr>
          <w:trHeight w:val="288"/>
          <w:jc w:val="center"/>
        </w:trPr>
        <w:tc>
          <w:tcPr>
            <w:tcW w:w="1705" w:type="dxa"/>
            <w:vMerge/>
          </w:tcPr>
          <w:p w14:paraId="450FC661" w14:textId="77777777" w:rsidR="0033314C" w:rsidRPr="002E1515" w:rsidRDefault="0033314C" w:rsidP="0033314C"/>
        </w:tc>
        <w:tc>
          <w:tcPr>
            <w:tcW w:w="1350" w:type="dxa"/>
            <w:vAlign w:val="bottom"/>
          </w:tcPr>
          <w:p w14:paraId="093A41F2" w14:textId="77777777" w:rsidR="0033314C" w:rsidRPr="002E1515" w:rsidRDefault="0033314C" w:rsidP="0033314C">
            <w:pPr>
              <w:jc w:val="right"/>
            </w:pPr>
            <w:r w:rsidRPr="002E1515">
              <w:t>10-24</w:t>
            </w:r>
          </w:p>
        </w:tc>
        <w:tc>
          <w:tcPr>
            <w:tcW w:w="1620" w:type="dxa"/>
          </w:tcPr>
          <w:p w14:paraId="1B009810" w14:textId="77777777" w:rsidR="0033314C" w:rsidRPr="00F03B37" w:rsidRDefault="0033314C" w:rsidP="0033314C">
            <w:pPr>
              <w:jc w:val="right"/>
            </w:pPr>
            <w:r>
              <w:t>1,789,268</w:t>
            </w:r>
          </w:p>
        </w:tc>
        <w:tc>
          <w:tcPr>
            <w:tcW w:w="990" w:type="dxa"/>
          </w:tcPr>
          <w:p w14:paraId="00D66BAB" w14:textId="77777777" w:rsidR="0033314C" w:rsidRPr="00F03B37" w:rsidRDefault="0033314C" w:rsidP="0033314C">
            <w:pPr>
              <w:jc w:val="right"/>
            </w:pPr>
            <w:r w:rsidRPr="00F03B37">
              <w:t>33%</w:t>
            </w:r>
          </w:p>
        </w:tc>
        <w:tc>
          <w:tcPr>
            <w:tcW w:w="1440" w:type="dxa"/>
          </w:tcPr>
          <w:p w14:paraId="3CED2808" w14:textId="77777777" w:rsidR="0033314C" w:rsidRPr="00F03B37" w:rsidRDefault="0033314C" w:rsidP="0033314C">
            <w:pPr>
              <w:jc w:val="right"/>
            </w:pPr>
            <w:r w:rsidRPr="00F03B37">
              <w:t>79%</w:t>
            </w:r>
          </w:p>
        </w:tc>
        <w:tc>
          <w:tcPr>
            <w:tcW w:w="1170" w:type="dxa"/>
          </w:tcPr>
          <w:p w14:paraId="71259B7D" w14:textId="77777777" w:rsidR="0033314C" w:rsidRPr="00F03B37" w:rsidRDefault="0033314C" w:rsidP="0033314C">
            <w:pPr>
              <w:jc w:val="right"/>
            </w:pPr>
            <w:r w:rsidRPr="00156904">
              <w:t xml:space="preserve">15.5 </w:t>
            </w:r>
          </w:p>
        </w:tc>
        <w:tc>
          <w:tcPr>
            <w:tcW w:w="1260" w:type="dxa"/>
          </w:tcPr>
          <w:p w14:paraId="4ACAF4E2" w14:textId="77777777" w:rsidR="0033314C" w:rsidRPr="00F03B37" w:rsidRDefault="0033314C" w:rsidP="0033314C">
            <w:pPr>
              <w:jc w:val="right"/>
            </w:pPr>
            <w:r w:rsidRPr="00F03B37">
              <w:t>3.3</w:t>
            </w:r>
          </w:p>
        </w:tc>
        <w:tc>
          <w:tcPr>
            <w:tcW w:w="1208" w:type="dxa"/>
          </w:tcPr>
          <w:p w14:paraId="67216049" w14:textId="77777777" w:rsidR="0033314C" w:rsidRPr="00F03B37" w:rsidRDefault="0033314C" w:rsidP="0033314C">
            <w:pPr>
              <w:tabs>
                <w:tab w:val="right" w:pos="1111"/>
              </w:tabs>
              <w:jc w:val="right"/>
            </w:pPr>
            <w:r w:rsidRPr="00F03B37">
              <w:t>7%</w:t>
            </w:r>
          </w:p>
        </w:tc>
      </w:tr>
      <w:tr w:rsidR="00672455" w:rsidRPr="002E1515" w14:paraId="169E3E3F" w14:textId="77777777" w:rsidTr="00156904">
        <w:trPr>
          <w:trHeight w:val="288"/>
          <w:jc w:val="center"/>
        </w:trPr>
        <w:tc>
          <w:tcPr>
            <w:tcW w:w="1705" w:type="dxa"/>
            <w:vMerge/>
          </w:tcPr>
          <w:p w14:paraId="39A9A7C1" w14:textId="77777777" w:rsidR="0033314C" w:rsidRPr="002E1515" w:rsidRDefault="0033314C" w:rsidP="0033314C"/>
        </w:tc>
        <w:tc>
          <w:tcPr>
            <w:tcW w:w="1350" w:type="dxa"/>
            <w:vAlign w:val="bottom"/>
          </w:tcPr>
          <w:p w14:paraId="3C957B11" w14:textId="77777777" w:rsidR="0033314C" w:rsidRPr="002E1515" w:rsidRDefault="0033314C" w:rsidP="0033314C">
            <w:pPr>
              <w:jc w:val="right"/>
            </w:pPr>
            <w:r w:rsidRPr="002E1515">
              <w:t>5-9</w:t>
            </w:r>
          </w:p>
        </w:tc>
        <w:tc>
          <w:tcPr>
            <w:tcW w:w="1620" w:type="dxa"/>
          </w:tcPr>
          <w:p w14:paraId="4D9F20DA" w14:textId="77777777" w:rsidR="0033314C" w:rsidRPr="00F03B37" w:rsidRDefault="0033314C" w:rsidP="0033314C">
            <w:pPr>
              <w:jc w:val="right"/>
            </w:pPr>
            <w:r>
              <w:t>596,791</w:t>
            </w:r>
          </w:p>
        </w:tc>
        <w:tc>
          <w:tcPr>
            <w:tcW w:w="990" w:type="dxa"/>
          </w:tcPr>
          <w:p w14:paraId="6CBC37B0" w14:textId="77777777" w:rsidR="0033314C" w:rsidRPr="00F03B37" w:rsidRDefault="0033314C" w:rsidP="0033314C">
            <w:pPr>
              <w:jc w:val="right"/>
            </w:pPr>
            <w:r w:rsidRPr="00F03B37">
              <w:t>40%</w:t>
            </w:r>
          </w:p>
        </w:tc>
        <w:tc>
          <w:tcPr>
            <w:tcW w:w="1440" w:type="dxa"/>
          </w:tcPr>
          <w:p w14:paraId="0BB15BBE" w14:textId="77777777" w:rsidR="0033314C" w:rsidRPr="00F03B37" w:rsidRDefault="0033314C" w:rsidP="0033314C">
            <w:pPr>
              <w:jc w:val="right"/>
            </w:pPr>
            <w:r w:rsidRPr="00F03B37">
              <w:t>64%</w:t>
            </w:r>
          </w:p>
        </w:tc>
        <w:tc>
          <w:tcPr>
            <w:tcW w:w="1170" w:type="dxa"/>
          </w:tcPr>
          <w:p w14:paraId="2E1944CB" w14:textId="77777777" w:rsidR="0033314C" w:rsidRPr="00F03B37" w:rsidRDefault="0033314C" w:rsidP="0033314C">
            <w:pPr>
              <w:jc w:val="right"/>
            </w:pPr>
            <w:r w:rsidRPr="00156904">
              <w:t xml:space="preserve">6.6 </w:t>
            </w:r>
          </w:p>
        </w:tc>
        <w:tc>
          <w:tcPr>
            <w:tcW w:w="1260" w:type="dxa"/>
          </w:tcPr>
          <w:p w14:paraId="1A70DF23" w14:textId="77777777" w:rsidR="0033314C" w:rsidRPr="00F03B37" w:rsidRDefault="0033314C" w:rsidP="0033314C">
            <w:pPr>
              <w:jc w:val="right"/>
            </w:pPr>
            <w:r w:rsidRPr="00F03B37">
              <w:t>1.1</w:t>
            </w:r>
          </w:p>
        </w:tc>
        <w:tc>
          <w:tcPr>
            <w:tcW w:w="1208" w:type="dxa"/>
          </w:tcPr>
          <w:p w14:paraId="772D0ED0" w14:textId="77777777" w:rsidR="0033314C" w:rsidRPr="00F03B37" w:rsidRDefault="0033314C" w:rsidP="0033314C">
            <w:pPr>
              <w:tabs>
                <w:tab w:val="right" w:pos="1111"/>
              </w:tabs>
              <w:jc w:val="right"/>
            </w:pPr>
            <w:r w:rsidRPr="00F03B37">
              <w:t>6%</w:t>
            </w:r>
          </w:p>
        </w:tc>
      </w:tr>
      <w:tr w:rsidR="00672455" w:rsidRPr="002E1515" w14:paraId="65824708" w14:textId="77777777" w:rsidTr="00156904">
        <w:trPr>
          <w:trHeight w:val="288"/>
          <w:jc w:val="center"/>
        </w:trPr>
        <w:tc>
          <w:tcPr>
            <w:tcW w:w="1705" w:type="dxa"/>
            <w:vMerge/>
          </w:tcPr>
          <w:p w14:paraId="4FC6B3F4" w14:textId="77777777" w:rsidR="0033314C" w:rsidRPr="002E1515" w:rsidRDefault="0033314C" w:rsidP="0033314C"/>
        </w:tc>
        <w:tc>
          <w:tcPr>
            <w:tcW w:w="1350" w:type="dxa"/>
            <w:vAlign w:val="bottom"/>
          </w:tcPr>
          <w:p w14:paraId="14F272E8" w14:textId="77777777" w:rsidR="0033314C" w:rsidRPr="002E1515" w:rsidRDefault="0033314C" w:rsidP="0033314C">
            <w:pPr>
              <w:jc w:val="right"/>
            </w:pPr>
            <w:r w:rsidRPr="002E1515">
              <w:t>2-4</w:t>
            </w:r>
          </w:p>
        </w:tc>
        <w:tc>
          <w:tcPr>
            <w:tcW w:w="1620" w:type="dxa"/>
          </w:tcPr>
          <w:p w14:paraId="342EEAE6" w14:textId="77777777" w:rsidR="0033314C" w:rsidRPr="00F03B37" w:rsidRDefault="0033314C" w:rsidP="0033314C">
            <w:pPr>
              <w:jc w:val="right"/>
            </w:pPr>
            <w:r>
              <w:t>268,367</w:t>
            </w:r>
          </w:p>
        </w:tc>
        <w:tc>
          <w:tcPr>
            <w:tcW w:w="990" w:type="dxa"/>
          </w:tcPr>
          <w:p w14:paraId="06F65160" w14:textId="77777777" w:rsidR="0033314C" w:rsidRPr="00F03B37" w:rsidRDefault="0033314C" w:rsidP="0033314C">
            <w:pPr>
              <w:jc w:val="right"/>
            </w:pPr>
            <w:r w:rsidRPr="00F03B37">
              <w:t>29%</w:t>
            </w:r>
          </w:p>
        </w:tc>
        <w:tc>
          <w:tcPr>
            <w:tcW w:w="1440" w:type="dxa"/>
          </w:tcPr>
          <w:p w14:paraId="329C7EDB" w14:textId="77777777" w:rsidR="0033314C" w:rsidRPr="00F03B37" w:rsidRDefault="0033314C" w:rsidP="0033314C">
            <w:pPr>
              <w:jc w:val="right"/>
            </w:pPr>
            <w:r w:rsidRPr="00F03B37">
              <w:t>52%</w:t>
            </w:r>
          </w:p>
        </w:tc>
        <w:tc>
          <w:tcPr>
            <w:tcW w:w="1170" w:type="dxa"/>
          </w:tcPr>
          <w:p w14:paraId="38BB6D21" w14:textId="77777777" w:rsidR="0033314C" w:rsidRPr="00F03B37" w:rsidRDefault="0033314C" w:rsidP="0033314C">
            <w:pPr>
              <w:jc w:val="right"/>
            </w:pPr>
            <w:r w:rsidRPr="00156904">
              <w:t xml:space="preserve">2.9 </w:t>
            </w:r>
          </w:p>
        </w:tc>
        <w:tc>
          <w:tcPr>
            <w:tcW w:w="1260" w:type="dxa"/>
          </w:tcPr>
          <w:p w14:paraId="09564F1A" w14:textId="77777777" w:rsidR="0033314C" w:rsidRPr="00F03B37" w:rsidRDefault="0033314C" w:rsidP="0033314C">
            <w:pPr>
              <w:jc w:val="right"/>
            </w:pPr>
            <w:r w:rsidRPr="00F03B37">
              <w:t>0.2</w:t>
            </w:r>
          </w:p>
        </w:tc>
        <w:tc>
          <w:tcPr>
            <w:tcW w:w="1208" w:type="dxa"/>
          </w:tcPr>
          <w:p w14:paraId="4F255031" w14:textId="77777777" w:rsidR="0033314C" w:rsidRPr="00F03B37" w:rsidRDefault="0033314C" w:rsidP="0033314C">
            <w:pPr>
              <w:tabs>
                <w:tab w:val="right" w:pos="1111"/>
              </w:tabs>
              <w:jc w:val="right"/>
            </w:pPr>
            <w:r w:rsidRPr="00F03B37">
              <w:t>6%</w:t>
            </w:r>
          </w:p>
        </w:tc>
      </w:tr>
      <w:tr w:rsidR="00672455" w:rsidRPr="002E1515" w14:paraId="3C8F43FC" w14:textId="77777777" w:rsidTr="00156904">
        <w:trPr>
          <w:trHeight w:val="288"/>
          <w:jc w:val="center"/>
        </w:trPr>
        <w:tc>
          <w:tcPr>
            <w:tcW w:w="1705" w:type="dxa"/>
            <w:vMerge/>
          </w:tcPr>
          <w:p w14:paraId="51EBF8F0" w14:textId="77777777" w:rsidR="0033314C" w:rsidRPr="002E1515" w:rsidRDefault="0033314C" w:rsidP="0033314C"/>
        </w:tc>
        <w:tc>
          <w:tcPr>
            <w:tcW w:w="1350" w:type="dxa"/>
            <w:vAlign w:val="bottom"/>
          </w:tcPr>
          <w:p w14:paraId="64B9F2C4" w14:textId="77777777" w:rsidR="0033314C" w:rsidRPr="002E1515" w:rsidRDefault="0033314C" w:rsidP="0033314C">
            <w:pPr>
              <w:jc w:val="right"/>
            </w:pPr>
            <w:r w:rsidRPr="002E1515">
              <w:t>1</w:t>
            </w:r>
          </w:p>
        </w:tc>
        <w:tc>
          <w:tcPr>
            <w:tcW w:w="1620" w:type="dxa"/>
          </w:tcPr>
          <w:p w14:paraId="4CA33267" w14:textId="77777777" w:rsidR="0033314C" w:rsidRPr="00F03B37" w:rsidRDefault="0033314C" w:rsidP="0033314C">
            <w:pPr>
              <w:jc w:val="right"/>
            </w:pPr>
            <w:r>
              <w:t>100,667</w:t>
            </w:r>
          </w:p>
        </w:tc>
        <w:tc>
          <w:tcPr>
            <w:tcW w:w="990" w:type="dxa"/>
          </w:tcPr>
          <w:p w14:paraId="2BD17428" w14:textId="77777777" w:rsidR="0033314C" w:rsidRPr="00F03B37" w:rsidRDefault="0033314C" w:rsidP="0033314C">
            <w:pPr>
              <w:jc w:val="right"/>
            </w:pPr>
            <w:r w:rsidRPr="00F03B37">
              <w:t>36%</w:t>
            </w:r>
          </w:p>
        </w:tc>
        <w:tc>
          <w:tcPr>
            <w:tcW w:w="1440" w:type="dxa"/>
          </w:tcPr>
          <w:p w14:paraId="1D61FB19" w14:textId="77777777" w:rsidR="0033314C" w:rsidRPr="00F03B37" w:rsidRDefault="0033314C" w:rsidP="0033314C">
            <w:pPr>
              <w:jc w:val="right"/>
            </w:pPr>
            <w:r w:rsidRPr="00F03B37">
              <w:t>41%</w:t>
            </w:r>
          </w:p>
        </w:tc>
        <w:tc>
          <w:tcPr>
            <w:tcW w:w="1170" w:type="dxa"/>
          </w:tcPr>
          <w:p w14:paraId="52EABC62" w14:textId="77777777" w:rsidR="0033314C" w:rsidRPr="00F03B37" w:rsidRDefault="0033314C" w:rsidP="0033314C">
            <w:pPr>
              <w:jc w:val="right"/>
            </w:pPr>
            <w:r w:rsidRPr="00156904">
              <w:t xml:space="preserve">1.1 </w:t>
            </w:r>
          </w:p>
        </w:tc>
        <w:tc>
          <w:tcPr>
            <w:tcW w:w="1260" w:type="dxa"/>
          </w:tcPr>
          <w:p w14:paraId="1249CE53" w14:textId="77777777" w:rsidR="0033314C" w:rsidRPr="00F03B37" w:rsidRDefault="0033314C" w:rsidP="0033314C">
            <w:pPr>
              <w:jc w:val="right"/>
            </w:pPr>
            <w:r w:rsidRPr="00F03B37">
              <w:t>0.1</w:t>
            </w:r>
          </w:p>
        </w:tc>
        <w:tc>
          <w:tcPr>
            <w:tcW w:w="1208" w:type="dxa"/>
          </w:tcPr>
          <w:p w14:paraId="347D0E02" w14:textId="77777777" w:rsidR="0033314C" w:rsidRPr="00F03B37" w:rsidRDefault="0033314C" w:rsidP="0033314C">
            <w:pPr>
              <w:tabs>
                <w:tab w:val="right" w:pos="1178"/>
              </w:tabs>
              <w:jc w:val="right"/>
            </w:pPr>
            <w:r w:rsidRPr="00F03B37">
              <w:t>5%</w:t>
            </w:r>
          </w:p>
        </w:tc>
      </w:tr>
      <w:tr w:rsidR="00672455" w:rsidRPr="002E1515" w14:paraId="7A00128A" w14:textId="77777777" w:rsidTr="00156904">
        <w:trPr>
          <w:trHeight w:val="288"/>
          <w:jc w:val="center"/>
        </w:trPr>
        <w:tc>
          <w:tcPr>
            <w:tcW w:w="1705" w:type="dxa"/>
            <w:vMerge w:val="restart"/>
          </w:tcPr>
          <w:p w14:paraId="5F2FEB8B" w14:textId="77777777" w:rsidR="0033314C" w:rsidRPr="002E1515" w:rsidRDefault="0033314C" w:rsidP="0033314C">
            <w:r w:rsidRPr="002E1515">
              <w:t>Sheriff Office</w:t>
            </w:r>
          </w:p>
        </w:tc>
        <w:tc>
          <w:tcPr>
            <w:tcW w:w="1350" w:type="dxa"/>
            <w:vAlign w:val="bottom"/>
          </w:tcPr>
          <w:p w14:paraId="4C6C1AE6" w14:textId="77777777" w:rsidR="0033314C" w:rsidRPr="002E1515" w:rsidRDefault="0033314C" w:rsidP="0033314C">
            <w:pPr>
              <w:jc w:val="right"/>
            </w:pPr>
            <w:r w:rsidRPr="002E1515">
              <w:t>100+</w:t>
            </w:r>
          </w:p>
        </w:tc>
        <w:tc>
          <w:tcPr>
            <w:tcW w:w="1620" w:type="dxa"/>
          </w:tcPr>
          <w:p w14:paraId="6A50B681" w14:textId="77777777" w:rsidR="0033314C" w:rsidRPr="00F03B37" w:rsidRDefault="0033314C" w:rsidP="0033314C">
            <w:pPr>
              <w:jc w:val="right"/>
            </w:pPr>
            <w:r>
              <w:t>76,150,598</w:t>
            </w:r>
          </w:p>
        </w:tc>
        <w:tc>
          <w:tcPr>
            <w:tcW w:w="990" w:type="dxa"/>
          </w:tcPr>
          <w:p w14:paraId="3576619C" w14:textId="77777777" w:rsidR="0033314C" w:rsidRPr="00F03B37" w:rsidRDefault="0033314C" w:rsidP="0033314C">
            <w:pPr>
              <w:jc w:val="right"/>
            </w:pPr>
            <w:r w:rsidRPr="00F03B37">
              <w:t>22%</w:t>
            </w:r>
          </w:p>
        </w:tc>
        <w:tc>
          <w:tcPr>
            <w:tcW w:w="1440" w:type="dxa"/>
          </w:tcPr>
          <w:p w14:paraId="198B62FC" w14:textId="77777777" w:rsidR="0033314C" w:rsidRPr="00F03B37" w:rsidRDefault="0033314C" w:rsidP="0033314C">
            <w:pPr>
              <w:jc w:val="right"/>
            </w:pPr>
            <w:r w:rsidRPr="00F03B37">
              <w:t>72%</w:t>
            </w:r>
          </w:p>
        </w:tc>
        <w:tc>
          <w:tcPr>
            <w:tcW w:w="1170" w:type="dxa"/>
          </w:tcPr>
          <w:p w14:paraId="136111B3" w14:textId="77777777" w:rsidR="0033314C" w:rsidRPr="00F03B37" w:rsidRDefault="0033314C" w:rsidP="0033314C">
            <w:pPr>
              <w:jc w:val="right"/>
            </w:pPr>
            <w:r w:rsidRPr="00156904">
              <w:t xml:space="preserve">346.9 </w:t>
            </w:r>
          </w:p>
        </w:tc>
        <w:tc>
          <w:tcPr>
            <w:tcW w:w="1260" w:type="dxa"/>
          </w:tcPr>
          <w:p w14:paraId="0DF0C3B1" w14:textId="77777777" w:rsidR="0033314C" w:rsidRPr="00F03B37" w:rsidRDefault="0033314C" w:rsidP="0033314C">
            <w:pPr>
              <w:jc w:val="right"/>
            </w:pPr>
            <w:r w:rsidRPr="00F03B37">
              <w:t>296.6</w:t>
            </w:r>
          </w:p>
        </w:tc>
        <w:tc>
          <w:tcPr>
            <w:tcW w:w="1208" w:type="dxa"/>
          </w:tcPr>
          <w:p w14:paraId="68901199" w14:textId="77777777" w:rsidR="0033314C" w:rsidRPr="00F03B37" w:rsidRDefault="0033314C" w:rsidP="0033314C">
            <w:pPr>
              <w:tabs>
                <w:tab w:val="right" w:pos="1111"/>
              </w:tabs>
              <w:jc w:val="right"/>
            </w:pPr>
            <w:r w:rsidRPr="00F03B37">
              <w:t>15%</w:t>
            </w:r>
          </w:p>
        </w:tc>
      </w:tr>
      <w:tr w:rsidR="00672455" w:rsidRPr="002E1515" w14:paraId="0DD00B02" w14:textId="77777777" w:rsidTr="00156904">
        <w:trPr>
          <w:trHeight w:val="288"/>
          <w:jc w:val="center"/>
        </w:trPr>
        <w:tc>
          <w:tcPr>
            <w:tcW w:w="1705" w:type="dxa"/>
            <w:vMerge/>
          </w:tcPr>
          <w:p w14:paraId="6FD430EA" w14:textId="77777777" w:rsidR="0033314C" w:rsidRPr="002E1515" w:rsidRDefault="0033314C" w:rsidP="0033314C"/>
        </w:tc>
        <w:tc>
          <w:tcPr>
            <w:tcW w:w="1350" w:type="dxa"/>
            <w:vAlign w:val="bottom"/>
          </w:tcPr>
          <w:p w14:paraId="3A6579B8" w14:textId="77777777" w:rsidR="0033314C" w:rsidRPr="002E1515" w:rsidRDefault="0033314C" w:rsidP="0033314C">
            <w:pPr>
              <w:jc w:val="right"/>
            </w:pPr>
            <w:r w:rsidRPr="002E1515">
              <w:t>50-99</w:t>
            </w:r>
          </w:p>
        </w:tc>
        <w:tc>
          <w:tcPr>
            <w:tcW w:w="1620" w:type="dxa"/>
          </w:tcPr>
          <w:p w14:paraId="61FB534B" w14:textId="77777777" w:rsidR="0033314C" w:rsidRPr="00F03B37" w:rsidRDefault="0033314C" w:rsidP="0033314C">
            <w:pPr>
              <w:jc w:val="right"/>
            </w:pPr>
            <w:r>
              <w:t>12,140,765</w:t>
            </w:r>
          </w:p>
        </w:tc>
        <w:tc>
          <w:tcPr>
            <w:tcW w:w="990" w:type="dxa"/>
          </w:tcPr>
          <w:p w14:paraId="01B76115" w14:textId="77777777" w:rsidR="0033314C" w:rsidRPr="00F03B37" w:rsidRDefault="0033314C" w:rsidP="0033314C">
            <w:pPr>
              <w:jc w:val="right"/>
            </w:pPr>
            <w:r w:rsidRPr="00F03B37">
              <w:t>25%</w:t>
            </w:r>
          </w:p>
        </w:tc>
        <w:tc>
          <w:tcPr>
            <w:tcW w:w="1440" w:type="dxa"/>
          </w:tcPr>
          <w:p w14:paraId="73140744" w14:textId="77777777" w:rsidR="0033314C" w:rsidRPr="00F03B37" w:rsidRDefault="0033314C" w:rsidP="0033314C">
            <w:pPr>
              <w:jc w:val="right"/>
            </w:pPr>
            <w:r w:rsidRPr="00F03B37">
              <w:t>59%</w:t>
            </w:r>
          </w:p>
        </w:tc>
        <w:tc>
          <w:tcPr>
            <w:tcW w:w="1170" w:type="dxa"/>
          </w:tcPr>
          <w:p w14:paraId="6267B516" w14:textId="77777777" w:rsidR="0033314C" w:rsidRPr="00F03B37" w:rsidRDefault="0033314C" w:rsidP="0033314C">
            <w:pPr>
              <w:jc w:val="right"/>
            </w:pPr>
            <w:r w:rsidRPr="00156904">
              <w:t xml:space="preserve">71.7 </w:t>
            </w:r>
          </w:p>
        </w:tc>
        <w:tc>
          <w:tcPr>
            <w:tcW w:w="1260" w:type="dxa"/>
          </w:tcPr>
          <w:p w14:paraId="3F9B07CD" w14:textId="77777777" w:rsidR="0033314C" w:rsidRPr="00F03B37" w:rsidRDefault="0033314C" w:rsidP="0033314C">
            <w:pPr>
              <w:jc w:val="right"/>
            </w:pPr>
            <w:r w:rsidRPr="00F03B37">
              <w:t>65.3</w:t>
            </w:r>
          </w:p>
        </w:tc>
        <w:tc>
          <w:tcPr>
            <w:tcW w:w="1208" w:type="dxa"/>
          </w:tcPr>
          <w:p w14:paraId="39871226" w14:textId="77777777" w:rsidR="0033314C" w:rsidRPr="00F03B37" w:rsidRDefault="0033314C" w:rsidP="0033314C">
            <w:pPr>
              <w:tabs>
                <w:tab w:val="right" w:pos="1111"/>
              </w:tabs>
              <w:jc w:val="right"/>
            </w:pPr>
            <w:r w:rsidRPr="00F03B37">
              <w:t>12%</w:t>
            </w:r>
          </w:p>
        </w:tc>
      </w:tr>
      <w:tr w:rsidR="00672455" w:rsidRPr="002E1515" w14:paraId="67D0705E" w14:textId="77777777" w:rsidTr="00156904">
        <w:trPr>
          <w:trHeight w:val="288"/>
          <w:jc w:val="center"/>
        </w:trPr>
        <w:tc>
          <w:tcPr>
            <w:tcW w:w="1705" w:type="dxa"/>
            <w:vMerge/>
          </w:tcPr>
          <w:p w14:paraId="0142FEFB" w14:textId="77777777" w:rsidR="0033314C" w:rsidRPr="002E1515" w:rsidRDefault="0033314C" w:rsidP="0033314C"/>
        </w:tc>
        <w:tc>
          <w:tcPr>
            <w:tcW w:w="1350" w:type="dxa"/>
            <w:vAlign w:val="bottom"/>
          </w:tcPr>
          <w:p w14:paraId="023C9FF4" w14:textId="77777777" w:rsidR="0033314C" w:rsidRPr="002E1515" w:rsidRDefault="0033314C" w:rsidP="0033314C">
            <w:pPr>
              <w:jc w:val="right"/>
            </w:pPr>
            <w:r w:rsidRPr="002E1515">
              <w:t>25-49</w:t>
            </w:r>
          </w:p>
        </w:tc>
        <w:tc>
          <w:tcPr>
            <w:tcW w:w="1620" w:type="dxa"/>
          </w:tcPr>
          <w:p w14:paraId="6AD11307" w14:textId="77777777" w:rsidR="0033314C" w:rsidRPr="00F03B37" w:rsidRDefault="0033314C" w:rsidP="0033314C">
            <w:pPr>
              <w:jc w:val="right"/>
            </w:pPr>
            <w:r>
              <w:t>5,127,476</w:t>
            </w:r>
          </w:p>
        </w:tc>
        <w:tc>
          <w:tcPr>
            <w:tcW w:w="990" w:type="dxa"/>
          </w:tcPr>
          <w:p w14:paraId="71D3F281" w14:textId="77777777" w:rsidR="0033314C" w:rsidRPr="00F03B37" w:rsidRDefault="0033314C" w:rsidP="0033314C">
            <w:pPr>
              <w:jc w:val="right"/>
            </w:pPr>
            <w:r w:rsidRPr="00F03B37">
              <w:t>34%</w:t>
            </w:r>
          </w:p>
        </w:tc>
        <w:tc>
          <w:tcPr>
            <w:tcW w:w="1440" w:type="dxa"/>
          </w:tcPr>
          <w:p w14:paraId="6B0B333A" w14:textId="77777777" w:rsidR="0033314C" w:rsidRPr="00F03B37" w:rsidRDefault="0033314C" w:rsidP="0033314C">
            <w:pPr>
              <w:jc w:val="right"/>
            </w:pPr>
            <w:r w:rsidRPr="00F03B37">
              <w:t>61%</w:t>
            </w:r>
          </w:p>
        </w:tc>
        <w:tc>
          <w:tcPr>
            <w:tcW w:w="1170" w:type="dxa"/>
          </w:tcPr>
          <w:p w14:paraId="27B9155C" w14:textId="77777777" w:rsidR="0033314C" w:rsidRPr="00F03B37" w:rsidRDefault="0033314C" w:rsidP="0033314C">
            <w:pPr>
              <w:jc w:val="right"/>
            </w:pPr>
            <w:r w:rsidRPr="00156904">
              <w:t xml:space="preserve">38.2 </w:t>
            </w:r>
          </w:p>
        </w:tc>
        <w:tc>
          <w:tcPr>
            <w:tcW w:w="1260" w:type="dxa"/>
          </w:tcPr>
          <w:p w14:paraId="02752372" w14:textId="77777777" w:rsidR="0033314C" w:rsidRPr="00F03B37" w:rsidRDefault="0033314C" w:rsidP="0033314C">
            <w:pPr>
              <w:jc w:val="right"/>
            </w:pPr>
            <w:r w:rsidRPr="00F03B37">
              <w:t>33.1</w:t>
            </w:r>
          </w:p>
        </w:tc>
        <w:tc>
          <w:tcPr>
            <w:tcW w:w="1208" w:type="dxa"/>
          </w:tcPr>
          <w:p w14:paraId="62DD88A8" w14:textId="77777777" w:rsidR="0033314C" w:rsidRPr="00F03B37" w:rsidRDefault="0033314C" w:rsidP="0033314C">
            <w:pPr>
              <w:tabs>
                <w:tab w:val="right" w:pos="1111"/>
              </w:tabs>
              <w:jc w:val="right"/>
            </w:pPr>
            <w:r w:rsidRPr="00F03B37">
              <w:t>11%</w:t>
            </w:r>
          </w:p>
        </w:tc>
      </w:tr>
      <w:tr w:rsidR="00672455" w:rsidRPr="002E1515" w14:paraId="7F87AFE8" w14:textId="77777777" w:rsidTr="00156904">
        <w:trPr>
          <w:trHeight w:val="288"/>
          <w:jc w:val="center"/>
        </w:trPr>
        <w:tc>
          <w:tcPr>
            <w:tcW w:w="1705" w:type="dxa"/>
            <w:vMerge/>
          </w:tcPr>
          <w:p w14:paraId="4273C71A" w14:textId="77777777" w:rsidR="0033314C" w:rsidRPr="002E1515" w:rsidRDefault="0033314C" w:rsidP="0033314C"/>
        </w:tc>
        <w:tc>
          <w:tcPr>
            <w:tcW w:w="1350" w:type="dxa"/>
            <w:vAlign w:val="bottom"/>
          </w:tcPr>
          <w:p w14:paraId="6EA9FB12" w14:textId="77777777" w:rsidR="0033314C" w:rsidRPr="002E1515" w:rsidRDefault="0033314C" w:rsidP="0033314C">
            <w:pPr>
              <w:jc w:val="right"/>
            </w:pPr>
            <w:r w:rsidRPr="002E1515">
              <w:t>10-24</w:t>
            </w:r>
          </w:p>
        </w:tc>
        <w:tc>
          <w:tcPr>
            <w:tcW w:w="1620" w:type="dxa"/>
          </w:tcPr>
          <w:p w14:paraId="0A11DE73" w14:textId="77777777" w:rsidR="0033314C" w:rsidRPr="00F03B37" w:rsidRDefault="0033314C" w:rsidP="0033314C">
            <w:pPr>
              <w:jc w:val="right"/>
            </w:pPr>
            <w:r>
              <w:t>2,131,020</w:t>
            </w:r>
          </w:p>
        </w:tc>
        <w:tc>
          <w:tcPr>
            <w:tcW w:w="990" w:type="dxa"/>
          </w:tcPr>
          <w:p w14:paraId="6A8F8D75" w14:textId="77777777" w:rsidR="0033314C" w:rsidRPr="00F03B37" w:rsidRDefault="0033314C" w:rsidP="0033314C">
            <w:pPr>
              <w:jc w:val="right"/>
            </w:pPr>
            <w:r w:rsidRPr="00F03B37">
              <w:t>29%</w:t>
            </w:r>
          </w:p>
        </w:tc>
        <w:tc>
          <w:tcPr>
            <w:tcW w:w="1440" w:type="dxa"/>
          </w:tcPr>
          <w:p w14:paraId="2032BDBD" w14:textId="77777777" w:rsidR="0033314C" w:rsidRPr="00F03B37" w:rsidRDefault="0033314C" w:rsidP="0033314C">
            <w:pPr>
              <w:jc w:val="right"/>
            </w:pPr>
            <w:r w:rsidRPr="00F03B37">
              <w:t>49%</w:t>
            </w:r>
          </w:p>
        </w:tc>
        <w:tc>
          <w:tcPr>
            <w:tcW w:w="1170" w:type="dxa"/>
          </w:tcPr>
          <w:p w14:paraId="55A5B547" w14:textId="77777777" w:rsidR="0033314C" w:rsidRPr="00F03B37" w:rsidRDefault="0033314C" w:rsidP="0033314C">
            <w:pPr>
              <w:jc w:val="right"/>
            </w:pPr>
            <w:r w:rsidRPr="00156904">
              <w:t xml:space="preserve">18.3 </w:t>
            </w:r>
          </w:p>
        </w:tc>
        <w:tc>
          <w:tcPr>
            <w:tcW w:w="1260" w:type="dxa"/>
          </w:tcPr>
          <w:p w14:paraId="512858C8" w14:textId="77777777" w:rsidR="0033314C" w:rsidRPr="00F03B37" w:rsidRDefault="0033314C" w:rsidP="0033314C">
            <w:pPr>
              <w:jc w:val="right"/>
            </w:pPr>
            <w:r w:rsidRPr="00F03B37">
              <w:t>15.1</w:t>
            </w:r>
          </w:p>
        </w:tc>
        <w:tc>
          <w:tcPr>
            <w:tcW w:w="1208" w:type="dxa"/>
          </w:tcPr>
          <w:p w14:paraId="13E2D164" w14:textId="77777777" w:rsidR="0033314C" w:rsidRPr="00F03B37" w:rsidRDefault="0033314C" w:rsidP="0033314C">
            <w:pPr>
              <w:tabs>
                <w:tab w:val="right" w:pos="1111"/>
              </w:tabs>
              <w:jc w:val="right"/>
            </w:pPr>
            <w:r w:rsidRPr="00F03B37">
              <w:t>11%</w:t>
            </w:r>
          </w:p>
        </w:tc>
      </w:tr>
      <w:tr w:rsidR="00672455" w:rsidRPr="002E1515" w14:paraId="376B66C9" w14:textId="77777777" w:rsidTr="00156904">
        <w:trPr>
          <w:jc w:val="center"/>
        </w:trPr>
        <w:tc>
          <w:tcPr>
            <w:tcW w:w="1705" w:type="dxa"/>
            <w:vMerge/>
          </w:tcPr>
          <w:p w14:paraId="13745B88" w14:textId="77777777" w:rsidR="0033314C" w:rsidRPr="002E1515" w:rsidRDefault="0033314C" w:rsidP="0033314C"/>
        </w:tc>
        <w:tc>
          <w:tcPr>
            <w:tcW w:w="1350" w:type="dxa"/>
            <w:vAlign w:val="bottom"/>
          </w:tcPr>
          <w:p w14:paraId="71E83ACF" w14:textId="77777777" w:rsidR="0033314C" w:rsidRPr="002E1515" w:rsidRDefault="0033314C" w:rsidP="0033314C">
            <w:pPr>
              <w:jc w:val="right"/>
            </w:pPr>
            <w:r w:rsidRPr="002E1515">
              <w:t>5-9</w:t>
            </w:r>
          </w:p>
        </w:tc>
        <w:tc>
          <w:tcPr>
            <w:tcW w:w="1620" w:type="dxa"/>
          </w:tcPr>
          <w:p w14:paraId="7524FF32" w14:textId="77777777" w:rsidR="0033314C" w:rsidRPr="00F03B37" w:rsidRDefault="0033314C" w:rsidP="0033314C">
            <w:pPr>
              <w:jc w:val="right"/>
            </w:pPr>
            <w:r>
              <w:t>933,274</w:t>
            </w:r>
          </w:p>
        </w:tc>
        <w:tc>
          <w:tcPr>
            <w:tcW w:w="990" w:type="dxa"/>
          </w:tcPr>
          <w:p w14:paraId="275F25DD" w14:textId="77777777" w:rsidR="0033314C" w:rsidRPr="00F03B37" w:rsidRDefault="0033314C" w:rsidP="0033314C">
            <w:pPr>
              <w:jc w:val="right"/>
            </w:pPr>
            <w:r w:rsidRPr="00F03B37">
              <w:t>41%</w:t>
            </w:r>
          </w:p>
        </w:tc>
        <w:tc>
          <w:tcPr>
            <w:tcW w:w="1440" w:type="dxa"/>
          </w:tcPr>
          <w:p w14:paraId="083C5D24" w14:textId="77777777" w:rsidR="0033314C" w:rsidRPr="00F03B37" w:rsidRDefault="0033314C" w:rsidP="0033314C">
            <w:pPr>
              <w:jc w:val="right"/>
            </w:pPr>
            <w:r w:rsidRPr="00F03B37">
              <w:t>31%</w:t>
            </w:r>
          </w:p>
        </w:tc>
        <w:tc>
          <w:tcPr>
            <w:tcW w:w="1170" w:type="dxa"/>
          </w:tcPr>
          <w:p w14:paraId="0ECDD6FE" w14:textId="77777777" w:rsidR="0033314C" w:rsidRPr="00F03B37" w:rsidRDefault="0033314C" w:rsidP="0033314C">
            <w:pPr>
              <w:jc w:val="right"/>
            </w:pPr>
            <w:r w:rsidRPr="00156904">
              <w:t xml:space="preserve">8.3 </w:t>
            </w:r>
          </w:p>
        </w:tc>
        <w:tc>
          <w:tcPr>
            <w:tcW w:w="1260" w:type="dxa"/>
          </w:tcPr>
          <w:p w14:paraId="09BD887F" w14:textId="77777777" w:rsidR="0033314C" w:rsidRPr="00F03B37" w:rsidRDefault="0033314C" w:rsidP="0033314C">
            <w:pPr>
              <w:jc w:val="right"/>
            </w:pPr>
            <w:r w:rsidRPr="00F03B37">
              <w:t>7.9</w:t>
            </w:r>
          </w:p>
        </w:tc>
        <w:tc>
          <w:tcPr>
            <w:tcW w:w="1208" w:type="dxa"/>
          </w:tcPr>
          <w:p w14:paraId="472A28C8" w14:textId="77777777" w:rsidR="0033314C" w:rsidRPr="00F03B37" w:rsidRDefault="0033314C" w:rsidP="0033314C">
            <w:pPr>
              <w:tabs>
                <w:tab w:val="right" w:pos="1111"/>
              </w:tabs>
              <w:jc w:val="right"/>
            </w:pPr>
            <w:r w:rsidRPr="00F03B37">
              <w:t>9%</w:t>
            </w:r>
          </w:p>
        </w:tc>
      </w:tr>
      <w:tr w:rsidR="00672455" w:rsidRPr="002E1515" w14:paraId="0469C207" w14:textId="77777777" w:rsidTr="00156904">
        <w:trPr>
          <w:jc w:val="center"/>
        </w:trPr>
        <w:tc>
          <w:tcPr>
            <w:tcW w:w="1705" w:type="dxa"/>
            <w:vMerge/>
          </w:tcPr>
          <w:p w14:paraId="2E52F69A" w14:textId="77777777" w:rsidR="0033314C" w:rsidRPr="002E1515" w:rsidRDefault="0033314C" w:rsidP="0033314C"/>
        </w:tc>
        <w:tc>
          <w:tcPr>
            <w:tcW w:w="1350" w:type="dxa"/>
            <w:vAlign w:val="bottom"/>
          </w:tcPr>
          <w:p w14:paraId="3FCB33A8" w14:textId="77777777" w:rsidR="0033314C" w:rsidRPr="002E1515" w:rsidRDefault="0033314C" w:rsidP="0033314C">
            <w:pPr>
              <w:jc w:val="right"/>
            </w:pPr>
            <w:r w:rsidRPr="002E1515">
              <w:t>2-4</w:t>
            </w:r>
          </w:p>
        </w:tc>
        <w:tc>
          <w:tcPr>
            <w:tcW w:w="1620" w:type="dxa"/>
          </w:tcPr>
          <w:p w14:paraId="71899955" w14:textId="77777777" w:rsidR="0033314C" w:rsidRPr="00F03B37" w:rsidRDefault="0033314C" w:rsidP="0033314C">
            <w:pPr>
              <w:jc w:val="right"/>
            </w:pPr>
            <w:r>
              <w:t>401,919</w:t>
            </w:r>
          </w:p>
        </w:tc>
        <w:tc>
          <w:tcPr>
            <w:tcW w:w="990" w:type="dxa"/>
          </w:tcPr>
          <w:p w14:paraId="46CC41E6" w14:textId="77777777" w:rsidR="0033314C" w:rsidRPr="00F03B37" w:rsidRDefault="0033314C" w:rsidP="0033314C">
            <w:pPr>
              <w:jc w:val="right"/>
            </w:pPr>
            <w:r w:rsidRPr="00F03B37">
              <w:t>17%</w:t>
            </w:r>
          </w:p>
        </w:tc>
        <w:tc>
          <w:tcPr>
            <w:tcW w:w="1440" w:type="dxa"/>
          </w:tcPr>
          <w:p w14:paraId="2508DD50" w14:textId="77777777" w:rsidR="0033314C" w:rsidRPr="00F03B37" w:rsidRDefault="0033314C" w:rsidP="0033314C">
            <w:pPr>
              <w:jc w:val="right"/>
            </w:pPr>
            <w:r w:rsidRPr="00F03B37">
              <w:t>35%</w:t>
            </w:r>
          </w:p>
        </w:tc>
        <w:tc>
          <w:tcPr>
            <w:tcW w:w="1170" w:type="dxa"/>
          </w:tcPr>
          <w:p w14:paraId="601F07D9" w14:textId="77777777" w:rsidR="0033314C" w:rsidRPr="00F03B37" w:rsidRDefault="0033314C" w:rsidP="0033314C">
            <w:pPr>
              <w:jc w:val="right"/>
            </w:pPr>
            <w:r w:rsidRPr="00156904">
              <w:t xml:space="preserve">4.1 </w:t>
            </w:r>
          </w:p>
        </w:tc>
        <w:tc>
          <w:tcPr>
            <w:tcW w:w="1260" w:type="dxa"/>
          </w:tcPr>
          <w:p w14:paraId="217CFC1B" w14:textId="77777777" w:rsidR="0033314C" w:rsidRPr="00F03B37" w:rsidRDefault="0033314C" w:rsidP="0033314C">
            <w:pPr>
              <w:jc w:val="right"/>
            </w:pPr>
            <w:r w:rsidRPr="00F03B37">
              <w:t>3.1</w:t>
            </w:r>
          </w:p>
        </w:tc>
        <w:tc>
          <w:tcPr>
            <w:tcW w:w="1208" w:type="dxa"/>
          </w:tcPr>
          <w:p w14:paraId="52E05D57" w14:textId="77777777" w:rsidR="0033314C" w:rsidRPr="00F03B37" w:rsidRDefault="0033314C" w:rsidP="0033314C">
            <w:pPr>
              <w:tabs>
                <w:tab w:val="right" w:pos="1111"/>
              </w:tabs>
              <w:jc w:val="right"/>
            </w:pPr>
            <w:r w:rsidRPr="00F03B37">
              <w:t>6%</w:t>
            </w:r>
          </w:p>
        </w:tc>
      </w:tr>
      <w:tr w:rsidR="00672455" w:rsidRPr="002E1515" w14:paraId="0BC74143" w14:textId="77777777" w:rsidTr="00156904">
        <w:trPr>
          <w:jc w:val="center"/>
        </w:trPr>
        <w:tc>
          <w:tcPr>
            <w:tcW w:w="1705" w:type="dxa"/>
            <w:vMerge/>
          </w:tcPr>
          <w:p w14:paraId="68453DD7" w14:textId="77777777" w:rsidR="0033314C" w:rsidRPr="002E1515" w:rsidRDefault="0033314C" w:rsidP="0033314C"/>
        </w:tc>
        <w:tc>
          <w:tcPr>
            <w:tcW w:w="1350" w:type="dxa"/>
            <w:vAlign w:val="bottom"/>
          </w:tcPr>
          <w:p w14:paraId="43623CE5" w14:textId="77777777" w:rsidR="0033314C" w:rsidRPr="002E1515" w:rsidRDefault="0033314C" w:rsidP="0033314C">
            <w:pPr>
              <w:jc w:val="right"/>
            </w:pPr>
            <w:r w:rsidRPr="002E1515">
              <w:t>1</w:t>
            </w:r>
          </w:p>
        </w:tc>
        <w:tc>
          <w:tcPr>
            <w:tcW w:w="1620" w:type="dxa"/>
          </w:tcPr>
          <w:p w14:paraId="2AC6E43A" w14:textId="77777777" w:rsidR="0033314C" w:rsidRPr="00F03B37" w:rsidRDefault="0033314C" w:rsidP="0033314C">
            <w:pPr>
              <w:jc w:val="right"/>
            </w:pPr>
            <w:r>
              <w:t>131,076</w:t>
            </w:r>
          </w:p>
        </w:tc>
        <w:tc>
          <w:tcPr>
            <w:tcW w:w="990" w:type="dxa"/>
          </w:tcPr>
          <w:p w14:paraId="2B2E400A" w14:textId="77777777" w:rsidR="0033314C" w:rsidRPr="00F03B37" w:rsidRDefault="0033314C" w:rsidP="0033314C">
            <w:pPr>
              <w:jc w:val="right"/>
            </w:pPr>
            <w:r w:rsidRPr="00F03B37">
              <w:t>40%</w:t>
            </w:r>
          </w:p>
        </w:tc>
        <w:tc>
          <w:tcPr>
            <w:tcW w:w="1440" w:type="dxa"/>
          </w:tcPr>
          <w:p w14:paraId="285B979A" w14:textId="77777777" w:rsidR="0033314C" w:rsidRPr="00F03B37" w:rsidRDefault="0033314C" w:rsidP="0033314C">
            <w:pPr>
              <w:jc w:val="right"/>
            </w:pPr>
            <w:r w:rsidRPr="00F03B37">
              <w:t>40%</w:t>
            </w:r>
          </w:p>
        </w:tc>
        <w:tc>
          <w:tcPr>
            <w:tcW w:w="1170" w:type="dxa"/>
          </w:tcPr>
          <w:p w14:paraId="5CD3ABDC" w14:textId="77777777" w:rsidR="0033314C" w:rsidRPr="00F03B37" w:rsidRDefault="0033314C" w:rsidP="0033314C">
            <w:pPr>
              <w:jc w:val="right"/>
            </w:pPr>
            <w:r w:rsidRPr="00156904">
              <w:t xml:space="preserve">1.6 </w:t>
            </w:r>
          </w:p>
        </w:tc>
        <w:tc>
          <w:tcPr>
            <w:tcW w:w="1260" w:type="dxa"/>
          </w:tcPr>
          <w:p w14:paraId="3F750A9D" w14:textId="77777777" w:rsidR="0033314C" w:rsidRPr="00F03B37" w:rsidRDefault="0033314C" w:rsidP="0033314C">
            <w:pPr>
              <w:jc w:val="right"/>
            </w:pPr>
            <w:r w:rsidRPr="00F03B37">
              <w:t>0.2</w:t>
            </w:r>
          </w:p>
        </w:tc>
        <w:tc>
          <w:tcPr>
            <w:tcW w:w="1208" w:type="dxa"/>
          </w:tcPr>
          <w:p w14:paraId="0824EDE6" w14:textId="77777777" w:rsidR="0033314C" w:rsidRPr="00156904" w:rsidRDefault="0033314C" w:rsidP="0033314C">
            <w:pPr>
              <w:tabs>
                <w:tab w:val="right" w:pos="1111"/>
              </w:tabs>
              <w:jc w:val="right"/>
            </w:pPr>
            <w:r w:rsidRPr="00F03B37">
              <w:t>5%</w:t>
            </w:r>
            <w:r w:rsidRPr="00156904">
              <w:t>b</w:t>
            </w:r>
          </w:p>
        </w:tc>
      </w:tr>
      <w:tr w:rsidR="00672455" w:rsidRPr="002E1515" w14:paraId="4A62BEFE" w14:textId="77777777" w:rsidTr="00156904">
        <w:trPr>
          <w:jc w:val="center"/>
        </w:trPr>
        <w:tc>
          <w:tcPr>
            <w:tcW w:w="1705" w:type="dxa"/>
          </w:tcPr>
          <w:p w14:paraId="761F5D5C" w14:textId="77777777" w:rsidR="0033314C" w:rsidRPr="002E1515" w:rsidRDefault="0033314C" w:rsidP="0033314C">
            <w:r w:rsidRPr="002E1515">
              <w:t>State</w:t>
            </w:r>
            <w:r>
              <w:t xml:space="preserve"> Police</w:t>
            </w:r>
          </w:p>
        </w:tc>
        <w:tc>
          <w:tcPr>
            <w:tcW w:w="1350" w:type="dxa"/>
            <w:vAlign w:val="center"/>
          </w:tcPr>
          <w:p w14:paraId="2C4D9134" w14:textId="77777777" w:rsidR="0033314C" w:rsidRPr="002E1515" w:rsidRDefault="0033314C" w:rsidP="0033314C">
            <w:pPr>
              <w:jc w:val="right"/>
            </w:pPr>
            <w:r w:rsidRPr="002E1515">
              <w:t>All</w:t>
            </w:r>
          </w:p>
        </w:tc>
        <w:tc>
          <w:tcPr>
            <w:tcW w:w="1620" w:type="dxa"/>
            <w:vAlign w:val="center"/>
          </w:tcPr>
          <w:p w14:paraId="36C83841" w14:textId="77777777" w:rsidR="0033314C" w:rsidRPr="00F03B37" w:rsidRDefault="0033314C" w:rsidP="0033314C">
            <w:pPr>
              <w:jc w:val="right"/>
            </w:pPr>
            <w:r>
              <w:t>255,956,091</w:t>
            </w:r>
          </w:p>
        </w:tc>
        <w:tc>
          <w:tcPr>
            <w:tcW w:w="990" w:type="dxa"/>
            <w:vAlign w:val="center"/>
          </w:tcPr>
          <w:p w14:paraId="3A22F094" w14:textId="77777777" w:rsidR="0033314C" w:rsidRPr="00F03B37" w:rsidRDefault="0033314C" w:rsidP="0033314C">
            <w:pPr>
              <w:jc w:val="right"/>
            </w:pPr>
            <w:r w:rsidRPr="00F03B37">
              <w:t>23%</w:t>
            </w:r>
          </w:p>
        </w:tc>
        <w:tc>
          <w:tcPr>
            <w:tcW w:w="1440" w:type="dxa"/>
            <w:vAlign w:val="center"/>
          </w:tcPr>
          <w:p w14:paraId="697424DF" w14:textId="77777777" w:rsidR="0033314C" w:rsidRPr="00F03B37" w:rsidRDefault="0033314C" w:rsidP="0033314C">
            <w:pPr>
              <w:jc w:val="right"/>
            </w:pPr>
            <w:r w:rsidRPr="00F03B37">
              <w:t>50%</w:t>
            </w:r>
          </w:p>
        </w:tc>
        <w:tc>
          <w:tcPr>
            <w:tcW w:w="1170" w:type="dxa"/>
            <w:vAlign w:val="center"/>
          </w:tcPr>
          <w:p w14:paraId="27B76750" w14:textId="77777777" w:rsidR="0033314C" w:rsidRPr="00F03B37" w:rsidRDefault="0033314C">
            <w:pPr>
              <w:jc w:val="right"/>
            </w:pPr>
            <w:r w:rsidRPr="00156904">
              <w:t>1,168.4</w:t>
            </w:r>
          </w:p>
        </w:tc>
        <w:tc>
          <w:tcPr>
            <w:tcW w:w="1260" w:type="dxa"/>
            <w:vAlign w:val="center"/>
          </w:tcPr>
          <w:p w14:paraId="42033BE8" w14:textId="77777777" w:rsidR="0033314C" w:rsidRPr="00F03B37" w:rsidRDefault="0033314C" w:rsidP="0033314C">
            <w:pPr>
              <w:jc w:val="right"/>
            </w:pPr>
            <w:r w:rsidRPr="00F03B37">
              <w:t>601.5</w:t>
            </w:r>
          </w:p>
        </w:tc>
        <w:tc>
          <w:tcPr>
            <w:tcW w:w="1208" w:type="dxa"/>
            <w:vAlign w:val="center"/>
          </w:tcPr>
          <w:p w14:paraId="111E16F0" w14:textId="77777777" w:rsidR="0033314C" w:rsidRPr="00F03B37" w:rsidRDefault="0033314C" w:rsidP="0033314C">
            <w:pPr>
              <w:tabs>
                <w:tab w:val="right" w:pos="1111"/>
              </w:tabs>
              <w:jc w:val="right"/>
            </w:pPr>
            <w:r w:rsidRPr="00F03B37">
              <w:t>6%</w:t>
            </w:r>
          </w:p>
        </w:tc>
      </w:tr>
    </w:tbl>
    <w:p w14:paraId="4945ECE4" w14:textId="397BD00E" w:rsidR="0037297B" w:rsidRPr="00C06CDB" w:rsidRDefault="0037297B" w:rsidP="00D534B2">
      <w:pPr>
        <w:pStyle w:val="SP-SglSpPara"/>
        <w:tabs>
          <w:tab w:val="clear" w:pos="576"/>
          <w:tab w:val="left" w:pos="-540"/>
        </w:tabs>
        <w:ind w:left="-540" w:right="-720" w:hanging="180"/>
        <w:jc w:val="left"/>
        <w:rPr>
          <w:sz w:val="20"/>
        </w:rPr>
      </w:pPr>
      <w:proofErr w:type="gramStart"/>
      <w:r w:rsidRPr="00C06CDB">
        <w:rPr>
          <w:vertAlign w:val="superscript"/>
        </w:rPr>
        <w:t>a</w:t>
      </w:r>
      <w:proofErr w:type="gramEnd"/>
      <w:r>
        <w:rPr>
          <w:vertAlign w:val="superscript"/>
        </w:rPr>
        <w:t xml:space="preserve"> </w:t>
      </w:r>
      <w:r w:rsidRPr="00C06CDB">
        <w:rPr>
          <w:sz w:val="20"/>
        </w:rPr>
        <w:t xml:space="preserve">Number of </w:t>
      </w:r>
      <w:r w:rsidR="00855D09">
        <w:rPr>
          <w:sz w:val="20"/>
        </w:rPr>
        <w:t>full-time sworn officers.</w:t>
      </w:r>
    </w:p>
    <w:p w14:paraId="1A9DBFC5" w14:textId="77777777" w:rsidR="00DF2615" w:rsidRDefault="0037297B" w:rsidP="00D534B2">
      <w:pPr>
        <w:pStyle w:val="SP-SglSpPara"/>
        <w:tabs>
          <w:tab w:val="clear" w:pos="576"/>
          <w:tab w:val="left" w:pos="-540"/>
        </w:tabs>
        <w:ind w:left="-540" w:right="-720" w:hanging="180"/>
        <w:jc w:val="left"/>
        <w:rPr>
          <w:sz w:val="20"/>
        </w:rPr>
      </w:pPr>
      <w:proofErr w:type="gramStart"/>
      <w:r w:rsidRPr="00D534B2">
        <w:rPr>
          <w:sz w:val="20"/>
          <w:vertAlign w:val="superscript"/>
        </w:rPr>
        <w:t>b</w:t>
      </w:r>
      <w:proofErr w:type="gramEnd"/>
      <w:r w:rsidR="007A3AED">
        <w:rPr>
          <w:sz w:val="20"/>
        </w:rPr>
        <w:t xml:space="preserve"> </w:t>
      </w:r>
      <w:r w:rsidR="007A3AED" w:rsidRPr="00D534B2">
        <w:rPr>
          <w:sz w:val="20"/>
        </w:rPr>
        <w:t>For estimation purposes, this percent is set to 5% to have a valid standard deviation</w:t>
      </w:r>
      <w:r w:rsidR="0056033F">
        <w:rPr>
          <w:sz w:val="20"/>
        </w:rPr>
        <w:t xml:space="preserve"> though the estimate was 0%</w:t>
      </w:r>
      <w:r w:rsidR="007A3AED" w:rsidRPr="00D534B2">
        <w:rPr>
          <w:sz w:val="20"/>
        </w:rPr>
        <w:t>.</w:t>
      </w:r>
    </w:p>
    <w:p w14:paraId="30D2B359" w14:textId="77777777" w:rsidR="007A3AED" w:rsidRDefault="007A3AED" w:rsidP="00C5649E">
      <w:pPr>
        <w:pStyle w:val="SP-SglSpPara"/>
        <w:tabs>
          <w:tab w:val="clear" w:pos="576"/>
          <w:tab w:val="left" w:pos="-540"/>
        </w:tabs>
        <w:ind w:left="-540" w:right="-720" w:hanging="180"/>
        <w:jc w:val="left"/>
        <w:rPr>
          <w:rFonts w:eastAsia="Calibri"/>
        </w:rPr>
      </w:pPr>
    </w:p>
    <w:p w14:paraId="1E371B73" w14:textId="75991367" w:rsidR="00F84901" w:rsidRPr="00360A4F" w:rsidRDefault="00F84901" w:rsidP="00D534B2">
      <w:pPr>
        <w:pStyle w:val="Caption"/>
        <w:keepNext/>
        <w:ind w:left="-720"/>
        <w:rPr>
          <w:rFonts w:ascii="Times New Roman" w:eastAsia="Calibri" w:hAnsi="Times New Roman" w:cs="Times New Roman"/>
          <w:b/>
          <w:bCs/>
          <w:i w:val="0"/>
          <w:iCs w:val="0"/>
          <w:color w:val="auto"/>
          <w:sz w:val="24"/>
          <w:szCs w:val="24"/>
        </w:rPr>
      </w:pPr>
      <w:r w:rsidRPr="00360A4F">
        <w:rPr>
          <w:rFonts w:ascii="Times New Roman" w:eastAsia="Calibri" w:hAnsi="Times New Roman" w:cs="Times New Roman"/>
          <w:b/>
          <w:bCs/>
          <w:i w:val="0"/>
          <w:iCs w:val="0"/>
          <w:color w:val="auto"/>
          <w:sz w:val="24"/>
          <w:szCs w:val="24"/>
        </w:rPr>
        <w:t xml:space="preserve">Table </w:t>
      </w:r>
      <w:r w:rsidR="00F84BA4">
        <w:rPr>
          <w:rFonts w:ascii="Times New Roman" w:eastAsia="Calibri" w:hAnsi="Times New Roman" w:cs="Times New Roman"/>
          <w:b/>
          <w:bCs/>
          <w:i w:val="0"/>
          <w:iCs w:val="0"/>
          <w:color w:val="auto"/>
          <w:sz w:val="24"/>
          <w:szCs w:val="24"/>
        </w:rPr>
        <w:t>5</w:t>
      </w:r>
      <w:r w:rsidRPr="00360A4F">
        <w:rPr>
          <w:rFonts w:ascii="Times New Roman" w:eastAsia="Calibri" w:hAnsi="Times New Roman" w:cs="Times New Roman"/>
          <w:b/>
          <w:bCs/>
          <w:i w:val="0"/>
          <w:iCs w:val="0"/>
          <w:color w:val="auto"/>
          <w:sz w:val="24"/>
          <w:szCs w:val="24"/>
        </w:rPr>
        <w:t xml:space="preserve">: Estimates of </w:t>
      </w:r>
      <w:r w:rsidR="00DD5DDC">
        <w:rPr>
          <w:rFonts w:ascii="Times New Roman" w:eastAsia="Calibri" w:hAnsi="Times New Roman" w:cs="Times New Roman"/>
          <w:b/>
          <w:bCs/>
          <w:i w:val="0"/>
          <w:iCs w:val="0"/>
          <w:color w:val="auto"/>
          <w:sz w:val="24"/>
          <w:szCs w:val="24"/>
        </w:rPr>
        <w:t>standard d</w:t>
      </w:r>
      <w:r w:rsidRPr="00360A4F">
        <w:rPr>
          <w:rFonts w:ascii="Times New Roman" w:eastAsia="Calibri" w:hAnsi="Times New Roman" w:cs="Times New Roman"/>
          <w:b/>
          <w:bCs/>
          <w:i w:val="0"/>
          <w:iCs w:val="0"/>
          <w:color w:val="auto"/>
          <w:sz w:val="24"/>
          <w:szCs w:val="24"/>
        </w:rPr>
        <w:t xml:space="preserve">eviations of </w:t>
      </w:r>
      <w:r w:rsidR="00DD5DDC">
        <w:rPr>
          <w:rFonts w:ascii="Times New Roman" w:eastAsia="Calibri" w:hAnsi="Times New Roman" w:cs="Times New Roman"/>
          <w:b/>
          <w:bCs/>
          <w:i w:val="0"/>
          <w:iCs w:val="0"/>
          <w:color w:val="auto"/>
          <w:sz w:val="24"/>
          <w:szCs w:val="24"/>
        </w:rPr>
        <w:t>s</w:t>
      </w:r>
      <w:r w:rsidR="00594C83">
        <w:rPr>
          <w:rFonts w:ascii="Times New Roman" w:eastAsia="Calibri" w:hAnsi="Times New Roman" w:cs="Times New Roman"/>
          <w:b/>
          <w:bCs/>
          <w:i w:val="0"/>
          <w:iCs w:val="0"/>
          <w:color w:val="auto"/>
          <w:sz w:val="24"/>
          <w:szCs w:val="24"/>
        </w:rPr>
        <w:t xml:space="preserve">elected </w:t>
      </w:r>
      <w:r w:rsidR="00DD5DDC">
        <w:rPr>
          <w:rFonts w:ascii="Times New Roman" w:eastAsia="Calibri" w:hAnsi="Times New Roman" w:cs="Times New Roman"/>
          <w:b/>
          <w:bCs/>
          <w:i w:val="0"/>
          <w:iCs w:val="0"/>
          <w:color w:val="auto"/>
          <w:sz w:val="24"/>
          <w:szCs w:val="24"/>
        </w:rPr>
        <w:t>s</w:t>
      </w:r>
      <w:r w:rsidR="00594C83">
        <w:rPr>
          <w:rFonts w:ascii="Times New Roman" w:eastAsia="Calibri" w:hAnsi="Times New Roman" w:cs="Times New Roman"/>
          <w:b/>
          <w:bCs/>
          <w:i w:val="0"/>
          <w:iCs w:val="0"/>
          <w:color w:val="auto"/>
          <w:sz w:val="24"/>
          <w:szCs w:val="24"/>
        </w:rPr>
        <w:t>tatist</w:t>
      </w:r>
      <w:r w:rsidR="007A3AED">
        <w:rPr>
          <w:rFonts w:ascii="Times New Roman" w:eastAsia="Calibri" w:hAnsi="Times New Roman" w:cs="Times New Roman"/>
          <w:b/>
          <w:bCs/>
          <w:i w:val="0"/>
          <w:iCs w:val="0"/>
          <w:color w:val="auto"/>
          <w:sz w:val="24"/>
          <w:szCs w:val="24"/>
        </w:rPr>
        <w:t>i</w:t>
      </w:r>
      <w:r w:rsidR="00594C83">
        <w:rPr>
          <w:rFonts w:ascii="Times New Roman" w:eastAsia="Calibri" w:hAnsi="Times New Roman" w:cs="Times New Roman"/>
          <w:b/>
          <w:bCs/>
          <w:i w:val="0"/>
          <w:iCs w:val="0"/>
          <w:color w:val="auto"/>
          <w:sz w:val="24"/>
          <w:szCs w:val="24"/>
        </w:rPr>
        <w:t>cs</w:t>
      </w:r>
      <w:r w:rsidR="007D45D3">
        <w:rPr>
          <w:rFonts w:ascii="Times New Roman" w:eastAsia="Calibri" w:hAnsi="Times New Roman" w:cs="Times New Roman"/>
          <w:b/>
          <w:bCs/>
          <w:i w:val="0"/>
          <w:iCs w:val="0"/>
          <w:color w:val="auto"/>
          <w:sz w:val="24"/>
          <w:szCs w:val="24"/>
        </w:rPr>
        <w:t xml:space="preserve">, by </w:t>
      </w:r>
      <w:r w:rsidR="00DD5DDC">
        <w:rPr>
          <w:rFonts w:ascii="Times New Roman" w:eastAsia="Calibri" w:hAnsi="Times New Roman" w:cs="Times New Roman"/>
          <w:b/>
          <w:bCs/>
          <w:i w:val="0"/>
          <w:iCs w:val="0"/>
          <w:color w:val="auto"/>
          <w:sz w:val="24"/>
          <w:szCs w:val="24"/>
        </w:rPr>
        <w:t>s</w:t>
      </w:r>
      <w:r w:rsidR="007D45D3">
        <w:rPr>
          <w:rFonts w:ascii="Times New Roman" w:eastAsia="Calibri" w:hAnsi="Times New Roman" w:cs="Times New Roman"/>
          <w:b/>
          <w:bCs/>
          <w:i w:val="0"/>
          <w:iCs w:val="0"/>
          <w:color w:val="auto"/>
          <w:sz w:val="24"/>
          <w:szCs w:val="24"/>
        </w:rPr>
        <w:t>tratum,</w:t>
      </w:r>
      <w:r w:rsidR="00594C83">
        <w:rPr>
          <w:rFonts w:ascii="Times New Roman" w:eastAsia="Calibri" w:hAnsi="Times New Roman" w:cs="Times New Roman"/>
          <w:b/>
          <w:bCs/>
          <w:i w:val="0"/>
          <w:iCs w:val="0"/>
          <w:color w:val="auto"/>
          <w:sz w:val="24"/>
          <w:szCs w:val="24"/>
        </w:rPr>
        <w:t xml:space="preserve"> </w:t>
      </w:r>
      <w:r w:rsidRPr="00360A4F">
        <w:rPr>
          <w:rFonts w:ascii="Times New Roman" w:eastAsia="Calibri" w:hAnsi="Times New Roman" w:cs="Times New Roman"/>
          <w:b/>
          <w:bCs/>
          <w:i w:val="0"/>
          <w:iCs w:val="0"/>
          <w:color w:val="auto"/>
          <w:sz w:val="24"/>
          <w:szCs w:val="24"/>
        </w:rPr>
        <w:t>2013 LEMAS</w:t>
      </w:r>
    </w:p>
    <w:tbl>
      <w:tblPr>
        <w:tblStyle w:val="TableGrid"/>
        <w:tblW w:w="10743" w:type="dxa"/>
        <w:jc w:val="center"/>
        <w:tblLayout w:type="fixed"/>
        <w:tblLook w:val="04A0" w:firstRow="1" w:lastRow="0" w:firstColumn="1" w:lastColumn="0" w:noHBand="0" w:noVBand="1"/>
      </w:tblPr>
      <w:tblGrid>
        <w:gridCol w:w="1705"/>
        <w:gridCol w:w="1350"/>
        <w:gridCol w:w="1620"/>
        <w:gridCol w:w="990"/>
        <w:gridCol w:w="1440"/>
        <w:gridCol w:w="1170"/>
        <w:gridCol w:w="1260"/>
        <w:gridCol w:w="1208"/>
      </w:tblGrid>
      <w:tr w:rsidR="00672455" w:rsidRPr="002E1515" w14:paraId="6F1FCCF6" w14:textId="77777777" w:rsidTr="00672455">
        <w:trPr>
          <w:jc w:val="center"/>
        </w:trPr>
        <w:tc>
          <w:tcPr>
            <w:tcW w:w="1705" w:type="dxa"/>
            <w:shd w:val="clear" w:color="auto" w:fill="C6D9F1" w:themeFill="text2" w:themeFillTint="33"/>
            <w:vAlign w:val="bottom"/>
          </w:tcPr>
          <w:p w14:paraId="4324D482" w14:textId="77777777" w:rsidR="007D45D3" w:rsidRPr="002E1515" w:rsidRDefault="007D45D3" w:rsidP="00560FBB">
            <w:pPr>
              <w:jc w:val="center"/>
            </w:pPr>
            <w:r w:rsidRPr="002E1515">
              <w:t>Agency Type</w:t>
            </w:r>
          </w:p>
        </w:tc>
        <w:tc>
          <w:tcPr>
            <w:tcW w:w="1350" w:type="dxa"/>
            <w:shd w:val="clear" w:color="auto" w:fill="C6D9F1" w:themeFill="text2" w:themeFillTint="33"/>
            <w:vAlign w:val="bottom"/>
          </w:tcPr>
          <w:p w14:paraId="76F94EDF" w14:textId="77777777" w:rsidR="007D45D3" w:rsidRPr="002E1515" w:rsidRDefault="007D45D3" w:rsidP="00560FBB">
            <w:pPr>
              <w:jc w:val="center"/>
            </w:pPr>
            <w:r>
              <w:t xml:space="preserve">Agency </w:t>
            </w:r>
            <w:proofErr w:type="spellStart"/>
            <w:r>
              <w:t>Size</w:t>
            </w:r>
            <w:r w:rsidRPr="00D534B2">
              <w:rPr>
                <w:vertAlign w:val="superscript"/>
              </w:rPr>
              <w:t>a</w:t>
            </w:r>
            <w:proofErr w:type="spellEnd"/>
          </w:p>
        </w:tc>
        <w:tc>
          <w:tcPr>
            <w:tcW w:w="1620" w:type="dxa"/>
            <w:shd w:val="clear" w:color="auto" w:fill="C6D9F1" w:themeFill="text2" w:themeFillTint="33"/>
            <w:vAlign w:val="bottom"/>
          </w:tcPr>
          <w:p w14:paraId="5553C46F" w14:textId="77777777" w:rsidR="007D45D3" w:rsidRDefault="007D45D3" w:rsidP="00560FBB">
            <w:pPr>
              <w:jc w:val="center"/>
            </w:pPr>
            <w:r>
              <w:t>Budget</w:t>
            </w:r>
          </w:p>
        </w:tc>
        <w:tc>
          <w:tcPr>
            <w:tcW w:w="990" w:type="dxa"/>
            <w:shd w:val="clear" w:color="auto" w:fill="C6D9F1" w:themeFill="text2" w:themeFillTint="33"/>
            <w:vAlign w:val="bottom"/>
          </w:tcPr>
          <w:p w14:paraId="09A3C73F" w14:textId="77777777" w:rsidR="007D45D3" w:rsidRDefault="007D45D3" w:rsidP="00560FBB">
            <w:pPr>
              <w:jc w:val="center"/>
            </w:pPr>
            <w:r>
              <w:t>BWC Usage</w:t>
            </w:r>
          </w:p>
        </w:tc>
        <w:tc>
          <w:tcPr>
            <w:tcW w:w="1440" w:type="dxa"/>
            <w:shd w:val="clear" w:color="auto" w:fill="C6D9F1" w:themeFill="text2" w:themeFillTint="33"/>
            <w:vAlign w:val="bottom"/>
          </w:tcPr>
          <w:p w14:paraId="6B1F6518" w14:textId="77777777" w:rsidR="007D45D3" w:rsidRDefault="007D45D3" w:rsidP="00560FBB">
            <w:pPr>
              <w:jc w:val="center"/>
            </w:pPr>
            <w:r>
              <w:t>Community Policing</w:t>
            </w:r>
          </w:p>
        </w:tc>
        <w:tc>
          <w:tcPr>
            <w:tcW w:w="1170" w:type="dxa"/>
            <w:shd w:val="clear" w:color="auto" w:fill="C6D9F1" w:themeFill="text2" w:themeFillTint="33"/>
          </w:tcPr>
          <w:p w14:paraId="2E76462D" w14:textId="77777777" w:rsidR="007D45D3" w:rsidRDefault="007D45D3" w:rsidP="00560FBB">
            <w:pPr>
              <w:jc w:val="center"/>
            </w:pPr>
            <w:r>
              <w:t>Number FTS Officers</w:t>
            </w:r>
          </w:p>
        </w:tc>
        <w:tc>
          <w:tcPr>
            <w:tcW w:w="1260" w:type="dxa"/>
            <w:shd w:val="clear" w:color="auto" w:fill="C6D9F1" w:themeFill="text2" w:themeFillTint="33"/>
            <w:vAlign w:val="bottom"/>
          </w:tcPr>
          <w:p w14:paraId="0A6EFAF3" w14:textId="3081A677" w:rsidR="007D45D3" w:rsidRDefault="007D45D3">
            <w:pPr>
              <w:jc w:val="center"/>
            </w:pPr>
            <w:r>
              <w:t>Number FTNS Staff</w:t>
            </w:r>
          </w:p>
        </w:tc>
        <w:tc>
          <w:tcPr>
            <w:tcW w:w="1208" w:type="dxa"/>
            <w:shd w:val="clear" w:color="auto" w:fill="C6D9F1" w:themeFill="text2" w:themeFillTint="33"/>
            <w:vAlign w:val="bottom"/>
          </w:tcPr>
          <w:p w14:paraId="5E9E0482" w14:textId="77777777" w:rsidR="007D45D3" w:rsidRDefault="007D45D3" w:rsidP="00560FBB">
            <w:pPr>
              <w:jc w:val="center"/>
            </w:pPr>
            <w:r>
              <w:t>Female Officers</w:t>
            </w:r>
          </w:p>
        </w:tc>
      </w:tr>
      <w:tr w:rsidR="00A14B3A" w:rsidRPr="002E1515" w14:paraId="68457C8B" w14:textId="77777777" w:rsidTr="00156904">
        <w:trPr>
          <w:trHeight w:val="107"/>
          <w:jc w:val="center"/>
        </w:trPr>
        <w:tc>
          <w:tcPr>
            <w:tcW w:w="1705" w:type="dxa"/>
            <w:vMerge w:val="restart"/>
          </w:tcPr>
          <w:p w14:paraId="3206DC20" w14:textId="77777777" w:rsidR="00A14B3A" w:rsidRPr="002E1515" w:rsidRDefault="00A14B3A" w:rsidP="00A14B3A">
            <w:r w:rsidRPr="002E1515">
              <w:t>Local Police</w:t>
            </w:r>
          </w:p>
        </w:tc>
        <w:tc>
          <w:tcPr>
            <w:tcW w:w="1350" w:type="dxa"/>
            <w:vAlign w:val="bottom"/>
          </w:tcPr>
          <w:p w14:paraId="4C377AAF" w14:textId="77777777" w:rsidR="00A14B3A" w:rsidRPr="002E1515" w:rsidRDefault="00A14B3A" w:rsidP="00A14B3A">
            <w:pPr>
              <w:jc w:val="right"/>
            </w:pPr>
            <w:r w:rsidRPr="002E1515">
              <w:t>100+</w:t>
            </w:r>
          </w:p>
        </w:tc>
        <w:tc>
          <w:tcPr>
            <w:tcW w:w="1620" w:type="dxa"/>
            <w:vAlign w:val="bottom"/>
          </w:tcPr>
          <w:p w14:paraId="076A7B39" w14:textId="77777777" w:rsidR="00A14B3A" w:rsidRPr="002E1515" w:rsidRDefault="00A14B3A" w:rsidP="00A14B3A">
            <w:pPr>
              <w:jc w:val="right"/>
            </w:pPr>
            <w:r>
              <w:t>$</w:t>
            </w:r>
            <w:r w:rsidRPr="00BC4E11">
              <w:t xml:space="preserve">222,396,327 </w:t>
            </w:r>
          </w:p>
        </w:tc>
        <w:tc>
          <w:tcPr>
            <w:tcW w:w="990" w:type="dxa"/>
          </w:tcPr>
          <w:p w14:paraId="1B05DF8C" w14:textId="77777777" w:rsidR="00A14B3A" w:rsidRPr="00BC4E11" w:rsidRDefault="00A14B3A" w:rsidP="00A14B3A">
            <w:pPr>
              <w:jc w:val="right"/>
            </w:pPr>
            <w:r w:rsidRPr="00E8403D">
              <w:t>2%</w:t>
            </w:r>
          </w:p>
        </w:tc>
        <w:tc>
          <w:tcPr>
            <w:tcW w:w="1440" w:type="dxa"/>
          </w:tcPr>
          <w:p w14:paraId="4B5DCD48" w14:textId="77777777" w:rsidR="00A14B3A" w:rsidRPr="002E1515" w:rsidRDefault="00A14B3A" w:rsidP="00A14B3A">
            <w:pPr>
              <w:jc w:val="right"/>
            </w:pPr>
            <w:r w:rsidRPr="00E8403D">
              <w:t>1%</w:t>
            </w:r>
          </w:p>
        </w:tc>
        <w:tc>
          <w:tcPr>
            <w:tcW w:w="1170" w:type="dxa"/>
          </w:tcPr>
          <w:p w14:paraId="689931AC" w14:textId="77777777" w:rsidR="00A14B3A" w:rsidRPr="00E8403D" w:rsidRDefault="00A14B3A" w:rsidP="00A14B3A">
            <w:pPr>
              <w:jc w:val="right"/>
            </w:pPr>
            <w:r>
              <w:rPr>
                <w:color w:val="000000"/>
              </w:rPr>
              <w:t xml:space="preserve">1,662.6 </w:t>
            </w:r>
          </w:p>
        </w:tc>
        <w:tc>
          <w:tcPr>
            <w:tcW w:w="1260" w:type="dxa"/>
          </w:tcPr>
          <w:p w14:paraId="5813909D" w14:textId="77777777" w:rsidR="00A14B3A" w:rsidRPr="00BC4E11" w:rsidRDefault="00A14B3A" w:rsidP="00A14B3A">
            <w:pPr>
              <w:jc w:val="right"/>
            </w:pPr>
            <w:r w:rsidRPr="00E8403D">
              <w:t>641.4</w:t>
            </w:r>
          </w:p>
        </w:tc>
        <w:tc>
          <w:tcPr>
            <w:tcW w:w="1208" w:type="dxa"/>
          </w:tcPr>
          <w:p w14:paraId="019FBDEA" w14:textId="77777777" w:rsidR="00A14B3A" w:rsidRPr="002E1515" w:rsidRDefault="00A14B3A" w:rsidP="00A14B3A">
            <w:pPr>
              <w:jc w:val="right"/>
            </w:pPr>
            <w:r w:rsidRPr="003654DD">
              <w:t>0.1%</w:t>
            </w:r>
          </w:p>
        </w:tc>
      </w:tr>
      <w:tr w:rsidR="00A14B3A" w:rsidRPr="002E1515" w14:paraId="424C4F04" w14:textId="77777777" w:rsidTr="00156904">
        <w:trPr>
          <w:jc w:val="center"/>
        </w:trPr>
        <w:tc>
          <w:tcPr>
            <w:tcW w:w="1705" w:type="dxa"/>
            <w:vMerge/>
          </w:tcPr>
          <w:p w14:paraId="4CC7C5BA" w14:textId="77777777" w:rsidR="00A14B3A" w:rsidRPr="002E1515" w:rsidRDefault="00A14B3A" w:rsidP="00A14B3A"/>
        </w:tc>
        <w:tc>
          <w:tcPr>
            <w:tcW w:w="1350" w:type="dxa"/>
            <w:vAlign w:val="bottom"/>
          </w:tcPr>
          <w:p w14:paraId="26F93EB9" w14:textId="77777777" w:rsidR="00A14B3A" w:rsidRPr="002E1515" w:rsidRDefault="00A14B3A" w:rsidP="00A14B3A">
            <w:pPr>
              <w:jc w:val="right"/>
            </w:pPr>
            <w:r w:rsidRPr="002E1515">
              <w:t>50-99</w:t>
            </w:r>
          </w:p>
        </w:tc>
        <w:tc>
          <w:tcPr>
            <w:tcW w:w="1620" w:type="dxa"/>
          </w:tcPr>
          <w:p w14:paraId="42E803FE" w14:textId="77777777" w:rsidR="00A14B3A" w:rsidRPr="002E1515" w:rsidRDefault="00A14B3A" w:rsidP="00A14B3A">
            <w:pPr>
              <w:jc w:val="right"/>
            </w:pPr>
            <w:r w:rsidRPr="00BC4E11">
              <w:t xml:space="preserve">4,320,058 </w:t>
            </w:r>
          </w:p>
        </w:tc>
        <w:tc>
          <w:tcPr>
            <w:tcW w:w="990" w:type="dxa"/>
          </w:tcPr>
          <w:p w14:paraId="59EDF75F" w14:textId="77777777" w:rsidR="00A14B3A" w:rsidRPr="00BC4E11" w:rsidRDefault="00A14B3A" w:rsidP="00A14B3A">
            <w:pPr>
              <w:jc w:val="right"/>
            </w:pPr>
            <w:r w:rsidRPr="00E8403D">
              <w:t>1%</w:t>
            </w:r>
          </w:p>
        </w:tc>
        <w:tc>
          <w:tcPr>
            <w:tcW w:w="1440" w:type="dxa"/>
          </w:tcPr>
          <w:p w14:paraId="1937D806" w14:textId="77777777" w:rsidR="00A14B3A" w:rsidRPr="002E1515" w:rsidRDefault="00A14B3A" w:rsidP="00A14B3A">
            <w:pPr>
              <w:jc w:val="right"/>
            </w:pPr>
            <w:r w:rsidRPr="00E8403D">
              <w:t>1%</w:t>
            </w:r>
          </w:p>
        </w:tc>
        <w:tc>
          <w:tcPr>
            <w:tcW w:w="1170" w:type="dxa"/>
          </w:tcPr>
          <w:p w14:paraId="0E670FDC" w14:textId="77777777" w:rsidR="00A14B3A" w:rsidRPr="00E8403D" w:rsidRDefault="00A14B3A" w:rsidP="00A14B3A">
            <w:pPr>
              <w:jc w:val="right"/>
            </w:pPr>
            <w:r>
              <w:rPr>
                <w:color w:val="000000"/>
              </w:rPr>
              <w:t xml:space="preserve">15.7 </w:t>
            </w:r>
          </w:p>
        </w:tc>
        <w:tc>
          <w:tcPr>
            <w:tcW w:w="1260" w:type="dxa"/>
          </w:tcPr>
          <w:p w14:paraId="22D82ECF" w14:textId="77777777" w:rsidR="00A14B3A" w:rsidRPr="00BC4E11" w:rsidRDefault="00A14B3A" w:rsidP="00A14B3A">
            <w:pPr>
              <w:jc w:val="right"/>
            </w:pPr>
            <w:r w:rsidRPr="00E8403D">
              <w:t>10.8</w:t>
            </w:r>
          </w:p>
        </w:tc>
        <w:tc>
          <w:tcPr>
            <w:tcW w:w="1208" w:type="dxa"/>
          </w:tcPr>
          <w:p w14:paraId="5A888467" w14:textId="77777777" w:rsidR="00A14B3A" w:rsidRPr="002E1515" w:rsidRDefault="00A14B3A" w:rsidP="00A14B3A">
            <w:pPr>
              <w:jc w:val="right"/>
            </w:pPr>
            <w:r w:rsidRPr="003654DD">
              <w:t>0.2%</w:t>
            </w:r>
          </w:p>
        </w:tc>
      </w:tr>
      <w:tr w:rsidR="00A14B3A" w:rsidRPr="002E1515" w14:paraId="498C9A72" w14:textId="77777777" w:rsidTr="00156904">
        <w:trPr>
          <w:jc w:val="center"/>
        </w:trPr>
        <w:tc>
          <w:tcPr>
            <w:tcW w:w="1705" w:type="dxa"/>
            <w:vMerge/>
          </w:tcPr>
          <w:p w14:paraId="04802001" w14:textId="77777777" w:rsidR="00A14B3A" w:rsidRPr="002E1515" w:rsidRDefault="00A14B3A" w:rsidP="00A14B3A"/>
        </w:tc>
        <w:tc>
          <w:tcPr>
            <w:tcW w:w="1350" w:type="dxa"/>
            <w:vAlign w:val="bottom"/>
          </w:tcPr>
          <w:p w14:paraId="425867C8" w14:textId="77777777" w:rsidR="00A14B3A" w:rsidRPr="002E1515" w:rsidRDefault="00A14B3A" w:rsidP="00A14B3A">
            <w:pPr>
              <w:jc w:val="right"/>
            </w:pPr>
            <w:r w:rsidRPr="002E1515">
              <w:t>25-49</w:t>
            </w:r>
          </w:p>
        </w:tc>
        <w:tc>
          <w:tcPr>
            <w:tcW w:w="1620" w:type="dxa"/>
          </w:tcPr>
          <w:p w14:paraId="54923DF2" w14:textId="77777777" w:rsidR="00A14B3A" w:rsidRPr="002E1515" w:rsidRDefault="00A14B3A" w:rsidP="00A14B3A">
            <w:pPr>
              <w:jc w:val="right"/>
            </w:pPr>
            <w:r w:rsidRPr="00BC4E11">
              <w:t xml:space="preserve">1,807,782 </w:t>
            </w:r>
          </w:p>
        </w:tc>
        <w:tc>
          <w:tcPr>
            <w:tcW w:w="990" w:type="dxa"/>
          </w:tcPr>
          <w:p w14:paraId="095F4209" w14:textId="77777777" w:rsidR="00A14B3A" w:rsidRPr="00BC4E11" w:rsidRDefault="00A14B3A" w:rsidP="00A14B3A">
            <w:pPr>
              <w:jc w:val="right"/>
            </w:pPr>
            <w:r w:rsidRPr="00E8403D">
              <w:t>1%</w:t>
            </w:r>
          </w:p>
        </w:tc>
        <w:tc>
          <w:tcPr>
            <w:tcW w:w="1440" w:type="dxa"/>
          </w:tcPr>
          <w:p w14:paraId="267513EF" w14:textId="77777777" w:rsidR="00A14B3A" w:rsidRPr="002E1515" w:rsidRDefault="00A14B3A" w:rsidP="00A14B3A">
            <w:pPr>
              <w:jc w:val="right"/>
            </w:pPr>
            <w:r w:rsidRPr="00E8403D">
              <w:t>1%</w:t>
            </w:r>
          </w:p>
        </w:tc>
        <w:tc>
          <w:tcPr>
            <w:tcW w:w="1170" w:type="dxa"/>
          </w:tcPr>
          <w:p w14:paraId="748A884B" w14:textId="77777777" w:rsidR="00A14B3A" w:rsidRPr="00E8403D" w:rsidRDefault="00A14B3A" w:rsidP="00A14B3A">
            <w:pPr>
              <w:jc w:val="right"/>
            </w:pPr>
            <w:r>
              <w:rPr>
                <w:color w:val="000000"/>
              </w:rPr>
              <w:t xml:space="preserve">7.7 </w:t>
            </w:r>
          </w:p>
        </w:tc>
        <w:tc>
          <w:tcPr>
            <w:tcW w:w="1260" w:type="dxa"/>
          </w:tcPr>
          <w:p w14:paraId="019BA899" w14:textId="77777777" w:rsidR="00A14B3A" w:rsidRPr="00BC4E11" w:rsidRDefault="00A14B3A" w:rsidP="00A14B3A">
            <w:pPr>
              <w:jc w:val="right"/>
            </w:pPr>
            <w:r w:rsidRPr="00E8403D">
              <w:t>6.5</w:t>
            </w:r>
          </w:p>
        </w:tc>
        <w:tc>
          <w:tcPr>
            <w:tcW w:w="1208" w:type="dxa"/>
          </w:tcPr>
          <w:p w14:paraId="4B9FB918" w14:textId="77777777" w:rsidR="00A14B3A" w:rsidRPr="002E1515" w:rsidRDefault="00A14B3A" w:rsidP="00A14B3A">
            <w:pPr>
              <w:jc w:val="right"/>
            </w:pPr>
            <w:r w:rsidRPr="003654DD">
              <w:t>0.3%</w:t>
            </w:r>
          </w:p>
        </w:tc>
      </w:tr>
      <w:tr w:rsidR="00A14B3A" w:rsidRPr="002E1515" w14:paraId="5CF29D5F" w14:textId="77777777" w:rsidTr="00156904">
        <w:trPr>
          <w:jc w:val="center"/>
        </w:trPr>
        <w:tc>
          <w:tcPr>
            <w:tcW w:w="1705" w:type="dxa"/>
            <w:vMerge/>
          </w:tcPr>
          <w:p w14:paraId="320DECB8" w14:textId="77777777" w:rsidR="00A14B3A" w:rsidRPr="002E1515" w:rsidRDefault="00A14B3A" w:rsidP="00A14B3A"/>
        </w:tc>
        <w:tc>
          <w:tcPr>
            <w:tcW w:w="1350" w:type="dxa"/>
            <w:vAlign w:val="bottom"/>
          </w:tcPr>
          <w:p w14:paraId="5B3F187F" w14:textId="77777777" w:rsidR="00A14B3A" w:rsidRPr="002E1515" w:rsidRDefault="00A14B3A" w:rsidP="00A14B3A">
            <w:pPr>
              <w:jc w:val="right"/>
            </w:pPr>
            <w:r w:rsidRPr="002E1515">
              <w:t>10-24</w:t>
            </w:r>
          </w:p>
        </w:tc>
        <w:tc>
          <w:tcPr>
            <w:tcW w:w="1620" w:type="dxa"/>
          </w:tcPr>
          <w:p w14:paraId="1E9BAF2F" w14:textId="77777777" w:rsidR="00A14B3A" w:rsidRPr="002E1515" w:rsidRDefault="00A14B3A" w:rsidP="00A14B3A">
            <w:pPr>
              <w:jc w:val="right"/>
            </w:pPr>
            <w:r w:rsidRPr="00BC4E11">
              <w:t xml:space="preserve">860,957 </w:t>
            </w:r>
          </w:p>
        </w:tc>
        <w:tc>
          <w:tcPr>
            <w:tcW w:w="990" w:type="dxa"/>
          </w:tcPr>
          <w:p w14:paraId="559C58E4" w14:textId="77777777" w:rsidR="00A14B3A" w:rsidRPr="00BC4E11" w:rsidRDefault="00A14B3A" w:rsidP="00A14B3A">
            <w:pPr>
              <w:jc w:val="right"/>
            </w:pPr>
            <w:r w:rsidRPr="00E8403D">
              <w:t>1%</w:t>
            </w:r>
          </w:p>
        </w:tc>
        <w:tc>
          <w:tcPr>
            <w:tcW w:w="1440" w:type="dxa"/>
          </w:tcPr>
          <w:p w14:paraId="6A0B1338" w14:textId="77777777" w:rsidR="00A14B3A" w:rsidRPr="002E1515" w:rsidRDefault="00A14B3A" w:rsidP="00A14B3A">
            <w:pPr>
              <w:jc w:val="right"/>
            </w:pPr>
            <w:r w:rsidRPr="00E8403D">
              <w:t>1%</w:t>
            </w:r>
          </w:p>
        </w:tc>
        <w:tc>
          <w:tcPr>
            <w:tcW w:w="1170" w:type="dxa"/>
          </w:tcPr>
          <w:p w14:paraId="45ED36DE" w14:textId="77777777" w:rsidR="00A14B3A" w:rsidRPr="00E8403D" w:rsidRDefault="00A14B3A" w:rsidP="00A14B3A">
            <w:pPr>
              <w:jc w:val="right"/>
            </w:pPr>
            <w:r>
              <w:rPr>
                <w:color w:val="000000"/>
              </w:rPr>
              <w:t xml:space="preserve">4.6 </w:t>
            </w:r>
          </w:p>
        </w:tc>
        <w:tc>
          <w:tcPr>
            <w:tcW w:w="1260" w:type="dxa"/>
          </w:tcPr>
          <w:p w14:paraId="385EAF3A" w14:textId="77777777" w:rsidR="00A14B3A" w:rsidRPr="00BC4E11" w:rsidRDefault="00A14B3A" w:rsidP="00A14B3A">
            <w:pPr>
              <w:jc w:val="right"/>
            </w:pPr>
            <w:r w:rsidRPr="00E8403D">
              <w:t>2.8</w:t>
            </w:r>
          </w:p>
        </w:tc>
        <w:tc>
          <w:tcPr>
            <w:tcW w:w="1208" w:type="dxa"/>
          </w:tcPr>
          <w:p w14:paraId="23750FFA" w14:textId="77777777" w:rsidR="00A14B3A" w:rsidRPr="002E1515" w:rsidRDefault="00A14B3A" w:rsidP="00A14B3A">
            <w:pPr>
              <w:jc w:val="right"/>
            </w:pPr>
            <w:r w:rsidRPr="003654DD">
              <w:t>0.3%</w:t>
            </w:r>
          </w:p>
        </w:tc>
      </w:tr>
      <w:tr w:rsidR="00A14B3A" w:rsidRPr="002E1515" w14:paraId="691A0F42" w14:textId="77777777" w:rsidTr="00156904">
        <w:trPr>
          <w:jc w:val="center"/>
        </w:trPr>
        <w:tc>
          <w:tcPr>
            <w:tcW w:w="1705" w:type="dxa"/>
            <w:vMerge/>
          </w:tcPr>
          <w:p w14:paraId="628C1E26" w14:textId="77777777" w:rsidR="00A14B3A" w:rsidRPr="002E1515" w:rsidRDefault="00A14B3A" w:rsidP="00A14B3A"/>
        </w:tc>
        <w:tc>
          <w:tcPr>
            <w:tcW w:w="1350" w:type="dxa"/>
            <w:vAlign w:val="bottom"/>
          </w:tcPr>
          <w:p w14:paraId="346D9370" w14:textId="77777777" w:rsidR="00A14B3A" w:rsidRPr="002E1515" w:rsidRDefault="00A14B3A" w:rsidP="00A14B3A">
            <w:pPr>
              <w:jc w:val="right"/>
            </w:pPr>
            <w:r w:rsidRPr="002E1515">
              <w:t>5-9</w:t>
            </w:r>
          </w:p>
        </w:tc>
        <w:tc>
          <w:tcPr>
            <w:tcW w:w="1620" w:type="dxa"/>
          </w:tcPr>
          <w:p w14:paraId="6ABDFE49" w14:textId="77777777" w:rsidR="00A14B3A" w:rsidRPr="002E1515" w:rsidRDefault="00A14B3A" w:rsidP="00A14B3A">
            <w:pPr>
              <w:jc w:val="right"/>
            </w:pPr>
            <w:r w:rsidRPr="00BC4E11">
              <w:t xml:space="preserve">267,601 </w:t>
            </w:r>
          </w:p>
        </w:tc>
        <w:tc>
          <w:tcPr>
            <w:tcW w:w="990" w:type="dxa"/>
          </w:tcPr>
          <w:p w14:paraId="15D1251E" w14:textId="77777777" w:rsidR="00A14B3A" w:rsidRPr="00BC4E11" w:rsidRDefault="00A14B3A" w:rsidP="00A14B3A">
            <w:pPr>
              <w:jc w:val="right"/>
            </w:pPr>
            <w:r w:rsidRPr="00E8403D">
              <w:t>1%</w:t>
            </w:r>
          </w:p>
        </w:tc>
        <w:tc>
          <w:tcPr>
            <w:tcW w:w="1440" w:type="dxa"/>
          </w:tcPr>
          <w:p w14:paraId="1389A746" w14:textId="77777777" w:rsidR="00A14B3A" w:rsidRPr="002E1515" w:rsidRDefault="00A14B3A" w:rsidP="00A14B3A">
            <w:pPr>
              <w:jc w:val="right"/>
            </w:pPr>
            <w:r w:rsidRPr="00E8403D">
              <w:t>1%</w:t>
            </w:r>
          </w:p>
        </w:tc>
        <w:tc>
          <w:tcPr>
            <w:tcW w:w="1170" w:type="dxa"/>
          </w:tcPr>
          <w:p w14:paraId="22E2E4D3" w14:textId="77777777" w:rsidR="00A14B3A" w:rsidRPr="00E8403D" w:rsidRDefault="00A14B3A" w:rsidP="00A14B3A">
            <w:pPr>
              <w:jc w:val="right"/>
            </w:pPr>
            <w:r>
              <w:rPr>
                <w:color w:val="000000"/>
              </w:rPr>
              <w:t xml:space="preserve">1.9 </w:t>
            </w:r>
          </w:p>
        </w:tc>
        <w:tc>
          <w:tcPr>
            <w:tcW w:w="1260" w:type="dxa"/>
          </w:tcPr>
          <w:p w14:paraId="7571358F" w14:textId="77777777" w:rsidR="00A14B3A" w:rsidRPr="00BC4E11" w:rsidRDefault="00A14B3A" w:rsidP="00A14B3A">
            <w:pPr>
              <w:jc w:val="right"/>
            </w:pPr>
            <w:r w:rsidRPr="00E8403D">
              <w:t>1.5</w:t>
            </w:r>
          </w:p>
        </w:tc>
        <w:tc>
          <w:tcPr>
            <w:tcW w:w="1208" w:type="dxa"/>
          </w:tcPr>
          <w:p w14:paraId="1320B706" w14:textId="77777777" w:rsidR="00A14B3A" w:rsidRPr="002E1515" w:rsidRDefault="00A14B3A" w:rsidP="00A14B3A">
            <w:pPr>
              <w:jc w:val="right"/>
            </w:pPr>
            <w:r w:rsidRPr="003654DD">
              <w:t>0.6%</w:t>
            </w:r>
          </w:p>
        </w:tc>
      </w:tr>
      <w:tr w:rsidR="00A14B3A" w:rsidRPr="002E1515" w14:paraId="2F84A87B" w14:textId="77777777" w:rsidTr="00156904">
        <w:trPr>
          <w:jc w:val="center"/>
        </w:trPr>
        <w:tc>
          <w:tcPr>
            <w:tcW w:w="1705" w:type="dxa"/>
            <w:vMerge/>
          </w:tcPr>
          <w:p w14:paraId="27C84C04" w14:textId="77777777" w:rsidR="00A14B3A" w:rsidRPr="002E1515" w:rsidRDefault="00A14B3A" w:rsidP="00A14B3A"/>
        </w:tc>
        <w:tc>
          <w:tcPr>
            <w:tcW w:w="1350" w:type="dxa"/>
            <w:vAlign w:val="bottom"/>
          </w:tcPr>
          <w:p w14:paraId="4A1904A7" w14:textId="77777777" w:rsidR="00A14B3A" w:rsidRPr="002E1515" w:rsidRDefault="00A14B3A" w:rsidP="00A14B3A">
            <w:pPr>
              <w:jc w:val="right"/>
            </w:pPr>
            <w:r w:rsidRPr="002E1515">
              <w:t>2-4</w:t>
            </w:r>
          </w:p>
        </w:tc>
        <w:tc>
          <w:tcPr>
            <w:tcW w:w="1620" w:type="dxa"/>
          </w:tcPr>
          <w:p w14:paraId="3CD45448" w14:textId="77777777" w:rsidR="00A14B3A" w:rsidRPr="002E1515" w:rsidRDefault="00A14B3A" w:rsidP="00A14B3A">
            <w:pPr>
              <w:jc w:val="right"/>
            </w:pPr>
            <w:r w:rsidRPr="00BC4E11">
              <w:t xml:space="preserve">260,990 </w:t>
            </w:r>
          </w:p>
        </w:tc>
        <w:tc>
          <w:tcPr>
            <w:tcW w:w="990" w:type="dxa"/>
          </w:tcPr>
          <w:p w14:paraId="38B2314A" w14:textId="77777777" w:rsidR="00A14B3A" w:rsidRPr="00BC4E11" w:rsidRDefault="00A14B3A" w:rsidP="00A14B3A">
            <w:pPr>
              <w:jc w:val="right"/>
            </w:pPr>
            <w:r w:rsidRPr="00E8403D">
              <w:t>1%</w:t>
            </w:r>
          </w:p>
        </w:tc>
        <w:tc>
          <w:tcPr>
            <w:tcW w:w="1440" w:type="dxa"/>
          </w:tcPr>
          <w:p w14:paraId="2719A346" w14:textId="77777777" w:rsidR="00A14B3A" w:rsidRPr="002E1515" w:rsidRDefault="00A14B3A" w:rsidP="00A14B3A">
            <w:pPr>
              <w:jc w:val="right"/>
            </w:pPr>
            <w:r w:rsidRPr="00E8403D">
              <w:t>1%</w:t>
            </w:r>
          </w:p>
        </w:tc>
        <w:tc>
          <w:tcPr>
            <w:tcW w:w="1170" w:type="dxa"/>
          </w:tcPr>
          <w:p w14:paraId="1D998189" w14:textId="77777777" w:rsidR="00A14B3A" w:rsidRPr="00E8403D" w:rsidRDefault="00A14B3A" w:rsidP="00A14B3A">
            <w:pPr>
              <w:jc w:val="right"/>
            </w:pPr>
            <w:r>
              <w:rPr>
                <w:color w:val="000000"/>
              </w:rPr>
              <w:t xml:space="preserve">1.2 </w:t>
            </w:r>
          </w:p>
        </w:tc>
        <w:tc>
          <w:tcPr>
            <w:tcW w:w="1260" w:type="dxa"/>
          </w:tcPr>
          <w:p w14:paraId="250B14BA" w14:textId="77777777" w:rsidR="00A14B3A" w:rsidRPr="00BC4E11" w:rsidRDefault="00A14B3A" w:rsidP="00A14B3A">
            <w:pPr>
              <w:jc w:val="right"/>
            </w:pPr>
            <w:r w:rsidRPr="00E8403D">
              <w:t>0.6</w:t>
            </w:r>
          </w:p>
        </w:tc>
        <w:tc>
          <w:tcPr>
            <w:tcW w:w="1208" w:type="dxa"/>
          </w:tcPr>
          <w:p w14:paraId="3526E0A3" w14:textId="77777777" w:rsidR="00A14B3A" w:rsidRPr="002E1515" w:rsidRDefault="00A14B3A" w:rsidP="00A14B3A">
            <w:pPr>
              <w:jc w:val="right"/>
            </w:pPr>
            <w:r w:rsidRPr="003654DD">
              <w:t>1.1%</w:t>
            </w:r>
          </w:p>
        </w:tc>
      </w:tr>
      <w:tr w:rsidR="00A14B3A" w:rsidRPr="002E1515" w14:paraId="59D55B8E" w14:textId="77777777" w:rsidTr="00156904">
        <w:trPr>
          <w:jc w:val="center"/>
        </w:trPr>
        <w:tc>
          <w:tcPr>
            <w:tcW w:w="1705" w:type="dxa"/>
            <w:vMerge/>
          </w:tcPr>
          <w:p w14:paraId="0F40334E" w14:textId="77777777" w:rsidR="00A14B3A" w:rsidRPr="002E1515" w:rsidRDefault="00A14B3A" w:rsidP="00A14B3A"/>
        </w:tc>
        <w:tc>
          <w:tcPr>
            <w:tcW w:w="1350" w:type="dxa"/>
            <w:vAlign w:val="bottom"/>
          </w:tcPr>
          <w:p w14:paraId="2CFCE8CA" w14:textId="77777777" w:rsidR="00A14B3A" w:rsidRPr="002E1515" w:rsidRDefault="00A14B3A" w:rsidP="00A14B3A">
            <w:pPr>
              <w:jc w:val="right"/>
            </w:pPr>
            <w:r w:rsidRPr="002E1515">
              <w:t>1</w:t>
            </w:r>
          </w:p>
        </w:tc>
        <w:tc>
          <w:tcPr>
            <w:tcW w:w="1620" w:type="dxa"/>
          </w:tcPr>
          <w:p w14:paraId="7D7B62B9" w14:textId="77777777" w:rsidR="00A14B3A" w:rsidRPr="002E1515" w:rsidRDefault="00A14B3A" w:rsidP="00A14B3A">
            <w:pPr>
              <w:jc w:val="right"/>
            </w:pPr>
            <w:r w:rsidRPr="00BC4E11">
              <w:t xml:space="preserve">64,142 </w:t>
            </w:r>
          </w:p>
        </w:tc>
        <w:tc>
          <w:tcPr>
            <w:tcW w:w="990" w:type="dxa"/>
          </w:tcPr>
          <w:p w14:paraId="01874F24" w14:textId="77777777" w:rsidR="00A14B3A" w:rsidRPr="00BC4E11" w:rsidRDefault="00A14B3A" w:rsidP="00A14B3A">
            <w:pPr>
              <w:jc w:val="right"/>
            </w:pPr>
            <w:r w:rsidRPr="00E8403D">
              <w:t>1%</w:t>
            </w:r>
          </w:p>
        </w:tc>
        <w:tc>
          <w:tcPr>
            <w:tcW w:w="1440" w:type="dxa"/>
          </w:tcPr>
          <w:p w14:paraId="3EF3DC57" w14:textId="77777777" w:rsidR="00A14B3A" w:rsidRPr="002E1515" w:rsidRDefault="00A14B3A" w:rsidP="00A14B3A">
            <w:pPr>
              <w:jc w:val="right"/>
            </w:pPr>
            <w:r w:rsidRPr="00E8403D">
              <w:t>1%</w:t>
            </w:r>
          </w:p>
        </w:tc>
        <w:tc>
          <w:tcPr>
            <w:tcW w:w="1170" w:type="dxa"/>
          </w:tcPr>
          <w:p w14:paraId="2C58BB4B" w14:textId="77777777" w:rsidR="00A14B3A" w:rsidRPr="00E8403D" w:rsidRDefault="00A14B3A" w:rsidP="00A14B3A">
            <w:pPr>
              <w:jc w:val="right"/>
            </w:pPr>
            <w:r>
              <w:rPr>
                <w:color w:val="000000"/>
              </w:rPr>
              <w:t xml:space="preserve">0.9 </w:t>
            </w:r>
          </w:p>
        </w:tc>
        <w:tc>
          <w:tcPr>
            <w:tcW w:w="1260" w:type="dxa"/>
          </w:tcPr>
          <w:p w14:paraId="6315E856" w14:textId="77777777" w:rsidR="00A14B3A" w:rsidRDefault="00A14B3A" w:rsidP="00A14B3A">
            <w:pPr>
              <w:jc w:val="right"/>
            </w:pPr>
            <w:r w:rsidRPr="00E8403D">
              <w:t>0.4</w:t>
            </w:r>
          </w:p>
        </w:tc>
        <w:tc>
          <w:tcPr>
            <w:tcW w:w="1208" w:type="dxa"/>
          </w:tcPr>
          <w:p w14:paraId="5A7F1F01" w14:textId="77777777" w:rsidR="00A14B3A" w:rsidRPr="002E1515" w:rsidRDefault="00A14B3A" w:rsidP="00A14B3A">
            <w:pPr>
              <w:jc w:val="right"/>
            </w:pPr>
            <w:r w:rsidRPr="003654DD">
              <w:t>3.7%</w:t>
            </w:r>
          </w:p>
        </w:tc>
      </w:tr>
      <w:tr w:rsidR="00A14B3A" w:rsidRPr="002E1515" w14:paraId="461A485F" w14:textId="77777777" w:rsidTr="00156904">
        <w:trPr>
          <w:jc w:val="center"/>
        </w:trPr>
        <w:tc>
          <w:tcPr>
            <w:tcW w:w="1705" w:type="dxa"/>
            <w:vMerge w:val="restart"/>
          </w:tcPr>
          <w:p w14:paraId="69262988" w14:textId="77777777" w:rsidR="00A14B3A" w:rsidRPr="002E1515" w:rsidRDefault="00A14B3A" w:rsidP="00A14B3A">
            <w:r w:rsidRPr="002E1515">
              <w:t>Sheriff</w:t>
            </w:r>
            <w:r>
              <w:t>’s</w:t>
            </w:r>
            <w:r w:rsidRPr="002E1515">
              <w:t xml:space="preserve"> Office</w:t>
            </w:r>
          </w:p>
        </w:tc>
        <w:tc>
          <w:tcPr>
            <w:tcW w:w="1350" w:type="dxa"/>
            <w:vAlign w:val="bottom"/>
          </w:tcPr>
          <w:p w14:paraId="7814232A" w14:textId="77777777" w:rsidR="00A14B3A" w:rsidRPr="002E1515" w:rsidRDefault="00A14B3A" w:rsidP="00A14B3A">
            <w:pPr>
              <w:jc w:val="right"/>
            </w:pPr>
            <w:r w:rsidRPr="002E1515">
              <w:t>100+</w:t>
            </w:r>
          </w:p>
        </w:tc>
        <w:tc>
          <w:tcPr>
            <w:tcW w:w="1620" w:type="dxa"/>
          </w:tcPr>
          <w:p w14:paraId="3795FD84" w14:textId="77777777" w:rsidR="00A14B3A" w:rsidRPr="002E1515" w:rsidRDefault="00A14B3A" w:rsidP="00A14B3A">
            <w:pPr>
              <w:jc w:val="right"/>
            </w:pPr>
            <w:r w:rsidRPr="00BC4E11">
              <w:t xml:space="preserve">201,958,784 </w:t>
            </w:r>
          </w:p>
        </w:tc>
        <w:tc>
          <w:tcPr>
            <w:tcW w:w="990" w:type="dxa"/>
          </w:tcPr>
          <w:p w14:paraId="102B8327" w14:textId="77777777" w:rsidR="00A14B3A" w:rsidRPr="00BC4E11" w:rsidRDefault="00A14B3A" w:rsidP="00A14B3A">
            <w:pPr>
              <w:jc w:val="right"/>
            </w:pPr>
            <w:r w:rsidRPr="00E8403D">
              <w:t>2%</w:t>
            </w:r>
          </w:p>
        </w:tc>
        <w:tc>
          <w:tcPr>
            <w:tcW w:w="1440" w:type="dxa"/>
          </w:tcPr>
          <w:p w14:paraId="70532C9B" w14:textId="77777777" w:rsidR="00A14B3A" w:rsidRPr="002E1515" w:rsidRDefault="00A14B3A" w:rsidP="00A14B3A">
            <w:pPr>
              <w:jc w:val="right"/>
            </w:pPr>
            <w:r w:rsidRPr="00E8403D">
              <w:t>2%</w:t>
            </w:r>
          </w:p>
        </w:tc>
        <w:tc>
          <w:tcPr>
            <w:tcW w:w="1170" w:type="dxa"/>
          </w:tcPr>
          <w:p w14:paraId="41E3346A" w14:textId="77777777" w:rsidR="00A14B3A" w:rsidRPr="00E8403D" w:rsidRDefault="00A14B3A" w:rsidP="00A14B3A">
            <w:pPr>
              <w:jc w:val="right"/>
            </w:pPr>
            <w:r>
              <w:rPr>
                <w:color w:val="000000"/>
              </w:rPr>
              <w:t xml:space="preserve">653.0 </w:t>
            </w:r>
          </w:p>
        </w:tc>
        <w:tc>
          <w:tcPr>
            <w:tcW w:w="1260" w:type="dxa"/>
          </w:tcPr>
          <w:p w14:paraId="445E94F5" w14:textId="77777777" w:rsidR="00A14B3A" w:rsidRPr="00BC4E11" w:rsidRDefault="00A14B3A" w:rsidP="00A14B3A">
            <w:pPr>
              <w:jc w:val="right"/>
            </w:pPr>
            <w:r w:rsidRPr="00E8403D">
              <w:t>637.6</w:t>
            </w:r>
          </w:p>
        </w:tc>
        <w:tc>
          <w:tcPr>
            <w:tcW w:w="1208" w:type="dxa"/>
          </w:tcPr>
          <w:p w14:paraId="7B855BA8" w14:textId="77777777" w:rsidR="00A14B3A" w:rsidRPr="002E1515" w:rsidRDefault="00A14B3A" w:rsidP="00A14B3A">
            <w:pPr>
              <w:jc w:val="right"/>
            </w:pPr>
            <w:r w:rsidRPr="003654DD">
              <w:t>0.1%</w:t>
            </w:r>
          </w:p>
        </w:tc>
      </w:tr>
      <w:tr w:rsidR="00A14B3A" w:rsidRPr="002E1515" w14:paraId="65B9A8C9" w14:textId="77777777" w:rsidTr="00156904">
        <w:trPr>
          <w:jc w:val="center"/>
        </w:trPr>
        <w:tc>
          <w:tcPr>
            <w:tcW w:w="1705" w:type="dxa"/>
            <w:vMerge/>
          </w:tcPr>
          <w:p w14:paraId="79574697" w14:textId="77777777" w:rsidR="00A14B3A" w:rsidRPr="002E1515" w:rsidRDefault="00A14B3A" w:rsidP="00A14B3A"/>
        </w:tc>
        <w:tc>
          <w:tcPr>
            <w:tcW w:w="1350" w:type="dxa"/>
            <w:vAlign w:val="bottom"/>
          </w:tcPr>
          <w:p w14:paraId="243C0625" w14:textId="77777777" w:rsidR="00A14B3A" w:rsidRPr="002E1515" w:rsidRDefault="00A14B3A" w:rsidP="00A14B3A">
            <w:pPr>
              <w:jc w:val="right"/>
            </w:pPr>
            <w:r w:rsidRPr="002E1515">
              <w:t>50-99</w:t>
            </w:r>
          </w:p>
        </w:tc>
        <w:tc>
          <w:tcPr>
            <w:tcW w:w="1620" w:type="dxa"/>
          </w:tcPr>
          <w:p w14:paraId="2DC47383" w14:textId="77777777" w:rsidR="00A14B3A" w:rsidRPr="002E1515" w:rsidRDefault="00A14B3A" w:rsidP="00A14B3A">
            <w:pPr>
              <w:jc w:val="right"/>
            </w:pPr>
            <w:r w:rsidRPr="00BC4E11">
              <w:t xml:space="preserve">7,533,508 </w:t>
            </w:r>
          </w:p>
        </w:tc>
        <w:tc>
          <w:tcPr>
            <w:tcW w:w="990" w:type="dxa"/>
          </w:tcPr>
          <w:p w14:paraId="649039A9" w14:textId="77777777" w:rsidR="00A14B3A" w:rsidRPr="00BC4E11" w:rsidRDefault="00A14B3A" w:rsidP="00A14B3A">
            <w:pPr>
              <w:jc w:val="right"/>
            </w:pPr>
            <w:r w:rsidRPr="00E8403D">
              <w:t>2%</w:t>
            </w:r>
          </w:p>
        </w:tc>
        <w:tc>
          <w:tcPr>
            <w:tcW w:w="1440" w:type="dxa"/>
          </w:tcPr>
          <w:p w14:paraId="0C00F6C4" w14:textId="77777777" w:rsidR="00A14B3A" w:rsidRPr="002E1515" w:rsidRDefault="00A14B3A" w:rsidP="00A14B3A">
            <w:pPr>
              <w:jc w:val="right"/>
            </w:pPr>
            <w:r w:rsidRPr="00E8403D">
              <w:t>3%</w:t>
            </w:r>
          </w:p>
        </w:tc>
        <w:tc>
          <w:tcPr>
            <w:tcW w:w="1170" w:type="dxa"/>
          </w:tcPr>
          <w:p w14:paraId="1C078609" w14:textId="77777777" w:rsidR="00A14B3A" w:rsidRPr="00E8403D" w:rsidRDefault="00A14B3A" w:rsidP="00A14B3A">
            <w:pPr>
              <w:jc w:val="right"/>
            </w:pPr>
            <w:r>
              <w:rPr>
                <w:color w:val="000000"/>
              </w:rPr>
              <w:t xml:space="preserve">14.8 </w:t>
            </w:r>
          </w:p>
        </w:tc>
        <w:tc>
          <w:tcPr>
            <w:tcW w:w="1260" w:type="dxa"/>
          </w:tcPr>
          <w:p w14:paraId="67ADD006" w14:textId="77777777" w:rsidR="00A14B3A" w:rsidRPr="00BC4E11" w:rsidRDefault="00A14B3A" w:rsidP="00A14B3A">
            <w:pPr>
              <w:jc w:val="right"/>
            </w:pPr>
            <w:r w:rsidRPr="00E8403D">
              <w:t>48.9</w:t>
            </w:r>
          </w:p>
        </w:tc>
        <w:tc>
          <w:tcPr>
            <w:tcW w:w="1208" w:type="dxa"/>
          </w:tcPr>
          <w:p w14:paraId="12125E55" w14:textId="77777777" w:rsidR="00A14B3A" w:rsidRPr="002E1515" w:rsidRDefault="00A14B3A" w:rsidP="00A14B3A">
            <w:pPr>
              <w:jc w:val="right"/>
            </w:pPr>
            <w:r w:rsidRPr="003654DD">
              <w:t>0.4%</w:t>
            </w:r>
          </w:p>
        </w:tc>
      </w:tr>
      <w:tr w:rsidR="00A14B3A" w:rsidRPr="002E1515" w14:paraId="7D62440F" w14:textId="77777777" w:rsidTr="00156904">
        <w:trPr>
          <w:jc w:val="center"/>
        </w:trPr>
        <w:tc>
          <w:tcPr>
            <w:tcW w:w="1705" w:type="dxa"/>
            <w:vMerge/>
          </w:tcPr>
          <w:p w14:paraId="1E8D12EB" w14:textId="77777777" w:rsidR="00A14B3A" w:rsidRPr="002E1515" w:rsidRDefault="00A14B3A" w:rsidP="00A14B3A"/>
        </w:tc>
        <w:tc>
          <w:tcPr>
            <w:tcW w:w="1350" w:type="dxa"/>
            <w:vAlign w:val="bottom"/>
          </w:tcPr>
          <w:p w14:paraId="251B8A6E" w14:textId="77777777" w:rsidR="00A14B3A" w:rsidRPr="002E1515" w:rsidRDefault="00A14B3A" w:rsidP="00A14B3A">
            <w:pPr>
              <w:jc w:val="right"/>
            </w:pPr>
            <w:r w:rsidRPr="002E1515">
              <w:t>25-49</w:t>
            </w:r>
          </w:p>
        </w:tc>
        <w:tc>
          <w:tcPr>
            <w:tcW w:w="1620" w:type="dxa"/>
          </w:tcPr>
          <w:p w14:paraId="2C9A5542" w14:textId="77777777" w:rsidR="00A14B3A" w:rsidRPr="002E1515" w:rsidRDefault="00A14B3A" w:rsidP="00A14B3A">
            <w:pPr>
              <w:jc w:val="right"/>
            </w:pPr>
            <w:r w:rsidRPr="00BC4E11">
              <w:t xml:space="preserve">4,558,408 </w:t>
            </w:r>
          </w:p>
        </w:tc>
        <w:tc>
          <w:tcPr>
            <w:tcW w:w="990" w:type="dxa"/>
          </w:tcPr>
          <w:p w14:paraId="37C5A0C4" w14:textId="77777777" w:rsidR="00A14B3A" w:rsidRPr="00BC4E11" w:rsidRDefault="00A14B3A" w:rsidP="00A14B3A">
            <w:pPr>
              <w:jc w:val="right"/>
            </w:pPr>
            <w:r w:rsidRPr="00E8403D">
              <w:t>2%</w:t>
            </w:r>
          </w:p>
        </w:tc>
        <w:tc>
          <w:tcPr>
            <w:tcW w:w="1440" w:type="dxa"/>
          </w:tcPr>
          <w:p w14:paraId="33B5463C" w14:textId="77777777" w:rsidR="00A14B3A" w:rsidRPr="002E1515" w:rsidRDefault="00A14B3A" w:rsidP="00A14B3A">
            <w:pPr>
              <w:jc w:val="right"/>
            </w:pPr>
            <w:r w:rsidRPr="00E8403D">
              <w:t>2%</w:t>
            </w:r>
          </w:p>
        </w:tc>
        <w:tc>
          <w:tcPr>
            <w:tcW w:w="1170" w:type="dxa"/>
          </w:tcPr>
          <w:p w14:paraId="4C544D21" w14:textId="77777777" w:rsidR="00A14B3A" w:rsidRPr="00E8403D" w:rsidRDefault="00A14B3A" w:rsidP="00A14B3A">
            <w:pPr>
              <w:jc w:val="right"/>
            </w:pPr>
            <w:r>
              <w:rPr>
                <w:color w:val="000000"/>
              </w:rPr>
              <w:t xml:space="preserve">11.1 </w:t>
            </w:r>
          </w:p>
        </w:tc>
        <w:tc>
          <w:tcPr>
            <w:tcW w:w="1260" w:type="dxa"/>
          </w:tcPr>
          <w:p w14:paraId="591FC2F4" w14:textId="77777777" w:rsidR="00A14B3A" w:rsidRPr="00BC4E11" w:rsidRDefault="00A14B3A" w:rsidP="00A14B3A">
            <w:pPr>
              <w:jc w:val="right"/>
            </w:pPr>
            <w:r w:rsidRPr="00E8403D">
              <w:t>31.4</w:t>
            </w:r>
          </w:p>
        </w:tc>
        <w:tc>
          <w:tcPr>
            <w:tcW w:w="1208" w:type="dxa"/>
          </w:tcPr>
          <w:p w14:paraId="3286EDEC" w14:textId="77777777" w:rsidR="00A14B3A" w:rsidRPr="002E1515" w:rsidRDefault="00A14B3A" w:rsidP="00A14B3A">
            <w:pPr>
              <w:jc w:val="right"/>
            </w:pPr>
            <w:r w:rsidRPr="003654DD">
              <w:t>0.5%</w:t>
            </w:r>
          </w:p>
        </w:tc>
      </w:tr>
      <w:tr w:rsidR="00A14B3A" w:rsidRPr="002E1515" w14:paraId="4D353DFB" w14:textId="77777777" w:rsidTr="00156904">
        <w:trPr>
          <w:jc w:val="center"/>
        </w:trPr>
        <w:tc>
          <w:tcPr>
            <w:tcW w:w="1705" w:type="dxa"/>
            <w:vMerge/>
          </w:tcPr>
          <w:p w14:paraId="3DD9DEAC" w14:textId="77777777" w:rsidR="00A14B3A" w:rsidRPr="002E1515" w:rsidRDefault="00A14B3A" w:rsidP="00A14B3A"/>
        </w:tc>
        <w:tc>
          <w:tcPr>
            <w:tcW w:w="1350" w:type="dxa"/>
            <w:vAlign w:val="bottom"/>
          </w:tcPr>
          <w:p w14:paraId="6A4043A0" w14:textId="77777777" w:rsidR="00A14B3A" w:rsidRPr="002E1515" w:rsidRDefault="00A14B3A" w:rsidP="00A14B3A">
            <w:pPr>
              <w:jc w:val="right"/>
            </w:pPr>
            <w:r w:rsidRPr="002E1515">
              <w:t>10-24</w:t>
            </w:r>
          </w:p>
        </w:tc>
        <w:tc>
          <w:tcPr>
            <w:tcW w:w="1620" w:type="dxa"/>
          </w:tcPr>
          <w:p w14:paraId="3E6F347B" w14:textId="77777777" w:rsidR="00A14B3A" w:rsidRPr="002E1515" w:rsidRDefault="00A14B3A" w:rsidP="00A14B3A">
            <w:pPr>
              <w:jc w:val="right"/>
            </w:pPr>
            <w:r w:rsidRPr="00BC4E11">
              <w:t xml:space="preserve">1,595,649 </w:t>
            </w:r>
          </w:p>
        </w:tc>
        <w:tc>
          <w:tcPr>
            <w:tcW w:w="990" w:type="dxa"/>
          </w:tcPr>
          <w:p w14:paraId="4B3D26FA" w14:textId="77777777" w:rsidR="00A14B3A" w:rsidRPr="00BC4E11" w:rsidRDefault="00A14B3A" w:rsidP="00A14B3A">
            <w:pPr>
              <w:jc w:val="right"/>
            </w:pPr>
            <w:r w:rsidRPr="00E8403D">
              <w:t>1%</w:t>
            </w:r>
          </w:p>
        </w:tc>
        <w:tc>
          <w:tcPr>
            <w:tcW w:w="1440" w:type="dxa"/>
          </w:tcPr>
          <w:p w14:paraId="040D2BED" w14:textId="77777777" w:rsidR="00A14B3A" w:rsidRPr="002E1515" w:rsidRDefault="00A14B3A" w:rsidP="00A14B3A">
            <w:pPr>
              <w:jc w:val="right"/>
            </w:pPr>
            <w:r w:rsidRPr="00E8403D">
              <w:t>2%</w:t>
            </w:r>
          </w:p>
        </w:tc>
        <w:tc>
          <w:tcPr>
            <w:tcW w:w="1170" w:type="dxa"/>
          </w:tcPr>
          <w:p w14:paraId="085AD42E" w14:textId="77777777" w:rsidR="00A14B3A" w:rsidRPr="00E8403D" w:rsidRDefault="00A14B3A" w:rsidP="00A14B3A">
            <w:pPr>
              <w:jc w:val="right"/>
            </w:pPr>
            <w:r>
              <w:rPr>
                <w:color w:val="000000"/>
              </w:rPr>
              <w:t xml:space="preserve">6.9 </w:t>
            </w:r>
          </w:p>
        </w:tc>
        <w:tc>
          <w:tcPr>
            <w:tcW w:w="1260" w:type="dxa"/>
          </w:tcPr>
          <w:p w14:paraId="1F8A9B37" w14:textId="77777777" w:rsidR="00A14B3A" w:rsidRPr="00BC4E11" w:rsidRDefault="00A14B3A" w:rsidP="00A14B3A">
            <w:pPr>
              <w:jc w:val="right"/>
            </w:pPr>
            <w:r w:rsidRPr="00E8403D">
              <w:t>15.2</w:t>
            </w:r>
          </w:p>
        </w:tc>
        <w:tc>
          <w:tcPr>
            <w:tcW w:w="1208" w:type="dxa"/>
          </w:tcPr>
          <w:p w14:paraId="237150CB" w14:textId="77777777" w:rsidR="00A14B3A" w:rsidRPr="002E1515" w:rsidRDefault="00A14B3A" w:rsidP="00A14B3A">
            <w:pPr>
              <w:jc w:val="right"/>
            </w:pPr>
            <w:r w:rsidRPr="003654DD">
              <w:t>0.6%</w:t>
            </w:r>
          </w:p>
        </w:tc>
      </w:tr>
      <w:tr w:rsidR="00A14B3A" w:rsidRPr="002E1515" w14:paraId="78DDD811" w14:textId="77777777" w:rsidTr="00156904">
        <w:trPr>
          <w:jc w:val="center"/>
        </w:trPr>
        <w:tc>
          <w:tcPr>
            <w:tcW w:w="1705" w:type="dxa"/>
            <w:vMerge/>
          </w:tcPr>
          <w:p w14:paraId="0E97B5E8" w14:textId="77777777" w:rsidR="00A14B3A" w:rsidRPr="002E1515" w:rsidRDefault="00A14B3A" w:rsidP="00A14B3A"/>
        </w:tc>
        <w:tc>
          <w:tcPr>
            <w:tcW w:w="1350" w:type="dxa"/>
            <w:vAlign w:val="bottom"/>
          </w:tcPr>
          <w:p w14:paraId="6D2A3216" w14:textId="77777777" w:rsidR="00A14B3A" w:rsidRPr="002E1515" w:rsidRDefault="00A14B3A" w:rsidP="00A14B3A">
            <w:pPr>
              <w:jc w:val="right"/>
            </w:pPr>
            <w:r w:rsidRPr="002E1515">
              <w:t>5-9</w:t>
            </w:r>
          </w:p>
        </w:tc>
        <w:tc>
          <w:tcPr>
            <w:tcW w:w="1620" w:type="dxa"/>
          </w:tcPr>
          <w:p w14:paraId="06D067AA" w14:textId="77777777" w:rsidR="00A14B3A" w:rsidRPr="002E1515" w:rsidRDefault="00A14B3A" w:rsidP="00A14B3A">
            <w:pPr>
              <w:jc w:val="right"/>
            </w:pPr>
            <w:r w:rsidRPr="00BC4E11">
              <w:t xml:space="preserve">478,142 </w:t>
            </w:r>
          </w:p>
        </w:tc>
        <w:tc>
          <w:tcPr>
            <w:tcW w:w="990" w:type="dxa"/>
          </w:tcPr>
          <w:p w14:paraId="04258701" w14:textId="77777777" w:rsidR="00A14B3A" w:rsidRPr="00BC4E11" w:rsidRDefault="00A14B3A" w:rsidP="00A14B3A">
            <w:pPr>
              <w:jc w:val="right"/>
            </w:pPr>
            <w:r w:rsidRPr="00E8403D">
              <w:t>2%</w:t>
            </w:r>
          </w:p>
        </w:tc>
        <w:tc>
          <w:tcPr>
            <w:tcW w:w="1440" w:type="dxa"/>
          </w:tcPr>
          <w:p w14:paraId="2EB8E537" w14:textId="77777777" w:rsidR="00A14B3A" w:rsidRPr="002E1515" w:rsidRDefault="00A14B3A" w:rsidP="00A14B3A">
            <w:pPr>
              <w:jc w:val="right"/>
            </w:pPr>
            <w:r w:rsidRPr="00E8403D">
              <w:t>2%</w:t>
            </w:r>
          </w:p>
        </w:tc>
        <w:tc>
          <w:tcPr>
            <w:tcW w:w="1170" w:type="dxa"/>
          </w:tcPr>
          <w:p w14:paraId="063E3D22" w14:textId="77777777" w:rsidR="00A14B3A" w:rsidRPr="00E8403D" w:rsidRDefault="00A14B3A" w:rsidP="00A14B3A">
            <w:pPr>
              <w:jc w:val="right"/>
            </w:pPr>
            <w:r>
              <w:rPr>
                <w:color w:val="000000"/>
              </w:rPr>
              <w:t xml:space="preserve">2.8 </w:t>
            </w:r>
          </w:p>
        </w:tc>
        <w:tc>
          <w:tcPr>
            <w:tcW w:w="1260" w:type="dxa"/>
          </w:tcPr>
          <w:p w14:paraId="1CBC0623" w14:textId="77777777" w:rsidR="00A14B3A" w:rsidRPr="00BC4E11" w:rsidRDefault="00A14B3A" w:rsidP="00A14B3A">
            <w:pPr>
              <w:jc w:val="right"/>
            </w:pPr>
            <w:r w:rsidRPr="00E8403D">
              <w:t>7.2</w:t>
            </w:r>
          </w:p>
        </w:tc>
        <w:tc>
          <w:tcPr>
            <w:tcW w:w="1208" w:type="dxa"/>
          </w:tcPr>
          <w:p w14:paraId="74443CCF" w14:textId="77777777" w:rsidR="00A14B3A" w:rsidRPr="002E1515" w:rsidRDefault="00A14B3A" w:rsidP="00A14B3A">
            <w:pPr>
              <w:jc w:val="right"/>
            </w:pPr>
            <w:r w:rsidRPr="003654DD">
              <w:t>1.2%</w:t>
            </w:r>
          </w:p>
        </w:tc>
      </w:tr>
      <w:tr w:rsidR="00A14B3A" w:rsidRPr="002E1515" w14:paraId="1FFE3F5C" w14:textId="77777777" w:rsidTr="00156904">
        <w:trPr>
          <w:jc w:val="center"/>
        </w:trPr>
        <w:tc>
          <w:tcPr>
            <w:tcW w:w="1705" w:type="dxa"/>
            <w:vMerge/>
          </w:tcPr>
          <w:p w14:paraId="71B70294" w14:textId="77777777" w:rsidR="00A14B3A" w:rsidRPr="002E1515" w:rsidRDefault="00A14B3A" w:rsidP="00A14B3A"/>
        </w:tc>
        <w:tc>
          <w:tcPr>
            <w:tcW w:w="1350" w:type="dxa"/>
            <w:vAlign w:val="bottom"/>
          </w:tcPr>
          <w:p w14:paraId="14EAD218" w14:textId="77777777" w:rsidR="00A14B3A" w:rsidRPr="002E1515" w:rsidRDefault="00A14B3A" w:rsidP="00A14B3A">
            <w:pPr>
              <w:jc w:val="right"/>
            </w:pPr>
            <w:r w:rsidRPr="002E1515">
              <w:t>2-4</w:t>
            </w:r>
          </w:p>
        </w:tc>
        <w:tc>
          <w:tcPr>
            <w:tcW w:w="1620" w:type="dxa"/>
          </w:tcPr>
          <w:p w14:paraId="0F8A8C9B" w14:textId="77777777" w:rsidR="00A14B3A" w:rsidRPr="002E1515" w:rsidRDefault="00A14B3A" w:rsidP="00A14B3A">
            <w:pPr>
              <w:jc w:val="right"/>
            </w:pPr>
            <w:r w:rsidRPr="00BC4E11">
              <w:t xml:space="preserve">335,159 </w:t>
            </w:r>
          </w:p>
        </w:tc>
        <w:tc>
          <w:tcPr>
            <w:tcW w:w="990" w:type="dxa"/>
          </w:tcPr>
          <w:p w14:paraId="5140DE64" w14:textId="77777777" w:rsidR="00A14B3A" w:rsidRPr="00BC4E11" w:rsidRDefault="00A14B3A" w:rsidP="00A14B3A">
            <w:pPr>
              <w:jc w:val="right"/>
            </w:pPr>
            <w:r w:rsidRPr="00E8403D">
              <w:t>3%</w:t>
            </w:r>
          </w:p>
        </w:tc>
        <w:tc>
          <w:tcPr>
            <w:tcW w:w="1440" w:type="dxa"/>
          </w:tcPr>
          <w:p w14:paraId="40A07221" w14:textId="77777777" w:rsidR="00A14B3A" w:rsidRPr="002E1515" w:rsidRDefault="00A14B3A" w:rsidP="00A14B3A">
            <w:pPr>
              <w:jc w:val="right"/>
            </w:pPr>
            <w:r w:rsidRPr="00E8403D">
              <w:t>3%</w:t>
            </w:r>
          </w:p>
        </w:tc>
        <w:tc>
          <w:tcPr>
            <w:tcW w:w="1170" w:type="dxa"/>
          </w:tcPr>
          <w:p w14:paraId="6647209F" w14:textId="77777777" w:rsidR="00A14B3A" w:rsidRPr="00E8403D" w:rsidRDefault="00A14B3A" w:rsidP="00A14B3A">
            <w:pPr>
              <w:jc w:val="right"/>
            </w:pPr>
            <w:r>
              <w:rPr>
                <w:color w:val="000000"/>
              </w:rPr>
              <w:t xml:space="preserve">1.3 </w:t>
            </w:r>
          </w:p>
        </w:tc>
        <w:tc>
          <w:tcPr>
            <w:tcW w:w="1260" w:type="dxa"/>
          </w:tcPr>
          <w:p w14:paraId="51BB5C49" w14:textId="77777777" w:rsidR="00A14B3A" w:rsidRPr="00BC4E11" w:rsidRDefault="00A14B3A" w:rsidP="00A14B3A">
            <w:pPr>
              <w:jc w:val="right"/>
            </w:pPr>
            <w:r w:rsidRPr="00E8403D">
              <w:t>5.8</w:t>
            </w:r>
          </w:p>
        </w:tc>
        <w:tc>
          <w:tcPr>
            <w:tcW w:w="1208" w:type="dxa"/>
          </w:tcPr>
          <w:p w14:paraId="1BD04546" w14:textId="77777777" w:rsidR="00A14B3A" w:rsidRPr="002E1515" w:rsidRDefault="00A14B3A" w:rsidP="00A14B3A">
            <w:pPr>
              <w:jc w:val="right"/>
            </w:pPr>
            <w:r w:rsidRPr="003654DD">
              <w:t>2.0%</w:t>
            </w:r>
          </w:p>
        </w:tc>
      </w:tr>
      <w:tr w:rsidR="00A14B3A" w:rsidRPr="002E1515" w14:paraId="6741DAF2" w14:textId="77777777" w:rsidTr="00156904">
        <w:trPr>
          <w:jc w:val="center"/>
        </w:trPr>
        <w:tc>
          <w:tcPr>
            <w:tcW w:w="1705" w:type="dxa"/>
            <w:vMerge/>
          </w:tcPr>
          <w:p w14:paraId="77D17759" w14:textId="77777777" w:rsidR="00A14B3A" w:rsidRPr="002E1515" w:rsidRDefault="00A14B3A" w:rsidP="00A14B3A"/>
        </w:tc>
        <w:tc>
          <w:tcPr>
            <w:tcW w:w="1350" w:type="dxa"/>
            <w:vAlign w:val="bottom"/>
          </w:tcPr>
          <w:p w14:paraId="39DC83C0" w14:textId="77777777" w:rsidR="00A14B3A" w:rsidRPr="002E1515" w:rsidRDefault="00A14B3A" w:rsidP="00A14B3A">
            <w:pPr>
              <w:jc w:val="right"/>
            </w:pPr>
            <w:r w:rsidRPr="002E1515">
              <w:t>1</w:t>
            </w:r>
          </w:p>
        </w:tc>
        <w:tc>
          <w:tcPr>
            <w:tcW w:w="1620" w:type="dxa"/>
          </w:tcPr>
          <w:p w14:paraId="5BB71E50" w14:textId="77777777" w:rsidR="00A14B3A" w:rsidRPr="002E1515" w:rsidRDefault="00A14B3A" w:rsidP="00A14B3A">
            <w:pPr>
              <w:jc w:val="right"/>
            </w:pPr>
            <w:r w:rsidRPr="00BC4E11">
              <w:t xml:space="preserve">93,117 </w:t>
            </w:r>
          </w:p>
        </w:tc>
        <w:tc>
          <w:tcPr>
            <w:tcW w:w="990" w:type="dxa"/>
          </w:tcPr>
          <w:p w14:paraId="1B12BA6E" w14:textId="77777777" w:rsidR="00A14B3A" w:rsidRPr="00BC4E11" w:rsidRDefault="00A14B3A" w:rsidP="00A14B3A">
            <w:pPr>
              <w:jc w:val="right"/>
            </w:pPr>
            <w:r w:rsidRPr="00E8403D">
              <w:t>10%</w:t>
            </w:r>
          </w:p>
        </w:tc>
        <w:tc>
          <w:tcPr>
            <w:tcW w:w="1440" w:type="dxa"/>
          </w:tcPr>
          <w:p w14:paraId="3886DFDC" w14:textId="77777777" w:rsidR="00A14B3A" w:rsidRPr="002E1515" w:rsidRDefault="00A14B3A" w:rsidP="00A14B3A">
            <w:pPr>
              <w:jc w:val="right"/>
            </w:pPr>
            <w:r w:rsidRPr="00E8403D">
              <w:t>10%</w:t>
            </w:r>
          </w:p>
        </w:tc>
        <w:tc>
          <w:tcPr>
            <w:tcW w:w="1170" w:type="dxa"/>
          </w:tcPr>
          <w:p w14:paraId="2946C2DB" w14:textId="77777777" w:rsidR="00A14B3A" w:rsidRPr="00E8403D" w:rsidRDefault="00A14B3A" w:rsidP="00A14B3A">
            <w:pPr>
              <w:jc w:val="right"/>
            </w:pPr>
            <w:r>
              <w:rPr>
                <w:color w:val="000000"/>
              </w:rPr>
              <w:t xml:space="preserve">0.9 </w:t>
            </w:r>
          </w:p>
        </w:tc>
        <w:tc>
          <w:tcPr>
            <w:tcW w:w="1260" w:type="dxa"/>
          </w:tcPr>
          <w:p w14:paraId="1AAE0D6C" w14:textId="77777777" w:rsidR="00A14B3A" w:rsidRPr="00BC4E11" w:rsidRDefault="00A14B3A" w:rsidP="00A14B3A">
            <w:pPr>
              <w:jc w:val="right"/>
            </w:pPr>
            <w:r w:rsidRPr="00E8403D">
              <w:t>0.4</w:t>
            </w:r>
          </w:p>
        </w:tc>
        <w:tc>
          <w:tcPr>
            <w:tcW w:w="1208" w:type="dxa"/>
          </w:tcPr>
          <w:p w14:paraId="2245B51D" w14:textId="77777777" w:rsidR="00A14B3A" w:rsidRPr="002E1515" w:rsidRDefault="00A14B3A" w:rsidP="00A14B3A">
            <w:pPr>
              <w:jc w:val="right"/>
            </w:pPr>
            <w:r w:rsidRPr="003654DD">
              <w:t>7.7%</w:t>
            </w:r>
          </w:p>
        </w:tc>
      </w:tr>
      <w:tr w:rsidR="00A14B3A" w:rsidRPr="002E1515" w14:paraId="63533175" w14:textId="77777777" w:rsidTr="00156904">
        <w:trPr>
          <w:jc w:val="center"/>
        </w:trPr>
        <w:tc>
          <w:tcPr>
            <w:tcW w:w="1705" w:type="dxa"/>
          </w:tcPr>
          <w:p w14:paraId="647965B5" w14:textId="77777777" w:rsidR="00A14B3A" w:rsidRPr="002E1515" w:rsidRDefault="00A14B3A" w:rsidP="00A14B3A">
            <w:r w:rsidRPr="002E1515">
              <w:t>State</w:t>
            </w:r>
            <w:r>
              <w:t xml:space="preserve"> Police</w:t>
            </w:r>
          </w:p>
        </w:tc>
        <w:tc>
          <w:tcPr>
            <w:tcW w:w="1350" w:type="dxa"/>
            <w:vAlign w:val="center"/>
          </w:tcPr>
          <w:p w14:paraId="203FAAE5" w14:textId="77777777" w:rsidR="00A14B3A" w:rsidRPr="002E1515" w:rsidRDefault="00A14B3A" w:rsidP="00A14B3A">
            <w:pPr>
              <w:jc w:val="right"/>
            </w:pPr>
            <w:r w:rsidRPr="002E1515">
              <w:t>All</w:t>
            </w:r>
          </w:p>
        </w:tc>
        <w:tc>
          <w:tcPr>
            <w:tcW w:w="1620" w:type="dxa"/>
            <w:vAlign w:val="center"/>
          </w:tcPr>
          <w:p w14:paraId="458BDA60" w14:textId="77777777" w:rsidR="00A14B3A" w:rsidRPr="002E1515" w:rsidRDefault="00A14B3A" w:rsidP="00A14B3A">
            <w:pPr>
              <w:jc w:val="right"/>
            </w:pPr>
            <w:r w:rsidRPr="00BC4E11">
              <w:t xml:space="preserve">342,672,015 </w:t>
            </w:r>
          </w:p>
        </w:tc>
        <w:tc>
          <w:tcPr>
            <w:tcW w:w="990" w:type="dxa"/>
            <w:vAlign w:val="center"/>
          </w:tcPr>
          <w:p w14:paraId="21455DC8" w14:textId="77777777" w:rsidR="00A14B3A" w:rsidRPr="00BC4E11" w:rsidRDefault="00A14B3A" w:rsidP="00A14B3A">
            <w:pPr>
              <w:jc w:val="right"/>
            </w:pPr>
            <w:r w:rsidRPr="00E8403D">
              <w:t>6%</w:t>
            </w:r>
          </w:p>
        </w:tc>
        <w:tc>
          <w:tcPr>
            <w:tcW w:w="1440" w:type="dxa"/>
            <w:vAlign w:val="center"/>
          </w:tcPr>
          <w:p w14:paraId="7D2B9160" w14:textId="77777777" w:rsidR="00A14B3A" w:rsidRPr="002E1515" w:rsidRDefault="00A14B3A" w:rsidP="00A14B3A">
            <w:pPr>
              <w:jc w:val="right"/>
            </w:pPr>
            <w:r w:rsidRPr="00E8403D">
              <w:t>7%</w:t>
            </w:r>
          </w:p>
        </w:tc>
        <w:tc>
          <w:tcPr>
            <w:tcW w:w="1170" w:type="dxa"/>
            <w:vAlign w:val="center"/>
          </w:tcPr>
          <w:p w14:paraId="0B751A45" w14:textId="77777777" w:rsidR="00A14B3A" w:rsidRPr="00E8403D" w:rsidRDefault="00A14B3A" w:rsidP="00A14B3A">
            <w:pPr>
              <w:jc w:val="right"/>
            </w:pPr>
            <w:r>
              <w:rPr>
                <w:color w:val="000000"/>
              </w:rPr>
              <w:t xml:space="preserve">1,305.3 </w:t>
            </w:r>
          </w:p>
        </w:tc>
        <w:tc>
          <w:tcPr>
            <w:tcW w:w="1260" w:type="dxa"/>
            <w:vAlign w:val="center"/>
          </w:tcPr>
          <w:p w14:paraId="267D8F6D" w14:textId="77777777" w:rsidR="00A14B3A" w:rsidRPr="00BC4E11" w:rsidRDefault="00A14B3A" w:rsidP="00A14B3A">
            <w:pPr>
              <w:jc w:val="right"/>
            </w:pPr>
            <w:r w:rsidRPr="00E8403D">
              <w:t>822.2</w:t>
            </w:r>
          </w:p>
        </w:tc>
        <w:tc>
          <w:tcPr>
            <w:tcW w:w="1208" w:type="dxa"/>
            <w:vAlign w:val="center"/>
          </w:tcPr>
          <w:p w14:paraId="39F41194" w14:textId="77777777" w:rsidR="00A14B3A" w:rsidRPr="002E1515" w:rsidRDefault="00A14B3A" w:rsidP="00A14B3A">
            <w:pPr>
              <w:jc w:val="right"/>
            </w:pPr>
            <w:r w:rsidRPr="003654DD">
              <w:t>0.1%</w:t>
            </w:r>
          </w:p>
        </w:tc>
      </w:tr>
    </w:tbl>
    <w:p w14:paraId="099D356A" w14:textId="26F09699" w:rsidR="00EC6C2C" w:rsidRPr="00C06CDB" w:rsidRDefault="00EC6C2C" w:rsidP="00D534B2">
      <w:pPr>
        <w:pStyle w:val="SP-SglSpPara"/>
        <w:tabs>
          <w:tab w:val="clear" w:pos="576"/>
          <w:tab w:val="left" w:pos="-540"/>
        </w:tabs>
        <w:ind w:left="-540" w:right="-720" w:hanging="180"/>
        <w:jc w:val="left"/>
        <w:rPr>
          <w:sz w:val="20"/>
        </w:rPr>
      </w:pPr>
      <w:proofErr w:type="gramStart"/>
      <w:r w:rsidRPr="00C06CDB">
        <w:rPr>
          <w:vertAlign w:val="superscript"/>
        </w:rPr>
        <w:t>a</w:t>
      </w:r>
      <w:proofErr w:type="gramEnd"/>
      <w:r>
        <w:rPr>
          <w:vertAlign w:val="superscript"/>
        </w:rPr>
        <w:t xml:space="preserve"> </w:t>
      </w:r>
      <w:r w:rsidRPr="00C06CDB">
        <w:rPr>
          <w:sz w:val="20"/>
        </w:rPr>
        <w:t xml:space="preserve">Number of </w:t>
      </w:r>
      <w:r w:rsidR="000A1127">
        <w:rPr>
          <w:sz w:val="20"/>
        </w:rPr>
        <w:t>full-time sworn</w:t>
      </w:r>
      <w:r w:rsidR="000A1127" w:rsidRPr="00C06CDB">
        <w:rPr>
          <w:sz w:val="20"/>
        </w:rPr>
        <w:t xml:space="preserve"> </w:t>
      </w:r>
      <w:r w:rsidRPr="00C06CDB">
        <w:rPr>
          <w:sz w:val="20"/>
        </w:rPr>
        <w:t>officers</w:t>
      </w:r>
      <w:r w:rsidR="000A1127">
        <w:rPr>
          <w:sz w:val="20"/>
        </w:rPr>
        <w:t>.</w:t>
      </w:r>
    </w:p>
    <w:p w14:paraId="6F16EA2A" w14:textId="77777777" w:rsidR="00F84901" w:rsidRPr="00D534B2" w:rsidRDefault="00EC6C2C" w:rsidP="00D534B2">
      <w:pPr>
        <w:pStyle w:val="SP-SglSpPara"/>
        <w:tabs>
          <w:tab w:val="clear" w:pos="576"/>
          <w:tab w:val="left" w:pos="-540"/>
        </w:tabs>
        <w:ind w:left="-540" w:right="-720" w:hanging="180"/>
        <w:jc w:val="left"/>
        <w:rPr>
          <w:sz w:val="20"/>
          <w:vertAlign w:val="superscript"/>
        </w:rPr>
      </w:pPr>
      <w:proofErr w:type="gramStart"/>
      <w:r>
        <w:rPr>
          <w:sz w:val="20"/>
          <w:vertAlign w:val="superscript"/>
        </w:rPr>
        <w:t>b</w:t>
      </w:r>
      <w:proofErr w:type="gramEnd"/>
      <w:r w:rsidR="009E387E">
        <w:rPr>
          <w:sz w:val="20"/>
          <w:vertAlign w:val="superscript"/>
        </w:rPr>
        <w:t xml:space="preserve"> </w:t>
      </w:r>
      <w:r w:rsidR="009E387E" w:rsidRPr="00D534B2">
        <w:rPr>
          <w:sz w:val="20"/>
        </w:rPr>
        <w:t>For the 2013 LEMAS, there was only respondent for entry</w:t>
      </w:r>
      <w:r w:rsidR="009E387E">
        <w:rPr>
          <w:sz w:val="20"/>
        </w:rPr>
        <w:t>-</w:t>
      </w:r>
      <w:r w:rsidR="009E387E" w:rsidRPr="00D534B2">
        <w:rPr>
          <w:sz w:val="20"/>
        </w:rPr>
        <w:t xml:space="preserve">level salary for sheriff’s offices with </w:t>
      </w:r>
      <w:r w:rsidR="009E387E">
        <w:rPr>
          <w:sz w:val="20"/>
        </w:rPr>
        <w:t xml:space="preserve">an equivalent of </w:t>
      </w:r>
      <w:r w:rsidR="009E387E" w:rsidRPr="00D534B2">
        <w:rPr>
          <w:sz w:val="20"/>
        </w:rPr>
        <w:t>1 full-time sworn officer</w:t>
      </w:r>
      <w:r w:rsidR="0056033F">
        <w:rPr>
          <w:sz w:val="20"/>
        </w:rPr>
        <w:t xml:space="preserve"> and thus no valid variance estimate</w:t>
      </w:r>
      <w:r w:rsidR="009E387E">
        <w:rPr>
          <w:sz w:val="20"/>
        </w:rPr>
        <w:t>,</w:t>
      </w:r>
      <w:r w:rsidR="009E387E" w:rsidRPr="00D534B2">
        <w:rPr>
          <w:sz w:val="20"/>
        </w:rPr>
        <w:t xml:space="preserve"> so a standard deviation of 7,000 is used for optimization.</w:t>
      </w:r>
    </w:p>
    <w:p w14:paraId="03E948E6" w14:textId="1925B019" w:rsidR="00F84901" w:rsidRPr="00DA6CF1" w:rsidRDefault="00F84901" w:rsidP="00990A93">
      <w:pPr>
        <w:pStyle w:val="Caption"/>
        <w:keepNext/>
        <w:rPr>
          <w:rFonts w:ascii="Times New Roman" w:eastAsia="Calibri" w:hAnsi="Times New Roman" w:cs="Times New Roman"/>
          <w:b/>
          <w:bCs/>
          <w:i w:val="0"/>
          <w:iCs w:val="0"/>
          <w:color w:val="auto"/>
          <w:sz w:val="24"/>
          <w:szCs w:val="24"/>
        </w:rPr>
      </w:pPr>
      <w:r w:rsidRPr="00DA6CF1">
        <w:rPr>
          <w:rFonts w:ascii="Times New Roman" w:eastAsia="Calibri" w:hAnsi="Times New Roman" w:cs="Times New Roman"/>
          <w:b/>
          <w:bCs/>
          <w:i w:val="0"/>
          <w:iCs w:val="0"/>
          <w:color w:val="auto"/>
          <w:sz w:val="24"/>
          <w:szCs w:val="24"/>
        </w:rPr>
        <w:lastRenderedPageBreak/>
        <w:t xml:space="preserve">Table </w:t>
      </w:r>
      <w:r w:rsidR="00F84BA4">
        <w:rPr>
          <w:rFonts w:ascii="Times New Roman" w:eastAsia="Calibri" w:hAnsi="Times New Roman" w:cs="Times New Roman"/>
          <w:b/>
          <w:bCs/>
          <w:i w:val="0"/>
          <w:iCs w:val="0"/>
          <w:color w:val="auto"/>
          <w:sz w:val="24"/>
          <w:szCs w:val="24"/>
        </w:rPr>
        <w:t>6</w:t>
      </w:r>
      <w:r w:rsidRPr="00DA6CF1">
        <w:rPr>
          <w:rFonts w:ascii="Times New Roman" w:eastAsia="Calibri" w:hAnsi="Times New Roman" w:cs="Times New Roman"/>
          <w:b/>
          <w:bCs/>
          <w:i w:val="0"/>
          <w:iCs w:val="0"/>
          <w:color w:val="auto"/>
          <w:sz w:val="24"/>
          <w:szCs w:val="24"/>
        </w:rPr>
        <w:t xml:space="preserve">: </w:t>
      </w:r>
      <w:r w:rsidR="00696402">
        <w:rPr>
          <w:rFonts w:ascii="Times New Roman" w:eastAsia="Calibri" w:hAnsi="Times New Roman" w:cs="Times New Roman"/>
          <w:b/>
          <w:bCs/>
          <w:i w:val="0"/>
          <w:iCs w:val="0"/>
          <w:color w:val="auto"/>
          <w:sz w:val="24"/>
          <w:szCs w:val="24"/>
        </w:rPr>
        <w:t xml:space="preserve">Distribution of agencies </w:t>
      </w:r>
      <w:r w:rsidR="007A3AED">
        <w:rPr>
          <w:rFonts w:ascii="Times New Roman" w:eastAsia="Calibri" w:hAnsi="Times New Roman" w:cs="Times New Roman"/>
          <w:b/>
          <w:bCs/>
          <w:i w:val="0"/>
          <w:iCs w:val="0"/>
          <w:color w:val="auto"/>
          <w:sz w:val="24"/>
          <w:szCs w:val="24"/>
        </w:rPr>
        <w:t>by</w:t>
      </w:r>
      <w:r w:rsidRPr="00DA6CF1">
        <w:rPr>
          <w:rFonts w:ascii="Times New Roman" w:eastAsia="Calibri" w:hAnsi="Times New Roman" w:cs="Times New Roman"/>
          <w:b/>
          <w:bCs/>
          <w:i w:val="0"/>
          <w:iCs w:val="0"/>
          <w:color w:val="auto"/>
          <w:sz w:val="24"/>
          <w:szCs w:val="24"/>
        </w:rPr>
        <w:t xml:space="preserve"> </w:t>
      </w:r>
      <w:r w:rsidR="00990A93">
        <w:rPr>
          <w:rFonts w:ascii="Times New Roman" w:eastAsia="Calibri" w:hAnsi="Times New Roman" w:cs="Times New Roman"/>
          <w:b/>
          <w:bCs/>
          <w:i w:val="0"/>
          <w:iCs w:val="0"/>
          <w:color w:val="auto"/>
          <w:sz w:val="24"/>
          <w:szCs w:val="24"/>
        </w:rPr>
        <w:t>s</w:t>
      </w:r>
      <w:r w:rsidRPr="00DA6CF1">
        <w:rPr>
          <w:rFonts w:ascii="Times New Roman" w:eastAsia="Calibri" w:hAnsi="Times New Roman" w:cs="Times New Roman"/>
          <w:b/>
          <w:bCs/>
          <w:i w:val="0"/>
          <w:iCs w:val="0"/>
          <w:color w:val="auto"/>
          <w:sz w:val="24"/>
          <w:szCs w:val="24"/>
        </w:rPr>
        <w:t>tratum</w:t>
      </w:r>
      <w:r w:rsidR="00990A93">
        <w:rPr>
          <w:rFonts w:ascii="Times New Roman" w:eastAsia="Calibri" w:hAnsi="Times New Roman" w:cs="Times New Roman"/>
          <w:b/>
          <w:bCs/>
          <w:i w:val="0"/>
          <w:iCs w:val="0"/>
          <w:color w:val="auto"/>
          <w:sz w:val="24"/>
          <w:szCs w:val="24"/>
        </w:rPr>
        <w:t xml:space="preserve"> based on sample allocation</w:t>
      </w:r>
      <w:r w:rsidR="000A1127">
        <w:rPr>
          <w:rFonts w:ascii="Times New Roman" w:eastAsia="Calibri" w:hAnsi="Times New Roman" w:cs="Times New Roman"/>
          <w:b/>
          <w:bCs/>
          <w:i w:val="0"/>
          <w:iCs w:val="0"/>
          <w:color w:val="auto"/>
          <w:sz w:val="24"/>
          <w:szCs w:val="24"/>
        </w:rPr>
        <w:t>, 2014 CSLLEA</w:t>
      </w:r>
    </w:p>
    <w:tbl>
      <w:tblPr>
        <w:tblStyle w:val="TableGrid"/>
        <w:tblW w:w="9720" w:type="dxa"/>
        <w:tblInd w:w="-5" w:type="dxa"/>
        <w:tblLayout w:type="fixed"/>
        <w:tblCellMar>
          <w:left w:w="115" w:type="dxa"/>
          <w:right w:w="115" w:type="dxa"/>
        </w:tblCellMar>
        <w:tblLook w:val="04A0" w:firstRow="1" w:lastRow="0" w:firstColumn="1" w:lastColumn="0" w:noHBand="0" w:noVBand="1"/>
      </w:tblPr>
      <w:tblGrid>
        <w:gridCol w:w="1710"/>
        <w:gridCol w:w="1253"/>
        <w:gridCol w:w="1758"/>
        <w:gridCol w:w="1579"/>
        <w:gridCol w:w="1620"/>
        <w:gridCol w:w="1800"/>
      </w:tblGrid>
      <w:tr w:rsidR="00BB3221" w14:paraId="03AAC15A" w14:textId="77777777" w:rsidTr="00156904">
        <w:tc>
          <w:tcPr>
            <w:tcW w:w="1710" w:type="dxa"/>
            <w:shd w:val="clear" w:color="auto" w:fill="C6D9F1" w:themeFill="text2" w:themeFillTint="33"/>
          </w:tcPr>
          <w:p w14:paraId="279E422C" w14:textId="77777777" w:rsidR="00BB3221" w:rsidRPr="002E1515" w:rsidRDefault="00BB3221" w:rsidP="00F84901">
            <w:pPr>
              <w:jc w:val="center"/>
            </w:pPr>
            <w:r w:rsidRPr="002E1515">
              <w:t>Agency Type</w:t>
            </w:r>
          </w:p>
        </w:tc>
        <w:tc>
          <w:tcPr>
            <w:tcW w:w="1253" w:type="dxa"/>
            <w:shd w:val="clear" w:color="auto" w:fill="C6D9F1" w:themeFill="text2" w:themeFillTint="33"/>
          </w:tcPr>
          <w:p w14:paraId="7D5D68AC" w14:textId="77777777" w:rsidR="00BB3221" w:rsidRPr="00714F0E" w:rsidRDefault="00BB3221" w:rsidP="00C87BA8">
            <w:pPr>
              <w:jc w:val="center"/>
              <w:rPr>
                <w:vertAlign w:val="superscript"/>
              </w:rPr>
            </w:pPr>
            <w:r>
              <w:t xml:space="preserve">Agency </w:t>
            </w:r>
            <w:proofErr w:type="spellStart"/>
            <w:r>
              <w:t>Size</w:t>
            </w:r>
            <w:r>
              <w:rPr>
                <w:vertAlign w:val="superscript"/>
              </w:rPr>
              <w:t>a</w:t>
            </w:r>
            <w:proofErr w:type="spellEnd"/>
          </w:p>
        </w:tc>
        <w:tc>
          <w:tcPr>
            <w:tcW w:w="1758" w:type="dxa"/>
            <w:shd w:val="clear" w:color="auto" w:fill="C6D9F1" w:themeFill="text2" w:themeFillTint="33"/>
          </w:tcPr>
          <w:p w14:paraId="038594C3" w14:textId="77777777" w:rsidR="00BB3221" w:rsidRDefault="00BB3221" w:rsidP="00F84901">
            <w:pPr>
              <w:jc w:val="center"/>
            </w:pPr>
            <w:r>
              <w:t>Number of Agencies</w:t>
            </w:r>
          </w:p>
        </w:tc>
        <w:tc>
          <w:tcPr>
            <w:tcW w:w="1579" w:type="dxa"/>
            <w:shd w:val="clear" w:color="auto" w:fill="C6D9F1" w:themeFill="text2" w:themeFillTint="33"/>
          </w:tcPr>
          <w:p w14:paraId="36A89D23" w14:textId="77777777" w:rsidR="00BB3221" w:rsidRDefault="00BB3221" w:rsidP="00F84901">
            <w:pPr>
              <w:jc w:val="center"/>
            </w:pPr>
            <w:r>
              <w:t>Percent Agencies</w:t>
            </w:r>
          </w:p>
        </w:tc>
        <w:tc>
          <w:tcPr>
            <w:tcW w:w="1620" w:type="dxa"/>
            <w:shd w:val="clear" w:color="auto" w:fill="C6D9F1" w:themeFill="text2" w:themeFillTint="33"/>
          </w:tcPr>
          <w:p w14:paraId="7DA10634" w14:textId="55E17CB5" w:rsidR="00BB3221" w:rsidRDefault="00BB3221" w:rsidP="00F84901">
            <w:pPr>
              <w:jc w:val="center"/>
            </w:pPr>
            <w:r>
              <w:t xml:space="preserve">Percent </w:t>
            </w:r>
            <w:r w:rsidR="00226164">
              <w:t>FTE</w:t>
            </w:r>
          </w:p>
        </w:tc>
        <w:tc>
          <w:tcPr>
            <w:tcW w:w="1800" w:type="dxa"/>
            <w:shd w:val="clear" w:color="auto" w:fill="C6D9F1" w:themeFill="text2" w:themeFillTint="33"/>
          </w:tcPr>
          <w:p w14:paraId="2577E577" w14:textId="467A0C7C" w:rsidR="00BB3221" w:rsidRDefault="00BB3221" w:rsidP="00F84901">
            <w:pPr>
              <w:jc w:val="center"/>
            </w:pPr>
            <w:r>
              <w:t xml:space="preserve">Percent Square Root </w:t>
            </w:r>
            <w:r w:rsidR="00226164">
              <w:t>FTE</w:t>
            </w:r>
          </w:p>
        </w:tc>
      </w:tr>
      <w:tr w:rsidR="00696402" w:rsidRPr="002E1515" w14:paraId="15FF2A6A" w14:textId="77777777" w:rsidTr="00156904">
        <w:tc>
          <w:tcPr>
            <w:tcW w:w="1710" w:type="dxa"/>
            <w:vMerge w:val="restart"/>
          </w:tcPr>
          <w:p w14:paraId="48C8593C" w14:textId="77777777" w:rsidR="00696402" w:rsidRPr="002E1515" w:rsidRDefault="00696402" w:rsidP="00696402">
            <w:r w:rsidRPr="002E1515">
              <w:t>Local Police</w:t>
            </w:r>
          </w:p>
        </w:tc>
        <w:tc>
          <w:tcPr>
            <w:tcW w:w="1253" w:type="dxa"/>
            <w:vAlign w:val="bottom"/>
          </w:tcPr>
          <w:p w14:paraId="49142DD6" w14:textId="77777777" w:rsidR="00696402" w:rsidRPr="002E1515" w:rsidRDefault="00696402" w:rsidP="00696402">
            <w:pPr>
              <w:jc w:val="right"/>
            </w:pPr>
            <w:r w:rsidRPr="002E1515">
              <w:t>100+</w:t>
            </w:r>
          </w:p>
        </w:tc>
        <w:tc>
          <w:tcPr>
            <w:tcW w:w="1758" w:type="dxa"/>
          </w:tcPr>
          <w:p w14:paraId="262F38D2" w14:textId="77777777" w:rsidR="00696402" w:rsidRPr="002E1515" w:rsidRDefault="00696402" w:rsidP="00696402">
            <w:pPr>
              <w:jc w:val="right"/>
            </w:pPr>
            <w:r>
              <w:t>677</w:t>
            </w:r>
          </w:p>
        </w:tc>
        <w:tc>
          <w:tcPr>
            <w:tcW w:w="1579" w:type="dxa"/>
          </w:tcPr>
          <w:p w14:paraId="7CA38E1A" w14:textId="77777777" w:rsidR="00696402" w:rsidRDefault="00696402" w:rsidP="00696402">
            <w:pPr>
              <w:jc w:val="right"/>
            </w:pPr>
            <w:r>
              <w:t>4.1%</w:t>
            </w:r>
          </w:p>
        </w:tc>
        <w:tc>
          <w:tcPr>
            <w:tcW w:w="1620" w:type="dxa"/>
          </w:tcPr>
          <w:p w14:paraId="298F7608" w14:textId="77777777" w:rsidR="00696402" w:rsidRDefault="00696402" w:rsidP="00696402">
            <w:pPr>
              <w:jc w:val="right"/>
            </w:pPr>
            <w:r>
              <w:t>40.9%</w:t>
            </w:r>
          </w:p>
        </w:tc>
        <w:tc>
          <w:tcPr>
            <w:tcW w:w="1800" w:type="dxa"/>
          </w:tcPr>
          <w:p w14:paraId="7FAFCAAC" w14:textId="77777777" w:rsidR="00696402" w:rsidRDefault="00696402" w:rsidP="00696402">
            <w:pPr>
              <w:jc w:val="right"/>
            </w:pPr>
            <w:r>
              <w:t>21.1%</w:t>
            </w:r>
          </w:p>
        </w:tc>
      </w:tr>
      <w:tr w:rsidR="00696402" w:rsidRPr="002E1515" w14:paraId="2F408C1F" w14:textId="77777777" w:rsidTr="00156904">
        <w:tc>
          <w:tcPr>
            <w:tcW w:w="1710" w:type="dxa"/>
            <w:vMerge/>
          </w:tcPr>
          <w:p w14:paraId="790AD6C8" w14:textId="77777777" w:rsidR="00696402" w:rsidRPr="002E1515" w:rsidRDefault="00696402" w:rsidP="00696402"/>
        </w:tc>
        <w:tc>
          <w:tcPr>
            <w:tcW w:w="1253" w:type="dxa"/>
            <w:vAlign w:val="bottom"/>
          </w:tcPr>
          <w:p w14:paraId="2FDEB24A" w14:textId="77777777" w:rsidR="00696402" w:rsidRPr="002E1515" w:rsidRDefault="00696402" w:rsidP="00696402">
            <w:pPr>
              <w:jc w:val="right"/>
            </w:pPr>
            <w:r w:rsidRPr="002E1515">
              <w:t>50-99</w:t>
            </w:r>
          </w:p>
        </w:tc>
        <w:tc>
          <w:tcPr>
            <w:tcW w:w="1758" w:type="dxa"/>
          </w:tcPr>
          <w:p w14:paraId="0D6A8FA3" w14:textId="77777777" w:rsidR="00696402" w:rsidRPr="002E1515" w:rsidRDefault="00696402" w:rsidP="00696402">
            <w:pPr>
              <w:jc w:val="right"/>
            </w:pPr>
            <w:r>
              <w:t>887</w:t>
            </w:r>
          </w:p>
        </w:tc>
        <w:tc>
          <w:tcPr>
            <w:tcW w:w="1579" w:type="dxa"/>
          </w:tcPr>
          <w:p w14:paraId="4C151005" w14:textId="77777777" w:rsidR="00696402" w:rsidRDefault="00696402" w:rsidP="00696402">
            <w:pPr>
              <w:jc w:val="right"/>
            </w:pPr>
            <w:r>
              <w:t>5.4%</w:t>
            </w:r>
          </w:p>
        </w:tc>
        <w:tc>
          <w:tcPr>
            <w:tcW w:w="1620" w:type="dxa"/>
          </w:tcPr>
          <w:p w14:paraId="5F14654F" w14:textId="77777777" w:rsidR="00696402" w:rsidRDefault="00696402" w:rsidP="00696402">
            <w:pPr>
              <w:jc w:val="right"/>
            </w:pPr>
            <w:r>
              <w:t>7.8%</w:t>
            </w:r>
          </w:p>
        </w:tc>
        <w:tc>
          <w:tcPr>
            <w:tcW w:w="1800" w:type="dxa"/>
          </w:tcPr>
          <w:p w14:paraId="2C7F6B35" w14:textId="77777777" w:rsidR="00696402" w:rsidRDefault="00696402" w:rsidP="00696402">
            <w:pPr>
              <w:jc w:val="right"/>
            </w:pPr>
            <w:r>
              <w:t>9.3%</w:t>
            </w:r>
          </w:p>
        </w:tc>
      </w:tr>
      <w:tr w:rsidR="00696402" w:rsidRPr="002E1515" w14:paraId="3886A1E5" w14:textId="77777777" w:rsidTr="00156904">
        <w:tc>
          <w:tcPr>
            <w:tcW w:w="1710" w:type="dxa"/>
            <w:vMerge/>
          </w:tcPr>
          <w:p w14:paraId="5A4C601F" w14:textId="77777777" w:rsidR="00696402" w:rsidRPr="002E1515" w:rsidRDefault="00696402" w:rsidP="00696402"/>
        </w:tc>
        <w:tc>
          <w:tcPr>
            <w:tcW w:w="1253" w:type="dxa"/>
            <w:vAlign w:val="bottom"/>
          </w:tcPr>
          <w:p w14:paraId="3F105D74" w14:textId="77777777" w:rsidR="00696402" w:rsidRPr="002E1515" w:rsidRDefault="00696402" w:rsidP="00696402">
            <w:pPr>
              <w:jc w:val="right"/>
            </w:pPr>
            <w:r w:rsidRPr="002E1515">
              <w:t>25-49</w:t>
            </w:r>
          </w:p>
        </w:tc>
        <w:tc>
          <w:tcPr>
            <w:tcW w:w="1758" w:type="dxa"/>
          </w:tcPr>
          <w:p w14:paraId="71DDFCF6" w14:textId="77777777" w:rsidR="00696402" w:rsidRPr="002E1515" w:rsidRDefault="00696402" w:rsidP="00696402">
            <w:pPr>
              <w:jc w:val="right"/>
            </w:pPr>
            <w:r>
              <w:t>1,728</w:t>
            </w:r>
          </w:p>
        </w:tc>
        <w:tc>
          <w:tcPr>
            <w:tcW w:w="1579" w:type="dxa"/>
          </w:tcPr>
          <w:p w14:paraId="6C3E50B1" w14:textId="77777777" w:rsidR="00696402" w:rsidRDefault="00696402" w:rsidP="00696402">
            <w:pPr>
              <w:jc w:val="right"/>
            </w:pPr>
            <w:r>
              <w:t>10.5%</w:t>
            </w:r>
          </w:p>
        </w:tc>
        <w:tc>
          <w:tcPr>
            <w:tcW w:w="1620" w:type="dxa"/>
          </w:tcPr>
          <w:p w14:paraId="2DAA82B9" w14:textId="77777777" w:rsidR="00696402" w:rsidRDefault="00696402" w:rsidP="00696402">
            <w:pPr>
              <w:jc w:val="right"/>
            </w:pPr>
            <w:r>
              <w:t>7.6%</w:t>
            </w:r>
          </w:p>
        </w:tc>
        <w:tc>
          <w:tcPr>
            <w:tcW w:w="1800" w:type="dxa"/>
          </w:tcPr>
          <w:p w14:paraId="0165C6C2" w14:textId="77777777" w:rsidR="00696402" w:rsidRDefault="00696402" w:rsidP="00696402">
            <w:pPr>
              <w:jc w:val="right"/>
            </w:pPr>
            <w:r>
              <w:t>9.1%</w:t>
            </w:r>
          </w:p>
        </w:tc>
      </w:tr>
      <w:tr w:rsidR="00696402" w:rsidRPr="002E1515" w14:paraId="37E72E62" w14:textId="77777777" w:rsidTr="00156904">
        <w:tc>
          <w:tcPr>
            <w:tcW w:w="1710" w:type="dxa"/>
            <w:vMerge/>
          </w:tcPr>
          <w:p w14:paraId="1FFDA87C" w14:textId="77777777" w:rsidR="00696402" w:rsidRPr="002E1515" w:rsidRDefault="00696402" w:rsidP="00696402"/>
        </w:tc>
        <w:tc>
          <w:tcPr>
            <w:tcW w:w="1253" w:type="dxa"/>
            <w:vAlign w:val="bottom"/>
          </w:tcPr>
          <w:p w14:paraId="61355744" w14:textId="77777777" w:rsidR="00696402" w:rsidRPr="002E1515" w:rsidRDefault="00696402" w:rsidP="00696402">
            <w:pPr>
              <w:jc w:val="right"/>
            </w:pPr>
            <w:r w:rsidRPr="002E1515">
              <w:t>10-24</w:t>
            </w:r>
          </w:p>
        </w:tc>
        <w:tc>
          <w:tcPr>
            <w:tcW w:w="1758" w:type="dxa"/>
          </w:tcPr>
          <w:p w14:paraId="5661AAB6" w14:textId="77777777" w:rsidR="00696402" w:rsidRPr="002E1515" w:rsidRDefault="00696402" w:rsidP="00696402">
            <w:pPr>
              <w:jc w:val="right"/>
            </w:pPr>
            <w:r>
              <w:t>3,452</w:t>
            </w:r>
          </w:p>
        </w:tc>
        <w:tc>
          <w:tcPr>
            <w:tcW w:w="1579" w:type="dxa"/>
          </w:tcPr>
          <w:p w14:paraId="7BDEEE3E" w14:textId="77777777" w:rsidR="00696402" w:rsidRDefault="00696402" w:rsidP="00696402">
            <w:pPr>
              <w:jc w:val="right"/>
            </w:pPr>
            <w:r>
              <w:t>20.9%</w:t>
            </w:r>
          </w:p>
        </w:tc>
        <w:tc>
          <w:tcPr>
            <w:tcW w:w="1620" w:type="dxa"/>
          </w:tcPr>
          <w:p w14:paraId="3266B078" w14:textId="77777777" w:rsidR="00696402" w:rsidRDefault="00696402" w:rsidP="00696402">
            <w:pPr>
              <w:jc w:val="right"/>
            </w:pPr>
            <w:r>
              <w:t>6.8%</w:t>
            </w:r>
          </w:p>
        </w:tc>
        <w:tc>
          <w:tcPr>
            <w:tcW w:w="1800" w:type="dxa"/>
          </w:tcPr>
          <w:p w14:paraId="288CAD75" w14:textId="77777777" w:rsidR="00696402" w:rsidRDefault="00696402" w:rsidP="00696402">
            <w:pPr>
              <w:jc w:val="right"/>
            </w:pPr>
            <w:r>
              <w:t>8.6%</w:t>
            </w:r>
          </w:p>
        </w:tc>
      </w:tr>
      <w:tr w:rsidR="00696402" w:rsidRPr="002E1515" w14:paraId="55A057ED" w14:textId="77777777" w:rsidTr="00156904">
        <w:tc>
          <w:tcPr>
            <w:tcW w:w="1710" w:type="dxa"/>
            <w:vMerge/>
          </w:tcPr>
          <w:p w14:paraId="3AEB2704" w14:textId="77777777" w:rsidR="00696402" w:rsidRPr="002E1515" w:rsidRDefault="00696402" w:rsidP="00696402"/>
        </w:tc>
        <w:tc>
          <w:tcPr>
            <w:tcW w:w="1253" w:type="dxa"/>
            <w:vAlign w:val="bottom"/>
          </w:tcPr>
          <w:p w14:paraId="6A448DE1" w14:textId="77777777" w:rsidR="00696402" w:rsidRPr="002E1515" w:rsidRDefault="00696402" w:rsidP="00696402">
            <w:pPr>
              <w:jc w:val="right"/>
            </w:pPr>
            <w:r w:rsidRPr="002E1515">
              <w:t>5-9</w:t>
            </w:r>
          </w:p>
        </w:tc>
        <w:tc>
          <w:tcPr>
            <w:tcW w:w="1758" w:type="dxa"/>
          </w:tcPr>
          <w:p w14:paraId="6303F13D" w14:textId="77777777" w:rsidR="00696402" w:rsidRPr="002E1515" w:rsidRDefault="00696402" w:rsidP="00696402">
            <w:pPr>
              <w:jc w:val="right"/>
            </w:pPr>
            <w:r>
              <w:t>3,096</w:t>
            </w:r>
          </w:p>
        </w:tc>
        <w:tc>
          <w:tcPr>
            <w:tcW w:w="1579" w:type="dxa"/>
          </w:tcPr>
          <w:p w14:paraId="294A9EB5" w14:textId="77777777" w:rsidR="00696402" w:rsidRDefault="00696402" w:rsidP="00696402">
            <w:pPr>
              <w:jc w:val="right"/>
            </w:pPr>
            <w:r>
              <w:t>18.8%</w:t>
            </w:r>
          </w:p>
        </w:tc>
        <w:tc>
          <w:tcPr>
            <w:tcW w:w="1620" w:type="dxa"/>
          </w:tcPr>
          <w:p w14:paraId="2EB74EA9" w14:textId="77777777" w:rsidR="00696402" w:rsidRDefault="00696402" w:rsidP="00696402">
            <w:pPr>
              <w:jc w:val="right"/>
            </w:pPr>
            <w:r>
              <w:t>2.7%</w:t>
            </w:r>
          </w:p>
        </w:tc>
        <w:tc>
          <w:tcPr>
            <w:tcW w:w="1800" w:type="dxa"/>
          </w:tcPr>
          <w:p w14:paraId="4951791E" w14:textId="77777777" w:rsidR="00696402" w:rsidRDefault="00696402" w:rsidP="00696402">
            <w:pPr>
              <w:jc w:val="right"/>
            </w:pPr>
            <w:r>
              <w:t>5.4%</w:t>
            </w:r>
          </w:p>
        </w:tc>
      </w:tr>
      <w:tr w:rsidR="00696402" w:rsidRPr="002E1515" w14:paraId="4A2E2858" w14:textId="77777777" w:rsidTr="00156904">
        <w:tc>
          <w:tcPr>
            <w:tcW w:w="1710" w:type="dxa"/>
            <w:vMerge/>
          </w:tcPr>
          <w:p w14:paraId="035A0BBF" w14:textId="77777777" w:rsidR="00696402" w:rsidRPr="002E1515" w:rsidRDefault="00696402" w:rsidP="00696402"/>
        </w:tc>
        <w:tc>
          <w:tcPr>
            <w:tcW w:w="1253" w:type="dxa"/>
            <w:vAlign w:val="bottom"/>
          </w:tcPr>
          <w:p w14:paraId="30816066" w14:textId="77777777" w:rsidR="00696402" w:rsidRPr="002E1515" w:rsidRDefault="00696402" w:rsidP="00696402">
            <w:pPr>
              <w:jc w:val="right"/>
            </w:pPr>
            <w:r w:rsidRPr="002E1515">
              <w:t>2-4</w:t>
            </w:r>
          </w:p>
        </w:tc>
        <w:tc>
          <w:tcPr>
            <w:tcW w:w="1758" w:type="dxa"/>
          </w:tcPr>
          <w:p w14:paraId="6E5C03DE" w14:textId="77777777" w:rsidR="00696402" w:rsidRPr="002E1515" w:rsidRDefault="00696402" w:rsidP="00696402">
            <w:pPr>
              <w:jc w:val="right"/>
            </w:pPr>
            <w:r>
              <w:t>2,472</w:t>
            </w:r>
          </w:p>
        </w:tc>
        <w:tc>
          <w:tcPr>
            <w:tcW w:w="1579" w:type="dxa"/>
          </w:tcPr>
          <w:p w14:paraId="5B0D3B2E" w14:textId="77777777" w:rsidR="00696402" w:rsidRDefault="00696402" w:rsidP="00696402">
            <w:pPr>
              <w:jc w:val="right"/>
            </w:pPr>
            <w:r>
              <w:t>15.0%</w:t>
            </w:r>
          </w:p>
        </w:tc>
        <w:tc>
          <w:tcPr>
            <w:tcW w:w="1620" w:type="dxa"/>
          </w:tcPr>
          <w:p w14:paraId="25A44455" w14:textId="77777777" w:rsidR="00696402" w:rsidRDefault="00696402" w:rsidP="00696402">
            <w:pPr>
              <w:jc w:val="right"/>
            </w:pPr>
            <w:r>
              <w:t>0.9%</w:t>
            </w:r>
          </w:p>
        </w:tc>
        <w:tc>
          <w:tcPr>
            <w:tcW w:w="1800" w:type="dxa"/>
          </w:tcPr>
          <w:p w14:paraId="29DE2495" w14:textId="77777777" w:rsidR="00696402" w:rsidRDefault="00696402" w:rsidP="00696402">
            <w:pPr>
              <w:jc w:val="right"/>
            </w:pPr>
            <w:r>
              <w:t>3.1%</w:t>
            </w:r>
          </w:p>
        </w:tc>
      </w:tr>
      <w:tr w:rsidR="00696402" w:rsidRPr="002E1515" w14:paraId="29C47B32" w14:textId="77777777" w:rsidTr="00156904">
        <w:tc>
          <w:tcPr>
            <w:tcW w:w="1710" w:type="dxa"/>
            <w:vMerge/>
          </w:tcPr>
          <w:p w14:paraId="67CE84FE" w14:textId="77777777" w:rsidR="00696402" w:rsidRPr="002E1515" w:rsidRDefault="00696402" w:rsidP="00696402"/>
        </w:tc>
        <w:tc>
          <w:tcPr>
            <w:tcW w:w="1253" w:type="dxa"/>
            <w:vAlign w:val="bottom"/>
          </w:tcPr>
          <w:p w14:paraId="78D0F9FC" w14:textId="77777777" w:rsidR="00696402" w:rsidRPr="002E1515" w:rsidRDefault="00696402" w:rsidP="00696402">
            <w:pPr>
              <w:jc w:val="right"/>
            </w:pPr>
            <w:r w:rsidRPr="002E1515">
              <w:t>1</w:t>
            </w:r>
          </w:p>
        </w:tc>
        <w:tc>
          <w:tcPr>
            <w:tcW w:w="1758" w:type="dxa"/>
          </w:tcPr>
          <w:p w14:paraId="0413201A" w14:textId="77777777" w:rsidR="00696402" w:rsidRPr="002E1515" w:rsidRDefault="00696402" w:rsidP="00696402">
            <w:pPr>
              <w:jc w:val="right"/>
            </w:pPr>
            <w:r>
              <w:t>1,086</w:t>
            </w:r>
          </w:p>
        </w:tc>
        <w:tc>
          <w:tcPr>
            <w:tcW w:w="1579" w:type="dxa"/>
          </w:tcPr>
          <w:p w14:paraId="6CC33A1E" w14:textId="77777777" w:rsidR="00696402" w:rsidRDefault="00696402" w:rsidP="00696402">
            <w:pPr>
              <w:jc w:val="right"/>
            </w:pPr>
            <w:r>
              <w:t>6.6%</w:t>
            </w:r>
          </w:p>
        </w:tc>
        <w:tc>
          <w:tcPr>
            <w:tcW w:w="1620" w:type="dxa"/>
          </w:tcPr>
          <w:p w14:paraId="18998557" w14:textId="77777777" w:rsidR="00696402" w:rsidRDefault="00696402" w:rsidP="00696402">
            <w:pPr>
              <w:jc w:val="right"/>
            </w:pPr>
            <w:r>
              <w:t>0.1%</w:t>
            </w:r>
          </w:p>
        </w:tc>
        <w:tc>
          <w:tcPr>
            <w:tcW w:w="1800" w:type="dxa"/>
          </w:tcPr>
          <w:p w14:paraId="549D1892" w14:textId="77777777" w:rsidR="00696402" w:rsidRDefault="00696402" w:rsidP="00696402">
            <w:pPr>
              <w:jc w:val="right"/>
            </w:pPr>
            <w:r>
              <w:t>1.2%</w:t>
            </w:r>
          </w:p>
        </w:tc>
      </w:tr>
      <w:tr w:rsidR="00696402" w:rsidRPr="002E1515" w14:paraId="6BCD0353" w14:textId="77777777" w:rsidTr="00156904">
        <w:tc>
          <w:tcPr>
            <w:tcW w:w="1710" w:type="dxa"/>
            <w:vMerge w:val="restart"/>
          </w:tcPr>
          <w:p w14:paraId="71B7050D" w14:textId="77777777" w:rsidR="00696402" w:rsidRPr="002E1515" w:rsidRDefault="00696402" w:rsidP="00696402">
            <w:r w:rsidRPr="002E1515">
              <w:t>Sheriff</w:t>
            </w:r>
            <w:r>
              <w:t>’s</w:t>
            </w:r>
            <w:r w:rsidRPr="002E1515">
              <w:t xml:space="preserve"> Office</w:t>
            </w:r>
          </w:p>
        </w:tc>
        <w:tc>
          <w:tcPr>
            <w:tcW w:w="1253" w:type="dxa"/>
            <w:vAlign w:val="bottom"/>
          </w:tcPr>
          <w:p w14:paraId="1549C667" w14:textId="77777777" w:rsidR="00696402" w:rsidRPr="002E1515" w:rsidRDefault="00696402" w:rsidP="00696402">
            <w:pPr>
              <w:jc w:val="right"/>
            </w:pPr>
            <w:r w:rsidRPr="002E1515">
              <w:t>100+</w:t>
            </w:r>
          </w:p>
        </w:tc>
        <w:tc>
          <w:tcPr>
            <w:tcW w:w="1758" w:type="dxa"/>
          </w:tcPr>
          <w:p w14:paraId="4A4D0880" w14:textId="77777777" w:rsidR="00696402" w:rsidRPr="002E1515" w:rsidRDefault="00696402" w:rsidP="00696402">
            <w:pPr>
              <w:jc w:val="right"/>
            </w:pPr>
            <w:r>
              <w:t>401</w:t>
            </w:r>
          </w:p>
        </w:tc>
        <w:tc>
          <w:tcPr>
            <w:tcW w:w="1579" w:type="dxa"/>
          </w:tcPr>
          <w:p w14:paraId="084C015A" w14:textId="77777777" w:rsidR="00696402" w:rsidRDefault="00696402" w:rsidP="00696402">
            <w:pPr>
              <w:jc w:val="right"/>
            </w:pPr>
            <w:r>
              <w:t>2.4%</w:t>
            </w:r>
          </w:p>
        </w:tc>
        <w:tc>
          <w:tcPr>
            <w:tcW w:w="1620" w:type="dxa"/>
          </w:tcPr>
          <w:p w14:paraId="66DC8DEB" w14:textId="77777777" w:rsidR="00696402" w:rsidRDefault="00696402" w:rsidP="00696402">
            <w:pPr>
              <w:jc w:val="right"/>
            </w:pPr>
            <w:r>
              <w:t>17.1%</w:t>
            </w:r>
          </w:p>
        </w:tc>
        <w:tc>
          <w:tcPr>
            <w:tcW w:w="1800" w:type="dxa"/>
          </w:tcPr>
          <w:p w14:paraId="363D615D" w14:textId="77777777" w:rsidR="00696402" w:rsidRDefault="00696402" w:rsidP="00696402">
            <w:pPr>
              <w:jc w:val="right"/>
            </w:pPr>
            <w:r>
              <w:t>13.7%</w:t>
            </w:r>
          </w:p>
        </w:tc>
      </w:tr>
      <w:tr w:rsidR="00696402" w:rsidRPr="002E1515" w14:paraId="1AF5DE61" w14:textId="77777777" w:rsidTr="00156904">
        <w:tc>
          <w:tcPr>
            <w:tcW w:w="1710" w:type="dxa"/>
            <w:vMerge/>
          </w:tcPr>
          <w:p w14:paraId="33057F7D" w14:textId="77777777" w:rsidR="00696402" w:rsidRPr="002E1515" w:rsidRDefault="00696402" w:rsidP="00696402"/>
        </w:tc>
        <w:tc>
          <w:tcPr>
            <w:tcW w:w="1253" w:type="dxa"/>
            <w:vAlign w:val="bottom"/>
          </w:tcPr>
          <w:p w14:paraId="74F8AD75" w14:textId="77777777" w:rsidR="00696402" w:rsidRPr="002E1515" w:rsidRDefault="00696402" w:rsidP="00696402">
            <w:pPr>
              <w:jc w:val="right"/>
            </w:pPr>
            <w:r w:rsidRPr="002E1515">
              <w:t>50-99</w:t>
            </w:r>
          </w:p>
        </w:tc>
        <w:tc>
          <w:tcPr>
            <w:tcW w:w="1758" w:type="dxa"/>
          </w:tcPr>
          <w:p w14:paraId="0323538C" w14:textId="77777777" w:rsidR="00696402" w:rsidRPr="002E1515" w:rsidRDefault="00696402" w:rsidP="00696402">
            <w:pPr>
              <w:jc w:val="right"/>
            </w:pPr>
            <w:r>
              <w:t>366</w:t>
            </w:r>
          </w:p>
        </w:tc>
        <w:tc>
          <w:tcPr>
            <w:tcW w:w="1579" w:type="dxa"/>
          </w:tcPr>
          <w:p w14:paraId="7D48E704" w14:textId="77777777" w:rsidR="00696402" w:rsidRDefault="00696402" w:rsidP="00696402">
            <w:pPr>
              <w:jc w:val="right"/>
            </w:pPr>
            <w:r>
              <w:t>2.2%</w:t>
            </w:r>
          </w:p>
        </w:tc>
        <w:tc>
          <w:tcPr>
            <w:tcW w:w="1620" w:type="dxa"/>
          </w:tcPr>
          <w:p w14:paraId="70D37765" w14:textId="77777777" w:rsidR="00696402" w:rsidRDefault="00696402" w:rsidP="00696402">
            <w:pPr>
              <w:jc w:val="right"/>
            </w:pPr>
            <w:r>
              <w:t>3.3%</w:t>
            </w:r>
          </w:p>
        </w:tc>
        <w:tc>
          <w:tcPr>
            <w:tcW w:w="1800" w:type="dxa"/>
          </w:tcPr>
          <w:p w14:paraId="7B9840AB" w14:textId="77777777" w:rsidR="00696402" w:rsidRDefault="00696402" w:rsidP="00696402">
            <w:pPr>
              <w:jc w:val="right"/>
            </w:pPr>
            <w:r>
              <w:t>6.0%</w:t>
            </w:r>
          </w:p>
        </w:tc>
      </w:tr>
      <w:tr w:rsidR="00696402" w:rsidRPr="002E1515" w14:paraId="4052615E" w14:textId="77777777" w:rsidTr="00156904">
        <w:tc>
          <w:tcPr>
            <w:tcW w:w="1710" w:type="dxa"/>
            <w:vMerge/>
          </w:tcPr>
          <w:p w14:paraId="6560E542" w14:textId="77777777" w:rsidR="00696402" w:rsidRPr="002E1515" w:rsidRDefault="00696402" w:rsidP="00696402"/>
        </w:tc>
        <w:tc>
          <w:tcPr>
            <w:tcW w:w="1253" w:type="dxa"/>
            <w:vAlign w:val="bottom"/>
          </w:tcPr>
          <w:p w14:paraId="514813C1" w14:textId="77777777" w:rsidR="00696402" w:rsidRPr="002E1515" w:rsidRDefault="00696402" w:rsidP="00696402">
            <w:pPr>
              <w:jc w:val="right"/>
            </w:pPr>
            <w:r w:rsidRPr="002E1515">
              <w:t>25-49</w:t>
            </w:r>
          </w:p>
        </w:tc>
        <w:tc>
          <w:tcPr>
            <w:tcW w:w="1758" w:type="dxa"/>
          </w:tcPr>
          <w:p w14:paraId="552AB9D7" w14:textId="77777777" w:rsidR="00696402" w:rsidRPr="002E1515" w:rsidRDefault="00696402" w:rsidP="00696402">
            <w:pPr>
              <w:jc w:val="right"/>
            </w:pPr>
            <w:r>
              <w:t>611</w:t>
            </w:r>
          </w:p>
        </w:tc>
        <w:tc>
          <w:tcPr>
            <w:tcW w:w="1579" w:type="dxa"/>
          </w:tcPr>
          <w:p w14:paraId="63284811" w14:textId="77777777" w:rsidR="00696402" w:rsidRDefault="00696402" w:rsidP="00696402">
            <w:pPr>
              <w:jc w:val="right"/>
            </w:pPr>
            <w:r>
              <w:t>3.7%</w:t>
            </w:r>
          </w:p>
        </w:tc>
        <w:tc>
          <w:tcPr>
            <w:tcW w:w="1620" w:type="dxa"/>
          </w:tcPr>
          <w:p w14:paraId="1B61A1A6" w14:textId="77777777" w:rsidR="00696402" w:rsidRDefault="00696402" w:rsidP="00696402">
            <w:pPr>
              <w:jc w:val="right"/>
            </w:pPr>
            <w:r>
              <w:t>2.7%</w:t>
            </w:r>
          </w:p>
        </w:tc>
        <w:tc>
          <w:tcPr>
            <w:tcW w:w="1800" w:type="dxa"/>
          </w:tcPr>
          <w:p w14:paraId="0B831F3F" w14:textId="77777777" w:rsidR="00696402" w:rsidRDefault="00696402" w:rsidP="00696402">
            <w:pPr>
              <w:jc w:val="right"/>
            </w:pPr>
            <w:r>
              <w:t>5.4%</w:t>
            </w:r>
          </w:p>
        </w:tc>
      </w:tr>
      <w:tr w:rsidR="00696402" w:rsidRPr="002E1515" w14:paraId="1B78BB14" w14:textId="77777777" w:rsidTr="00156904">
        <w:tc>
          <w:tcPr>
            <w:tcW w:w="1710" w:type="dxa"/>
            <w:vMerge/>
          </w:tcPr>
          <w:p w14:paraId="336E36CE" w14:textId="77777777" w:rsidR="00696402" w:rsidRPr="002E1515" w:rsidRDefault="00696402" w:rsidP="00696402"/>
        </w:tc>
        <w:tc>
          <w:tcPr>
            <w:tcW w:w="1253" w:type="dxa"/>
            <w:vAlign w:val="bottom"/>
          </w:tcPr>
          <w:p w14:paraId="263946A4" w14:textId="77777777" w:rsidR="00696402" w:rsidRPr="002E1515" w:rsidRDefault="00696402" w:rsidP="00696402">
            <w:pPr>
              <w:jc w:val="right"/>
            </w:pPr>
            <w:r w:rsidRPr="002E1515">
              <w:t>10-24</w:t>
            </w:r>
          </w:p>
        </w:tc>
        <w:tc>
          <w:tcPr>
            <w:tcW w:w="1758" w:type="dxa"/>
          </w:tcPr>
          <w:p w14:paraId="7E57D831" w14:textId="77777777" w:rsidR="00696402" w:rsidRPr="002E1515" w:rsidRDefault="00696402" w:rsidP="00696402">
            <w:pPr>
              <w:jc w:val="right"/>
            </w:pPr>
            <w:r>
              <w:t>921</w:t>
            </w:r>
          </w:p>
        </w:tc>
        <w:tc>
          <w:tcPr>
            <w:tcW w:w="1579" w:type="dxa"/>
          </w:tcPr>
          <w:p w14:paraId="0B0DCF1C" w14:textId="77777777" w:rsidR="00696402" w:rsidRDefault="00696402" w:rsidP="00696402">
            <w:pPr>
              <w:jc w:val="right"/>
            </w:pPr>
            <w:r>
              <w:t>5.6%</w:t>
            </w:r>
          </w:p>
        </w:tc>
        <w:tc>
          <w:tcPr>
            <w:tcW w:w="1620" w:type="dxa"/>
          </w:tcPr>
          <w:p w14:paraId="2BCF09AA" w14:textId="77777777" w:rsidR="00696402" w:rsidRDefault="00696402" w:rsidP="00696402">
            <w:pPr>
              <w:jc w:val="right"/>
            </w:pPr>
            <w:r>
              <w:t>1.9%</w:t>
            </w:r>
          </w:p>
        </w:tc>
        <w:tc>
          <w:tcPr>
            <w:tcW w:w="1800" w:type="dxa"/>
          </w:tcPr>
          <w:p w14:paraId="40B283D8" w14:textId="77777777" w:rsidR="00696402" w:rsidRDefault="00696402" w:rsidP="00696402">
            <w:pPr>
              <w:jc w:val="right"/>
            </w:pPr>
            <w:r>
              <w:t>4.5%</w:t>
            </w:r>
          </w:p>
        </w:tc>
      </w:tr>
      <w:tr w:rsidR="00696402" w:rsidRPr="002E1515" w14:paraId="16571AC3" w14:textId="77777777" w:rsidTr="00156904">
        <w:tc>
          <w:tcPr>
            <w:tcW w:w="1710" w:type="dxa"/>
            <w:vMerge/>
          </w:tcPr>
          <w:p w14:paraId="01ADBE4B" w14:textId="77777777" w:rsidR="00696402" w:rsidRPr="002E1515" w:rsidRDefault="00696402" w:rsidP="00696402"/>
        </w:tc>
        <w:tc>
          <w:tcPr>
            <w:tcW w:w="1253" w:type="dxa"/>
            <w:vAlign w:val="bottom"/>
          </w:tcPr>
          <w:p w14:paraId="0169F66D" w14:textId="77777777" w:rsidR="00696402" w:rsidRPr="002E1515" w:rsidRDefault="00696402" w:rsidP="00696402">
            <w:pPr>
              <w:jc w:val="right"/>
            </w:pPr>
            <w:r w:rsidRPr="002E1515">
              <w:t>5-9</w:t>
            </w:r>
          </w:p>
        </w:tc>
        <w:tc>
          <w:tcPr>
            <w:tcW w:w="1758" w:type="dxa"/>
          </w:tcPr>
          <w:p w14:paraId="591F6966" w14:textId="77777777" w:rsidR="00696402" w:rsidRPr="002E1515" w:rsidRDefault="00696402" w:rsidP="00696402">
            <w:pPr>
              <w:jc w:val="right"/>
            </w:pPr>
            <w:r>
              <w:t>513</w:t>
            </w:r>
          </w:p>
        </w:tc>
        <w:tc>
          <w:tcPr>
            <w:tcW w:w="1579" w:type="dxa"/>
          </w:tcPr>
          <w:p w14:paraId="251B4890" w14:textId="77777777" w:rsidR="00696402" w:rsidRDefault="00696402" w:rsidP="00696402">
            <w:pPr>
              <w:jc w:val="right"/>
            </w:pPr>
            <w:r>
              <w:t>3.1%</w:t>
            </w:r>
          </w:p>
        </w:tc>
        <w:tc>
          <w:tcPr>
            <w:tcW w:w="1620" w:type="dxa"/>
          </w:tcPr>
          <w:p w14:paraId="22BB933B" w14:textId="77777777" w:rsidR="00696402" w:rsidRDefault="00696402" w:rsidP="00696402">
            <w:pPr>
              <w:jc w:val="right"/>
            </w:pPr>
            <w:r>
              <w:t>0.5%</w:t>
            </w:r>
          </w:p>
        </w:tc>
        <w:tc>
          <w:tcPr>
            <w:tcW w:w="1800" w:type="dxa"/>
          </w:tcPr>
          <w:p w14:paraId="110C0CE3" w14:textId="77777777" w:rsidR="00696402" w:rsidRDefault="00696402" w:rsidP="00696402">
            <w:pPr>
              <w:jc w:val="right"/>
            </w:pPr>
            <w:r>
              <w:t>2.2%</w:t>
            </w:r>
          </w:p>
        </w:tc>
      </w:tr>
      <w:tr w:rsidR="00696402" w:rsidRPr="002E1515" w14:paraId="519AF774" w14:textId="77777777" w:rsidTr="00156904">
        <w:tc>
          <w:tcPr>
            <w:tcW w:w="1710" w:type="dxa"/>
            <w:vMerge/>
          </w:tcPr>
          <w:p w14:paraId="26AA6A75" w14:textId="77777777" w:rsidR="00696402" w:rsidRPr="002E1515" w:rsidRDefault="00696402" w:rsidP="00696402"/>
        </w:tc>
        <w:tc>
          <w:tcPr>
            <w:tcW w:w="1253" w:type="dxa"/>
            <w:vAlign w:val="bottom"/>
          </w:tcPr>
          <w:p w14:paraId="72C2C625" w14:textId="77777777" w:rsidR="00696402" w:rsidRPr="002E1515" w:rsidRDefault="00696402" w:rsidP="00696402">
            <w:pPr>
              <w:jc w:val="right"/>
            </w:pPr>
            <w:r w:rsidRPr="002E1515">
              <w:t>2-4</w:t>
            </w:r>
          </w:p>
        </w:tc>
        <w:tc>
          <w:tcPr>
            <w:tcW w:w="1758" w:type="dxa"/>
          </w:tcPr>
          <w:p w14:paraId="353869C3" w14:textId="77777777" w:rsidR="00696402" w:rsidRPr="002E1515" w:rsidRDefault="00696402" w:rsidP="00696402">
            <w:pPr>
              <w:jc w:val="right"/>
            </w:pPr>
            <w:r>
              <w:t>210</w:t>
            </w:r>
          </w:p>
        </w:tc>
        <w:tc>
          <w:tcPr>
            <w:tcW w:w="1579" w:type="dxa"/>
          </w:tcPr>
          <w:p w14:paraId="503E1C1B" w14:textId="77777777" w:rsidR="00696402" w:rsidRDefault="00696402" w:rsidP="00696402">
            <w:pPr>
              <w:jc w:val="right"/>
            </w:pPr>
            <w:r>
              <w:t>1.3%</w:t>
            </w:r>
          </w:p>
        </w:tc>
        <w:tc>
          <w:tcPr>
            <w:tcW w:w="1620" w:type="dxa"/>
          </w:tcPr>
          <w:p w14:paraId="79C90F79" w14:textId="77777777" w:rsidR="00696402" w:rsidRDefault="00696402" w:rsidP="00696402">
            <w:pPr>
              <w:jc w:val="right"/>
            </w:pPr>
            <w:r>
              <w:t>0.1%</w:t>
            </w:r>
          </w:p>
        </w:tc>
        <w:tc>
          <w:tcPr>
            <w:tcW w:w="1800" w:type="dxa"/>
          </w:tcPr>
          <w:p w14:paraId="316382BA" w14:textId="77777777" w:rsidR="00696402" w:rsidRDefault="00696402" w:rsidP="00696402">
            <w:pPr>
              <w:jc w:val="right"/>
            </w:pPr>
            <w:r>
              <w:t>0.9%</w:t>
            </w:r>
          </w:p>
        </w:tc>
      </w:tr>
      <w:tr w:rsidR="00696402" w:rsidRPr="002E1515" w14:paraId="379205DE" w14:textId="77777777" w:rsidTr="00156904">
        <w:tc>
          <w:tcPr>
            <w:tcW w:w="1710" w:type="dxa"/>
            <w:vMerge/>
          </w:tcPr>
          <w:p w14:paraId="41140DD5" w14:textId="77777777" w:rsidR="00696402" w:rsidRPr="002E1515" w:rsidRDefault="00696402" w:rsidP="00696402"/>
        </w:tc>
        <w:tc>
          <w:tcPr>
            <w:tcW w:w="1253" w:type="dxa"/>
            <w:vAlign w:val="bottom"/>
          </w:tcPr>
          <w:p w14:paraId="39638569" w14:textId="77777777" w:rsidR="00696402" w:rsidRPr="002E1515" w:rsidRDefault="00696402" w:rsidP="00696402">
            <w:pPr>
              <w:jc w:val="right"/>
            </w:pPr>
            <w:r w:rsidRPr="002E1515">
              <w:t>1</w:t>
            </w:r>
          </w:p>
        </w:tc>
        <w:tc>
          <w:tcPr>
            <w:tcW w:w="1758" w:type="dxa"/>
          </w:tcPr>
          <w:p w14:paraId="3A01EF9A" w14:textId="77777777" w:rsidR="00696402" w:rsidRPr="002E1515" w:rsidRDefault="00696402" w:rsidP="00696402">
            <w:pPr>
              <w:jc w:val="right"/>
            </w:pPr>
            <w:r>
              <w:t>26</w:t>
            </w:r>
          </w:p>
        </w:tc>
        <w:tc>
          <w:tcPr>
            <w:tcW w:w="1579" w:type="dxa"/>
          </w:tcPr>
          <w:p w14:paraId="7751B458" w14:textId="77777777" w:rsidR="00696402" w:rsidRDefault="00696402" w:rsidP="00696402">
            <w:pPr>
              <w:jc w:val="right"/>
            </w:pPr>
            <w:r>
              <w:t>0.2%</w:t>
            </w:r>
          </w:p>
        </w:tc>
        <w:tc>
          <w:tcPr>
            <w:tcW w:w="1620" w:type="dxa"/>
          </w:tcPr>
          <w:p w14:paraId="1480862A" w14:textId="77777777" w:rsidR="00696402" w:rsidRDefault="00696402" w:rsidP="00696402">
            <w:pPr>
              <w:jc w:val="right"/>
            </w:pPr>
            <w:r>
              <w:t>0.0%</w:t>
            </w:r>
          </w:p>
        </w:tc>
        <w:tc>
          <w:tcPr>
            <w:tcW w:w="1800" w:type="dxa"/>
          </w:tcPr>
          <w:p w14:paraId="21A7A5D8" w14:textId="77777777" w:rsidR="00696402" w:rsidRDefault="00696402" w:rsidP="00696402">
            <w:pPr>
              <w:jc w:val="right"/>
            </w:pPr>
            <w:r>
              <w:t>0.2%</w:t>
            </w:r>
          </w:p>
        </w:tc>
      </w:tr>
      <w:tr w:rsidR="00696402" w:rsidRPr="002E1515" w14:paraId="2582C177" w14:textId="77777777" w:rsidTr="00156904">
        <w:tc>
          <w:tcPr>
            <w:tcW w:w="1710" w:type="dxa"/>
          </w:tcPr>
          <w:p w14:paraId="77F7EA8A" w14:textId="77777777" w:rsidR="00696402" w:rsidRPr="002E1515" w:rsidRDefault="00696402" w:rsidP="00696402">
            <w:r w:rsidRPr="002E1515">
              <w:t>State</w:t>
            </w:r>
            <w:r>
              <w:t xml:space="preserve"> Police</w:t>
            </w:r>
          </w:p>
        </w:tc>
        <w:tc>
          <w:tcPr>
            <w:tcW w:w="1253" w:type="dxa"/>
          </w:tcPr>
          <w:p w14:paraId="7CEDA89D" w14:textId="77777777" w:rsidR="00696402" w:rsidRPr="002E1515" w:rsidRDefault="00696402" w:rsidP="00696402">
            <w:pPr>
              <w:jc w:val="right"/>
            </w:pPr>
            <w:r w:rsidRPr="002E1515">
              <w:t>All</w:t>
            </w:r>
          </w:p>
        </w:tc>
        <w:tc>
          <w:tcPr>
            <w:tcW w:w="1758" w:type="dxa"/>
          </w:tcPr>
          <w:p w14:paraId="446A923C" w14:textId="77777777" w:rsidR="00696402" w:rsidRPr="002E1515" w:rsidRDefault="00696402" w:rsidP="00696402">
            <w:pPr>
              <w:jc w:val="right"/>
            </w:pPr>
            <w:r>
              <w:t>50</w:t>
            </w:r>
          </w:p>
        </w:tc>
        <w:tc>
          <w:tcPr>
            <w:tcW w:w="1579" w:type="dxa"/>
          </w:tcPr>
          <w:p w14:paraId="4778E3BC" w14:textId="77777777" w:rsidR="00696402" w:rsidRDefault="00696402" w:rsidP="00696402">
            <w:pPr>
              <w:jc w:val="right"/>
            </w:pPr>
            <w:r>
              <w:t>0.3%</w:t>
            </w:r>
          </w:p>
        </w:tc>
        <w:tc>
          <w:tcPr>
            <w:tcW w:w="1620" w:type="dxa"/>
          </w:tcPr>
          <w:p w14:paraId="03C57845" w14:textId="77777777" w:rsidR="00696402" w:rsidRDefault="00696402" w:rsidP="00696402">
            <w:pPr>
              <w:jc w:val="right"/>
            </w:pPr>
            <w:r>
              <w:t>7.7%</w:t>
            </w:r>
          </w:p>
        </w:tc>
        <w:tc>
          <w:tcPr>
            <w:tcW w:w="1800" w:type="dxa"/>
          </w:tcPr>
          <w:p w14:paraId="49A3A1CB" w14:textId="77777777" w:rsidR="00696402" w:rsidRDefault="00696402" w:rsidP="00696402">
            <w:pPr>
              <w:jc w:val="right"/>
            </w:pPr>
            <w:r>
              <w:t>9.2%</w:t>
            </w:r>
          </w:p>
        </w:tc>
      </w:tr>
    </w:tbl>
    <w:p w14:paraId="2444A81B" w14:textId="533DDDFE" w:rsidR="00EC6C2C" w:rsidRPr="00C06CDB" w:rsidRDefault="00EC6C2C" w:rsidP="00990A93">
      <w:pPr>
        <w:pStyle w:val="SP-SglSpPara"/>
        <w:tabs>
          <w:tab w:val="clear" w:pos="576"/>
        </w:tabs>
        <w:ind w:right="-720" w:firstLine="0"/>
        <w:jc w:val="left"/>
        <w:rPr>
          <w:sz w:val="20"/>
        </w:rPr>
      </w:pPr>
      <w:proofErr w:type="gramStart"/>
      <w:r w:rsidRPr="00C06CDB">
        <w:rPr>
          <w:vertAlign w:val="superscript"/>
        </w:rPr>
        <w:t>a</w:t>
      </w:r>
      <w:proofErr w:type="gramEnd"/>
      <w:r>
        <w:rPr>
          <w:vertAlign w:val="superscript"/>
        </w:rPr>
        <w:t xml:space="preserve"> </w:t>
      </w:r>
      <w:r w:rsidRPr="00C06CDB">
        <w:rPr>
          <w:sz w:val="20"/>
        </w:rPr>
        <w:t xml:space="preserve">Number of </w:t>
      </w:r>
      <w:r w:rsidR="000A1127">
        <w:rPr>
          <w:sz w:val="20"/>
        </w:rPr>
        <w:t>full-time equivalent officer</w:t>
      </w:r>
      <w:r w:rsidR="0056033F">
        <w:rPr>
          <w:sz w:val="20"/>
        </w:rPr>
        <w:t>s</w:t>
      </w:r>
      <w:r w:rsidR="000A1127">
        <w:rPr>
          <w:sz w:val="20"/>
        </w:rPr>
        <w:t>.</w:t>
      </w:r>
    </w:p>
    <w:p w14:paraId="78F1DE49" w14:textId="77777777" w:rsidR="00F84BA4" w:rsidRDefault="00F84BA4" w:rsidP="00F84901">
      <w:pPr>
        <w:pStyle w:val="SP-SglSpPara"/>
        <w:ind w:firstLine="0"/>
        <w:jc w:val="left"/>
        <w:rPr>
          <w:sz w:val="24"/>
          <w:szCs w:val="24"/>
        </w:rPr>
      </w:pPr>
    </w:p>
    <w:p w14:paraId="71E9857C" w14:textId="63721169" w:rsidR="00F84901" w:rsidRDefault="00ED6A98" w:rsidP="00F84901">
      <w:pPr>
        <w:pStyle w:val="SP-SglSpPara"/>
        <w:ind w:firstLine="0"/>
        <w:jc w:val="left"/>
        <w:rPr>
          <w:sz w:val="24"/>
          <w:szCs w:val="24"/>
        </w:rPr>
      </w:pPr>
      <w:r>
        <w:rPr>
          <w:sz w:val="24"/>
          <w:szCs w:val="24"/>
        </w:rPr>
        <w:t>The sample allocation for the three methods is calculated under the constraint that each stratum must have a respondent size of at least 2 agencies</w:t>
      </w:r>
      <w:r w:rsidR="00CF5047">
        <w:rPr>
          <w:sz w:val="24"/>
          <w:szCs w:val="24"/>
        </w:rPr>
        <w:t xml:space="preserve"> and is only applied to the </w:t>
      </w:r>
      <w:r w:rsidR="00E77256">
        <w:rPr>
          <w:sz w:val="24"/>
          <w:szCs w:val="24"/>
        </w:rPr>
        <w:t xml:space="preserve">NSR </w:t>
      </w:r>
      <w:r w:rsidR="00CF5047">
        <w:rPr>
          <w:sz w:val="24"/>
          <w:szCs w:val="24"/>
        </w:rPr>
        <w:t xml:space="preserve">strata. </w:t>
      </w:r>
      <w:r w:rsidR="00F84BA4" w:rsidRPr="00156904">
        <w:rPr>
          <w:b/>
          <w:sz w:val="24"/>
          <w:szCs w:val="24"/>
        </w:rPr>
        <w:t xml:space="preserve">Table </w:t>
      </w:r>
      <w:r w:rsidR="00F84BA4">
        <w:rPr>
          <w:b/>
          <w:sz w:val="24"/>
          <w:szCs w:val="24"/>
        </w:rPr>
        <w:t>7</w:t>
      </w:r>
      <w:r w:rsidR="00F84BA4">
        <w:rPr>
          <w:sz w:val="24"/>
          <w:szCs w:val="24"/>
        </w:rPr>
        <w:t xml:space="preserve"> shows t</w:t>
      </w:r>
      <w:r w:rsidR="00CF5047">
        <w:rPr>
          <w:sz w:val="24"/>
          <w:szCs w:val="24"/>
        </w:rPr>
        <w:t xml:space="preserve">he sample allocation assuming 3,000 </w:t>
      </w:r>
      <w:r w:rsidR="00F84BA4">
        <w:rPr>
          <w:sz w:val="24"/>
          <w:szCs w:val="24"/>
        </w:rPr>
        <w:t xml:space="preserve">agencies </w:t>
      </w:r>
      <w:r w:rsidR="00CF5047">
        <w:rPr>
          <w:sz w:val="24"/>
          <w:szCs w:val="24"/>
        </w:rPr>
        <w:t>respon</w:t>
      </w:r>
      <w:r w:rsidR="00F84BA4">
        <w:rPr>
          <w:sz w:val="24"/>
          <w:szCs w:val="24"/>
        </w:rPr>
        <w:t>d</w:t>
      </w:r>
      <w:r w:rsidR="00CF5047">
        <w:rPr>
          <w:sz w:val="24"/>
          <w:szCs w:val="24"/>
        </w:rPr>
        <w:t xml:space="preserve"> </w:t>
      </w:r>
      <w:r w:rsidR="00F84BA4">
        <w:rPr>
          <w:sz w:val="24"/>
          <w:szCs w:val="24"/>
        </w:rPr>
        <w:t>with the</w:t>
      </w:r>
      <w:r w:rsidR="009F6AAB">
        <w:rPr>
          <w:sz w:val="24"/>
          <w:szCs w:val="24"/>
        </w:rPr>
        <w:t xml:space="preserve"> response rates from </w:t>
      </w:r>
      <w:r w:rsidR="00CC4A2E" w:rsidRPr="00156904">
        <w:rPr>
          <w:b/>
          <w:sz w:val="24"/>
          <w:szCs w:val="24"/>
        </w:rPr>
        <w:t>Table 2</w:t>
      </w:r>
      <w:r w:rsidR="009F6AAB">
        <w:rPr>
          <w:sz w:val="24"/>
          <w:szCs w:val="24"/>
        </w:rPr>
        <w:t>.</w:t>
      </w:r>
      <w:r w:rsidR="001802FC">
        <w:rPr>
          <w:sz w:val="24"/>
          <w:szCs w:val="24"/>
        </w:rPr>
        <w:t xml:space="preserve"> </w:t>
      </w:r>
    </w:p>
    <w:p w14:paraId="26B2E6B3" w14:textId="77777777" w:rsidR="00F84901" w:rsidRDefault="00F84901" w:rsidP="00F84901">
      <w:pPr>
        <w:pStyle w:val="SP-SglSpPara"/>
        <w:ind w:firstLine="0"/>
        <w:jc w:val="left"/>
        <w:rPr>
          <w:sz w:val="24"/>
          <w:szCs w:val="24"/>
        </w:rPr>
      </w:pPr>
    </w:p>
    <w:p w14:paraId="38493639" w14:textId="40F63828" w:rsidR="00F84901" w:rsidRPr="00362173" w:rsidRDefault="00F84901" w:rsidP="00975C81">
      <w:pPr>
        <w:pStyle w:val="Caption"/>
        <w:keepNext/>
        <w:ind w:right="-270"/>
        <w:rPr>
          <w:rFonts w:ascii="Times New Roman" w:eastAsia="Calibri" w:hAnsi="Times New Roman" w:cs="Times New Roman"/>
          <w:b/>
          <w:bCs/>
          <w:i w:val="0"/>
          <w:iCs w:val="0"/>
          <w:color w:val="auto"/>
          <w:sz w:val="24"/>
          <w:szCs w:val="24"/>
        </w:rPr>
      </w:pPr>
      <w:bookmarkStart w:id="3" w:name="_Ref442686079"/>
      <w:r w:rsidRPr="00362173">
        <w:rPr>
          <w:rFonts w:ascii="Times New Roman" w:eastAsia="Calibri" w:hAnsi="Times New Roman" w:cs="Times New Roman"/>
          <w:b/>
          <w:bCs/>
          <w:i w:val="0"/>
          <w:iCs w:val="0"/>
          <w:color w:val="auto"/>
          <w:sz w:val="24"/>
          <w:szCs w:val="24"/>
        </w:rPr>
        <w:t xml:space="preserve">Table </w:t>
      </w:r>
      <w:bookmarkEnd w:id="3"/>
      <w:r w:rsidR="00F84BA4">
        <w:rPr>
          <w:rFonts w:ascii="Times New Roman" w:eastAsia="Calibri" w:hAnsi="Times New Roman" w:cs="Times New Roman"/>
          <w:b/>
          <w:bCs/>
          <w:i w:val="0"/>
          <w:iCs w:val="0"/>
          <w:color w:val="auto"/>
          <w:sz w:val="24"/>
          <w:szCs w:val="24"/>
        </w:rPr>
        <w:t>7</w:t>
      </w:r>
      <w:r w:rsidRPr="00362173">
        <w:rPr>
          <w:rFonts w:ascii="Times New Roman" w:eastAsia="Calibri" w:hAnsi="Times New Roman" w:cs="Times New Roman"/>
          <w:b/>
          <w:bCs/>
          <w:i w:val="0"/>
          <w:iCs w:val="0"/>
          <w:color w:val="auto"/>
          <w:sz w:val="24"/>
          <w:szCs w:val="24"/>
        </w:rPr>
        <w:t xml:space="preserve">: </w:t>
      </w:r>
      <w:r w:rsidR="00975C81">
        <w:rPr>
          <w:rFonts w:ascii="Times New Roman" w:eastAsia="Calibri" w:hAnsi="Times New Roman" w:cs="Times New Roman"/>
          <w:b/>
          <w:bCs/>
          <w:i w:val="0"/>
          <w:iCs w:val="0"/>
          <w:color w:val="auto"/>
          <w:sz w:val="24"/>
          <w:szCs w:val="24"/>
        </w:rPr>
        <w:t xml:space="preserve">Estimated final response </w:t>
      </w:r>
      <w:r w:rsidR="00990A93">
        <w:rPr>
          <w:rFonts w:ascii="Times New Roman" w:eastAsia="Calibri" w:hAnsi="Times New Roman" w:cs="Times New Roman"/>
          <w:b/>
          <w:bCs/>
          <w:i w:val="0"/>
          <w:iCs w:val="0"/>
          <w:color w:val="auto"/>
          <w:sz w:val="24"/>
          <w:szCs w:val="24"/>
        </w:rPr>
        <w:t>size by stratum based on allocation method</w:t>
      </w:r>
      <w:r w:rsidR="00F84BA4">
        <w:rPr>
          <w:rFonts w:ascii="Times New Roman" w:eastAsia="Calibri" w:hAnsi="Times New Roman" w:cs="Times New Roman"/>
          <w:b/>
          <w:bCs/>
          <w:i w:val="0"/>
          <w:iCs w:val="0"/>
          <w:color w:val="auto"/>
          <w:sz w:val="24"/>
          <w:szCs w:val="24"/>
        </w:rPr>
        <w:t>, 2014 CSLLEA</w:t>
      </w:r>
    </w:p>
    <w:tbl>
      <w:tblPr>
        <w:tblStyle w:val="TableGrid"/>
        <w:tblW w:w="9175" w:type="dxa"/>
        <w:tblLook w:val="04A0" w:firstRow="1" w:lastRow="0" w:firstColumn="1" w:lastColumn="0" w:noHBand="0" w:noVBand="1"/>
      </w:tblPr>
      <w:tblGrid>
        <w:gridCol w:w="1885"/>
        <w:gridCol w:w="1890"/>
        <w:gridCol w:w="2070"/>
        <w:gridCol w:w="1530"/>
        <w:gridCol w:w="1800"/>
      </w:tblGrid>
      <w:tr w:rsidR="00CF5047" w:rsidRPr="00A95CFB" w14:paraId="5C69EE8D" w14:textId="77777777" w:rsidTr="00156904">
        <w:tc>
          <w:tcPr>
            <w:tcW w:w="1885" w:type="dxa"/>
            <w:shd w:val="clear" w:color="auto" w:fill="C6D9F1" w:themeFill="text2" w:themeFillTint="33"/>
          </w:tcPr>
          <w:p w14:paraId="6BB1F056" w14:textId="77777777" w:rsidR="00CF5047" w:rsidRPr="00156904" w:rsidRDefault="00CF5047" w:rsidP="00CF5047">
            <w:pPr>
              <w:pStyle w:val="SP-SglSpPara"/>
              <w:ind w:firstLine="0"/>
              <w:jc w:val="center"/>
              <w:rPr>
                <w:sz w:val="24"/>
                <w:szCs w:val="24"/>
              </w:rPr>
            </w:pPr>
            <w:r w:rsidRPr="00156904">
              <w:rPr>
                <w:sz w:val="24"/>
                <w:szCs w:val="24"/>
              </w:rPr>
              <w:t>Agency Type</w:t>
            </w:r>
          </w:p>
        </w:tc>
        <w:tc>
          <w:tcPr>
            <w:tcW w:w="1890" w:type="dxa"/>
            <w:shd w:val="clear" w:color="auto" w:fill="C6D9F1" w:themeFill="text2" w:themeFillTint="33"/>
          </w:tcPr>
          <w:p w14:paraId="245E05F6" w14:textId="77777777" w:rsidR="00CF5047" w:rsidRPr="00156904" w:rsidRDefault="00CF5047" w:rsidP="00CF5047">
            <w:pPr>
              <w:pStyle w:val="SP-SglSpPara"/>
              <w:ind w:firstLine="0"/>
              <w:jc w:val="center"/>
              <w:rPr>
                <w:sz w:val="24"/>
                <w:szCs w:val="24"/>
              </w:rPr>
            </w:pPr>
            <w:r w:rsidRPr="00156904">
              <w:rPr>
                <w:sz w:val="24"/>
                <w:szCs w:val="24"/>
              </w:rPr>
              <w:t xml:space="preserve">Agency </w:t>
            </w:r>
            <w:proofErr w:type="spellStart"/>
            <w:r w:rsidRPr="00156904">
              <w:rPr>
                <w:sz w:val="24"/>
                <w:szCs w:val="24"/>
              </w:rPr>
              <w:t>Size</w:t>
            </w:r>
            <w:r w:rsidRPr="00156904">
              <w:rPr>
                <w:sz w:val="24"/>
                <w:szCs w:val="24"/>
                <w:vertAlign w:val="superscript"/>
              </w:rPr>
              <w:t>a</w:t>
            </w:r>
            <w:proofErr w:type="spellEnd"/>
          </w:p>
        </w:tc>
        <w:tc>
          <w:tcPr>
            <w:tcW w:w="2070" w:type="dxa"/>
            <w:shd w:val="clear" w:color="auto" w:fill="C6D9F1" w:themeFill="text2" w:themeFillTint="33"/>
          </w:tcPr>
          <w:p w14:paraId="46176570" w14:textId="77777777" w:rsidR="00CF5047" w:rsidRPr="00156904" w:rsidRDefault="00CF5047" w:rsidP="00CF5047">
            <w:pPr>
              <w:pStyle w:val="SP-SglSpPara"/>
              <w:ind w:firstLine="0"/>
              <w:jc w:val="center"/>
              <w:rPr>
                <w:sz w:val="24"/>
                <w:szCs w:val="24"/>
              </w:rPr>
            </w:pPr>
            <w:r w:rsidRPr="00156904">
              <w:rPr>
                <w:sz w:val="24"/>
                <w:szCs w:val="24"/>
              </w:rPr>
              <w:t>Percent Agencies</w:t>
            </w:r>
          </w:p>
        </w:tc>
        <w:tc>
          <w:tcPr>
            <w:tcW w:w="1530" w:type="dxa"/>
            <w:shd w:val="clear" w:color="auto" w:fill="C6D9F1" w:themeFill="text2" w:themeFillTint="33"/>
          </w:tcPr>
          <w:p w14:paraId="0A9B66F0" w14:textId="7F8FAC74" w:rsidR="00CF5047" w:rsidRPr="00156904" w:rsidRDefault="00CF5047" w:rsidP="00CF5047">
            <w:pPr>
              <w:pStyle w:val="SP-SglSpPara"/>
              <w:ind w:firstLine="0"/>
              <w:jc w:val="center"/>
              <w:rPr>
                <w:sz w:val="24"/>
                <w:szCs w:val="24"/>
              </w:rPr>
            </w:pPr>
            <w:r w:rsidRPr="00156904">
              <w:rPr>
                <w:sz w:val="24"/>
                <w:szCs w:val="24"/>
              </w:rPr>
              <w:t xml:space="preserve">Percent </w:t>
            </w:r>
            <w:r w:rsidR="00226164" w:rsidRPr="00156904">
              <w:rPr>
                <w:sz w:val="24"/>
                <w:szCs w:val="24"/>
              </w:rPr>
              <w:t>FTE</w:t>
            </w:r>
          </w:p>
        </w:tc>
        <w:tc>
          <w:tcPr>
            <w:tcW w:w="1800" w:type="dxa"/>
            <w:shd w:val="clear" w:color="auto" w:fill="C6D9F1" w:themeFill="text2" w:themeFillTint="33"/>
          </w:tcPr>
          <w:p w14:paraId="06C8B239" w14:textId="45D7CCA9" w:rsidR="00CF5047" w:rsidRPr="00A95CFB" w:rsidRDefault="00CF5047" w:rsidP="00CF5047">
            <w:pPr>
              <w:pStyle w:val="SP-SglSpPara"/>
              <w:ind w:firstLine="0"/>
              <w:jc w:val="center"/>
              <w:rPr>
                <w:sz w:val="24"/>
                <w:szCs w:val="24"/>
              </w:rPr>
            </w:pPr>
            <w:r w:rsidRPr="00156904">
              <w:rPr>
                <w:sz w:val="24"/>
                <w:szCs w:val="24"/>
              </w:rPr>
              <w:t xml:space="preserve">Percent Square Root </w:t>
            </w:r>
            <w:r w:rsidR="00226164" w:rsidRPr="00156904">
              <w:rPr>
                <w:sz w:val="24"/>
                <w:szCs w:val="24"/>
              </w:rPr>
              <w:t>FTE</w:t>
            </w:r>
          </w:p>
        </w:tc>
      </w:tr>
      <w:tr w:rsidR="00CF5047" w:rsidRPr="00A95CFB" w14:paraId="311FB1F7" w14:textId="77777777" w:rsidTr="00156904">
        <w:tc>
          <w:tcPr>
            <w:tcW w:w="1885" w:type="dxa"/>
            <w:vMerge w:val="restart"/>
          </w:tcPr>
          <w:p w14:paraId="66F179C0" w14:textId="77777777" w:rsidR="00CF5047" w:rsidRPr="00A95CFB" w:rsidRDefault="00CF5047" w:rsidP="00CF5047">
            <w:pPr>
              <w:pStyle w:val="SP-SglSpPara"/>
              <w:ind w:firstLine="0"/>
              <w:jc w:val="right"/>
              <w:rPr>
                <w:sz w:val="24"/>
                <w:szCs w:val="24"/>
              </w:rPr>
            </w:pPr>
            <w:r w:rsidRPr="00156904">
              <w:rPr>
                <w:sz w:val="24"/>
                <w:szCs w:val="24"/>
              </w:rPr>
              <w:t>Local Police</w:t>
            </w:r>
          </w:p>
        </w:tc>
        <w:tc>
          <w:tcPr>
            <w:tcW w:w="1890" w:type="dxa"/>
            <w:vAlign w:val="bottom"/>
          </w:tcPr>
          <w:p w14:paraId="58D8B57B" w14:textId="77777777" w:rsidR="00CF5047" w:rsidRPr="00A95CFB" w:rsidRDefault="00CF5047" w:rsidP="00CF5047">
            <w:pPr>
              <w:pStyle w:val="SP-SglSpPara"/>
              <w:ind w:firstLine="0"/>
              <w:jc w:val="right"/>
              <w:rPr>
                <w:sz w:val="24"/>
                <w:szCs w:val="24"/>
              </w:rPr>
            </w:pPr>
            <w:r w:rsidRPr="00156904">
              <w:rPr>
                <w:sz w:val="24"/>
                <w:szCs w:val="24"/>
              </w:rPr>
              <w:t>100+</w:t>
            </w:r>
          </w:p>
        </w:tc>
        <w:tc>
          <w:tcPr>
            <w:tcW w:w="2070" w:type="dxa"/>
          </w:tcPr>
          <w:p w14:paraId="0CB71DC2" w14:textId="77777777" w:rsidR="00CF5047" w:rsidRPr="00A95CFB" w:rsidRDefault="00CF5047" w:rsidP="00CF5047">
            <w:pPr>
              <w:pStyle w:val="SP-SglSpPara"/>
              <w:ind w:firstLine="0"/>
              <w:jc w:val="right"/>
              <w:rPr>
                <w:sz w:val="24"/>
                <w:szCs w:val="24"/>
              </w:rPr>
            </w:pPr>
            <w:r w:rsidRPr="00156904">
              <w:rPr>
                <w:sz w:val="24"/>
                <w:szCs w:val="24"/>
              </w:rPr>
              <w:t>643</w:t>
            </w:r>
          </w:p>
        </w:tc>
        <w:tc>
          <w:tcPr>
            <w:tcW w:w="1530" w:type="dxa"/>
          </w:tcPr>
          <w:p w14:paraId="67FD486E" w14:textId="77777777" w:rsidR="00CF5047" w:rsidRPr="00A95CFB" w:rsidRDefault="00CF5047" w:rsidP="00CF5047">
            <w:pPr>
              <w:pStyle w:val="SP-SglSpPara"/>
              <w:ind w:firstLine="0"/>
              <w:jc w:val="right"/>
              <w:rPr>
                <w:sz w:val="24"/>
                <w:szCs w:val="24"/>
              </w:rPr>
            </w:pPr>
            <w:r w:rsidRPr="00156904">
              <w:rPr>
                <w:sz w:val="24"/>
                <w:szCs w:val="24"/>
              </w:rPr>
              <w:t>643</w:t>
            </w:r>
          </w:p>
        </w:tc>
        <w:tc>
          <w:tcPr>
            <w:tcW w:w="1800" w:type="dxa"/>
          </w:tcPr>
          <w:p w14:paraId="7AD0A390" w14:textId="77777777" w:rsidR="00CF5047" w:rsidRPr="00A95CFB" w:rsidRDefault="00CF5047" w:rsidP="00CF5047">
            <w:pPr>
              <w:pStyle w:val="SP-SglSpPara"/>
              <w:ind w:firstLine="0"/>
              <w:jc w:val="right"/>
              <w:rPr>
                <w:sz w:val="24"/>
                <w:szCs w:val="24"/>
              </w:rPr>
            </w:pPr>
            <w:r w:rsidRPr="00156904">
              <w:rPr>
                <w:sz w:val="24"/>
                <w:szCs w:val="24"/>
              </w:rPr>
              <w:t>643</w:t>
            </w:r>
          </w:p>
        </w:tc>
      </w:tr>
      <w:tr w:rsidR="00CF5047" w:rsidRPr="00A95CFB" w14:paraId="5705B947" w14:textId="77777777" w:rsidTr="00156904">
        <w:tc>
          <w:tcPr>
            <w:tcW w:w="1885" w:type="dxa"/>
            <w:vMerge/>
          </w:tcPr>
          <w:p w14:paraId="27FB24E0" w14:textId="77777777" w:rsidR="00CF5047" w:rsidRPr="00A95CFB" w:rsidRDefault="00CF5047" w:rsidP="00CF5047">
            <w:pPr>
              <w:pStyle w:val="SP-SglSpPara"/>
              <w:ind w:firstLine="0"/>
              <w:jc w:val="right"/>
              <w:rPr>
                <w:sz w:val="24"/>
                <w:szCs w:val="24"/>
              </w:rPr>
            </w:pPr>
          </w:p>
        </w:tc>
        <w:tc>
          <w:tcPr>
            <w:tcW w:w="1890" w:type="dxa"/>
            <w:vAlign w:val="bottom"/>
          </w:tcPr>
          <w:p w14:paraId="68C27E8A" w14:textId="77777777" w:rsidR="00CF5047" w:rsidRPr="00A95CFB" w:rsidRDefault="00CF5047" w:rsidP="00CF5047">
            <w:pPr>
              <w:pStyle w:val="SP-SglSpPara"/>
              <w:ind w:firstLine="0"/>
              <w:jc w:val="right"/>
              <w:rPr>
                <w:sz w:val="24"/>
                <w:szCs w:val="24"/>
              </w:rPr>
            </w:pPr>
            <w:r w:rsidRPr="00156904">
              <w:rPr>
                <w:sz w:val="24"/>
                <w:szCs w:val="24"/>
              </w:rPr>
              <w:t>50-99</w:t>
            </w:r>
          </w:p>
        </w:tc>
        <w:tc>
          <w:tcPr>
            <w:tcW w:w="2070" w:type="dxa"/>
          </w:tcPr>
          <w:p w14:paraId="087D53D2" w14:textId="77777777" w:rsidR="00CF5047" w:rsidRPr="00A95CFB" w:rsidRDefault="00CF5047" w:rsidP="00CF5047">
            <w:pPr>
              <w:pStyle w:val="SP-SglSpPara"/>
              <w:ind w:firstLine="0"/>
              <w:jc w:val="right"/>
              <w:rPr>
                <w:sz w:val="24"/>
                <w:szCs w:val="24"/>
              </w:rPr>
            </w:pPr>
            <w:r w:rsidRPr="00156904">
              <w:rPr>
                <w:sz w:val="24"/>
                <w:szCs w:val="24"/>
              </w:rPr>
              <w:t>114</w:t>
            </w:r>
          </w:p>
        </w:tc>
        <w:tc>
          <w:tcPr>
            <w:tcW w:w="1530" w:type="dxa"/>
          </w:tcPr>
          <w:p w14:paraId="4B05510B" w14:textId="77777777" w:rsidR="00CF5047" w:rsidRPr="00A95CFB" w:rsidRDefault="00CF5047" w:rsidP="00CF5047">
            <w:pPr>
              <w:pStyle w:val="SP-SglSpPara"/>
              <w:ind w:firstLine="0"/>
              <w:jc w:val="right"/>
              <w:rPr>
                <w:sz w:val="24"/>
                <w:szCs w:val="24"/>
              </w:rPr>
            </w:pPr>
            <w:r w:rsidRPr="00156904">
              <w:rPr>
                <w:sz w:val="24"/>
                <w:szCs w:val="24"/>
              </w:rPr>
              <w:t>450</w:t>
            </w:r>
          </w:p>
        </w:tc>
        <w:tc>
          <w:tcPr>
            <w:tcW w:w="1800" w:type="dxa"/>
          </w:tcPr>
          <w:p w14:paraId="2602DDDA" w14:textId="77777777" w:rsidR="00CF5047" w:rsidRPr="00A95CFB" w:rsidRDefault="00CF5047" w:rsidP="00CF5047">
            <w:pPr>
              <w:pStyle w:val="SP-SglSpPara"/>
              <w:ind w:firstLine="0"/>
              <w:jc w:val="right"/>
              <w:rPr>
                <w:sz w:val="24"/>
                <w:szCs w:val="24"/>
              </w:rPr>
            </w:pPr>
            <w:r w:rsidRPr="00156904">
              <w:rPr>
                <w:sz w:val="24"/>
                <w:szCs w:val="24"/>
              </w:rPr>
              <w:t>326</w:t>
            </w:r>
          </w:p>
        </w:tc>
      </w:tr>
      <w:tr w:rsidR="00CF5047" w:rsidRPr="00A95CFB" w14:paraId="6C048C6A" w14:textId="77777777" w:rsidTr="00156904">
        <w:tc>
          <w:tcPr>
            <w:tcW w:w="1885" w:type="dxa"/>
            <w:vMerge/>
          </w:tcPr>
          <w:p w14:paraId="11A1C4C5" w14:textId="77777777" w:rsidR="00CF5047" w:rsidRPr="00A95CFB" w:rsidRDefault="00CF5047" w:rsidP="00CF5047">
            <w:pPr>
              <w:pStyle w:val="SP-SglSpPara"/>
              <w:ind w:firstLine="0"/>
              <w:jc w:val="right"/>
              <w:rPr>
                <w:sz w:val="24"/>
                <w:szCs w:val="24"/>
              </w:rPr>
            </w:pPr>
          </w:p>
        </w:tc>
        <w:tc>
          <w:tcPr>
            <w:tcW w:w="1890" w:type="dxa"/>
            <w:vAlign w:val="bottom"/>
          </w:tcPr>
          <w:p w14:paraId="0606633B" w14:textId="77777777" w:rsidR="00CF5047" w:rsidRPr="00A95CFB" w:rsidRDefault="00CF5047" w:rsidP="00CF5047">
            <w:pPr>
              <w:pStyle w:val="SP-SglSpPara"/>
              <w:ind w:firstLine="0"/>
              <w:jc w:val="right"/>
              <w:rPr>
                <w:sz w:val="24"/>
                <w:szCs w:val="24"/>
              </w:rPr>
            </w:pPr>
            <w:r w:rsidRPr="00156904">
              <w:rPr>
                <w:sz w:val="24"/>
                <w:szCs w:val="24"/>
              </w:rPr>
              <w:t>25-49</w:t>
            </w:r>
          </w:p>
        </w:tc>
        <w:tc>
          <w:tcPr>
            <w:tcW w:w="2070" w:type="dxa"/>
          </w:tcPr>
          <w:p w14:paraId="3E19819C" w14:textId="77777777" w:rsidR="00CF5047" w:rsidRPr="00A95CFB" w:rsidRDefault="00CF5047" w:rsidP="00CF5047">
            <w:pPr>
              <w:pStyle w:val="SP-SglSpPara"/>
              <w:ind w:firstLine="0"/>
              <w:jc w:val="right"/>
              <w:rPr>
                <w:sz w:val="24"/>
                <w:szCs w:val="24"/>
              </w:rPr>
            </w:pPr>
            <w:r w:rsidRPr="00156904">
              <w:rPr>
                <w:sz w:val="24"/>
                <w:szCs w:val="24"/>
              </w:rPr>
              <w:t>221</w:t>
            </w:r>
          </w:p>
        </w:tc>
        <w:tc>
          <w:tcPr>
            <w:tcW w:w="1530" w:type="dxa"/>
          </w:tcPr>
          <w:p w14:paraId="738E19D5" w14:textId="77777777" w:rsidR="00CF5047" w:rsidRPr="00A95CFB" w:rsidRDefault="00CF5047" w:rsidP="00CF5047">
            <w:pPr>
              <w:pStyle w:val="SP-SglSpPara"/>
              <w:ind w:firstLine="0"/>
              <w:jc w:val="right"/>
              <w:rPr>
                <w:sz w:val="24"/>
                <w:szCs w:val="24"/>
              </w:rPr>
            </w:pPr>
            <w:r w:rsidRPr="00156904">
              <w:rPr>
                <w:sz w:val="24"/>
                <w:szCs w:val="24"/>
              </w:rPr>
              <w:t>439</w:t>
            </w:r>
          </w:p>
        </w:tc>
        <w:tc>
          <w:tcPr>
            <w:tcW w:w="1800" w:type="dxa"/>
          </w:tcPr>
          <w:p w14:paraId="2D81EA41" w14:textId="77777777" w:rsidR="00CF5047" w:rsidRPr="00A95CFB" w:rsidRDefault="00CF5047" w:rsidP="00CF5047">
            <w:pPr>
              <w:pStyle w:val="SP-SglSpPara"/>
              <w:ind w:firstLine="0"/>
              <w:jc w:val="right"/>
              <w:rPr>
                <w:sz w:val="24"/>
                <w:szCs w:val="24"/>
              </w:rPr>
            </w:pPr>
            <w:r w:rsidRPr="00156904">
              <w:rPr>
                <w:sz w:val="24"/>
                <w:szCs w:val="24"/>
              </w:rPr>
              <w:t>321</w:t>
            </w:r>
          </w:p>
        </w:tc>
      </w:tr>
      <w:tr w:rsidR="00CF5047" w:rsidRPr="00A95CFB" w14:paraId="761DA9B2" w14:textId="77777777" w:rsidTr="00156904">
        <w:tc>
          <w:tcPr>
            <w:tcW w:w="1885" w:type="dxa"/>
            <w:vMerge/>
          </w:tcPr>
          <w:p w14:paraId="058B9F52" w14:textId="77777777" w:rsidR="00CF5047" w:rsidRPr="00A95CFB" w:rsidRDefault="00CF5047" w:rsidP="00CF5047">
            <w:pPr>
              <w:pStyle w:val="SP-SglSpPara"/>
              <w:ind w:firstLine="0"/>
              <w:jc w:val="right"/>
              <w:rPr>
                <w:sz w:val="24"/>
                <w:szCs w:val="24"/>
              </w:rPr>
            </w:pPr>
          </w:p>
        </w:tc>
        <w:tc>
          <w:tcPr>
            <w:tcW w:w="1890" w:type="dxa"/>
            <w:vAlign w:val="bottom"/>
          </w:tcPr>
          <w:p w14:paraId="586BB3FA" w14:textId="77777777" w:rsidR="00CF5047" w:rsidRPr="00A95CFB" w:rsidRDefault="00CF5047" w:rsidP="00CF5047">
            <w:pPr>
              <w:pStyle w:val="SP-SglSpPara"/>
              <w:ind w:firstLine="0"/>
              <w:jc w:val="right"/>
              <w:rPr>
                <w:sz w:val="24"/>
                <w:szCs w:val="24"/>
              </w:rPr>
            </w:pPr>
            <w:r w:rsidRPr="00156904">
              <w:rPr>
                <w:sz w:val="24"/>
                <w:szCs w:val="24"/>
              </w:rPr>
              <w:t>10-24</w:t>
            </w:r>
          </w:p>
        </w:tc>
        <w:tc>
          <w:tcPr>
            <w:tcW w:w="2070" w:type="dxa"/>
          </w:tcPr>
          <w:p w14:paraId="36E45796" w14:textId="77777777" w:rsidR="00CF5047" w:rsidRPr="00A95CFB" w:rsidRDefault="00CF5047" w:rsidP="00CF5047">
            <w:pPr>
              <w:pStyle w:val="SP-SglSpPara"/>
              <w:ind w:firstLine="0"/>
              <w:jc w:val="right"/>
              <w:rPr>
                <w:sz w:val="24"/>
                <w:szCs w:val="24"/>
              </w:rPr>
            </w:pPr>
            <w:r w:rsidRPr="00156904">
              <w:rPr>
                <w:sz w:val="24"/>
                <w:szCs w:val="24"/>
              </w:rPr>
              <w:t>443</w:t>
            </w:r>
          </w:p>
        </w:tc>
        <w:tc>
          <w:tcPr>
            <w:tcW w:w="1530" w:type="dxa"/>
          </w:tcPr>
          <w:p w14:paraId="7100E031" w14:textId="77777777" w:rsidR="00CF5047" w:rsidRPr="00A95CFB" w:rsidRDefault="00CF5047" w:rsidP="00CF5047">
            <w:pPr>
              <w:pStyle w:val="SP-SglSpPara"/>
              <w:ind w:firstLine="0"/>
              <w:jc w:val="right"/>
              <w:rPr>
                <w:sz w:val="24"/>
                <w:szCs w:val="24"/>
              </w:rPr>
            </w:pPr>
            <w:r w:rsidRPr="00156904">
              <w:rPr>
                <w:sz w:val="24"/>
                <w:szCs w:val="24"/>
              </w:rPr>
              <w:t>389</w:t>
            </w:r>
          </w:p>
        </w:tc>
        <w:tc>
          <w:tcPr>
            <w:tcW w:w="1800" w:type="dxa"/>
          </w:tcPr>
          <w:p w14:paraId="49A5BBAD" w14:textId="77777777" w:rsidR="00CF5047" w:rsidRPr="00A95CFB" w:rsidRDefault="00CF5047" w:rsidP="00CF5047">
            <w:pPr>
              <w:pStyle w:val="SP-SglSpPara"/>
              <w:ind w:firstLine="0"/>
              <w:jc w:val="right"/>
              <w:rPr>
                <w:sz w:val="24"/>
                <w:szCs w:val="24"/>
              </w:rPr>
            </w:pPr>
            <w:r w:rsidRPr="00156904">
              <w:rPr>
                <w:sz w:val="24"/>
                <w:szCs w:val="24"/>
              </w:rPr>
              <w:t>303</w:t>
            </w:r>
          </w:p>
        </w:tc>
      </w:tr>
      <w:tr w:rsidR="00CF5047" w:rsidRPr="00A95CFB" w14:paraId="205EACAA" w14:textId="77777777" w:rsidTr="00156904">
        <w:tc>
          <w:tcPr>
            <w:tcW w:w="1885" w:type="dxa"/>
            <w:vMerge/>
          </w:tcPr>
          <w:p w14:paraId="6B04074D" w14:textId="77777777" w:rsidR="00CF5047" w:rsidRPr="00A95CFB" w:rsidRDefault="00CF5047" w:rsidP="00CF5047">
            <w:pPr>
              <w:pStyle w:val="SP-SglSpPara"/>
              <w:ind w:firstLine="0"/>
              <w:jc w:val="right"/>
              <w:rPr>
                <w:sz w:val="24"/>
                <w:szCs w:val="24"/>
              </w:rPr>
            </w:pPr>
          </w:p>
        </w:tc>
        <w:tc>
          <w:tcPr>
            <w:tcW w:w="1890" w:type="dxa"/>
            <w:vAlign w:val="bottom"/>
          </w:tcPr>
          <w:p w14:paraId="1498F5B5" w14:textId="77777777" w:rsidR="00CF5047" w:rsidRPr="00A95CFB" w:rsidRDefault="00CF5047" w:rsidP="00CF5047">
            <w:pPr>
              <w:pStyle w:val="SP-SglSpPara"/>
              <w:ind w:firstLine="0"/>
              <w:jc w:val="right"/>
              <w:rPr>
                <w:sz w:val="24"/>
                <w:szCs w:val="24"/>
              </w:rPr>
            </w:pPr>
            <w:r w:rsidRPr="00156904">
              <w:rPr>
                <w:sz w:val="24"/>
                <w:szCs w:val="24"/>
              </w:rPr>
              <w:t>5-9</w:t>
            </w:r>
          </w:p>
        </w:tc>
        <w:tc>
          <w:tcPr>
            <w:tcW w:w="2070" w:type="dxa"/>
          </w:tcPr>
          <w:p w14:paraId="4B16E769" w14:textId="77777777" w:rsidR="00CF5047" w:rsidRPr="00A95CFB" w:rsidRDefault="00CF5047" w:rsidP="00CF5047">
            <w:pPr>
              <w:pStyle w:val="SP-SglSpPara"/>
              <w:ind w:firstLine="0"/>
              <w:jc w:val="right"/>
              <w:rPr>
                <w:sz w:val="24"/>
                <w:szCs w:val="24"/>
              </w:rPr>
            </w:pPr>
            <w:r w:rsidRPr="00156904">
              <w:rPr>
                <w:sz w:val="24"/>
                <w:szCs w:val="24"/>
              </w:rPr>
              <w:t>397</w:t>
            </w:r>
          </w:p>
        </w:tc>
        <w:tc>
          <w:tcPr>
            <w:tcW w:w="1530" w:type="dxa"/>
          </w:tcPr>
          <w:p w14:paraId="48B88BFF" w14:textId="77777777" w:rsidR="00CF5047" w:rsidRPr="00A95CFB" w:rsidRDefault="00CF5047" w:rsidP="00CF5047">
            <w:pPr>
              <w:pStyle w:val="SP-SglSpPara"/>
              <w:ind w:firstLine="0"/>
              <w:jc w:val="right"/>
              <w:rPr>
                <w:sz w:val="24"/>
                <w:szCs w:val="24"/>
              </w:rPr>
            </w:pPr>
            <w:r w:rsidRPr="00156904">
              <w:rPr>
                <w:sz w:val="24"/>
                <w:szCs w:val="24"/>
              </w:rPr>
              <w:t>152</w:t>
            </w:r>
          </w:p>
        </w:tc>
        <w:tc>
          <w:tcPr>
            <w:tcW w:w="1800" w:type="dxa"/>
          </w:tcPr>
          <w:p w14:paraId="6ADFA235" w14:textId="77777777" w:rsidR="00CF5047" w:rsidRPr="00A95CFB" w:rsidRDefault="00CF5047" w:rsidP="00CF5047">
            <w:pPr>
              <w:pStyle w:val="SP-SglSpPara"/>
              <w:ind w:firstLine="0"/>
              <w:jc w:val="right"/>
              <w:rPr>
                <w:sz w:val="24"/>
                <w:szCs w:val="24"/>
              </w:rPr>
            </w:pPr>
            <w:r w:rsidRPr="00156904">
              <w:rPr>
                <w:sz w:val="24"/>
                <w:szCs w:val="24"/>
              </w:rPr>
              <w:t>190</w:t>
            </w:r>
          </w:p>
        </w:tc>
      </w:tr>
      <w:tr w:rsidR="00CF5047" w:rsidRPr="00A95CFB" w14:paraId="36751799" w14:textId="77777777" w:rsidTr="00156904">
        <w:tc>
          <w:tcPr>
            <w:tcW w:w="1885" w:type="dxa"/>
            <w:vMerge/>
          </w:tcPr>
          <w:p w14:paraId="6B12AE54" w14:textId="77777777" w:rsidR="00CF5047" w:rsidRPr="00A95CFB" w:rsidRDefault="00CF5047" w:rsidP="00CF5047">
            <w:pPr>
              <w:pStyle w:val="SP-SglSpPara"/>
              <w:ind w:firstLine="0"/>
              <w:jc w:val="right"/>
              <w:rPr>
                <w:sz w:val="24"/>
                <w:szCs w:val="24"/>
              </w:rPr>
            </w:pPr>
          </w:p>
        </w:tc>
        <w:tc>
          <w:tcPr>
            <w:tcW w:w="1890" w:type="dxa"/>
            <w:vAlign w:val="bottom"/>
          </w:tcPr>
          <w:p w14:paraId="46B6ABAD" w14:textId="77777777" w:rsidR="00CF5047" w:rsidRPr="00A95CFB" w:rsidRDefault="00CF5047" w:rsidP="00CF5047">
            <w:pPr>
              <w:pStyle w:val="SP-SglSpPara"/>
              <w:ind w:firstLine="0"/>
              <w:jc w:val="right"/>
              <w:rPr>
                <w:sz w:val="24"/>
                <w:szCs w:val="24"/>
              </w:rPr>
            </w:pPr>
            <w:r w:rsidRPr="00156904">
              <w:rPr>
                <w:sz w:val="24"/>
                <w:szCs w:val="24"/>
              </w:rPr>
              <w:t>2-4</w:t>
            </w:r>
          </w:p>
        </w:tc>
        <w:tc>
          <w:tcPr>
            <w:tcW w:w="2070" w:type="dxa"/>
          </w:tcPr>
          <w:p w14:paraId="68E4D9B2" w14:textId="77777777" w:rsidR="00CF5047" w:rsidRPr="00A95CFB" w:rsidRDefault="00CF5047" w:rsidP="00CF5047">
            <w:pPr>
              <w:pStyle w:val="SP-SglSpPara"/>
              <w:ind w:firstLine="0"/>
              <w:jc w:val="right"/>
              <w:rPr>
                <w:sz w:val="24"/>
                <w:szCs w:val="24"/>
              </w:rPr>
            </w:pPr>
            <w:r w:rsidRPr="00156904">
              <w:rPr>
                <w:sz w:val="24"/>
                <w:szCs w:val="24"/>
              </w:rPr>
              <w:t>317</w:t>
            </w:r>
          </w:p>
        </w:tc>
        <w:tc>
          <w:tcPr>
            <w:tcW w:w="1530" w:type="dxa"/>
          </w:tcPr>
          <w:p w14:paraId="2E80774E" w14:textId="77777777" w:rsidR="00CF5047" w:rsidRPr="00A95CFB" w:rsidRDefault="00CF5047" w:rsidP="00CF5047">
            <w:pPr>
              <w:pStyle w:val="SP-SglSpPara"/>
              <w:ind w:firstLine="0"/>
              <w:jc w:val="right"/>
              <w:rPr>
                <w:sz w:val="24"/>
                <w:szCs w:val="24"/>
              </w:rPr>
            </w:pPr>
            <w:r w:rsidRPr="00156904">
              <w:rPr>
                <w:sz w:val="24"/>
                <w:szCs w:val="24"/>
              </w:rPr>
              <w:t>51</w:t>
            </w:r>
          </w:p>
        </w:tc>
        <w:tc>
          <w:tcPr>
            <w:tcW w:w="1800" w:type="dxa"/>
          </w:tcPr>
          <w:p w14:paraId="116DA58F" w14:textId="77777777" w:rsidR="00CF5047" w:rsidRPr="00A95CFB" w:rsidRDefault="00CF5047" w:rsidP="00CF5047">
            <w:pPr>
              <w:pStyle w:val="SP-SglSpPara"/>
              <w:ind w:firstLine="0"/>
              <w:jc w:val="right"/>
              <w:rPr>
                <w:sz w:val="24"/>
                <w:szCs w:val="24"/>
              </w:rPr>
            </w:pPr>
            <w:r w:rsidRPr="00156904">
              <w:rPr>
                <w:sz w:val="24"/>
                <w:szCs w:val="24"/>
              </w:rPr>
              <w:t>110</w:t>
            </w:r>
          </w:p>
        </w:tc>
      </w:tr>
      <w:tr w:rsidR="00CF5047" w:rsidRPr="00A95CFB" w14:paraId="37732F8C" w14:textId="77777777" w:rsidTr="00156904">
        <w:tc>
          <w:tcPr>
            <w:tcW w:w="1885" w:type="dxa"/>
            <w:vMerge/>
          </w:tcPr>
          <w:p w14:paraId="45170859" w14:textId="77777777" w:rsidR="00CF5047" w:rsidRPr="00A95CFB" w:rsidRDefault="00CF5047" w:rsidP="00CF5047">
            <w:pPr>
              <w:pStyle w:val="SP-SglSpPara"/>
              <w:ind w:firstLine="0"/>
              <w:jc w:val="right"/>
              <w:rPr>
                <w:sz w:val="24"/>
                <w:szCs w:val="24"/>
              </w:rPr>
            </w:pPr>
          </w:p>
        </w:tc>
        <w:tc>
          <w:tcPr>
            <w:tcW w:w="1890" w:type="dxa"/>
            <w:vAlign w:val="bottom"/>
          </w:tcPr>
          <w:p w14:paraId="1FA807EA" w14:textId="77777777" w:rsidR="00CF5047" w:rsidRPr="00A95CFB" w:rsidRDefault="00CF5047" w:rsidP="00CF5047">
            <w:pPr>
              <w:pStyle w:val="SP-SglSpPara"/>
              <w:ind w:firstLine="0"/>
              <w:jc w:val="right"/>
              <w:rPr>
                <w:sz w:val="24"/>
                <w:szCs w:val="24"/>
              </w:rPr>
            </w:pPr>
            <w:r w:rsidRPr="00156904">
              <w:rPr>
                <w:sz w:val="24"/>
                <w:szCs w:val="24"/>
              </w:rPr>
              <w:t>1</w:t>
            </w:r>
          </w:p>
        </w:tc>
        <w:tc>
          <w:tcPr>
            <w:tcW w:w="2070" w:type="dxa"/>
          </w:tcPr>
          <w:p w14:paraId="0C445DB9" w14:textId="77777777" w:rsidR="00CF5047" w:rsidRPr="00A95CFB" w:rsidRDefault="00CF5047" w:rsidP="00CF5047">
            <w:pPr>
              <w:pStyle w:val="SP-SglSpPara"/>
              <w:ind w:firstLine="0"/>
              <w:jc w:val="right"/>
              <w:rPr>
                <w:sz w:val="24"/>
                <w:szCs w:val="24"/>
              </w:rPr>
            </w:pPr>
            <w:r w:rsidRPr="00156904">
              <w:rPr>
                <w:sz w:val="24"/>
                <w:szCs w:val="24"/>
              </w:rPr>
              <w:t>140</w:t>
            </w:r>
          </w:p>
        </w:tc>
        <w:tc>
          <w:tcPr>
            <w:tcW w:w="1530" w:type="dxa"/>
          </w:tcPr>
          <w:p w14:paraId="35CC4126" w14:textId="77777777" w:rsidR="00CF5047" w:rsidRPr="00A95CFB" w:rsidRDefault="00CF5047" w:rsidP="00CF5047">
            <w:pPr>
              <w:pStyle w:val="SP-SglSpPara"/>
              <w:ind w:firstLine="0"/>
              <w:jc w:val="right"/>
              <w:rPr>
                <w:sz w:val="24"/>
                <w:szCs w:val="24"/>
              </w:rPr>
            </w:pPr>
            <w:r w:rsidRPr="00156904">
              <w:rPr>
                <w:sz w:val="24"/>
                <w:szCs w:val="24"/>
              </w:rPr>
              <w:t>8</w:t>
            </w:r>
          </w:p>
        </w:tc>
        <w:tc>
          <w:tcPr>
            <w:tcW w:w="1800" w:type="dxa"/>
          </w:tcPr>
          <w:p w14:paraId="77EC1875" w14:textId="77777777" w:rsidR="00CF5047" w:rsidRPr="00A95CFB" w:rsidRDefault="00CF5047" w:rsidP="00CF5047">
            <w:pPr>
              <w:pStyle w:val="SP-SglSpPara"/>
              <w:ind w:firstLine="0"/>
              <w:jc w:val="right"/>
              <w:rPr>
                <w:sz w:val="24"/>
                <w:szCs w:val="24"/>
              </w:rPr>
            </w:pPr>
            <w:r w:rsidRPr="00156904">
              <w:rPr>
                <w:sz w:val="24"/>
                <w:szCs w:val="24"/>
              </w:rPr>
              <w:t>43</w:t>
            </w:r>
          </w:p>
        </w:tc>
      </w:tr>
      <w:tr w:rsidR="00CF5047" w:rsidRPr="00A95CFB" w14:paraId="0BED0C5E" w14:textId="77777777" w:rsidTr="00156904">
        <w:tc>
          <w:tcPr>
            <w:tcW w:w="1885" w:type="dxa"/>
            <w:vMerge w:val="restart"/>
          </w:tcPr>
          <w:p w14:paraId="58F3EF31" w14:textId="77777777" w:rsidR="00CF5047" w:rsidRPr="00A95CFB" w:rsidRDefault="00CF5047" w:rsidP="00CF5047">
            <w:pPr>
              <w:pStyle w:val="SP-SglSpPara"/>
              <w:ind w:firstLine="0"/>
              <w:jc w:val="right"/>
              <w:rPr>
                <w:sz w:val="24"/>
                <w:szCs w:val="24"/>
              </w:rPr>
            </w:pPr>
            <w:r w:rsidRPr="00156904">
              <w:rPr>
                <w:sz w:val="24"/>
                <w:szCs w:val="24"/>
              </w:rPr>
              <w:t>Sheriff’s Office</w:t>
            </w:r>
          </w:p>
        </w:tc>
        <w:tc>
          <w:tcPr>
            <w:tcW w:w="1890" w:type="dxa"/>
            <w:vAlign w:val="bottom"/>
          </w:tcPr>
          <w:p w14:paraId="212C02C5" w14:textId="77777777" w:rsidR="00CF5047" w:rsidRPr="00A95CFB" w:rsidRDefault="00CF5047" w:rsidP="00CF5047">
            <w:pPr>
              <w:pStyle w:val="SP-SglSpPara"/>
              <w:ind w:firstLine="0"/>
              <w:jc w:val="right"/>
              <w:rPr>
                <w:sz w:val="24"/>
                <w:szCs w:val="24"/>
              </w:rPr>
            </w:pPr>
            <w:r w:rsidRPr="00156904">
              <w:rPr>
                <w:sz w:val="24"/>
                <w:szCs w:val="24"/>
              </w:rPr>
              <w:t>100+</w:t>
            </w:r>
          </w:p>
        </w:tc>
        <w:tc>
          <w:tcPr>
            <w:tcW w:w="2070" w:type="dxa"/>
          </w:tcPr>
          <w:p w14:paraId="3072FC7C" w14:textId="77777777" w:rsidR="00CF5047" w:rsidRPr="00A95CFB" w:rsidRDefault="00CF5047" w:rsidP="00CF5047">
            <w:pPr>
              <w:pStyle w:val="SP-SglSpPara"/>
              <w:ind w:firstLine="0"/>
              <w:jc w:val="right"/>
              <w:rPr>
                <w:sz w:val="24"/>
                <w:szCs w:val="24"/>
              </w:rPr>
            </w:pPr>
            <w:r w:rsidRPr="00156904">
              <w:rPr>
                <w:sz w:val="24"/>
                <w:szCs w:val="24"/>
              </w:rPr>
              <w:t>341</w:t>
            </w:r>
          </w:p>
        </w:tc>
        <w:tc>
          <w:tcPr>
            <w:tcW w:w="1530" w:type="dxa"/>
          </w:tcPr>
          <w:p w14:paraId="464CEE5F" w14:textId="77777777" w:rsidR="00CF5047" w:rsidRPr="00A95CFB" w:rsidRDefault="00CF5047" w:rsidP="00CF5047">
            <w:pPr>
              <w:pStyle w:val="SP-SglSpPara"/>
              <w:ind w:firstLine="0"/>
              <w:jc w:val="right"/>
              <w:rPr>
                <w:sz w:val="24"/>
                <w:szCs w:val="24"/>
              </w:rPr>
            </w:pPr>
            <w:r w:rsidRPr="00156904">
              <w:rPr>
                <w:sz w:val="24"/>
                <w:szCs w:val="24"/>
              </w:rPr>
              <w:t>341</w:t>
            </w:r>
          </w:p>
        </w:tc>
        <w:tc>
          <w:tcPr>
            <w:tcW w:w="1800" w:type="dxa"/>
          </w:tcPr>
          <w:p w14:paraId="10619DBD" w14:textId="77777777" w:rsidR="00CF5047" w:rsidRPr="00A95CFB" w:rsidRDefault="00CF5047" w:rsidP="00CF5047">
            <w:pPr>
              <w:pStyle w:val="SP-SglSpPara"/>
              <w:ind w:firstLine="0"/>
              <w:jc w:val="right"/>
              <w:rPr>
                <w:sz w:val="24"/>
                <w:szCs w:val="24"/>
              </w:rPr>
            </w:pPr>
            <w:r w:rsidRPr="00156904">
              <w:rPr>
                <w:sz w:val="24"/>
                <w:szCs w:val="24"/>
              </w:rPr>
              <w:t>341</w:t>
            </w:r>
          </w:p>
        </w:tc>
      </w:tr>
      <w:tr w:rsidR="00CF5047" w:rsidRPr="00A95CFB" w14:paraId="69752CF2" w14:textId="77777777" w:rsidTr="00156904">
        <w:tc>
          <w:tcPr>
            <w:tcW w:w="1885" w:type="dxa"/>
            <w:vMerge/>
          </w:tcPr>
          <w:p w14:paraId="2000282D" w14:textId="77777777" w:rsidR="00CF5047" w:rsidRPr="00A95CFB" w:rsidRDefault="00CF5047" w:rsidP="00CF5047">
            <w:pPr>
              <w:pStyle w:val="SP-SglSpPara"/>
              <w:ind w:firstLine="0"/>
              <w:jc w:val="right"/>
              <w:rPr>
                <w:sz w:val="24"/>
                <w:szCs w:val="24"/>
              </w:rPr>
            </w:pPr>
          </w:p>
        </w:tc>
        <w:tc>
          <w:tcPr>
            <w:tcW w:w="1890" w:type="dxa"/>
            <w:vAlign w:val="bottom"/>
          </w:tcPr>
          <w:p w14:paraId="4111F866" w14:textId="77777777" w:rsidR="00CF5047" w:rsidRPr="00A95CFB" w:rsidRDefault="00CF5047" w:rsidP="00CF5047">
            <w:pPr>
              <w:pStyle w:val="SP-SglSpPara"/>
              <w:ind w:firstLine="0"/>
              <w:jc w:val="right"/>
              <w:rPr>
                <w:sz w:val="24"/>
                <w:szCs w:val="24"/>
              </w:rPr>
            </w:pPr>
            <w:r w:rsidRPr="00156904">
              <w:rPr>
                <w:sz w:val="24"/>
                <w:szCs w:val="24"/>
              </w:rPr>
              <w:t>50-99</w:t>
            </w:r>
          </w:p>
        </w:tc>
        <w:tc>
          <w:tcPr>
            <w:tcW w:w="2070" w:type="dxa"/>
          </w:tcPr>
          <w:p w14:paraId="697347C7" w14:textId="77777777" w:rsidR="00CF5047" w:rsidRPr="00A95CFB" w:rsidRDefault="00CF5047" w:rsidP="00CF5047">
            <w:pPr>
              <w:pStyle w:val="SP-SglSpPara"/>
              <w:ind w:firstLine="0"/>
              <w:jc w:val="right"/>
              <w:rPr>
                <w:sz w:val="24"/>
                <w:szCs w:val="24"/>
              </w:rPr>
            </w:pPr>
            <w:r w:rsidRPr="00156904">
              <w:rPr>
                <w:sz w:val="24"/>
                <w:szCs w:val="24"/>
              </w:rPr>
              <w:t>46</w:t>
            </w:r>
          </w:p>
        </w:tc>
        <w:tc>
          <w:tcPr>
            <w:tcW w:w="1530" w:type="dxa"/>
          </w:tcPr>
          <w:p w14:paraId="06959E9F" w14:textId="77777777" w:rsidR="00CF5047" w:rsidRPr="00A95CFB" w:rsidRDefault="00CF5047" w:rsidP="00CF5047">
            <w:pPr>
              <w:pStyle w:val="SP-SglSpPara"/>
              <w:ind w:firstLine="0"/>
              <w:jc w:val="right"/>
              <w:rPr>
                <w:sz w:val="24"/>
                <w:szCs w:val="24"/>
              </w:rPr>
            </w:pPr>
            <w:r w:rsidRPr="00156904">
              <w:rPr>
                <w:sz w:val="24"/>
                <w:szCs w:val="24"/>
              </w:rPr>
              <w:t>187</w:t>
            </w:r>
          </w:p>
        </w:tc>
        <w:tc>
          <w:tcPr>
            <w:tcW w:w="1800" w:type="dxa"/>
          </w:tcPr>
          <w:p w14:paraId="34F300DF" w14:textId="77777777" w:rsidR="00CF5047" w:rsidRPr="00A95CFB" w:rsidRDefault="00CF5047" w:rsidP="00CF5047">
            <w:pPr>
              <w:pStyle w:val="SP-SglSpPara"/>
              <w:ind w:firstLine="0"/>
              <w:jc w:val="right"/>
              <w:rPr>
                <w:sz w:val="24"/>
                <w:szCs w:val="24"/>
              </w:rPr>
            </w:pPr>
            <w:r w:rsidRPr="00156904">
              <w:rPr>
                <w:sz w:val="24"/>
                <w:szCs w:val="24"/>
              </w:rPr>
              <w:t>210</w:t>
            </w:r>
          </w:p>
        </w:tc>
      </w:tr>
      <w:tr w:rsidR="00CF5047" w:rsidRPr="00A95CFB" w14:paraId="4CE4DA27" w14:textId="77777777" w:rsidTr="00156904">
        <w:tc>
          <w:tcPr>
            <w:tcW w:w="1885" w:type="dxa"/>
            <w:vMerge/>
          </w:tcPr>
          <w:p w14:paraId="4F4A3A1F" w14:textId="77777777" w:rsidR="00CF5047" w:rsidRPr="00A95CFB" w:rsidRDefault="00CF5047" w:rsidP="00CF5047">
            <w:pPr>
              <w:pStyle w:val="SP-SglSpPara"/>
              <w:ind w:firstLine="0"/>
              <w:jc w:val="right"/>
              <w:rPr>
                <w:sz w:val="24"/>
                <w:szCs w:val="24"/>
              </w:rPr>
            </w:pPr>
          </w:p>
        </w:tc>
        <w:tc>
          <w:tcPr>
            <w:tcW w:w="1890" w:type="dxa"/>
            <w:vAlign w:val="bottom"/>
          </w:tcPr>
          <w:p w14:paraId="6DA49AEA" w14:textId="77777777" w:rsidR="00CF5047" w:rsidRPr="00A95CFB" w:rsidRDefault="00CF5047" w:rsidP="00CF5047">
            <w:pPr>
              <w:pStyle w:val="SP-SglSpPara"/>
              <w:ind w:firstLine="0"/>
              <w:jc w:val="right"/>
              <w:rPr>
                <w:sz w:val="24"/>
                <w:szCs w:val="24"/>
              </w:rPr>
            </w:pPr>
            <w:r w:rsidRPr="00156904">
              <w:rPr>
                <w:sz w:val="24"/>
                <w:szCs w:val="24"/>
              </w:rPr>
              <w:t>25-49</w:t>
            </w:r>
          </w:p>
        </w:tc>
        <w:tc>
          <w:tcPr>
            <w:tcW w:w="2070" w:type="dxa"/>
          </w:tcPr>
          <w:p w14:paraId="5ED7F32D" w14:textId="77777777" w:rsidR="00CF5047" w:rsidRPr="00A95CFB" w:rsidRDefault="00CF5047" w:rsidP="00CF5047">
            <w:pPr>
              <w:pStyle w:val="SP-SglSpPara"/>
              <w:ind w:firstLine="0"/>
              <w:jc w:val="right"/>
              <w:rPr>
                <w:sz w:val="24"/>
                <w:szCs w:val="24"/>
              </w:rPr>
            </w:pPr>
            <w:r w:rsidRPr="00156904">
              <w:rPr>
                <w:sz w:val="24"/>
                <w:szCs w:val="24"/>
              </w:rPr>
              <w:t>79</w:t>
            </w:r>
          </w:p>
        </w:tc>
        <w:tc>
          <w:tcPr>
            <w:tcW w:w="1530" w:type="dxa"/>
          </w:tcPr>
          <w:p w14:paraId="1D98DC0B" w14:textId="77777777" w:rsidR="00CF5047" w:rsidRPr="00A95CFB" w:rsidRDefault="00CF5047" w:rsidP="00CF5047">
            <w:pPr>
              <w:pStyle w:val="SP-SglSpPara"/>
              <w:ind w:firstLine="0"/>
              <w:jc w:val="right"/>
              <w:rPr>
                <w:sz w:val="24"/>
                <w:szCs w:val="24"/>
              </w:rPr>
            </w:pPr>
            <w:r w:rsidRPr="00156904">
              <w:rPr>
                <w:sz w:val="24"/>
                <w:szCs w:val="24"/>
              </w:rPr>
              <w:t>155</w:t>
            </w:r>
          </w:p>
        </w:tc>
        <w:tc>
          <w:tcPr>
            <w:tcW w:w="1800" w:type="dxa"/>
          </w:tcPr>
          <w:p w14:paraId="0C3E4B8B" w14:textId="77777777" w:rsidR="00CF5047" w:rsidRPr="00A95CFB" w:rsidRDefault="00CF5047" w:rsidP="00CF5047">
            <w:pPr>
              <w:pStyle w:val="SP-SglSpPara"/>
              <w:ind w:firstLine="0"/>
              <w:jc w:val="right"/>
              <w:rPr>
                <w:sz w:val="24"/>
                <w:szCs w:val="24"/>
              </w:rPr>
            </w:pPr>
            <w:r w:rsidRPr="00156904">
              <w:rPr>
                <w:sz w:val="24"/>
                <w:szCs w:val="24"/>
              </w:rPr>
              <w:t>191</w:t>
            </w:r>
          </w:p>
        </w:tc>
      </w:tr>
      <w:tr w:rsidR="00CF5047" w:rsidRPr="00A95CFB" w14:paraId="2E62EA8A" w14:textId="77777777" w:rsidTr="00156904">
        <w:tc>
          <w:tcPr>
            <w:tcW w:w="1885" w:type="dxa"/>
            <w:vMerge/>
          </w:tcPr>
          <w:p w14:paraId="0291EF07" w14:textId="77777777" w:rsidR="00CF5047" w:rsidRPr="00A95CFB" w:rsidRDefault="00CF5047" w:rsidP="00CF5047">
            <w:pPr>
              <w:pStyle w:val="SP-SglSpPara"/>
              <w:ind w:firstLine="0"/>
              <w:jc w:val="right"/>
              <w:rPr>
                <w:sz w:val="24"/>
                <w:szCs w:val="24"/>
              </w:rPr>
            </w:pPr>
          </w:p>
        </w:tc>
        <w:tc>
          <w:tcPr>
            <w:tcW w:w="1890" w:type="dxa"/>
            <w:vAlign w:val="bottom"/>
          </w:tcPr>
          <w:p w14:paraId="338B7F63" w14:textId="77777777" w:rsidR="00CF5047" w:rsidRPr="00A95CFB" w:rsidRDefault="00CF5047" w:rsidP="00CF5047">
            <w:pPr>
              <w:pStyle w:val="SP-SglSpPara"/>
              <w:ind w:firstLine="0"/>
              <w:jc w:val="right"/>
              <w:rPr>
                <w:sz w:val="24"/>
                <w:szCs w:val="24"/>
              </w:rPr>
            </w:pPr>
            <w:r w:rsidRPr="00156904">
              <w:rPr>
                <w:sz w:val="24"/>
                <w:szCs w:val="24"/>
              </w:rPr>
              <w:t>10-24</w:t>
            </w:r>
          </w:p>
        </w:tc>
        <w:tc>
          <w:tcPr>
            <w:tcW w:w="2070" w:type="dxa"/>
          </w:tcPr>
          <w:p w14:paraId="09A2DA61" w14:textId="77777777" w:rsidR="00CF5047" w:rsidRPr="00A95CFB" w:rsidRDefault="00CF5047" w:rsidP="00CF5047">
            <w:pPr>
              <w:pStyle w:val="SP-SglSpPara"/>
              <w:ind w:firstLine="0"/>
              <w:jc w:val="right"/>
              <w:rPr>
                <w:sz w:val="24"/>
                <w:szCs w:val="24"/>
              </w:rPr>
            </w:pPr>
            <w:r w:rsidRPr="00156904">
              <w:rPr>
                <w:sz w:val="24"/>
                <w:szCs w:val="24"/>
              </w:rPr>
              <w:t>118</w:t>
            </w:r>
          </w:p>
        </w:tc>
        <w:tc>
          <w:tcPr>
            <w:tcW w:w="1530" w:type="dxa"/>
          </w:tcPr>
          <w:p w14:paraId="47A06473" w14:textId="77777777" w:rsidR="00CF5047" w:rsidRPr="00A95CFB" w:rsidRDefault="00CF5047" w:rsidP="00CF5047">
            <w:pPr>
              <w:pStyle w:val="SP-SglSpPara"/>
              <w:ind w:firstLine="0"/>
              <w:jc w:val="right"/>
              <w:rPr>
                <w:sz w:val="24"/>
                <w:szCs w:val="24"/>
              </w:rPr>
            </w:pPr>
            <w:r w:rsidRPr="00156904">
              <w:rPr>
                <w:sz w:val="24"/>
                <w:szCs w:val="24"/>
              </w:rPr>
              <w:t>107</w:t>
            </w:r>
          </w:p>
        </w:tc>
        <w:tc>
          <w:tcPr>
            <w:tcW w:w="1800" w:type="dxa"/>
          </w:tcPr>
          <w:p w14:paraId="6F3A65DE" w14:textId="77777777" w:rsidR="00CF5047" w:rsidRPr="00A95CFB" w:rsidRDefault="00CF5047" w:rsidP="00CF5047">
            <w:pPr>
              <w:pStyle w:val="SP-SglSpPara"/>
              <w:ind w:firstLine="0"/>
              <w:jc w:val="right"/>
              <w:rPr>
                <w:sz w:val="24"/>
                <w:szCs w:val="24"/>
              </w:rPr>
            </w:pPr>
            <w:r w:rsidRPr="00156904">
              <w:rPr>
                <w:sz w:val="24"/>
                <w:szCs w:val="24"/>
              </w:rPr>
              <w:t>159</w:t>
            </w:r>
          </w:p>
        </w:tc>
      </w:tr>
      <w:tr w:rsidR="00CF5047" w:rsidRPr="00A95CFB" w14:paraId="628C1D0C" w14:textId="77777777" w:rsidTr="00156904">
        <w:tc>
          <w:tcPr>
            <w:tcW w:w="1885" w:type="dxa"/>
            <w:vMerge/>
          </w:tcPr>
          <w:p w14:paraId="23CC7166" w14:textId="77777777" w:rsidR="00CF5047" w:rsidRPr="00A95CFB" w:rsidRDefault="00CF5047" w:rsidP="00CF5047">
            <w:pPr>
              <w:pStyle w:val="SP-SglSpPara"/>
              <w:ind w:firstLine="0"/>
              <w:jc w:val="right"/>
              <w:rPr>
                <w:sz w:val="24"/>
                <w:szCs w:val="24"/>
              </w:rPr>
            </w:pPr>
          </w:p>
        </w:tc>
        <w:tc>
          <w:tcPr>
            <w:tcW w:w="1890" w:type="dxa"/>
            <w:vAlign w:val="bottom"/>
          </w:tcPr>
          <w:p w14:paraId="7527118B" w14:textId="77777777" w:rsidR="00CF5047" w:rsidRPr="00A95CFB" w:rsidRDefault="00CF5047" w:rsidP="00CF5047">
            <w:pPr>
              <w:pStyle w:val="SP-SglSpPara"/>
              <w:ind w:firstLine="0"/>
              <w:jc w:val="right"/>
              <w:rPr>
                <w:sz w:val="24"/>
                <w:szCs w:val="24"/>
              </w:rPr>
            </w:pPr>
            <w:r w:rsidRPr="00156904">
              <w:rPr>
                <w:sz w:val="24"/>
                <w:szCs w:val="24"/>
              </w:rPr>
              <w:t>5-9</w:t>
            </w:r>
          </w:p>
        </w:tc>
        <w:tc>
          <w:tcPr>
            <w:tcW w:w="2070" w:type="dxa"/>
          </w:tcPr>
          <w:p w14:paraId="76D90A3D" w14:textId="77777777" w:rsidR="00CF5047" w:rsidRPr="00A95CFB" w:rsidRDefault="00CF5047" w:rsidP="00CF5047">
            <w:pPr>
              <w:pStyle w:val="SP-SglSpPara"/>
              <w:ind w:firstLine="0"/>
              <w:jc w:val="right"/>
              <w:rPr>
                <w:sz w:val="24"/>
                <w:szCs w:val="24"/>
              </w:rPr>
            </w:pPr>
            <w:r w:rsidRPr="00156904">
              <w:rPr>
                <w:sz w:val="24"/>
                <w:szCs w:val="24"/>
              </w:rPr>
              <w:t>66</w:t>
            </w:r>
          </w:p>
        </w:tc>
        <w:tc>
          <w:tcPr>
            <w:tcW w:w="1530" w:type="dxa"/>
          </w:tcPr>
          <w:p w14:paraId="7F6AB307" w14:textId="77777777" w:rsidR="00CF5047" w:rsidRPr="00A95CFB" w:rsidRDefault="00CF5047" w:rsidP="00CF5047">
            <w:pPr>
              <w:pStyle w:val="SP-SglSpPara"/>
              <w:ind w:firstLine="0"/>
              <w:jc w:val="right"/>
              <w:rPr>
                <w:sz w:val="24"/>
                <w:szCs w:val="24"/>
              </w:rPr>
            </w:pPr>
            <w:r w:rsidRPr="00156904">
              <w:rPr>
                <w:sz w:val="24"/>
                <w:szCs w:val="24"/>
              </w:rPr>
              <w:t>26</w:t>
            </w:r>
          </w:p>
        </w:tc>
        <w:tc>
          <w:tcPr>
            <w:tcW w:w="1800" w:type="dxa"/>
          </w:tcPr>
          <w:p w14:paraId="3B6310E6" w14:textId="77777777" w:rsidR="00CF5047" w:rsidRPr="00A95CFB" w:rsidRDefault="00CF5047" w:rsidP="00CF5047">
            <w:pPr>
              <w:pStyle w:val="SP-SglSpPara"/>
              <w:ind w:firstLine="0"/>
              <w:jc w:val="right"/>
              <w:rPr>
                <w:sz w:val="24"/>
                <w:szCs w:val="24"/>
              </w:rPr>
            </w:pPr>
            <w:r w:rsidRPr="00156904">
              <w:rPr>
                <w:sz w:val="24"/>
                <w:szCs w:val="24"/>
              </w:rPr>
              <w:t>78</w:t>
            </w:r>
          </w:p>
        </w:tc>
      </w:tr>
      <w:tr w:rsidR="00CF5047" w:rsidRPr="00A95CFB" w14:paraId="1969D227" w14:textId="77777777" w:rsidTr="00156904">
        <w:tc>
          <w:tcPr>
            <w:tcW w:w="1885" w:type="dxa"/>
            <w:vMerge/>
          </w:tcPr>
          <w:p w14:paraId="344338DD" w14:textId="77777777" w:rsidR="00CF5047" w:rsidRPr="00A95CFB" w:rsidRDefault="00CF5047" w:rsidP="00CF5047">
            <w:pPr>
              <w:pStyle w:val="SP-SglSpPara"/>
              <w:ind w:firstLine="0"/>
              <w:jc w:val="right"/>
              <w:rPr>
                <w:sz w:val="24"/>
                <w:szCs w:val="24"/>
              </w:rPr>
            </w:pPr>
          </w:p>
        </w:tc>
        <w:tc>
          <w:tcPr>
            <w:tcW w:w="1890" w:type="dxa"/>
            <w:vAlign w:val="bottom"/>
          </w:tcPr>
          <w:p w14:paraId="11E95885" w14:textId="77777777" w:rsidR="00CF5047" w:rsidRPr="00A95CFB" w:rsidRDefault="00CF5047" w:rsidP="00CF5047">
            <w:pPr>
              <w:pStyle w:val="SP-SglSpPara"/>
              <w:ind w:firstLine="0"/>
              <w:jc w:val="right"/>
              <w:rPr>
                <w:sz w:val="24"/>
                <w:szCs w:val="24"/>
              </w:rPr>
            </w:pPr>
            <w:r w:rsidRPr="00156904">
              <w:rPr>
                <w:sz w:val="24"/>
                <w:szCs w:val="24"/>
              </w:rPr>
              <w:t>2-4</w:t>
            </w:r>
          </w:p>
        </w:tc>
        <w:tc>
          <w:tcPr>
            <w:tcW w:w="2070" w:type="dxa"/>
          </w:tcPr>
          <w:p w14:paraId="3FF59ED0" w14:textId="77777777" w:rsidR="00CF5047" w:rsidRPr="00A95CFB" w:rsidRDefault="00CF5047" w:rsidP="00CF5047">
            <w:pPr>
              <w:pStyle w:val="SP-SglSpPara"/>
              <w:ind w:firstLine="0"/>
              <w:jc w:val="right"/>
              <w:rPr>
                <w:sz w:val="24"/>
                <w:szCs w:val="24"/>
              </w:rPr>
            </w:pPr>
            <w:r w:rsidRPr="00156904">
              <w:rPr>
                <w:sz w:val="24"/>
                <w:szCs w:val="24"/>
              </w:rPr>
              <w:t>27</w:t>
            </w:r>
          </w:p>
        </w:tc>
        <w:tc>
          <w:tcPr>
            <w:tcW w:w="1530" w:type="dxa"/>
          </w:tcPr>
          <w:p w14:paraId="4CDA69C1" w14:textId="77777777" w:rsidR="00CF5047" w:rsidRPr="00A95CFB" w:rsidRDefault="00CF5047" w:rsidP="00CF5047">
            <w:pPr>
              <w:pStyle w:val="SP-SglSpPara"/>
              <w:ind w:firstLine="0"/>
              <w:jc w:val="right"/>
              <w:rPr>
                <w:sz w:val="24"/>
                <w:szCs w:val="24"/>
              </w:rPr>
            </w:pPr>
            <w:r w:rsidRPr="00156904">
              <w:rPr>
                <w:sz w:val="24"/>
                <w:szCs w:val="24"/>
              </w:rPr>
              <w:t>5</w:t>
            </w:r>
          </w:p>
        </w:tc>
        <w:tc>
          <w:tcPr>
            <w:tcW w:w="1800" w:type="dxa"/>
          </w:tcPr>
          <w:p w14:paraId="7217E2EF" w14:textId="77777777" w:rsidR="00CF5047" w:rsidRPr="00A95CFB" w:rsidRDefault="00CF5047" w:rsidP="00CF5047">
            <w:pPr>
              <w:pStyle w:val="SP-SglSpPara"/>
              <w:ind w:firstLine="0"/>
              <w:jc w:val="right"/>
              <w:rPr>
                <w:sz w:val="24"/>
                <w:szCs w:val="24"/>
              </w:rPr>
            </w:pPr>
            <w:r w:rsidRPr="00156904">
              <w:rPr>
                <w:sz w:val="24"/>
                <w:szCs w:val="24"/>
              </w:rPr>
              <w:t>34</w:t>
            </w:r>
          </w:p>
        </w:tc>
      </w:tr>
      <w:tr w:rsidR="00CF5047" w:rsidRPr="00A95CFB" w14:paraId="7C872571" w14:textId="77777777" w:rsidTr="00156904">
        <w:tc>
          <w:tcPr>
            <w:tcW w:w="1885" w:type="dxa"/>
            <w:vMerge/>
          </w:tcPr>
          <w:p w14:paraId="0BAFE83B" w14:textId="77777777" w:rsidR="00CF5047" w:rsidRPr="00A95CFB" w:rsidRDefault="00CF5047" w:rsidP="00CF5047">
            <w:pPr>
              <w:pStyle w:val="SP-SglSpPara"/>
              <w:ind w:firstLine="0"/>
              <w:jc w:val="right"/>
              <w:rPr>
                <w:sz w:val="24"/>
                <w:szCs w:val="24"/>
              </w:rPr>
            </w:pPr>
          </w:p>
        </w:tc>
        <w:tc>
          <w:tcPr>
            <w:tcW w:w="1890" w:type="dxa"/>
            <w:vAlign w:val="bottom"/>
          </w:tcPr>
          <w:p w14:paraId="766CCC8A" w14:textId="77777777" w:rsidR="00CF5047" w:rsidRPr="00A95CFB" w:rsidRDefault="00CF5047" w:rsidP="00CF5047">
            <w:pPr>
              <w:pStyle w:val="SP-SglSpPara"/>
              <w:ind w:firstLine="0"/>
              <w:jc w:val="right"/>
              <w:rPr>
                <w:sz w:val="24"/>
                <w:szCs w:val="24"/>
              </w:rPr>
            </w:pPr>
            <w:r w:rsidRPr="00156904">
              <w:rPr>
                <w:sz w:val="24"/>
                <w:szCs w:val="24"/>
              </w:rPr>
              <w:t>1</w:t>
            </w:r>
          </w:p>
        </w:tc>
        <w:tc>
          <w:tcPr>
            <w:tcW w:w="2070" w:type="dxa"/>
          </w:tcPr>
          <w:p w14:paraId="46EFB14F" w14:textId="77777777" w:rsidR="00CF5047" w:rsidRPr="00A95CFB" w:rsidRDefault="00CF5047" w:rsidP="00CF5047">
            <w:pPr>
              <w:pStyle w:val="SP-SglSpPara"/>
              <w:ind w:firstLine="0"/>
              <w:jc w:val="right"/>
              <w:rPr>
                <w:sz w:val="24"/>
                <w:szCs w:val="24"/>
              </w:rPr>
            </w:pPr>
            <w:r w:rsidRPr="00156904">
              <w:rPr>
                <w:sz w:val="24"/>
                <w:szCs w:val="24"/>
              </w:rPr>
              <w:t>3</w:t>
            </w:r>
          </w:p>
        </w:tc>
        <w:tc>
          <w:tcPr>
            <w:tcW w:w="1530" w:type="dxa"/>
          </w:tcPr>
          <w:p w14:paraId="7472022E" w14:textId="77777777" w:rsidR="00CF5047" w:rsidRPr="00A95CFB" w:rsidRDefault="00CF5047" w:rsidP="00CF5047">
            <w:pPr>
              <w:pStyle w:val="SP-SglSpPara"/>
              <w:ind w:firstLine="0"/>
              <w:jc w:val="right"/>
              <w:rPr>
                <w:sz w:val="24"/>
                <w:szCs w:val="24"/>
              </w:rPr>
            </w:pPr>
            <w:r w:rsidRPr="00156904">
              <w:rPr>
                <w:sz w:val="24"/>
                <w:szCs w:val="24"/>
              </w:rPr>
              <w:t>2</w:t>
            </w:r>
          </w:p>
        </w:tc>
        <w:tc>
          <w:tcPr>
            <w:tcW w:w="1800" w:type="dxa"/>
          </w:tcPr>
          <w:p w14:paraId="54CAA0C9" w14:textId="77777777" w:rsidR="00CF5047" w:rsidRPr="00A95CFB" w:rsidRDefault="00CF5047" w:rsidP="00CF5047">
            <w:pPr>
              <w:pStyle w:val="SP-SglSpPara"/>
              <w:ind w:firstLine="0"/>
              <w:jc w:val="right"/>
              <w:rPr>
                <w:sz w:val="24"/>
                <w:szCs w:val="24"/>
              </w:rPr>
            </w:pPr>
            <w:r w:rsidRPr="00156904">
              <w:rPr>
                <w:sz w:val="24"/>
                <w:szCs w:val="24"/>
              </w:rPr>
              <w:t>6</w:t>
            </w:r>
          </w:p>
        </w:tc>
      </w:tr>
      <w:tr w:rsidR="00CF5047" w:rsidRPr="00A95CFB" w14:paraId="2662FE6B" w14:textId="77777777" w:rsidTr="00156904">
        <w:tc>
          <w:tcPr>
            <w:tcW w:w="1885" w:type="dxa"/>
          </w:tcPr>
          <w:p w14:paraId="67B46BDD" w14:textId="77777777" w:rsidR="00CF5047" w:rsidRPr="00A95CFB" w:rsidRDefault="00CF5047" w:rsidP="00CF5047">
            <w:pPr>
              <w:pStyle w:val="SP-SglSpPara"/>
              <w:ind w:firstLine="0"/>
              <w:jc w:val="right"/>
              <w:rPr>
                <w:sz w:val="24"/>
                <w:szCs w:val="24"/>
              </w:rPr>
            </w:pPr>
            <w:r w:rsidRPr="00156904">
              <w:rPr>
                <w:sz w:val="24"/>
                <w:szCs w:val="24"/>
              </w:rPr>
              <w:t>State Police</w:t>
            </w:r>
          </w:p>
        </w:tc>
        <w:tc>
          <w:tcPr>
            <w:tcW w:w="1890" w:type="dxa"/>
          </w:tcPr>
          <w:p w14:paraId="0F9AFB65" w14:textId="77777777" w:rsidR="00CF5047" w:rsidRPr="00A95CFB" w:rsidRDefault="00CF5047" w:rsidP="00CF5047">
            <w:pPr>
              <w:pStyle w:val="SP-SglSpPara"/>
              <w:ind w:firstLine="0"/>
              <w:jc w:val="right"/>
              <w:rPr>
                <w:sz w:val="24"/>
                <w:szCs w:val="24"/>
              </w:rPr>
            </w:pPr>
            <w:r w:rsidRPr="00156904">
              <w:rPr>
                <w:sz w:val="24"/>
                <w:szCs w:val="24"/>
              </w:rPr>
              <w:t>All</w:t>
            </w:r>
          </w:p>
        </w:tc>
        <w:tc>
          <w:tcPr>
            <w:tcW w:w="2070" w:type="dxa"/>
          </w:tcPr>
          <w:p w14:paraId="47AAF9B4" w14:textId="77777777" w:rsidR="00CF5047" w:rsidRPr="00A95CFB" w:rsidRDefault="00CF5047" w:rsidP="00CF5047">
            <w:pPr>
              <w:pStyle w:val="SP-SglSpPara"/>
              <w:ind w:firstLine="0"/>
              <w:jc w:val="right"/>
              <w:rPr>
                <w:sz w:val="24"/>
                <w:szCs w:val="24"/>
              </w:rPr>
            </w:pPr>
            <w:r w:rsidRPr="00156904">
              <w:rPr>
                <w:sz w:val="24"/>
                <w:szCs w:val="24"/>
              </w:rPr>
              <w:t>45</w:t>
            </w:r>
          </w:p>
        </w:tc>
        <w:tc>
          <w:tcPr>
            <w:tcW w:w="1530" w:type="dxa"/>
          </w:tcPr>
          <w:p w14:paraId="053A4815" w14:textId="77777777" w:rsidR="00CF5047" w:rsidRPr="00A95CFB" w:rsidRDefault="00CF5047" w:rsidP="00CF5047">
            <w:pPr>
              <w:pStyle w:val="SP-SglSpPara"/>
              <w:ind w:firstLine="0"/>
              <w:jc w:val="right"/>
              <w:rPr>
                <w:sz w:val="24"/>
                <w:szCs w:val="24"/>
              </w:rPr>
            </w:pPr>
            <w:r w:rsidRPr="00156904">
              <w:rPr>
                <w:sz w:val="24"/>
                <w:szCs w:val="24"/>
              </w:rPr>
              <w:t>45</w:t>
            </w:r>
          </w:p>
        </w:tc>
        <w:tc>
          <w:tcPr>
            <w:tcW w:w="1800" w:type="dxa"/>
          </w:tcPr>
          <w:p w14:paraId="27EC115E" w14:textId="77777777" w:rsidR="00CF5047" w:rsidRPr="00A95CFB" w:rsidRDefault="00CF5047" w:rsidP="00CF5047">
            <w:pPr>
              <w:pStyle w:val="SP-SglSpPara"/>
              <w:ind w:firstLine="0"/>
              <w:jc w:val="right"/>
              <w:rPr>
                <w:sz w:val="24"/>
                <w:szCs w:val="24"/>
              </w:rPr>
            </w:pPr>
            <w:r w:rsidRPr="00156904">
              <w:rPr>
                <w:sz w:val="24"/>
                <w:szCs w:val="24"/>
              </w:rPr>
              <w:t>45</w:t>
            </w:r>
          </w:p>
        </w:tc>
      </w:tr>
    </w:tbl>
    <w:p w14:paraId="3EC71C59" w14:textId="77777777" w:rsidR="00CC4A2E" w:rsidRPr="00C06CDB" w:rsidRDefault="00CC4A2E" w:rsidP="00CC4A2E">
      <w:pPr>
        <w:pStyle w:val="SP-SglSpPara"/>
        <w:tabs>
          <w:tab w:val="clear" w:pos="576"/>
          <w:tab w:val="left" w:pos="90"/>
        </w:tabs>
        <w:ind w:right="-720" w:firstLine="0"/>
        <w:jc w:val="left"/>
        <w:rPr>
          <w:sz w:val="20"/>
        </w:rPr>
      </w:pPr>
      <w:proofErr w:type="gramStart"/>
      <w:r w:rsidRPr="00C06CDB">
        <w:rPr>
          <w:vertAlign w:val="superscript"/>
        </w:rPr>
        <w:t>a</w:t>
      </w:r>
      <w:proofErr w:type="gramEnd"/>
      <w:r>
        <w:rPr>
          <w:vertAlign w:val="superscript"/>
        </w:rPr>
        <w:t xml:space="preserve"> </w:t>
      </w:r>
      <w:r w:rsidRPr="00C06CDB">
        <w:rPr>
          <w:sz w:val="20"/>
        </w:rPr>
        <w:t xml:space="preserve">Number of </w:t>
      </w:r>
      <w:r>
        <w:rPr>
          <w:sz w:val="20"/>
        </w:rPr>
        <w:t>full-time equivalent officers.</w:t>
      </w:r>
    </w:p>
    <w:p w14:paraId="77975520" w14:textId="77777777" w:rsidR="00F84BA4" w:rsidRDefault="00F84BA4" w:rsidP="00F84BA4">
      <w:pPr>
        <w:pStyle w:val="SP-SglSpPara"/>
        <w:ind w:firstLine="0"/>
        <w:jc w:val="left"/>
        <w:rPr>
          <w:sz w:val="24"/>
          <w:szCs w:val="24"/>
        </w:rPr>
      </w:pPr>
      <w:r>
        <w:rPr>
          <w:sz w:val="24"/>
          <w:szCs w:val="24"/>
        </w:rPr>
        <w:lastRenderedPageBreak/>
        <w:t xml:space="preserve">To compare the allocations, the relative standard error (RSE) is computed for each estimate, </w:t>
      </w:r>
      <w:r w:rsidRPr="001802FC">
        <w:rPr>
          <w:sz w:val="24"/>
          <w:szCs w:val="24"/>
        </w:rPr>
        <w:t>where the RSE is the ratio of a measure and its standard error</w:t>
      </w:r>
      <w:r>
        <w:rPr>
          <w:sz w:val="24"/>
          <w:szCs w:val="24"/>
        </w:rPr>
        <w:t xml:space="preserve"> (</w:t>
      </w:r>
      <w:r w:rsidRPr="00156904">
        <w:rPr>
          <w:b/>
          <w:sz w:val="24"/>
          <w:szCs w:val="24"/>
        </w:rPr>
        <w:t>Table 8</w:t>
      </w:r>
      <w:r>
        <w:rPr>
          <w:sz w:val="24"/>
          <w:szCs w:val="24"/>
        </w:rPr>
        <w:t>)</w:t>
      </w:r>
      <w:r w:rsidRPr="001802FC">
        <w:rPr>
          <w:sz w:val="24"/>
          <w:szCs w:val="24"/>
        </w:rPr>
        <w:t xml:space="preserve">. RSE is a standardized measure of precision regardless of estimate value. </w:t>
      </w:r>
      <w:r>
        <w:rPr>
          <w:sz w:val="24"/>
          <w:szCs w:val="24"/>
        </w:rPr>
        <w:t>While none of the allocations is best for all measures, the allocation proportional to the number of agencies is chosen</w:t>
      </w:r>
      <w:r w:rsidR="00E77256">
        <w:rPr>
          <w:sz w:val="24"/>
          <w:szCs w:val="24"/>
        </w:rPr>
        <w:t>,</w:t>
      </w:r>
      <w:r>
        <w:rPr>
          <w:sz w:val="24"/>
          <w:szCs w:val="24"/>
        </w:rPr>
        <w:t xml:space="preserve"> as it is the best when there are the largest differences – namely for percent female officers and body worn camera usage.</w:t>
      </w:r>
    </w:p>
    <w:p w14:paraId="03A9A1D1" w14:textId="77777777" w:rsidR="00F84BA4" w:rsidRPr="009D445A" w:rsidRDefault="00F84BA4" w:rsidP="00F84901">
      <w:pPr>
        <w:pStyle w:val="SP-SglSpPara"/>
        <w:ind w:firstLine="0"/>
        <w:jc w:val="left"/>
        <w:rPr>
          <w:rFonts w:eastAsia="Calibri"/>
          <w:b/>
          <w:bCs/>
          <w:sz w:val="24"/>
          <w:szCs w:val="24"/>
        </w:rPr>
      </w:pPr>
    </w:p>
    <w:p w14:paraId="1DB185B3" w14:textId="5AFC5161" w:rsidR="009D445A" w:rsidRPr="009D445A" w:rsidRDefault="009D445A" w:rsidP="009D445A">
      <w:pPr>
        <w:pStyle w:val="Caption"/>
        <w:keepNext/>
        <w:rPr>
          <w:rFonts w:ascii="Times New Roman" w:eastAsia="Calibri" w:hAnsi="Times New Roman" w:cs="Times New Roman"/>
          <w:b/>
          <w:bCs/>
          <w:i w:val="0"/>
          <w:iCs w:val="0"/>
          <w:color w:val="auto"/>
          <w:sz w:val="24"/>
          <w:szCs w:val="24"/>
        </w:rPr>
      </w:pPr>
      <w:r w:rsidRPr="009D445A">
        <w:rPr>
          <w:rFonts w:ascii="Times New Roman" w:eastAsia="Calibri" w:hAnsi="Times New Roman" w:cs="Times New Roman"/>
          <w:b/>
          <w:bCs/>
          <w:i w:val="0"/>
          <w:iCs w:val="0"/>
          <w:color w:val="auto"/>
          <w:sz w:val="24"/>
          <w:szCs w:val="24"/>
        </w:rPr>
        <w:t xml:space="preserve">Table </w:t>
      </w:r>
      <w:r w:rsidR="00F84BA4">
        <w:rPr>
          <w:rFonts w:ascii="Times New Roman" w:eastAsia="Calibri" w:hAnsi="Times New Roman" w:cs="Times New Roman"/>
          <w:b/>
          <w:bCs/>
          <w:i w:val="0"/>
          <w:iCs w:val="0"/>
          <w:color w:val="auto"/>
          <w:sz w:val="24"/>
          <w:szCs w:val="24"/>
        </w:rPr>
        <w:t>8</w:t>
      </w:r>
      <w:r w:rsidRPr="009D445A">
        <w:rPr>
          <w:rFonts w:ascii="Times New Roman" w:eastAsia="Calibri" w:hAnsi="Times New Roman" w:cs="Times New Roman"/>
          <w:b/>
          <w:bCs/>
          <w:i w:val="0"/>
          <w:iCs w:val="0"/>
          <w:color w:val="auto"/>
          <w:sz w:val="24"/>
          <w:szCs w:val="24"/>
        </w:rPr>
        <w:t>: RSE of estimates for each sample allocation</w:t>
      </w:r>
      <w:r w:rsidR="00F84BA4">
        <w:rPr>
          <w:rFonts w:ascii="Times New Roman" w:eastAsia="Calibri" w:hAnsi="Times New Roman" w:cs="Times New Roman"/>
          <w:b/>
          <w:bCs/>
          <w:i w:val="0"/>
          <w:iCs w:val="0"/>
          <w:color w:val="auto"/>
          <w:sz w:val="24"/>
          <w:szCs w:val="24"/>
        </w:rPr>
        <w:t>, 2016 LEMAS</w:t>
      </w:r>
    </w:p>
    <w:tbl>
      <w:tblPr>
        <w:tblStyle w:val="TableGrid"/>
        <w:tblW w:w="9715" w:type="dxa"/>
        <w:tblLayout w:type="fixed"/>
        <w:tblLook w:val="04A0" w:firstRow="1" w:lastRow="0" w:firstColumn="1" w:lastColumn="0" w:noHBand="0" w:noVBand="1"/>
      </w:tblPr>
      <w:tblGrid>
        <w:gridCol w:w="1975"/>
        <w:gridCol w:w="1260"/>
        <w:gridCol w:w="1072"/>
        <w:gridCol w:w="1538"/>
        <w:gridCol w:w="1350"/>
        <w:gridCol w:w="1350"/>
        <w:gridCol w:w="1170"/>
      </w:tblGrid>
      <w:tr w:rsidR="00C502B5" w:rsidRPr="002E1515" w14:paraId="62CD3E40" w14:textId="77777777" w:rsidTr="00156904">
        <w:tc>
          <w:tcPr>
            <w:tcW w:w="1975" w:type="dxa"/>
            <w:shd w:val="clear" w:color="auto" w:fill="C6D9F1" w:themeFill="text2" w:themeFillTint="33"/>
            <w:vAlign w:val="center"/>
          </w:tcPr>
          <w:p w14:paraId="3E62F566" w14:textId="77777777" w:rsidR="00C502B5" w:rsidRDefault="00C502B5" w:rsidP="00226164">
            <w:pPr>
              <w:jc w:val="center"/>
            </w:pPr>
            <w:r>
              <w:t>Allocation</w:t>
            </w:r>
          </w:p>
        </w:tc>
        <w:tc>
          <w:tcPr>
            <w:tcW w:w="1260" w:type="dxa"/>
            <w:shd w:val="clear" w:color="auto" w:fill="C6D9F1" w:themeFill="text2" w:themeFillTint="33"/>
            <w:vAlign w:val="center"/>
          </w:tcPr>
          <w:p w14:paraId="756D2DEE" w14:textId="77777777" w:rsidR="00C502B5" w:rsidRDefault="00C502B5" w:rsidP="009D445A">
            <w:pPr>
              <w:jc w:val="center"/>
            </w:pPr>
            <w:r>
              <w:t>Budget</w:t>
            </w:r>
          </w:p>
        </w:tc>
        <w:tc>
          <w:tcPr>
            <w:tcW w:w="1072" w:type="dxa"/>
            <w:shd w:val="clear" w:color="auto" w:fill="C6D9F1" w:themeFill="text2" w:themeFillTint="33"/>
            <w:vAlign w:val="center"/>
          </w:tcPr>
          <w:p w14:paraId="78880888" w14:textId="77777777" w:rsidR="00C502B5" w:rsidRDefault="00C502B5" w:rsidP="00226164">
            <w:pPr>
              <w:jc w:val="center"/>
            </w:pPr>
            <w:r>
              <w:t>BWC Usage</w:t>
            </w:r>
          </w:p>
        </w:tc>
        <w:tc>
          <w:tcPr>
            <w:tcW w:w="1538" w:type="dxa"/>
            <w:shd w:val="clear" w:color="auto" w:fill="C6D9F1" w:themeFill="text2" w:themeFillTint="33"/>
            <w:vAlign w:val="center"/>
          </w:tcPr>
          <w:p w14:paraId="15BC3A07" w14:textId="77777777" w:rsidR="00C502B5" w:rsidRDefault="00C502B5" w:rsidP="00226164">
            <w:pPr>
              <w:jc w:val="center"/>
            </w:pPr>
            <w:r>
              <w:t>Community Policing</w:t>
            </w:r>
          </w:p>
        </w:tc>
        <w:tc>
          <w:tcPr>
            <w:tcW w:w="1350" w:type="dxa"/>
            <w:shd w:val="clear" w:color="auto" w:fill="C6D9F1" w:themeFill="text2" w:themeFillTint="33"/>
          </w:tcPr>
          <w:p w14:paraId="710AD251" w14:textId="77777777" w:rsidR="00C502B5" w:rsidRDefault="00C502B5" w:rsidP="00226164">
            <w:pPr>
              <w:jc w:val="center"/>
            </w:pPr>
            <w:r>
              <w:t>Number FTS Officers</w:t>
            </w:r>
          </w:p>
        </w:tc>
        <w:tc>
          <w:tcPr>
            <w:tcW w:w="1350" w:type="dxa"/>
            <w:shd w:val="clear" w:color="auto" w:fill="C6D9F1" w:themeFill="text2" w:themeFillTint="33"/>
            <w:vAlign w:val="center"/>
          </w:tcPr>
          <w:p w14:paraId="47335AF9" w14:textId="77777777" w:rsidR="00C502B5" w:rsidRDefault="00C502B5" w:rsidP="00226164">
            <w:pPr>
              <w:jc w:val="center"/>
            </w:pPr>
            <w:r>
              <w:t>Number FTNS Officers</w:t>
            </w:r>
          </w:p>
        </w:tc>
        <w:tc>
          <w:tcPr>
            <w:tcW w:w="1170" w:type="dxa"/>
            <w:shd w:val="clear" w:color="auto" w:fill="C6D9F1" w:themeFill="text2" w:themeFillTint="33"/>
            <w:vAlign w:val="center"/>
          </w:tcPr>
          <w:p w14:paraId="1835CB84" w14:textId="77777777" w:rsidR="00C502B5" w:rsidRDefault="00C502B5" w:rsidP="00226164">
            <w:pPr>
              <w:jc w:val="center"/>
            </w:pPr>
            <w:r>
              <w:t>Female Officers</w:t>
            </w:r>
          </w:p>
        </w:tc>
      </w:tr>
      <w:tr w:rsidR="00C502B5" w:rsidRPr="002E1515" w14:paraId="3A9B9397" w14:textId="77777777" w:rsidTr="00156904">
        <w:trPr>
          <w:trHeight w:val="107"/>
        </w:trPr>
        <w:tc>
          <w:tcPr>
            <w:tcW w:w="1975" w:type="dxa"/>
            <w:vAlign w:val="bottom"/>
          </w:tcPr>
          <w:p w14:paraId="76D9F909" w14:textId="77777777" w:rsidR="00C502B5" w:rsidRPr="002E1515" w:rsidRDefault="00C502B5" w:rsidP="009D445A">
            <w:pPr>
              <w:jc w:val="right"/>
            </w:pPr>
            <w:r>
              <w:t>Agencies</w:t>
            </w:r>
            <w:r w:rsidRPr="00BC4E11">
              <w:t xml:space="preserve"> </w:t>
            </w:r>
          </w:p>
        </w:tc>
        <w:tc>
          <w:tcPr>
            <w:tcW w:w="1260" w:type="dxa"/>
          </w:tcPr>
          <w:p w14:paraId="2333BBAB" w14:textId="77777777" w:rsidR="00C502B5" w:rsidRPr="00E8403D" w:rsidRDefault="00C502B5" w:rsidP="009D445A">
            <w:pPr>
              <w:tabs>
                <w:tab w:val="right" w:pos="1062"/>
              </w:tabs>
            </w:pPr>
            <w:r>
              <w:t>2.0%</w:t>
            </w:r>
          </w:p>
        </w:tc>
        <w:tc>
          <w:tcPr>
            <w:tcW w:w="1072" w:type="dxa"/>
          </w:tcPr>
          <w:p w14:paraId="12B34A18" w14:textId="77777777" w:rsidR="00C502B5" w:rsidRPr="00BC4E11" w:rsidRDefault="00C502B5" w:rsidP="009D445A">
            <w:pPr>
              <w:jc w:val="right"/>
            </w:pPr>
            <w:r>
              <w:t>2.9%</w:t>
            </w:r>
          </w:p>
        </w:tc>
        <w:tc>
          <w:tcPr>
            <w:tcW w:w="1538" w:type="dxa"/>
          </w:tcPr>
          <w:p w14:paraId="032E2C53" w14:textId="77777777" w:rsidR="00C502B5" w:rsidRPr="002E1515" w:rsidRDefault="00C502B5" w:rsidP="009D445A">
            <w:pPr>
              <w:jc w:val="right"/>
            </w:pPr>
            <w:r>
              <w:t>1.3%</w:t>
            </w:r>
          </w:p>
        </w:tc>
        <w:tc>
          <w:tcPr>
            <w:tcW w:w="1350" w:type="dxa"/>
          </w:tcPr>
          <w:p w14:paraId="1D672912" w14:textId="77777777" w:rsidR="00C502B5" w:rsidRDefault="00D41267" w:rsidP="009D445A">
            <w:pPr>
              <w:jc w:val="right"/>
            </w:pPr>
            <w:r>
              <w:t>1.5%</w:t>
            </w:r>
          </w:p>
        </w:tc>
        <w:tc>
          <w:tcPr>
            <w:tcW w:w="1350" w:type="dxa"/>
          </w:tcPr>
          <w:p w14:paraId="199F64DF" w14:textId="77777777" w:rsidR="00C502B5" w:rsidRPr="00BC4E11" w:rsidRDefault="00C502B5" w:rsidP="009D445A">
            <w:pPr>
              <w:jc w:val="right"/>
            </w:pPr>
            <w:r>
              <w:t>2.2%</w:t>
            </w:r>
          </w:p>
        </w:tc>
        <w:tc>
          <w:tcPr>
            <w:tcW w:w="1170" w:type="dxa"/>
          </w:tcPr>
          <w:p w14:paraId="12ED7483" w14:textId="77777777" w:rsidR="00C502B5" w:rsidRPr="002E1515" w:rsidRDefault="00C502B5" w:rsidP="009D445A">
            <w:pPr>
              <w:jc w:val="right"/>
            </w:pPr>
            <w:r>
              <w:t>6.5%</w:t>
            </w:r>
          </w:p>
        </w:tc>
      </w:tr>
      <w:tr w:rsidR="00C502B5" w:rsidRPr="002E1515" w14:paraId="05069138" w14:textId="77777777" w:rsidTr="00156904">
        <w:tc>
          <w:tcPr>
            <w:tcW w:w="1975" w:type="dxa"/>
          </w:tcPr>
          <w:p w14:paraId="7D79E510" w14:textId="1CCAD09B" w:rsidR="00C502B5" w:rsidRPr="002E1515" w:rsidRDefault="00C502B5" w:rsidP="009D445A">
            <w:pPr>
              <w:jc w:val="right"/>
            </w:pPr>
            <w:r>
              <w:t>FTE</w:t>
            </w:r>
          </w:p>
        </w:tc>
        <w:tc>
          <w:tcPr>
            <w:tcW w:w="1260" w:type="dxa"/>
          </w:tcPr>
          <w:p w14:paraId="48559584" w14:textId="77777777" w:rsidR="00C502B5" w:rsidRPr="00E8403D" w:rsidRDefault="00C502B5" w:rsidP="009D445A">
            <w:pPr>
              <w:tabs>
                <w:tab w:val="right" w:pos="1062"/>
              </w:tabs>
            </w:pPr>
            <w:r>
              <w:t>1.9%</w:t>
            </w:r>
          </w:p>
        </w:tc>
        <w:tc>
          <w:tcPr>
            <w:tcW w:w="1072" w:type="dxa"/>
          </w:tcPr>
          <w:p w14:paraId="1655C8CA" w14:textId="77777777" w:rsidR="00C502B5" w:rsidRPr="00BC4E11" w:rsidRDefault="00C502B5" w:rsidP="009D445A">
            <w:pPr>
              <w:jc w:val="right"/>
            </w:pPr>
            <w:r>
              <w:t>5.6%</w:t>
            </w:r>
          </w:p>
        </w:tc>
        <w:tc>
          <w:tcPr>
            <w:tcW w:w="1538" w:type="dxa"/>
          </w:tcPr>
          <w:p w14:paraId="7404AD12" w14:textId="77777777" w:rsidR="00C502B5" w:rsidRPr="002E1515" w:rsidRDefault="00C502B5" w:rsidP="009D445A">
            <w:pPr>
              <w:jc w:val="right"/>
            </w:pPr>
            <w:r>
              <w:t>2.8%</w:t>
            </w:r>
          </w:p>
        </w:tc>
        <w:tc>
          <w:tcPr>
            <w:tcW w:w="1350" w:type="dxa"/>
          </w:tcPr>
          <w:p w14:paraId="72707483" w14:textId="77777777" w:rsidR="00C502B5" w:rsidRDefault="00D41267" w:rsidP="009D445A">
            <w:pPr>
              <w:jc w:val="right"/>
            </w:pPr>
            <w:r>
              <w:t>1.5%</w:t>
            </w:r>
          </w:p>
        </w:tc>
        <w:tc>
          <w:tcPr>
            <w:tcW w:w="1350" w:type="dxa"/>
          </w:tcPr>
          <w:p w14:paraId="5F32B1DC" w14:textId="77777777" w:rsidR="00C502B5" w:rsidRPr="00BC4E11" w:rsidRDefault="00C502B5" w:rsidP="009D445A">
            <w:pPr>
              <w:jc w:val="right"/>
            </w:pPr>
            <w:r>
              <w:t>2.1%</w:t>
            </w:r>
          </w:p>
        </w:tc>
        <w:tc>
          <w:tcPr>
            <w:tcW w:w="1170" w:type="dxa"/>
          </w:tcPr>
          <w:p w14:paraId="36DE30E5" w14:textId="77777777" w:rsidR="00C502B5" w:rsidRPr="002E1515" w:rsidRDefault="00C502B5" w:rsidP="009D445A">
            <w:pPr>
              <w:jc w:val="right"/>
            </w:pPr>
            <w:r>
              <w:t>11.2%</w:t>
            </w:r>
          </w:p>
        </w:tc>
      </w:tr>
      <w:tr w:rsidR="00C502B5" w:rsidRPr="002E1515" w14:paraId="103F6D05" w14:textId="77777777" w:rsidTr="00156904">
        <w:tc>
          <w:tcPr>
            <w:tcW w:w="1975" w:type="dxa"/>
          </w:tcPr>
          <w:p w14:paraId="67FDC485" w14:textId="2BB18009" w:rsidR="00C502B5" w:rsidRPr="002E1515" w:rsidRDefault="00C502B5" w:rsidP="009D445A">
            <w:pPr>
              <w:jc w:val="right"/>
            </w:pPr>
            <w:r>
              <w:t>Square Root FTE</w:t>
            </w:r>
            <w:r w:rsidRPr="00BC4E11">
              <w:t xml:space="preserve"> </w:t>
            </w:r>
          </w:p>
        </w:tc>
        <w:tc>
          <w:tcPr>
            <w:tcW w:w="1260" w:type="dxa"/>
          </w:tcPr>
          <w:p w14:paraId="0D68FE7B" w14:textId="77777777" w:rsidR="00C502B5" w:rsidRPr="00E8403D" w:rsidRDefault="00C502B5" w:rsidP="009D445A">
            <w:pPr>
              <w:tabs>
                <w:tab w:val="right" w:pos="1062"/>
              </w:tabs>
            </w:pPr>
            <w:r>
              <w:t>1.9%</w:t>
            </w:r>
          </w:p>
        </w:tc>
        <w:tc>
          <w:tcPr>
            <w:tcW w:w="1072" w:type="dxa"/>
          </w:tcPr>
          <w:p w14:paraId="0FF77832" w14:textId="77777777" w:rsidR="00C502B5" w:rsidRPr="00BC4E11" w:rsidRDefault="00C502B5" w:rsidP="009D445A">
            <w:pPr>
              <w:jc w:val="right"/>
            </w:pPr>
            <w:r>
              <w:t>3.9%</w:t>
            </w:r>
          </w:p>
        </w:tc>
        <w:tc>
          <w:tcPr>
            <w:tcW w:w="1538" w:type="dxa"/>
          </w:tcPr>
          <w:p w14:paraId="23CAE2E5" w14:textId="77777777" w:rsidR="00C502B5" w:rsidRPr="002E1515" w:rsidRDefault="00C502B5" w:rsidP="009D445A">
            <w:pPr>
              <w:jc w:val="right"/>
            </w:pPr>
            <w:r>
              <w:t>1.8%</w:t>
            </w:r>
          </w:p>
        </w:tc>
        <w:tc>
          <w:tcPr>
            <w:tcW w:w="1350" w:type="dxa"/>
          </w:tcPr>
          <w:p w14:paraId="396F1EAB" w14:textId="77777777" w:rsidR="00C502B5" w:rsidRDefault="00D41267" w:rsidP="009D445A">
            <w:pPr>
              <w:jc w:val="right"/>
            </w:pPr>
            <w:r>
              <w:t>1.5%</w:t>
            </w:r>
          </w:p>
        </w:tc>
        <w:tc>
          <w:tcPr>
            <w:tcW w:w="1350" w:type="dxa"/>
          </w:tcPr>
          <w:p w14:paraId="76F857CA" w14:textId="77777777" w:rsidR="00C502B5" w:rsidRPr="00BC4E11" w:rsidRDefault="00C502B5" w:rsidP="009D445A">
            <w:pPr>
              <w:jc w:val="right"/>
            </w:pPr>
            <w:r>
              <w:t>2.1%</w:t>
            </w:r>
          </w:p>
        </w:tc>
        <w:tc>
          <w:tcPr>
            <w:tcW w:w="1170" w:type="dxa"/>
          </w:tcPr>
          <w:p w14:paraId="304CE023" w14:textId="77777777" w:rsidR="00C502B5" w:rsidRPr="002E1515" w:rsidRDefault="00C502B5" w:rsidP="009D445A">
            <w:pPr>
              <w:jc w:val="right"/>
            </w:pPr>
            <w:r>
              <w:t>8.1%</w:t>
            </w:r>
          </w:p>
        </w:tc>
      </w:tr>
    </w:tbl>
    <w:p w14:paraId="6C46052C" w14:textId="77777777" w:rsidR="001A42C3" w:rsidRDefault="001A42C3">
      <w:pPr>
        <w:spacing w:after="200" w:line="276" w:lineRule="auto"/>
        <w:rPr>
          <w:rFonts w:eastAsia="Calibri"/>
          <w:b/>
          <w:bCs/>
        </w:rPr>
      </w:pPr>
    </w:p>
    <w:p w14:paraId="55415734" w14:textId="77777777" w:rsidR="002364B9" w:rsidRDefault="00F84BA4" w:rsidP="00156904">
      <w:pPr>
        <w:pStyle w:val="SP-SglSpPara"/>
        <w:ind w:firstLine="0"/>
        <w:jc w:val="left"/>
      </w:pPr>
      <w:r w:rsidRPr="00156904">
        <w:rPr>
          <w:sz w:val="24"/>
          <w:szCs w:val="24"/>
        </w:rPr>
        <w:t xml:space="preserve">The sample size allocation obtained through the </w:t>
      </w:r>
      <w:r w:rsidR="003D38C8" w:rsidRPr="00156904">
        <w:rPr>
          <w:sz w:val="24"/>
          <w:szCs w:val="24"/>
        </w:rPr>
        <w:t xml:space="preserve">proportional number of agencies </w:t>
      </w:r>
      <w:r w:rsidRPr="00156904">
        <w:rPr>
          <w:sz w:val="24"/>
          <w:szCs w:val="24"/>
        </w:rPr>
        <w:t xml:space="preserve">is presented in </w:t>
      </w:r>
      <w:r w:rsidRPr="00156904">
        <w:rPr>
          <w:b/>
          <w:sz w:val="24"/>
          <w:szCs w:val="24"/>
        </w:rPr>
        <w:t>Table 9</w:t>
      </w:r>
      <w:r w:rsidRPr="00156904">
        <w:rPr>
          <w:sz w:val="24"/>
          <w:szCs w:val="24"/>
        </w:rPr>
        <w:t xml:space="preserve">. Based on the response rate assumptions, the design calls for a sample size of 3,499 with 3,000 complete questionnaires expected. </w:t>
      </w:r>
    </w:p>
    <w:p w14:paraId="46BB4739" w14:textId="77777777" w:rsidR="00E77256" w:rsidRPr="00156904" w:rsidRDefault="00E77256" w:rsidP="00156904">
      <w:pPr>
        <w:pStyle w:val="SP-SglSpPara"/>
        <w:ind w:firstLine="0"/>
        <w:jc w:val="left"/>
      </w:pPr>
    </w:p>
    <w:p w14:paraId="63ED02C3" w14:textId="62B08765" w:rsidR="00F84901" w:rsidRPr="004D5CEA" w:rsidRDefault="00F84901" w:rsidP="00D534B2">
      <w:pPr>
        <w:pStyle w:val="Caption"/>
        <w:keepNext/>
        <w:rPr>
          <w:rFonts w:ascii="Times New Roman" w:eastAsia="Calibri" w:hAnsi="Times New Roman" w:cs="Times New Roman"/>
          <w:b/>
          <w:bCs/>
          <w:i w:val="0"/>
          <w:iCs w:val="0"/>
          <w:color w:val="auto"/>
          <w:sz w:val="24"/>
          <w:szCs w:val="24"/>
        </w:rPr>
      </w:pPr>
      <w:r w:rsidRPr="004D5CEA">
        <w:rPr>
          <w:rFonts w:ascii="Times New Roman" w:eastAsia="Calibri" w:hAnsi="Times New Roman" w:cs="Times New Roman"/>
          <w:b/>
          <w:bCs/>
          <w:i w:val="0"/>
          <w:iCs w:val="0"/>
          <w:color w:val="auto"/>
          <w:sz w:val="24"/>
          <w:szCs w:val="24"/>
        </w:rPr>
        <w:t xml:space="preserve">Table </w:t>
      </w:r>
      <w:r w:rsidR="00F84BA4">
        <w:rPr>
          <w:rFonts w:ascii="Times New Roman" w:eastAsia="Calibri" w:hAnsi="Times New Roman" w:cs="Times New Roman"/>
          <w:b/>
          <w:bCs/>
          <w:i w:val="0"/>
          <w:iCs w:val="0"/>
          <w:color w:val="auto"/>
          <w:sz w:val="24"/>
          <w:szCs w:val="24"/>
        </w:rPr>
        <w:t>9</w:t>
      </w:r>
      <w:r w:rsidR="00975C81">
        <w:rPr>
          <w:rFonts w:ascii="Times New Roman" w:eastAsia="Calibri" w:hAnsi="Times New Roman" w:cs="Times New Roman"/>
          <w:b/>
          <w:bCs/>
          <w:i w:val="0"/>
          <w:iCs w:val="0"/>
          <w:color w:val="auto"/>
          <w:sz w:val="24"/>
          <w:szCs w:val="24"/>
        </w:rPr>
        <w:t>: Sample size a</w:t>
      </w:r>
      <w:r w:rsidRPr="004D5CEA">
        <w:rPr>
          <w:rFonts w:ascii="Times New Roman" w:eastAsia="Calibri" w:hAnsi="Times New Roman" w:cs="Times New Roman"/>
          <w:b/>
          <w:bCs/>
          <w:i w:val="0"/>
          <w:iCs w:val="0"/>
          <w:color w:val="auto"/>
          <w:sz w:val="24"/>
          <w:szCs w:val="24"/>
        </w:rPr>
        <w:t>llocation</w:t>
      </w:r>
      <w:r w:rsidR="00975C81">
        <w:rPr>
          <w:rFonts w:ascii="Times New Roman" w:eastAsia="Calibri" w:hAnsi="Times New Roman" w:cs="Times New Roman"/>
          <w:b/>
          <w:bCs/>
          <w:i w:val="0"/>
          <w:iCs w:val="0"/>
          <w:color w:val="auto"/>
          <w:sz w:val="24"/>
          <w:szCs w:val="24"/>
        </w:rPr>
        <w:t xml:space="preserve"> based on the proportion to number of agencies by s</w:t>
      </w:r>
      <w:r w:rsidRPr="004D5CEA">
        <w:rPr>
          <w:rFonts w:ascii="Times New Roman" w:eastAsia="Calibri" w:hAnsi="Times New Roman" w:cs="Times New Roman"/>
          <w:b/>
          <w:bCs/>
          <w:i w:val="0"/>
          <w:iCs w:val="0"/>
          <w:color w:val="auto"/>
          <w:sz w:val="24"/>
          <w:szCs w:val="24"/>
        </w:rPr>
        <w:t>tratum</w:t>
      </w:r>
      <w:r w:rsidR="003D38C8">
        <w:rPr>
          <w:rFonts w:ascii="Times New Roman" w:eastAsia="Calibri" w:hAnsi="Times New Roman" w:cs="Times New Roman"/>
          <w:b/>
          <w:bCs/>
          <w:i w:val="0"/>
          <w:iCs w:val="0"/>
          <w:color w:val="auto"/>
          <w:sz w:val="24"/>
          <w:szCs w:val="24"/>
        </w:rPr>
        <w:t>, 2016 LEMAS</w:t>
      </w:r>
    </w:p>
    <w:tbl>
      <w:tblPr>
        <w:tblStyle w:val="TableGrid"/>
        <w:tblW w:w="9445" w:type="dxa"/>
        <w:tblLayout w:type="fixed"/>
        <w:tblLook w:val="04A0" w:firstRow="1" w:lastRow="0" w:firstColumn="1" w:lastColumn="0" w:noHBand="0" w:noVBand="1"/>
      </w:tblPr>
      <w:tblGrid>
        <w:gridCol w:w="2643"/>
        <w:gridCol w:w="2109"/>
        <w:gridCol w:w="2358"/>
        <w:gridCol w:w="2335"/>
      </w:tblGrid>
      <w:tr w:rsidR="00F84901" w14:paraId="1296A922" w14:textId="77777777" w:rsidTr="00156904">
        <w:tc>
          <w:tcPr>
            <w:tcW w:w="2643" w:type="dxa"/>
            <w:shd w:val="clear" w:color="auto" w:fill="C6D9F1" w:themeFill="text2" w:themeFillTint="33"/>
            <w:vAlign w:val="bottom"/>
          </w:tcPr>
          <w:p w14:paraId="168FE688" w14:textId="77777777" w:rsidR="00F84901" w:rsidRPr="002E1515" w:rsidRDefault="00F84901" w:rsidP="00C87BA8">
            <w:pPr>
              <w:jc w:val="center"/>
            </w:pPr>
            <w:r w:rsidRPr="002E1515">
              <w:t>Agency Type</w:t>
            </w:r>
          </w:p>
        </w:tc>
        <w:tc>
          <w:tcPr>
            <w:tcW w:w="2109" w:type="dxa"/>
            <w:shd w:val="clear" w:color="auto" w:fill="C6D9F1" w:themeFill="text2" w:themeFillTint="33"/>
            <w:vAlign w:val="bottom"/>
          </w:tcPr>
          <w:p w14:paraId="298BB444" w14:textId="77777777" w:rsidR="00F84901" w:rsidRPr="002E1515" w:rsidRDefault="00EC6C2C" w:rsidP="00570489">
            <w:pPr>
              <w:jc w:val="center"/>
            </w:pPr>
            <w:r>
              <w:t xml:space="preserve">Agency </w:t>
            </w:r>
            <w:proofErr w:type="spellStart"/>
            <w:r>
              <w:t>Size</w:t>
            </w:r>
            <w:r w:rsidRPr="00D534B2">
              <w:rPr>
                <w:vertAlign w:val="superscript"/>
              </w:rPr>
              <w:t>a</w:t>
            </w:r>
            <w:proofErr w:type="spellEnd"/>
          </w:p>
        </w:tc>
        <w:tc>
          <w:tcPr>
            <w:tcW w:w="2358" w:type="dxa"/>
            <w:shd w:val="clear" w:color="auto" w:fill="C6D9F1" w:themeFill="text2" w:themeFillTint="33"/>
            <w:vAlign w:val="bottom"/>
          </w:tcPr>
          <w:p w14:paraId="6F8F6BC4" w14:textId="77777777" w:rsidR="00F84901" w:rsidRDefault="00F84901" w:rsidP="00D534B2">
            <w:pPr>
              <w:jc w:val="center"/>
            </w:pPr>
            <w:r>
              <w:t>Sample Size</w:t>
            </w:r>
          </w:p>
        </w:tc>
        <w:tc>
          <w:tcPr>
            <w:tcW w:w="2335" w:type="dxa"/>
            <w:shd w:val="clear" w:color="auto" w:fill="C6D9F1" w:themeFill="text2" w:themeFillTint="33"/>
            <w:vAlign w:val="bottom"/>
          </w:tcPr>
          <w:p w14:paraId="6C2640F3" w14:textId="77777777" w:rsidR="00F84901" w:rsidRDefault="00F84901" w:rsidP="00D534B2">
            <w:pPr>
              <w:jc w:val="center"/>
            </w:pPr>
            <w:r>
              <w:t>Expected Respondents</w:t>
            </w:r>
          </w:p>
        </w:tc>
      </w:tr>
      <w:tr w:rsidR="00017D8B" w:rsidRPr="002E1515" w14:paraId="421456EF" w14:textId="77777777" w:rsidTr="00156904">
        <w:tc>
          <w:tcPr>
            <w:tcW w:w="2643" w:type="dxa"/>
            <w:vMerge w:val="restart"/>
          </w:tcPr>
          <w:p w14:paraId="38E344C2" w14:textId="77777777" w:rsidR="00017D8B" w:rsidRPr="002E1515" w:rsidRDefault="00017D8B" w:rsidP="00017D8B">
            <w:r w:rsidRPr="002E1515">
              <w:t>Local Police</w:t>
            </w:r>
          </w:p>
        </w:tc>
        <w:tc>
          <w:tcPr>
            <w:tcW w:w="2109" w:type="dxa"/>
            <w:vAlign w:val="bottom"/>
          </w:tcPr>
          <w:p w14:paraId="01D1A44A" w14:textId="77777777" w:rsidR="00017D8B" w:rsidRPr="002E1515" w:rsidRDefault="00017D8B" w:rsidP="00017D8B">
            <w:pPr>
              <w:jc w:val="right"/>
            </w:pPr>
            <w:r w:rsidRPr="002E1515">
              <w:t>100+</w:t>
            </w:r>
          </w:p>
        </w:tc>
        <w:tc>
          <w:tcPr>
            <w:tcW w:w="2358" w:type="dxa"/>
          </w:tcPr>
          <w:p w14:paraId="62986E3E" w14:textId="77777777" w:rsidR="00017D8B" w:rsidRPr="002E1515" w:rsidRDefault="00017D8B" w:rsidP="00017D8B">
            <w:pPr>
              <w:jc w:val="right"/>
            </w:pPr>
            <w:r w:rsidRPr="00AA688D">
              <w:t>677</w:t>
            </w:r>
          </w:p>
        </w:tc>
        <w:tc>
          <w:tcPr>
            <w:tcW w:w="2335" w:type="dxa"/>
          </w:tcPr>
          <w:p w14:paraId="0CCA25AF" w14:textId="77777777" w:rsidR="00017D8B" w:rsidRPr="00282BC3" w:rsidRDefault="00017D8B" w:rsidP="00017D8B">
            <w:pPr>
              <w:jc w:val="right"/>
            </w:pPr>
            <w:r>
              <w:t>643</w:t>
            </w:r>
          </w:p>
        </w:tc>
      </w:tr>
      <w:tr w:rsidR="00017D8B" w:rsidRPr="002E1515" w14:paraId="5B2BBEED" w14:textId="77777777" w:rsidTr="00156904">
        <w:tc>
          <w:tcPr>
            <w:tcW w:w="2643" w:type="dxa"/>
            <w:vMerge/>
          </w:tcPr>
          <w:p w14:paraId="2157D6AF" w14:textId="77777777" w:rsidR="00017D8B" w:rsidRPr="002E1515" w:rsidRDefault="00017D8B" w:rsidP="00017D8B"/>
        </w:tc>
        <w:tc>
          <w:tcPr>
            <w:tcW w:w="2109" w:type="dxa"/>
            <w:vAlign w:val="bottom"/>
          </w:tcPr>
          <w:p w14:paraId="41D3B278" w14:textId="77777777" w:rsidR="00017D8B" w:rsidRPr="002E1515" w:rsidRDefault="00017D8B" w:rsidP="00017D8B">
            <w:pPr>
              <w:jc w:val="right"/>
            </w:pPr>
            <w:r w:rsidRPr="002E1515">
              <w:t>50-99</w:t>
            </w:r>
          </w:p>
        </w:tc>
        <w:tc>
          <w:tcPr>
            <w:tcW w:w="2358" w:type="dxa"/>
          </w:tcPr>
          <w:p w14:paraId="71727697" w14:textId="77777777" w:rsidR="00017D8B" w:rsidRPr="002E1515" w:rsidRDefault="00017D8B" w:rsidP="00017D8B">
            <w:pPr>
              <w:jc w:val="right"/>
            </w:pPr>
            <w:r>
              <w:t>134</w:t>
            </w:r>
          </w:p>
        </w:tc>
        <w:tc>
          <w:tcPr>
            <w:tcW w:w="2335" w:type="dxa"/>
          </w:tcPr>
          <w:p w14:paraId="4F3C6642" w14:textId="77777777" w:rsidR="00017D8B" w:rsidRPr="00282BC3" w:rsidRDefault="00017D8B" w:rsidP="00017D8B">
            <w:pPr>
              <w:jc w:val="right"/>
            </w:pPr>
            <w:r>
              <w:t>114</w:t>
            </w:r>
          </w:p>
        </w:tc>
      </w:tr>
      <w:tr w:rsidR="00017D8B" w:rsidRPr="002E1515" w14:paraId="62EE2D95" w14:textId="77777777" w:rsidTr="00156904">
        <w:tc>
          <w:tcPr>
            <w:tcW w:w="2643" w:type="dxa"/>
            <w:vMerge/>
          </w:tcPr>
          <w:p w14:paraId="384878D8" w14:textId="77777777" w:rsidR="00017D8B" w:rsidRPr="002E1515" w:rsidRDefault="00017D8B" w:rsidP="00017D8B"/>
        </w:tc>
        <w:tc>
          <w:tcPr>
            <w:tcW w:w="2109" w:type="dxa"/>
            <w:vAlign w:val="bottom"/>
          </w:tcPr>
          <w:p w14:paraId="4F50BBC7" w14:textId="77777777" w:rsidR="00017D8B" w:rsidRPr="002E1515" w:rsidRDefault="00017D8B" w:rsidP="00017D8B">
            <w:pPr>
              <w:jc w:val="right"/>
            </w:pPr>
            <w:r w:rsidRPr="002E1515">
              <w:t>25-49</w:t>
            </w:r>
          </w:p>
        </w:tc>
        <w:tc>
          <w:tcPr>
            <w:tcW w:w="2358" w:type="dxa"/>
          </w:tcPr>
          <w:p w14:paraId="67409BCE" w14:textId="77777777" w:rsidR="00017D8B" w:rsidRPr="002E1515" w:rsidRDefault="00017D8B" w:rsidP="00017D8B">
            <w:pPr>
              <w:jc w:val="right"/>
            </w:pPr>
            <w:r>
              <w:t>260</w:t>
            </w:r>
          </w:p>
        </w:tc>
        <w:tc>
          <w:tcPr>
            <w:tcW w:w="2335" w:type="dxa"/>
          </w:tcPr>
          <w:p w14:paraId="34A617DC" w14:textId="77777777" w:rsidR="00017D8B" w:rsidRPr="00282BC3" w:rsidRDefault="00017D8B" w:rsidP="00017D8B">
            <w:pPr>
              <w:jc w:val="right"/>
            </w:pPr>
            <w:r>
              <w:t>221</w:t>
            </w:r>
          </w:p>
        </w:tc>
      </w:tr>
      <w:tr w:rsidR="00017D8B" w:rsidRPr="002E1515" w14:paraId="68A97980" w14:textId="77777777" w:rsidTr="00156904">
        <w:tc>
          <w:tcPr>
            <w:tcW w:w="2643" w:type="dxa"/>
            <w:vMerge/>
          </w:tcPr>
          <w:p w14:paraId="6657A516" w14:textId="77777777" w:rsidR="00017D8B" w:rsidRPr="002E1515" w:rsidRDefault="00017D8B" w:rsidP="00017D8B"/>
        </w:tc>
        <w:tc>
          <w:tcPr>
            <w:tcW w:w="2109" w:type="dxa"/>
            <w:vAlign w:val="bottom"/>
          </w:tcPr>
          <w:p w14:paraId="4B6535C7" w14:textId="77777777" w:rsidR="00017D8B" w:rsidRPr="002E1515" w:rsidRDefault="00017D8B" w:rsidP="00017D8B">
            <w:pPr>
              <w:jc w:val="right"/>
            </w:pPr>
            <w:r w:rsidRPr="002E1515">
              <w:t>10-24</w:t>
            </w:r>
          </w:p>
        </w:tc>
        <w:tc>
          <w:tcPr>
            <w:tcW w:w="2358" w:type="dxa"/>
          </w:tcPr>
          <w:p w14:paraId="04CCE5A5" w14:textId="77777777" w:rsidR="00017D8B" w:rsidRPr="002E1515" w:rsidRDefault="00017D8B" w:rsidP="00017D8B">
            <w:pPr>
              <w:jc w:val="right"/>
            </w:pPr>
            <w:r>
              <w:t>521</w:t>
            </w:r>
          </w:p>
        </w:tc>
        <w:tc>
          <w:tcPr>
            <w:tcW w:w="2335" w:type="dxa"/>
          </w:tcPr>
          <w:p w14:paraId="43928FF5" w14:textId="77777777" w:rsidR="00017D8B" w:rsidRPr="00282BC3" w:rsidRDefault="00017D8B" w:rsidP="00017D8B">
            <w:pPr>
              <w:jc w:val="right"/>
            </w:pPr>
            <w:r>
              <w:t>443</w:t>
            </w:r>
          </w:p>
        </w:tc>
      </w:tr>
      <w:tr w:rsidR="00017D8B" w:rsidRPr="002E1515" w14:paraId="2CCD92E3" w14:textId="77777777" w:rsidTr="00156904">
        <w:tc>
          <w:tcPr>
            <w:tcW w:w="2643" w:type="dxa"/>
            <w:vMerge/>
          </w:tcPr>
          <w:p w14:paraId="48A718FD" w14:textId="77777777" w:rsidR="00017D8B" w:rsidRPr="002E1515" w:rsidRDefault="00017D8B" w:rsidP="00017D8B"/>
        </w:tc>
        <w:tc>
          <w:tcPr>
            <w:tcW w:w="2109" w:type="dxa"/>
            <w:vAlign w:val="bottom"/>
          </w:tcPr>
          <w:p w14:paraId="4D76748E" w14:textId="77777777" w:rsidR="00017D8B" w:rsidRPr="002E1515" w:rsidRDefault="00017D8B" w:rsidP="00017D8B">
            <w:pPr>
              <w:jc w:val="right"/>
            </w:pPr>
            <w:r w:rsidRPr="002E1515">
              <w:t>5-9</w:t>
            </w:r>
          </w:p>
        </w:tc>
        <w:tc>
          <w:tcPr>
            <w:tcW w:w="2358" w:type="dxa"/>
          </w:tcPr>
          <w:p w14:paraId="546252D6" w14:textId="77777777" w:rsidR="00017D8B" w:rsidRPr="002E1515" w:rsidRDefault="00017D8B" w:rsidP="00017D8B">
            <w:pPr>
              <w:jc w:val="right"/>
            </w:pPr>
            <w:r>
              <w:t>467</w:t>
            </w:r>
          </w:p>
        </w:tc>
        <w:tc>
          <w:tcPr>
            <w:tcW w:w="2335" w:type="dxa"/>
          </w:tcPr>
          <w:p w14:paraId="5B10C11E" w14:textId="77777777" w:rsidR="00017D8B" w:rsidRPr="00282BC3" w:rsidRDefault="00017D8B" w:rsidP="00017D8B">
            <w:pPr>
              <w:jc w:val="right"/>
            </w:pPr>
            <w:r>
              <w:t>397</w:t>
            </w:r>
          </w:p>
        </w:tc>
      </w:tr>
      <w:tr w:rsidR="00017D8B" w:rsidRPr="002E1515" w14:paraId="40E26B95" w14:textId="77777777" w:rsidTr="00156904">
        <w:tc>
          <w:tcPr>
            <w:tcW w:w="2643" w:type="dxa"/>
            <w:vMerge/>
          </w:tcPr>
          <w:p w14:paraId="6588D306" w14:textId="77777777" w:rsidR="00017D8B" w:rsidRPr="002E1515" w:rsidRDefault="00017D8B" w:rsidP="00017D8B"/>
        </w:tc>
        <w:tc>
          <w:tcPr>
            <w:tcW w:w="2109" w:type="dxa"/>
            <w:vAlign w:val="bottom"/>
          </w:tcPr>
          <w:p w14:paraId="4D146EBC" w14:textId="77777777" w:rsidR="00017D8B" w:rsidRPr="002E1515" w:rsidRDefault="00017D8B" w:rsidP="00017D8B">
            <w:pPr>
              <w:jc w:val="right"/>
            </w:pPr>
            <w:r w:rsidRPr="002E1515">
              <w:t>2-4</w:t>
            </w:r>
          </w:p>
        </w:tc>
        <w:tc>
          <w:tcPr>
            <w:tcW w:w="2358" w:type="dxa"/>
          </w:tcPr>
          <w:p w14:paraId="23E90F2B" w14:textId="77777777" w:rsidR="00017D8B" w:rsidRPr="002E1515" w:rsidRDefault="00017D8B" w:rsidP="00017D8B">
            <w:pPr>
              <w:jc w:val="right"/>
            </w:pPr>
            <w:r>
              <w:t>373</w:t>
            </w:r>
          </w:p>
        </w:tc>
        <w:tc>
          <w:tcPr>
            <w:tcW w:w="2335" w:type="dxa"/>
          </w:tcPr>
          <w:p w14:paraId="3EF7BB8A" w14:textId="77777777" w:rsidR="00017D8B" w:rsidRPr="00282BC3" w:rsidRDefault="00017D8B" w:rsidP="00017D8B">
            <w:pPr>
              <w:jc w:val="right"/>
            </w:pPr>
            <w:r>
              <w:t>317</w:t>
            </w:r>
          </w:p>
        </w:tc>
      </w:tr>
      <w:tr w:rsidR="00017D8B" w:rsidRPr="002E1515" w14:paraId="57E93BBE" w14:textId="77777777" w:rsidTr="00156904">
        <w:tc>
          <w:tcPr>
            <w:tcW w:w="2643" w:type="dxa"/>
            <w:vMerge/>
          </w:tcPr>
          <w:p w14:paraId="494613C9" w14:textId="77777777" w:rsidR="00017D8B" w:rsidRPr="002E1515" w:rsidRDefault="00017D8B" w:rsidP="00017D8B"/>
        </w:tc>
        <w:tc>
          <w:tcPr>
            <w:tcW w:w="2109" w:type="dxa"/>
            <w:vAlign w:val="bottom"/>
          </w:tcPr>
          <w:p w14:paraId="2071EC00" w14:textId="77777777" w:rsidR="00017D8B" w:rsidRPr="002E1515" w:rsidRDefault="00017D8B" w:rsidP="00017D8B">
            <w:pPr>
              <w:jc w:val="right"/>
            </w:pPr>
            <w:r w:rsidRPr="002E1515">
              <w:t>1</w:t>
            </w:r>
          </w:p>
        </w:tc>
        <w:tc>
          <w:tcPr>
            <w:tcW w:w="2358" w:type="dxa"/>
          </w:tcPr>
          <w:p w14:paraId="4D7777A4" w14:textId="77777777" w:rsidR="00017D8B" w:rsidRPr="002E1515" w:rsidRDefault="00017D8B" w:rsidP="00017D8B">
            <w:pPr>
              <w:jc w:val="right"/>
            </w:pPr>
            <w:r>
              <w:t>165</w:t>
            </w:r>
          </w:p>
        </w:tc>
        <w:tc>
          <w:tcPr>
            <w:tcW w:w="2335" w:type="dxa"/>
          </w:tcPr>
          <w:p w14:paraId="7B35BEE4" w14:textId="77777777" w:rsidR="00017D8B" w:rsidRPr="00282BC3" w:rsidRDefault="00017D8B" w:rsidP="00017D8B">
            <w:pPr>
              <w:jc w:val="right"/>
            </w:pPr>
            <w:r>
              <w:t>140</w:t>
            </w:r>
          </w:p>
        </w:tc>
      </w:tr>
      <w:tr w:rsidR="00017D8B" w:rsidRPr="002E1515" w14:paraId="5A1147C5" w14:textId="77777777" w:rsidTr="00156904">
        <w:tc>
          <w:tcPr>
            <w:tcW w:w="2643" w:type="dxa"/>
            <w:vMerge w:val="restart"/>
          </w:tcPr>
          <w:p w14:paraId="29A5DF3C" w14:textId="77777777" w:rsidR="00017D8B" w:rsidRPr="002E1515" w:rsidRDefault="00017D8B" w:rsidP="00017D8B">
            <w:r w:rsidRPr="002E1515">
              <w:t>Sheriff</w:t>
            </w:r>
            <w:r>
              <w:t>’s</w:t>
            </w:r>
            <w:r w:rsidRPr="002E1515">
              <w:t xml:space="preserve"> Office</w:t>
            </w:r>
          </w:p>
        </w:tc>
        <w:tc>
          <w:tcPr>
            <w:tcW w:w="2109" w:type="dxa"/>
            <w:vAlign w:val="bottom"/>
          </w:tcPr>
          <w:p w14:paraId="5B71DA43" w14:textId="77777777" w:rsidR="00017D8B" w:rsidRPr="002E1515" w:rsidRDefault="00017D8B" w:rsidP="00017D8B">
            <w:pPr>
              <w:jc w:val="right"/>
            </w:pPr>
            <w:r w:rsidRPr="002E1515">
              <w:t>100+</w:t>
            </w:r>
          </w:p>
        </w:tc>
        <w:tc>
          <w:tcPr>
            <w:tcW w:w="2358" w:type="dxa"/>
          </w:tcPr>
          <w:p w14:paraId="39CF1189" w14:textId="77777777" w:rsidR="00017D8B" w:rsidRPr="002E1515" w:rsidRDefault="00017D8B" w:rsidP="00017D8B">
            <w:pPr>
              <w:jc w:val="right"/>
            </w:pPr>
            <w:r w:rsidRPr="00AA688D">
              <w:t>401</w:t>
            </w:r>
          </w:p>
        </w:tc>
        <w:tc>
          <w:tcPr>
            <w:tcW w:w="2335" w:type="dxa"/>
          </w:tcPr>
          <w:p w14:paraId="57E07C66" w14:textId="77777777" w:rsidR="00017D8B" w:rsidRPr="00282BC3" w:rsidRDefault="00017D8B" w:rsidP="00017D8B">
            <w:pPr>
              <w:jc w:val="right"/>
            </w:pPr>
            <w:r>
              <w:t>341</w:t>
            </w:r>
          </w:p>
        </w:tc>
      </w:tr>
      <w:tr w:rsidR="00017D8B" w:rsidRPr="002E1515" w14:paraId="46F94FF2" w14:textId="77777777" w:rsidTr="00156904">
        <w:tc>
          <w:tcPr>
            <w:tcW w:w="2643" w:type="dxa"/>
            <w:vMerge/>
          </w:tcPr>
          <w:p w14:paraId="63FB2DED" w14:textId="77777777" w:rsidR="00017D8B" w:rsidRPr="002E1515" w:rsidRDefault="00017D8B" w:rsidP="00017D8B"/>
        </w:tc>
        <w:tc>
          <w:tcPr>
            <w:tcW w:w="2109" w:type="dxa"/>
            <w:vAlign w:val="bottom"/>
          </w:tcPr>
          <w:p w14:paraId="361DC360" w14:textId="77777777" w:rsidR="00017D8B" w:rsidRPr="002E1515" w:rsidRDefault="00017D8B" w:rsidP="00017D8B">
            <w:pPr>
              <w:jc w:val="right"/>
            </w:pPr>
            <w:r w:rsidRPr="002E1515">
              <w:t>50-99</w:t>
            </w:r>
          </w:p>
        </w:tc>
        <w:tc>
          <w:tcPr>
            <w:tcW w:w="2358" w:type="dxa"/>
          </w:tcPr>
          <w:p w14:paraId="2EDD1165" w14:textId="77777777" w:rsidR="00017D8B" w:rsidRPr="002E1515" w:rsidRDefault="00017D8B" w:rsidP="00017D8B">
            <w:pPr>
              <w:jc w:val="right"/>
            </w:pPr>
            <w:r>
              <w:t>61</w:t>
            </w:r>
          </w:p>
        </w:tc>
        <w:tc>
          <w:tcPr>
            <w:tcW w:w="2335" w:type="dxa"/>
          </w:tcPr>
          <w:p w14:paraId="71F10929" w14:textId="77777777" w:rsidR="00017D8B" w:rsidRPr="00282BC3" w:rsidRDefault="00017D8B" w:rsidP="00017D8B">
            <w:pPr>
              <w:jc w:val="right"/>
            </w:pPr>
            <w:r>
              <w:t>46</w:t>
            </w:r>
          </w:p>
        </w:tc>
      </w:tr>
      <w:tr w:rsidR="00017D8B" w:rsidRPr="002E1515" w14:paraId="0C04198C" w14:textId="77777777" w:rsidTr="00156904">
        <w:tc>
          <w:tcPr>
            <w:tcW w:w="2643" w:type="dxa"/>
            <w:vMerge/>
          </w:tcPr>
          <w:p w14:paraId="657CE009" w14:textId="77777777" w:rsidR="00017D8B" w:rsidRPr="002E1515" w:rsidRDefault="00017D8B" w:rsidP="00017D8B"/>
        </w:tc>
        <w:tc>
          <w:tcPr>
            <w:tcW w:w="2109" w:type="dxa"/>
            <w:vAlign w:val="bottom"/>
          </w:tcPr>
          <w:p w14:paraId="02ABB368" w14:textId="77777777" w:rsidR="00017D8B" w:rsidRPr="002E1515" w:rsidRDefault="00017D8B" w:rsidP="00017D8B">
            <w:pPr>
              <w:jc w:val="right"/>
            </w:pPr>
            <w:r w:rsidRPr="002E1515">
              <w:t>25-49</w:t>
            </w:r>
          </w:p>
        </w:tc>
        <w:tc>
          <w:tcPr>
            <w:tcW w:w="2358" w:type="dxa"/>
          </w:tcPr>
          <w:p w14:paraId="100E531C" w14:textId="77777777" w:rsidR="00017D8B" w:rsidRPr="002E1515" w:rsidRDefault="00017D8B" w:rsidP="00017D8B">
            <w:pPr>
              <w:jc w:val="right"/>
            </w:pPr>
            <w:r>
              <w:t>105</w:t>
            </w:r>
          </w:p>
        </w:tc>
        <w:tc>
          <w:tcPr>
            <w:tcW w:w="2335" w:type="dxa"/>
          </w:tcPr>
          <w:p w14:paraId="109700BD" w14:textId="77777777" w:rsidR="00017D8B" w:rsidRPr="00282BC3" w:rsidRDefault="00017D8B" w:rsidP="00017D8B">
            <w:pPr>
              <w:jc w:val="right"/>
            </w:pPr>
            <w:r>
              <w:t>79</w:t>
            </w:r>
          </w:p>
        </w:tc>
      </w:tr>
      <w:tr w:rsidR="00017D8B" w:rsidRPr="002E1515" w14:paraId="3FD7082D" w14:textId="77777777" w:rsidTr="00156904">
        <w:tc>
          <w:tcPr>
            <w:tcW w:w="2643" w:type="dxa"/>
            <w:vMerge/>
          </w:tcPr>
          <w:p w14:paraId="1454BCE5" w14:textId="77777777" w:rsidR="00017D8B" w:rsidRPr="002E1515" w:rsidRDefault="00017D8B" w:rsidP="00017D8B"/>
        </w:tc>
        <w:tc>
          <w:tcPr>
            <w:tcW w:w="2109" w:type="dxa"/>
            <w:vAlign w:val="bottom"/>
          </w:tcPr>
          <w:p w14:paraId="11DF570A" w14:textId="77777777" w:rsidR="00017D8B" w:rsidRPr="002E1515" w:rsidRDefault="00017D8B" w:rsidP="00017D8B">
            <w:pPr>
              <w:jc w:val="right"/>
            </w:pPr>
            <w:r w:rsidRPr="002E1515">
              <w:t>10-24</w:t>
            </w:r>
          </w:p>
        </w:tc>
        <w:tc>
          <w:tcPr>
            <w:tcW w:w="2358" w:type="dxa"/>
          </w:tcPr>
          <w:p w14:paraId="401AD6CD" w14:textId="77777777" w:rsidR="00017D8B" w:rsidRPr="002E1515" w:rsidRDefault="00017D8B" w:rsidP="00017D8B">
            <w:pPr>
              <w:jc w:val="right"/>
            </w:pPr>
            <w:r>
              <w:t>157</w:t>
            </w:r>
          </w:p>
        </w:tc>
        <w:tc>
          <w:tcPr>
            <w:tcW w:w="2335" w:type="dxa"/>
          </w:tcPr>
          <w:p w14:paraId="60AF4AD7" w14:textId="77777777" w:rsidR="00017D8B" w:rsidRPr="00282BC3" w:rsidRDefault="00017D8B" w:rsidP="00017D8B">
            <w:pPr>
              <w:jc w:val="right"/>
            </w:pPr>
            <w:r>
              <w:t>118</w:t>
            </w:r>
          </w:p>
        </w:tc>
      </w:tr>
      <w:tr w:rsidR="00017D8B" w:rsidRPr="002E1515" w14:paraId="6ED814C8" w14:textId="77777777" w:rsidTr="00156904">
        <w:tc>
          <w:tcPr>
            <w:tcW w:w="2643" w:type="dxa"/>
            <w:vMerge/>
          </w:tcPr>
          <w:p w14:paraId="376179AB" w14:textId="77777777" w:rsidR="00017D8B" w:rsidRPr="002E1515" w:rsidRDefault="00017D8B" w:rsidP="00017D8B"/>
        </w:tc>
        <w:tc>
          <w:tcPr>
            <w:tcW w:w="2109" w:type="dxa"/>
            <w:vAlign w:val="bottom"/>
          </w:tcPr>
          <w:p w14:paraId="31856E5D" w14:textId="77777777" w:rsidR="00017D8B" w:rsidRPr="002E1515" w:rsidRDefault="00017D8B" w:rsidP="00017D8B">
            <w:pPr>
              <w:jc w:val="right"/>
            </w:pPr>
            <w:r w:rsidRPr="002E1515">
              <w:t>5-9</w:t>
            </w:r>
          </w:p>
        </w:tc>
        <w:tc>
          <w:tcPr>
            <w:tcW w:w="2358" w:type="dxa"/>
          </w:tcPr>
          <w:p w14:paraId="66E7A612" w14:textId="77777777" w:rsidR="00017D8B" w:rsidRPr="002E1515" w:rsidRDefault="00017D8B" w:rsidP="00017D8B">
            <w:pPr>
              <w:jc w:val="right"/>
            </w:pPr>
            <w:r>
              <w:t>88</w:t>
            </w:r>
          </w:p>
        </w:tc>
        <w:tc>
          <w:tcPr>
            <w:tcW w:w="2335" w:type="dxa"/>
          </w:tcPr>
          <w:p w14:paraId="5FDAFAE5" w14:textId="77777777" w:rsidR="00017D8B" w:rsidRPr="00282BC3" w:rsidRDefault="00017D8B" w:rsidP="00017D8B">
            <w:pPr>
              <w:jc w:val="right"/>
            </w:pPr>
            <w:r>
              <w:t>66</w:t>
            </w:r>
          </w:p>
        </w:tc>
      </w:tr>
      <w:tr w:rsidR="00017D8B" w:rsidRPr="002E1515" w14:paraId="34C6A8D9" w14:textId="77777777" w:rsidTr="00156904">
        <w:tc>
          <w:tcPr>
            <w:tcW w:w="2643" w:type="dxa"/>
            <w:vMerge/>
          </w:tcPr>
          <w:p w14:paraId="72A22494" w14:textId="77777777" w:rsidR="00017D8B" w:rsidRPr="002E1515" w:rsidRDefault="00017D8B" w:rsidP="00017D8B"/>
        </w:tc>
        <w:tc>
          <w:tcPr>
            <w:tcW w:w="2109" w:type="dxa"/>
            <w:vAlign w:val="bottom"/>
          </w:tcPr>
          <w:p w14:paraId="51623F92" w14:textId="77777777" w:rsidR="00017D8B" w:rsidRPr="002E1515" w:rsidRDefault="00017D8B" w:rsidP="00017D8B">
            <w:pPr>
              <w:jc w:val="right"/>
            </w:pPr>
            <w:r w:rsidRPr="002E1515">
              <w:t>2-4</w:t>
            </w:r>
          </w:p>
        </w:tc>
        <w:tc>
          <w:tcPr>
            <w:tcW w:w="2358" w:type="dxa"/>
          </w:tcPr>
          <w:p w14:paraId="412D9CFB" w14:textId="77777777" w:rsidR="00017D8B" w:rsidRPr="002E1515" w:rsidRDefault="00017D8B" w:rsidP="00017D8B">
            <w:pPr>
              <w:jc w:val="right"/>
            </w:pPr>
            <w:r>
              <w:t>36</w:t>
            </w:r>
          </w:p>
        </w:tc>
        <w:tc>
          <w:tcPr>
            <w:tcW w:w="2335" w:type="dxa"/>
          </w:tcPr>
          <w:p w14:paraId="0DEC13F7" w14:textId="77777777" w:rsidR="00017D8B" w:rsidRPr="00282BC3" w:rsidRDefault="00017D8B" w:rsidP="00017D8B">
            <w:pPr>
              <w:jc w:val="right"/>
            </w:pPr>
            <w:r>
              <w:t>27</w:t>
            </w:r>
          </w:p>
        </w:tc>
      </w:tr>
      <w:tr w:rsidR="00017D8B" w:rsidRPr="002E1515" w14:paraId="3B2A74C9" w14:textId="77777777" w:rsidTr="00156904">
        <w:tc>
          <w:tcPr>
            <w:tcW w:w="2643" w:type="dxa"/>
            <w:vMerge/>
          </w:tcPr>
          <w:p w14:paraId="44485690" w14:textId="77777777" w:rsidR="00017D8B" w:rsidRPr="002E1515" w:rsidRDefault="00017D8B" w:rsidP="00017D8B"/>
        </w:tc>
        <w:tc>
          <w:tcPr>
            <w:tcW w:w="2109" w:type="dxa"/>
            <w:vAlign w:val="bottom"/>
          </w:tcPr>
          <w:p w14:paraId="262DA1F7" w14:textId="77777777" w:rsidR="00017D8B" w:rsidRPr="002E1515" w:rsidRDefault="00017D8B" w:rsidP="00017D8B">
            <w:pPr>
              <w:jc w:val="right"/>
            </w:pPr>
            <w:r w:rsidRPr="002E1515">
              <w:t>1</w:t>
            </w:r>
          </w:p>
        </w:tc>
        <w:tc>
          <w:tcPr>
            <w:tcW w:w="2358" w:type="dxa"/>
          </w:tcPr>
          <w:p w14:paraId="3FAB376E" w14:textId="77777777" w:rsidR="00017D8B" w:rsidRPr="002E1515" w:rsidRDefault="00017D8B" w:rsidP="00017D8B">
            <w:pPr>
              <w:jc w:val="right"/>
            </w:pPr>
            <w:r>
              <w:t>4</w:t>
            </w:r>
          </w:p>
        </w:tc>
        <w:tc>
          <w:tcPr>
            <w:tcW w:w="2335" w:type="dxa"/>
          </w:tcPr>
          <w:p w14:paraId="267A415E" w14:textId="77777777" w:rsidR="00017D8B" w:rsidRPr="00282BC3" w:rsidRDefault="00017D8B" w:rsidP="00017D8B">
            <w:pPr>
              <w:jc w:val="right"/>
            </w:pPr>
            <w:r>
              <w:t>3</w:t>
            </w:r>
          </w:p>
        </w:tc>
      </w:tr>
      <w:tr w:rsidR="00017D8B" w:rsidRPr="002E1515" w14:paraId="1B39DC73" w14:textId="77777777" w:rsidTr="00156904">
        <w:tc>
          <w:tcPr>
            <w:tcW w:w="2643" w:type="dxa"/>
          </w:tcPr>
          <w:p w14:paraId="66CF215A" w14:textId="77777777" w:rsidR="00017D8B" w:rsidRPr="002E1515" w:rsidRDefault="00017D8B" w:rsidP="00017D8B">
            <w:r w:rsidRPr="002E1515">
              <w:t>State</w:t>
            </w:r>
            <w:r>
              <w:t xml:space="preserve"> Police</w:t>
            </w:r>
          </w:p>
        </w:tc>
        <w:tc>
          <w:tcPr>
            <w:tcW w:w="2109" w:type="dxa"/>
            <w:vAlign w:val="bottom"/>
          </w:tcPr>
          <w:p w14:paraId="333F6DD6" w14:textId="77777777" w:rsidR="00017D8B" w:rsidRPr="002E1515" w:rsidRDefault="00017D8B" w:rsidP="00017D8B">
            <w:pPr>
              <w:jc w:val="right"/>
            </w:pPr>
            <w:r>
              <w:t>All</w:t>
            </w:r>
          </w:p>
        </w:tc>
        <w:tc>
          <w:tcPr>
            <w:tcW w:w="2358" w:type="dxa"/>
          </w:tcPr>
          <w:p w14:paraId="2365730D" w14:textId="77777777" w:rsidR="00017D8B" w:rsidRPr="002E1515" w:rsidRDefault="00017D8B" w:rsidP="00017D8B">
            <w:pPr>
              <w:jc w:val="right"/>
            </w:pPr>
            <w:r w:rsidRPr="00AA688D">
              <w:t>50</w:t>
            </w:r>
          </w:p>
        </w:tc>
        <w:tc>
          <w:tcPr>
            <w:tcW w:w="2335" w:type="dxa"/>
          </w:tcPr>
          <w:p w14:paraId="05FB7811" w14:textId="77777777" w:rsidR="00017D8B" w:rsidRPr="00282BC3" w:rsidRDefault="00017D8B" w:rsidP="00017D8B">
            <w:pPr>
              <w:jc w:val="right"/>
            </w:pPr>
            <w:r>
              <w:t>45</w:t>
            </w:r>
          </w:p>
        </w:tc>
      </w:tr>
      <w:tr w:rsidR="00017D8B" w:rsidRPr="004D5CEA" w14:paraId="2059F8B3" w14:textId="77777777" w:rsidTr="00156904">
        <w:tc>
          <w:tcPr>
            <w:tcW w:w="2643" w:type="dxa"/>
          </w:tcPr>
          <w:p w14:paraId="15CAEB11" w14:textId="77777777" w:rsidR="00017D8B" w:rsidRPr="00D534B2" w:rsidRDefault="00017D8B" w:rsidP="00017D8B">
            <w:r>
              <w:t>Total</w:t>
            </w:r>
          </w:p>
        </w:tc>
        <w:tc>
          <w:tcPr>
            <w:tcW w:w="2109" w:type="dxa"/>
          </w:tcPr>
          <w:p w14:paraId="24A8A300" w14:textId="77777777" w:rsidR="00017D8B" w:rsidRPr="00D534B2" w:rsidRDefault="00017D8B" w:rsidP="00017D8B"/>
        </w:tc>
        <w:tc>
          <w:tcPr>
            <w:tcW w:w="2358" w:type="dxa"/>
          </w:tcPr>
          <w:p w14:paraId="7481F6D6" w14:textId="77777777" w:rsidR="00017D8B" w:rsidRPr="00D534B2" w:rsidRDefault="00017D8B" w:rsidP="00017D8B">
            <w:pPr>
              <w:jc w:val="right"/>
            </w:pPr>
            <w:r>
              <w:rPr>
                <w:b/>
                <w:bCs/>
              </w:rPr>
              <w:t>3,499</w:t>
            </w:r>
          </w:p>
        </w:tc>
        <w:tc>
          <w:tcPr>
            <w:tcW w:w="2335" w:type="dxa"/>
          </w:tcPr>
          <w:p w14:paraId="38E766A7" w14:textId="77777777" w:rsidR="00017D8B" w:rsidRPr="00D534B2" w:rsidRDefault="00017D8B" w:rsidP="00017D8B">
            <w:pPr>
              <w:jc w:val="right"/>
            </w:pPr>
            <w:r>
              <w:rPr>
                <w:b/>
                <w:bCs/>
              </w:rPr>
              <w:t>3,000</w:t>
            </w:r>
          </w:p>
        </w:tc>
      </w:tr>
    </w:tbl>
    <w:p w14:paraId="36A6B150" w14:textId="72511BDD" w:rsidR="00EC6C2C" w:rsidRPr="00C06CDB" w:rsidRDefault="00EC6C2C" w:rsidP="00EC6C2C">
      <w:pPr>
        <w:pStyle w:val="SP-SglSpPara"/>
        <w:tabs>
          <w:tab w:val="clear" w:pos="576"/>
          <w:tab w:val="left" w:pos="-540"/>
        </w:tabs>
        <w:ind w:left="-540" w:right="-720" w:firstLine="540"/>
        <w:jc w:val="left"/>
        <w:rPr>
          <w:sz w:val="20"/>
        </w:rPr>
      </w:pPr>
      <w:proofErr w:type="gramStart"/>
      <w:r w:rsidRPr="00C06CDB">
        <w:rPr>
          <w:vertAlign w:val="superscript"/>
        </w:rPr>
        <w:t>a</w:t>
      </w:r>
      <w:proofErr w:type="gramEnd"/>
      <w:r>
        <w:rPr>
          <w:vertAlign w:val="superscript"/>
        </w:rPr>
        <w:t xml:space="preserve"> </w:t>
      </w:r>
      <w:r w:rsidRPr="00C06CDB">
        <w:rPr>
          <w:sz w:val="20"/>
        </w:rPr>
        <w:t xml:space="preserve">Number of </w:t>
      </w:r>
      <w:r w:rsidR="00990A93">
        <w:rPr>
          <w:sz w:val="20"/>
        </w:rPr>
        <w:t xml:space="preserve">full-time equivalent officers. </w:t>
      </w:r>
    </w:p>
    <w:p w14:paraId="33ED0C13" w14:textId="77777777" w:rsidR="00F84901" w:rsidRDefault="00F84901" w:rsidP="00F84901">
      <w:pPr>
        <w:pStyle w:val="SP-SglSpPara"/>
        <w:ind w:firstLine="0"/>
        <w:jc w:val="left"/>
        <w:rPr>
          <w:sz w:val="24"/>
          <w:szCs w:val="24"/>
        </w:rPr>
      </w:pPr>
    </w:p>
    <w:p w14:paraId="294728CD" w14:textId="77777777" w:rsidR="00975C81" w:rsidRDefault="00975C81" w:rsidP="00F84901">
      <w:pPr>
        <w:pStyle w:val="SP-SglSpPara"/>
        <w:ind w:firstLine="0"/>
        <w:jc w:val="left"/>
        <w:rPr>
          <w:sz w:val="24"/>
          <w:szCs w:val="24"/>
          <w:u w:val="single"/>
        </w:rPr>
      </w:pPr>
    </w:p>
    <w:p w14:paraId="574F0A0B" w14:textId="77777777" w:rsidR="00DD5DDC" w:rsidRDefault="00DD5DDC" w:rsidP="00F84901">
      <w:pPr>
        <w:pStyle w:val="SP-SglSpPara"/>
        <w:ind w:firstLine="0"/>
        <w:jc w:val="left"/>
        <w:rPr>
          <w:sz w:val="24"/>
          <w:szCs w:val="24"/>
          <w:u w:val="single"/>
        </w:rPr>
      </w:pPr>
    </w:p>
    <w:p w14:paraId="27F50FB8" w14:textId="77777777" w:rsidR="00F84901" w:rsidRPr="00D534B2" w:rsidRDefault="00F84901" w:rsidP="00F84901">
      <w:pPr>
        <w:pStyle w:val="SP-SglSpPara"/>
        <w:ind w:firstLine="0"/>
        <w:jc w:val="left"/>
        <w:rPr>
          <w:sz w:val="24"/>
          <w:szCs w:val="24"/>
          <w:u w:val="single"/>
        </w:rPr>
      </w:pPr>
      <w:r w:rsidRPr="00D534B2">
        <w:rPr>
          <w:sz w:val="24"/>
          <w:szCs w:val="24"/>
          <w:u w:val="single"/>
        </w:rPr>
        <w:lastRenderedPageBreak/>
        <w:t>Sampling Error</w:t>
      </w:r>
    </w:p>
    <w:p w14:paraId="7F68BF03" w14:textId="2CA6DB48" w:rsidR="00F84901" w:rsidRDefault="00140980" w:rsidP="00F84901">
      <w:pPr>
        <w:pStyle w:val="SP-SglSpPara"/>
        <w:ind w:firstLine="0"/>
        <w:rPr>
          <w:sz w:val="24"/>
          <w:szCs w:val="24"/>
        </w:rPr>
      </w:pPr>
      <w:r>
        <w:rPr>
          <w:sz w:val="24"/>
          <w:szCs w:val="24"/>
        </w:rPr>
        <w:t>Although t</w:t>
      </w:r>
      <w:r w:rsidR="00F84901">
        <w:rPr>
          <w:sz w:val="24"/>
          <w:szCs w:val="24"/>
        </w:rPr>
        <w:t xml:space="preserve">he allocation of sample size </w:t>
      </w:r>
      <w:r>
        <w:rPr>
          <w:sz w:val="24"/>
          <w:szCs w:val="24"/>
        </w:rPr>
        <w:t xml:space="preserve">will be </w:t>
      </w:r>
      <w:r w:rsidR="00F84901">
        <w:rPr>
          <w:sz w:val="24"/>
          <w:szCs w:val="24"/>
        </w:rPr>
        <w:t xml:space="preserve">made with consideration for the </w:t>
      </w:r>
      <w:r>
        <w:rPr>
          <w:sz w:val="24"/>
          <w:szCs w:val="24"/>
        </w:rPr>
        <w:t xml:space="preserve">overall national </w:t>
      </w:r>
      <w:r w:rsidR="00F84901">
        <w:rPr>
          <w:sz w:val="24"/>
          <w:szCs w:val="24"/>
        </w:rPr>
        <w:t>estimates</w:t>
      </w:r>
      <w:r>
        <w:rPr>
          <w:sz w:val="24"/>
          <w:szCs w:val="24"/>
        </w:rPr>
        <w:t xml:space="preserve">, it </w:t>
      </w:r>
      <w:r w:rsidR="00F84901">
        <w:rPr>
          <w:sz w:val="24"/>
          <w:szCs w:val="24"/>
        </w:rPr>
        <w:t xml:space="preserve">is not the only domain of interest. </w:t>
      </w:r>
      <w:r>
        <w:rPr>
          <w:sz w:val="24"/>
          <w:szCs w:val="24"/>
        </w:rPr>
        <w:t xml:space="preserve">Other </w:t>
      </w:r>
      <w:r w:rsidR="00F84901" w:rsidRPr="00456A59">
        <w:rPr>
          <w:sz w:val="24"/>
          <w:szCs w:val="24"/>
        </w:rPr>
        <w:t xml:space="preserve">domains of interest </w:t>
      </w:r>
      <w:r>
        <w:rPr>
          <w:sz w:val="24"/>
          <w:szCs w:val="24"/>
        </w:rPr>
        <w:t>include</w:t>
      </w:r>
      <w:r w:rsidR="00990A93">
        <w:rPr>
          <w:sz w:val="24"/>
          <w:szCs w:val="24"/>
        </w:rPr>
        <w:t>:</w:t>
      </w:r>
    </w:p>
    <w:p w14:paraId="7074C6A1" w14:textId="77777777" w:rsidR="00140980" w:rsidRPr="00456A59" w:rsidRDefault="00140980" w:rsidP="00F84901">
      <w:pPr>
        <w:pStyle w:val="SP-SglSpPara"/>
        <w:ind w:firstLine="0"/>
        <w:rPr>
          <w:sz w:val="24"/>
          <w:szCs w:val="24"/>
        </w:rPr>
      </w:pPr>
    </w:p>
    <w:p w14:paraId="4AF50819" w14:textId="77777777" w:rsidR="00F84901" w:rsidRPr="00456A59" w:rsidRDefault="00F84901" w:rsidP="00F84901">
      <w:pPr>
        <w:pStyle w:val="SP-SglSpPara"/>
        <w:rPr>
          <w:sz w:val="24"/>
          <w:szCs w:val="24"/>
        </w:rPr>
      </w:pPr>
      <w:r w:rsidRPr="00456A59">
        <w:rPr>
          <w:sz w:val="24"/>
          <w:szCs w:val="24"/>
        </w:rPr>
        <w:t>•</w:t>
      </w:r>
      <w:r w:rsidRPr="00456A59">
        <w:rPr>
          <w:sz w:val="24"/>
          <w:szCs w:val="24"/>
        </w:rPr>
        <w:tab/>
        <w:t>Local police departments – all sizes</w:t>
      </w:r>
    </w:p>
    <w:p w14:paraId="3544796E" w14:textId="77777777" w:rsidR="00F84901" w:rsidRPr="00456A59" w:rsidRDefault="00F84901" w:rsidP="00F84901">
      <w:pPr>
        <w:pStyle w:val="SP-SglSpPara"/>
        <w:rPr>
          <w:sz w:val="24"/>
          <w:szCs w:val="24"/>
        </w:rPr>
      </w:pPr>
      <w:r w:rsidRPr="00456A59">
        <w:rPr>
          <w:sz w:val="24"/>
          <w:szCs w:val="24"/>
        </w:rPr>
        <w:t>•</w:t>
      </w:r>
      <w:r w:rsidRPr="00456A59">
        <w:rPr>
          <w:sz w:val="24"/>
          <w:szCs w:val="24"/>
        </w:rPr>
        <w:tab/>
        <w:t>Sheriff</w:t>
      </w:r>
      <w:r w:rsidR="00140980">
        <w:rPr>
          <w:sz w:val="24"/>
          <w:szCs w:val="24"/>
        </w:rPr>
        <w:t>’s</w:t>
      </w:r>
      <w:r w:rsidRPr="00456A59">
        <w:rPr>
          <w:sz w:val="24"/>
          <w:szCs w:val="24"/>
        </w:rPr>
        <w:t xml:space="preserve"> offices – all sizes</w:t>
      </w:r>
    </w:p>
    <w:p w14:paraId="1EF33C57" w14:textId="77777777" w:rsidR="00F84901" w:rsidRPr="00456A59" w:rsidRDefault="00F84901" w:rsidP="00F84901">
      <w:pPr>
        <w:pStyle w:val="SP-SglSpPara"/>
        <w:rPr>
          <w:sz w:val="24"/>
          <w:szCs w:val="24"/>
        </w:rPr>
      </w:pPr>
      <w:r w:rsidRPr="00456A59">
        <w:rPr>
          <w:sz w:val="24"/>
          <w:szCs w:val="24"/>
        </w:rPr>
        <w:t>•</w:t>
      </w:r>
      <w:r w:rsidRPr="00456A59">
        <w:rPr>
          <w:sz w:val="24"/>
          <w:szCs w:val="24"/>
        </w:rPr>
        <w:tab/>
        <w:t>State</w:t>
      </w:r>
      <w:r w:rsidR="00140980">
        <w:rPr>
          <w:sz w:val="24"/>
          <w:szCs w:val="24"/>
        </w:rPr>
        <w:t xml:space="preserve"> police departments </w:t>
      </w:r>
      <w:r w:rsidRPr="00456A59">
        <w:rPr>
          <w:sz w:val="24"/>
          <w:szCs w:val="24"/>
        </w:rPr>
        <w:t>– all sizes</w:t>
      </w:r>
    </w:p>
    <w:p w14:paraId="745EA51A" w14:textId="77777777" w:rsidR="00F84901" w:rsidRPr="00456A59" w:rsidRDefault="00F84901" w:rsidP="00F84901">
      <w:pPr>
        <w:pStyle w:val="SP-SglSpPara"/>
        <w:rPr>
          <w:sz w:val="24"/>
          <w:szCs w:val="24"/>
        </w:rPr>
      </w:pPr>
      <w:r w:rsidRPr="00456A59">
        <w:rPr>
          <w:sz w:val="24"/>
          <w:szCs w:val="24"/>
        </w:rPr>
        <w:t>•</w:t>
      </w:r>
      <w:r w:rsidRPr="00456A59">
        <w:rPr>
          <w:sz w:val="24"/>
          <w:szCs w:val="24"/>
        </w:rPr>
        <w:tab/>
        <w:t xml:space="preserve">Local police </w:t>
      </w:r>
      <w:r w:rsidR="00140980">
        <w:rPr>
          <w:sz w:val="24"/>
          <w:szCs w:val="24"/>
        </w:rPr>
        <w:t xml:space="preserve">departments </w:t>
      </w:r>
      <w:r w:rsidRPr="00456A59">
        <w:rPr>
          <w:sz w:val="24"/>
          <w:szCs w:val="24"/>
        </w:rPr>
        <w:t>– non-self-representing</w:t>
      </w:r>
    </w:p>
    <w:p w14:paraId="6DF0CBEE" w14:textId="77777777" w:rsidR="00F84901" w:rsidRDefault="00F84901" w:rsidP="00F84901">
      <w:pPr>
        <w:pStyle w:val="SP-SglSpPara"/>
        <w:ind w:firstLine="0"/>
        <w:jc w:val="left"/>
        <w:rPr>
          <w:sz w:val="24"/>
          <w:szCs w:val="24"/>
        </w:rPr>
      </w:pPr>
      <w:r>
        <w:rPr>
          <w:sz w:val="24"/>
          <w:szCs w:val="24"/>
        </w:rPr>
        <w:tab/>
      </w:r>
      <w:r w:rsidRPr="00456A59">
        <w:rPr>
          <w:sz w:val="24"/>
          <w:szCs w:val="24"/>
        </w:rPr>
        <w:t>•</w:t>
      </w:r>
      <w:r w:rsidRPr="00456A59">
        <w:rPr>
          <w:sz w:val="24"/>
          <w:szCs w:val="24"/>
        </w:rPr>
        <w:tab/>
        <w:t>Sheriff</w:t>
      </w:r>
      <w:r w:rsidR="00140980">
        <w:rPr>
          <w:sz w:val="24"/>
          <w:szCs w:val="24"/>
        </w:rPr>
        <w:t>’s</w:t>
      </w:r>
      <w:r w:rsidRPr="00456A59">
        <w:rPr>
          <w:sz w:val="24"/>
          <w:szCs w:val="24"/>
        </w:rPr>
        <w:t xml:space="preserve"> offices – non-self-representing</w:t>
      </w:r>
      <w:r>
        <w:rPr>
          <w:sz w:val="24"/>
          <w:szCs w:val="24"/>
        </w:rPr>
        <w:t xml:space="preserve"> </w:t>
      </w:r>
    </w:p>
    <w:p w14:paraId="49CC6278" w14:textId="77777777" w:rsidR="00F84901" w:rsidRDefault="00F84901" w:rsidP="00F84901">
      <w:pPr>
        <w:pStyle w:val="SP-SglSpPara"/>
        <w:ind w:firstLine="0"/>
        <w:jc w:val="left"/>
        <w:rPr>
          <w:sz w:val="24"/>
          <w:szCs w:val="24"/>
        </w:rPr>
      </w:pPr>
    </w:p>
    <w:p w14:paraId="40EA7CEC" w14:textId="29F504A9" w:rsidR="00F84901" w:rsidRPr="00D47113" w:rsidRDefault="00F84901" w:rsidP="00F84901">
      <w:pPr>
        <w:pStyle w:val="SP-SglSpPara"/>
        <w:ind w:firstLine="0"/>
        <w:jc w:val="left"/>
        <w:rPr>
          <w:sz w:val="24"/>
          <w:szCs w:val="24"/>
        </w:rPr>
      </w:pPr>
      <w:r>
        <w:rPr>
          <w:sz w:val="24"/>
          <w:szCs w:val="24"/>
        </w:rPr>
        <w:t xml:space="preserve">The </w:t>
      </w:r>
      <w:r w:rsidR="00975C81">
        <w:rPr>
          <w:sz w:val="24"/>
          <w:szCs w:val="24"/>
        </w:rPr>
        <w:t xml:space="preserve">estimates </w:t>
      </w:r>
      <w:r>
        <w:rPr>
          <w:sz w:val="24"/>
          <w:szCs w:val="24"/>
        </w:rPr>
        <w:t>RSEs for each domain are presented in</w:t>
      </w:r>
      <w:r w:rsidR="00E00C63">
        <w:rPr>
          <w:sz w:val="24"/>
          <w:szCs w:val="24"/>
        </w:rPr>
        <w:t xml:space="preserve"> </w:t>
      </w:r>
      <w:r w:rsidR="00E00C63" w:rsidRPr="00156904">
        <w:rPr>
          <w:b/>
          <w:sz w:val="24"/>
          <w:szCs w:val="24"/>
        </w:rPr>
        <w:t>Table 10</w:t>
      </w:r>
      <w:r>
        <w:rPr>
          <w:sz w:val="24"/>
          <w:szCs w:val="24"/>
        </w:rPr>
        <w:t xml:space="preserve">. The domain with the highest RSEs is the state agencies domain. </w:t>
      </w:r>
      <w:r w:rsidR="00140980">
        <w:rPr>
          <w:sz w:val="24"/>
          <w:szCs w:val="24"/>
        </w:rPr>
        <w:t xml:space="preserve">Since all agencies in </w:t>
      </w:r>
      <w:r>
        <w:rPr>
          <w:sz w:val="24"/>
          <w:szCs w:val="24"/>
        </w:rPr>
        <w:t xml:space="preserve">this group </w:t>
      </w:r>
      <w:r w:rsidR="00140980">
        <w:rPr>
          <w:sz w:val="24"/>
          <w:szCs w:val="24"/>
        </w:rPr>
        <w:t xml:space="preserve">are sampled with certainty, </w:t>
      </w:r>
      <w:r>
        <w:rPr>
          <w:sz w:val="24"/>
          <w:szCs w:val="24"/>
        </w:rPr>
        <w:t xml:space="preserve">no allocation could improve </w:t>
      </w:r>
      <w:r w:rsidR="00140980">
        <w:rPr>
          <w:sz w:val="24"/>
          <w:szCs w:val="24"/>
        </w:rPr>
        <w:t xml:space="preserve">the RSEs for </w:t>
      </w:r>
      <w:r>
        <w:rPr>
          <w:sz w:val="24"/>
          <w:szCs w:val="24"/>
        </w:rPr>
        <w:t xml:space="preserve">this domain. Because the prevalence of </w:t>
      </w:r>
      <w:r w:rsidR="00CE6E77">
        <w:rPr>
          <w:sz w:val="24"/>
          <w:szCs w:val="24"/>
        </w:rPr>
        <w:t>female</w:t>
      </w:r>
      <w:r>
        <w:rPr>
          <w:sz w:val="24"/>
          <w:szCs w:val="24"/>
        </w:rPr>
        <w:t xml:space="preserve"> officers is lower than the other proportions of interest, the </w:t>
      </w:r>
      <w:r w:rsidR="003C6818">
        <w:rPr>
          <w:sz w:val="24"/>
          <w:szCs w:val="24"/>
        </w:rPr>
        <w:t xml:space="preserve">associated </w:t>
      </w:r>
      <w:r>
        <w:rPr>
          <w:sz w:val="24"/>
          <w:szCs w:val="24"/>
        </w:rPr>
        <w:t xml:space="preserve">RSE is higher </w:t>
      </w:r>
      <w:r w:rsidR="00140980">
        <w:rPr>
          <w:sz w:val="24"/>
          <w:szCs w:val="24"/>
        </w:rPr>
        <w:t xml:space="preserve">than those for the other selected </w:t>
      </w:r>
      <w:r w:rsidR="003C6818">
        <w:rPr>
          <w:sz w:val="24"/>
          <w:szCs w:val="24"/>
        </w:rPr>
        <w:t>statistics</w:t>
      </w:r>
      <w:r>
        <w:rPr>
          <w:sz w:val="24"/>
          <w:szCs w:val="24"/>
        </w:rPr>
        <w:t>.</w:t>
      </w:r>
    </w:p>
    <w:p w14:paraId="518D1776" w14:textId="77777777" w:rsidR="00975C81" w:rsidRDefault="00975C81" w:rsidP="00975C81">
      <w:pPr>
        <w:spacing w:line="276" w:lineRule="auto"/>
        <w:rPr>
          <w:rFonts w:eastAsia="Calibri"/>
          <w:b/>
          <w:bCs/>
          <w:iCs/>
        </w:rPr>
      </w:pPr>
      <w:bookmarkStart w:id="4" w:name="_Ref442689473"/>
    </w:p>
    <w:p w14:paraId="1FF58558" w14:textId="3CE02AB2" w:rsidR="00F84901" w:rsidRDefault="00F84901" w:rsidP="00975C81">
      <w:pPr>
        <w:spacing w:line="276" w:lineRule="auto"/>
        <w:rPr>
          <w:rFonts w:eastAsia="Calibri"/>
          <w:b/>
          <w:bCs/>
          <w:iCs/>
        </w:rPr>
      </w:pPr>
      <w:r w:rsidRPr="00C5649E">
        <w:rPr>
          <w:rFonts w:eastAsia="Calibri"/>
          <w:b/>
          <w:bCs/>
          <w:iCs/>
        </w:rPr>
        <w:t xml:space="preserve">Table </w:t>
      </w:r>
      <w:r w:rsidR="00E00C63">
        <w:rPr>
          <w:rFonts w:eastAsia="Calibri"/>
          <w:b/>
          <w:bCs/>
          <w:iCs/>
        </w:rPr>
        <w:t>10</w:t>
      </w:r>
      <w:bookmarkEnd w:id="4"/>
      <w:r w:rsidRPr="00C5649E">
        <w:rPr>
          <w:rFonts w:eastAsia="Calibri"/>
          <w:b/>
          <w:bCs/>
          <w:iCs/>
        </w:rPr>
        <w:t>: RSEs</w:t>
      </w:r>
      <w:r w:rsidR="00DD5DDC">
        <w:rPr>
          <w:rFonts w:eastAsia="Calibri"/>
          <w:b/>
          <w:bCs/>
          <w:iCs/>
        </w:rPr>
        <w:t>, by s</w:t>
      </w:r>
      <w:r w:rsidR="003C6818" w:rsidRPr="00C5649E">
        <w:rPr>
          <w:rFonts w:eastAsia="Calibri"/>
          <w:b/>
          <w:bCs/>
          <w:iCs/>
        </w:rPr>
        <w:t xml:space="preserve">elected </w:t>
      </w:r>
      <w:r w:rsidR="00DD5DDC">
        <w:rPr>
          <w:rFonts w:eastAsia="Calibri"/>
          <w:b/>
          <w:bCs/>
          <w:iCs/>
        </w:rPr>
        <w:t>s</w:t>
      </w:r>
      <w:r w:rsidR="003C6818" w:rsidRPr="00C5649E">
        <w:rPr>
          <w:rFonts w:eastAsia="Calibri"/>
          <w:b/>
          <w:bCs/>
          <w:iCs/>
        </w:rPr>
        <w:t xml:space="preserve">tatistic and </w:t>
      </w:r>
      <w:r w:rsidR="00DD5DDC">
        <w:rPr>
          <w:rFonts w:eastAsia="Calibri"/>
          <w:b/>
          <w:bCs/>
          <w:iCs/>
        </w:rPr>
        <w:t>d</w:t>
      </w:r>
      <w:r w:rsidRPr="00C5649E">
        <w:rPr>
          <w:rFonts w:eastAsia="Calibri"/>
          <w:b/>
          <w:bCs/>
          <w:iCs/>
        </w:rPr>
        <w:t>omain</w:t>
      </w:r>
      <w:r w:rsidR="009F5C3A">
        <w:rPr>
          <w:rFonts w:eastAsia="Calibri"/>
          <w:b/>
          <w:bCs/>
          <w:iCs/>
        </w:rPr>
        <w:t>, 2016 LEMAS</w:t>
      </w:r>
    </w:p>
    <w:p w14:paraId="2CC9DF23" w14:textId="77777777" w:rsidR="00975C81" w:rsidRPr="00C5649E" w:rsidRDefault="00975C81" w:rsidP="00975C81">
      <w:pPr>
        <w:spacing w:line="276" w:lineRule="auto"/>
        <w:rPr>
          <w:rFonts w:eastAsia="Calibri"/>
          <w:b/>
          <w:bCs/>
          <w:iCs/>
        </w:rPr>
      </w:pPr>
    </w:p>
    <w:tbl>
      <w:tblPr>
        <w:tblStyle w:val="TableGrid"/>
        <w:tblW w:w="0" w:type="auto"/>
        <w:tblLayout w:type="fixed"/>
        <w:tblLook w:val="04A0" w:firstRow="1" w:lastRow="0" w:firstColumn="1" w:lastColumn="0" w:noHBand="0" w:noVBand="1"/>
      </w:tblPr>
      <w:tblGrid>
        <w:gridCol w:w="1435"/>
        <w:gridCol w:w="1194"/>
        <w:gridCol w:w="1302"/>
        <w:gridCol w:w="1302"/>
        <w:gridCol w:w="1302"/>
        <w:gridCol w:w="1302"/>
        <w:gridCol w:w="1513"/>
      </w:tblGrid>
      <w:tr w:rsidR="009F5C3A" w14:paraId="3A004E4D" w14:textId="77777777" w:rsidTr="009F5C3A">
        <w:tc>
          <w:tcPr>
            <w:tcW w:w="1435" w:type="dxa"/>
            <w:shd w:val="clear" w:color="auto" w:fill="C6D9F1" w:themeFill="text2" w:themeFillTint="33"/>
            <w:vAlign w:val="bottom"/>
          </w:tcPr>
          <w:p w14:paraId="29093F9C" w14:textId="77777777" w:rsidR="009F5C3A" w:rsidRPr="00D534B2" w:rsidRDefault="009F5C3A" w:rsidP="00A717F4">
            <w:pPr>
              <w:pStyle w:val="SP-SglSpPara"/>
              <w:ind w:firstLine="0"/>
              <w:jc w:val="center"/>
              <w:rPr>
                <w:sz w:val="24"/>
                <w:szCs w:val="24"/>
              </w:rPr>
            </w:pPr>
            <w:r w:rsidRPr="00D534B2">
              <w:rPr>
                <w:bCs/>
              </w:rPr>
              <w:t>Domain</w:t>
            </w:r>
          </w:p>
        </w:tc>
        <w:tc>
          <w:tcPr>
            <w:tcW w:w="1194" w:type="dxa"/>
            <w:shd w:val="clear" w:color="auto" w:fill="C6D9F1" w:themeFill="text2" w:themeFillTint="33"/>
            <w:vAlign w:val="bottom"/>
          </w:tcPr>
          <w:p w14:paraId="62DA17D1" w14:textId="77777777" w:rsidR="009F5C3A" w:rsidRPr="00D534B2" w:rsidRDefault="009F5C3A" w:rsidP="00A717F4">
            <w:pPr>
              <w:pStyle w:val="SP-SglSpPara"/>
              <w:ind w:firstLine="0"/>
              <w:jc w:val="center"/>
              <w:rPr>
                <w:sz w:val="24"/>
                <w:szCs w:val="24"/>
              </w:rPr>
            </w:pPr>
            <w:r>
              <w:t>Budget</w:t>
            </w:r>
          </w:p>
        </w:tc>
        <w:tc>
          <w:tcPr>
            <w:tcW w:w="1302" w:type="dxa"/>
            <w:shd w:val="clear" w:color="auto" w:fill="C6D9F1" w:themeFill="text2" w:themeFillTint="33"/>
            <w:vAlign w:val="bottom"/>
          </w:tcPr>
          <w:p w14:paraId="63D08617" w14:textId="77777777" w:rsidR="009F5C3A" w:rsidRPr="00D534B2" w:rsidRDefault="009F5C3A" w:rsidP="00A717F4">
            <w:pPr>
              <w:pStyle w:val="SP-SglSpPara"/>
              <w:ind w:firstLine="0"/>
              <w:jc w:val="center"/>
              <w:rPr>
                <w:sz w:val="24"/>
                <w:szCs w:val="24"/>
              </w:rPr>
            </w:pPr>
            <w:r>
              <w:t>BWC Usage</w:t>
            </w:r>
          </w:p>
        </w:tc>
        <w:tc>
          <w:tcPr>
            <w:tcW w:w="1302" w:type="dxa"/>
            <w:shd w:val="clear" w:color="auto" w:fill="C6D9F1" w:themeFill="text2" w:themeFillTint="33"/>
            <w:vAlign w:val="bottom"/>
          </w:tcPr>
          <w:p w14:paraId="51B5000A" w14:textId="77777777" w:rsidR="009F5C3A" w:rsidRPr="00D534B2" w:rsidRDefault="009F5C3A" w:rsidP="00A717F4">
            <w:pPr>
              <w:pStyle w:val="SP-SglSpPara"/>
              <w:ind w:firstLine="0"/>
              <w:jc w:val="center"/>
              <w:rPr>
                <w:sz w:val="24"/>
                <w:szCs w:val="24"/>
              </w:rPr>
            </w:pPr>
            <w:r>
              <w:t>Community Policing</w:t>
            </w:r>
          </w:p>
        </w:tc>
        <w:tc>
          <w:tcPr>
            <w:tcW w:w="1302" w:type="dxa"/>
            <w:shd w:val="clear" w:color="auto" w:fill="C6D9F1" w:themeFill="text2" w:themeFillTint="33"/>
          </w:tcPr>
          <w:p w14:paraId="27CF57C0" w14:textId="77777777" w:rsidR="009F5C3A" w:rsidRDefault="009F5C3A" w:rsidP="00A717F4">
            <w:pPr>
              <w:pStyle w:val="SP-SglSpPara"/>
              <w:ind w:firstLine="0"/>
              <w:jc w:val="center"/>
            </w:pPr>
            <w:r>
              <w:t>Number of FTS Officers</w:t>
            </w:r>
          </w:p>
        </w:tc>
        <w:tc>
          <w:tcPr>
            <w:tcW w:w="1302" w:type="dxa"/>
            <w:shd w:val="clear" w:color="auto" w:fill="C6D9F1" w:themeFill="text2" w:themeFillTint="33"/>
            <w:vAlign w:val="bottom"/>
          </w:tcPr>
          <w:p w14:paraId="58662B9A" w14:textId="3AFB76ED" w:rsidR="009F5C3A" w:rsidRPr="00D534B2" w:rsidRDefault="009F5C3A" w:rsidP="009F5C3A">
            <w:pPr>
              <w:pStyle w:val="SP-SglSpPara"/>
              <w:ind w:firstLine="0"/>
              <w:jc w:val="center"/>
              <w:rPr>
                <w:sz w:val="24"/>
                <w:szCs w:val="24"/>
              </w:rPr>
            </w:pPr>
            <w:r>
              <w:t>Number FTNS Staff</w:t>
            </w:r>
          </w:p>
        </w:tc>
        <w:tc>
          <w:tcPr>
            <w:tcW w:w="1513" w:type="dxa"/>
            <w:shd w:val="clear" w:color="auto" w:fill="C6D9F1" w:themeFill="text2" w:themeFillTint="33"/>
            <w:vAlign w:val="bottom"/>
          </w:tcPr>
          <w:p w14:paraId="62A39E64" w14:textId="77777777" w:rsidR="009F5C3A" w:rsidRPr="00D534B2" w:rsidRDefault="009F5C3A" w:rsidP="00A717F4">
            <w:pPr>
              <w:pStyle w:val="SP-SglSpPara"/>
              <w:ind w:firstLine="0"/>
              <w:jc w:val="center"/>
              <w:rPr>
                <w:sz w:val="24"/>
                <w:szCs w:val="24"/>
              </w:rPr>
            </w:pPr>
            <w:r>
              <w:t>Female Officers</w:t>
            </w:r>
          </w:p>
        </w:tc>
      </w:tr>
      <w:tr w:rsidR="009F5C3A" w14:paraId="42BBFE6A" w14:textId="77777777" w:rsidTr="009F5C3A">
        <w:tc>
          <w:tcPr>
            <w:tcW w:w="1435" w:type="dxa"/>
          </w:tcPr>
          <w:p w14:paraId="38C8AFFF" w14:textId="77777777" w:rsidR="009F5C3A" w:rsidRDefault="009F5C3A" w:rsidP="00095B15">
            <w:pPr>
              <w:pStyle w:val="SP-SglSpPara"/>
              <w:ind w:firstLine="0"/>
              <w:jc w:val="left"/>
              <w:rPr>
                <w:sz w:val="24"/>
                <w:szCs w:val="24"/>
              </w:rPr>
            </w:pPr>
            <w:r>
              <w:t>National</w:t>
            </w:r>
          </w:p>
        </w:tc>
        <w:tc>
          <w:tcPr>
            <w:tcW w:w="1194" w:type="dxa"/>
          </w:tcPr>
          <w:p w14:paraId="0614A32E" w14:textId="77777777" w:rsidR="009F5C3A" w:rsidRPr="00A560AA" w:rsidRDefault="009F5C3A" w:rsidP="00095B15">
            <w:pPr>
              <w:pStyle w:val="SP-SglSpPara"/>
              <w:ind w:firstLine="0"/>
              <w:jc w:val="right"/>
              <w:rPr>
                <w:sz w:val="24"/>
                <w:szCs w:val="24"/>
              </w:rPr>
            </w:pPr>
            <w:r>
              <w:t>1.95%</w:t>
            </w:r>
          </w:p>
        </w:tc>
        <w:tc>
          <w:tcPr>
            <w:tcW w:w="1302" w:type="dxa"/>
          </w:tcPr>
          <w:p w14:paraId="60C4D182" w14:textId="77777777" w:rsidR="009F5C3A" w:rsidRPr="00A560AA" w:rsidRDefault="009F5C3A" w:rsidP="00095B15">
            <w:pPr>
              <w:pStyle w:val="SP-SglSpPara"/>
              <w:ind w:firstLine="0"/>
              <w:jc w:val="right"/>
              <w:rPr>
                <w:sz w:val="24"/>
                <w:szCs w:val="24"/>
              </w:rPr>
            </w:pPr>
            <w:r>
              <w:t>2.89%</w:t>
            </w:r>
          </w:p>
        </w:tc>
        <w:tc>
          <w:tcPr>
            <w:tcW w:w="1302" w:type="dxa"/>
          </w:tcPr>
          <w:p w14:paraId="79A65219" w14:textId="77777777" w:rsidR="009F5C3A" w:rsidRPr="00A560AA" w:rsidRDefault="009F5C3A" w:rsidP="00095B15">
            <w:pPr>
              <w:pStyle w:val="SP-SglSpPara"/>
              <w:ind w:firstLine="0"/>
              <w:jc w:val="right"/>
              <w:rPr>
                <w:sz w:val="24"/>
                <w:szCs w:val="24"/>
              </w:rPr>
            </w:pPr>
            <w:r>
              <w:t>1.35%</w:t>
            </w:r>
          </w:p>
        </w:tc>
        <w:tc>
          <w:tcPr>
            <w:tcW w:w="1302" w:type="dxa"/>
          </w:tcPr>
          <w:p w14:paraId="7CA87C2B" w14:textId="77777777" w:rsidR="009F5C3A" w:rsidRDefault="00E11A50" w:rsidP="00095B15">
            <w:pPr>
              <w:pStyle w:val="SP-SglSpPara"/>
              <w:ind w:firstLine="0"/>
              <w:jc w:val="right"/>
            </w:pPr>
            <w:r>
              <w:t>1.53%</w:t>
            </w:r>
          </w:p>
        </w:tc>
        <w:tc>
          <w:tcPr>
            <w:tcW w:w="1302" w:type="dxa"/>
          </w:tcPr>
          <w:p w14:paraId="66B07DD2" w14:textId="77777777" w:rsidR="009F5C3A" w:rsidRPr="00A560AA" w:rsidRDefault="009F5C3A" w:rsidP="00095B15">
            <w:pPr>
              <w:pStyle w:val="SP-SglSpPara"/>
              <w:ind w:firstLine="0"/>
              <w:jc w:val="right"/>
              <w:rPr>
                <w:sz w:val="24"/>
                <w:szCs w:val="24"/>
              </w:rPr>
            </w:pPr>
            <w:r>
              <w:t>2.24%</w:t>
            </w:r>
          </w:p>
        </w:tc>
        <w:tc>
          <w:tcPr>
            <w:tcW w:w="1513" w:type="dxa"/>
          </w:tcPr>
          <w:p w14:paraId="1BD7D967" w14:textId="77777777" w:rsidR="009F5C3A" w:rsidRPr="00A560AA" w:rsidRDefault="009F5C3A" w:rsidP="00095B15">
            <w:pPr>
              <w:pStyle w:val="SP-SglSpPara"/>
              <w:ind w:firstLine="0"/>
              <w:jc w:val="right"/>
              <w:rPr>
                <w:sz w:val="24"/>
                <w:szCs w:val="24"/>
              </w:rPr>
            </w:pPr>
            <w:r>
              <w:t>6.51%</w:t>
            </w:r>
          </w:p>
        </w:tc>
      </w:tr>
      <w:tr w:rsidR="009F5C3A" w14:paraId="3099FBDB" w14:textId="77777777" w:rsidTr="009F5C3A">
        <w:tc>
          <w:tcPr>
            <w:tcW w:w="1435" w:type="dxa"/>
          </w:tcPr>
          <w:p w14:paraId="411BF29D" w14:textId="77777777" w:rsidR="009F5C3A" w:rsidRDefault="009F5C3A" w:rsidP="00095B15">
            <w:pPr>
              <w:pStyle w:val="SP-SglSpPara"/>
              <w:ind w:firstLine="0"/>
              <w:jc w:val="left"/>
              <w:rPr>
                <w:sz w:val="24"/>
                <w:szCs w:val="24"/>
              </w:rPr>
            </w:pPr>
            <w:r>
              <w:t>Local Police</w:t>
            </w:r>
          </w:p>
        </w:tc>
        <w:tc>
          <w:tcPr>
            <w:tcW w:w="1194" w:type="dxa"/>
          </w:tcPr>
          <w:p w14:paraId="68373D29" w14:textId="77777777" w:rsidR="009F5C3A" w:rsidRPr="00A560AA" w:rsidRDefault="009F5C3A" w:rsidP="00095B15">
            <w:pPr>
              <w:pStyle w:val="SP-SglSpPara"/>
              <w:ind w:firstLine="0"/>
              <w:jc w:val="right"/>
              <w:rPr>
                <w:sz w:val="24"/>
                <w:szCs w:val="24"/>
              </w:rPr>
            </w:pPr>
            <w:r>
              <w:t>2.01%</w:t>
            </w:r>
          </w:p>
        </w:tc>
        <w:tc>
          <w:tcPr>
            <w:tcW w:w="1302" w:type="dxa"/>
          </w:tcPr>
          <w:p w14:paraId="2A323CB7" w14:textId="77777777" w:rsidR="009F5C3A" w:rsidRPr="00A560AA" w:rsidRDefault="009F5C3A" w:rsidP="00095B15">
            <w:pPr>
              <w:pStyle w:val="SP-SglSpPara"/>
              <w:ind w:firstLine="0"/>
              <w:jc w:val="right"/>
              <w:rPr>
                <w:sz w:val="24"/>
                <w:szCs w:val="24"/>
              </w:rPr>
            </w:pPr>
            <w:r>
              <w:t>3.20%</w:t>
            </w:r>
          </w:p>
        </w:tc>
        <w:tc>
          <w:tcPr>
            <w:tcW w:w="1302" w:type="dxa"/>
          </w:tcPr>
          <w:p w14:paraId="645004C1" w14:textId="77777777" w:rsidR="009F5C3A" w:rsidRPr="00A560AA" w:rsidRDefault="009F5C3A" w:rsidP="00095B15">
            <w:pPr>
              <w:pStyle w:val="SP-SglSpPara"/>
              <w:ind w:firstLine="0"/>
              <w:jc w:val="right"/>
              <w:rPr>
                <w:sz w:val="24"/>
                <w:szCs w:val="24"/>
              </w:rPr>
            </w:pPr>
            <w:r>
              <w:t>1.41%</w:t>
            </w:r>
          </w:p>
        </w:tc>
        <w:tc>
          <w:tcPr>
            <w:tcW w:w="1302" w:type="dxa"/>
          </w:tcPr>
          <w:p w14:paraId="6CD35CDE" w14:textId="77777777" w:rsidR="009F5C3A" w:rsidRDefault="00E11A50" w:rsidP="00095B15">
            <w:pPr>
              <w:pStyle w:val="SP-SglSpPara"/>
              <w:ind w:firstLine="0"/>
              <w:jc w:val="right"/>
            </w:pPr>
            <w:r>
              <w:t>1.98%</w:t>
            </w:r>
          </w:p>
        </w:tc>
        <w:tc>
          <w:tcPr>
            <w:tcW w:w="1302" w:type="dxa"/>
          </w:tcPr>
          <w:p w14:paraId="039E9B0D" w14:textId="77777777" w:rsidR="009F5C3A" w:rsidRPr="00A560AA" w:rsidRDefault="009F5C3A" w:rsidP="00095B15">
            <w:pPr>
              <w:pStyle w:val="SP-SglSpPara"/>
              <w:ind w:firstLine="0"/>
              <w:jc w:val="right"/>
              <w:rPr>
                <w:sz w:val="24"/>
                <w:szCs w:val="24"/>
              </w:rPr>
            </w:pPr>
            <w:r>
              <w:t>2.96%</w:t>
            </w:r>
          </w:p>
        </w:tc>
        <w:tc>
          <w:tcPr>
            <w:tcW w:w="1513" w:type="dxa"/>
          </w:tcPr>
          <w:p w14:paraId="76AEF27F" w14:textId="77777777" w:rsidR="009F5C3A" w:rsidRPr="00A560AA" w:rsidRDefault="009F5C3A" w:rsidP="00095B15">
            <w:pPr>
              <w:pStyle w:val="SP-SglSpPara"/>
              <w:ind w:firstLine="0"/>
              <w:jc w:val="right"/>
              <w:rPr>
                <w:sz w:val="24"/>
                <w:szCs w:val="24"/>
              </w:rPr>
            </w:pPr>
            <w:r>
              <w:t>7.69%</w:t>
            </w:r>
          </w:p>
        </w:tc>
      </w:tr>
      <w:tr w:rsidR="009F5C3A" w14:paraId="58C9EF4F" w14:textId="77777777" w:rsidTr="009F5C3A">
        <w:tc>
          <w:tcPr>
            <w:tcW w:w="1435" w:type="dxa"/>
          </w:tcPr>
          <w:p w14:paraId="1E5FD501" w14:textId="77777777" w:rsidR="009F5C3A" w:rsidRDefault="009F5C3A" w:rsidP="00095B15">
            <w:pPr>
              <w:pStyle w:val="SP-SglSpPara"/>
              <w:ind w:firstLine="0"/>
              <w:jc w:val="left"/>
              <w:rPr>
                <w:sz w:val="24"/>
                <w:szCs w:val="24"/>
              </w:rPr>
            </w:pPr>
            <w:r>
              <w:t>Sheriff’s Office</w:t>
            </w:r>
          </w:p>
        </w:tc>
        <w:tc>
          <w:tcPr>
            <w:tcW w:w="1194" w:type="dxa"/>
          </w:tcPr>
          <w:p w14:paraId="5D7B5609" w14:textId="77777777" w:rsidR="009F5C3A" w:rsidRPr="00A560AA" w:rsidRDefault="009F5C3A" w:rsidP="00095B15">
            <w:pPr>
              <w:pStyle w:val="SP-SglSpPara"/>
              <w:ind w:firstLine="0"/>
              <w:jc w:val="right"/>
              <w:rPr>
                <w:sz w:val="24"/>
                <w:szCs w:val="24"/>
              </w:rPr>
            </w:pPr>
            <w:r>
              <w:t>4.35%</w:t>
            </w:r>
          </w:p>
        </w:tc>
        <w:tc>
          <w:tcPr>
            <w:tcW w:w="1302" w:type="dxa"/>
          </w:tcPr>
          <w:p w14:paraId="5FA08CD5" w14:textId="77777777" w:rsidR="009F5C3A" w:rsidRPr="00A560AA" w:rsidRDefault="009F5C3A" w:rsidP="00095B15">
            <w:pPr>
              <w:pStyle w:val="SP-SglSpPara"/>
              <w:ind w:firstLine="0"/>
              <w:jc w:val="right"/>
              <w:rPr>
                <w:sz w:val="24"/>
                <w:szCs w:val="24"/>
              </w:rPr>
            </w:pPr>
            <w:r>
              <w:t>6.74%</w:t>
            </w:r>
          </w:p>
        </w:tc>
        <w:tc>
          <w:tcPr>
            <w:tcW w:w="1302" w:type="dxa"/>
          </w:tcPr>
          <w:p w14:paraId="2D47A0FF" w14:textId="77777777" w:rsidR="009F5C3A" w:rsidRPr="00A560AA" w:rsidRDefault="009F5C3A" w:rsidP="00095B15">
            <w:pPr>
              <w:pStyle w:val="SP-SglSpPara"/>
              <w:ind w:firstLine="0"/>
              <w:jc w:val="right"/>
              <w:rPr>
                <w:sz w:val="24"/>
                <w:szCs w:val="24"/>
              </w:rPr>
            </w:pPr>
            <w:r>
              <w:t>4.17%</w:t>
            </w:r>
          </w:p>
        </w:tc>
        <w:tc>
          <w:tcPr>
            <w:tcW w:w="1302" w:type="dxa"/>
          </w:tcPr>
          <w:p w14:paraId="2FF81368" w14:textId="77777777" w:rsidR="009F5C3A" w:rsidRDefault="00E11A50" w:rsidP="00095B15">
            <w:pPr>
              <w:pStyle w:val="SP-SglSpPara"/>
              <w:ind w:firstLine="0"/>
              <w:jc w:val="right"/>
            </w:pPr>
            <w:r>
              <w:t>2.67%</w:t>
            </w:r>
          </w:p>
        </w:tc>
        <w:tc>
          <w:tcPr>
            <w:tcW w:w="1302" w:type="dxa"/>
          </w:tcPr>
          <w:p w14:paraId="5B0D3C2B" w14:textId="77777777" w:rsidR="009F5C3A" w:rsidRPr="00A560AA" w:rsidRDefault="009F5C3A" w:rsidP="00095B15">
            <w:pPr>
              <w:pStyle w:val="SP-SglSpPara"/>
              <w:ind w:firstLine="0"/>
              <w:jc w:val="right"/>
              <w:rPr>
                <w:sz w:val="24"/>
                <w:szCs w:val="24"/>
              </w:rPr>
            </w:pPr>
            <w:r>
              <w:t>3.51%</w:t>
            </w:r>
          </w:p>
        </w:tc>
        <w:tc>
          <w:tcPr>
            <w:tcW w:w="1513" w:type="dxa"/>
          </w:tcPr>
          <w:p w14:paraId="25CA3116" w14:textId="77777777" w:rsidR="009F5C3A" w:rsidRPr="00A560AA" w:rsidRDefault="009F5C3A" w:rsidP="00095B15">
            <w:pPr>
              <w:pStyle w:val="SP-SglSpPara"/>
              <w:ind w:firstLine="0"/>
              <w:jc w:val="right"/>
              <w:rPr>
                <w:sz w:val="24"/>
                <w:szCs w:val="24"/>
              </w:rPr>
            </w:pPr>
            <w:r>
              <w:t>12.25%</w:t>
            </w:r>
          </w:p>
        </w:tc>
      </w:tr>
      <w:tr w:rsidR="009F5C3A" w14:paraId="67EF03E2" w14:textId="77777777" w:rsidTr="009F5C3A">
        <w:tc>
          <w:tcPr>
            <w:tcW w:w="1435" w:type="dxa"/>
          </w:tcPr>
          <w:p w14:paraId="55EE8D21" w14:textId="77777777" w:rsidR="009F5C3A" w:rsidRDefault="009F5C3A" w:rsidP="00095B15">
            <w:pPr>
              <w:pStyle w:val="SP-SglSpPara"/>
              <w:ind w:firstLine="0"/>
              <w:jc w:val="left"/>
              <w:rPr>
                <w:sz w:val="24"/>
                <w:szCs w:val="24"/>
              </w:rPr>
            </w:pPr>
            <w:r>
              <w:t>State Police</w:t>
            </w:r>
          </w:p>
        </w:tc>
        <w:tc>
          <w:tcPr>
            <w:tcW w:w="1194" w:type="dxa"/>
          </w:tcPr>
          <w:p w14:paraId="3BA90640" w14:textId="77777777" w:rsidR="009F5C3A" w:rsidRPr="00A560AA" w:rsidRDefault="009F5C3A" w:rsidP="00095B15">
            <w:pPr>
              <w:pStyle w:val="SP-SglSpPara"/>
              <w:ind w:firstLine="0"/>
              <w:jc w:val="right"/>
              <w:rPr>
                <w:sz w:val="24"/>
                <w:szCs w:val="24"/>
              </w:rPr>
            </w:pPr>
            <w:r>
              <w:t>6.38%</w:t>
            </w:r>
          </w:p>
        </w:tc>
        <w:tc>
          <w:tcPr>
            <w:tcW w:w="1302" w:type="dxa"/>
          </w:tcPr>
          <w:p w14:paraId="5E61A83B" w14:textId="77777777" w:rsidR="009F5C3A" w:rsidRPr="00A560AA" w:rsidRDefault="009F5C3A" w:rsidP="00095B15">
            <w:pPr>
              <w:pStyle w:val="SP-SglSpPara"/>
              <w:ind w:firstLine="0"/>
              <w:jc w:val="right"/>
              <w:rPr>
                <w:sz w:val="24"/>
                <w:szCs w:val="24"/>
              </w:rPr>
            </w:pPr>
            <w:r>
              <w:t>8.78%</w:t>
            </w:r>
          </w:p>
        </w:tc>
        <w:tc>
          <w:tcPr>
            <w:tcW w:w="1302" w:type="dxa"/>
          </w:tcPr>
          <w:p w14:paraId="637FB73F" w14:textId="77777777" w:rsidR="009F5C3A" w:rsidRPr="00A560AA" w:rsidRDefault="009F5C3A" w:rsidP="00095B15">
            <w:pPr>
              <w:pStyle w:val="SP-SglSpPara"/>
              <w:ind w:firstLine="0"/>
              <w:jc w:val="right"/>
              <w:rPr>
                <w:sz w:val="24"/>
                <w:szCs w:val="24"/>
              </w:rPr>
            </w:pPr>
            <w:r>
              <w:t>4.76%</w:t>
            </w:r>
          </w:p>
        </w:tc>
        <w:tc>
          <w:tcPr>
            <w:tcW w:w="1302" w:type="dxa"/>
          </w:tcPr>
          <w:p w14:paraId="35A5E798" w14:textId="77777777" w:rsidR="009F5C3A" w:rsidRDefault="00E11A50" w:rsidP="00095B15">
            <w:pPr>
              <w:pStyle w:val="SP-SglSpPara"/>
              <w:ind w:firstLine="0"/>
              <w:jc w:val="right"/>
            </w:pPr>
            <w:r>
              <w:t>5.32%</w:t>
            </w:r>
          </w:p>
        </w:tc>
        <w:tc>
          <w:tcPr>
            <w:tcW w:w="1302" w:type="dxa"/>
          </w:tcPr>
          <w:p w14:paraId="38B287CA" w14:textId="77777777" w:rsidR="009F5C3A" w:rsidRPr="00A560AA" w:rsidRDefault="009F5C3A" w:rsidP="00095B15">
            <w:pPr>
              <w:pStyle w:val="SP-SglSpPara"/>
              <w:ind w:firstLine="0"/>
              <w:jc w:val="right"/>
              <w:rPr>
                <w:sz w:val="24"/>
                <w:szCs w:val="24"/>
              </w:rPr>
            </w:pPr>
            <w:r>
              <w:t>6.51%</w:t>
            </w:r>
          </w:p>
        </w:tc>
        <w:tc>
          <w:tcPr>
            <w:tcW w:w="1513" w:type="dxa"/>
          </w:tcPr>
          <w:p w14:paraId="3410147E" w14:textId="77777777" w:rsidR="009F5C3A" w:rsidRPr="00A560AA" w:rsidRDefault="009F5C3A" w:rsidP="00095B15">
            <w:pPr>
              <w:pStyle w:val="SP-SglSpPara"/>
              <w:ind w:firstLine="0"/>
              <w:jc w:val="right"/>
              <w:rPr>
                <w:sz w:val="24"/>
                <w:szCs w:val="24"/>
              </w:rPr>
            </w:pPr>
            <w:r>
              <w:t>18.15%</w:t>
            </w:r>
          </w:p>
        </w:tc>
      </w:tr>
      <w:tr w:rsidR="009F5C3A" w14:paraId="404A28A4" w14:textId="77777777" w:rsidTr="009F5C3A">
        <w:tc>
          <w:tcPr>
            <w:tcW w:w="1435" w:type="dxa"/>
          </w:tcPr>
          <w:p w14:paraId="5774D456" w14:textId="77777777" w:rsidR="009F5C3A" w:rsidRDefault="009F5C3A" w:rsidP="00095B15">
            <w:pPr>
              <w:pStyle w:val="SP-SglSpPara"/>
              <w:ind w:firstLine="0"/>
              <w:jc w:val="left"/>
              <w:rPr>
                <w:sz w:val="24"/>
                <w:szCs w:val="24"/>
              </w:rPr>
            </w:pPr>
            <w:r>
              <w:t>Non-Self-Representing</w:t>
            </w:r>
          </w:p>
        </w:tc>
        <w:tc>
          <w:tcPr>
            <w:tcW w:w="1194" w:type="dxa"/>
          </w:tcPr>
          <w:p w14:paraId="3802BBE9" w14:textId="77777777" w:rsidR="009F5C3A" w:rsidRPr="00A560AA" w:rsidRDefault="009F5C3A" w:rsidP="00095B15">
            <w:pPr>
              <w:pStyle w:val="SP-SglSpPara"/>
              <w:ind w:firstLine="0"/>
              <w:jc w:val="right"/>
              <w:rPr>
                <w:sz w:val="24"/>
                <w:szCs w:val="24"/>
              </w:rPr>
            </w:pPr>
            <w:r>
              <w:t>1.85%</w:t>
            </w:r>
          </w:p>
        </w:tc>
        <w:tc>
          <w:tcPr>
            <w:tcW w:w="1302" w:type="dxa"/>
          </w:tcPr>
          <w:p w14:paraId="5BEFBD39" w14:textId="77777777" w:rsidR="009F5C3A" w:rsidRPr="00A560AA" w:rsidRDefault="009F5C3A" w:rsidP="00095B15">
            <w:pPr>
              <w:pStyle w:val="SP-SglSpPara"/>
              <w:ind w:firstLine="0"/>
              <w:jc w:val="right"/>
              <w:rPr>
                <w:sz w:val="24"/>
                <w:szCs w:val="24"/>
              </w:rPr>
            </w:pPr>
            <w:r>
              <w:t>3.03%</w:t>
            </w:r>
          </w:p>
        </w:tc>
        <w:tc>
          <w:tcPr>
            <w:tcW w:w="1302" w:type="dxa"/>
          </w:tcPr>
          <w:p w14:paraId="173B1CE9" w14:textId="77777777" w:rsidR="009F5C3A" w:rsidRPr="00A560AA" w:rsidRDefault="009F5C3A" w:rsidP="00095B15">
            <w:pPr>
              <w:pStyle w:val="SP-SglSpPara"/>
              <w:ind w:firstLine="0"/>
              <w:jc w:val="right"/>
              <w:rPr>
                <w:sz w:val="24"/>
                <w:szCs w:val="24"/>
              </w:rPr>
            </w:pPr>
            <w:r>
              <w:t>1.47%</w:t>
            </w:r>
          </w:p>
        </w:tc>
        <w:tc>
          <w:tcPr>
            <w:tcW w:w="1302" w:type="dxa"/>
          </w:tcPr>
          <w:p w14:paraId="51D0CB05" w14:textId="77777777" w:rsidR="009F5C3A" w:rsidRDefault="00E11A50" w:rsidP="00095B15">
            <w:pPr>
              <w:pStyle w:val="SP-SglSpPara"/>
              <w:ind w:firstLine="0"/>
              <w:jc w:val="right"/>
            </w:pPr>
            <w:r>
              <w:t>0.75%</w:t>
            </w:r>
          </w:p>
        </w:tc>
        <w:tc>
          <w:tcPr>
            <w:tcW w:w="1302" w:type="dxa"/>
          </w:tcPr>
          <w:p w14:paraId="52095762" w14:textId="77777777" w:rsidR="009F5C3A" w:rsidRPr="00A560AA" w:rsidRDefault="009F5C3A" w:rsidP="00095B15">
            <w:pPr>
              <w:pStyle w:val="SP-SglSpPara"/>
              <w:ind w:firstLine="0"/>
              <w:jc w:val="right"/>
              <w:rPr>
                <w:sz w:val="24"/>
                <w:szCs w:val="24"/>
              </w:rPr>
            </w:pPr>
            <w:r>
              <w:t>3.33%</w:t>
            </w:r>
          </w:p>
        </w:tc>
        <w:tc>
          <w:tcPr>
            <w:tcW w:w="1513" w:type="dxa"/>
          </w:tcPr>
          <w:p w14:paraId="4B6A18E7" w14:textId="77777777" w:rsidR="009F5C3A" w:rsidRPr="00A560AA" w:rsidRDefault="009F5C3A" w:rsidP="00095B15">
            <w:pPr>
              <w:pStyle w:val="SP-SglSpPara"/>
              <w:ind w:firstLine="0"/>
              <w:jc w:val="right"/>
              <w:rPr>
                <w:sz w:val="24"/>
                <w:szCs w:val="24"/>
              </w:rPr>
            </w:pPr>
            <w:r>
              <w:t>7.45%</w:t>
            </w:r>
          </w:p>
        </w:tc>
      </w:tr>
      <w:tr w:rsidR="009F5C3A" w14:paraId="13C3BC87" w14:textId="77777777" w:rsidTr="009F5C3A">
        <w:tc>
          <w:tcPr>
            <w:tcW w:w="1435" w:type="dxa"/>
          </w:tcPr>
          <w:p w14:paraId="7805E36E" w14:textId="77777777" w:rsidR="009F5C3A" w:rsidRDefault="009F5C3A" w:rsidP="00095B15">
            <w:pPr>
              <w:pStyle w:val="SP-SglSpPara"/>
              <w:ind w:firstLine="0"/>
              <w:jc w:val="left"/>
              <w:rPr>
                <w:sz w:val="24"/>
                <w:szCs w:val="24"/>
              </w:rPr>
            </w:pPr>
            <w:r>
              <w:t>Self-Representing</w:t>
            </w:r>
          </w:p>
        </w:tc>
        <w:tc>
          <w:tcPr>
            <w:tcW w:w="1194" w:type="dxa"/>
          </w:tcPr>
          <w:p w14:paraId="14F2FA96" w14:textId="77777777" w:rsidR="009F5C3A" w:rsidRPr="00A560AA" w:rsidRDefault="009F5C3A" w:rsidP="00095B15">
            <w:pPr>
              <w:pStyle w:val="SP-SglSpPara"/>
              <w:ind w:firstLine="0"/>
              <w:jc w:val="right"/>
              <w:rPr>
                <w:sz w:val="24"/>
                <w:szCs w:val="24"/>
              </w:rPr>
            </w:pPr>
            <w:r>
              <w:t>2.63%</w:t>
            </w:r>
          </w:p>
        </w:tc>
        <w:tc>
          <w:tcPr>
            <w:tcW w:w="1302" w:type="dxa"/>
          </w:tcPr>
          <w:p w14:paraId="4883F747" w14:textId="77777777" w:rsidR="009F5C3A" w:rsidRPr="00A560AA" w:rsidRDefault="009F5C3A" w:rsidP="00095B15">
            <w:pPr>
              <w:pStyle w:val="SP-SglSpPara"/>
              <w:ind w:firstLine="0"/>
              <w:jc w:val="right"/>
              <w:rPr>
                <w:sz w:val="24"/>
                <w:szCs w:val="24"/>
              </w:rPr>
            </w:pPr>
            <w:r>
              <w:t>1.77%</w:t>
            </w:r>
          </w:p>
        </w:tc>
        <w:tc>
          <w:tcPr>
            <w:tcW w:w="1302" w:type="dxa"/>
          </w:tcPr>
          <w:p w14:paraId="09B22DC5" w14:textId="77777777" w:rsidR="009F5C3A" w:rsidRPr="00A560AA" w:rsidRDefault="009F5C3A" w:rsidP="00095B15">
            <w:pPr>
              <w:pStyle w:val="SP-SglSpPara"/>
              <w:ind w:firstLine="0"/>
              <w:jc w:val="right"/>
              <w:rPr>
                <w:sz w:val="24"/>
                <w:szCs w:val="24"/>
              </w:rPr>
            </w:pPr>
            <w:r>
              <w:t>0.48%</w:t>
            </w:r>
          </w:p>
        </w:tc>
        <w:tc>
          <w:tcPr>
            <w:tcW w:w="1302" w:type="dxa"/>
          </w:tcPr>
          <w:p w14:paraId="1392A347" w14:textId="77777777" w:rsidR="009F5C3A" w:rsidRDefault="00E11A50" w:rsidP="00095B15">
            <w:pPr>
              <w:pStyle w:val="SP-SglSpPara"/>
              <w:ind w:firstLine="0"/>
              <w:jc w:val="right"/>
            </w:pPr>
            <w:r>
              <w:t>2.33%</w:t>
            </w:r>
          </w:p>
        </w:tc>
        <w:tc>
          <w:tcPr>
            <w:tcW w:w="1302" w:type="dxa"/>
          </w:tcPr>
          <w:p w14:paraId="7B8EA3EB" w14:textId="77777777" w:rsidR="009F5C3A" w:rsidRPr="00A560AA" w:rsidRDefault="009F5C3A" w:rsidP="00095B15">
            <w:pPr>
              <w:pStyle w:val="SP-SglSpPara"/>
              <w:ind w:firstLine="0"/>
              <w:jc w:val="right"/>
              <w:rPr>
                <w:sz w:val="24"/>
                <w:szCs w:val="24"/>
              </w:rPr>
            </w:pPr>
            <w:r>
              <w:t>2.89%</w:t>
            </w:r>
          </w:p>
        </w:tc>
        <w:tc>
          <w:tcPr>
            <w:tcW w:w="1513" w:type="dxa"/>
          </w:tcPr>
          <w:p w14:paraId="2A33795D" w14:textId="77777777" w:rsidR="009F5C3A" w:rsidRPr="00A560AA" w:rsidRDefault="009F5C3A" w:rsidP="00095B15">
            <w:pPr>
              <w:pStyle w:val="SP-SglSpPara"/>
              <w:ind w:firstLine="0"/>
              <w:jc w:val="right"/>
              <w:rPr>
                <w:sz w:val="24"/>
                <w:szCs w:val="24"/>
              </w:rPr>
            </w:pPr>
            <w:r>
              <w:t>2.27%</w:t>
            </w:r>
          </w:p>
        </w:tc>
      </w:tr>
      <w:tr w:rsidR="009F5C3A" w14:paraId="5D00587D" w14:textId="77777777" w:rsidTr="009F5C3A">
        <w:tc>
          <w:tcPr>
            <w:tcW w:w="1435" w:type="dxa"/>
          </w:tcPr>
          <w:p w14:paraId="5724556B" w14:textId="77777777" w:rsidR="009F5C3A" w:rsidRDefault="009F5C3A" w:rsidP="00095B15">
            <w:pPr>
              <w:pStyle w:val="SP-SglSpPara"/>
              <w:ind w:firstLine="0"/>
              <w:jc w:val="left"/>
              <w:rPr>
                <w:sz w:val="24"/>
                <w:szCs w:val="24"/>
              </w:rPr>
            </w:pPr>
            <w:r>
              <w:t>Local Police – Non-Self-Representing</w:t>
            </w:r>
          </w:p>
        </w:tc>
        <w:tc>
          <w:tcPr>
            <w:tcW w:w="1194" w:type="dxa"/>
          </w:tcPr>
          <w:p w14:paraId="27EDC390" w14:textId="77777777" w:rsidR="009F5C3A" w:rsidRPr="00A560AA" w:rsidRDefault="009F5C3A" w:rsidP="00095B15">
            <w:pPr>
              <w:pStyle w:val="SP-SglSpPara"/>
              <w:ind w:firstLine="0"/>
              <w:jc w:val="right"/>
              <w:rPr>
                <w:sz w:val="24"/>
                <w:szCs w:val="24"/>
              </w:rPr>
            </w:pPr>
            <w:r>
              <w:t>1.66%</w:t>
            </w:r>
          </w:p>
        </w:tc>
        <w:tc>
          <w:tcPr>
            <w:tcW w:w="1302" w:type="dxa"/>
          </w:tcPr>
          <w:p w14:paraId="67742F0C" w14:textId="77777777" w:rsidR="009F5C3A" w:rsidRPr="00A560AA" w:rsidRDefault="009F5C3A" w:rsidP="00095B15">
            <w:pPr>
              <w:pStyle w:val="SP-SglSpPara"/>
              <w:ind w:firstLine="0"/>
              <w:jc w:val="right"/>
              <w:rPr>
                <w:sz w:val="24"/>
                <w:szCs w:val="24"/>
              </w:rPr>
            </w:pPr>
            <w:r>
              <w:t>3.32%</w:t>
            </w:r>
          </w:p>
        </w:tc>
        <w:tc>
          <w:tcPr>
            <w:tcW w:w="1302" w:type="dxa"/>
          </w:tcPr>
          <w:p w14:paraId="6F3DC0FD" w14:textId="77777777" w:rsidR="009F5C3A" w:rsidRPr="00A560AA" w:rsidRDefault="009F5C3A" w:rsidP="00095B15">
            <w:pPr>
              <w:pStyle w:val="SP-SglSpPara"/>
              <w:ind w:firstLine="0"/>
              <w:jc w:val="right"/>
              <w:rPr>
                <w:sz w:val="24"/>
                <w:szCs w:val="24"/>
              </w:rPr>
            </w:pPr>
            <w:r>
              <w:t>1.51%</w:t>
            </w:r>
          </w:p>
        </w:tc>
        <w:tc>
          <w:tcPr>
            <w:tcW w:w="1302" w:type="dxa"/>
          </w:tcPr>
          <w:p w14:paraId="2F219DC0" w14:textId="77777777" w:rsidR="009F5C3A" w:rsidRDefault="00E11A50" w:rsidP="00095B15">
            <w:pPr>
              <w:pStyle w:val="SP-SglSpPara"/>
              <w:ind w:firstLine="0"/>
              <w:jc w:val="right"/>
            </w:pPr>
            <w:r>
              <w:t>0.83%</w:t>
            </w:r>
          </w:p>
        </w:tc>
        <w:tc>
          <w:tcPr>
            <w:tcW w:w="1302" w:type="dxa"/>
          </w:tcPr>
          <w:p w14:paraId="37ADA1B2" w14:textId="77777777" w:rsidR="009F5C3A" w:rsidRPr="00A560AA" w:rsidRDefault="009F5C3A" w:rsidP="00095B15">
            <w:pPr>
              <w:pStyle w:val="SP-SglSpPara"/>
              <w:ind w:firstLine="0"/>
              <w:jc w:val="right"/>
              <w:rPr>
                <w:sz w:val="24"/>
                <w:szCs w:val="24"/>
              </w:rPr>
            </w:pPr>
            <w:r>
              <w:t>2.57%</w:t>
            </w:r>
          </w:p>
        </w:tc>
        <w:tc>
          <w:tcPr>
            <w:tcW w:w="1513" w:type="dxa"/>
          </w:tcPr>
          <w:p w14:paraId="1B21066E" w14:textId="77777777" w:rsidR="009F5C3A" w:rsidRPr="00A560AA" w:rsidRDefault="009F5C3A" w:rsidP="00095B15">
            <w:pPr>
              <w:pStyle w:val="SP-SglSpPara"/>
              <w:ind w:firstLine="0"/>
              <w:jc w:val="right"/>
              <w:rPr>
                <w:sz w:val="24"/>
                <w:szCs w:val="24"/>
              </w:rPr>
            </w:pPr>
            <w:r>
              <w:t>8.59%</w:t>
            </w:r>
          </w:p>
        </w:tc>
      </w:tr>
      <w:tr w:rsidR="009F5C3A" w14:paraId="467F0C1D" w14:textId="77777777" w:rsidTr="009F5C3A">
        <w:tc>
          <w:tcPr>
            <w:tcW w:w="1435" w:type="dxa"/>
          </w:tcPr>
          <w:p w14:paraId="714FABE4" w14:textId="77777777" w:rsidR="009F5C3A" w:rsidRDefault="009F5C3A" w:rsidP="00095B15">
            <w:pPr>
              <w:pStyle w:val="SP-SglSpPara"/>
              <w:ind w:firstLine="0"/>
              <w:jc w:val="left"/>
              <w:rPr>
                <w:sz w:val="24"/>
                <w:szCs w:val="24"/>
              </w:rPr>
            </w:pPr>
            <w:r>
              <w:t>Sheriff’s Office – Non-Self-Representing</w:t>
            </w:r>
          </w:p>
        </w:tc>
        <w:tc>
          <w:tcPr>
            <w:tcW w:w="1194" w:type="dxa"/>
          </w:tcPr>
          <w:p w14:paraId="18824D08" w14:textId="77777777" w:rsidR="009F5C3A" w:rsidRPr="00A560AA" w:rsidRDefault="009F5C3A" w:rsidP="00095B15">
            <w:pPr>
              <w:pStyle w:val="SP-SglSpPara"/>
              <w:ind w:firstLine="0"/>
              <w:jc w:val="right"/>
              <w:rPr>
                <w:sz w:val="24"/>
                <w:szCs w:val="24"/>
              </w:rPr>
            </w:pPr>
            <w:r>
              <w:t>4.92%</w:t>
            </w:r>
          </w:p>
        </w:tc>
        <w:tc>
          <w:tcPr>
            <w:tcW w:w="1302" w:type="dxa"/>
          </w:tcPr>
          <w:p w14:paraId="59D1E17B" w14:textId="77777777" w:rsidR="009F5C3A" w:rsidRPr="00A560AA" w:rsidRDefault="009F5C3A" w:rsidP="00095B15">
            <w:pPr>
              <w:pStyle w:val="SP-SglSpPara"/>
              <w:ind w:firstLine="0"/>
              <w:jc w:val="right"/>
              <w:rPr>
                <w:sz w:val="24"/>
                <w:szCs w:val="24"/>
              </w:rPr>
            </w:pPr>
            <w:r>
              <w:t>7.46%</w:t>
            </w:r>
          </w:p>
        </w:tc>
        <w:tc>
          <w:tcPr>
            <w:tcW w:w="1302" w:type="dxa"/>
          </w:tcPr>
          <w:p w14:paraId="63C400A7" w14:textId="77777777" w:rsidR="009F5C3A" w:rsidRPr="00A560AA" w:rsidRDefault="009F5C3A" w:rsidP="00095B15">
            <w:pPr>
              <w:pStyle w:val="SP-SglSpPara"/>
              <w:ind w:firstLine="0"/>
              <w:jc w:val="right"/>
              <w:rPr>
                <w:sz w:val="24"/>
                <w:szCs w:val="24"/>
              </w:rPr>
            </w:pPr>
            <w:r>
              <w:t>5.11%</w:t>
            </w:r>
          </w:p>
        </w:tc>
        <w:tc>
          <w:tcPr>
            <w:tcW w:w="1302" w:type="dxa"/>
          </w:tcPr>
          <w:p w14:paraId="7159DFC1" w14:textId="77777777" w:rsidR="009F5C3A" w:rsidRDefault="00E11A50" w:rsidP="00095B15">
            <w:pPr>
              <w:pStyle w:val="SP-SglSpPara"/>
              <w:ind w:firstLine="0"/>
              <w:jc w:val="right"/>
            </w:pPr>
            <w:r>
              <w:t>1.65%</w:t>
            </w:r>
          </w:p>
        </w:tc>
        <w:tc>
          <w:tcPr>
            <w:tcW w:w="1302" w:type="dxa"/>
          </w:tcPr>
          <w:p w14:paraId="1FE9EE32" w14:textId="77777777" w:rsidR="009F5C3A" w:rsidRPr="00A560AA" w:rsidRDefault="009F5C3A" w:rsidP="00095B15">
            <w:pPr>
              <w:pStyle w:val="SP-SglSpPara"/>
              <w:ind w:firstLine="0"/>
              <w:jc w:val="right"/>
              <w:rPr>
                <w:sz w:val="24"/>
                <w:szCs w:val="24"/>
              </w:rPr>
            </w:pPr>
            <w:r>
              <w:t>5.48%</w:t>
            </w:r>
          </w:p>
        </w:tc>
        <w:tc>
          <w:tcPr>
            <w:tcW w:w="1513" w:type="dxa"/>
          </w:tcPr>
          <w:p w14:paraId="6C63AA09" w14:textId="77777777" w:rsidR="009F5C3A" w:rsidRPr="00A560AA" w:rsidRDefault="009F5C3A" w:rsidP="00095B15">
            <w:pPr>
              <w:pStyle w:val="SP-SglSpPara"/>
              <w:ind w:firstLine="0"/>
              <w:jc w:val="right"/>
              <w:rPr>
                <w:sz w:val="24"/>
                <w:szCs w:val="24"/>
              </w:rPr>
            </w:pPr>
            <w:r>
              <w:t>15.01%</w:t>
            </w:r>
          </w:p>
        </w:tc>
      </w:tr>
    </w:tbl>
    <w:p w14:paraId="13007D4B" w14:textId="77777777" w:rsidR="00F84901" w:rsidRDefault="00F84901" w:rsidP="00F84901">
      <w:pPr>
        <w:pStyle w:val="SP-SglSpPara"/>
        <w:ind w:firstLine="0"/>
        <w:jc w:val="left"/>
        <w:rPr>
          <w:sz w:val="24"/>
          <w:szCs w:val="24"/>
        </w:rPr>
      </w:pPr>
    </w:p>
    <w:p w14:paraId="14D36809" w14:textId="77777777" w:rsidR="00F84901" w:rsidRPr="00D534B2" w:rsidRDefault="00F84901" w:rsidP="00F84901">
      <w:pPr>
        <w:pStyle w:val="SP-SglSpPara"/>
        <w:ind w:firstLine="0"/>
        <w:rPr>
          <w:sz w:val="24"/>
          <w:szCs w:val="24"/>
          <w:u w:val="single"/>
        </w:rPr>
      </w:pPr>
      <w:r w:rsidRPr="00D534B2">
        <w:rPr>
          <w:sz w:val="24"/>
          <w:szCs w:val="24"/>
          <w:u w:val="single"/>
        </w:rPr>
        <w:t>Final Sampling Design</w:t>
      </w:r>
    </w:p>
    <w:p w14:paraId="0D4AE72E" w14:textId="0D639CBF" w:rsidR="00F84901" w:rsidRPr="00855D09" w:rsidRDefault="00F84901" w:rsidP="00F84901">
      <w:pPr>
        <w:pStyle w:val="SP-SglSpPara"/>
        <w:ind w:firstLine="0"/>
        <w:jc w:val="left"/>
        <w:rPr>
          <w:sz w:val="24"/>
          <w:szCs w:val="24"/>
        </w:rPr>
      </w:pPr>
      <w:r w:rsidRPr="00855D09">
        <w:rPr>
          <w:sz w:val="24"/>
          <w:szCs w:val="24"/>
        </w:rPr>
        <w:t xml:space="preserve">The final design </w:t>
      </w:r>
      <w:r w:rsidR="00986A0E" w:rsidRPr="00855D09">
        <w:rPr>
          <w:sz w:val="24"/>
          <w:szCs w:val="24"/>
        </w:rPr>
        <w:t xml:space="preserve">for the 2016 LEMAS </w:t>
      </w:r>
      <w:r w:rsidR="00AA688D" w:rsidRPr="001B2488">
        <w:rPr>
          <w:sz w:val="24"/>
          <w:szCs w:val="24"/>
        </w:rPr>
        <w:t>will mirror the m</w:t>
      </w:r>
      <w:r w:rsidR="00855D09" w:rsidRPr="00855D09">
        <w:rPr>
          <w:sz w:val="24"/>
          <w:szCs w:val="24"/>
        </w:rPr>
        <w:t xml:space="preserve">ethods used in the previous </w:t>
      </w:r>
      <w:r w:rsidR="00855D09">
        <w:rPr>
          <w:sz w:val="24"/>
          <w:szCs w:val="24"/>
        </w:rPr>
        <w:t xml:space="preserve">LEMAS </w:t>
      </w:r>
      <w:r w:rsidR="00AA688D" w:rsidRPr="00855D09">
        <w:rPr>
          <w:sz w:val="24"/>
          <w:szCs w:val="24"/>
        </w:rPr>
        <w:t>administrations: (1) strata will be</w:t>
      </w:r>
      <w:r w:rsidR="00AA688D" w:rsidRPr="001B2488">
        <w:rPr>
          <w:sz w:val="24"/>
          <w:szCs w:val="24"/>
        </w:rPr>
        <w:t xml:space="preserve"> based on agency type and number of full-time equivalent </w:t>
      </w:r>
      <w:r w:rsidR="00AA688D" w:rsidRPr="00855D09">
        <w:rPr>
          <w:sz w:val="24"/>
          <w:szCs w:val="24"/>
        </w:rPr>
        <w:t xml:space="preserve">sworn officer as shown in Table 2 and (2) </w:t>
      </w:r>
      <w:r w:rsidR="00AA688D" w:rsidRPr="00156904">
        <w:rPr>
          <w:rFonts w:eastAsia="Calibri"/>
          <w:bCs/>
          <w:sz w:val="24"/>
          <w:szCs w:val="24"/>
        </w:rPr>
        <w:t xml:space="preserve">sample size allocation will be based on the proportional number of agencies </w:t>
      </w:r>
      <w:r w:rsidR="00855D09" w:rsidRPr="00156904">
        <w:rPr>
          <w:rFonts w:eastAsia="Calibri"/>
          <w:bCs/>
          <w:sz w:val="24"/>
          <w:szCs w:val="24"/>
        </w:rPr>
        <w:t xml:space="preserve">within in each strata. The LEAR will serve as the sampling frame with and estimated sample size of 3,499 agencies for the 2016 LEMAS. Sample allocation by strata for the 2016 LEMAS are shown in Table 9. </w:t>
      </w:r>
    </w:p>
    <w:p w14:paraId="0D93953F" w14:textId="77777777" w:rsidR="00E6742D" w:rsidRDefault="00E6742D" w:rsidP="00E6742D">
      <w:pPr>
        <w:pStyle w:val="SP-SglSpPara"/>
        <w:ind w:firstLine="0"/>
        <w:jc w:val="left"/>
        <w:rPr>
          <w:sz w:val="24"/>
          <w:szCs w:val="24"/>
        </w:rPr>
      </w:pPr>
    </w:p>
    <w:p w14:paraId="7ED2B372" w14:textId="77777777" w:rsidR="00DD5DDC" w:rsidRPr="00596C3F" w:rsidRDefault="00DD5DDC" w:rsidP="00E6742D">
      <w:pPr>
        <w:pStyle w:val="SP-SglSpPara"/>
        <w:ind w:firstLine="0"/>
        <w:jc w:val="left"/>
        <w:rPr>
          <w:sz w:val="24"/>
          <w:szCs w:val="24"/>
        </w:rPr>
      </w:pPr>
    </w:p>
    <w:p w14:paraId="71D15AF0" w14:textId="77777777" w:rsidR="00A6699A" w:rsidRDefault="00E6742D" w:rsidP="0088712E">
      <w:pPr>
        <w:pStyle w:val="ListParagraph"/>
        <w:numPr>
          <w:ilvl w:val="0"/>
          <w:numId w:val="5"/>
        </w:numPr>
        <w:rPr>
          <w:b/>
          <w:u w:val="single"/>
        </w:rPr>
      </w:pPr>
      <w:r w:rsidRPr="00596C3F">
        <w:rPr>
          <w:b/>
          <w:u w:val="single"/>
        </w:rPr>
        <w:lastRenderedPageBreak/>
        <w:t>Procedures for Collecting Information</w:t>
      </w:r>
      <w:r w:rsidR="00A6699A">
        <w:rPr>
          <w:b/>
          <w:u w:val="single"/>
        </w:rPr>
        <w:t xml:space="preserve"> </w:t>
      </w:r>
    </w:p>
    <w:p w14:paraId="079AAD37" w14:textId="77777777" w:rsidR="00A6699A" w:rsidRPr="00596C3F" w:rsidRDefault="00A6699A" w:rsidP="0088712E">
      <w:pPr>
        <w:pStyle w:val="ListParagraph"/>
        <w:ind w:left="0"/>
        <w:rPr>
          <w:b/>
          <w:u w:val="single"/>
        </w:rPr>
      </w:pPr>
    </w:p>
    <w:p w14:paraId="53F3CC8E" w14:textId="5103F9C4" w:rsidR="00D51B2B" w:rsidRDefault="00D51B2B" w:rsidP="00D51B2B">
      <w:pPr>
        <w:pStyle w:val="ListParagraph"/>
        <w:ind w:left="0"/>
      </w:pPr>
      <w:r w:rsidRPr="00156904">
        <w:rPr>
          <w:i/>
        </w:rPr>
        <w:t xml:space="preserve">Data </w:t>
      </w:r>
      <w:r w:rsidR="009740BB" w:rsidRPr="00156904">
        <w:rPr>
          <w:i/>
        </w:rPr>
        <w:t>C</w:t>
      </w:r>
      <w:r w:rsidRPr="00156904">
        <w:rPr>
          <w:i/>
        </w:rPr>
        <w:t>ollection</w:t>
      </w:r>
      <w:r w:rsidR="009740BB" w:rsidRPr="00156904">
        <w:rPr>
          <w:i/>
        </w:rPr>
        <w:t xml:space="preserve"> Procedures</w:t>
      </w:r>
      <w:r w:rsidR="009740BB">
        <w:t>.</w:t>
      </w:r>
      <w:r w:rsidRPr="00596C3F">
        <w:t xml:space="preserve"> </w:t>
      </w:r>
      <w:r w:rsidR="009740BB">
        <w:t>T</w:t>
      </w:r>
      <w:r>
        <w:t>he 2016 LEMAS will involve a series of mailings and non-response follow-up activities</w:t>
      </w:r>
      <w:r w:rsidR="00156904">
        <w:t>.</w:t>
      </w:r>
      <w:r w:rsidR="00156904" w:rsidRPr="00156904">
        <w:t xml:space="preserve"> </w:t>
      </w:r>
      <w:r w:rsidR="00156904">
        <w:t xml:space="preserve">Data collection will begin with a survey invitation </w:t>
      </w:r>
      <w:r w:rsidR="00156904" w:rsidRPr="00596C3F">
        <w:t xml:space="preserve">letter </w:t>
      </w:r>
      <w:r w:rsidR="00156904">
        <w:t>(</w:t>
      </w:r>
      <w:r w:rsidR="00156904" w:rsidRPr="00596C3F">
        <w:t>mailed via USPS</w:t>
      </w:r>
      <w:r w:rsidR="00156904">
        <w:t xml:space="preserve">) and an email </w:t>
      </w:r>
      <w:r w:rsidR="00156904" w:rsidRPr="00596C3F">
        <w:t xml:space="preserve">to the point of contact (POC) for each LEA to inform him or her about the </w:t>
      </w:r>
      <w:r w:rsidR="00156904">
        <w:t xml:space="preserve">survey. This letter will be signed by the Director of BJS and </w:t>
      </w:r>
      <w:r w:rsidR="00156904" w:rsidRPr="00596C3F">
        <w:t xml:space="preserve">explain the purpose </w:t>
      </w:r>
      <w:r w:rsidR="00156904">
        <w:t xml:space="preserve">and significance </w:t>
      </w:r>
      <w:r w:rsidR="00156904" w:rsidRPr="00596C3F">
        <w:t xml:space="preserve">of </w:t>
      </w:r>
      <w:r w:rsidR="00156904">
        <w:t>the survey. It will include the survey web address and agency-specific log-in credentials (</w:t>
      </w:r>
      <w:r w:rsidR="00156904" w:rsidRPr="00D534B2">
        <w:t xml:space="preserve">Attachment </w:t>
      </w:r>
      <w:r w:rsidR="00156904">
        <w:t>7</w:t>
      </w:r>
      <w:r w:rsidR="00156904" w:rsidRPr="00D534B2">
        <w:t xml:space="preserve">). The </w:t>
      </w:r>
      <w:r w:rsidR="00156904">
        <w:t>survey invitation letter</w:t>
      </w:r>
      <w:r w:rsidR="00156904" w:rsidRPr="00D534B2">
        <w:t xml:space="preserve"> </w:t>
      </w:r>
      <w:r w:rsidR="00156904">
        <w:t xml:space="preserve">also </w:t>
      </w:r>
      <w:r w:rsidR="00156904" w:rsidRPr="00D534B2">
        <w:t xml:space="preserve">will </w:t>
      </w:r>
      <w:r w:rsidR="00156904">
        <w:t xml:space="preserve">provide </w:t>
      </w:r>
      <w:r w:rsidR="00156904" w:rsidRPr="00D534B2">
        <w:t>a toll-free telephone number and project-specific e-mail address</w:t>
      </w:r>
      <w:r w:rsidR="00156904">
        <w:t xml:space="preserve"> for the survey Help Desk</w:t>
      </w:r>
      <w:r w:rsidR="00156904" w:rsidRPr="00D534B2">
        <w:t xml:space="preserve"> should the POC have any questions. Instructions for changing the POC via the survey website, fax, or </w:t>
      </w:r>
      <w:r w:rsidR="00156904">
        <w:t>tele</w:t>
      </w:r>
      <w:r w:rsidR="00156904" w:rsidRPr="00D534B2">
        <w:t xml:space="preserve">phone will be </w:t>
      </w:r>
      <w:r w:rsidR="00156904">
        <w:t>included</w:t>
      </w:r>
      <w:r w:rsidR="00156904" w:rsidRPr="00D534B2">
        <w:t xml:space="preserve"> in the event the LEA needs to change the PO</w:t>
      </w:r>
      <w:r w:rsidR="00156904">
        <w:t>C to a more appropriate person. Included with the survey invitation letter will be</w:t>
      </w:r>
      <w:r>
        <w:t xml:space="preserve"> </w:t>
      </w:r>
      <w:r w:rsidR="00DD462A">
        <w:t xml:space="preserve">an </w:t>
      </w:r>
      <w:r w:rsidR="009740BB">
        <w:t>informational flyer (Attachment</w:t>
      </w:r>
      <w:r w:rsidR="00156904">
        <w:t xml:space="preserve"> 8</w:t>
      </w:r>
      <w:r w:rsidR="009740BB">
        <w:t>). The flyer will explain the new design of the LEMAS—the supplement and core approach—and the importance of agenc</w:t>
      </w:r>
      <w:r w:rsidR="00E77256">
        <w:t xml:space="preserve">y participation in </w:t>
      </w:r>
      <w:r w:rsidR="009740BB">
        <w:t xml:space="preserve">each survey. The flyer </w:t>
      </w:r>
      <w:r w:rsidR="00DD462A">
        <w:t xml:space="preserve">will also </w:t>
      </w:r>
      <w:r w:rsidR="009740BB">
        <w:t>explain to SR agencies and any overlapping NSR agencies why they are receiving the 2016 LEMAS core shortly after t</w:t>
      </w:r>
      <w:r w:rsidR="00DD462A">
        <w:t>hey have</w:t>
      </w:r>
      <w:r w:rsidR="009740BB">
        <w:t xml:space="preserve"> receiv</w:t>
      </w:r>
      <w:r w:rsidR="00DD462A">
        <w:t>ed</w:t>
      </w:r>
      <w:r w:rsidR="009740BB">
        <w:t xml:space="preserve"> the 2016 Body-Worn Camera Supplement. </w:t>
      </w:r>
      <w:r w:rsidRPr="00D534B2">
        <w:t>Accompanying this lead letter will be</w:t>
      </w:r>
      <w:r>
        <w:t xml:space="preserve"> BJS Confidentiality Assurances (Attachment </w:t>
      </w:r>
      <w:r w:rsidR="0011312E">
        <w:t>9</w:t>
      </w:r>
      <w:r>
        <w:t>),</w:t>
      </w:r>
      <w:r w:rsidRPr="00D534B2">
        <w:t xml:space="preserve"> </w:t>
      </w:r>
      <w:r>
        <w:t xml:space="preserve">a letter of support from the Police Executive Research Forum (PERF) (Attachment </w:t>
      </w:r>
      <w:r w:rsidR="0011312E">
        <w:t>10</w:t>
      </w:r>
      <w:r>
        <w:t xml:space="preserve">), a POC Update Form (Attachment </w:t>
      </w:r>
      <w:r w:rsidR="0011312E">
        <w:t>11</w:t>
      </w:r>
      <w:r>
        <w:t>) that the recipient can use to fax contact information for a newly designated POC</w:t>
      </w:r>
      <w:r w:rsidR="009740BB">
        <w:t xml:space="preserve">, and a paper copy of the 2016 LEMAS instrument to </w:t>
      </w:r>
      <w:r w:rsidR="00DD462A">
        <w:t xml:space="preserve">inform </w:t>
      </w:r>
      <w:r w:rsidR="009740BB">
        <w:t xml:space="preserve">respondents </w:t>
      </w:r>
      <w:r w:rsidR="00DD462A">
        <w:t xml:space="preserve">about the types of </w:t>
      </w:r>
      <w:r w:rsidR="009740BB">
        <w:t xml:space="preserve">information they will need to collect prior to completing the survey (Attachment </w:t>
      </w:r>
      <w:r w:rsidR="007E05A7" w:rsidRPr="007E05A7">
        <w:t>1</w:t>
      </w:r>
      <w:r w:rsidR="009740BB">
        <w:t>)</w:t>
      </w:r>
      <w:r>
        <w:t>.</w:t>
      </w:r>
      <w:r w:rsidRPr="00596C3F">
        <w:t xml:space="preserve"> </w:t>
      </w:r>
      <w:r>
        <w:t xml:space="preserve">Approximately </w:t>
      </w:r>
      <w:r w:rsidR="00E77256">
        <w:t xml:space="preserve">1 </w:t>
      </w:r>
      <w:r>
        <w:t>week after sending the survey invitation letter, RTI will send an e-mail message that is identical to the survey invitation letter to those recipients for whom an email address is available to confirm receipt of the study materials.</w:t>
      </w:r>
      <w:r w:rsidR="00975C81">
        <w:t xml:space="preserve"> Within three weeks of receiving a survey, the respondent will receive a thank you email or letter depending on the completion mode (Attachment 12). The thank you will formally acknowledge receipt of the survey and state that the agency may be contacted for clarification once their survey responses are processed. </w:t>
      </w:r>
    </w:p>
    <w:p w14:paraId="4AFB388E" w14:textId="77777777" w:rsidR="00D51B2B" w:rsidRDefault="00D51B2B" w:rsidP="00D51B2B">
      <w:pPr>
        <w:pStyle w:val="ListParagraph"/>
        <w:ind w:left="0"/>
      </w:pPr>
    </w:p>
    <w:p w14:paraId="26E35D91" w14:textId="5E450304" w:rsidR="00FE1C5A" w:rsidRDefault="0011312E" w:rsidP="00D51B2B">
      <w:pPr>
        <w:pStyle w:val="ListParagraph"/>
        <w:ind w:left="0"/>
      </w:pPr>
      <w:r>
        <w:t xml:space="preserve">Three </w:t>
      </w:r>
      <w:r w:rsidR="00D51B2B">
        <w:t xml:space="preserve">weeks after sending the survey invitation letters, a reminder email will be sent to all POCs, including those who are newly identified (Attachment </w:t>
      </w:r>
      <w:r w:rsidR="00975C81">
        <w:t>13</w:t>
      </w:r>
      <w:r w:rsidR="00D51B2B">
        <w:t xml:space="preserve">). These emails, signed by the BJS Project Manager, will express the importance of the LEMAS to the LEA community and encourage response via the online survey (or </w:t>
      </w:r>
      <w:r w:rsidR="00DD462A">
        <w:t>paper</w:t>
      </w:r>
      <w:r w:rsidR="00D51B2B">
        <w:t xml:space="preserve"> copy</w:t>
      </w:r>
      <w:r w:rsidR="00E77256">
        <w:t>,</w:t>
      </w:r>
      <w:r w:rsidR="00D51B2B">
        <w:t xml:space="preserve"> if preferred). The reminder</w:t>
      </w:r>
      <w:r w:rsidR="00736FFB">
        <w:t xml:space="preserve"> email</w:t>
      </w:r>
      <w:r w:rsidR="00D51B2B">
        <w:t xml:space="preserve"> will also include </w:t>
      </w:r>
      <w:r w:rsidR="00FE1C5A">
        <w:t>a copy of the paper questionnaire</w:t>
      </w:r>
      <w:r w:rsidR="00D51B2B">
        <w:t xml:space="preserve">, so that respondents can gather the appropriate resources before beginning the survey. Three weeks after the reminder emails are sent, RTI will </w:t>
      </w:r>
      <w:r w:rsidR="008C7848">
        <w:t xml:space="preserve">mail </w:t>
      </w:r>
      <w:r w:rsidR="00D51B2B">
        <w:t xml:space="preserve">a </w:t>
      </w:r>
      <w:r w:rsidR="00FE1C5A">
        <w:t xml:space="preserve">second </w:t>
      </w:r>
      <w:r w:rsidR="00D51B2B">
        <w:t>reminder letter to POCs (Attachment 1</w:t>
      </w:r>
      <w:r w:rsidR="00975C81">
        <w:t>4</w:t>
      </w:r>
      <w:r w:rsidR="00D51B2B">
        <w:t>)</w:t>
      </w:r>
      <w:r w:rsidR="00FE1C5A">
        <w:t xml:space="preserve"> that will include the website information and instructions on how to download another paper copy of the questionnaire if needed</w:t>
      </w:r>
      <w:r w:rsidR="00D51B2B">
        <w:t xml:space="preserve">.  Three weeks after sending the </w:t>
      </w:r>
      <w:r w:rsidR="00FE1C5A">
        <w:t xml:space="preserve">second </w:t>
      </w:r>
      <w:r w:rsidR="00D51B2B">
        <w:t>reminder</w:t>
      </w:r>
      <w:r w:rsidR="00FE1C5A">
        <w:t>,</w:t>
      </w:r>
      <w:r w:rsidR="00A95CFB">
        <w:t xml:space="preserve"> </w:t>
      </w:r>
      <w:r w:rsidR="00D51B2B">
        <w:t xml:space="preserve">we will </w:t>
      </w:r>
      <w:r w:rsidR="003147EB">
        <w:t xml:space="preserve">send a third reminder via email </w:t>
      </w:r>
      <w:r w:rsidR="00975C81">
        <w:t>(Attachment 15</w:t>
      </w:r>
      <w:r w:rsidR="004D33AF">
        <w:t xml:space="preserve">) </w:t>
      </w:r>
      <w:r w:rsidR="003147EB">
        <w:t xml:space="preserve">and </w:t>
      </w:r>
      <w:r w:rsidR="00D51B2B">
        <w:t>begin telephone follow-up with all non-responding LEAs. The procedures for this activity</w:t>
      </w:r>
      <w:r w:rsidR="003147EB">
        <w:t xml:space="preserve"> and the final two nonresponse follow-up contacts</w:t>
      </w:r>
      <w:r w:rsidR="00D51B2B">
        <w:t xml:space="preserve"> are discussed in Section 3.</w:t>
      </w:r>
      <w:r w:rsidR="007A538F">
        <w:t xml:space="preserve"> </w:t>
      </w:r>
    </w:p>
    <w:p w14:paraId="5A71A0B3" w14:textId="77777777" w:rsidR="00D51B2B" w:rsidRDefault="00D51B2B" w:rsidP="00D51B2B">
      <w:pPr>
        <w:pStyle w:val="ListParagraph"/>
        <w:ind w:left="0"/>
      </w:pPr>
    </w:p>
    <w:p w14:paraId="542EE225" w14:textId="7EF5CF8D" w:rsidR="00D51B2B" w:rsidRDefault="00D51B2B" w:rsidP="00975C81">
      <w:pPr>
        <w:pStyle w:val="ListParagraph"/>
        <w:keepNext/>
        <w:ind w:left="0"/>
      </w:pPr>
      <w:r w:rsidRPr="0079398A">
        <w:t>Upon receipt</w:t>
      </w:r>
      <w:r>
        <w:t xml:space="preserve"> of a completed survey (web or </w:t>
      </w:r>
      <w:r w:rsidR="00DD462A">
        <w:t xml:space="preserve">paper </w:t>
      </w:r>
      <w:r>
        <w:t>copy)</w:t>
      </w:r>
      <w:r w:rsidRPr="0079398A">
        <w:t xml:space="preserve">, </w:t>
      </w:r>
      <w:r>
        <w:t xml:space="preserve">data </w:t>
      </w:r>
      <w:r w:rsidRPr="0079398A">
        <w:t xml:space="preserve">will be reviewed and edited, and if needed, the </w:t>
      </w:r>
      <w:r>
        <w:t xml:space="preserve">respondent </w:t>
      </w:r>
      <w:r w:rsidRPr="0079398A">
        <w:t xml:space="preserve">will be contacted to clarify </w:t>
      </w:r>
      <w:r>
        <w:t xml:space="preserve">answers </w:t>
      </w:r>
      <w:r w:rsidRPr="0079398A">
        <w:t xml:space="preserve">or provide missing information. </w:t>
      </w:r>
      <w:r>
        <w:t xml:space="preserve">RTI will enter data from all </w:t>
      </w:r>
      <w:r w:rsidR="00DD462A">
        <w:t xml:space="preserve">paper </w:t>
      </w:r>
      <w:r>
        <w:t xml:space="preserve">copy questionnaires into the web survey application. This will ensure that the same data quality review procedures are applied to all survey data, regardless of response mode. </w:t>
      </w:r>
      <w:r w:rsidRPr="0079398A">
        <w:t xml:space="preserve">Prior to contacting the respondent, </w:t>
      </w:r>
      <w:r>
        <w:t xml:space="preserve">RTI </w:t>
      </w:r>
      <w:r w:rsidRPr="0079398A">
        <w:t xml:space="preserve">staff will aim to address data inconsistencies via BJS-approved editing specifications. </w:t>
      </w:r>
      <w:r>
        <w:t xml:space="preserve">RTI </w:t>
      </w:r>
      <w:r w:rsidRPr="0079398A">
        <w:t xml:space="preserve">also will ensure that responses fall </w:t>
      </w:r>
      <w:r w:rsidRPr="0079398A">
        <w:lastRenderedPageBreak/>
        <w:t xml:space="preserve">within the proper coding schemes specified by BJS. The following is a summary of the data quality assurance steps that </w:t>
      </w:r>
      <w:r>
        <w:t xml:space="preserve">RTI </w:t>
      </w:r>
      <w:r w:rsidRPr="0079398A">
        <w:t xml:space="preserve">will observe during the data collection and processing period: </w:t>
      </w:r>
    </w:p>
    <w:p w14:paraId="25A68D98" w14:textId="77777777" w:rsidR="00D51B2B" w:rsidRDefault="00D51B2B" w:rsidP="00D51B2B">
      <w:pPr>
        <w:pStyle w:val="ListParagraph"/>
        <w:ind w:left="0"/>
      </w:pPr>
    </w:p>
    <w:p w14:paraId="0192C622" w14:textId="372849F0" w:rsidR="00D51B2B" w:rsidRDefault="00D51B2B" w:rsidP="00D51B2B">
      <w:pPr>
        <w:pStyle w:val="ListParagraph"/>
        <w:ind w:left="0"/>
      </w:pPr>
      <w:r w:rsidRPr="00156904">
        <w:rPr>
          <w:i/>
        </w:rPr>
        <w:t>Data Editing</w:t>
      </w:r>
      <w:r w:rsidRPr="0079398A">
        <w:t xml:space="preserve">. </w:t>
      </w:r>
      <w:r>
        <w:t xml:space="preserve">RTI </w:t>
      </w:r>
      <w:r w:rsidRPr="0079398A">
        <w:t xml:space="preserve">will attempt to reconcile missing or erroneous data through </w:t>
      </w:r>
      <w:r>
        <w:t>automated and</w:t>
      </w:r>
      <w:r w:rsidRPr="0079398A">
        <w:t xml:space="preserve"> manual edit</w:t>
      </w:r>
      <w:r>
        <w:t>s</w:t>
      </w:r>
      <w:r w:rsidRPr="0079398A">
        <w:t xml:space="preserve"> of each questionnaire. In collaboration with BJS, </w:t>
      </w:r>
      <w:r>
        <w:t xml:space="preserve">RTI </w:t>
      </w:r>
      <w:r w:rsidRPr="0079398A">
        <w:t xml:space="preserve">will develop a list of edits that can be completed by referring to other data provided by the respondent on the survey instrument. Through this process, </w:t>
      </w:r>
      <w:r>
        <w:t xml:space="preserve">RTI </w:t>
      </w:r>
      <w:r w:rsidRPr="0079398A">
        <w:t xml:space="preserve">can quickly identify which </w:t>
      </w:r>
      <w:r w:rsidR="00DD462A">
        <w:t xml:space="preserve">paper </w:t>
      </w:r>
      <w:r w:rsidRPr="0079398A">
        <w:t>copy cases require follow</w:t>
      </w:r>
      <w:r>
        <w:t>-</w:t>
      </w:r>
      <w:r w:rsidRPr="0079398A">
        <w:t>up and indicate the items that need clarification or retrieval from the respondent.</w:t>
      </w:r>
    </w:p>
    <w:p w14:paraId="76C7A585" w14:textId="77777777" w:rsidR="00FE1C5A" w:rsidRDefault="00FE1C5A" w:rsidP="00D51B2B">
      <w:pPr>
        <w:pStyle w:val="ListParagraph"/>
        <w:keepNext/>
        <w:keepLines/>
        <w:ind w:left="0"/>
      </w:pPr>
    </w:p>
    <w:p w14:paraId="6425CEBC" w14:textId="77777777" w:rsidR="00D51B2B" w:rsidRDefault="00D51B2B" w:rsidP="00D51B2B">
      <w:pPr>
        <w:pStyle w:val="ListParagraph"/>
        <w:keepNext/>
        <w:keepLines/>
        <w:ind w:left="0"/>
      </w:pPr>
      <w:r w:rsidRPr="00156904">
        <w:rPr>
          <w:i/>
        </w:rPr>
        <w:t>Data Retrieval</w:t>
      </w:r>
      <w:r w:rsidRPr="0079398A">
        <w:t>. When it is determined that additional data retrieval is needed, a</w:t>
      </w:r>
      <w:r>
        <w:t>n Agency Liaison (AL)</w:t>
      </w:r>
      <w:r w:rsidRPr="0079398A">
        <w:t xml:space="preserve"> will contact the </w:t>
      </w:r>
      <w:r>
        <w:t xml:space="preserve">respondent </w:t>
      </w:r>
      <w:r w:rsidRPr="0079398A">
        <w:t xml:space="preserve">for clarification. Throughout the data retrieval process, </w:t>
      </w:r>
      <w:r>
        <w:t xml:space="preserve">RTI </w:t>
      </w:r>
      <w:r w:rsidRPr="0079398A">
        <w:t xml:space="preserve">will document the questions needing retrieval (e.g. missing or inconsistent data elements), request clarification on the provided information, obtain values for missing data elements, and examine any other issues related to the respondent’s submission. </w:t>
      </w:r>
    </w:p>
    <w:p w14:paraId="1978EB93" w14:textId="77777777" w:rsidR="00D51B2B" w:rsidRPr="0079398A" w:rsidRDefault="00D51B2B" w:rsidP="00D51B2B">
      <w:pPr>
        <w:pStyle w:val="ListParagraph"/>
        <w:keepNext/>
        <w:keepLines/>
        <w:ind w:left="0"/>
      </w:pPr>
    </w:p>
    <w:p w14:paraId="4EF221BF" w14:textId="1FA93D74" w:rsidR="00D51B2B" w:rsidRDefault="00D51B2B" w:rsidP="00D51B2B">
      <w:pPr>
        <w:pStyle w:val="ListParagraph"/>
        <w:keepNext/>
        <w:keepLines/>
        <w:ind w:left="0"/>
      </w:pPr>
      <w:r w:rsidRPr="00156904">
        <w:rPr>
          <w:i/>
        </w:rPr>
        <w:t>Data Quality Review</w:t>
      </w:r>
      <w:r w:rsidRPr="0079398A">
        <w:t xml:space="preserve">. To confirm that editing rules are being followed, </w:t>
      </w:r>
      <w:r>
        <w:t xml:space="preserve">RTI </w:t>
      </w:r>
      <w:r w:rsidRPr="0079398A">
        <w:t>will review frequencies for the entered data after the first 10 percent of cases are</w:t>
      </w:r>
      <w:r>
        <w:t xml:space="preserve"> received</w:t>
      </w:r>
      <w:r w:rsidRPr="0079398A">
        <w:t xml:space="preserve">. Any issues will be investigated and resolved. Throughout the remainder of the data collection period, </w:t>
      </w:r>
      <w:r>
        <w:t xml:space="preserve">RTI </w:t>
      </w:r>
      <w:r w:rsidRPr="0079398A">
        <w:t xml:space="preserve">staff will conduct regular data frequency reviews to evaluate the quality and completeness of data captured in both the web </w:t>
      </w:r>
      <w:r>
        <w:t xml:space="preserve">and </w:t>
      </w:r>
      <w:r w:rsidR="00DD462A">
        <w:t xml:space="preserve">paper </w:t>
      </w:r>
      <w:r>
        <w:t xml:space="preserve">copy </w:t>
      </w:r>
      <w:r w:rsidRPr="0079398A">
        <w:t>modes.</w:t>
      </w:r>
    </w:p>
    <w:p w14:paraId="3A0570D5" w14:textId="77777777" w:rsidR="00E6742D" w:rsidRPr="0079398A" w:rsidRDefault="00E6742D" w:rsidP="0079398A">
      <w:pPr>
        <w:pStyle w:val="ListParagraph"/>
        <w:keepNext/>
        <w:keepLines/>
        <w:ind w:left="0"/>
      </w:pPr>
    </w:p>
    <w:p w14:paraId="7DC66A0D" w14:textId="77777777" w:rsidR="00421095" w:rsidRPr="00596C3F" w:rsidRDefault="00421095" w:rsidP="00E6742D">
      <w:pPr>
        <w:pStyle w:val="ListParagraph"/>
        <w:keepNext/>
        <w:keepLines/>
        <w:numPr>
          <w:ilvl w:val="0"/>
          <w:numId w:val="5"/>
        </w:numPr>
        <w:rPr>
          <w:b/>
          <w:u w:val="single"/>
        </w:rPr>
      </w:pPr>
      <w:r w:rsidRPr="00596C3F">
        <w:rPr>
          <w:b/>
          <w:u w:val="single"/>
        </w:rPr>
        <w:t>Methods to Maximize Response Rates</w:t>
      </w:r>
    </w:p>
    <w:p w14:paraId="3FDF6A49" w14:textId="77777777" w:rsidR="00421095" w:rsidRPr="00596C3F" w:rsidRDefault="00421095" w:rsidP="0024443E">
      <w:pPr>
        <w:keepNext/>
        <w:keepLines/>
        <w:rPr>
          <w:highlight w:val="yellow"/>
        </w:rPr>
      </w:pPr>
    </w:p>
    <w:p w14:paraId="78FD4C35" w14:textId="77777777" w:rsidR="00D51B2B" w:rsidRPr="00596C3F" w:rsidRDefault="00D51B2B" w:rsidP="00D51B2B">
      <w:r w:rsidRPr="00596C3F">
        <w:t>The previous waves of the LEMAS survey have achieved high rates of survey response, typically meeting or exceeding 90</w:t>
      </w:r>
      <w:r>
        <w:t xml:space="preserve"> percent</w:t>
      </w:r>
      <w:r w:rsidRPr="00596C3F">
        <w:t xml:space="preserve">. BJS and RTI will undertake various procedures to ensure </w:t>
      </w:r>
      <w:r>
        <w:t xml:space="preserve">that response rates for the LEMAS are as high as possible. </w:t>
      </w:r>
    </w:p>
    <w:p w14:paraId="2861775B" w14:textId="77777777" w:rsidR="00D51B2B" w:rsidRPr="00596C3F" w:rsidRDefault="00D51B2B" w:rsidP="00D51B2B"/>
    <w:p w14:paraId="3E2C9954" w14:textId="41AF9F3B" w:rsidR="00D51B2B" w:rsidRPr="00596C3F" w:rsidRDefault="00D51B2B" w:rsidP="00D51B2B">
      <w:r w:rsidRPr="00596C3F">
        <w:t xml:space="preserve">BJS will use a web-based instrument supported by </w:t>
      </w:r>
      <w:r>
        <w:t xml:space="preserve">several </w:t>
      </w:r>
      <w:r w:rsidRPr="00596C3F">
        <w:t>online help functions to maximize response rates</w:t>
      </w:r>
      <w:r>
        <w:t xml:space="preserve">. For convenience respondents will receive the survey link in an email invitation and a mailed </w:t>
      </w:r>
      <w:r w:rsidR="00DD462A">
        <w:t xml:space="preserve">paper </w:t>
      </w:r>
      <w:r>
        <w:t xml:space="preserve">copy invitation. </w:t>
      </w:r>
      <w:r w:rsidRPr="00596C3F">
        <w:t xml:space="preserve">A </w:t>
      </w:r>
      <w:r>
        <w:t>H</w:t>
      </w:r>
      <w:r w:rsidRPr="00596C3F">
        <w:t>elp</w:t>
      </w:r>
      <w:r>
        <w:t xml:space="preserve"> D</w:t>
      </w:r>
      <w:r w:rsidRPr="00596C3F">
        <w:t>esk will be available to provide both substantive and technical assistance. In addition, the web</w:t>
      </w:r>
      <w:r>
        <w:t xml:space="preserve"> </w:t>
      </w:r>
      <w:r w:rsidRPr="00596C3F">
        <w:t>survey interface is user</w:t>
      </w:r>
      <w:r>
        <w:t>-</w:t>
      </w:r>
      <w:r w:rsidRPr="00596C3F">
        <w:t xml:space="preserve">friendly, which </w:t>
      </w:r>
      <w:r>
        <w:t xml:space="preserve">encourages response and </w:t>
      </w:r>
      <w:r w:rsidRPr="00596C3F">
        <w:t xml:space="preserve">ensures more accurate responses. Because online submission is such an important response method, close attention will be paid to the formatting of the </w:t>
      </w:r>
      <w:r>
        <w:t xml:space="preserve">web </w:t>
      </w:r>
      <w:r w:rsidRPr="00596C3F">
        <w:t xml:space="preserve">survey instrument. </w:t>
      </w:r>
      <w:r>
        <w:t xml:space="preserve">The online application will be </w:t>
      </w:r>
      <w:r w:rsidRPr="00596C3F">
        <w:t xml:space="preserve">flexible so it can adapt to meet the needs of multiple device types (e.g., desktop computer and tablet), browser types (e.g., Internet Explorer and Google Chrome), and screen sizes. Other features in the instrument </w:t>
      </w:r>
      <w:r>
        <w:t xml:space="preserve">will </w:t>
      </w:r>
      <w:r w:rsidRPr="00596C3F">
        <w:t>include the following:</w:t>
      </w:r>
    </w:p>
    <w:p w14:paraId="5002F8FE" w14:textId="77777777" w:rsidR="00D51B2B" w:rsidRPr="00596C3F" w:rsidRDefault="00D51B2B" w:rsidP="00D51B2B"/>
    <w:p w14:paraId="1D16FB12" w14:textId="77777777" w:rsidR="00D51B2B" w:rsidRPr="00596C3F" w:rsidRDefault="00D51B2B" w:rsidP="00D51B2B">
      <w:pPr>
        <w:numPr>
          <w:ilvl w:val="0"/>
          <w:numId w:val="22"/>
        </w:numPr>
      </w:pPr>
      <w:r w:rsidRPr="00596C3F">
        <w:t>Respondents’ answers will be saved automatically, and they will have the option to leave the survey partway through and return later to finish.</w:t>
      </w:r>
    </w:p>
    <w:p w14:paraId="15AAB05E" w14:textId="77777777" w:rsidR="00D51B2B" w:rsidRDefault="00D51B2B" w:rsidP="00D51B2B">
      <w:pPr>
        <w:numPr>
          <w:ilvl w:val="0"/>
          <w:numId w:val="22"/>
        </w:numPr>
      </w:pPr>
      <w:r w:rsidRPr="00596C3F">
        <w:t>The online instrument will be programmed with data consistency checks and automatic prompts to ensure inter-item consistency and reduce the likelihood of “don’t know” and out-of-range responses</w:t>
      </w:r>
      <w:r>
        <w:t>, thereby reducing the need for follow-up with the respondent after survey submission</w:t>
      </w:r>
      <w:r w:rsidRPr="00596C3F">
        <w:t xml:space="preserve">. </w:t>
      </w:r>
    </w:p>
    <w:p w14:paraId="503CBCEC" w14:textId="77777777" w:rsidR="00D51B2B" w:rsidRPr="00596C3F" w:rsidRDefault="00D51B2B" w:rsidP="00D51B2B">
      <w:pPr>
        <w:numPr>
          <w:ilvl w:val="0"/>
          <w:numId w:val="22"/>
        </w:numPr>
      </w:pPr>
      <w:r>
        <w:t xml:space="preserve">Respondents will encounter a main menu when they enter the web survey that allows them to complete the survey module-by-module. This will be useful so that </w:t>
      </w:r>
      <w:r>
        <w:lastRenderedPageBreak/>
        <w:t>respondents can delegate specific modules to other individuals within their organization.</w:t>
      </w:r>
    </w:p>
    <w:p w14:paraId="45287B1B" w14:textId="77777777" w:rsidR="00D51B2B" w:rsidRDefault="00D51B2B" w:rsidP="00D51B2B">
      <w:pPr>
        <w:numPr>
          <w:ilvl w:val="0"/>
          <w:numId w:val="22"/>
        </w:numPr>
      </w:pPr>
      <w:r w:rsidRPr="00596C3F">
        <w:t>Upon submission, respondents will receive a message that confirms receipt of their survey.</w:t>
      </w:r>
    </w:p>
    <w:p w14:paraId="3D079EB0" w14:textId="77777777" w:rsidR="00D51B2B" w:rsidRPr="00596C3F" w:rsidRDefault="00D51B2B" w:rsidP="00D51B2B">
      <w:pPr>
        <w:numPr>
          <w:ilvl w:val="0"/>
          <w:numId w:val="22"/>
        </w:numPr>
      </w:pPr>
      <w:r>
        <w:t>LEAs may also download and print a paper version of the survey from the website.</w:t>
      </w:r>
    </w:p>
    <w:p w14:paraId="685FA4A5" w14:textId="77777777" w:rsidR="00D51B2B" w:rsidRPr="00596C3F" w:rsidRDefault="00D51B2B" w:rsidP="00D51B2B"/>
    <w:p w14:paraId="70442FAA" w14:textId="487F7569" w:rsidR="00D51B2B" w:rsidRDefault="00D51B2B" w:rsidP="00D51B2B">
      <w:r w:rsidRPr="00596C3F">
        <w:t>In order to obtain higher response rates</w:t>
      </w:r>
      <w:r>
        <w:t xml:space="preserve"> and to ensure unbiased estimates</w:t>
      </w:r>
      <w:r w:rsidRPr="00596C3F">
        <w:t>, multi-stage survey administration and follow</w:t>
      </w:r>
      <w:r>
        <w:t>-</w:t>
      </w:r>
      <w:r w:rsidRPr="00596C3F">
        <w:t>up procedures have been incorpora</w:t>
      </w:r>
      <w:r>
        <w:t>ted into BJS’s response plans. E</w:t>
      </w:r>
      <w:r w:rsidRPr="00596C3F">
        <w:t>nsuring adequate response (not just department response rates, but also item responses) begins with introducing agencies to the survey.</w:t>
      </w:r>
      <w:r>
        <w:t xml:space="preserve"> </w:t>
      </w:r>
      <w:r w:rsidRPr="00596C3F">
        <w:t xml:space="preserve">This will be accomplished initially </w:t>
      </w:r>
      <w:r w:rsidR="003C22A7">
        <w:t xml:space="preserve">through the </w:t>
      </w:r>
      <w:r w:rsidR="007A538F">
        <w:t xml:space="preserve">initial invitation letter and accompanying documents (Attachments 1, 7-11). </w:t>
      </w:r>
      <w:r w:rsidRPr="00D534B2">
        <w:t xml:space="preserve">Resources available to help the respondent complete the survey (e.g. </w:t>
      </w:r>
      <w:r>
        <w:t>tele</w:t>
      </w:r>
      <w:r w:rsidRPr="00D534B2">
        <w:t>ph</w:t>
      </w:r>
      <w:r>
        <w:t>one- or email-based Help Desk support)</w:t>
      </w:r>
      <w:r w:rsidRPr="00596C3F">
        <w:t xml:space="preserve"> will be described in detail.</w:t>
      </w:r>
      <w:r w:rsidR="007E4BD4">
        <w:t xml:space="preserve"> </w:t>
      </w:r>
      <w:r>
        <w:t>We will provide LEAs with online and fax methods to identify respondents and change the POC assignment if needed. POCs will also be able to delegate specific modules of the survey to others within their organization. The survey instrument will capture the name of the individual who completed a module so that it can be used for potential quality control follow-up later.</w:t>
      </w:r>
      <w:r w:rsidR="003C22A7">
        <w:t xml:space="preserve"> We will also provide </w:t>
      </w:r>
      <w:r w:rsidR="007D4974">
        <w:t>a paper copy of the 2016 LEMAS instrument to inform respondents about the types of information they will need to collect prior to completing the survey</w:t>
      </w:r>
    </w:p>
    <w:p w14:paraId="02E5803A" w14:textId="77777777" w:rsidR="00D51B2B" w:rsidRDefault="00D51B2B" w:rsidP="00D51B2B"/>
    <w:p w14:paraId="7C550A7B" w14:textId="77777777" w:rsidR="007E4BD4" w:rsidRDefault="007E4BD4" w:rsidP="007E4BD4">
      <w:pPr>
        <w:pStyle w:val="ListParagraph"/>
        <w:ind w:left="0"/>
      </w:pPr>
      <w:r>
        <w:t xml:space="preserve">Approximately 1 week after sending the survey invitation letter, RTI will send an e-mail message that is identical to the survey invitation letter to those recipients for whom an email address is available to confirm receipt of the study materials. Within three weeks of receiving a survey, the respondent will receive a thank you email or letter depending on the completion mode (Attachment 12). The thank you will formally acknowledge receipt of the survey and state that the agency may be contacted for clarification once their survey responses are processed. </w:t>
      </w:r>
    </w:p>
    <w:p w14:paraId="64250C48" w14:textId="77777777" w:rsidR="007E4BD4" w:rsidRPr="00596C3F" w:rsidRDefault="007E4BD4" w:rsidP="00D51B2B"/>
    <w:p w14:paraId="3974E11A" w14:textId="4CC4B029" w:rsidR="00D51B2B" w:rsidRPr="00596C3F" w:rsidRDefault="00D51B2B" w:rsidP="00D51B2B">
      <w:r w:rsidRPr="00596C3F">
        <w:t xml:space="preserve">The data collection schedule is designed to include several follow-up communications to allow the LEA to complete the survey at a time most convenient for them. </w:t>
      </w:r>
      <w:r w:rsidR="008C7848">
        <w:t>Three weeks</w:t>
      </w:r>
      <w:r w:rsidRPr="00596C3F">
        <w:t xml:space="preserve"> after the initial invitation, we will send an e-mail to all LEAs. This e-mail communication will serve as </w:t>
      </w:r>
      <w:r w:rsidRPr="00441FBB">
        <w:t>a reminder for those agencies who have not yet su</w:t>
      </w:r>
      <w:r w:rsidR="007A538F">
        <w:t>bmitted their information (A</w:t>
      </w:r>
      <w:r w:rsidRPr="00441FBB">
        <w:t>ttachment</w:t>
      </w:r>
      <w:r w:rsidR="007E4BD4">
        <w:t xml:space="preserve"> 13</w:t>
      </w:r>
      <w:r w:rsidRPr="00441FBB">
        <w:t xml:space="preserve">). Following this reminder message, the </w:t>
      </w:r>
      <w:r w:rsidR="008C7848">
        <w:t>second</w:t>
      </w:r>
      <w:r w:rsidR="008C7848" w:rsidRPr="00441FBB">
        <w:t xml:space="preserve"> </w:t>
      </w:r>
      <w:r w:rsidRPr="00441FBB">
        <w:t xml:space="preserve">nonresponse message will be sent via </w:t>
      </w:r>
      <w:r w:rsidR="00A12BEA">
        <w:t xml:space="preserve">USPS </w:t>
      </w:r>
      <w:r w:rsidR="00A12BEA" w:rsidRPr="00441FBB">
        <w:t>to</w:t>
      </w:r>
      <w:r w:rsidRPr="00441FBB">
        <w:t xml:space="preserve"> any to-date </w:t>
      </w:r>
      <w:proofErr w:type="spellStart"/>
      <w:r w:rsidRPr="00441FBB">
        <w:t>nonrespondents</w:t>
      </w:r>
      <w:proofErr w:type="spellEnd"/>
      <w:r w:rsidRPr="00441FBB">
        <w:t xml:space="preserve"> </w:t>
      </w:r>
      <w:r w:rsidR="00AA530A">
        <w:t xml:space="preserve">once again </w:t>
      </w:r>
      <w:r w:rsidRPr="00441FBB">
        <w:t>asking them to complete the web survey</w:t>
      </w:r>
      <w:r w:rsidR="007E4BD4">
        <w:t xml:space="preserve"> (Attachment 14</w:t>
      </w:r>
      <w:r w:rsidR="007A538F">
        <w:t>)</w:t>
      </w:r>
      <w:r w:rsidRPr="00441FBB">
        <w:t>.</w:t>
      </w:r>
      <w:r>
        <w:t xml:space="preserve"> </w:t>
      </w:r>
      <w:r w:rsidRPr="00441FBB">
        <w:t xml:space="preserve">If no survey response is received after the </w:t>
      </w:r>
      <w:r w:rsidR="008C7848">
        <w:t>second</w:t>
      </w:r>
      <w:r w:rsidR="008C7848" w:rsidRPr="00441FBB">
        <w:t xml:space="preserve"> </w:t>
      </w:r>
      <w:r w:rsidRPr="00441FBB">
        <w:t xml:space="preserve">nonresponse message, a </w:t>
      </w:r>
      <w:r w:rsidR="003147EB">
        <w:t>third</w:t>
      </w:r>
      <w:r w:rsidR="003C22A7" w:rsidRPr="00441FBB">
        <w:t xml:space="preserve"> </w:t>
      </w:r>
      <w:r w:rsidRPr="00441FBB">
        <w:t xml:space="preserve">nonresponse message will be sent via </w:t>
      </w:r>
      <w:r>
        <w:t>email</w:t>
      </w:r>
      <w:r w:rsidRPr="00441FBB">
        <w:t xml:space="preserve"> to to-date </w:t>
      </w:r>
      <w:proofErr w:type="spellStart"/>
      <w:r w:rsidRPr="00441FBB">
        <w:t>nonrespondents</w:t>
      </w:r>
      <w:proofErr w:type="spellEnd"/>
      <w:r w:rsidRPr="00441FBB">
        <w:t>. Like previous communications, it will provide information on how to complete the web survey, including the URL and the LEA’s</w:t>
      </w:r>
      <w:r w:rsidR="008534AF">
        <w:t xml:space="preserve"> unique survey access code (</w:t>
      </w:r>
      <w:r w:rsidRPr="00441FBB">
        <w:t xml:space="preserve">Attachment </w:t>
      </w:r>
      <w:r w:rsidR="007A538F">
        <w:t>1</w:t>
      </w:r>
      <w:r w:rsidR="007E4BD4">
        <w:t>5</w:t>
      </w:r>
      <w:r w:rsidRPr="00441FBB">
        <w:t>)</w:t>
      </w:r>
      <w:r w:rsidRPr="00596C3F">
        <w:t xml:space="preserve">. </w:t>
      </w:r>
      <w:r>
        <w:t>The nonresponse email will be distributed coinciding with the launch of telephone calling.</w:t>
      </w:r>
    </w:p>
    <w:p w14:paraId="2F246AD4" w14:textId="77777777" w:rsidR="00AA530A" w:rsidRPr="00596C3F" w:rsidRDefault="00AA530A" w:rsidP="00D51B2B"/>
    <w:p w14:paraId="2323214E" w14:textId="11AB16BF" w:rsidR="00D51B2B" w:rsidRPr="00D534B2" w:rsidRDefault="00D51B2B" w:rsidP="00D51B2B">
      <w:r>
        <w:t xml:space="preserve">In addition to </w:t>
      </w:r>
      <w:r w:rsidRPr="00596C3F">
        <w:t xml:space="preserve">these written communications, telephone calls will begin with the to-date </w:t>
      </w:r>
      <w:proofErr w:type="spellStart"/>
      <w:r w:rsidRPr="00596C3F">
        <w:t>nonrespondents</w:t>
      </w:r>
      <w:proofErr w:type="spellEnd"/>
      <w:r w:rsidRPr="00596C3F">
        <w:t xml:space="preserve"> (</w:t>
      </w:r>
      <w:r w:rsidR="007A538F">
        <w:t xml:space="preserve">see </w:t>
      </w:r>
      <w:r w:rsidRPr="00D534B2">
        <w:t xml:space="preserve">Attachment </w:t>
      </w:r>
      <w:r>
        <w:t>1</w:t>
      </w:r>
      <w:r w:rsidR="007E4BD4">
        <w:t>6</w:t>
      </w:r>
      <w:r>
        <w:t xml:space="preserve"> for sample scripts</w:t>
      </w:r>
      <w:r w:rsidRPr="00D534B2">
        <w:t xml:space="preserve">). In preparation for this outreach, </w:t>
      </w:r>
      <w:r w:rsidR="003C22A7">
        <w:t>Agency Liaisons (</w:t>
      </w:r>
      <w:r>
        <w:t>ALs</w:t>
      </w:r>
      <w:r w:rsidR="003C22A7">
        <w:t>)</w:t>
      </w:r>
      <w:r w:rsidRPr="00D534B2">
        <w:t xml:space="preserve"> will be trained on the study protocol and procedures for contacting </w:t>
      </w:r>
      <w:proofErr w:type="spellStart"/>
      <w:r w:rsidRPr="00D534B2">
        <w:t>nonresponding</w:t>
      </w:r>
      <w:proofErr w:type="spellEnd"/>
      <w:r w:rsidRPr="00D534B2">
        <w:t xml:space="preserve"> agencies. Most notably, ALs will receive training on how to ask agencies to complete the web survey, administering the web survey by telephone, arranging for LEAs to receive </w:t>
      </w:r>
      <w:r w:rsidR="00DD462A">
        <w:t xml:space="preserve">paper </w:t>
      </w:r>
      <w:r w:rsidRPr="00D534B2">
        <w:t xml:space="preserve">copy questionnaires, and tracking cases (including contact attempts). After </w:t>
      </w:r>
      <w:r w:rsidRPr="00D534B2">
        <w:lastRenderedPageBreak/>
        <w:t xml:space="preserve">nonresponse telephone calls, ALs will make targeted attempts with </w:t>
      </w:r>
      <w:proofErr w:type="spellStart"/>
      <w:r w:rsidRPr="00D534B2">
        <w:t>nonresponding</w:t>
      </w:r>
      <w:proofErr w:type="spellEnd"/>
      <w:r w:rsidRPr="00D534B2">
        <w:t xml:space="preserve"> agencies to capture critical items. </w:t>
      </w:r>
    </w:p>
    <w:p w14:paraId="15C18275" w14:textId="77777777" w:rsidR="00D51B2B" w:rsidRPr="00D534B2" w:rsidRDefault="00D51B2B" w:rsidP="00D51B2B"/>
    <w:p w14:paraId="3BB6832B" w14:textId="77777777" w:rsidR="00D51B2B" w:rsidRPr="00D534B2" w:rsidRDefault="00D51B2B" w:rsidP="00D51B2B">
      <w:r w:rsidRPr="00D534B2">
        <w:t>The largest 7</w:t>
      </w:r>
      <w:r>
        <w:t xml:space="preserve"> percent</w:t>
      </w:r>
      <w:r w:rsidRPr="00D534B2">
        <w:t xml:space="preserve"> of state and local agencies comprise almost two-thirds of the sworn personnel, nationally.</w:t>
      </w:r>
      <w:r>
        <w:t xml:space="preserve"> </w:t>
      </w:r>
      <w:r w:rsidRPr="00D534B2">
        <w:t>It is critical that we obtain responses from these agencies.</w:t>
      </w:r>
      <w:r>
        <w:t xml:space="preserve"> </w:t>
      </w:r>
      <w:r w:rsidRPr="00D534B2">
        <w:t>Recognizing the benefits of their existing rapport with the LEAs, PERF will take the lead for follow-up with these state and local agencies.</w:t>
      </w:r>
    </w:p>
    <w:p w14:paraId="63D2D918" w14:textId="77777777" w:rsidR="00D51B2B" w:rsidRPr="00D534B2" w:rsidRDefault="00D51B2B" w:rsidP="00D51B2B"/>
    <w:p w14:paraId="2ADF4AB5" w14:textId="1FBD0FDB" w:rsidR="00D51B2B" w:rsidRPr="00596C3F" w:rsidRDefault="00D51B2B" w:rsidP="00D51B2B">
      <w:r>
        <w:t xml:space="preserve">Finally, two more nonresponse messages will be sent to any to-date </w:t>
      </w:r>
      <w:proofErr w:type="spellStart"/>
      <w:r>
        <w:t>nonrespondents</w:t>
      </w:r>
      <w:proofErr w:type="spellEnd"/>
      <w:r>
        <w:t>.  First, 2-3 weeks after telephone follow-up begins</w:t>
      </w:r>
      <w:r w:rsidR="00AA530A">
        <w:t>,</w:t>
      </w:r>
      <w:r>
        <w:t xml:space="preserve"> we will send</w:t>
      </w:r>
      <w:r w:rsidR="007A538F">
        <w:t xml:space="preserve"> a reminder email to LEAs (A</w:t>
      </w:r>
      <w:r>
        <w:t>ttachment 1</w:t>
      </w:r>
      <w:r w:rsidR="007E4BD4">
        <w:t>7</w:t>
      </w:r>
      <w:r>
        <w:t xml:space="preserve">).  Second, </w:t>
      </w:r>
      <w:r w:rsidR="007D4974">
        <w:t xml:space="preserve">4 </w:t>
      </w:r>
      <w:r w:rsidRPr="00D534B2">
        <w:t xml:space="preserve">weeks before data collection ends, a final </w:t>
      </w:r>
      <w:r w:rsidR="003147EB">
        <w:t>letter will be sent to</w:t>
      </w:r>
      <w:r w:rsidRPr="00D534B2">
        <w:t xml:space="preserve"> the POC</w:t>
      </w:r>
      <w:r w:rsidR="007D4974">
        <w:t xml:space="preserve"> which </w:t>
      </w:r>
      <w:r w:rsidRPr="00D534B2">
        <w:t xml:space="preserve">will </w:t>
      </w:r>
      <w:r w:rsidR="007D4974">
        <w:t xml:space="preserve">include </w:t>
      </w:r>
      <w:r w:rsidRPr="00D534B2">
        <w:t xml:space="preserve">an end-of-study message. This message will go to any to-date </w:t>
      </w:r>
      <w:proofErr w:type="spellStart"/>
      <w:r w:rsidRPr="00D534B2">
        <w:t>nonrespondents</w:t>
      </w:r>
      <w:proofErr w:type="spellEnd"/>
      <w:r w:rsidRPr="00D534B2">
        <w:t xml:space="preserve"> to announce the forthcoming closure of the study and make a final appeal to participate.</w:t>
      </w:r>
      <w:r w:rsidRPr="00F64AA0">
        <w:t xml:space="preserve"> </w:t>
      </w:r>
      <w:r>
        <w:t xml:space="preserve">We will also include a paper survey </w:t>
      </w:r>
      <w:r w:rsidRPr="00596C3F">
        <w:t>and a business reply envelope to facilitate completion via mail</w:t>
      </w:r>
      <w:r>
        <w:t xml:space="preserve"> in this communication </w:t>
      </w:r>
      <w:r w:rsidR="007E4BD4">
        <w:t>(</w:t>
      </w:r>
      <w:r w:rsidRPr="00D534B2">
        <w:t xml:space="preserve">Attachment </w:t>
      </w:r>
      <w:r>
        <w:t>1</w:t>
      </w:r>
      <w:r w:rsidR="007E4BD4">
        <w:t>8</w:t>
      </w:r>
      <w:r w:rsidR="004D33AF">
        <w:t>)</w:t>
      </w:r>
      <w:r>
        <w:t>.</w:t>
      </w:r>
    </w:p>
    <w:p w14:paraId="5341C530" w14:textId="77777777" w:rsidR="003969E6" w:rsidRPr="00596C3F" w:rsidRDefault="003969E6" w:rsidP="00421095"/>
    <w:p w14:paraId="1D36AE90" w14:textId="77777777" w:rsidR="00F84901" w:rsidRPr="00D534B2" w:rsidRDefault="00F84901" w:rsidP="00F84901">
      <w:pPr>
        <w:rPr>
          <w:u w:val="single"/>
        </w:rPr>
      </w:pPr>
      <w:r w:rsidRPr="00D534B2">
        <w:rPr>
          <w:u w:val="single"/>
        </w:rPr>
        <w:t>Nonresponse Adjustments</w:t>
      </w:r>
    </w:p>
    <w:p w14:paraId="55D381E9" w14:textId="77777777" w:rsidR="00F84901" w:rsidRPr="00006B87" w:rsidRDefault="00F84901" w:rsidP="00F84901">
      <w:r w:rsidRPr="00006B87">
        <w:rPr>
          <w:i/>
        </w:rPr>
        <w:t>Unit nonresponse</w:t>
      </w:r>
      <w:r w:rsidRPr="00006B87">
        <w:t xml:space="preserve">. With any survey, it is typically the case that some of the selected subjects will not respond to the survey request (i.e., unit nonresponse) and some will not respond to particular questions (i.e., item nonresponse), despite best efforts made to collect all the data. Weighting will be used to adjust for unit nonresponse in the </w:t>
      </w:r>
      <w:r>
        <w:t>2016 LEMAS</w:t>
      </w:r>
      <w:r w:rsidR="00E24D98">
        <w:t>, u</w:t>
      </w:r>
      <w:r w:rsidRPr="00006B87">
        <w:t xml:space="preserve">sing </w:t>
      </w:r>
      <w:r w:rsidR="005411DA">
        <w:t>the LEAR</w:t>
      </w:r>
      <w:r w:rsidR="00E24D98">
        <w:t>.</w:t>
      </w:r>
      <w:r w:rsidRPr="00006B87">
        <w:t xml:space="preserve"> To determine which factors to use in the facility nonresponse weight adjustments, a procedure available in RTI’s SUDAAN software based on the Generalized Exponential Model (GEM) will be used to model the response propensity </w:t>
      </w:r>
      <w:r w:rsidR="00E24D98">
        <w:t xml:space="preserve">based on </w:t>
      </w:r>
      <w:r w:rsidRPr="00006B87">
        <w:t>information from the sampling frame (e.g., agency characteristics such as geography, operating budget, whether officers arrest people, etc.) within sampling strata</w:t>
      </w:r>
      <w:r w:rsidR="00D16DCC">
        <w:t xml:space="preserve"> (Folsom, 2000)</w:t>
      </w:r>
      <w:r>
        <w:t xml:space="preserve">. </w:t>
      </w:r>
      <w:r w:rsidRPr="00006B87">
        <w:t xml:space="preserve">Ideally, only variables highly correlated with the outcomes of interest will be included in the model in order to reduce the potential for bias. As described above, given the expected differential response rates by agency type and size, the weighting adjustment procedures will attempt to minimize the bias in the estimates within these domains. </w:t>
      </w:r>
    </w:p>
    <w:p w14:paraId="2E2B98F1" w14:textId="77777777" w:rsidR="00F84901" w:rsidRPr="00006B87" w:rsidRDefault="00F84901" w:rsidP="00F84901"/>
    <w:p w14:paraId="59973276" w14:textId="77777777" w:rsidR="00F84901" w:rsidRDefault="00F84901" w:rsidP="00F84901">
      <w:r w:rsidRPr="00006B87">
        <w:rPr>
          <w:i/>
        </w:rPr>
        <w:t>Nonresponse bias analysis</w:t>
      </w:r>
      <w:r w:rsidRPr="00006B87">
        <w:t>. As previously stated</w:t>
      </w:r>
      <w:r w:rsidR="00FF2685">
        <w:t xml:space="preserve"> and based on the 2013 LEMAS responding</w:t>
      </w:r>
      <w:r w:rsidRPr="00006B87">
        <w:t xml:space="preserve">, </w:t>
      </w:r>
      <w:r w:rsidR="00E24D98">
        <w:t xml:space="preserve">an overall response rate of </w:t>
      </w:r>
      <w:r>
        <w:t>approximately 86</w:t>
      </w:r>
      <w:r w:rsidR="00E24D98">
        <w:t xml:space="preserve"> percent is expected</w:t>
      </w:r>
      <w:r w:rsidR="003147EB">
        <w:t xml:space="preserve"> (</w:t>
      </w:r>
      <w:r w:rsidR="003147EB" w:rsidRPr="007A538F">
        <w:t>Table 2</w:t>
      </w:r>
      <w:r w:rsidR="003147EB">
        <w:t>)</w:t>
      </w:r>
      <w:r w:rsidRPr="00006B87">
        <w:t xml:space="preserve">. In order to ensure those agencies that do not participate in the study are not fundamentally different than those that do, a nonresponse bias analysis will be conducted if the agency-level response rate obtained in the 2016 </w:t>
      </w:r>
      <w:r>
        <w:t>LEMAS falls</w:t>
      </w:r>
      <w:r w:rsidRPr="00006B87">
        <w:t xml:space="preserve"> below 80</w:t>
      </w:r>
      <w:r w:rsidR="00E24D98">
        <w:t xml:space="preserve"> percent</w:t>
      </w:r>
      <w:r w:rsidRPr="00006B87">
        <w:t>. The following administrative data on agency characteristics will be used in the nonresponse bias analysis</w:t>
      </w:r>
      <w:r w:rsidR="00E24D98">
        <w:t>:</w:t>
      </w:r>
    </w:p>
    <w:p w14:paraId="1877BBB3" w14:textId="77777777" w:rsidR="00E24D98" w:rsidRPr="00006B87" w:rsidRDefault="00E24D98" w:rsidP="00F84901"/>
    <w:p w14:paraId="44688BE8" w14:textId="77777777" w:rsidR="00F84901" w:rsidRPr="00006B87" w:rsidRDefault="00F84901" w:rsidP="00F84901">
      <w:pPr>
        <w:numPr>
          <w:ilvl w:val="0"/>
          <w:numId w:val="24"/>
        </w:numPr>
      </w:pPr>
      <w:r w:rsidRPr="00006B87">
        <w:t>Agency type,</w:t>
      </w:r>
    </w:p>
    <w:p w14:paraId="79CC20DD" w14:textId="77777777" w:rsidR="00F84901" w:rsidRPr="00006B87" w:rsidRDefault="00F84901" w:rsidP="00F84901">
      <w:pPr>
        <w:numPr>
          <w:ilvl w:val="0"/>
          <w:numId w:val="24"/>
        </w:numPr>
      </w:pPr>
      <w:r w:rsidRPr="00006B87">
        <w:t>Agency size, and</w:t>
      </w:r>
    </w:p>
    <w:p w14:paraId="2715B978" w14:textId="77777777" w:rsidR="00F84901" w:rsidRPr="00006B87" w:rsidRDefault="00F84901" w:rsidP="00F84901">
      <w:pPr>
        <w:numPr>
          <w:ilvl w:val="0"/>
          <w:numId w:val="24"/>
        </w:numPr>
      </w:pPr>
      <w:r w:rsidRPr="00006B87">
        <w:t>Census region or division.</w:t>
      </w:r>
    </w:p>
    <w:p w14:paraId="0778FBC0" w14:textId="77777777" w:rsidR="00F84901" w:rsidRPr="00006B87" w:rsidRDefault="00F84901" w:rsidP="00F84901"/>
    <w:p w14:paraId="475EAF58" w14:textId="77777777" w:rsidR="00F84901" w:rsidRPr="00006B87" w:rsidRDefault="00F84901" w:rsidP="00F84901">
      <w:r w:rsidRPr="00006B87">
        <w:t xml:space="preserve">For each agency characteristic, BJS will compare the distribution of the respondents to the </w:t>
      </w:r>
      <w:proofErr w:type="spellStart"/>
      <w:r w:rsidRPr="00006B87">
        <w:t>nonrespondents</w:t>
      </w:r>
      <w:proofErr w:type="spellEnd"/>
      <w:r w:rsidRPr="00006B87">
        <w:t>. A Cohn’s Effect Size statistic will be calculated for each characteristic. If any characteristic has an effect size that falls into the “medium” or “high” category, as defined by Cohn, then there is a potential for bias in the estimates. Each estimate will be included in a nonresponse model to adjust weights to minimize the potential for bias in the estimates.</w:t>
      </w:r>
    </w:p>
    <w:p w14:paraId="16799E76" w14:textId="77777777" w:rsidR="00F84901" w:rsidRPr="00006B87" w:rsidRDefault="00F84901" w:rsidP="00F84901">
      <w:r w:rsidRPr="00006B87">
        <w:lastRenderedPageBreak/>
        <w:t xml:space="preserve">In addition to estimating effect sizes, an examination of early and late responders will be conducted. If late responders (i.e., those that take more contact attempts before responding) are </w:t>
      </w:r>
      <w:r>
        <w:t>significantly different o</w:t>
      </w:r>
      <w:r w:rsidRPr="00006B87">
        <w:t>n the key outcome</w:t>
      </w:r>
      <w:r>
        <w:t>s</w:t>
      </w:r>
      <w:r w:rsidRPr="00006B87">
        <w:t xml:space="preserve"> of interest</w:t>
      </w:r>
      <w:r w:rsidR="001A42C3">
        <w:t>,</w:t>
      </w:r>
      <w:r>
        <w:t xml:space="preserve"> that is an indication of potential bias</w:t>
      </w:r>
      <w:r w:rsidRPr="00006B87">
        <w:t xml:space="preserve">. </w:t>
      </w:r>
      <w:r w:rsidR="00E24D98">
        <w:t xml:space="preserve">This </w:t>
      </w:r>
      <w:r w:rsidRPr="00006B87">
        <w:t xml:space="preserve">comparison </w:t>
      </w:r>
      <w:r w:rsidR="00E24D98">
        <w:t xml:space="preserve">will be made </w:t>
      </w:r>
      <w:r w:rsidRPr="00006B87">
        <w:t xml:space="preserve">within each strata to determine if the potential for bias varies by strata. </w:t>
      </w:r>
    </w:p>
    <w:p w14:paraId="52C0C006" w14:textId="77777777" w:rsidR="00421095" w:rsidRPr="00596C3F" w:rsidRDefault="00421095" w:rsidP="00421095"/>
    <w:p w14:paraId="479397FF" w14:textId="77777777" w:rsidR="00421095" w:rsidRPr="00596C3F" w:rsidRDefault="00421095" w:rsidP="00421095">
      <w:pPr>
        <w:pStyle w:val="ListParagraph"/>
        <w:numPr>
          <w:ilvl w:val="0"/>
          <w:numId w:val="5"/>
        </w:numPr>
        <w:rPr>
          <w:b/>
          <w:u w:val="single"/>
        </w:rPr>
      </w:pPr>
      <w:r w:rsidRPr="00596C3F">
        <w:rPr>
          <w:b/>
          <w:u w:val="single"/>
        </w:rPr>
        <w:t>Final Testing of Procedures</w:t>
      </w:r>
    </w:p>
    <w:p w14:paraId="043AE81C" w14:textId="77777777" w:rsidR="00421095" w:rsidRPr="00596C3F" w:rsidRDefault="00421095" w:rsidP="00421095">
      <w:pPr>
        <w:pStyle w:val="ListParagraph"/>
        <w:ind w:left="360"/>
        <w:rPr>
          <w:highlight w:val="yellow"/>
          <w:u w:val="single"/>
        </w:rPr>
      </w:pPr>
    </w:p>
    <w:p w14:paraId="62E71ECF" w14:textId="6416452A" w:rsidR="00D51B2B" w:rsidRPr="00596C3F" w:rsidRDefault="00D51B2B" w:rsidP="00D51B2B">
      <w:r w:rsidRPr="00596C3F">
        <w:t xml:space="preserve">The 2016 </w:t>
      </w:r>
      <w:r>
        <w:t xml:space="preserve">LEMAS survey instrument is built upon previous waves of the LEMAS survey to ensure data comparability. As a result, improvements to the questionnaire </w:t>
      </w:r>
      <w:r w:rsidR="00FF2685">
        <w:t>were</w:t>
      </w:r>
      <w:r>
        <w:t xml:space="preserve"> done with caution.</w:t>
      </w:r>
      <w:r w:rsidR="00975C81">
        <w:t xml:space="preserve"> </w:t>
      </w:r>
      <w:r>
        <w:t xml:space="preserve">BJS shared </w:t>
      </w:r>
      <w:r w:rsidRPr="001F0FE3">
        <w:t xml:space="preserve">a copy of </w:t>
      </w:r>
      <w:r w:rsidR="00FF2685">
        <w:t>the</w:t>
      </w:r>
      <w:r w:rsidRPr="001F0FE3">
        <w:t xml:space="preserve"> draft</w:t>
      </w:r>
      <w:r>
        <w:t xml:space="preserve"> </w:t>
      </w:r>
      <w:r w:rsidR="00FF2685">
        <w:t xml:space="preserve">2016 </w:t>
      </w:r>
      <w:r>
        <w:t>LEMAS</w:t>
      </w:r>
      <w:r w:rsidRPr="001F0FE3">
        <w:t xml:space="preserve"> survey instrument</w:t>
      </w:r>
      <w:r w:rsidRPr="000814A9">
        <w:t xml:space="preserve"> </w:t>
      </w:r>
      <w:r>
        <w:t>with</w:t>
      </w:r>
      <w:r w:rsidRPr="001F0FE3">
        <w:t xml:space="preserve"> </w:t>
      </w:r>
      <w:r>
        <w:t xml:space="preserve">research </w:t>
      </w:r>
      <w:r w:rsidRPr="001F0FE3">
        <w:t>scholars</w:t>
      </w:r>
      <w:r>
        <w:t xml:space="preserve"> with a known interest in law enforcement issues</w:t>
      </w:r>
      <w:r w:rsidR="00FF2685">
        <w:t xml:space="preserve"> and law enforcement professionals</w:t>
      </w:r>
      <w:r>
        <w:t>. The expert reviewers were given an electronic draft of the survey instrument and asked to comment on question wording, response categories, as well as overall structure and layout. Responses were primarily received as written annotations within the document.</w:t>
      </w:r>
      <w:r w:rsidRPr="00596C3F">
        <w:t xml:space="preserve"> </w:t>
      </w:r>
      <w:r w:rsidR="00FF2685">
        <w:t xml:space="preserve">Further information on the results of the expert panel review are provided in Part A. </w:t>
      </w:r>
      <w:r w:rsidR="00795904">
        <w:t>Only five new items were added to the 51-item instrument. For three other items, additional response categories were added. These adjustments were added to address recommendations from the President’s Task Force on 21</w:t>
      </w:r>
      <w:r w:rsidR="00795904" w:rsidRPr="00975C81">
        <w:rPr>
          <w:vertAlign w:val="superscript"/>
        </w:rPr>
        <w:t>st</w:t>
      </w:r>
      <w:r w:rsidR="00795904">
        <w:t xml:space="preserve"> Century </w:t>
      </w:r>
      <w:proofErr w:type="gramStart"/>
      <w:r w:rsidR="00795904">
        <w:t>Policing</w:t>
      </w:r>
      <w:proofErr w:type="gramEnd"/>
      <w:r w:rsidR="00795904">
        <w:t xml:space="preserve"> (see Attachment 3). We received expert feedback on these new items and where possible, question wording was consistent with other previously tested items. Additionally, we will conduct post-processing assessment of these new items.</w:t>
      </w:r>
    </w:p>
    <w:p w14:paraId="5795E495" w14:textId="77777777" w:rsidR="00F84901" w:rsidRDefault="00F84901" w:rsidP="00F84901">
      <w:pPr>
        <w:rPr>
          <w:u w:val="single"/>
        </w:rPr>
      </w:pPr>
    </w:p>
    <w:p w14:paraId="2C6F0BDC" w14:textId="77777777" w:rsidR="00F84901" w:rsidRPr="008D7CC0" w:rsidRDefault="00F84901" w:rsidP="00D534B2">
      <w:pPr>
        <w:pStyle w:val="ListParagraph"/>
        <w:numPr>
          <w:ilvl w:val="0"/>
          <w:numId w:val="5"/>
        </w:numPr>
        <w:rPr>
          <w:b/>
          <w:u w:val="single"/>
        </w:rPr>
      </w:pPr>
      <w:r w:rsidRPr="008D7CC0">
        <w:rPr>
          <w:b/>
          <w:u w:val="single"/>
        </w:rPr>
        <w:t>Contacts for Statistical Aspects and Data Collection</w:t>
      </w:r>
    </w:p>
    <w:p w14:paraId="3B26C7B2" w14:textId="77777777" w:rsidR="00F84901" w:rsidRPr="00596C3F" w:rsidRDefault="00F84901" w:rsidP="00F84901">
      <w:pPr>
        <w:rPr>
          <w:u w:val="single"/>
        </w:rPr>
      </w:pPr>
    </w:p>
    <w:p w14:paraId="59C7CA29" w14:textId="77777777" w:rsidR="00F84901" w:rsidRDefault="00F84901" w:rsidP="00F84901">
      <w:pPr>
        <w:pStyle w:val="ListParagraph"/>
        <w:numPr>
          <w:ilvl w:val="0"/>
          <w:numId w:val="6"/>
        </w:numPr>
        <w:tabs>
          <w:tab w:val="left" w:pos="360"/>
        </w:tabs>
        <w:ind w:left="0" w:firstLine="0"/>
      </w:pPr>
      <w:r>
        <w:t xml:space="preserve">BJS contacts include: </w:t>
      </w:r>
    </w:p>
    <w:p w14:paraId="60A36035" w14:textId="77777777" w:rsidR="00F84901" w:rsidRDefault="00F84901" w:rsidP="00F84901">
      <w:pPr>
        <w:pStyle w:val="ListParagraph"/>
        <w:tabs>
          <w:tab w:val="left" w:pos="360"/>
        </w:tabs>
        <w:ind w:left="0"/>
      </w:pPr>
    </w:p>
    <w:p w14:paraId="76AEBEDF" w14:textId="77777777" w:rsidR="00F84901" w:rsidRDefault="00F84901" w:rsidP="00F84901">
      <w:pPr>
        <w:pStyle w:val="ListParagraph"/>
        <w:tabs>
          <w:tab w:val="left" w:pos="360"/>
        </w:tabs>
        <w:ind w:left="0"/>
      </w:pPr>
      <w:r>
        <w:tab/>
      </w:r>
      <w:r>
        <w:tab/>
        <w:t>Shelley H</w:t>
      </w:r>
      <w:r w:rsidR="00AE2023">
        <w:t>y</w:t>
      </w:r>
      <w:r>
        <w:t>land, PhD</w:t>
      </w:r>
    </w:p>
    <w:p w14:paraId="28DD6740" w14:textId="77777777" w:rsidR="00BF496B" w:rsidRDefault="00BF496B" w:rsidP="00BF496B">
      <w:pPr>
        <w:pStyle w:val="ListParagraph"/>
      </w:pPr>
      <w:r>
        <w:t>202-305-5552</w:t>
      </w:r>
    </w:p>
    <w:p w14:paraId="50CECE00" w14:textId="77777777" w:rsidR="00BF496B" w:rsidRDefault="00736FFB" w:rsidP="00BF496B">
      <w:pPr>
        <w:pStyle w:val="ListParagraph"/>
        <w:rPr>
          <w:rStyle w:val="Hyperlink"/>
        </w:rPr>
      </w:pPr>
      <w:hyperlink r:id="rId8" w:history="1">
        <w:r w:rsidR="00BF496B">
          <w:rPr>
            <w:rStyle w:val="Hyperlink"/>
          </w:rPr>
          <w:t>Shelley.Hyland</w:t>
        </w:r>
        <w:r w:rsidR="00BF496B" w:rsidRPr="00A149AC">
          <w:rPr>
            <w:rStyle w:val="Hyperlink"/>
          </w:rPr>
          <w:t>@usdoj.gov</w:t>
        </w:r>
      </w:hyperlink>
    </w:p>
    <w:p w14:paraId="28C1C858" w14:textId="77777777" w:rsidR="00BF496B" w:rsidRDefault="00BF496B" w:rsidP="00BF496B">
      <w:pPr>
        <w:pStyle w:val="ListParagraph"/>
        <w:tabs>
          <w:tab w:val="left" w:pos="360"/>
        </w:tabs>
        <w:ind w:left="0"/>
      </w:pPr>
    </w:p>
    <w:p w14:paraId="6BD056BF" w14:textId="77777777" w:rsidR="00F84901" w:rsidRDefault="00F84901" w:rsidP="00F84901">
      <w:pPr>
        <w:pStyle w:val="ListParagraph"/>
        <w:numPr>
          <w:ilvl w:val="0"/>
          <w:numId w:val="6"/>
        </w:numPr>
        <w:tabs>
          <w:tab w:val="left" w:pos="360"/>
        </w:tabs>
        <w:ind w:left="0" w:firstLine="0"/>
      </w:pPr>
      <w:r>
        <w:t>Persons consulted on statistical methodology:</w:t>
      </w:r>
    </w:p>
    <w:p w14:paraId="329CD4E6" w14:textId="77777777" w:rsidR="00F84901" w:rsidRDefault="00F84901" w:rsidP="00F84901">
      <w:pPr>
        <w:tabs>
          <w:tab w:val="left" w:pos="360"/>
        </w:tabs>
      </w:pPr>
    </w:p>
    <w:p w14:paraId="45A04A9B" w14:textId="77777777" w:rsidR="00F84901" w:rsidRDefault="00F84901" w:rsidP="00F84901">
      <w:pPr>
        <w:pStyle w:val="ListParagraph"/>
        <w:tabs>
          <w:tab w:val="left" w:pos="360"/>
        </w:tabs>
        <w:ind w:left="0"/>
      </w:pPr>
      <w:r>
        <w:tab/>
      </w:r>
      <w:r>
        <w:tab/>
        <w:t>Stephanie Zimmer, PhD</w:t>
      </w:r>
    </w:p>
    <w:p w14:paraId="315AE7FD" w14:textId="77777777" w:rsidR="00F84901" w:rsidRDefault="00F84901" w:rsidP="00F84901">
      <w:pPr>
        <w:pStyle w:val="ListParagraph"/>
        <w:tabs>
          <w:tab w:val="left" w:pos="360"/>
        </w:tabs>
        <w:ind w:left="0"/>
      </w:pPr>
      <w:r>
        <w:tab/>
      </w:r>
      <w:r>
        <w:tab/>
        <w:t>RTI International</w:t>
      </w:r>
    </w:p>
    <w:p w14:paraId="078299EC" w14:textId="77777777" w:rsidR="00F84901" w:rsidRDefault="00F84901" w:rsidP="00F84901"/>
    <w:p w14:paraId="3857B160" w14:textId="77777777" w:rsidR="00F84901" w:rsidRDefault="00F84901" w:rsidP="00F84901">
      <w:pPr>
        <w:pStyle w:val="ListParagraph"/>
        <w:numPr>
          <w:ilvl w:val="0"/>
          <w:numId w:val="6"/>
        </w:numPr>
        <w:tabs>
          <w:tab w:val="left" w:pos="360"/>
        </w:tabs>
        <w:ind w:left="0" w:firstLine="0"/>
      </w:pPr>
      <w:r>
        <w:t>Persons consulted on data collection and analysis:</w:t>
      </w:r>
    </w:p>
    <w:p w14:paraId="173C8406" w14:textId="77777777" w:rsidR="00F84901" w:rsidRDefault="00F84901" w:rsidP="00F84901">
      <w:pPr>
        <w:ind w:firstLine="720"/>
      </w:pPr>
    </w:p>
    <w:p w14:paraId="07A18CFC" w14:textId="77777777" w:rsidR="00F84901" w:rsidRDefault="00F84901" w:rsidP="00F84901">
      <w:pPr>
        <w:ind w:firstLine="720"/>
      </w:pPr>
      <w:r>
        <w:t>Tim Smith</w:t>
      </w:r>
    </w:p>
    <w:p w14:paraId="5BAA58DE" w14:textId="77777777" w:rsidR="00F84901" w:rsidRDefault="00F84901" w:rsidP="00F84901">
      <w:pPr>
        <w:ind w:left="360"/>
      </w:pPr>
      <w:r>
        <w:tab/>
        <w:t>RTI International</w:t>
      </w:r>
    </w:p>
    <w:p w14:paraId="312014C4" w14:textId="77777777" w:rsidR="00F84901" w:rsidRDefault="00F84901" w:rsidP="00F84901">
      <w:pPr>
        <w:ind w:left="360"/>
      </w:pPr>
    </w:p>
    <w:p w14:paraId="36C96E0F" w14:textId="77777777" w:rsidR="00F84901" w:rsidRDefault="00F84901" w:rsidP="00F84901">
      <w:pPr>
        <w:ind w:left="360" w:firstLine="360"/>
      </w:pPr>
      <w:r>
        <w:t>Travis Taniguchi, PhD</w:t>
      </w:r>
    </w:p>
    <w:p w14:paraId="688FFA88" w14:textId="77777777" w:rsidR="0067742B" w:rsidRDefault="00F84901" w:rsidP="002F32F5">
      <w:pPr>
        <w:ind w:left="360" w:firstLine="360"/>
      </w:pPr>
      <w:r>
        <w:t>RTI International</w:t>
      </w:r>
    </w:p>
    <w:p w14:paraId="58D3D026" w14:textId="50E53724" w:rsidR="00C55C76" w:rsidRDefault="00C55C76">
      <w:pPr>
        <w:spacing w:after="200" w:line="276" w:lineRule="auto"/>
      </w:pPr>
      <w:r>
        <w:br w:type="page"/>
      </w:r>
    </w:p>
    <w:p w14:paraId="3E910804" w14:textId="77777777" w:rsidR="00C55C76" w:rsidRPr="00F6452F" w:rsidRDefault="00C55C76" w:rsidP="00C55C76">
      <w:pPr>
        <w:autoSpaceDE w:val="0"/>
        <w:autoSpaceDN w:val="0"/>
        <w:adjustRightInd w:val="0"/>
        <w:spacing w:after="240"/>
        <w:ind w:left="720" w:hanging="720"/>
        <w:jc w:val="center"/>
        <w:rPr>
          <w:b/>
        </w:rPr>
      </w:pPr>
      <w:r w:rsidRPr="00F6452F">
        <w:rPr>
          <w:b/>
        </w:rPr>
        <w:lastRenderedPageBreak/>
        <w:t>References</w:t>
      </w:r>
    </w:p>
    <w:p w14:paraId="5CED4E2E" w14:textId="77777777" w:rsidR="00C55C76" w:rsidRPr="002C25E4" w:rsidRDefault="00C55C76" w:rsidP="00F6452F">
      <w:pPr>
        <w:pStyle w:val="NormalWeb"/>
        <w:shd w:val="clear" w:color="auto" w:fill="FFFFFF"/>
        <w:spacing w:before="0" w:beforeAutospacing="0" w:after="231" w:afterAutospacing="0" w:line="285" w:lineRule="atLeast"/>
        <w:ind w:left="720" w:hanging="720"/>
        <w:rPr>
          <w:shd w:val="clear" w:color="auto" w:fill="FFFFFF"/>
        </w:rPr>
      </w:pPr>
      <w:r w:rsidRPr="002C25E4">
        <w:rPr>
          <w:shd w:val="clear" w:color="auto" w:fill="FFFFFF"/>
        </w:rPr>
        <w:t>Barrick, K.,</w:t>
      </w:r>
      <w:proofErr w:type="gramStart"/>
      <w:r w:rsidRPr="002C25E4">
        <w:rPr>
          <w:shd w:val="clear" w:color="auto" w:fill="FFFFFF"/>
        </w:rPr>
        <w:t>  Hickman</w:t>
      </w:r>
      <w:proofErr w:type="gramEnd"/>
      <w:r w:rsidRPr="002C25E4">
        <w:rPr>
          <w:shd w:val="clear" w:color="auto" w:fill="FFFFFF"/>
        </w:rPr>
        <w:t>, M. J., &amp; Strom, K. J.</w:t>
      </w:r>
      <w:r w:rsidRPr="002C25E4">
        <w:rPr>
          <w:rStyle w:val="apple-converted-space"/>
          <w:shd w:val="clear" w:color="auto" w:fill="FFFFFF"/>
        </w:rPr>
        <w:t xml:space="preserve"> (2014). </w:t>
      </w:r>
      <w:hyperlink r:id="rId9" w:history="1">
        <w:r w:rsidRPr="002C25E4">
          <w:rPr>
            <w:rStyle w:val="Strong"/>
            <w:b w:val="0"/>
            <w:shd w:val="clear" w:color="auto" w:fill="FFFFFF"/>
          </w:rPr>
          <w:t>Representative policing and violence towards the police</w:t>
        </w:r>
      </w:hyperlink>
      <w:r w:rsidRPr="002C25E4">
        <w:rPr>
          <w:b/>
          <w:shd w:val="clear" w:color="auto" w:fill="FFFFFF"/>
        </w:rPr>
        <w:t>.</w:t>
      </w:r>
      <w:r w:rsidRPr="002C25E4">
        <w:rPr>
          <w:rStyle w:val="apple-converted-space"/>
          <w:b/>
          <w:shd w:val="clear" w:color="auto" w:fill="FFFFFF"/>
        </w:rPr>
        <w:t> </w:t>
      </w:r>
      <w:r w:rsidRPr="002C25E4">
        <w:rPr>
          <w:rStyle w:val="HTMLCite"/>
          <w:shd w:val="clear" w:color="auto" w:fill="FFFFFF"/>
        </w:rPr>
        <w:t>Policing</w:t>
      </w:r>
      <w:r w:rsidRPr="002C25E4">
        <w:rPr>
          <w:shd w:val="clear" w:color="auto" w:fill="FFFFFF"/>
        </w:rPr>
        <w:t>.</w:t>
      </w:r>
    </w:p>
    <w:p w14:paraId="16DD148E" w14:textId="77777777" w:rsidR="00C55C76" w:rsidRPr="002C25E4" w:rsidRDefault="00C55C76" w:rsidP="00F6452F">
      <w:pPr>
        <w:shd w:val="clear" w:color="auto" w:fill="FFFFFF"/>
        <w:spacing w:before="100" w:beforeAutospacing="1" w:after="100" w:afterAutospacing="1" w:line="293" w:lineRule="atLeast"/>
        <w:ind w:left="720" w:hanging="720"/>
        <w:rPr>
          <w:shd w:val="clear" w:color="auto" w:fill="FFFFFF"/>
        </w:rPr>
      </w:pPr>
      <w:proofErr w:type="spellStart"/>
      <w:r w:rsidRPr="002C25E4">
        <w:rPr>
          <w:shd w:val="clear" w:color="auto" w:fill="FFFFFF"/>
        </w:rPr>
        <w:t>Bies</w:t>
      </w:r>
      <w:proofErr w:type="spellEnd"/>
      <w:r w:rsidRPr="002C25E4">
        <w:rPr>
          <w:shd w:val="clear" w:color="auto" w:fill="FFFFFF"/>
        </w:rPr>
        <w:t>, K. J.,</w:t>
      </w:r>
      <w:proofErr w:type="gramStart"/>
      <w:r w:rsidRPr="002C25E4">
        <w:rPr>
          <w:shd w:val="clear" w:color="auto" w:fill="FFFFFF"/>
        </w:rPr>
        <w:t xml:space="preserve">  </w:t>
      </w:r>
      <w:proofErr w:type="spellStart"/>
      <w:r w:rsidRPr="002C25E4">
        <w:rPr>
          <w:shd w:val="clear" w:color="auto" w:fill="FFFFFF"/>
        </w:rPr>
        <w:t>Deporto</w:t>
      </w:r>
      <w:proofErr w:type="spellEnd"/>
      <w:proofErr w:type="gramEnd"/>
      <w:r w:rsidRPr="002C25E4">
        <w:rPr>
          <w:shd w:val="clear" w:color="auto" w:fill="FFFFFF"/>
        </w:rPr>
        <w:t xml:space="preserve">, I. M.,  Long, D. G.,  </w:t>
      </w:r>
      <w:proofErr w:type="spellStart"/>
      <w:r w:rsidRPr="002C25E4">
        <w:rPr>
          <w:shd w:val="clear" w:color="auto" w:fill="FFFFFF"/>
        </w:rPr>
        <w:t>McKoy</w:t>
      </w:r>
      <w:proofErr w:type="spellEnd"/>
      <w:r w:rsidRPr="002C25E4">
        <w:rPr>
          <w:shd w:val="clear" w:color="auto" w:fill="FFFFFF"/>
        </w:rPr>
        <w:t xml:space="preserve">, M. S.,  </w:t>
      </w:r>
      <w:proofErr w:type="spellStart"/>
      <w:r w:rsidRPr="002C25E4">
        <w:rPr>
          <w:shd w:val="clear" w:color="auto" w:fill="FFFFFF"/>
        </w:rPr>
        <w:t>Mukamal</w:t>
      </w:r>
      <w:proofErr w:type="spellEnd"/>
      <w:r w:rsidRPr="002C25E4">
        <w:rPr>
          <w:shd w:val="clear" w:color="auto" w:fill="FFFFFF"/>
        </w:rPr>
        <w:t xml:space="preserve">, D. A. &amp;,  </w:t>
      </w:r>
      <w:proofErr w:type="spellStart"/>
      <w:r w:rsidRPr="002C25E4">
        <w:rPr>
          <w:shd w:val="clear" w:color="auto" w:fill="FFFFFF"/>
        </w:rPr>
        <w:t>Sklansky</w:t>
      </w:r>
      <w:proofErr w:type="spellEnd"/>
      <w:r w:rsidRPr="002C25E4">
        <w:rPr>
          <w:shd w:val="clear" w:color="auto" w:fill="FFFFFF"/>
        </w:rPr>
        <w:t>, D. A. (2015).</w:t>
      </w:r>
      <w:r w:rsidRPr="002C25E4">
        <w:rPr>
          <w:rStyle w:val="apple-converted-space"/>
          <w:shd w:val="clear" w:color="auto" w:fill="FFFFFF"/>
        </w:rPr>
        <w:t> </w:t>
      </w:r>
      <w:r w:rsidRPr="002C25E4">
        <w:rPr>
          <w:rStyle w:val="Strong"/>
          <w:b w:val="0"/>
          <w:shd w:val="clear" w:color="auto" w:fill="FFFFFF"/>
        </w:rPr>
        <w:t>Stuck in the '70s: The demographics of California prosecutors</w:t>
      </w:r>
      <w:r w:rsidRPr="002C25E4">
        <w:rPr>
          <w:shd w:val="clear" w:color="auto" w:fill="FFFFFF"/>
        </w:rPr>
        <w:t>. Stanford, CA: Stanford Law School, Stanford Criminal Justice Center</w:t>
      </w:r>
    </w:p>
    <w:p w14:paraId="3A6A36E5" w14:textId="77777777" w:rsidR="00C55C76" w:rsidRPr="002C25E4" w:rsidRDefault="00C55C76" w:rsidP="00C55C76">
      <w:pPr>
        <w:autoSpaceDE w:val="0"/>
        <w:autoSpaceDN w:val="0"/>
        <w:adjustRightInd w:val="0"/>
        <w:spacing w:after="120" w:line="259" w:lineRule="auto"/>
        <w:ind w:left="720" w:hanging="720"/>
      </w:pPr>
      <w:r w:rsidRPr="002C25E4">
        <w:t xml:space="preserve">Bromley, M. &amp; Reaves, B. (1998). Comparing campus and city police operational practices. </w:t>
      </w:r>
      <w:r w:rsidRPr="002C25E4">
        <w:rPr>
          <w:i/>
        </w:rPr>
        <w:t>Journal of Security Administration,</w:t>
      </w:r>
      <w:r w:rsidRPr="002C25E4">
        <w:t xml:space="preserve"> 21(2), 41-54.</w:t>
      </w:r>
    </w:p>
    <w:p w14:paraId="17C8C895" w14:textId="77777777" w:rsidR="00C55C76" w:rsidRPr="00D474D8" w:rsidRDefault="00C55C76" w:rsidP="00F6452F">
      <w:pPr>
        <w:shd w:val="clear" w:color="auto" w:fill="FFFFFF"/>
        <w:spacing w:before="100" w:beforeAutospacing="1" w:after="100" w:afterAutospacing="1" w:line="293" w:lineRule="atLeast"/>
        <w:ind w:left="720" w:hanging="720"/>
      </w:pPr>
      <w:r w:rsidRPr="00D474D8">
        <w:t xml:space="preserve">Cave, B., </w:t>
      </w:r>
      <w:proofErr w:type="spellStart"/>
      <w:r w:rsidRPr="00D474D8">
        <w:t>Telep</w:t>
      </w:r>
      <w:proofErr w:type="spellEnd"/>
      <w:r w:rsidRPr="00D474D8">
        <w:t xml:space="preserve">, C. W., &amp; </w:t>
      </w:r>
      <w:proofErr w:type="spellStart"/>
      <w:r w:rsidRPr="00D474D8">
        <w:t>Grieco</w:t>
      </w:r>
      <w:proofErr w:type="spellEnd"/>
      <w:r w:rsidRPr="00D474D8">
        <w:t>, J. (2015). Rigorous evaluation research among US police departments: Special cases or a representative sample?</w:t>
      </w:r>
      <w:r w:rsidRPr="00D474D8">
        <w:rPr>
          <w:i/>
          <w:iCs/>
        </w:rPr>
        <w:t> Police Practice and Research, 16</w:t>
      </w:r>
      <w:r w:rsidRPr="00D474D8">
        <w:t>(3), 254-15. doi:10.1080/15614263.2014.888348</w:t>
      </w:r>
    </w:p>
    <w:p w14:paraId="0CC3CA5C" w14:textId="77777777" w:rsidR="00C55C76" w:rsidRPr="002C25E4" w:rsidRDefault="00C55C76" w:rsidP="00F6452F">
      <w:pPr>
        <w:pStyle w:val="NormalWeb"/>
        <w:shd w:val="clear" w:color="auto" w:fill="FFFFFF"/>
        <w:spacing w:before="0" w:beforeAutospacing="0" w:after="231" w:afterAutospacing="0" w:line="285" w:lineRule="atLeast"/>
        <w:ind w:left="720" w:hanging="720"/>
      </w:pPr>
      <w:proofErr w:type="spellStart"/>
      <w:r w:rsidRPr="002C25E4">
        <w:t>Chalfin</w:t>
      </w:r>
      <w:proofErr w:type="spellEnd"/>
      <w:r w:rsidRPr="002C25E4">
        <w:t xml:space="preserve">, A., &amp; McCrary, J. (2013). The effect of police on crime: New evidence from U.S. cities, 1960-2010. </w:t>
      </w:r>
      <w:r w:rsidRPr="002C25E4">
        <w:rPr>
          <w:i/>
        </w:rPr>
        <w:t>NBER</w:t>
      </w:r>
      <w:r w:rsidRPr="002C25E4">
        <w:t xml:space="preserve"> </w:t>
      </w:r>
      <w:r w:rsidRPr="002C25E4">
        <w:rPr>
          <w:i/>
        </w:rPr>
        <w:t xml:space="preserve">working paper series. </w:t>
      </w:r>
      <w:r w:rsidRPr="002C25E4">
        <w:t>18815, Cambridge, MA: National Bureau of Economic Research.</w:t>
      </w:r>
    </w:p>
    <w:p w14:paraId="4E36D0D0" w14:textId="77777777" w:rsidR="00C55C76" w:rsidRPr="002C25E4" w:rsidRDefault="00C55C76" w:rsidP="00F6452F">
      <w:pPr>
        <w:pStyle w:val="NormalWeb"/>
        <w:shd w:val="clear" w:color="auto" w:fill="FFFFFF"/>
        <w:spacing w:before="0" w:beforeAutospacing="0" w:after="231" w:afterAutospacing="0" w:line="285" w:lineRule="atLeast"/>
        <w:ind w:left="720" w:hanging="720"/>
        <w:rPr>
          <w:shd w:val="clear" w:color="auto" w:fill="FFFFFF"/>
        </w:rPr>
      </w:pPr>
      <w:proofErr w:type="spellStart"/>
      <w:r w:rsidRPr="002C25E4">
        <w:rPr>
          <w:shd w:val="clear" w:color="auto" w:fill="FFFFFF"/>
        </w:rPr>
        <w:t>DeCarlo</w:t>
      </w:r>
      <w:proofErr w:type="spellEnd"/>
      <w:r w:rsidRPr="002C25E4">
        <w:rPr>
          <w:shd w:val="clear" w:color="auto" w:fill="FFFFFF"/>
        </w:rPr>
        <w:t>, J., &amp; Jenkins, M. J. (2015).</w:t>
      </w:r>
      <w:r w:rsidRPr="002C25E4">
        <w:rPr>
          <w:rStyle w:val="apple-converted-space"/>
          <w:shd w:val="clear" w:color="auto" w:fill="FFFFFF"/>
        </w:rPr>
        <w:t> </w:t>
      </w:r>
      <w:r w:rsidRPr="002C25E4">
        <w:rPr>
          <w:rStyle w:val="Strong"/>
          <w:b w:val="0"/>
          <w:shd w:val="clear" w:color="auto" w:fill="FFFFFF"/>
        </w:rPr>
        <w:t>Labor unions, management innovation and organizational change in police departments</w:t>
      </w:r>
      <w:r w:rsidRPr="002C25E4">
        <w:rPr>
          <w:b/>
          <w:shd w:val="clear" w:color="auto" w:fill="FFFFFF"/>
        </w:rPr>
        <w:t>.</w:t>
      </w:r>
      <w:r w:rsidRPr="002C25E4">
        <w:rPr>
          <w:rStyle w:val="apple-converted-space"/>
          <w:shd w:val="clear" w:color="auto" w:fill="FFFFFF"/>
        </w:rPr>
        <w:t> </w:t>
      </w:r>
      <w:r w:rsidRPr="002C25E4">
        <w:rPr>
          <w:rStyle w:val="HTMLCite"/>
          <w:shd w:val="clear" w:color="auto" w:fill="FFFFFF"/>
        </w:rPr>
        <w:t>Springer Briefs in Criminology</w:t>
      </w:r>
      <w:r w:rsidRPr="002C25E4">
        <w:rPr>
          <w:shd w:val="clear" w:color="auto" w:fill="FFFFFF"/>
        </w:rPr>
        <w:t>. Switzerland: Springer International Publishing</w:t>
      </w:r>
      <w:r w:rsidRPr="002C25E4">
        <w:rPr>
          <w:rStyle w:val="apple-converted-space"/>
          <w:shd w:val="clear" w:color="auto" w:fill="FFFFFF"/>
        </w:rPr>
        <w:t> </w:t>
      </w:r>
      <w:hyperlink r:id="rId10" w:history="1">
        <w:r w:rsidRPr="002C25E4">
          <w:rPr>
            <w:rStyle w:val="Hyperlink"/>
            <w:shd w:val="clear" w:color="auto" w:fill="FFFFFF"/>
          </w:rPr>
          <w:t>doi</w:t>
        </w:r>
        <w:proofErr w:type="gramStart"/>
        <w:r w:rsidRPr="002C25E4">
          <w:rPr>
            <w:rStyle w:val="Hyperlink"/>
            <w:shd w:val="clear" w:color="auto" w:fill="FFFFFF"/>
          </w:rPr>
          <w:t>:10.1007</w:t>
        </w:r>
        <w:proofErr w:type="gramEnd"/>
        <w:r w:rsidRPr="002C25E4">
          <w:rPr>
            <w:rStyle w:val="Hyperlink"/>
            <w:shd w:val="clear" w:color="auto" w:fill="FFFFFF"/>
          </w:rPr>
          <w:t>/978-3-319-21584-6</w:t>
        </w:r>
      </w:hyperlink>
    </w:p>
    <w:p w14:paraId="27F5878B" w14:textId="77777777" w:rsidR="00C55C76" w:rsidRPr="002C25E4" w:rsidRDefault="00C55C76" w:rsidP="00F6452F">
      <w:pPr>
        <w:pStyle w:val="NormalWeb"/>
        <w:shd w:val="clear" w:color="auto" w:fill="FFFFFF"/>
        <w:spacing w:before="0" w:beforeAutospacing="0" w:after="231" w:afterAutospacing="0" w:line="285" w:lineRule="atLeast"/>
        <w:ind w:left="720" w:hanging="720"/>
        <w:rPr>
          <w:shd w:val="clear" w:color="auto" w:fill="FFFFFF"/>
        </w:rPr>
      </w:pPr>
      <w:r w:rsidRPr="002C25E4">
        <w:rPr>
          <w:shd w:val="clear" w:color="auto" w:fill="FFFFFF"/>
        </w:rPr>
        <w:t>Farrell, A. (2014).</w:t>
      </w:r>
      <w:r w:rsidRPr="002C25E4">
        <w:rPr>
          <w:rStyle w:val="apple-converted-space"/>
          <w:b/>
          <w:shd w:val="clear" w:color="auto" w:fill="FFFFFF"/>
        </w:rPr>
        <w:t> </w:t>
      </w:r>
      <w:hyperlink r:id="rId11" w:history="1">
        <w:r w:rsidRPr="002C25E4">
          <w:rPr>
            <w:rStyle w:val="Strong"/>
            <w:b w:val="0"/>
            <w:shd w:val="clear" w:color="auto" w:fill="FFFFFF"/>
          </w:rPr>
          <w:t>Environmental and institutional influences on police agency responses to human trafficking</w:t>
        </w:r>
      </w:hyperlink>
      <w:r w:rsidRPr="002C25E4">
        <w:rPr>
          <w:b/>
          <w:shd w:val="clear" w:color="auto" w:fill="FFFFFF"/>
        </w:rPr>
        <w:t>.</w:t>
      </w:r>
      <w:r w:rsidRPr="002C25E4">
        <w:rPr>
          <w:rStyle w:val="apple-converted-space"/>
          <w:shd w:val="clear" w:color="auto" w:fill="FFFFFF"/>
        </w:rPr>
        <w:t> </w:t>
      </w:r>
      <w:r w:rsidRPr="002C25E4">
        <w:rPr>
          <w:rStyle w:val="HTMLCite"/>
          <w:shd w:val="clear" w:color="auto" w:fill="FFFFFF"/>
        </w:rPr>
        <w:t>Police Quarterly</w:t>
      </w:r>
      <w:r w:rsidRPr="002C25E4">
        <w:rPr>
          <w:shd w:val="clear" w:color="auto" w:fill="FFFFFF"/>
        </w:rPr>
        <w:t xml:space="preserve">. </w:t>
      </w:r>
      <w:r w:rsidRPr="002C25E4">
        <w:rPr>
          <w:i/>
          <w:shd w:val="clear" w:color="auto" w:fill="FFFFFF"/>
        </w:rPr>
        <w:t>17</w:t>
      </w:r>
      <w:r w:rsidRPr="002C25E4">
        <w:rPr>
          <w:shd w:val="clear" w:color="auto" w:fill="FFFFFF"/>
        </w:rPr>
        <w:t>(1), 3-29.</w:t>
      </w:r>
    </w:p>
    <w:p w14:paraId="115D9A05" w14:textId="77777777" w:rsidR="00C55C76" w:rsidRPr="002C25E4" w:rsidRDefault="00C55C76" w:rsidP="00C55C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hanging="720"/>
      </w:pPr>
      <w:r w:rsidRPr="002C25E4">
        <w:t xml:space="preserve">Folsom, R.E., &amp; Singh, A.C. (2000). The generalized model for sampling weight calibration for extreme values, nonresponse, and </w:t>
      </w:r>
      <w:proofErr w:type="spellStart"/>
      <w:r w:rsidRPr="002C25E4">
        <w:t>poststratification</w:t>
      </w:r>
      <w:proofErr w:type="spellEnd"/>
      <w:r w:rsidRPr="002C25E4">
        <w:t xml:space="preserve">. In </w:t>
      </w:r>
      <w:r w:rsidRPr="002C25E4">
        <w:rPr>
          <w:i/>
        </w:rPr>
        <w:t>Proceedings of the American Statistical Association’s Survey Research Methods Section</w:t>
      </w:r>
      <w:r w:rsidRPr="002C25E4">
        <w:t>, 598-603.</w:t>
      </w:r>
    </w:p>
    <w:p w14:paraId="4EEA5FF9" w14:textId="77777777" w:rsidR="00C55C76" w:rsidRPr="002C25E4" w:rsidRDefault="00C55C76" w:rsidP="00C55C76">
      <w:pPr>
        <w:autoSpaceDE w:val="0"/>
        <w:autoSpaceDN w:val="0"/>
        <w:adjustRightInd w:val="0"/>
        <w:spacing w:after="120"/>
        <w:ind w:left="720" w:hanging="720"/>
        <w:rPr>
          <w:i/>
        </w:rPr>
      </w:pPr>
      <w:r w:rsidRPr="002C25E4">
        <w:t xml:space="preserve">Groves, R. &amp; Cork, D. (2009). </w:t>
      </w:r>
      <w:r w:rsidRPr="002C25E4">
        <w:rPr>
          <w:i/>
        </w:rPr>
        <w:t xml:space="preserve">Ensuring the Quality, Credibility, and Relevance of U.S. Justice Statistics. </w:t>
      </w:r>
      <w:r w:rsidRPr="002C25E4">
        <w:t>Washington, D.C. National Academies Press.</w:t>
      </w:r>
    </w:p>
    <w:p w14:paraId="1070A91A" w14:textId="77777777" w:rsidR="00C55C76" w:rsidRPr="002C25E4" w:rsidRDefault="00C55C76" w:rsidP="00F6452F">
      <w:pPr>
        <w:pStyle w:val="NormalWeb"/>
        <w:shd w:val="clear" w:color="auto" w:fill="FFFFFF"/>
        <w:spacing w:before="0" w:beforeAutospacing="0" w:after="231" w:afterAutospacing="0" w:line="285" w:lineRule="atLeast"/>
        <w:ind w:left="720" w:hanging="720"/>
        <w:rPr>
          <w:shd w:val="clear" w:color="auto" w:fill="FFFFFF"/>
        </w:rPr>
      </w:pPr>
      <w:r w:rsidRPr="002C25E4">
        <w:rPr>
          <w:shd w:val="clear" w:color="auto" w:fill="FFFFFF"/>
        </w:rPr>
        <w:t>Gustafson, J. (</w:t>
      </w:r>
      <w:r w:rsidRPr="002C25E4">
        <w:rPr>
          <w:rStyle w:val="apple-converted-space"/>
          <w:shd w:val="clear" w:color="auto" w:fill="FFFFFF"/>
        </w:rPr>
        <w:t xml:space="preserve">2013). </w:t>
      </w:r>
      <w:hyperlink r:id="rId12" w:history="1">
        <w:r w:rsidRPr="002C25E4">
          <w:rPr>
            <w:rStyle w:val="Strong"/>
            <w:b w:val="0"/>
            <w:shd w:val="clear" w:color="auto" w:fill="FFFFFF"/>
          </w:rPr>
          <w:t>Diversity in municipal police agencies: A national examination of minority hiring and promotion</w:t>
        </w:r>
      </w:hyperlink>
      <w:r w:rsidRPr="002C25E4">
        <w:rPr>
          <w:shd w:val="clear" w:color="auto" w:fill="FFFFFF"/>
        </w:rPr>
        <w:t>.</w:t>
      </w:r>
      <w:r w:rsidRPr="002C25E4">
        <w:rPr>
          <w:rStyle w:val="apple-converted-space"/>
          <w:shd w:val="clear" w:color="auto" w:fill="FFFFFF"/>
        </w:rPr>
        <w:t> </w:t>
      </w:r>
      <w:r w:rsidRPr="002C25E4">
        <w:rPr>
          <w:rStyle w:val="HTMLCite"/>
          <w:shd w:val="clear" w:color="auto" w:fill="FFFFFF"/>
        </w:rPr>
        <w:t>Policing</w:t>
      </w:r>
      <w:r w:rsidRPr="002C25E4">
        <w:rPr>
          <w:shd w:val="clear" w:color="auto" w:fill="FFFFFF"/>
        </w:rPr>
        <w:t xml:space="preserve">. </w:t>
      </w:r>
      <w:r w:rsidRPr="002C25E4">
        <w:rPr>
          <w:i/>
          <w:shd w:val="clear" w:color="auto" w:fill="FFFFFF"/>
        </w:rPr>
        <w:t>36</w:t>
      </w:r>
      <w:r w:rsidRPr="002C25E4">
        <w:rPr>
          <w:shd w:val="clear" w:color="auto" w:fill="FFFFFF"/>
        </w:rPr>
        <w:t xml:space="preserve">(4), 719-736. </w:t>
      </w:r>
    </w:p>
    <w:p w14:paraId="4D141586" w14:textId="77777777" w:rsidR="00C55C76" w:rsidRPr="002C25E4" w:rsidRDefault="00C55C76" w:rsidP="00C55C76">
      <w:pPr>
        <w:autoSpaceDE w:val="0"/>
        <w:autoSpaceDN w:val="0"/>
        <w:adjustRightInd w:val="0"/>
        <w:spacing w:after="120"/>
        <w:ind w:left="720" w:hanging="720"/>
      </w:pPr>
      <w:r w:rsidRPr="002C25E4">
        <w:t xml:space="preserve">Hickman, M. &amp; </w:t>
      </w:r>
      <w:proofErr w:type="spellStart"/>
      <w:r w:rsidRPr="002C25E4">
        <w:t>Piquero</w:t>
      </w:r>
      <w:proofErr w:type="spellEnd"/>
      <w:r w:rsidRPr="002C25E4">
        <w:t xml:space="preserve">, A. (2009). Organizational, administrative, and environmental correlates of complaints about police use of force: Does minority representation matter? </w:t>
      </w:r>
      <w:r w:rsidRPr="002C25E4">
        <w:rPr>
          <w:i/>
        </w:rPr>
        <w:t>Crime and Delinquency,</w:t>
      </w:r>
      <w:r w:rsidRPr="002C25E4">
        <w:t xml:space="preserve"> 15(1), 3-27.</w:t>
      </w:r>
    </w:p>
    <w:p w14:paraId="168A8FAC" w14:textId="77777777" w:rsidR="00C55C76" w:rsidRPr="002C25E4" w:rsidRDefault="00C55C76" w:rsidP="00F6452F">
      <w:pPr>
        <w:pStyle w:val="NormalWeb"/>
        <w:shd w:val="clear" w:color="auto" w:fill="FFFFFF"/>
        <w:spacing w:before="0" w:beforeAutospacing="0" w:after="231" w:afterAutospacing="0" w:line="285" w:lineRule="atLeast"/>
        <w:ind w:left="720" w:hanging="720"/>
        <w:rPr>
          <w:shd w:val="clear" w:color="auto" w:fill="FFFFFF"/>
        </w:rPr>
      </w:pPr>
      <w:r w:rsidRPr="002C25E4">
        <w:rPr>
          <w:shd w:val="clear" w:color="auto" w:fill="FFFFFF"/>
        </w:rPr>
        <w:t xml:space="preserve">Hur, Y. (2013). Racial diversity, is it a blessing to an organization? Examining its organizational consequences in municipal police departments. </w:t>
      </w:r>
      <w:r w:rsidRPr="002C25E4">
        <w:rPr>
          <w:i/>
          <w:shd w:val="clear" w:color="auto" w:fill="FFFFFF"/>
        </w:rPr>
        <w:t>International review of administrative sciences. 79</w:t>
      </w:r>
      <w:r w:rsidRPr="002C25E4">
        <w:rPr>
          <w:shd w:val="clear" w:color="auto" w:fill="FFFFFF"/>
        </w:rPr>
        <w:t xml:space="preserve">(1), 149-164. </w:t>
      </w:r>
    </w:p>
    <w:p w14:paraId="5CB672BA" w14:textId="77777777" w:rsidR="00C55C76" w:rsidRPr="002C25E4" w:rsidRDefault="00C55C76" w:rsidP="00C55C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hanging="720"/>
      </w:pPr>
      <w:r w:rsidRPr="002C25E4">
        <w:t xml:space="preserve">Langton, L. (2010). </w:t>
      </w:r>
      <w:r w:rsidRPr="002C25E4">
        <w:rPr>
          <w:i/>
        </w:rPr>
        <w:t>Women in Law Enforcement, 1987 – 2008</w:t>
      </w:r>
      <w:r w:rsidRPr="002C25E4">
        <w:t>. Washington, D.C.: Bureau of Justice Statistics.</w:t>
      </w:r>
    </w:p>
    <w:p w14:paraId="5E5C4114" w14:textId="77777777" w:rsidR="00C55C76" w:rsidRPr="002C25E4" w:rsidRDefault="00C55C76" w:rsidP="00F6452F">
      <w:pPr>
        <w:pStyle w:val="NormalWeb"/>
        <w:shd w:val="clear" w:color="auto" w:fill="FFFFFF"/>
        <w:spacing w:before="0" w:beforeAutospacing="0" w:after="231" w:afterAutospacing="0" w:line="285" w:lineRule="atLeast"/>
        <w:ind w:left="720" w:hanging="720"/>
      </w:pPr>
      <w:proofErr w:type="spellStart"/>
      <w:r w:rsidRPr="002C25E4">
        <w:lastRenderedPageBreak/>
        <w:t>Matusiak</w:t>
      </w:r>
      <w:proofErr w:type="spellEnd"/>
      <w:r w:rsidRPr="002C25E4">
        <w:t xml:space="preserve">, M. C., Campbell, B. A., &amp; King, W. R. (2014). The legacy of LEMAS: Effects on police scholarship of a federally administered, multi-wave establishment survey. </w:t>
      </w:r>
      <w:r w:rsidRPr="002C25E4">
        <w:rPr>
          <w:i/>
        </w:rPr>
        <w:t>Policing</w:t>
      </w:r>
      <w:r w:rsidRPr="002C25E4">
        <w:t xml:space="preserve">. </w:t>
      </w:r>
      <w:r w:rsidRPr="002C25E4">
        <w:rPr>
          <w:i/>
        </w:rPr>
        <w:t>37</w:t>
      </w:r>
      <w:r w:rsidRPr="002C25E4">
        <w:t xml:space="preserve">(3), 630-648. </w:t>
      </w:r>
    </w:p>
    <w:p w14:paraId="1439919B" w14:textId="77777777" w:rsidR="00C55C76" w:rsidRPr="002C25E4" w:rsidRDefault="00C55C76" w:rsidP="00C55C76">
      <w:pPr>
        <w:spacing w:after="120"/>
        <w:ind w:left="720" w:hanging="720"/>
      </w:pPr>
      <w:proofErr w:type="spellStart"/>
      <w:r w:rsidRPr="002C25E4">
        <w:t>Melekian</w:t>
      </w:r>
      <w:proofErr w:type="spellEnd"/>
      <w:r w:rsidRPr="002C25E4">
        <w:t xml:space="preserve">, B. K. (2012). Policing in the new economy: A new report on the emerging trends from the Office of Community Oriented Policing Services. </w:t>
      </w:r>
      <w:r w:rsidRPr="002C25E4">
        <w:rPr>
          <w:i/>
        </w:rPr>
        <w:t>Police Chief</w:t>
      </w:r>
      <w:r w:rsidRPr="002C25E4">
        <w:t>, 79, 16–19.</w:t>
      </w:r>
    </w:p>
    <w:p w14:paraId="7F93AC04" w14:textId="77777777" w:rsidR="00C55C76" w:rsidRPr="002C25E4" w:rsidRDefault="00C55C76" w:rsidP="00F6452F">
      <w:pPr>
        <w:pStyle w:val="NormalWeb"/>
        <w:shd w:val="clear" w:color="auto" w:fill="FFFFFF"/>
        <w:spacing w:before="0" w:beforeAutospacing="0" w:after="231" w:afterAutospacing="0" w:line="285" w:lineRule="atLeast"/>
        <w:ind w:left="720" w:hanging="720"/>
        <w:rPr>
          <w:shd w:val="clear" w:color="auto" w:fill="FFFFFF"/>
        </w:rPr>
      </w:pPr>
      <w:r w:rsidRPr="002C25E4">
        <w:rPr>
          <w:shd w:val="clear" w:color="auto" w:fill="FFFFFF"/>
        </w:rPr>
        <w:t>Perez, N. M., &amp; Bromley, M. (2015). Comparing campus and city police human resource and select community outreach policies and practices: An update.</w:t>
      </w:r>
      <w:r w:rsidRPr="002C25E4">
        <w:rPr>
          <w:rStyle w:val="apple-converted-space"/>
          <w:shd w:val="clear" w:color="auto" w:fill="FFFFFF"/>
        </w:rPr>
        <w:t> </w:t>
      </w:r>
      <w:r w:rsidRPr="002C25E4">
        <w:rPr>
          <w:i/>
          <w:iCs/>
          <w:shd w:val="clear" w:color="auto" w:fill="FFFFFF"/>
        </w:rPr>
        <w:t>Policing: An International Journal of Police Strategies &amp; Management</w:t>
      </w:r>
      <w:r w:rsidRPr="002C25E4">
        <w:rPr>
          <w:shd w:val="clear" w:color="auto" w:fill="FFFFFF"/>
        </w:rPr>
        <w:t>,</w:t>
      </w:r>
      <w:r w:rsidRPr="002C25E4">
        <w:rPr>
          <w:rStyle w:val="apple-converted-space"/>
          <w:shd w:val="clear" w:color="auto" w:fill="FFFFFF"/>
        </w:rPr>
        <w:t> </w:t>
      </w:r>
      <w:r w:rsidRPr="002C25E4">
        <w:rPr>
          <w:i/>
          <w:iCs/>
          <w:shd w:val="clear" w:color="auto" w:fill="FFFFFF"/>
        </w:rPr>
        <w:t>38</w:t>
      </w:r>
      <w:r w:rsidRPr="002C25E4">
        <w:rPr>
          <w:shd w:val="clear" w:color="auto" w:fill="FFFFFF"/>
        </w:rPr>
        <w:t>(4), 664-674.</w:t>
      </w:r>
    </w:p>
    <w:p w14:paraId="5F3B04F2" w14:textId="77777777" w:rsidR="00C55C76" w:rsidRPr="002C25E4" w:rsidRDefault="00C55C76" w:rsidP="00C55C76">
      <w:pPr>
        <w:pStyle w:val="NormalWeb"/>
        <w:shd w:val="clear" w:color="auto" w:fill="FFFFFF"/>
        <w:spacing w:before="0" w:beforeAutospacing="0" w:after="231" w:afterAutospacing="0" w:line="285" w:lineRule="atLeast"/>
        <w:ind w:left="720" w:hanging="720"/>
        <w:rPr>
          <w:shd w:val="clear" w:color="auto" w:fill="FFFFFF"/>
        </w:rPr>
      </w:pPr>
      <w:r w:rsidRPr="002C25E4">
        <w:t xml:space="preserve">President’s Task Force on 21st Century Policing. (2015). </w:t>
      </w:r>
      <w:hyperlink r:id="rId13" w:history="1">
        <w:r w:rsidRPr="002C25E4">
          <w:rPr>
            <w:rStyle w:val="Emphasis"/>
            <w:color w:val="0000FF"/>
            <w:u w:val="single"/>
          </w:rPr>
          <w:t>Final Report of the President’s Task Force on 21st Century Policing</w:t>
        </w:r>
      </w:hyperlink>
      <w:r w:rsidRPr="002C25E4">
        <w:t xml:space="preserve">. Washington, DC: Office of Community Oriented Policing Services. </w:t>
      </w:r>
    </w:p>
    <w:p w14:paraId="76399C8A" w14:textId="77777777" w:rsidR="00C55C76" w:rsidRPr="002C25E4" w:rsidRDefault="00C55C76" w:rsidP="00F6452F">
      <w:pPr>
        <w:pStyle w:val="NormalWeb"/>
        <w:shd w:val="clear" w:color="auto" w:fill="FFFFFF"/>
        <w:spacing w:before="0" w:beforeAutospacing="0" w:after="231" w:afterAutospacing="0" w:line="285" w:lineRule="atLeast"/>
        <w:ind w:left="720" w:hanging="720"/>
      </w:pPr>
      <w:proofErr w:type="spellStart"/>
      <w:r w:rsidRPr="002C25E4">
        <w:t>Randol</w:t>
      </w:r>
      <w:proofErr w:type="spellEnd"/>
      <w:r w:rsidRPr="002C25E4">
        <w:t xml:space="preserve">, Blake M. (2013). An exploratory analysis of terrorism prevention and response preparedness efforts in municipal police departments in the United States: Which agencies participate in terrorism prevention and why? </w:t>
      </w:r>
      <w:r w:rsidRPr="002C25E4">
        <w:rPr>
          <w:i/>
        </w:rPr>
        <w:t>Police Journal</w:t>
      </w:r>
      <w:r w:rsidRPr="002C25E4">
        <w:t xml:space="preserve">. </w:t>
      </w:r>
      <w:r w:rsidRPr="002C25E4">
        <w:rPr>
          <w:i/>
        </w:rPr>
        <w:t>86</w:t>
      </w:r>
      <w:r w:rsidRPr="002C25E4">
        <w:t>(2), 158-181.</w:t>
      </w:r>
    </w:p>
    <w:p w14:paraId="1B37582A" w14:textId="77777777" w:rsidR="00C55C76" w:rsidRPr="002C25E4" w:rsidRDefault="00C55C76" w:rsidP="00C55C76">
      <w:pPr>
        <w:spacing w:after="120"/>
        <w:ind w:left="720" w:hanging="720"/>
      </w:pPr>
      <w:r w:rsidRPr="002C25E4">
        <w:t>Reaves, B. (2011). Census of State and Local Law Enforcement Agencies, 2008. Washington, D.C., Bureau of Justice Statistics.</w:t>
      </w:r>
    </w:p>
    <w:p w14:paraId="353E0AD1" w14:textId="77777777" w:rsidR="00C55C76" w:rsidRPr="002C25E4" w:rsidRDefault="00C55C76" w:rsidP="00F6452F">
      <w:pPr>
        <w:pStyle w:val="NormalWeb"/>
        <w:shd w:val="clear" w:color="auto" w:fill="FFFFFF"/>
        <w:spacing w:before="0" w:beforeAutospacing="0" w:after="231" w:afterAutospacing="0" w:line="285" w:lineRule="atLeast"/>
        <w:ind w:left="720" w:hanging="720"/>
      </w:pPr>
      <w:r w:rsidRPr="002C25E4">
        <w:rPr>
          <w:shd w:val="clear" w:color="auto" w:fill="FFFFFF"/>
        </w:rPr>
        <w:t xml:space="preserve">Reaves, B. (2015). </w:t>
      </w:r>
      <w:r w:rsidRPr="002C25E4">
        <w:rPr>
          <w:i/>
          <w:shd w:val="clear" w:color="auto" w:fill="FFFFFF"/>
        </w:rPr>
        <w:t>Local police departments, 2013: Equipment and technology</w:t>
      </w:r>
      <w:r w:rsidRPr="002C25E4">
        <w:rPr>
          <w:shd w:val="clear" w:color="auto" w:fill="FFFFFF"/>
        </w:rPr>
        <w:t xml:space="preserve">. </w:t>
      </w:r>
      <w:r w:rsidRPr="002C25E4">
        <w:t xml:space="preserve">Washington, D.C.: </w:t>
      </w:r>
      <w:r w:rsidRPr="002C25E4">
        <w:rPr>
          <w:shd w:val="clear" w:color="auto" w:fill="FFFFFF"/>
        </w:rPr>
        <w:t>Bureau of Justice Statistics.</w:t>
      </w:r>
    </w:p>
    <w:p w14:paraId="2831B950" w14:textId="77777777" w:rsidR="00C55C76" w:rsidRPr="002C25E4" w:rsidRDefault="00C55C76" w:rsidP="00F6452F">
      <w:pPr>
        <w:pStyle w:val="NormalWeb"/>
        <w:shd w:val="clear" w:color="auto" w:fill="FFFFFF"/>
        <w:spacing w:before="0" w:beforeAutospacing="0" w:after="231" w:afterAutospacing="0" w:line="285" w:lineRule="atLeast"/>
        <w:ind w:left="720" w:hanging="720"/>
        <w:rPr>
          <w:shd w:val="clear" w:color="auto" w:fill="FFFFFF"/>
        </w:rPr>
      </w:pPr>
      <w:r w:rsidRPr="002C25E4">
        <w:rPr>
          <w:shd w:val="clear" w:color="auto" w:fill="FFFFFF"/>
        </w:rPr>
        <w:t>Roberts, A. &amp; Roberts, Jr., J. M. (2015).</w:t>
      </w:r>
      <w:r w:rsidRPr="002C25E4">
        <w:rPr>
          <w:rStyle w:val="apple-converted-space"/>
          <w:shd w:val="clear" w:color="auto" w:fill="FFFFFF"/>
        </w:rPr>
        <w:t> </w:t>
      </w:r>
      <w:r w:rsidRPr="002C25E4">
        <w:rPr>
          <w:rStyle w:val="Strong"/>
          <w:b w:val="0"/>
          <w:shd w:val="clear" w:color="auto" w:fill="FFFFFF"/>
        </w:rPr>
        <w:t>Crime and temporal variation in police investigative workload: Evidence from National Incident-Based Reporting System (NIBRS) data</w:t>
      </w:r>
      <w:r w:rsidRPr="002C25E4">
        <w:rPr>
          <w:b/>
          <w:shd w:val="clear" w:color="auto" w:fill="FFFFFF"/>
        </w:rPr>
        <w:t>.</w:t>
      </w:r>
      <w:r w:rsidRPr="002C25E4">
        <w:rPr>
          <w:rStyle w:val="apple-converted-space"/>
          <w:b/>
          <w:shd w:val="clear" w:color="auto" w:fill="FFFFFF"/>
        </w:rPr>
        <w:t> </w:t>
      </w:r>
      <w:r w:rsidRPr="002C25E4">
        <w:rPr>
          <w:rStyle w:val="HTMLCite"/>
          <w:shd w:val="clear" w:color="auto" w:fill="FFFFFF"/>
        </w:rPr>
        <w:t>Journal of Quantitative Criminology</w:t>
      </w:r>
      <w:r w:rsidRPr="002C25E4">
        <w:rPr>
          <w:shd w:val="clear" w:color="auto" w:fill="FFFFFF"/>
        </w:rPr>
        <w:t xml:space="preserve">, 1-24. </w:t>
      </w:r>
      <w:hyperlink r:id="rId14" w:history="1">
        <w:proofErr w:type="gramStart"/>
        <w:r w:rsidRPr="002C25E4">
          <w:rPr>
            <w:rStyle w:val="Hyperlink"/>
            <w:shd w:val="clear" w:color="auto" w:fill="FFFFFF"/>
          </w:rPr>
          <w:t>doi:</w:t>
        </w:r>
        <w:proofErr w:type="gramEnd"/>
        <w:r w:rsidRPr="002C25E4">
          <w:rPr>
            <w:rStyle w:val="Hyperlink"/>
            <w:shd w:val="clear" w:color="auto" w:fill="FFFFFF"/>
          </w:rPr>
          <w:t>10.1007/s10940-015-9270-9</w:t>
        </w:r>
      </w:hyperlink>
    </w:p>
    <w:p w14:paraId="169EED2F" w14:textId="77777777" w:rsidR="00C55C76" w:rsidRPr="002C25E4" w:rsidRDefault="00C55C76" w:rsidP="00F6452F">
      <w:pPr>
        <w:pStyle w:val="NormalWeb"/>
        <w:shd w:val="clear" w:color="auto" w:fill="FFFFFF"/>
        <w:spacing w:before="0" w:beforeAutospacing="0" w:after="231" w:afterAutospacing="0" w:line="285" w:lineRule="atLeast"/>
        <w:ind w:left="720" w:hanging="720"/>
        <w:rPr>
          <w:shd w:val="clear" w:color="auto" w:fill="FFFFFF"/>
        </w:rPr>
      </w:pPr>
      <w:proofErr w:type="spellStart"/>
      <w:r w:rsidRPr="002C25E4">
        <w:t>Schuck</w:t>
      </w:r>
      <w:proofErr w:type="spellEnd"/>
      <w:r w:rsidRPr="002C25E4">
        <w:t xml:space="preserve">, A. M. (2014). Female representation in law enforcement: The influence of screening, unions, incentives, community policing, CALEA, and size. </w:t>
      </w:r>
      <w:r w:rsidRPr="002C25E4">
        <w:rPr>
          <w:i/>
        </w:rPr>
        <w:t>Police Quarterly. 17</w:t>
      </w:r>
      <w:r w:rsidRPr="002C25E4">
        <w:t>(1), 54-78.</w:t>
      </w:r>
    </w:p>
    <w:p w14:paraId="69FDE39C" w14:textId="77777777" w:rsidR="00C55C76" w:rsidRPr="002C25E4" w:rsidRDefault="00C55C76" w:rsidP="00F6452F">
      <w:pPr>
        <w:pStyle w:val="NormalWeb"/>
        <w:shd w:val="clear" w:color="auto" w:fill="FFFFFF"/>
        <w:spacing w:before="0" w:beforeAutospacing="0" w:after="231" w:afterAutospacing="0" w:line="285" w:lineRule="atLeast"/>
        <w:ind w:left="720" w:hanging="720"/>
        <w:rPr>
          <w:shd w:val="clear" w:color="auto" w:fill="FFFFFF"/>
        </w:rPr>
      </w:pPr>
      <w:proofErr w:type="spellStart"/>
      <w:r w:rsidRPr="002C25E4">
        <w:rPr>
          <w:shd w:val="clear" w:color="auto" w:fill="FFFFFF"/>
        </w:rPr>
        <w:t>Schuck</w:t>
      </w:r>
      <w:proofErr w:type="spellEnd"/>
      <w:r w:rsidRPr="002C25E4">
        <w:rPr>
          <w:shd w:val="clear" w:color="auto" w:fill="FFFFFF"/>
        </w:rPr>
        <w:t xml:space="preserve">, A. M., &amp; </w:t>
      </w:r>
      <w:proofErr w:type="spellStart"/>
      <w:r w:rsidRPr="002C25E4">
        <w:rPr>
          <w:shd w:val="clear" w:color="auto" w:fill="FFFFFF"/>
        </w:rPr>
        <w:t>Rabe</w:t>
      </w:r>
      <w:proofErr w:type="spellEnd"/>
      <w:r w:rsidRPr="002C25E4">
        <w:rPr>
          <w:shd w:val="clear" w:color="auto" w:fill="FFFFFF"/>
        </w:rPr>
        <w:t>-Hemp, C. (2014</w:t>
      </w:r>
      <w:r w:rsidRPr="002C25E4">
        <w:rPr>
          <w:b/>
          <w:shd w:val="clear" w:color="auto" w:fill="FFFFFF"/>
        </w:rPr>
        <w:t>).</w:t>
      </w:r>
      <w:r w:rsidRPr="002C25E4">
        <w:rPr>
          <w:rStyle w:val="apple-converted-space"/>
          <w:b/>
          <w:shd w:val="clear" w:color="auto" w:fill="FFFFFF"/>
        </w:rPr>
        <w:t> </w:t>
      </w:r>
      <w:hyperlink r:id="rId15" w:history="1">
        <w:r w:rsidRPr="002C25E4">
          <w:rPr>
            <w:rStyle w:val="Strong"/>
            <w:b w:val="0"/>
            <w:shd w:val="clear" w:color="auto" w:fill="FFFFFF"/>
          </w:rPr>
          <w:t xml:space="preserve">Citizen complaints and gender diversity in police </w:t>
        </w:r>
        <w:proofErr w:type="spellStart"/>
        <w:r w:rsidRPr="002C25E4">
          <w:rPr>
            <w:rStyle w:val="Strong"/>
            <w:b w:val="0"/>
            <w:shd w:val="clear" w:color="auto" w:fill="FFFFFF"/>
          </w:rPr>
          <w:t>organisations</w:t>
        </w:r>
        <w:proofErr w:type="spellEnd"/>
      </w:hyperlink>
      <w:r w:rsidRPr="002C25E4">
        <w:rPr>
          <w:shd w:val="clear" w:color="auto" w:fill="FFFFFF"/>
        </w:rPr>
        <w:t>.</w:t>
      </w:r>
      <w:r w:rsidRPr="002C25E4">
        <w:rPr>
          <w:rStyle w:val="apple-converted-space"/>
          <w:shd w:val="clear" w:color="auto" w:fill="FFFFFF"/>
        </w:rPr>
        <w:t> </w:t>
      </w:r>
      <w:r w:rsidRPr="002C25E4">
        <w:rPr>
          <w:rStyle w:val="HTMLCite"/>
          <w:shd w:val="clear" w:color="auto" w:fill="FFFFFF"/>
        </w:rPr>
        <w:t>Policing and Society</w:t>
      </w:r>
      <w:r w:rsidRPr="002C25E4">
        <w:rPr>
          <w:shd w:val="clear" w:color="auto" w:fill="FFFFFF"/>
        </w:rPr>
        <w:t>.</w:t>
      </w:r>
    </w:p>
    <w:p w14:paraId="4C11D913" w14:textId="77777777" w:rsidR="00C55C76" w:rsidRPr="002C25E4" w:rsidRDefault="00C55C76" w:rsidP="00F6452F">
      <w:pPr>
        <w:pStyle w:val="NormalWeb"/>
        <w:shd w:val="clear" w:color="auto" w:fill="FFFFFF"/>
        <w:spacing w:before="0" w:beforeAutospacing="0" w:after="231" w:afterAutospacing="0" w:line="285" w:lineRule="atLeast"/>
        <w:ind w:left="720" w:hanging="720"/>
      </w:pPr>
      <w:r w:rsidRPr="002C25E4">
        <w:rPr>
          <w:shd w:val="clear" w:color="auto" w:fill="FFFFFF"/>
        </w:rPr>
        <w:t xml:space="preserve">Sharp, E. B. (2014). Minority representation and order maintenance policing: Toward a contingent view. </w:t>
      </w:r>
      <w:r w:rsidRPr="002C25E4">
        <w:rPr>
          <w:i/>
          <w:shd w:val="clear" w:color="auto" w:fill="FFFFFF"/>
        </w:rPr>
        <w:t>Social Science Quarterly.</w:t>
      </w:r>
      <w:r w:rsidRPr="002C25E4">
        <w:rPr>
          <w:shd w:val="clear" w:color="auto" w:fill="FFFFFF"/>
        </w:rPr>
        <w:t xml:space="preserve"> 95 (4), 1155-1171.</w:t>
      </w:r>
    </w:p>
    <w:p w14:paraId="63C17BFA" w14:textId="77777777" w:rsidR="00C55C76" w:rsidRPr="002C25E4" w:rsidRDefault="00C55C76" w:rsidP="00F6452F">
      <w:pPr>
        <w:pStyle w:val="NormalWeb"/>
        <w:shd w:val="clear" w:color="auto" w:fill="FFFFFF"/>
        <w:spacing w:before="0" w:beforeAutospacing="0" w:after="231" w:afterAutospacing="0" w:line="285" w:lineRule="atLeast"/>
        <w:ind w:left="720" w:hanging="720"/>
        <w:rPr>
          <w:shd w:val="clear" w:color="auto" w:fill="FFFFFF"/>
        </w:rPr>
      </w:pPr>
      <w:proofErr w:type="spellStart"/>
      <w:r w:rsidRPr="002C25E4">
        <w:rPr>
          <w:shd w:val="clear" w:color="auto" w:fill="FFFFFF"/>
        </w:rPr>
        <w:t>Shjarback</w:t>
      </w:r>
      <w:proofErr w:type="spellEnd"/>
      <w:r w:rsidRPr="002C25E4">
        <w:rPr>
          <w:shd w:val="clear" w:color="auto" w:fill="FFFFFF"/>
        </w:rPr>
        <w:t>, J. A. (2015).</w:t>
      </w:r>
      <w:r w:rsidRPr="002C25E4">
        <w:rPr>
          <w:rStyle w:val="apple-converted-space"/>
          <w:shd w:val="clear" w:color="auto" w:fill="FFFFFF"/>
        </w:rPr>
        <w:t> </w:t>
      </w:r>
      <w:r w:rsidRPr="002C25E4">
        <w:rPr>
          <w:rStyle w:val="Strong"/>
          <w:b w:val="0"/>
          <w:shd w:val="clear" w:color="auto" w:fill="FFFFFF"/>
        </w:rPr>
        <w:t>Emerging early intervention systems: An agency-specific pre-post comparison of formal citizen complaints of use of force</w:t>
      </w:r>
      <w:r w:rsidRPr="002C25E4">
        <w:rPr>
          <w:b/>
          <w:shd w:val="clear" w:color="auto" w:fill="FFFFFF"/>
        </w:rPr>
        <w:t>.</w:t>
      </w:r>
      <w:r w:rsidRPr="002C25E4">
        <w:rPr>
          <w:rStyle w:val="apple-converted-space"/>
          <w:shd w:val="clear" w:color="auto" w:fill="FFFFFF"/>
        </w:rPr>
        <w:t> </w:t>
      </w:r>
      <w:r w:rsidRPr="002C25E4">
        <w:rPr>
          <w:rStyle w:val="HTMLCite"/>
          <w:shd w:val="clear" w:color="auto" w:fill="FFFFFF"/>
        </w:rPr>
        <w:t>Policing</w:t>
      </w:r>
      <w:r w:rsidRPr="002C25E4">
        <w:rPr>
          <w:shd w:val="clear" w:color="auto" w:fill="FFFFFF"/>
        </w:rPr>
        <w:t>.</w:t>
      </w:r>
      <w:r w:rsidRPr="002C25E4">
        <w:rPr>
          <w:rStyle w:val="apple-converted-space"/>
          <w:shd w:val="clear" w:color="auto" w:fill="FFFFFF"/>
        </w:rPr>
        <w:t> </w:t>
      </w:r>
      <w:hyperlink r:id="rId16" w:history="1">
        <w:r w:rsidRPr="002C25E4">
          <w:rPr>
            <w:rStyle w:val="Hyperlink"/>
            <w:shd w:val="clear" w:color="auto" w:fill="FFFFFF"/>
          </w:rPr>
          <w:t>doi:10.1093/police/pav006</w:t>
        </w:r>
      </w:hyperlink>
    </w:p>
    <w:p w14:paraId="10BE0A01" w14:textId="77777777" w:rsidR="00C55C76" w:rsidRPr="002C25E4" w:rsidRDefault="00C55C76" w:rsidP="00F6452F">
      <w:pPr>
        <w:pStyle w:val="NormalWeb"/>
        <w:shd w:val="clear" w:color="auto" w:fill="FFFFFF"/>
        <w:spacing w:before="0" w:beforeAutospacing="0" w:after="231" w:afterAutospacing="0" w:line="285" w:lineRule="atLeast"/>
        <w:ind w:left="720" w:hanging="720"/>
        <w:rPr>
          <w:shd w:val="clear" w:color="auto" w:fill="FFFFFF"/>
        </w:rPr>
      </w:pPr>
      <w:proofErr w:type="spellStart"/>
      <w:r w:rsidRPr="002C25E4">
        <w:rPr>
          <w:shd w:val="clear" w:color="auto" w:fill="FFFFFF"/>
        </w:rPr>
        <w:t>Shjarback</w:t>
      </w:r>
      <w:proofErr w:type="spellEnd"/>
      <w:r w:rsidRPr="002C25E4">
        <w:rPr>
          <w:shd w:val="clear" w:color="auto" w:fill="FFFFFF"/>
        </w:rPr>
        <w:t>, J. A., &amp; White, M. D. (2015).</w:t>
      </w:r>
      <w:r w:rsidRPr="002C25E4">
        <w:rPr>
          <w:rStyle w:val="apple-converted-space"/>
          <w:shd w:val="clear" w:color="auto" w:fill="FFFFFF"/>
        </w:rPr>
        <w:t> </w:t>
      </w:r>
      <w:r w:rsidRPr="002C25E4">
        <w:rPr>
          <w:rStyle w:val="Strong"/>
          <w:b w:val="0"/>
          <w:shd w:val="clear" w:color="auto" w:fill="FFFFFF"/>
        </w:rPr>
        <w:t>Departmental professionalism and its impact on indicators of violence in police-citizen encounters</w:t>
      </w:r>
      <w:r w:rsidRPr="002C25E4">
        <w:rPr>
          <w:b/>
          <w:shd w:val="clear" w:color="auto" w:fill="FFFFFF"/>
        </w:rPr>
        <w:t>.</w:t>
      </w:r>
      <w:r w:rsidRPr="002C25E4">
        <w:rPr>
          <w:rStyle w:val="apple-converted-space"/>
          <w:shd w:val="clear" w:color="auto" w:fill="FFFFFF"/>
        </w:rPr>
        <w:t> </w:t>
      </w:r>
      <w:r w:rsidRPr="002C25E4">
        <w:rPr>
          <w:rStyle w:val="HTMLCite"/>
          <w:shd w:val="clear" w:color="auto" w:fill="FFFFFF"/>
        </w:rPr>
        <w:t>Police Quarterly</w:t>
      </w:r>
      <w:r w:rsidRPr="002C25E4">
        <w:rPr>
          <w:shd w:val="clear" w:color="auto" w:fill="FFFFFF"/>
        </w:rPr>
        <w:t xml:space="preserve">. </w:t>
      </w:r>
      <w:hyperlink r:id="rId17" w:history="1">
        <w:proofErr w:type="gramStart"/>
        <w:r w:rsidRPr="002C25E4">
          <w:rPr>
            <w:rStyle w:val="Hyperlink"/>
            <w:shd w:val="clear" w:color="auto" w:fill="FFFFFF"/>
          </w:rPr>
          <w:t>doi:</w:t>
        </w:r>
        <w:proofErr w:type="gramEnd"/>
        <w:r w:rsidRPr="002C25E4">
          <w:rPr>
            <w:rStyle w:val="Hyperlink"/>
            <w:shd w:val="clear" w:color="auto" w:fill="FFFFFF"/>
          </w:rPr>
          <w:t>10.1177/1098611115604449</w:t>
        </w:r>
      </w:hyperlink>
    </w:p>
    <w:p w14:paraId="65927638" w14:textId="77777777" w:rsidR="00C55C76" w:rsidRPr="002C25E4" w:rsidRDefault="00C55C76" w:rsidP="00F6452F">
      <w:pPr>
        <w:pStyle w:val="NormalWeb"/>
        <w:shd w:val="clear" w:color="auto" w:fill="FFFFFF"/>
        <w:spacing w:before="0" w:beforeAutospacing="0" w:after="231" w:afterAutospacing="0" w:line="285" w:lineRule="atLeast"/>
        <w:ind w:left="720" w:hanging="720"/>
        <w:rPr>
          <w:shd w:val="clear" w:color="auto" w:fill="FFFFFF"/>
        </w:rPr>
      </w:pPr>
      <w:r w:rsidRPr="002C25E4">
        <w:rPr>
          <w:shd w:val="clear" w:color="auto" w:fill="FFFFFF"/>
        </w:rPr>
        <w:lastRenderedPageBreak/>
        <w:t>Smith, B. W.,</w:t>
      </w:r>
      <w:proofErr w:type="gramStart"/>
      <w:r w:rsidRPr="002C25E4">
        <w:rPr>
          <w:shd w:val="clear" w:color="auto" w:fill="FFFFFF"/>
        </w:rPr>
        <w:t>  Wareham</w:t>
      </w:r>
      <w:proofErr w:type="gramEnd"/>
      <w:r w:rsidRPr="002C25E4">
        <w:rPr>
          <w:shd w:val="clear" w:color="auto" w:fill="FFFFFF"/>
        </w:rPr>
        <w:t>, J., &amp; Lambert, E. G.</w:t>
      </w:r>
      <w:r w:rsidRPr="002C25E4">
        <w:rPr>
          <w:rStyle w:val="apple-converted-space"/>
          <w:shd w:val="clear" w:color="auto" w:fill="FFFFFF"/>
        </w:rPr>
        <w:t xml:space="preserve"> (2014). </w:t>
      </w:r>
      <w:hyperlink r:id="rId18" w:history="1">
        <w:r w:rsidRPr="002C25E4">
          <w:rPr>
            <w:rStyle w:val="Strong"/>
            <w:b w:val="0"/>
            <w:shd w:val="clear" w:color="auto" w:fill="FFFFFF"/>
          </w:rPr>
          <w:t>Community and organizational influences on voluntary turnover in law enforcement</w:t>
        </w:r>
      </w:hyperlink>
      <w:r w:rsidRPr="002C25E4">
        <w:rPr>
          <w:b/>
          <w:shd w:val="clear" w:color="auto" w:fill="FFFFFF"/>
        </w:rPr>
        <w:t xml:space="preserve">. </w:t>
      </w:r>
      <w:r w:rsidRPr="002C25E4">
        <w:rPr>
          <w:rStyle w:val="HTMLCite"/>
          <w:shd w:val="clear" w:color="auto" w:fill="FFFFFF"/>
        </w:rPr>
        <w:t>Journal of Criminal Justice</w:t>
      </w:r>
      <w:r w:rsidRPr="002C25E4">
        <w:rPr>
          <w:shd w:val="clear" w:color="auto" w:fill="FFFFFF"/>
        </w:rPr>
        <w:t xml:space="preserve">. </w:t>
      </w:r>
      <w:r w:rsidRPr="002C25E4">
        <w:rPr>
          <w:i/>
          <w:shd w:val="clear" w:color="auto" w:fill="FFFFFF"/>
        </w:rPr>
        <w:t>37</w:t>
      </w:r>
      <w:r w:rsidRPr="002C25E4">
        <w:rPr>
          <w:shd w:val="clear" w:color="auto" w:fill="FFFFFF"/>
        </w:rPr>
        <w:t>(3), 377-398.</w:t>
      </w:r>
    </w:p>
    <w:p w14:paraId="3ECE227A" w14:textId="77777777" w:rsidR="00C55C76" w:rsidRPr="002C25E4" w:rsidRDefault="00C55C76" w:rsidP="00F6452F">
      <w:pPr>
        <w:pStyle w:val="NormalWeb"/>
        <w:shd w:val="clear" w:color="auto" w:fill="FFFFFF"/>
        <w:spacing w:before="0" w:beforeAutospacing="0" w:after="231" w:afterAutospacing="0" w:line="285" w:lineRule="atLeast"/>
        <w:ind w:left="720" w:hanging="720"/>
        <w:rPr>
          <w:shd w:val="clear" w:color="auto" w:fill="FFFFFF"/>
        </w:rPr>
      </w:pPr>
      <w:proofErr w:type="spellStart"/>
      <w:r w:rsidRPr="002C25E4">
        <w:rPr>
          <w:shd w:val="clear" w:color="auto" w:fill="FFFFFF"/>
        </w:rPr>
        <w:t>Walfield</w:t>
      </w:r>
      <w:proofErr w:type="spellEnd"/>
      <w:r w:rsidRPr="002C25E4">
        <w:rPr>
          <w:shd w:val="clear" w:color="auto" w:fill="FFFFFF"/>
        </w:rPr>
        <w:t>, S. M. (2015).</w:t>
      </w:r>
      <w:r w:rsidRPr="002C25E4">
        <w:rPr>
          <w:rStyle w:val="apple-converted-space"/>
          <w:shd w:val="clear" w:color="auto" w:fill="FFFFFF"/>
        </w:rPr>
        <w:t> </w:t>
      </w:r>
      <w:r w:rsidRPr="002C25E4">
        <w:rPr>
          <w:rStyle w:val="Strong"/>
          <w:b w:val="0"/>
          <w:shd w:val="clear" w:color="auto" w:fill="FFFFFF"/>
        </w:rPr>
        <w:t>When a cleared rape is not cleared: A multilevel study of arrest and exceptional clearance</w:t>
      </w:r>
      <w:r w:rsidRPr="002C25E4">
        <w:rPr>
          <w:shd w:val="clear" w:color="auto" w:fill="FFFFFF"/>
        </w:rPr>
        <w:t>.</w:t>
      </w:r>
      <w:r w:rsidRPr="002C25E4">
        <w:rPr>
          <w:rStyle w:val="apple-converted-space"/>
          <w:shd w:val="clear" w:color="auto" w:fill="FFFFFF"/>
        </w:rPr>
        <w:t> </w:t>
      </w:r>
      <w:r w:rsidRPr="002C25E4">
        <w:rPr>
          <w:rStyle w:val="HTMLCite"/>
          <w:shd w:val="clear" w:color="auto" w:fill="FFFFFF"/>
        </w:rPr>
        <w:t>Journal of Interpersonal Violence</w:t>
      </w:r>
      <w:r w:rsidRPr="002C25E4">
        <w:rPr>
          <w:shd w:val="clear" w:color="auto" w:fill="FFFFFF"/>
        </w:rPr>
        <w:t>.</w:t>
      </w:r>
      <w:r w:rsidRPr="002C25E4">
        <w:rPr>
          <w:rStyle w:val="apple-converted-space"/>
          <w:shd w:val="clear" w:color="auto" w:fill="FFFFFF"/>
        </w:rPr>
        <w:t> </w:t>
      </w:r>
      <w:hyperlink r:id="rId19" w:history="1">
        <w:proofErr w:type="gramStart"/>
        <w:r w:rsidRPr="002C25E4">
          <w:rPr>
            <w:rStyle w:val="Hyperlink"/>
            <w:shd w:val="clear" w:color="auto" w:fill="FFFFFF"/>
          </w:rPr>
          <w:t>doi:</w:t>
        </w:r>
        <w:proofErr w:type="gramEnd"/>
        <w:r w:rsidRPr="002C25E4">
          <w:rPr>
            <w:rStyle w:val="Hyperlink"/>
            <w:shd w:val="clear" w:color="auto" w:fill="FFFFFF"/>
          </w:rPr>
          <w:t>10.1177/0886260515569062</w:t>
        </w:r>
      </w:hyperlink>
    </w:p>
    <w:p w14:paraId="050D7DE3" w14:textId="77777777" w:rsidR="00C55C76" w:rsidRPr="002C25E4" w:rsidRDefault="00C55C76" w:rsidP="00F6452F">
      <w:pPr>
        <w:pStyle w:val="NormalWeb"/>
        <w:shd w:val="clear" w:color="auto" w:fill="FFFFFF"/>
        <w:spacing w:before="0" w:beforeAutospacing="0" w:after="231" w:afterAutospacing="0" w:line="285" w:lineRule="atLeast"/>
        <w:ind w:left="720" w:hanging="720"/>
      </w:pPr>
      <w:r w:rsidRPr="002C25E4">
        <w:rPr>
          <w:shd w:val="clear" w:color="auto" w:fill="FFFFFF"/>
        </w:rPr>
        <w:t>Wareham, J.,</w:t>
      </w:r>
      <w:proofErr w:type="gramStart"/>
      <w:r w:rsidRPr="002C25E4">
        <w:rPr>
          <w:shd w:val="clear" w:color="auto" w:fill="FFFFFF"/>
        </w:rPr>
        <w:t>  Smith</w:t>
      </w:r>
      <w:proofErr w:type="gramEnd"/>
      <w:r w:rsidRPr="002C25E4">
        <w:rPr>
          <w:shd w:val="clear" w:color="auto" w:fill="FFFFFF"/>
        </w:rPr>
        <w:t>, B.W.,  &amp; Lambert, E. G. (2015).</w:t>
      </w:r>
      <w:r w:rsidRPr="002C25E4">
        <w:rPr>
          <w:rStyle w:val="apple-converted-space"/>
          <w:shd w:val="clear" w:color="auto" w:fill="FFFFFF"/>
        </w:rPr>
        <w:t> </w:t>
      </w:r>
      <w:r w:rsidRPr="002C25E4">
        <w:rPr>
          <w:rStyle w:val="Strong"/>
          <w:b w:val="0"/>
          <w:shd w:val="clear" w:color="auto" w:fill="FFFFFF"/>
        </w:rPr>
        <w:t>Rates and patterns of law enforcement turnover: A research note</w:t>
      </w:r>
      <w:r w:rsidRPr="002C25E4">
        <w:rPr>
          <w:b/>
          <w:shd w:val="clear" w:color="auto" w:fill="FFFFFF"/>
        </w:rPr>
        <w:t>.</w:t>
      </w:r>
      <w:r w:rsidRPr="002C25E4">
        <w:rPr>
          <w:rStyle w:val="apple-converted-space"/>
          <w:b/>
          <w:shd w:val="clear" w:color="auto" w:fill="FFFFFF"/>
        </w:rPr>
        <w:t> </w:t>
      </w:r>
      <w:r w:rsidRPr="002C25E4">
        <w:rPr>
          <w:rStyle w:val="HTMLCite"/>
          <w:shd w:val="clear" w:color="auto" w:fill="FFFFFF"/>
        </w:rPr>
        <w:t>Criminal Justice Policy Review</w:t>
      </w:r>
      <w:r w:rsidRPr="002C25E4">
        <w:rPr>
          <w:shd w:val="clear" w:color="auto" w:fill="FFFFFF"/>
        </w:rPr>
        <w:t xml:space="preserve">. </w:t>
      </w:r>
      <w:r w:rsidRPr="002C25E4">
        <w:rPr>
          <w:i/>
          <w:shd w:val="clear" w:color="auto" w:fill="FFFFFF"/>
        </w:rPr>
        <w:t>26</w:t>
      </w:r>
      <w:r w:rsidRPr="002C25E4">
        <w:rPr>
          <w:shd w:val="clear" w:color="auto" w:fill="FFFFFF"/>
        </w:rPr>
        <w:t xml:space="preserve">(4), 345-370. </w:t>
      </w:r>
      <w:hyperlink r:id="rId20" w:history="1">
        <w:proofErr w:type="gramStart"/>
        <w:r w:rsidRPr="002C25E4">
          <w:rPr>
            <w:rStyle w:val="Hyperlink"/>
            <w:shd w:val="clear" w:color="auto" w:fill="FFFFFF"/>
          </w:rPr>
          <w:t>doi:</w:t>
        </w:r>
        <w:proofErr w:type="gramEnd"/>
        <w:r w:rsidRPr="002C25E4">
          <w:rPr>
            <w:rStyle w:val="Hyperlink"/>
            <w:shd w:val="clear" w:color="auto" w:fill="FFFFFF"/>
          </w:rPr>
          <w:t>10.1177/0887403413514439</w:t>
        </w:r>
      </w:hyperlink>
    </w:p>
    <w:p w14:paraId="0F497D37" w14:textId="13BF99D1" w:rsidR="00C55C76" w:rsidRPr="00F6452F" w:rsidRDefault="00C55C76" w:rsidP="00DD5DDC">
      <w:pPr>
        <w:pStyle w:val="NormalWeb"/>
        <w:shd w:val="clear" w:color="auto" w:fill="FFFFFF"/>
        <w:spacing w:before="0" w:beforeAutospacing="0" w:after="231" w:afterAutospacing="0" w:line="285" w:lineRule="atLeast"/>
        <w:ind w:left="720" w:hanging="720"/>
        <w:rPr>
          <w:u w:val="single"/>
        </w:rPr>
      </w:pPr>
      <w:r w:rsidRPr="002C25E4">
        <w:rPr>
          <w:shd w:val="clear" w:color="auto" w:fill="FFFFFF"/>
        </w:rPr>
        <w:t>Willits, D. W.</w:t>
      </w:r>
      <w:r w:rsidRPr="002C25E4">
        <w:rPr>
          <w:rStyle w:val="apple-converted-space"/>
          <w:b/>
          <w:shd w:val="clear" w:color="auto" w:fill="FFFFFF"/>
        </w:rPr>
        <w:t> </w:t>
      </w:r>
      <w:r w:rsidRPr="002C25E4">
        <w:rPr>
          <w:rStyle w:val="apple-converted-space"/>
          <w:shd w:val="clear" w:color="auto" w:fill="FFFFFF"/>
        </w:rPr>
        <w:t>(2014)</w:t>
      </w:r>
      <w:r w:rsidRPr="002C25E4">
        <w:rPr>
          <w:rStyle w:val="apple-converted-space"/>
          <w:b/>
          <w:shd w:val="clear" w:color="auto" w:fill="FFFFFF"/>
        </w:rPr>
        <w:t xml:space="preserve">. </w:t>
      </w:r>
      <w:hyperlink r:id="rId21" w:history="1">
        <w:r w:rsidRPr="002C25E4">
          <w:rPr>
            <w:rStyle w:val="Strong"/>
            <w:b w:val="0"/>
            <w:shd w:val="clear" w:color="auto" w:fill="FFFFFF"/>
          </w:rPr>
          <w:t xml:space="preserve">The </w:t>
        </w:r>
        <w:proofErr w:type="spellStart"/>
        <w:r w:rsidRPr="002C25E4">
          <w:rPr>
            <w:rStyle w:val="Strong"/>
            <w:b w:val="0"/>
            <w:shd w:val="clear" w:color="auto" w:fill="FFFFFF"/>
          </w:rPr>
          <w:t>organisational</w:t>
        </w:r>
        <w:proofErr w:type="spellEnd"/>
        <w:r w:rsidRPr="002C25E4">
          <w:rPr>
            <w:rStyle w:val="Strong"/>
            <w:b w:val="0"/>
            <w:shd w:val="clear" w:color="auto" w:fill="FFFFFF"/>
          </w:rPr>
          <w:t xml:space="preserve"> structure of police departments and assaults on police officers</w:t>
        </w:r>
      </w:hyperlink>
      <w:r w:rsidRPr="002C25E4">
        <w:rPr>
          <w:shd w:val="clear" w:color="auto" w:fill="FFFFFF"/>
        </w:rPr>
        <w:t>.</w:t>
      </w:r>
      <w:r w:rsidRPr="002C25E4">
        <w:rPr>
          <w:rStyle w:val="apple-converted-space"/>
          <w:shd w:val="clear" w:color="auto" w:fill="FFFFFF"/>
        </w:rPr>
        <w:t> </w:t>
      </w:r>
      <w:r w:rsidRPr="002C25E4">
        <w:rPr>
          <w:rStyle w:val="HTMLCite"/>
          <w:shd w:val="clear" w:color="auto" w:fill="FFFFFF"/>
        </w:rPr>
        <w:t>International Journal of Police Science and Management</w:t>
      </w:r>
      <w:r w:rsidRPr="002C25E4">
        <w:rPr>
          <w:shd w:val="clear" w:color="auto" w:fill="FFFFFF"/>
        </w:rPr>
        <w:t xml:space="preserve">. </w:t>
      </w:r>
      <w:r w:rsidRPr="002C25E4">
        <w:rPr>
          <w:i/>
          <w:shd w:val="clear" w:color="auto" w:fill="FFFFFF"/>
        </w:rPr>
        <w:t>16</w:t>
      </w:r>
      <w:r w:rsidRPr="002C25E4">
        <w:rPr>
          <w:shd w:val="clear" w:color="auto" w:fill="FFFFFF"/>
        </w:rPr>
        <w:t>(2), 140-154.</w:t>
      </w:r>
    </w:p>
    <w:p w14:paraId="115571B0" w14:textId="77777777" w:rsidR="00C55C76" w:rsidRPr="002C25E4" w:rsidRDefault="00C55C76" w:rsidP="00C55C76">
      <w:pPr>
        <w:spacing w:after="120"/>
        <w:ind w:left="720" w:hanging="720"/>
      </w:pPr>
    </w:p>
    <w:p w14:paraId="04814B28" w14:textId="77777777" w:rsidR="00C55C76" w:rsidRPr="00596C3F" w:rsidRDefault="00C55C76" w:rsidP="00C55C76"/>
    <w:sectPr w:rsidR="00C55C76" w:rsidRPr="00596C3F" w:rsidSect="002A780B">
      <w:footerReference w:type="defaul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C8299" w14:textId="77777777" w:rsidR="00A30300" w:rsidRDefault="00A30300" w:rsidP="00421095">
      <w:r>
        <w:separator/>
      </w:r>
    </w:p>
  </w:endnote>
  <w:endnote w:type="continuationSeparator" w:id="0">
    <w:p w14:paraId="13C0C36A" w14:textId="77777777" w:rsidR="00A30300" w:rsidRDefault="00A30300" w:rsidP="0042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Book">
    <w:altName w:val="Baskerville Book"/>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1C7E9" w14:textId="77777777" w:rsidR="00A30300" w:rsidRDefault="00A30300">
    <w:pPr>
      <w:pStyle w:val="Footer"/>
      <w:jc w:val="center"/>
    </w:pPr>
    <w:r>
      <w:fldChar w:fldCharType="begin"/>
    </w:r>
    <w:r>
      <w:instrText xml:space="preserve"> PAGE   \* MERGEFORMAT </w:instrText>
    </w:r>
    <w:r>
      <w:fldChar w:fldCharType="separate"/>
    </w:r>
    <w:r w:rsidR="00736FFB">
      <w:rPr>
        <w:noProof/>
      </w:rPr>
      <w:t>1</w:t>
    </w:r>
    <w:r>
      <w:rPr>
        <w:noProof/>
      </w:rPr>
      <w:fldChar w:fldCharType="end"/>
    </w:r>
  </w:p>
  <w:p w14:paraId="44EEF2DC" w14:textId="77777777" w:rsidR="00A30300" w:rsidRDefault="00A303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A86DF" w14:textId="77777777" w:rsidR="00A30300" w:rsidRDefault="00A30300" w:rsidP="00421095">
      <w:r>
        <w:separator/>
      </w:r>
    </w:p>
  </w:footnote>
  <w:footnote w:type="continuationSeparator" w:id="0">
    <w:p w14:paraId="69D41716" w14:textId="77777777" w:rsidR="00A30300" w:rsidRDefault="00A30300" w:rsidP="00421095">
      <w:r>
        <w:continuationSeparator/>
      </w:r>
    </w:p>
  </w:footnote>
  <w:footnote w:id="1">
    <w:p w14:paraId="1DB833DD" w14:textId="77777777" w:rsidR="00A30300" w:rsidRDefault="00A30300">
      <w:pPr>
        <w:pStyle w:val="FootnoteText"/>
      </w:pPr>
      <w:r>
        <w:rPr>
          <w:rStyle w:val="FootnoteReference"/>
        </w:rPr>
        <w:footnoteRef/>
      </w:r>
      <w:r>
        <w:t xml:space="preserve"> Two part-time officers are equivalent to one full-time officer.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37D37"/>
    <w:multiLevelType w:val="hybridMultilevel"/>
    <w:tmpl w:val="7DD24CB2"/>
    <w:lvl w:ilvl="0" w:tplc="91DE88C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4759B"/>
    <w:multiLevelType w:val="hybridMultilevel"/>
    <w:tmpl w:val="3E86E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BD362C"/>
    <w:multiLevelType w:val="hybridMultilevel"/>
    <w:tmpl w:val="00EE099E"/>
    <w:lvl w:ilvl="0" w:tplc="49B8A28A">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3C5581"/>
    <w:multiLevelType w:val="hybridMultilevel"/>
    <w:tmpl w:val="2C00869A"/>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15BF1"/>
    <w:multiLevelType w:val="hybridMultilevel"/>
    <w:tmpl w:val="D068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C31A7"/>
    <w:multiLevelType w:val="hybridMultilevel"/>
    <w:tmpl w:val="0438503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86643B6"/>
    <w:multiLevelType w:val="hybridMultilevel"/>
    <w:tmpl w:val="61BCBDF2"/>
    <w:lvl w:ilvl="0" w:tplc="C2D4F4D0">
      <w:start w:val="3"/>
      <w:numFmt w:val="bullet"/>
      <w:lvlText w:val="-"/>
      <w:lvlJc w:val="left"/>
      <w:pPr>
        <w:ind w:left="996" w:hanging="360"/>
      </w:pPr>
      <w:rPr>
        <w:rFonts w:ascii="Times New Roman" w:eastAsia="Times New Roman" w:hAnsi="Times New Roman" w:hint="default"/>
      </w:rPr>
    </w:lvl>
    <w:lvl w:ilvl="1" w:tplc="04090003" w:tentative="1">
      <w:start w:val="1"/>
      <w:numFmt w:val="bullet"/>
      <w:lvlText w:val="o"/>
      <w:lvlJc w:val="left"/>
      <w:pPr>
        <w:ind w:left="1716" w:hanging="360"/>
      </w:pPr>
      <w:rPr>
        <w:rFonts w:ascii="Courier New" w:hAnsi="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7" w15:restartNumberingAfterBreak="0">
    <w:nsid w:val="1B054162"/>
    <w:multiLevelType w:val="hybridMultilevel"/>
    <w:tmpl w:val="294CCC8E"/>
    <w:lvl w:ilvl="0" w:tplc="D4705CDE">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3409FC"/>
    <w:multiLevelType w:val="hybridMultilevel"/>
    <w:tmpl w:val="74A443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89C3548"/>
    <w:multiLevelType w:val="hybridMultilevel"/>
    <w:tmpl w:val="D2663094"/>
    <w:lvl w:ilvl="0" w:tplc="1F9A984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AC050BE"/>
    <w:multiLevelType w:val="hybridMultilevel"/>
    <w:tmpl w:val="A45E5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361529"/>
    <w:multiLevelType w:val="hybridMultilevel"/>
    <w:tmpl w:val="F26A4D6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15:restartNumberingAfterBreak="0">
    <w:nsid w:val="397F016C"/>
    <w:multiLevelType w:val="hybridMultilevel"/>
    <w:tmpl w:val="9C448182"/>
    <w:lvl w:ilvl="0" w:tplc="04090001">
      <w:numFmt w:val="bullet"/>
      <w:lvlText w:val=""/>
      <w:lvlJc w:val="left"/>
      <w:pPr>
        <w:ind w:left="360" w:hanging="360"/>
      </w:pPr>
      <w:rPr>
        <w:rFonts w:ascii="Symbol" w:eastAsia="Times New Roman"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9E71E6"/>
    <w:multiLevelType w:val="hybridMultilevel"/>
    <w:tmpl w:val="BE208B0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E53B9"/>
    <w:multiLevelType w:val="hybridMultilevel"/>
    <w:tmpl w:val="5F7A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BF58E1"/>
    <w:multiLevelType w:val="hybridMultilevel"/>
    <w:tmpl w:val="A3406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FB5D6A"/>
    <w:multiLevelType w:val="hybridMultilevel"/>
    <w:tmpl w:val="2620DC7C"/>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AC5260"/>
    <w:multiLevelType w:val="hybridMultilevel"/>
    <w:tmpl w:val="6618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DE2799"/>
    <w:multiLevelType w:val="hybridMultilevel"/>
    <w:tmpl w:val="A6B03F9E"/>
    <w:lvl w:ilvl="0" w:tplc="FE6632C8">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3DB255F"/>
    <w:multiLevelType w:val="hybridMultilevel"/>
    <w:tmpl w:val="E2EE68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D1B7937"/>
    <w:multiLevelType w:val="hybridMultilevel"/>
    <w:tmpl w:val="AA1685E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3F4B34"/>
    <w:multiLevelType w:val="hybridMultilevel"/>
    <w:tmpl w:val="BAD047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754C2426"/>
    <w:multiLevelType w:val="hybridMultilevel"/>
    <w:tmpl w:val="E498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25437C"/>
    <w:multiLevelType w:val="hybridMultilevel"/>
    <w:tmpl w:val="709A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E254C8"/>
    <w:multiLevelType w:val="hybridMultilevel"/>
    <w:tmpl w:val="863C556E"/>
    <w:lvl w:ilvl="0" w:tplc="0409000F">
      <w:start w:val="1"/>
      <w:numFmt w:val="decimal"/>
      <w:lvlText w:val="%1."/>
      <w:lvlJc w:val="left"/>
      <w:pPr>
        <w:ind w:left="360" w:hanging="360"/>
      </w:pPr>
      <w:rPr>
        <w:rFonts w:cs="Times New Roman" w:hint="default"/>
        <w:u w:val="none"/>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9"/>
  </w:num>
  <w:num w:numId="2">
    <w:abstractNumId w:val="2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4"/>
  </w:num>
  <w:num w:numId="6">
    <w:abstractNumId w:val="5"/>
  </w:num>
  <w:num w:numId="7">
    <w:abstractNumId w:val="8"/>
  </w:num>
  <w:num w:numId="8">
    <w:abstractNumId w:val="17"/>
  </w:num>
  <w:num w:numId="9">
    <w:abstractNumId w:val="6"/>
  </w:num>
  <w:num w:numId="10">
    <w:abstractNumId w:val="22"/>
  </w:num>
  <w:num w:numId="11">
    <w:abstractNumId w:val="15"/>
  </w:num>
  <w:num w:numId="12">
    <w:abstractNumId w:val="0"/>
  </w:num>
  <w:num w:numId="13">
    <w:abstractNumId w:val="20"/>
  </w:num>
  <w:num w:numId="14">
    <w:abstractNumId w:val="16"/>
  </w:num>
  <w:num w:numId="15">
    <w:abstractNumId w:val="3"/>
  </w:num>
  <w:num w:numId="16">
    <w:abstractNumId w:val="13"/>
  </w:num>
  <w:num w:numId="17">
    <w:abstractNumId w:val="2"/>
  </w:num>
  <w:num w:numId="18">
    <w:abstractNumId w:val="18"/>
  </w:num>
  <w:num w:numId="19">
    <w:abstractNumId w:val="19"/>
  </w:num>
  <w:num w:numId="20">
    <w:abstractNumId w:val="14"/>
  </w:num>
  <w:num w:numId="21">
    <w:abstractNumId w:val="10"/>
  </w:num>
  <w:num w:numId="22">
    <w:abstractNumId w:val="7"/>
  </w:num>
  <w:num w:numId="23">
    <w:abstractNumId w:val="4"/>
  </w:num>
  <w:num w:numId="24">
    <w:abstractNumId w:val="1"/>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095"/>
    <w:rsid w:val="000004FC"/>
    <w:rsid w:val="00006757"/>
    <w:rsid w:val="0001585F"/>
    <w:rsid w:val="00017D8B"/>
    <w:rsid w:val="00047767"/>
    <w:rsid w:val="000573C0"/>
    <w:rsid w:val="00064C5B"/>
    <w:rsid w:val="0008309B"/>
    <w:rsid w:val="00095B15"/>
    <w:rsid w:val="000A0625"/>
    <w:rsid w:val="000A1127"/>
    <w:rsid w:val="000D1AC6"/>
    <w:rsid w:val="000D1C97"/>
    <w:rsid w:val="00104A74"/>
    <w:rsid w:val="0011312E"/>
    <w:rsid w:val="0011500B"/>
    <w:rsid w:val="0013515C"/>
    <w:rsid w:val="00140980"/>
    <w:rsid w:val="00140B9D"/>
    <w:rsid w:val="00141D2F"/>
    <w:rsid w:val="00156904"/>
    <w:rsid w:val="00163AF7"/>
    <w:rsid w:val="001802FC"/>
    <w:rsid w:val="001A3E1C"/>
    <w:rsid w:val="001A42C3"/>
    <w:rsid w:val="001B0233"/>
    <w:rsid w:val="001B2488"/>
    <w:rsid w:val="001C4D8B"/>
    <w:rsid w:val="001D1682"/>
    <w:rsid w:val="001D3326"/>
    <w:rsid w:val="001D7E85"/>
    <w:rsid w:val="001E40F6"/>
    <w:rsid w:val="00204DA9"/>
    <w:rsid w:val="00207226"/>
    <w:rsid w:val="00226164"/>
    <w:rsid w:val="002359F0"/>
    <w:rsid w:val="002364B9"/>
    <w:rsid w:val="002369CA"/>
    <w:rsid w:val="0024443E"/>
    <w:rsid w:val="00250546"/>
    <w:rsid w:val="00256BAE"/>
    <w:rsid w:val="00266994"/>
    <w:rsid w:val="00274054"/>
    <w:rsid w:val="00281D9C"/>
    <w:rsid w:val="002821C9"/>
    <w:rsid w:val="00282FDE"/>
    <w:rsid w:val="00285B41"/>
    <w:rsid w:val="00292D2D"/>
    <w:rsid w:val="002A780B"/>
    <w:rsid w:val="002E7EFC"/>
    <w:rsid w:val="002F2D7C"/>
    <w:rsid w:val="002F32F5"/>
    <w:rsid w:val="002F53E6"/>
    <w:rsid w:val="0031232C"/>
    <w:rsid w:val="003147EB"/>
    <w:rsid w:val="0033314C"/>
    <w:rsid w:val="003502D2"/>
    <w:rsid w:val="00352E74"/>
    <w:rsid w:val="003533FD"/>
    <w:rsid w:val="003654DD"/>
    <w:rsid w:val="00367A70"/>
    <w:rsid w:val="0037297B"/>
    <w:rsid w:val="00372AE1"/>
    <w:rsid w:val="003835F3"/>
    <w:rsid w:val="00384BE8"/>
    <w:rsid w:val="003969E6"/>
    <w:rsid w:val="003B2F16"/>
    <w:rsid w:val="003C22A7"/>
    <w:rsid w:val="003C2907"/>
    <w:rsid w:val="003C5560"/>
    <w:rsid w:val="003C6818"/>
    <w:rsid w:val="003D38C8"/>
    <w:rsid w:val="003F2579"/>
    <w:rsid w:val="003F2F82"/>
    <w:rsid w:val="00413C62"/>
    <w:rsid w:val="00421095"/>
    <w:rsid w:val="004375F5"/>
    <w:rsid w:val="00441FBB"/>
    <w:rsid w:val="00461CE6"/>
    <w:rsid w:val="004630DD"/>
    <w:rsid w:val="004715A9"/>
    <w:rsid w:val="0048160C"/>
    <w:rsid w:val="004B4B5F"/>
    <w:rsid w:val="004C7B82"/>
    <w:rsid w:val="004D33AF"/>
    <w:rsid w:val="005346F1"/>
    <w:rsid w:val="005411DA"/>
    <w:rsid w:val="00544989"/>
    <w:rsid w:val="0056033F"/>
    <w:rsid w:val="00560FBB"/>
    <w:rsid w:val="00567C7D"/>
    <w:rsid w:val="0057026E"/>
    <w:rsid w:val="00570489"/>
    <w:rsid w:val="005858EB"/>
    <w:rsid w:val="00594C83"/>
    <w:rsid w:val="00596C3F"/>
    <w:rsid w:val="00634B4A"/>
    <w:rsid w:val="00672455"/>
    <w:rsid w:val="0067742B"/>
    <w:rsid w:val="0068628D"/>
    <w:rsid w:val="00696348"/>
    <w:rsid w:val="00696402"/>
    <w:rsid w:val="006C2C00"/>
    <w:rsid w:val="006D1FAA"/>
    <w:rsid w:val="006F31F1"/>
    <w:rsid w:val="006F4AA5"/>
    <w:rsid w:val="006F5F0F"/>
    <w:rsid w:val="007076CA"/>
    <w:rsid w:val="00713E27"/>
    <w:rsid w:val="00714F0E"/>
    <w:rsid w:val="00715A44"/>
    <w:rsid w:val="00736FFB"/>
    <w:rsid w:val="0074569B"/>
    <w:rsid w:val="00754D27"/>
    <w:rsid w:val="00765B7D"/>
    <w:rsid w:val="00787BF0"/>
    <w:rsid w:val="007907FA"/>
    <w:rsid w:val="0079398A"/>
    <w:rsid w:val="00795904"/>
    <w:rsid w:val="007A395A"/>
    <w:rsid w:val="007A3AED"/>
    <w:rsid w:val="007A4C12"/>
    <w:rsid w:val="007A538F"/>
    <w:rsid w:val="007A631D"/>
    <w:rsid w:val="007C0EFD"/>
    <w:rsid w:val="007C47D6"/>
    <w:rsid w:val="007C5C95"/>
    <w:rsid w:val="007D45D3"/>
    <w:rsid w:val="007D4974"/>
    <w:rsid w:val="007D521C"/>
    <w:rsid w:val="007E05A7"/>
    <w:rsid w:val="007E4BD4"/>
    <w:rsid w:val="007F4BBC"/>
    <w:rsid w:val="008120E5"/>
    <w:rsid w:val="008528EB"/>
    <w:rsid w:val="008534AF"/>
    <w:rsid w:val="00855D09"/>
    <w:rsid w:val="00867690"/>
    <w:rsid w:val="00873402"/>
    <w:rsid w:val="0088712E"/>
    <w:rsid w:val="008961AB"/>
    <w:rsid w:val="008A6C4F"/>
    <w:rsid w:val="008B5838"/>
    <w:rsid w:val="008C7848"/>
    <w:rsid w:val="008D0408"/>
    <w:rsid w:val="0090454E"/>
    <w:rsid w:val="00926C2C"/>
    <w:rsid w:val="0095719B"/>
    <w:rsid w:val="009740BB"/>
    <w:rsid w:val="00975C81"/>
    <w:rsid w:val="00986A0E"/>
    <w:rsid w:val="00990A93"/>
    <w:rsid w:val="009A2F21"/>
    <w:rsid w:val="009A78FA"/>
    <w:rsid w:val="009D445A"/>
    <w:rsid w:val="009E387E"/>
    <w:rsid w:val="009F36B6"/>
    <w:rsid w:val="009F5C3A"/>
    <w:rsid w:val="009F6AAB"/>
    <w:rsid w:val="00A12BEA"/>
    <w:rsid w:val="00A1454E"/>
    <w:rsid w:val="00A14B3A"/>
    <w:rsid w:val="00A30300"/>
    <w:rsid w:val="00A40850"/>
    <w:rsid w:val="00A45B67"/>
    <w:rsid w:val="00A471AD"/>
    <w:rsid w:val="00A50A7E"/>
    <w:rsid w:val="00A560AA"/>
    <w:rsid w:val="00A6699A"/>
    <w:rsid w:val="00A717F4"/>
    <w:rsid w:val="00A75DA0"/>
    <w:rsid w:val="00A95CFB"/>
    <w:rsid w:val="00AA530A"/>
    <w:rsid w:val="00AA688D"/>
    <w:rsid w:val="00AB507D"/>
    <w:rsid w:val="00AD7449"/>
    <w:rsid w:val="00AE2023"/>
    <w:rsid w:val="00AE5CBF"/>
    <w:rsid w:val="00AE707C"/>
    <w:rsid w:val="00AF7302"/>
    <w:rsid w:val="00B0677D"/>
    <w:rsid w:val="00B21B52"/>
    <w:rsid w:val="00B478DB"/>
    <w:rsid w:val="00B51F0C"/>
    <w:rsid w:val="00B637F4"/>
    <w:rsid w:val="00B75E62"/>
    <w:rsid w:val="00BA1631"/>
    <w:rsid w:val="00BB3221"/>
    <w:rsid w:val="00BC2420"/>
    <w:rsid w:val="00BC595F"/>
    <w:rsid w:val="00BC7640"/>
    <w:rsid w:val="00BD2B52"/>
    <w:rsid w:val="00BD62F3"/>
    <w:rsid w:val="00BD68D1"/>
    <w:rsid w:val="00BE1CB4"/>
    <w:rsid w:val="00BF41F7"/>
    <w:rsid w:val="00BF496B"/>
    <w:rsid w:val="00C138F5"/>
    <w:rsid w:val="00C14A58"/>
    <w:rsid w:val="00C502B5"/>
    <w:rsid w:val="00C54A43"/>
    <w:rsid w:val="00C55C76"/>
    <w:rsid w:val="00C5649E"/>
    <w:rsid w:val="00C87BA8"/>
    <w:rsid w:val="00C90010"/>
    <w:rsid w:val="00CA3573"/>
    <w:rsid w:val="00CB27E3"/>
    <w:rsid w:val="00CB4E2F"/>
    <w:rsid w:val="00CC3477"/>
    <w:rsid w:val="00CC4A2E"/>
    <w:rsid w:val="00CE6E77"/>
    <w:rsid w:val="00CF1C00"/>
    <w:rsid w:val="00CF4AE5"/>
    <w:rsid w:val="00CF5047"/>
    <w:rsid w:val="00CF6DEB"/>
    <w:rsid w:val="00D111F9"/>
    <w:rsid w:val="00D16DCC"/>
    <w:rsid w:val="00D365E4"/>
    <w:rsid w:val="00D41267"/>
    <w:rsid w:val="00D474D8"/>
    <w:rsid w:val="00D51B2B"/>
    <w:rsid w:val="00D534B2"/>
    <w:rsid w:val="00D66519"/>
    <w:rsid w:val="00D85E60"/>
    <w:rsid w:val="00D955C8"/>
    <w:rsid w:val="00DA515B"/>
    <w:rsid w:val="00DA5F64"/>
    <w:rsid w:val="00DC1DF6"/>
    <w:rsid w:val="00DC6AA6"/>
    <w:rsid w:val="00DD462A"/>
    <w:rsid w:val="00DD5DDC"/>
    <w:rsid w:val="00DF2615"/>
    <w:rsid w:val="00DF621D"/>
    <w:rsid w:val="00E00C63"/>
    <w:rsid w:val="00E05313"/>
    <w:rsid w:val="00E11A50"/>
    <w:rsid w:val="00E24D98"/>
    <w:rsid w:val="00E42BA9"/>
    <w:rsid w:val="00E51D06"/>
    <w:rsid w:val="00E645C4"/>
    <w:rsid w:val="00E6742D"/>
    <w:rsid w:val="00E77256"/>
    <w:rsid w:val="00E8403D"/>
    <w:rsid w:val="00EA581F"/>
    <w:rsid w:val="00EC6C2C"/>
    <w:rsid w:val="00ED6A98"/>
    <w:rsid w:val="00EE3AD5"/>
    <w:rsid w:val="00EF3020"/>
    <w:rsid w:val="00F03B37"/>
    <w:rsid w:val="00F124DA"/>
    <w:rsid w:val="00F229F7"/>
    <w:rsid w:val="00F365CA"/>
    <w:rsid w:val="00F6452F"/>
    <w:rsid w:val="00F706E6"/>
    <w:rsid w:val="00F8259C"/>
    <w:rsid w:val="00F84901"/>
    <w:rsid w:val="00F84BA4"/>
    <w:rsid w:val="00F93B03"/>
    <w:rsid w:val="00FA5B3F"/>
    <w:rsid w:val="00FA7E94"/>
    <w:rsid w:val="00FE1C5A"/>
    <w:rsid w:val="00FE43C2"/>
    <w:rsid w:val="00FE69CD"/>
    <w:rsid w:val="00FF26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6430BD"/>
  <w15:docId w15:val="{16275D51-919D-4567-9FB0-F69BEDA12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0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1095"/>
    <w:rPr>
      <w:rFonts w:cs="Times New Roman"/>
      <w:color w:val="0000FF"/>
      <w:u w:val="single"/>
    </w:rPr>
  </w:style>
  <w:style w:type="paragraph" w:styleId="ListParagraph">
    <w:name w:val="List Paragraph"/>
    <w:basedOn w:val="Normal"/>
    <w:uiPriority w:val="34"/>
    <w:qFormat/>
    <w:rsid w:val="00421095"/>
    <w:pPr>
      <w:ind w:left="720"/>
      <w:contextualSpacing/>
    </w:pPr>
  </w:style>
  <w:style w:type="paragraph" w:styleId="FootnoteText">
    <w:name w:val="footnote text"/>
    <w:aliases w:val="F1"/>
    <w:basedOn w:val="Normal"/>
    <w:link w:val="FootnoteTextChar"/>
    <w:uiPriority w:val="99"/>
    <w:semiHidden/>
    <w:rsid w:val="00421095"/>
    <w:rPr>
      <w:sz w:val="20"/>
      <w:szCs w:val="20"/>
    </w:rPr>
  </w:style>
  <w:style w:type="character" w:customStyle="1" w:styleId="FootnoteTextChar">
    <w:name w:val="Footnote Text Char"/>
    <w:aliases w:val="F1 Char"/>
    <w:basedOn w:val="DefaultParagraphFont"/>
    <w:link w:val="FootnoteText"/>
    <w:uiPriority w:val="99"/>
    <w:semiHidden/>
    <w:rsid w:val="0042109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421095"/>
    <w:rPr>
      <w:rFonts w:cs="Times New Roman"/>
      <w:vertAlign w:val="superscript"/>
    </w:rPr>
  </w:style>
  <w:style w:type="paragraph" w:styleId="Header">
    <w:name w:val="header"/>
    <w:basedOn w:val="Normal"/>
    <w:link w:val="HeaderChar"/>
    <w:uiPriority w:val="99"/>
    <w:rsid w:val="00421095"/>
    <w:pPr>
      <w:tabs>
        <w:tab w:val="center" w:pos="4680"/>
        <w:tab w:val="right" w:pos="9360"/>
      </w:tabs>
    </w:pPr>
  </w:style>
  <w:style w:type="character" w:customStyle="1" w:styleId="HeaderChar">
    <w:name w:val="Header Char"/>
    <w:basedOn w:val="DefaultParagraphFont"/>
    <w:link w:val="Header"/>
    <w:uiPriority w:val="99"/>
    <w:rsid w:val="00421095"/>
    <w:rPr>
      <w:rFonts w:ascii="Times New Roman" w:eastAsia="Times New Roman" w:hAnsi="Times New Roman" w:cs="Times New Roman"/>
      <w:sz w:val="24"/>
      <w:szCs w:val="24"/>
    </w:rPr>
  </w:style>
  <w:style w:type="paragraph" w:styleId="Footer">
    <w:name w:val="footer"/>
    <w:basedOn w:val="Normal"/>
    <w:link w:val="FooterChar"/>
    <w:uiPriority w:val="99"/>
    <w:rsid w:val="00421095"/>
    <w:pPr>
      <w:tabs>
        <w:tab w:val="center" w:pos="4680"/>
        <w:tab w:val="right" w:pos="9360"/>
      </w:tabs>
    </w:pPr>
  </w:style>
  <w:style w:type="character" w:customStyle="1" w:styleId="FooterChar">
    <w:name w:val="Footer Char"/>
    <w:basedOn w:val="DefaultParagraphFont"/>
    <w:link w:val="Footer"/>
    <w:uiPriority w:val="99"/>
    <w:rsid w:val="00421095"/>
    <w:rPr>
      <w:rFonts w:ascii="Times New Roman" w:eastAsia="Times New Roman" w:hAnsi="Times New Roman" w:cs="Times New Roman"/>
      <w:sz w:val="24"/>
      <w:szCs w:val="24"/>
    </w:rPr>
  </w:style>
  <w:style w:type="paragraph" w:styleId="NormalWeb">
    <w:name w:val="Normal (Web)"/>
    <w:basedOn w:val="Normal"/>
    <w:uiPriority w:val="99"/>
    <w:rsid w:val="00421095"/>
    <w:pPr>
      <w:spacing w:before="100" w:beforeAutospacing="1" w:after="100" w:afterAutospacing="1"/>
    </w:pPr>
  </w:style>
  <w:style w:type="paragraph" w:styleId="BalloonText">
    <w:name w:val="Balloon Text"/>
    <w:basedOn w:val="Normal"/>
    <w:link w:val="BalloonTextChar"/>
    <w:uiPriority w:val="99"/>
    <w:semiHidden/>
    <w:rsid w:val="00421095"/>
    <w:rPr>
      <w:rFonts w:ascii="Tahoma" w:hAnsi="Tahoma" w:cs="Tahoma"/>
      <w:sz w:val="16"/>
      <w:szCs w:val="16"/>
    </w:rPr>
  </w:style>
  <w:style w:type="character" w:customStyle="1" w:styleId="BalloonTextChar">
    <w:name w:val="Balloon Text Char"/>
    <w:basedOn w:val="DefaultParagraphFont"/>
    <w:link w:val="BalloonText"/>
    <w:uiPriority w:val="99"/>
    <w:semiHidden/>
    <w:rsid w:val="00421095"/>
    <w:rPr>
      <w:rFonts w:ascii="Tahoma" w:eastAsia="Times New Roman" w:hAnsi="Tahoma" w:cs="Tahoma"/>
      <w:sz w:val="16"/>
      <w:szCs w:val="16"/>
    </w:rPr>
  </w:style>
  <w:style w:type="character" w:styleId="CommentReference">
    <w:name w:val="annotation reference"/>
    <w:basedOn w:val="DefaultParagraphFont"/>
    <w:uiPriority w:val="99"/>
    <w:semiHidden/>
    <w:rsid w:val="00421095"/>
    <w:rPr>
      <w:rFonts w:cs="Times New Roman"/>
      <w:sz w:val="16"/>
    </w:rPr>
  </w:style>
  <w:style w:type="paragraph" w:styleId="CommentText">
    <w:name w:val="annotation text"/>
    <w:basedOn w:val="Normal"/>
    <w:link w:val="CommentTextChar"/>
    <w:uiPriority w:val="99"/>
    <w:semiHidden/>
    <w:rsid w:val="00421095"/>
    <w:rPr>
      <w:sz w:val="20"/>
      <w:szCs w:val="20"/>
    </w:rPr>
  </w:style>
  <w:style w:type="character" w:customStyle="1" w:styleId="CommentTextChar">
    <w:name w:val="Comment Text Char"/>
    <w:basedOn w:val="DefaultParagraphFont"/>
    <w:link w:val="CommentText"/>
    <w:uiPriority w:val="99"/>
    <w:semiHidden/>
    <w:rsid w:val="004210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21095"/>
    <w:rPr>
      <w:b/>
      <w:bCs/>
    </w:rPr>
  </w:style>
  <w:style w:type="character" w:customStyle="1" w:styleId="CommentSubjectChar">
    <w:name w:val="Comment Subject Char"/>
    <w:basedOn w:val="CommentTextChar"/>
    <w:link w:val="CommentSubject"/>
    <w:uiPriority w:val="99"/>
    <w:semiHidden/>
    <w:rsid w:val="00421095"/>
    <w:rPr>
      <w:rFonts w:ascii="Times New Roman" w:eastAsia="Times New Roman" w:hAnsi="Times New Roman" w:cs="Times New Roman"/>
      <w:b/>
      <w:bCs/>
      <w:sz w:val="20"/>
      <w:szCs w:val="20"/>
    </w:rPr>
  </w:style>
  <w:style w:type="paragraph" w:customStyle="1" w:styleId="Default">
    <w:name w:val="Default"/>
    <w:rsid w:val="00421095"/>
    <w:pPr>
      <w:autoSpaceDE w:val="0"/>
      <w:autoSpaceDN w:val="0"/>
      <w:adjustRightInd w:val="0"/>
      <w:spacing w:after="0" w:line="240" w:lineRule="auto"/>
    </w:pPr>
    <w:rPr>
      <w:rFonts w:ascii="Calibri" w:eastAsia="Times New Roman" w:hAnsi="Calibri" w:cs="Calibri"/>
      <w:color w:val="000000"/>
      <w:sz w:val="24"/>
      <w:szCs w:val="24"/>
    </w:rPr>
  </w:style>
  <w:style w:type="paragraph" w:styleId="EndnoteText">
    <w:name w:val="endnote text"/>
    <w:basedOn w:val="Normal"/>
    <w:link w:val="EndnoteTextChar"/>
    <w:uiPriority w:val="99"/>
    <w:semiHidden/>
    <w:rsid w:val="00421095"/>
    <w:rPr>
      <w:sz w:val="20"/>
      <w:szCs w:val="20"/>
    </w:rPr>
  </w:style>
  <w:style w:type="character" w:customStyle="1" w:styleId="EndnoteTextChar">
    <w:name w:val="Endnote Text Char"/>
    <w:basedOn w:val="DefaultParagraphFont"/>
    <w:link w:val="EndnoteText"/>
    <w:uiPriority w:val="99"/>
    <w:semiHidden/>
    <w:rsid w:val="0042109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421095"/>
    <w:rPr>
      <w:rFonts w:cs="Times New Roman"/>
      <w:vertAlign w:val="superscript"/>
    </w:rPr>
  </w:style>
  <w:style w:type="paragraph" w:customStyle="1" w:styleId="Pa3">
    <w:name w:val="Pa3"/>
    <w:basedOn w:val="Normal"/>
    <w:next w:val="Normal"/>
    <w:uiPriority w:val="99"/>
    <w:rsid w:val="00421095"/>
    <w:pPr>
      <w:autoSpaceDE w:val="0"/>
      <w:autoSpaceDN w:val="0"/>
      <w:adjustRightInd w:val="0"/>
      <w:spacing w:line="221" w:lineRule="atLeast"/>
    </w:pPr>
    <w:rPr>
      <w:rFonts w:ascii="Baskerville Book" w:hAnsi="Baskerville Book"/>
    </w:rPr>
  </w:style>
  <w:style w:type="paragraph" w:customStyle="1" w:styleId="SP-SglSpPara">
    <w:name w:val="SP-Sgl Sp Para"/>
    <w:link w:val="SP-SglSpParaChar"/>
    <w:uiPriority w:val="99"/>
    <w:rsid w:val="00421095"/>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SP-SglSpParaChar">
    <w:name w:val="SP-Sgl Sp Para Char"/>
    <w:link w:val="SP-SglSpPara"/>
    <w:uiPriority w:val="99"/>
    <w:locked/>
    <w:rsid w:val="00421095"/>
    <w:rPr>
      <w:rFonts w:ascii="Times New Roman" w:eastAsia="Times New Roman" w:hAnsi="Times New Roman" w:cs="Times New Roman"/>
      <w:szCs w:val="20"/>
    </w:rPr>
  </w:style>
  <w:style w:type="table" w:styleId="TableGrid">
    <w:name w:val="Table Grid"/>
    <w:basedOn w:val="TableNormal"/>
    <w:uiPriority w:val="39"/>
    <w:rsid w:val="00421095"/>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421095"/>
    <w:rPr>
      <w:rFonts w:cs="Times New Roman"/>
      <w:b/>
    </w:rPr>
  </w:style>
  <w:style w:type="character" w:customStyle="1" w:styleId="street-address">
    <w:name w:val="street-address"/>
    <w:basedOn w:val="DefaultParagraphFont"/>
    <w:uiPriority w:val="99"/>
    <w:rsid w:val="00421095"/>
    <w:rPr>
      <w:rFonts w:cs="Times New Roman"/>
    </w:rPr>
  </w:style>
  <w:style w:type="character" w:customStyle="1" w:styleId="locality">
    <w:name w:val="locality"/>
    <w:basedOn w:val="DefaultParagraphFont"/>
    <w:uiPriority w:val="99"/>
    <w:rsid w:val="00421095"/>
    <w:rPr>
      <w:rFonts w:cs="Times New Roman"/>
    </w:rPr>
  </w:style>
  <w:style w:type="character" w:customStyle="1" w:styleId="region">
    <w:name w:val="region"/>
    <w:basedOn w:val="DefaultParagraphFont"/>
    <w:uiPriority w:val="99"/>
    <w:rsid w:val="00421095"/>
    <w:rPr>
      <w:rFonts w:cs="Times New Roman"/>
    </w:rPr>
  </w:style>
  <w:style w:type="character" w:customStyle="1" w:styleId="postal-code">
    <w:name w:val="postal-code"/>
    <w:basedOn w:val="DefaultParagraphFont"/>
    <w:uiPriority w:val="99"/>
    <w:rsid w:val="00421095"/>
    <w:rPr>
      <w:rFonts w:cs="Times New Roman"/>
    </w:rPr>
  </w:style>
  <w:style w:type="paragraph" w:styleId="Revision">
    <w:name w:val="Revision"/>
    <w:hidden/>
    <w:uiPriority w:val="99"/>
    <w:semiHidden/>
    <w:rsid w:val="00421095"/>
    <w:pPr>
      <w:spacing w:after="0" w:line="240" w:lineRule="auto"/>
    </w:pPr>
    <w:rPr>
      <w:rFonts w:ascii="Times New Roman" w:eastAsia="Times New Roman" w:hAnsi="Times New Roman" w:cs="Times New Roman"/>
      <w:sz w:val="24"/>
      <w:szCs w:val="24"/>
    </w:rPr>
  </w:style>
  <w:style w:type="paragraph" w:customStyle="1" w:styleId="Level1">
    <w:name w:val="Level 1"/>
    <w:basedOn w:val="Normal"/>
    <w:uiPriority w:val="99"/>
    <w:rsid w:val="00421095"/>
    <w:pPr>
      <w:widowControl w:val="0"/>
      <w:autoSpaceDE w:val="0"/>
      <w:autoSpaceDN w:val="0"/>
      <w:adjustRightInd w:val="0"/>
      <w:ind w:left="720" w:hanging="720"/>
      <w:outlineLvl w:val="0"/>
    </w:pPr>
  </w:style>
  <w:style w:type="paragraph" w:customStyle="1" w:styleId="headline1">
    <w:name w:val="headline1"/>
    <w:basedOn w:val="Normal"/>
    <w:rsid w:val="00421095"/>
    <w:pPr>
      <w:spacing w:before="100" w:beforeAutospacing="1" w:after="100" w:afterAutospacing="1"/>
    </w:pPr>
    <w:rPr>
      <w:rFonts w:ascii="Arial" w:hAnsi="Arial" w:cs="Arial"/>
      <w:b/>
      <w:bCs/>
      <w:color w:val="000000"/>
      <w:sz w:val="27"/>
      <w:szCs w:val="27"/>
    </w:rPr>
  </w:style>
  <w:style w:type="paragraph" w:styleId="Caption">
    <w:name w:val="caption"/>
    <w:basedOn w:val="Normal"/>
    <w:next w:val="Normal"/>
    <w:uiPriority w:val="35"/>
    <w:unhideWhenUsed/>
    <w:qFormat/>
    <w:rsid w:val="003969E6"/>
    <w:pPr>
      <w:spacing w:after="200"/>
    </w:pPr>
    <w:rPr>
      <w:rFonts w:asciiTheme="minorHAnsi" w:eastAsiaTheme="minorHAnsi" w:hAnsiTheme="minorHAnsi" w:cstheme="minorBidi"/>
      <w:i/>
      <w:iCs/>
      <w:color w:val="1F497D" w:themeColor="text2"/>
      <w:sz w:val="18"/>
      <w:szCs w:val="18"/>
    </w:rPr>
  </w:style>
  <w:style w:type="character" w:customStyle="1" w:styleId="apple-converted-space">
    <w:name w:val="apple-converted-space"/>
    <w:basedOn w:val="DefaultParagraphFont"/>
    <w:rsid w:val="00D85E60"/>
  </w:style>
  <w:style w:type="table" w:customStyle="1" w:styleId="TableGrid1">
    <w:name w:val="Table Grid1"/>
    <w:basedOn w:val="TableNormal"/>
    <w:next w:val="TableGrid"/>
    <w:uiPriority w:val="39"/>
    <w:rsid w:val="00F84901"/>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F84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84901"/>
    <w:rPr>
      <w:rFonts w:ascii="Courier New" w:eastAsia="Times New Roman" w:hAnsi="Courier New" w:cs="Courier New"/>
      <w:sz w:val="20"/>
      <w:szCs w:val="20"/>
    </w:rPr>
  </w:style>
  <w:style w:type="character" w:styleId="HTMLCite">
    <w:name w:val="HTML Cite"/>
    <w:basedOn w:val="DefaultParagraphFont"/>
    <w:uiPriority w:val="99"/>
    <w:semiHidden/>
    <w:unhideWhenUsed/>
    <w:rsid w:val="00C55C76"/>
    <w:rPr>
      <w:i/>
      <w:iCs/>
    </w:rPr>
  </w:style>
  <w:style w:type="character" w:styleId="Emphasis">
    <w:name w:val="Emphasis"/>
    <w:basedOn w:val="DefaultParagraphFont"/>
    <w:uiPriority w:val="20"/>
    <w:qFormat/>
    <w:rsid w:val="00C55C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86675">
      <w:bodyDiv w:val="1"/>
      <w:marLeft w:val="120"/>
      <w:marRight w:val="120"/>
      <w:marTop w:val="0"/>
      <w:marBottom w:val="0"/>
      <w:divBdr>
        <w:top w:val="none" w:sz="0" w:space="0" w:color="auto"/>
        <w:left w:val="none" w:sz="0" w:space="0" w:color="auto"/>
        <w:bottom w:val="none" w:sz="0" w:space="0" w:color="auto"/>
        <w:right w:val="none" w:sz="0" w:space="0" w:color="auto"/>
      </w:divBdr>
      <w:divsChild>
        <w:div w:id="1726634574">
          <w:marLeft w:val="0"/>
          <w:marRight w:val="0"/>
          <w:marTop w:val="0"/>
          <w:marBottom w:val="0"/>
          <w:divBdr>
            <w:top w:val="none" w:sz="0" w:space="0" w:color="auto"/>
            <w:left w:val="none" w:sz="0" w:space="0" w:color="auto"/>
            <w:bottom w:val="none" w:sz="0" w:space="0" w:color="auto"/>
            <w:right w:val="none" w:sz="0" w:space="0" w:color="auto"/>
          </w:divBdr>
          <w:divsChild>
            <w:div w:id="51249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19837">
      <w:bodyDiv w:val="1"/>
      <w:marLeft w:val="0"/>
      <w:marRight w:val="0"/>
      <w:marTop w:val="0"/>
      <w:marBottom w:val="0"/>
      <w:divBdr>
        <w:top w:val="none" w:sz="0" w:space="0" w:color="auto"/>
        <w:left w:val="none" w:sz="0" w:space="0" w:color="auto"/>
        <w:bottom w:val="none" w:sz="0" w:space="0" w:color="auto"/>
        <w:right w:val="none" w:sz="0" w:space="0" w:color="auto"/>
      </w:divBdr>
    </w:div>
    <w:div w:id="906065788">
      <w:bodyDiv w:val="1"/>
      <w:marLeft w:val="0"/>
      <w:marRight w:val="0"/>
      <w:marTop w:val="0"/>
      <w:marBottom w:val="0"/>
      <w:divBdr>
        <w:top w:val="none" w:sz="0" w:space="0" w:color="auto"/>
        <w:left w:val="none" w:sz="0" w:space="0" w:color="auto"/>
        <w:bottom w:val="none" w:sz="0" w:space="0" w:color="auto"/>
        <w:right w:val="none" w:sz="0" w:space="0" w:color="auto"/>
      </w:divBdr>
    </w:div>
    <w:div w:id="928079478">
      <w:bodyDiv w:val="1"/>
      <w:marLeft w:val="0"/>
      <w:marRight w:val="0"/>
      <w:marTop w:val="0"/>
      <w:marBottom w:val="0"/>
      <w:divBdr>
        <w:top w:val="none" w:sz="0" w:space="0" w:color="auto"/>
        <w:left w:val="none" w:sz="0" w:space="0" w:color="auto"/>
        <w:bottom w:val="none" w:sz="0" w:space="0" w:color="auto"/>
        <w:right w:val="none" w:sz="0" w:space="0" w:color="auto"/>
      </w:divBdr>
    </w:div>
    <w:div w:id="1456100013">
      <w:bodyDiv w:val="1"/>
      <w:marLeft w:val="0"/>
      <w:marRight w:val="0"/>
      <w:marTop w:val="0"/>
      <w:marBottom w:val="0"/>
      <w:divBdr>
        <w:top w:val="none" w:sz="0" w:space="0" w:color="auto"/>
        <w:left w:val="none" w:sz="0" w:space="0" w:color="auto"/>
        <w:bottom w:val="none" w:sz="0" w:space="0" w:color="auto"/>
        <w:right w:val="none" w:sz="0" w:space="0" w:color="auto"/>
      </w:divBdr>
    </w:div>
    <w:div w:id="194048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ica.L.Smith@usdoj.gov" TargetMode="External"/><Relationship Id="rId13" Type="http://schemas.openxmlformats.org/officeDocument/2006/relationships/hyperlink" Target="http://www.cops.usdoj.gov/pdf/taskforce/TaskForce_FinalReport.pdf" TargetMode="External"/><Relationship Id="rId18" Type="http://schemas.openxmlformats.org/officeDocument/2006/relationships/hyperlink" Target="https://www.icpsr.umich.edu/icpsrweb/ICPSR/biblio/series/00092/resources/112752?collection=DATA&amp;archive=ICPSR&amp;sortBy=1" TargetMode="External"/><Relationship Id="rId3" Type="http://schemas.openxmlformats.org/officeDocument/2006/relationships/styles" Target="styles.xml"/><Relationship Id="rId21" Type="http://schemas.openxmlformats.org/officeDocument/2006/relationships/hyperlink" Target="https://www.icpsr.umich.edu/icpsrweb/ICPSR/biblio/series/00092/resources/115748?collection=DATA&amp;archive=ICPSR&amp;sortBy=1&amp;paging.startRow=26" TargetMode="External"/><Relationship Id="rId7" Type="http://schemas.openxmlformats.org/officeDocument/2006/relationships/endnotes" Target="endnotes.xml"/><Relationship Id="rId12" Type="http://schemas.openxmlformats.org/officeDocument/2006/relationships/hyperlink" Target="https://www.icpsr.umich.edu/icpsrweb/ICPSR/biblio/series/00092/resources/112657?collection=DATA&amp;archive=ICPSR&amp;sortBy=1&amp;paging.startRow=26" TargetMode="External"/><Relationship Id="rId17" Type="http://schemas.openxmlformats.org/officeDocument/2006/relationships/hyperlink" Target="http://doi.org/10.1177/1098611115604449" TargetMode="External"/><Relationship Id="rId2" Type="http://schemas.openxmlformats.org/officeDocument/2006/relationships/numbering" Target="numbering.xml"/><Relationship Id="rId16" Type="http://schemas.openxmlformats.org/officeDocument/2006/relationships/hyperlink" Target="http://doi.org/10.1093/police/pav006" TargetMode="External"/><Relationship Id="rId20" Type="http://schemas.openxmlformats.org/officeDocument/2006/relationships/hyperlink" Target="http://doi.org/10.1177/08874034135144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psr.umich.edu/icpsrweb/ICPSR/biblio/series/00092/resources/114695?collection=DATA&amp;archive=ICPSR&amp;sortBy=1&amp;paging.startRow=2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cpsr.umich.edu/icpsrweb/ICPSR/biblio/series/00092/resources/117129?collection=DATA&amp;archive=ICPSR&amp;sortBy=1&amp;paging.startRow=26" TargetMode="External"/><Relationship Id="rId23" Type="http://schemas.openxmlformats.org/officeDocument/2006/relationships/fontTable" Target="fontTable.xml"/><Relationship Id="rId10" Type="http://schemas.openxmlformats.org/officeDocument/2006/relationships/hyperlink" Target="http://doi.org/10.1007/978-3-319-21584-6" TargetMode="External"/><Relationship Id="rId19" Type="http://schemas.openxmlformats.org/officeDocument/2006/relationships/hyperlink" Target="http://doi.org/10.1177/0886260515569062" TargetMode="External"/><Relationship Id="rId4" Type="http://schemas.openxmlformats.org/officeDocument/2006/relationships/settings" Target="settings.xml"/><Relationship Id="rId9" Type="http://schemas.openxmlformats.org/officeDocument/2006/relationships/hyperlink" Target="https://www.icpsr.umich.edu/icpsrweb/ICPSR/biblio/series/00092/resources/115085?collection=DATA&amp;archive=ICPSR&amp;sortBy=1&amp;paging.startRow=26" TargetMode="External"/><Relationship Id="rId14" Type="http://schemas.openxmlformats.org/officeDocument/2006/relationships/hyperlink" Target="http://doi.org/10.1007/s10940-015-9270-9"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6A9D9-6E80-4AD2-A64A-9CCC70AC7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5516</Words>
  <Characters>31443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36886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adamsd</dc:creator>
  <cp:lastModifiedBy>Adams, Devon</cp:lastModifiedBy>
  <cp:revision>3</cp:revision>
  <cp:lastPrinted>2012-07-05T17:27:00Z</cp:lastPrinted>
  <dcterms:created xsi:type="dcterms:W3CDTF">2016-04-13T12:16:00Z</dcterms:created>
  <dcterms:modified xsi:type="dcterms:W3CDTF">2016-04-13T19:56:00Z</dcterms:modified>
</cp:coreProperties>
</file>