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65201" w14:textId="42FCEDC0" w:rsidR="00AF1157" w:rsidRPr="007A5D4B" w:rsidRDefault="00F904D9" w:rsidP="00D73D2D">
      <w:pPr>
        <w:suppressAutoHyphens/>
        <w:jc w:val="center"/>
        <w:rPr>
          <w:rFonts w:ascii="Arial" w:hAnsi="Arial" w:cs="Arial"/>
          <w:b/>
          <w:sz w:val="22"/>
          <w:szCs w:val="22"/>
        </w:rPr>
      </w:pPr>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01F4BFA4" w14:textId="77777777" w:rsidR="00AF1157" w:rsidRPr="007A5D4B" w:rsidRDefault="00AF1157" w:rsidP="00D73D2D">
      <w:pPr>
        <w:suppressAutoHyphens/>
        <w:jc w:val="center"/>
        <w:rPr>
          <w:rFonts w:ascii="Arial" w:hAnsi="Arial" w:cs="Arial"/>
          <w:b/>
          <w:sz w:val="22"/>
          <w:szCs w:val="22"/>
        </w:rPr>
      </w:pPr>
    </w:p>
    <w:p w14:paraId="2568B0C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3C53611F" w14:textId="77777777" w:rsidR="00AF1157" w:rsidRPr="007A5D4B" w:rsidRDefault="00AF1157" w:rsidP="00D73D2D">
      <w:pPr>
        <w:suppressAutoHyphens/>
        <w:jc w:val="center"/>
        <w:rPr>
          <w:rFonts w:ascii="Arial" w:hAnsi="Arial" w:cs="Arial"/>
          <w:b/>
          <w:sz w:val="22"/>
          <w:szCs w:val="22"/>
        </w:rPr>
      </w:pPr>
    </w:p>
    <w:p w14:paraId="65C1B90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3E4286B" w14:textId="77777777" w:rsidR="00AF1157" w:rsidRPr="007A5D4B" w:rsidRDefault="00AF1157" w:rsidP="00D73D2D">
      <w:pPr>
        <w:suppressAutoHyphens/>
        <w:jc w:val="center"/>
        <w:rPr>
          <w:rFonts w:ascii="Arial" w:hAnsi="Arial" w:cs="Arial"/>
          <w:b/>
          <w:sz w:val="22"/>
          <w:szCs w:val="22"/>
        </w:rPr>
      </w:pPr>
    </w:p>
    <w:p w14:paraId="72EF79C5" w14:textId="34AECF04" w:rsidR="00AF1157" w:rsidRPr="007A5D4B" w:rsidRDefault="00AF1157" w:rsidP="00D73D2D">
      <w:pPr>
        <w:suppressAutoHyphens/>
        <w:jc w:val="center"/>
        <w:rPr>
          <w:rFonts w:ascii="Arial" w:hAnsi="Arial" w:cs="Arial"/>
          <w:b/>
          <w:sz w:val="22"/>
          <w:szCs w:val="22"/>
        </w:rPr>
      </w:pPr>
      <w:r w:rsidRPr="00B93A45">
        <w:rPr>
          <w:rFonts w:ascii="Arial" w:hAnsi="Arial" w:cs="Arial"/>
          <w:b/>
          <w:sz w:val="22"/>
          <w:szCs w:val="22"/>
        </w:rPr>
        <w:t>OMB Control Number 1513</w:t>
      </w:r>
      <w:r w:rsidR="00D73D2D" w:rsidRPr="00B93A45">
        <w:rPr>
          <w:rFonts w:ascii="Arial" w:hAnsi="Arial" w:cs="Arial"/>
          <w:b/>
          <w:sz w:val="22"/>
          <w:szCs w:val="22"/>
        </w:rPr>
        <w:t>–</w:t>
      </w:r>
      <w:r w:rsidR="004805F2">
        <w:rPr>
          <w:rFonts w:ascii="Arial" w:hAnsi="Arial" w:cs="Arial"/>
          <w:b/>
          <w:sz w:val="22"/>
          <w:szCs w:val="22"/>
        </w:rPr>
        <w:t>0084</w:t>
      </w:r>
      <w:r w:rsidR="00D73D2D" w:rsidRPr="007A5D4B">
        <w:rPr>
          <w:rFonts w:ascii="Arial" w:hAnsi="Arial" w:cs="Arial"/>
          <w:b/>
          <w:sz w:val="22"/>
          <w:szCs w:val="22"/>
        </w:rPr>
        <w:t xml:space="preserve"> </w:t>
      </w:r>
    </w:p>
    <w:p w14:paraId="681F5FCB" w14:textId="77777777" w:rsidR="00AF1157" w:rsidRDefault="00AF1157" w:rsidP="00D73D2D">
      <w:pPr>
        <w:suppressAutoHyphens/>
        <w:rPr>
          <w:rFonts w:ascii="Arial" w:hAnsi="Arial" w:cs="Arial"/>
          <w:sz w:val="22"/>
          <w:szCs w:val="22"/>
        </w:rPr>
      </w:pPr>
    </w:p>
    <w:p w14:paraId="16AAD7E0" w14:textId="77777777" w:rsidR="004A0302" w:rsidRPr="007A5D4B" w:rsidRDefault="004A0302" w:rsidP="00D73D2D">
      <w:pPr>
        <w:suppressAutoHyphens/>
        <w:rPr>
          <w:rFonts w:ascii="Arial" w:hAnsi="Arial" w:cs="Arial"/>
          <w:sz w:val="22"/>
          <w:szCs w:val="22"/>
        </w:rPr>
      </w:pPr>
    </w:p>
    <w:p w14:paraId="332859C8" w14:textId="52E6A0C8" w:rsidR="004A0302" w:rsidRPr="004A0302" w:rsidRDefault="0008452B" w:rsidP="004A0302">
      <w:pPr>
        <w:suppressAutoHyphens/>
        <w:rPr>
          <w:rFonts w:ascii="Arial" w:hAnsi="Arial" w:cs="Arial"/>
          <w:sz w:val="22"/>
          <w:szCs w:val="22"/>
        </w:rPr>
      </w:pPr>
      <w:r w:rsidRPr="00E86B1B">
        <w:rPr>
          <w:rFonts w:ascii="Arial" w:hAnsi="Arial" w:cs="Arial"/>
          <w:sz w:val="22"/>
          <w:szCs w:val="22"/>
          <w:u w:val="single"/>
        </w:rPr>
        <w:t>Information Collection Request Title:</w:t>
      </w:r>
      <w:r w:rsidRPr="0008452B">
        <w:rPr>
          <w:rFonts w:ascii="Arial" w:hAnsi="Arial" w:cs="Arial"/>
          <w:sz w:val="22"/>
          <w:szCs w:val="22"/>
        </w:rPr>
        <w:t xml:space="preserve">  </w:t>
      </w:r>
      <w:r w:rsidR="004805F2">
        <w:rPr>
          <w:rFonts w:ascii="Arial" w:hAnsi="Arial" w:cs="Arial"/>
          <w:sz w:val="22"/>
          <w:szCs w:val="22"/>
        </w:rPr>
        <w:t>Labeling of Sulfites in Alcohol Beverages</w:t>
      </w:r>
      <w:r>
        <w:rPr>
          <w:rFonts w:ascii="Arial" w:hAnsi="Arial" w:cs="Arial"/>
          <w:sz w:val="22"/>
          <w:szCs w:val="22"/>
        </w:rPr>
        <w:t xml:space="preserve">. </w:t>
      </w:r>
    </w:p>
    <w:p w14:paraId="2E092A58" w14:textId="77777777" w:rsidR="00D73D2D" w:rsidRPr="007A5D4B" w:rsidRDefault="00D73D2D" w:rsidP="00D73D2D">
      <w:pPr>
        <w:suppressAutoHyphens/>
        <w:rPr>
          <w:rFonts w:ascii="Arial" w:hAnsi="Arial" w:cs="Arial"/>
          <w:sz w:val="22"/>
          <w:szCs w:val="22"/>
        </w:rPr>
      </w:pPr>
    </w:p>
    <w:p w14:paraId="30AA3FE5" w14:textId="77777777" w:rsidR="00D73D2D" w:rsidRPr="007A5D4B" w:rsidRDefault="00D73D2D" w:rsidP="00D73D2D">
      <w:pPr>
        <w:suppressAutoHyphens/>
        <w:rPr>
          <w:rFonts w:ascii="Arial" w:hAnsi="Arial" w:cs="Arial"/>
          <w:sz w:val="22"/>
          <w:szCs w:val="22"/>
        </w:rPr>
      </w:pPr>
    </w:p>
    <w:p w14:paraId="0E620A70"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23720C9" w14:textId="77777777" w:rsidR="00AF1157" w:rsidRPr="007A5D4B" w:rsidRDefault="00AF1157" w:rsidP="00D73D2D">
      <w:pPr>
        <w:suppressAutoHyphens/>
        <w:rPr>
          <w:rFonts w:ascii="Arial" w:hAnsi="Arial" w:cs="Arial"/>
          <w:sz w:val="22"/>
          <w:szCs w:val="22"/>
        </w:rPr>
      </w:pPr>
    </w:p>
    <w:p w14:paraId="77F19E66"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275A171" w14:textId="77777777" w:rsidR="005948C7" w:rsidRPr="005948C7" w:rsidRDefault="005948C7" w:rsidP="005948C7">
      <w:pPr>
        <w:pStyle w:val="NormalWeb"/>
        <w:spacing w:before="0" w:beforeAutospacing="0" w:after="0" w:afterAutospacing="0"/>
        <w:rPr>
          <w:rFonts w:ascii="Arial" w:hAnsi="Arial" w:cs="Arial"/>
          <w:sz w:val="22"/>
          <w:szCs w:val="22"/>
        </w:rPr>
      </w:pPr>
    </w:p>
    <w:p w14:paraId="2CC73300" w14:textId="1E3DFD4B" w:rsidR="00D852E0" w:rsidRDefault="00D852E0" w:rsidP="00D852E0">
      <w:pPr>
        <w:ind w:left="360"/>
        <w:rPr>
          <w:rFonts w:ascii="Arial" w:hAnsi="Arial" w:cs="Arial"/>
          <w:sz w:val="22"/>
          <w:szCs w:val="22"/>
        </w:rPr>
      </w:pPr>
      <w:r>
        <w:rPr>
          <w:rFonts w:ascii="Arial" w:hAnsi="Arial" w:cs="Arial"/>
          <w:sz w:val="22"/>
          <w:szCs w:val="22"/>
        </w:rPr>
        <w:t xml:space="preserve">The Food and Drug Administration (FDA) has found that sulfating agents can produce </w:t>
      </w:r>
      <w:r w:rsidR="00F32728" w:rsidRPr="004805F2">
        <w:rPr>
          <w:rFonts w:ascii="Arial" w:hAnsi="Arial" w:cs="Arial"/>
          <w:sz w:val="22"/>
          <w:szCs w:val="22"/>
        </w:rPr>
        <w:t>al</w:t>
      </w:r>
      <w:r w:rsidR="00DE79C4">
        <w:rPr>
          <w:rFonts w:ascii="Arial" w:hAnsi="Arial" w:cs="Arial"/>
          <w:sz w:val="22"/>
          <w:szCs w:val="22"/>
        </w:rPr>
        <w:t>lergic-type responses in humans</w:t>
      </w:r>
      <w:r w:rsidR="00F32728" w:rsidRPr="004805F2">
        <w:rPr>
          <w:rFonts w:ascii="Arial" w:hAnsi="Arial" w:cs="Arial"/>
          <w:sz w:val="22"/>
          <w:szCs w:val="22"/>
        </w:rPr>
        <w:t xml:space="preserve"> and </w:t>
      </w:r>
      <w:r w:rsidR="00DE79C4">
        <w:rPr>
          <w:rFonts w:ascii="Arial" w:hAnsi="Arial" w:cs="Arial"/>
          <w:sz w:val="22"/>
          <w:szCs w:val="22"/>
        </w:rPr>
        <w:t xml:space="preserve">that </w:t>
      </w:r>
      <w:r w:rsidR="00F32728" w:rsidRPr="004805F2">
        <w:rPr>
          <w:rFonts w:ascii="Arial" w:hAnsi="Arial" w:cs="Arial"/>
          <w:sz w:val="22"/>
          <w:szCs w:val="22"/>
        </w:rPr>
        <w:t>the presence of these ingredients in food may have serious health implications for persons who are intolerant of sulfites</w:t>
      </w:r>
      <w:r w:rsidR="00F32728">
        <w:rPr>
          <w:rFonts w:ascii="Arial" w:hAnsi="Arial" w:cs="Arial"/>
          <w:sz w:val="22"/>
          <w:szCs w:val="22"/>
        </w:rPr>
        <w:t>,</w:t>
      </w:r>
      <w:r w:rsidR="00F32728" w:rsidRPr="00F32728">
        <w:rPr>
          <w:rFonts w:ascii="Arial" w:hAnsi="Arial" w:cs="Arial"/>
          <w:sz w:val="22"/>
          <w:szCs w:val="22"/>
        </w:rPr>
        <w:t xml:space="preserve"> </w:t>
      </w:r>
      <w:r w:rsidR="00F32728" w:rsidRPr="004805F2">
        <w:rPr>
          <w:rFonts w:ascii="Arial" w:hAnsi="Arial" w:cs="Arial"/>
          <w:sz w:val="22"/>
          <w:szCs w:val="22"/>
        </w:rPr>
        <w:t xml:space="preserve">particularly asthmatics.  </w:t>
      </w:r>
      <w:r w:rsidR="00F32728">
        <w:rPr>
          <w:rFonts w:ascii="Arial" w:hAnsi="Arial" w:cs="Arial"/>
          <w:sz w:val="22"/>
          <w:szCs w:val="22"/>
        </w:rPr>
        <w:t xml:space="preserve">To enable consumers who are sensitive to sulfites to </w:t>
      </w:r>
      <w:r w:rsidR="00F32728" w:rsidRPr="004805F2">
        <w:rPr>
          <w:rFonts w:ascii="Arial" w:hAnsi="Arial" w:cs="Arial"/>
          <w:sz w:val="22"/>
          <w:szCs w:val="22"/>
        </w:rPr>
        <w:t xml:space="preserve">minimize their exposure to </w:t>
      </w:r>
      <w:r w:rsidR="00F32728">
        <w:rPr>
          <w:rFonts w:ascii="Arial" w:hAnsi="Arial" w:cs="Arial"/>
          <w:sz w:val="22"/>
          <w:szCs w:val="22"/>
        </w:rPr>
        <w:t xml:space="preserve">such </w:t>
      </w:r>
      <w:r w:rsidR="00F32728" w:rsidRPr="004805F2">
        <w:rPr>
          <w:rFonts w:ascii="Arial" w:hAnsi="Arial" w:cs="Arial"/>
          <w:sz w:val="22"/>
          <w:szCs w:val="22"/>
        </w:rPr>
        <w:t>ingredients</w:t>
      </w:r>
      <w:r w:rsidR="00F32728">
        <w:rPr>
          <w:rFonts w:ascii="Arial" w:hAnsi="Arial" w:cs="Arial"/>
          <w:sz w:val="22"/>
          <w:szCs w:val="22"/>
        </w:rPr>
        <w:t xml:space="preserve">, </w:t>
      </w:r>
      <w:r>
        <w:rPr>
          <w:rFonts w:ascii="Arial" w:hAnsi="Arial" w:cs="Arial"/>
          <w:sz w:val="22"/>
          <w:szCs w:val="22"/>
        </w:rPr>
        <w:t xml:space="preserve">the FDA in its regulations at 21 CFR 101.100(a)(4) requires food labels to declare the presence of sulfites if there are 10 parts per million or more of a </w:t>
      </w:r>
      <w:r w:rsidR="00DE79C4">
        <w:rPr>
          <w:rFonts w:ascii="Arial" w:hAnsi="Arial" w:cs="Arial"/>
          <w:sz w:val="22"/>
          <w:szCs w:val="22"/>
        </w:rPr>
        <w:t>sulfating agent</w:t>
      </w:r>
      <w:r w:rsidR="00F32728">
        <w:rPr>
          <w:rFonts w:ascii="Arial" w:hAnsi="Arial" w:cs="Arial"/>
          <w:sz w:val="22"/>
          <w:szCs w:val="22"/>
        </w:rPr>
        <w:t xml:space="preserve"> in </w:t>
      </w:r>
      <w:r w:rsidR="00DE79C4">
        <w:rPr>
          <w:rFonts w:ascii="Arial" w:hAnsi="Arial" w:cs="Arial"/>
          <w:sz w:val="22"/>
          <w:szCs w:val="22"/>
        </w:rPr>
        <w:t xml:space="preserve">a </w:t>
      </w:r>
      <w:r w:rsidR="00F32728">
        <w:rPr>
          <w:rFonts w:ascii="Arial" w:hAnsi="Arial" w:cs="Arial"/>
          <w:sz w:val="22"/>
          <w:szCs w:val="22"/>
        </w:rPr>
        <w:t xml:space="preserve">finished food.  </w:t>
      </w:r>
      <w:r>
        <w:rPr>
          <w:rFonts w:ascii="Arial" w:hAnsi="Arial" w:cs="Arial"/>
          <w:sz w:val="22"/>
          <w:szCs w:val="22"/>
        </w:rPr>
        <w:t xml:space="preserve">See “Food Labeling; Proposed Rule Concerning Sulfiting </w:t>
      </w:r>
      <w:r w:rsidR="00F32728">
        <w:rPr>
          <w:rFonts w:ascii="Arial" w:hAnsi="Arial" w:cs="Arial"/>
          <w:sz w:val="22"/>
          <w:szCs w:val="22"/>
        </w:rPr>
        <w:t>Agents,” April </w:t>
      </w:r>
      <w:r>
        <w:rPr>
          <w:rFonts w:ascii="Arial" w:hAnsi="Arial" w:cs="Arial"/>
          <w:sz w:val="22"/>
          <w:szCs w:val="22"/>
        </w:rPr>
        <w:t xml:space="preserve">3, 1985, 50 FR 13306, and “Food Labeling; Declaration of Sulfiting Agents,” </w:t>
      </w:r>
      <w:r w:rsidR="00F32728">
        <w:rPr>
          <w:rFonts w:ascii="Arial" w:hAnsi="Arial" w:cs="Arial"/>
          <w:sz w:val="22"/>
          <w:szCs w:val="22"/>
        </w:rPr>
        <w:t xml:space="preserve">July 9, 1986, 51 FR 25012. </w:t>
      </w:r>
    </w:p>
    <w:p w14:paraId="70FC4D6E" w14:textId="77777777" w:rsidR="00D852E0" w:rsidRDefault="00D852E0" w:rsidP="00D852E0">
      <w:pPr>
        <w:ind w:left="360"/>
        <w:rPr>
          <w:rFonts w:ascii="Arial" w:hAnsi="Arial" w:cs="Arial"/>
          <w:sz w:val="22"/>
          <w:szCs w:val="22"/>
        </w:rPr>
      </w:pPr>
    </w:p>
    <w:p w14:paraId="4EE14E6A" w14:textId="1EBE3C99" w:rsidR="005B74FE" w:rsidRPr="005948C7" w:rsidRDefault="004805F2" w:rsidP="005B74FE">
      <w:pPr>
        <w:ind w:left="360"/>
        <w:rPr>
          <w:rFonts w:ascii="Arial" w:hAnsi="Arial" w:cs="Arial"/>
          <w:sz w:val="22"/>
          <w:szCs w:val="22"/>
        </w:rPr>
      </w:pPr>
      <w:r w:rsidRPr="004805F2">
        <w:rPr>
          <w:rFonts w:ascii="Arial" w:hAnsi="Arial" w:cs="Arial"/>
          <w:sz w:val="22"/>
          <w:szCs w:val="22"/>
        </w:rPr>
        <w:t xml:space="preserve">The Federal Alcohol Administration Act (FAA Act), 27 U.S.C. 205(e), vests </w:t>
      </w:r>
      <w:r w:rsidR="005B74FE">
        <w:rPr>
          <w:rFonts w:ascii="Arial" w:hAnsi="Arial" w:cs="Arial"/>
          <w:sz w:val="22"/>
          <w:szCs w:val="22"/>
        </w:rPr>
        <w:t xml:space="preserve">the Secretary of the Treasury with </w:t>
      </w:r>
      <w:r w:rsidRPr="004805F2">
        <w:rPr>
          <w:rFonts w:ascii="Arial" w:hAnsi="Arial" w:cs="Arial"/>
          <w:sz w:val="22"/>
          <w:szCs w:val="22"/>
        </w:rPr>
        <w:t xml:space="preserve">broad authority to prescribe regulations </w:t>
      </w:r>
      <w:r w:rsidR="005B74FE">
        <w:rPr>
          <w:rFonts w:ascii="Arial" w:hAnsi="Arial" w:cs="Arial"/>
          <w:sz w:val="22"/>
          <w:szCs w:val="22"/>
        </w:rPr>
        <w:t xml:space="preserve">that </w:t>
      </w:r>
      <w:r w:rsidRPr="004805F2">
        <w:rPr>
          <w:rFonts w:ascii="Arial" w:hAnsi="Arial" w:cs="Arial"/>
          <w:sz w:val="22"/>
          <w:szCs w:val="22"/>
        </w:rPr>
        <w:t xml:space="preserve">will provide “adequate information” </w:t>
      </w:r>
      <w:r w:rsidR="005B74FE">
        <w:rPr>
          <w:rFonts w:ascii="Arial" w:hAnsi="Arial" w:cs="Arial"/>
          <w:sz w:val="22"/>
          <w:szCs w:val="22"/>
        </w:rPr>
        <w:t xml:space="preserve">to consumers </w:t>
      </w:r>
      <w:r w:rsidRPr="004805F2">
        <w:rPr>
          <w:rFonts w:ascii="Arial" w:hAnsi="Arial" w:cs="Arial"/>
          <w:sz w:val="22"/>
          <w:szCs w:val="22"/>
        </w:rPr>
        <w:t xml:space="preserve">regarding the identity and quality of alcohol beverages.  </w:t>
      </w:r>
      <w:r w:rsidR="005B74FE" w:rsidRPr="005948C7">
        <w:rPr>
          <w:rFonts w:ascii="Arial" w:hAnsi="Arial" w:cs="Arial"/>
          <w:sz w:val="22"/>
          <w:szCs w:val="22"/>
        </w:rPr>
        <w:t xml:space="preserve">The Alcohol and Tobacco Tax and Trade Bureau (TTB) administers the FAA Act and its related regulations pursuant to section 1111(d) of the Homeland Security Act of 2002, codified at 6 U.S.C. 531(d).  The Secretary </w:t>
      </w:r>
      <w:r w:rsidR="005B74FE">
        <w:rPr>
          <w:rFonts w:ascii="Arial" w:hAnsi="Arial" w:cs="Arial"/>
          <w:sz w:val="22"/>
          <w:szCs w:val="22"/>
        </w:rPr>
        <w:t xml:space="preserve">also </w:t>
      </w:r>
      <w:r w:rsidR="005B74FE" w:rsidRPr="005948C7">
        <w:rPr>
          <w:rFonts w:ascii="Arial" w:hAnsi="Arial" w:cs="Arial"/>
          <w:sz w:val="22"/>
          <w:szCs w:val="22"/>
        </w:rPr>
        <w:t>has delegated various authorities through Treasury Department Order 120–01</w:t>
      </w:r>
      <w:r w:rsidR="005B74FE">
        <w:rPr>
          <w:rFonts w:ascii="Arial" w:hAnsi="Arial" w:cs="Arial"/>
          <w:sz w:val="22"/>
          <w:szCs w:val="22"/>
        </w:rPr>
        <w:t xml:space="preserve"> </w:t>
      </w:r>
      <w:r w:rsidR="005B74FE" w:rsidRPr="005948C7">
        <w:rPr>
          <w:rFonts w:ascii="Arial" w:hAnsi="Arial" w:cs="Arial"/>
          <w:sz w:val="22"/>
          <w:szCs w:val="22"/>
        </w:rPr>
        <w:t xml:space="preserve">to the TTB Administrator to </w:t>
      </w:r>
      <w:r w:rsidR="005B74FE">
        <w:rPr>
          <w:rFonts w:ascii="Arial" w:hAnsi="Arial" w:cs="Arial"/>
          <w:sz w:val="22"/>
          <w:szCs w:val="22"/>
        </w:rPr>
        <w:t xml:space="preserve">administer and enforce </w:t>
      </w:r>
      <w:r w:rsidR="005B74FE" w:rsidRPr="005948C7">
        <w:rPr>
          <w:rFonts w:ascii="Arial" w:hAnsi="Arial" w:cs="Arial"/>
          <w:sz w:val="22"/>
          <w:szCs w:val="22"/>
        </w:rPr>
        <w:t>th</w:t>
      </w:r>
      <w:r w:rsidR="005B74FE">
        <w:rPr>
          <w:rFonts w:ascii="Arial" w:hAnsi="Arial" w:cs="Arial"/>
          <w:sz w:val="22"/>
          <w:szCs w:val="22"/>
        </w:rPr>
        <w:t>e FAA Act</w:t>
      </w:r>
      <w:r w:rsidR="005B74FE" w:rsidRPr="005948C7">
        <w:rPr>
          <w:rFonts w:ascii="Arial" w:hAnsi="Arial" w:cs="Arial"/>
          <w:sz w:val="22"/>
          <w:szCs w:val="22"/>
        </w:rPr>
        <w:t xml:space="preserve">. </w:t>
      </w:r>
    </w:p>
    <w:p w14:paraId="5BA01364" w14:textId="77777777" w:rsidR="005B74FE" w:rsidRDefault="005B74FE" w:rsidP="004805F2">
      <w:pPr>
        <w:ind w:left="360"/>
        <w:rPr>
          <w:rFonts w:ascii="Arial" w:hAnsi="Arial" w:cs="Arial"/>
          <w:sz w:val="22"/>
          <w:szCs w:val="22"/>
        </w:rPr>
      </w:pPr>
    </w:p>
    <w:p w14:paraId="1AFDF08B" w14:textId="143A7658" w:rsidR="004805F2" w:rsidRPr="004805F2" w:rsidRDefault="004805F2" w:rsidP="004805F2">
      <w:pPr>
        <w:pStyle w:val="NormalWeb"/>
        <w:spacing w:before="0" w:beforeAutospacing="0" w:after="0" w:afterAutospacing="0"/>
        <w:ind w:left="360"/>
        <w:rPr>
          <w:rFonts w:ascii="Arial" w:hAnsi="Arial" w:cs="Arial"/>
          <w:sz w:val="22"/>
          <w:szCs w:val="22"/>
        </w:rPr>
      </w:pPr>
      <w:r w:rsidRPr="004805F2">
        <w:rPr>
          <w:rFonts w:ascii="Arial" w:hAnsi="Arial" w:cs="Arial"/>
          <w:sz w:val="22"/>
          <w:szCs w:val="22"/>
        </w:rPr>
        <w:t xml:space="preserve">Under this authority, </w:t>
      </w:r>
      <w:r w:rsidR="005B74FE">
        <w:rPr>
          <w:rFonts w:ascii="Arial" w:hAnsi="Arial" w:cs="Arial"/>
          <w:sz w:val="22"/>
          <w:szCs w:val="22"/>
        </w:rPr>
        <w:t xml:space="preserve">TTB has prescribed </w:t>
      </w:r>
      <w:r w:rsidRPr="004805F2">
        <w:rPr>
          <w:rFonts w:ascii="Arial" w:hAnsi="Arial" w:cs="Arial"/>
          <w:sz w:val="22"/>
          <w:szCs w:val="22"/>
        </w:rPr>
        <w:t xml:space="preserve">labeling requirements </w:t>
      </w:r>
      <w:r w:rsidR="005B74FE">
        <w:rPr>
          <w:rFonts w:ascii="Arial" w:hAnsi="Arial" w:cs="Arial"/>
          <w:sz w:val="22"/>
          <w:szCs w:val="22"/>
        </w:rPr>
        <w:t>in its regulations in 27</w:t>
      </w:r>
      <w:r w:rsidRPr="004805F2">
        <w:rPr>
          <w:rFonts w:ascii="Arial" w:hAnsi="Arial" w:cs="Arial"/>
          <w:sz w:val="22"/>
          <w:szCs w:val="22"/>
        </w:rPr>
        <w:t xml:space="preserve"> CFR parts</w:t>
      </w:r>
      <w:r w:rsidR="0008452B">
        <w:rPr>
          <w:rFonts w:ascii="Arial" w:hAnsi="Arial" w:cs="Arial"/>
          <w:sz w:val="22"/>
          <w:szCs w:val="22"/>
        </w:rPr>
        <w:t xml:space="preserve"> </w:t>
      </w:r>
      <w:r w:rsidRPr="004805F2">
        <w:rPr>
          <w:rFonts w:ascii="Arial" w:hAnsi="Arial" w:cs="Arial"/>
          <w:sz w:val="22"/>
          <w:szCs w:val="22"/>
        </w:rPr>
        <w:t>4, 5, and</w:t>
      </w:r>
      <w:r w:rsidR="0008452B">
        <w:rPr>
          <w:rFonts w:ascii="Arial" w:hAnsi="Arial" w:cs="Arial"/>
          <w:sz w:val="22"/>
          <w:szCs w:val="22"/>
        </w:rPr>
        <w:t> </w:t>
      </w:r>
      <w:r w:rsidRPr="004805F2">
        <w:rPr>
          <w:rFonts w:ascii="Arial" w:hAnsi="Arial" w:cs="Arial"/>
          <w:sz w:val="22"/>
          <w:szCs w:val="22"/>
        </w:rPr>
        <w:t xml:space="preserve">7, for wines, distilled spirits, and malt beverages, respectively. </w:t>
      </w:r>
      <w:r w:rsidR="00F32728">
        <w:rPr>
          <w:rFonts w:ascii="Arial" w:hAnsi="Arial" w:cs="Arial"/>
          <w:sz w:val="22"/>
          <w:szCs w:val="22"/>
        </w:rPr>
        <w:t xml:space="preserve"> </w:t>
      </w:r>
      <w:r w:rsidRPr="004805F2">
        <w:rPr>
          <w:rFonts w:ascii="Arial" w:hAnsi="Arial" w:cs="Arial"/>
          <w:sz w:val="22"/>
          <w:szCs w:val="22"/>
        </w:rPr>
        <w:t xml:space="preserve">Consistent with the FAA Act and the determinations made by </w:t>
      </w:r>
      <w:r w:rsidR="008E786B">
        <w:rPr>
          <w:rFonts w:ascii="Arial" w:hAnsi="Arial" w:cs="Arial"/>
          <w:sz w:val="22"/>
          <w:szCs w:val="22"/>
        </w:rPr>
        <w:t xml:space="preserve">the </w:t>
      </w:r>
      <w:r w:rsidRPr="004805F2">
        <w:rPr>
          <w:rFonts w:ascii="Arial" w:hAnsi="Arial" w:cs="Arial"/>
          <w:sz w:val="22"/>
          <w:szCs w:val="22"/>
        </w:rPr>
        <w:t xml:space="preserve">FDA, </w:t>
      </w:r>
      <w:r w:rsidR="008E786B">
        <w:rPr>
          <w:rFonts w:ascii="Arial" w:hAnsi="Arial" w:cs="Arial"/>
          <w:sz w:val="22"/>
          <w:szCs w:val="22"/>
        </w:rPr>
        <w:t xml:space="preserve">TTB has issued </w:t>
      </w:r>
      <w:r w:rsidRPr="004805F2">
        <w:rPr>
          <w:rFonts w:ascii="Arial" w:hAnsi="Arial" w:cs="Arial"/>
          <w:sz w:val="22"/>
          <w:szCs w:val="22"/>
        </w:rPr>
        <w:t>regulations</w:t>
      </w:r>
      <w:r w:rsidR="008E786B">
        <w:rPr>
          <w:rFonts w:ascii="Arial" w:hAnsi="Arial" w:cs="Arial"/>
          <w:sz w:val="22"/>
          <w:szCs w:val="22"/>
        </w:rPr>
        <w:t xml:space="preserve">, codified at </w:t>
      </w:r>
      <w:r w:rsidRPr="004805F2">
        <w:rPr>
          <w:rFonts w:ascii="Arial" w:hAnsi="Arial" w:cs="Arial"/>
          <w:sz w:val="22"/>
          <w:szCs w:val="22"/>
        </w:rPr>
        <w:t>27 CFR 4.32(e)</w:t>
      </w:r>
      <w:r w:rsidR="008E786B">
        <w:rPr>
          <w:rFonts w:ascii="Arial" w:hAnsi="Arial" w:cs="Arial"/>
          <w:sz w:val="22"/>
          <w:szCs w:val="22"/>
        </w:rPr>
        <w:t xml:space="preserve"> for wine</w:t>
      </w:r>
      <w:r w:rsidRPr="004805F2">
        <w:rPr>
          <w:rFonts w:ascii="Arial" w:hAnsi="Arial" w:cs="Arial"/>
          <w:sz w:val="22"/>
          <w:szCs w:val="22"/>
        </w:rPr>
        <w:t>, 5.32(b)(7)</w:t>
      </w:r>
      <w:r w:rsidR="008E786B">
        <w:rPr>
          <w:rFonts w:ascii="Arial" w:hAnsi="Arial" w:cs="Arial"/>
          <w:sz w:val="22"/>
          <w:szCs w:val="22"/>
        </w:rPr>
        <w:t xml:space="preserve"> for distilled spirits</w:t>
      </w:r>
      <w:r w:rsidRPr="004805F2">
        <w:rPr>
          <w:rFonts w:ascii="Arial" w:hAnsi="Arial" w:cs="Arial"/>
          <w:sz w:val="22"/>
          <w:szCs w:val="22"/>
        </w:rPr>
        <w:t xml:space="preserve">, and 7.22(b)(6)) </w:t>
      </w:r>
      <w:r w:rsidR="008E786B">
        <w:rPr>
          <w:rFonts w:ascii="Arial" w:hAnsi="Arial" w:cs="Arial"/>
          <w:sz w:val="22"/>
          <w:szCs w:val="22"/>
        </w:rPr>
        <w:t xml:space="preserve">for malt beverages, </w:t>
      </w:r>
      <w:r w:rsidRPr="004805F2">
        <w:rPr>
          <w:rFonts w:ascii="Arial" w:hAnsi="Arial" w:cs="Arial"/>
          <w:sz w:val="22"/>
          <w:szCs w:val="22"/>
        </w:rPr>
        <w:t xml:space="preserve">that require a declaration of sulfites on </w:t>
      </w:r>
      <w:r w:rsidR="00C74D2F">
        <w:rPr>
          <w:rFonts w:ascii="Arial" w:hAnsi="Arial" w:cs="Arial"/>
          <w:sz w:val="22"/>
          <w:szCs w:val="22"/>
        </w:rPr>
        <w:t xml:space="preserve">the labels of </w:t>
      </w:r>
      <w:r w:rsidRPr="004805F2">
        <w:rPr>
          <w:rFonts w:ascii="Arial" w:hAnsi="Arial" w:cs="Arial"/>
          <w:sz w:val="22"/>
          <w:szCs w:val="22"/>
        </w:rPr>
        <w:t xml:space="preserve">alcohol beverages </w:t>
      </w:r>
      <w:r w:rsidR="00C74D2F">
        <w:rPr>
          <w:rFonts w:ascii="Arial" w:hAnsi="Arial" w:cs="Arial"/>
          <w:sz w:val="22"/>
          <w:szCs w:val="22"/>
        </w:rPr>
        <w:t xml:space="preserve">released from domestic bottling premises or customs custody </w:t>
      </w:r>
      <w:r w:rsidRPr="004805F2">
        <w:rPr>
          <w:rFonts w:ascii="Arial" w:hAnsi="Arial" w:cs="Arial"/>
          <w:sz w:val="22"/>
          <w:szCs w:val="22"/>
        </w:rPr>
        <w:t xml:space="preserve">when sulfites are present </w:t>
      </w:r>
      <w:r w:rsidR="00F32728">
        <w:rPr>
          <w:rFonts w:ascii="Arial" w:hAnsi="Arial" w:cs="Arial"/>
          <w:sz w:val="22"/>
          <w:szCs w:val="22"/>
        </w:rPr>
        <w:t xml:space="preserve">in such products </w:t>
      </w:r>
      <w:r w:rsidRPr="004805F2">
        <w:rPr>
          <w:rFonts w:ascii="Arial" w:hAnsi="Arial" w:cs="Arial"/>
          <w:sz w:val="22"/>
          <w:szCs w:val="22"/>
        </w:rPr>
        <w:t>at levels of 10 or more parts per million (ppm).</w:t>
      </w:r>
      <w:r>
        <w:rPr>
          <w:rFonts w:ascii="Arial" w:hAnsi="Arial" w:cs="Arial"/>
          <w:sz w:val="22"/>
          <w:szCs w:val="22"/>
        </w:rPr>
        <w:t xml:space="preserve"> </w:t>
      </w:r>
    </w:p>
    <w:p w14:paraId="1B01CEAD" w14:textId="77777777" w:rsidR="004805F2" w:rsidRDefault="004805F2" w:rsidP="005948C7">
      <w:pPr>
        <w:pStyle w:val="NormalWeb"/>
        <w:spacing w:before="0" w:beforeAutospacing="0" w:after="0" w:afterAutospacing="0"/>
        <w:ind w:left="360"/>
        <w:rPr>
          <w:rFonts w:ascii="Arial" w:hAnsi="Arial" w:cs="Arial"/>
          <w:sz w:val="22"/>
          <w:szCs w:val="22"/>
        </w:rPr>
      </w:pPr>
    </w:p>
    <w:p w14:paraId="094BF3FA" w14:textId="77777777" w:rsidR="005E4F99" w:rsidRPr="00403A71" w:rsidRDefault="005E4F99" w:rsidP="004D086A">
      <w:pPr>
        <w:suppressAutoHyphens/>
        <w:ind w:left="360"/>
        <w:rPr>
          <w:rFonts w:ascii="Arial" w:hAnsi="Arial" w:cs="Arial"/>
          <w:sz w:val="22"/>
          <w:szCs w:val="22"/>
        </w:rPr>
      </w:pPr>
      <w:r w:rsidRPr="00403A71">
        <w:rPr>
          <w:rFonts w:ascii="Arial" w:hAnsi="Arial" w:cs="Arial"/>
          <w:sz w:val="22"/>
          <w:szCs w:val="22"/>
        </w:rPr>
        <w:t>This information collection is aligned with</w:t>
      </w:r>
      <w:r w:rsidR="00D73D2D" w:rsidRPr="00403A71">
        <w:rPr>
          <w:rFonts w:ascii="Arial" w:hAnsi="Arial" w:cs="Arial"/>
          <w:sz w:val="22"/>
          <w:szCs w:val="22"/>
        </w:rPr>
        <w:t xml:space="preserve"> –– </w:t>
      </w:r>
    </w:p>
    <w:p w14:paraId="41DB7305" w14:textId="25D84001"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r w:rsidRPr="00403A71">
        <w:rPr>
          <w:rFonts w:ascii="Arial" w:hAnsi="Arial" w:cs="Arial"/>
          <w:sz w:val="22"/>
          <w:szCs w:val="22"/>
        </w:rPr>
        <w:t>Line of Business/Sub-function:  Law Enforcement/Substance Control.</w:t>
      </w:r>
      <w:r w:rsidR="00D73D2D" w:rsidRPr="00403A71">
        <w:rPr>
          <w:rFonts w:ascii="Arial" w:hAnsi="Arial" w:cs="Arial"/>
          <w:sz w:val="22"/>
          <w:szCs w:val="22"/>
        </w:rPr>
        <w:t xml:space="preserve"> </w:t>
      </w:r>
    </w:p>
    <w:p w14:paraId="1AD85F4F" w14:textId="40BEDE18"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r w:rsidRPr="00403A71">
        <w:rPr>
          <w:rFonts w:ascii="Arial" w:hAnsi="Arial" w:cs="Arial"/>
          <w:sz w:val="22"/>
          <w:szCs w:val="22"/>
        </w:rPr>
        <w:t xml:space="preserve">IT Investment:  </w:t>
      </w:r>
      <w:r w:rsidR="008E786B">
        <w:rPr>
          <w:rFonts w:ascii="Arial" w:hAnsi="Arial" w:cs="Arial"/>
          <w:sz w:val="22"/>
          <w:szCs w:val="22"/>
        </w:rPr>
        <w:t xml:space="preserve">None. </w:t>
      </w:r>
      <w:r w:rsidR="00D73D2D" w:rsidRPr="00403A71">
        <w:rPr>
          <w:rFonts w:ascii="Arial" w:hAnsi="Arial" w:cs="Arial"/>
          <w:sz w:val="22"/>
          <w:szCs w:val="22"/>
        </w:rPr>
        <w:t xml:space="preserve"> </w:t>
      </w:r>
    </w:p>
    <w:p w14:paraId="79CD2107" w14:textId="77777777" w:rsidR="005E4F99" w:rsidRPr="00F32728" w:rsidRDefault="005E4F99" w:rsidP="00D73D2D">
      <w:pPr>
        <w:suppressAutoHyphens/>
        <w:rPr>
          <w:rFonts w:ascii="Arial" w:hAnsi="Arial" w:cs="Arial"/>
          <w:sz w:val="36"/>
          <w:szCs w:val="36"/>
        </w:rPr>
      </w:pPr>
    </w:p>
    <w:p w14:paraId="4D7906BF" w14:textId="7911B822"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3704BB4F" w14:textId="77777777" w:rsidR="00AF1157" w:rsidRPr="004805F2" w:rsidRDefault="00AF1157" w:rsidP="00D73D2D">
      <w:pPr>
        <w:suppressAutoHyphens/>
        <w:ind w:left="480" w:hanging="480"/>
        <w:rPr>
          <w:rFonts w:ascii="Arial" w:hAnsi="Arial" w:cs="Arial"/>
          <w:sz w:val="22"/>
          <w:szCs w:val="22"/>
        </w:rPr>
      </w:pPr>
    </w:p>
    <w:p w14:paraId="2A933F4B" w14:textId="16ADED02" w:rsidR="004805F2" w:rsidRPr="004805F2" w:rsidRDefault="004805F2" w:rsidP="004805F2">
      <w:pPr>
        <w:ind w:left="360"/>
        <w:rPr>
          <w:rFonts w:ascii="Arial" w:hAnsi="Arial" w:cs="Arial"/>
          <w:sz w:val="22"/>
          <w:szCs w:val="22"/>
        </w:rPr>
      </w:pPr>
      <w:r w:rsidRPr="004805F2">
        <w:rPr>
          <w:rFonts w:ascii="Arial" w:hAnsi="Arial" w:cs="Arial"/>
          <w:sz w:val="22"/>
          <w:szCs w:val="22"/>
        </w:rPr>
        <w:t xml:space="preserve">In accordance with </w:t>
      </w:r>
      <w:r w:rsidR="008E786B">
        <w:rPr>
          <w:rFonts w:ascii="Arial" w:hAnsi="Arial" w:cs="Arial"/>
          <w:sz w:val="22"/>
          <w:szCs w:val="22"/>
        </w:rPr>
        <w:t>TTB’s</w:t>
      </w:r>
      <w:r w:rsidRPr="004805F2">
        <w:rPr>
          <w:rFonts w:ascii="Arial" w:hAnsi="Arial" w:cs="Arial"/>
          <w:sz w:val="22"/>
          <w:szCs w:val="22"/>
        </w:rPr>
        <w:t xml:space="preserve"> consumer protection responsibilities </w:t>
      </w:r>
      <w:r w:rsidR="008E786B">
        <w:rPr>
          <w:rFonts w:ascii="Arial" w:hAnsi="Arial" w:cs="Arial"/>
          <w:sz w:val="22"/>
          <w:szCs w:val="22"/>
        </w:rPr>
        <w:t xml:space="preserve">under </w:t>
      </w:r>
      <w:r w:rsidRPr="004805F2">
        <w:rPr>
          <w:rFonts w:ascii="Arial" w:hAnsi="Arial" w:cs="Arial"/>
          <w:sz w:val="22"/>
          <w:szCs w:val="22"/>
        </w:rPr>
        <w:t xml:space="preserve">the FAA Act, we require label disclosure statements on all alcohol beverage products released from </w:t>
      </w:r>
      <w:r w:rsidR="00C74D2F">
        <w:rPr>
          <w:rFonts w:ascii="Arial" w:hAnsi="Arial" w:cs="Arial"/>
          <w:sz w:val="22"/>
          <w:szCs w:val="22"/>
        </w:rPr>
        <w:t xml:space="preserve">domestic </w:t>
      </w:r>
      <w:r w:rsidRPr="004805F2">
        <w:rPr>
          <w:rFonts w:ascii="Arial" w:hAnsi="Arial" w:cs="Arial"/>
          <w:sz w:val="22"/>
          <w:szCs w:val="22"/>
        </w:rPr>
        <w:t xml:space="preserve">bottling premises or customs custody that contain 10 parts ppm or more of sulfites because sulfiting agents at and above that level have been shown to produce allergic-type responses in humans, particularly asthmatics.  The presence of these ingredients in alcohol beverages may have serious health implications for </w:t>
      </w:r>
      <w:r w:rsidR="00C74D2F">
        <w:rPr>
          <w:rFonts w:ascii="Arial" w:hAnsi="Arial" w:cs="Arial"/>
          <w:sz w:val="22"/>
          <w:szCs w:val="22"/>
        </w:rPr>
        <w:t xml:space="preserve">consumers </w:t>
      </w:r>
      <w:r w:rsidRPr="004805F2">
        <w:rPr>
          <w:rFonts w:ascii="Arial" w:hAnsi="Arial" w:cs="Arial"/>
          <w:sz w:val="22"/>
          <w:szCs w:val="22"/>
        </w:rPr>
        <w:t>who are intolerant of sulfites, and disclosure of the existence of these levels of sulfites on the labels of alcohol beverages allow</w:t>
      </w:r>
      <w:r w:rsidR="008E786B">
        <w:rPr>
          <w:rFonts w:ascii="Arial" w:hAnsi="Arial" w:cs="Arial"/>
          <w:sz w:val="22"/>
          <w:szCs w:val="22"/>
        </w:rPr>
        <w:t>s</w:t>
      </w:r>
      <w:r w:rsidRPr="004805F2">
        <w:rPr>
          <w:rFonts w:ascii="Arial" w:hAnsi="Arial" w:cs="Arial"/>
          <w:sz w:val="22"/>
          <w:szCs w:val="22"/>
        </w:rPr>
        <w:t xml:space="preserve"> </w:t>
      </w:r>
      <w:r w:rsidR="00C74D2F">
        <w:rPr>
          <w:rFonts w:ascii="Arial" w:hAnsi="Arial" w:cs="Arial"/>
          <w:sz w:val="22"/>
          <w:szCs w:val="22"/>
        </w:rPr>
        <w:t xml:space="preserve">such persons </w:t>
      </w:r>
      <w:r w:rsidRPr="004805F2">
        <w:rPr>
          <w:rFonts w:ascii="Arial" w:hAnsi="Arial" w:cs="Arial"/>
          <w:sz w:val="22"/>
          <w:szCs w:val="22"/>
        </w:rPr>
        <w:t>to minimize their e</w:t>
      </w:r>
      <w:r>
        <w:rPr>
          <w:rFonts w:ascii="Arial" w:hAnsi="Arial" w:cs="Arial"/>
          <w:sz w:val="22"/>
          <w:szCs w:val="22"/>
        </w:rPr>
        <w:t xml:space="preserve">xposure to these ingredients. </w:t>
      </w:r>
    </w:p>
    <w:p w14:paraId="4F0AA1F1" w14:textId="77777777" w:rsidR="00AF1157" w:rsidRPr="00DE79C4" w:rsidRDefault="00AF1157" w:rsidP="00D73D2D">
      <w:pPr>
        <w:ind w:left="576" w:hanging="576"/>
        <w:rPr>
          <w:rFonts w:ascii="Arial" w:hAnsi="Arial" w:cs="Arial"/>
          <w:sz w:val="36"/>
          <w:szCs w:val="36"/>
        </w:rPr>
      </w:pPr>
    </w:p>
    <w:p w14:paraId="65F368A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601A64E" w14:textId="77777777" w:rsidR="00AF1157" w:rsidRPr="007A5D4B" w:rsidRDefault="00AF1157" w:rsidP="00D73D2D">
      <w:pPr>
        <w:suppressAutoHyphens/>
        <w:rPr>
          <w:rFonts w:ascii="Arial" w:hAnsi="Arial" w:cs="Arial"/>
          <w:sz w:val="22"/>
          <w:szCs w:val="22"/>
        </w:rPr>
      </w:pPr>
    </w:p>
    <w:p w14:paraId="33EA0E5A" w14:textId="0E083BA3" w:rsidR="00E90071" w:rsidRPr="004805F2" w:rsidRDefault="004805F2" w:rsidP="004805F2">
      <w:pPr>
        <w:suppressAutoHyphens/>
        <w:ind w:left="360"/>
        <w:rPr>
          <w:rFonts w:ascii="Arial" w:hAnsi="Arial" w:cs="Arial"/>
          <w:sz w:val="22"/>
          <w:szCs w:val="22"/>
        </w:rPr>
      </w:pPr>
      <w:r w:rsidRPr="004805F2">
        <w:rPr>
          <w:rFonts w:ascii="Arial" w:hAnsi="Arial" w:cs="Arial"/>
          <w:sz w:val="22"/>
          <w:szCs w:val="22"/>
        </w:rPr>
        <w:t>TTB believes that improved information technology would not prove cost effective as a means for reducing burden, since th</w:t>
      </w:r>
      <w:r w:rsidR="008E786B">
        <w:rPr>
          <w:rFonts w:ascii="Arial" w:hAnsi="Arial" w:cs="Arial"/>
          <w:sz w:val="22"/>
          <w:szCs w:val="22"/>
        </w:rPr>
        <w:t>is</w:t>
      </w:r>
      <w:r w:rsidRPr="004805F2">
        <w:rPr>
          <w:rFonts w:ascii="Arial" w:hAnsi="Arial" w:cs="Arial"/>
          <w:sz w:val="22"/>
          <w:szCs w:val="22"/>
        </w:rPr>
        <w:t xml:space="preserve"> collection information </w:t>
      </w:r>
      <w:r w:rsidR="008E786B">
        <w:rPr>
          <w:rFonts w:ascii="Arial" w:hAnsi="Arial" w:cs="Arial"/>
          <w:sz w:val="22"/>
          <w:szCs w:val="22"/>
        </w:rPr>
        <w:t xml:space="preserve">is a third party disclosure that </w:t>
      </w:r>
      <w:r w:rsidRPr="004805F2">
        <w:rPr>
          <w:rFonts w:ascii="Arial" w:hAnsi="Arial" w:cs="Arial"/>
          <w:sz w:val="22"/>
          <w:szCs w:val="22"/>
        </w:rPr>
        <w:t xml:space="preserve">must appear on </w:t>
      </w:r>
      <w:r w:rsidR="008E786B">
        <w:rPr>
          <w:rFonts w:ascii="Arial" w:hAnsi="Arial" w:cs="Arial"/>
          <w:sz w:val="22"/>
          <w:szCs w:val="22"/>
        </w:rPr>
        <w:t xml:space="preserve">the </w:t>
      </w:r>
      <w:r w:rsidRPr="004805F2">
        <w:rPr>
          <w:rFonts w:ascii="Arial" w:hAnsi="Arial" w:cs="Arial"/>
          <w:sz w:val="22"/>
          <w:szCs w:val="22"/>
        </w:rPr>
        <w:t>actual label</w:t>
      </w:r>
      <w:r w:rsidR="008E786B">
        <w:rPr>
          <w:rFonts w:ascii="Arial" w:hAnsi="Arial" w:cs="Arial"/>
          <w:sz w:val="22"/>
          <w:szCs w:val="22"/>
        </w:rPr>
        <w:t>s of alcohol beverage products</w:t>
      </w:r>
      <w:r w:rsidRPr="004805F2">
        <w:rPr>
          <w:rFonts w:ascii="Arial" w:hAnsi="Arial" w:cs="Arial"/>
          <w:sz w:val="22"/>
          <w:szCs w:val="22"/>
        </w:rPr>
        <w:t>.</w:t>
      </w:r>
      <w:r>
        <w:rPr>
          <w:rFonts w:ascii="Arial" w:hAnsi="Arial" w:cs="Arial"/>
          <w:sz w:val="22"/>
          <w:szCs w:val="22"/>
        </w:rPr>
        <w:t xml:space="preserve"> </w:t>
      </w:r>
    </w:p>
    <w:p w14:paraId="5871C73D" w14:textId="77777777" w:rsidR="004805F2" w:rsidRPr="00DE79C4" w:rsidRDefault="004805F2" w:rsidP="00D73D2D">
      <w:pPr>
        <w:suppressAutoHyphens/>
        <w:rPr>
          <w:rFonts w:ascii="Arial" w:hAnsi="Arial" w:cs="Arial"/>
          <w:sz w:val="36"/>
          <w:szCs w:val="36"/>
        </w:rPr>
      </w:pPr>
    </w:p>
    <w:p w14:paraId="1826690F" w14:textId="5C414492"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49922DE" w14:textId="77777777" w:rsidR="00AF1157" w:rsidRPr="004805F2" w:rsidRDefault="00AF1157" w:rsidP="00D73D2D">
      <w:pPr>
        <w:suppressAutoHyphens/>
        <w:ind w:left="480" w:hanging="480"/>
        <w:rPr>
          <w:rFonts w:ascii="Arial" w:hAnsi="Arial" w:cs="Arial"/>
          <w:sz w:val="22"/>
          <w:szCs w:val="22"/>
        </w:rPr>
      </w:pPr>
    </w:p>
    <w:p w14:paraId="53B072EC" w14:textId="77777777" w:rsidR="004805F2" w:rsidRPr="004805F2" w:rsidRDefault="004805F2" w:rsidP="004805F2">
      <w:pPr>
        <w:ind w:left="360"/>
        <w:rPr>
          <w:rFonts w:ascii="Arial" w:hAnsi="Arial" w:cs="Arial"/>
          <w:sz w:val="22"/>
          <w:szCs w:val="22"/>
        </w:rPr>
      </w:pPr>
      <w:r w:rsidRPr="004805F2">
        <w:rPr>
          <w:rFonts w:ascii="Arial" w:hAnsi="Arial" w:cs="Arial"/>
          <w:sz w:val="22"/>
          <w:szCs w:val="22"/>
        </w:rPr>
        <w:t xml:space="preserve">Efforts to identify duplication are not applicable to the collection of information for the purpose of disclosure to the general public through labeling or advertising. </w:t>
      </w:r>
    </w:p>
    <w:p w14:paraId="63D833D1" w14:textId="77777777" w:rsidR="004805F2" w:rsidRPr="00DE79C4" w:rsidRDefault="004805F2" w:rsidP="004805F2">
      <w:pPr>
        <w:suppressAutoHyphens/>
        <w:rPr>
          <w:rFonts w:ascii="Arial" w:hAnsi="Arial" w:cs="Arial"/>
          <w:sz w:val="36"/>
          <w:szCs w:val="36"/>
        </w:rPr>
      </w:pPr>
    </w:p>
    <w:p w14:paraId="0DB898D6" w14:textId="77777777" w:rsidR="00AF1157" w:rsidRPr="007A5D4B" w:rsidRDefault="007A5D4B" w:rsidP="00612578">
      <w:pPr>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DCC060E" w14:textId="77777777" w:rsidR="007A5D4B" w:rsidRPr="004805F2" w:rsidRDefault="007A5D4B" w:rsidP="007A5D4B">
      <w:pPr>
        <w:suppressAutoHyphens/>
        <w:ind w:left="480" w:hanging="480"/>
        <w:rPr>
          <w:rFonts w:ascii="Arial" w:hAnsi="Arial" w:cs="Arial"/>
          <w:sz w:val="22"/>
          <w:szCs w:val="22"/>
        </w:rPr>
      </w:pPr>
    </w:p>
    <w:p w14:paraId="78553006" w14:textId="45DBB706" w:rsidR="004805F2" w:rsidRPr="004805F2" w:rsidRDefault="00C74D2F" w:rsidP="004805F2">
      <w:pPr>
        <w:ind w:left="360"/>
        <w:rPr>
          <w:rFonts w:ascii="Arial" w:hAnsi="Arial" w:cs="Arial"/>
          <w:sz w:val="22"/>
          <w:szCs w:val="22"/>
        </w:rPr>
      </w:pPr>
      <w:r>
        <w:rPr>
          <w:rFonts w:ascii="Arial" w:hAnsi="Arial" w:cs="Arial"/>
          <w:sz w:val="22"/>
          <w:szCs w:val="22"/>
        </w:rPr>
        <w:t>T</w:t>
      </w:r>
      <w:r w:rsidR="004805F2" w:rsidRPr="004805F2">
        <w:rPr>
          <w:rFonts w:ascii="Arial" w:hAnsi="Arial" w:cs="Arial"/>
          <w:sz w:val="22"/>
          <w:szCs w:val="22"/>
        </w:rPr>
        <w:t xml:space="preserve">his information collection </w:t>
      </w:r>
      <w:r>
        <w:rPr>
          <w:rFonts w:ascii="Arial" w:hAnsi="Arial" w:cs="Arial"/>
          <w:sz w:val="22"/>
          <w:szCs w:val="22"/>
        </w:rPr>
        <w:t xml:space="preserve">requirement </w:t>
      </w:r>
      <w:r w:rsidR="004805F2" w:rsidRPr="004805F2">
        <w:rPr>
          <w:rFonts w:ascii="Arial" w:hAnsi="Arial" w:cs="Arial"/>
          <w:sz w:val="22"/>
          <w:szCs w:val="22"/>
        </w:rPr>
        <w:t xml:space="preserve">is </w:t>
      </w:r>
      <w:r w:rsidR="00DE79C4">
        <w:rPr>
          <w:rFonts w:ascii="Arial" w:hAnsi="Arial" w:cs="Arial"/>
          <w:sz w:val="22"/>
          <w:szCs w:val="22"/>
        </w:rPr>
        <w:t xml:space="preserve">necessary to protect consumers who are sensitive to sulfites in </w:t>
      </w:r>
      <w:r w:rsidR="00FB12EC">
        <w:rPr>
          <w:rFonts w:ascii="Arial" w:hAnsi="Arial" w:cs="Arial"/>
          <w:sz w:val="22"/>
          <w:szCs w:val="22"/>
        </w:rPr>
        <w:t>alcohol</w:t>
      </w:r>
      <w:r w:rsidR="00DE79C4">
        <w:rPr>
          <w:rFonts w:ascii="Arial" w:hAnsi="Arial" w:cs="Arial"/>
          <w:sz w:val="22"/>
          <w:szCs w:val="22"/>
        </w:rPr>
        <w:t xml:space="preserve"> beverages, and it is </w:t>
      </w:r>
      <w:r w:rsidR="004805F2" w:rsidRPr="004805F2">
        <w:rPr>
          <w:rFonts w:ascii="Arial" w:hAnsi="Arial" w:cs="Arial"/>
          <w:sz w:val="22"/>
          <w:szCs w:val="22"/>
        </w:rPr>
        <w:t xml:space="preserve">considered to be the minimum necessary to ensure compliance.  </w:t>
      </w:r>
      <w:r w:rsidR="00DE79C4">
        <w:rPr>
          <w:rFonts w:ascii="Arial" w:hAnsi="Arial" w:cs="Arial"/>
          <w:sz w:val="22"/>
          <w:szCs w:val="22"/>
        </w:rPr>
        <w:t xml:space="preserve">Because this information collection is necessary for consumer protection, the collection’s </w:t>
      </w:r>
      <w:r w:rsidR="004805F2" w:rsidRPr="004805F2">
        <w:rPr>
          <w:rFonts w:ascii="Arial" w:hAnsi="Arial" w:cs="Arial"/>
          <w:sz w:val="22"/>
          <w:szCs w:val="22"/>
        </w:rPr>
        <w:t xml:space="preserve">burden cannot be reduced </w:t>
      </w:r>
      <w:r w:rsidR="00FB12EC">
        <w:rPr>
          <w:rFonts w:ascii="Arial" w:hAnsi="Arial" w:cs="Arial"/>
          <w:sz w:val="22"/>
          <w:szCs w:val="22"/>
        </w:rPr>
        <w:t xml:space="preserve">based on </w:t>
      </w:r>
      <w:r w:rsidR="004805F2" w:rsidRPr="004805F2">
        <w:rPr>
          <w:rFonts w:ascii="Arial" w:hAnsi="Arial" w:cs="Arial"/>
          <w:sz w:val="22"/>
          <w:szCs w:val="22"/>
        </w:rPr>
        <w:t>the size of the respondent</w:t>
      </w:r>
      <w:r w:rsidR="00FB12EC">
        <w:rPr>
          <w:rFonts w:ascii="Arial" w:hAnsi="Arial" w:cs="Arial"/>
          <w:sz w:val="22"/>
          <w:szCs w:val="22"/>
        </w:rPr>
        <w:t>’s</w:t>
      </w:r>
      <w:r w:rsidR="004805F2" w:rsidRPr="004805F2">
        <w:rPr>
          <w:rFonts w:ascii="Arial" w:hAnsi="Arial" w:cs="Arial"/>
          <w:sz w:val="22"/>
          <w:szCs w:val="22"/>
        </w:rPr>
        <w:t xml:space="preserve"> </w:t>
      </w:r>
      <w:r w:rsidR="00FB12EC">
        <w:rPr>
          <w:rFonts w:ascii="Arial" w:hAnsi="Arial" w:cs="Arial"/>
          <w:sz w:val="22"/>
          <w:szCs w:val="22"/>
        </w:rPr>
        <w:t>business</w:t>
      </w:r>
      <w:r w:rsidR="004805F2" w:rsidRPr="004805F2">
        <w:rPr>
          <w:rFonts w:ascii="Arial" w:hAnsi="Arial" w:cs="Arial"/>
          <w:sz w:val="22"/>
          <w:szCs w:val="22"/>
        </w:rPr>
        <w:t>.</w:t>
      </w:r>
      <w:r w:rsidR="00AF7551">
        <w:rPr>
          <w:rFonts w:ascii="Arial" w:hAnsi="Arial" w:cs="Arial"/>
          <w:sz w:val="22"/>
          <w:szCs w:val="22"/>
        </w:rPr>
        <w:t xml:space="preserve"> </w:t>
      </w:r>
    </w:p>
    <w:p w14:paraId="0E2D84F2" w14:textId="77777777" w:rsidR="007A5D4B" w:rsidRPr="00DE79C4" w:rsidRDefault="007A5D4B" w:rsidP="007A5D4B">
      <w:pPr>
        <w:suppressAutoHyphens/>
        <w:rPr>
          <w:rFonts w:ascii="Arial" w:hAnsi="Arial" w:cs="Arial"/>
          <w:sz w:val="36"/>
          <w:szCs w:val="36"/>
        </w:rPr>
      </w:pPr>
    </w:p>
    <w:p w14:paraId="0351E5A0"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7E2D6F4" w14:textId="77777777" w:rsidR="00AF1157" w:rsidRPr="00AF7551" w:rsidRDefault="00AF1157" w:rsidP="00D73D2D">
      <w:pPr>
        <w:suppressAutoHyphens/>
        <w:ind w:left="480" w:hanging="480"/>
        <w:rPr>
          <w:rFonts w:ascii="Arial" w:hAnsi="Arial" w:cs="Arial"/>
          <w:sz w:val="22"/>
          <w:szCs w:val="22"/>
        </w:rPr>
      </w:pPr>
    </w:p>
    <w:p w14:paraId="145A2044" w14:textId="11C18AC7" w:rsidR="00AF7551" w:rsidRPr="00AF7551" w:rsidRDefault="00AF7551" w:rsidP="00AF7551">
      <w:pPr>
        <w:ind w:left="360"/>
        <w:rPr>
          <w:rFonts w:ascii="Arial" w:hAnsi="Arial" w:cs="Arial"/>
          <w:sz w:val="22"/>
          <w:szCs w:val="22"/>
        </w:rPr>
      </w:pPr>
      <w:r w:rsidRPr="00AF7551">
        <w:rPr>
          <w:rFonts w:ascii="Arial" w:hAnsi="Arial" w:cs="Arial"/>
          <w:sz w:val="22"/>
          <w:szCs w:val="22"/>
        </w:rPr>
        <w:t xml:space="preserve">Respondents complete this information </w:t>
      </w:r>
      <w:r w:rsidR="00DE79C4">
        <w:rPr>
          <w:rFonts w:ascii="Arial" w:hAnsi="Arial" w:cs="Arial"/>
          <w:sz w:val="22"/>
          <w:szCs w:val="22"/>
        </w:rPr>
        <w:t xml:space="preserve">collection </w:t>
      </w:r>
      <w:r w:rsidRPr="00AF7551">
        <w:rPr>
          <w:rFonts w:ascii="Arial" w:hAnsi="Arial" w:cs="Arial"/>
          <w:sz w:val="22"/>
          <w:szCs w:val="22"/>
        </w:rPr>
        <w:t xml:space="preserve">only as necessary to comply with </w:t>
      </w:r>
      <w:r w:rsidR="00DE79C4">
        <w:rPr>
          <w:rFonts w:ascii="Arial" w:hAnsi="Arial" w:cs="Arial"/>
          <w:sz w:val="22"/>
          <w:szCs w:val="22"/>
        </w:rPr>
        <w:t xml:space="preserve">the </w:t>
      </w:r>
      <w:r w:rsidRPr="00AF7551">
        <w:rPr>
          <w:rFonts w:ascii="Arial" w:hAnsi="Arial" w:cs="Arial"/>
          <w:sz w:val="22"/>
          <w:szCs w:val="22"/>
        </w:rPr>
        <w:t>TTB regulations</w:t>
      </w:r>
      <w:r w:rsidR="00DE79C4">
        <w:rPr>
          <w:rFonts w:ascii="Arial" w:hAnsi="Arial" w:cs="Arial"/>
          <w:sz w:val="22"/>
          <w:szCs w:val="22"/>
        </w:rPr>
        <w:t xml:space="preserve"> requiring a declaration of sulfites on alcohol beverage labels.  </w:t>
      </w:r>
      <w:r w:rsidRPr="00AF7551">
        <w:rPr>
          <w:rFonts w:ascii="Arial" w:hAnsi="Arial" w:cs="Arial"/>
          <w:sz w:val="22"/>
          <w:szCs w:val="22"/>
        </w:rPr>
        <w:t xml:space="preserve">If this collection was not conducted, </w:t>
      </w:r>
      <w:r w:rsidR="00DE79C4">
        <w:rPr>
          <w:rFonts w:ascii="Arial" w:hAnsi="Arial" w:cs="Arial"/>
          <w:sz w:val="22"/>
          <w:szCs w:val="22"/>
        </w:rPr>
        <w:t xml:space="preserve">consumers sensitive to sulfites </w:t>
      </w:r>
      <w:r w:rsidRPr="00AF7551">
        <w:rPr>
          <w:rFonts w:ascii="Arial" w:hAnsi="Arial" w:cs="Arial"/>
          <w:sz w:val="22"/>
          <w:szCs w:val="22"/>
        </w:rPr>
        <w:t xml:space="preserve">would not be aware of </w:t>
      </w:r>
      <w:r w:rsidR="00DE79C4">
        <w:rPr>
          <w:rFonts w:ascii="Arial" w:hAnsi="Arial" w:cs="Arial"/>
          <w:sz w:val="22"/>
          <w:szCs w:val="22"/>
        </w:rPr>
        <w:t xml:space="preserve">their presence </w:t>
      </w:r>
      <w:r w:rsidRPr="00AF7551">
        <w:rPr>
          <w:rFonts w:ascii="Arial" w:hAnsi="Arial" w:cs="Arial"/>
          <w:sz w:val="22"/>
          <w:szCs w:val="22"/>
        </w:rPr>
        <w:t>in alcohol beverage</w:t>
      </w:r>
      <w:r>
        <w:rPr>
          <w:rFonts w:ascii="Arial" w:hAnsi="Arial" w:cs="Arial"/>
          <w:sz w:val="22"/>
          <w:szCs w:val="22"/>
        </w:rPr>
        <w:t xml:space="preserve"> products</w:t>
      </w:r>
      <w:r w:rsidR="00FB12EC">
        <w:rPr>
          <w:rFonts w:ascii="Arial" w:hAnsi="Arial" w:cs="Arial"/>
          <w:sz w:val="22"/>
          <w:szCs w:val="22"/>
        </w:rPr>
        <w:t xml:space="preserve"> that they might consume. </w:t>
      </w:r>
    </w:p>
    <w:p w14:paraId="1C24EC05" w14:textId="77777777" w:rsidR="007A5D4B" w:rsidRPr="00DE79C4" w:rsidRDefault="007A5D4B" w:rsidP="007A5D4B">
      <w:pPr>
        <w:suppressAutoHyphens/>
        <w:rPr>
          <w:rFonts w:ascii="Arial" w:hAnsi="Arial" w:cs="Arial"/>
          <w:sz w:val="36"/>
          <w:szCs w:val="36"/>
        </w:rPr>
      </w:pPr>
    </w:p>
    <w:p w14:paraId="4F7F4818"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0FD971C" w14:textId="77777777" w:rsidR="00101DE7" w:rsidRPr="007A5D4B" w:rsidRDefault="00101DE7" w:rsidP="00D73D2D">
      <w:pPr>
        <w:rPr>
          <w:rFonts w:ascii="Arial" w:hAnsi="Arial" w:cs="Arial"/>
          <w:sz w:val="22"/>
          <w:szCs w:val="22"/>
        </w:rPr>
      </w:pPr>
    </w:p>
    <w:p w14:paraId="7B9AF791" w14:textId="77777777" w:rsidR="00EC4FC3" w:rsidRDefault="00EC4FC3" w:rsidP="004D086A">
      <w:pPr>
        <w:ind w:left="360"/>
        <w:rPr>
          <w:rFonts w:ascii="Arial" w:hAnsi="Arial" w:cs="Arial"/>
          <w:sz w:val="22"/>
          <w:szCs w:val="22"/>
        </w:rPr>
      </w:pPr>
      <w:r w:rsidRPr="00403A71">
        <w:rPr>
          <w:rFonts w:ascii="Arial" w:hAnsi="Arial" w:cs="Arial"/>
          <w:sz w:val="22"/>
          <w:szCs w:val="22"/>
        </w:rPr>
        <w:t>There are no special circumstances associated with this information collection.</w:t>
      </w:r>
      <w:r w:rsidR="007A5D4B" w:rsidRPr="00403A71">
        <w:rPr>
          <w:rFonts w:ascii="Arial" w:hAnsi="Arial" w:cs="Arial"/>
          <w:sz w:val="22"/>
          <w:szCs w:val="22"/>
        </w:rPr>
        <w:t xml:space="preserve"> </w:t>
      </w:r>
    </w:p>
    <w:p w14:paraId="72AEAB0C" w14:textId="77777777" w:rsidR="009D7BDC" w:rsidRPr="00403A71" w:rsidRDefault="009D7BDC" w:rsidP="009D7BDC">
      <w:pPr>
        <w:rPr>
          <w:rFonts w:ascii="Arial" w:hAnsi="Arial" w:cs="Arial"/>
          <w:sz w:val="22"/>
          <w:szCs w:val="22"/>
        </w:rPr>
      </w:pPr>
      <w:bookmarkStart w:id="0" w:name="_GoBack"/>
      <w:bookmarkEnd w:id="0"/>
    </w:p>
    <w:p w14:paraId="5C078F24" w14:textId="37BE99AE" w:rsidR="005C282B" w:rsidRPr="007A5D4B" w:rsidRDefault="007A5D4B" w:rsidP="00D73D2D">
      <w:pPr>
        <w:rPr>
          <w:rFonts w:ascii="Arial" w:hAnsi="Arial" w:cs="Arial"/>
          <w:i/>
          <w:sz w:val="22"/>
          <w:szCs w:val="22"/>
        </w:rPr>
      </w:pPr>
      <w:r w:rsidRPr="007A5D4B">
        <w:rPr>
          <w:rFonts w:ascii="Arial" w:hAnsi="Arial" w:cs="Arial"/>
          <w:i/>
          <w:sz w:val="22"/>
          <w:szCs w:val="22"/>
        </w:rPr>
        <w:lastRenderedPageBreak/>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90B3358" w14:textId="77777777" w:rsidR="005C282B" w:rsidRPr="00AF7551" w:rsidRDefault="005C282B" w:rsidP="00D73D2D">
      <w:pPr>
        <w:suppressAutoHyphens/>
        <w:ind w:left="480" w:hanging="480"/>
        <w:rPr>
          <w:rFonts w:ascii="Arial" w:hAnsi="Arial" w:cs="Arial"/>
          <w:sz w:val="22"/>
          <w:szCs w:val="22"/>
        </w:rPr>
      </w:pPr>
    </w:p>
    <w:p w14:paraId="09B6F713" w14:textId="33082E6E" w:rsidR="00AF7551" w:rsidRPr="00AF7551" w:rsidRDefault="00AF7551" w:rsidP="00AF7551">
      <w:pPr>
        <w:ind w:left="360"/>
        <w:rPr>
          <w:rFonts w:ascii="Arial" w:hAnsi="Arial" w:cs="Arial"/>
          <w:sz w:val="22"/>
          <w:szCs w:val="22"/>
        </w:rPr>
      </w:pPr>
      <w:r w:rsidRPr="00AF7551">
        <w:rPr>
          <w:rFonts w:ascii="Arial" w:hAnsi="Arial" w:cs="Arial"/>
          <w:sz w:val="22"/>
          <w:szCs w:val="22"/>
        </w:rPr>
        <w:t xml:space="preserve">A 60-day Federal Register notice was published for this information collection on Wednesday, February 24, 2016, 81 FR 9245.  The notice solicited comments from the general public.  TTB received no comments. </w:t>
      </w:r>
    </w:p>
    <w:p w14:paraId="70CF0FA4" w14:textId="77777777" w:rsidR="0049128F" w:rsidRPr="00583EB1" w:rsidRDefault="0049128F" w:rsidP="000D2B8E">
      <w:pPr>
        <w:rPr>
          <w:rFonts w:ascii="Arial" w:hAnsi="Arial" w:cs="Arial"/>
          <w:sz w:val="36"/>
          <w:szCs w:val="36"/>
        </w:rPr>
      </w:pPr>
    </w:p>
    <w:p w14:paraId="5297EA4F"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904A98C" w14:textId="77777777" w:rsidR="00EC4FC3" w:rsidRPr="007A5D4B" w:rsidRDefault="00EC4FC3" w:rsidP="00D73D2D">
      <w:pPr>
        <w:suppressAutoHyphens/>
        <w:rPr>
          <w:rFonts w:ascii="Arial" w:hAnsi="Arial" w:cs="Arial"/>
          <w:sz w:val="22"/>
          <w:szCs w:val="22"/>
        </w:rPr>
      </w:pPr>
    </w:p>
    <w:p w14:paraId="32E93953" w14:textId="77777777" w:rsidR="00EC4FC3" w:rsidRPr="00403A71" w:rsidRDefault="00EC4FC3" w:rsidP="004D086A">
      <w:pPr>
        <w:suppressAutoHyphens/>
        <w:ind w:left="360"/>
        <w:rPr>
          <w:rFonts w:ascii="Arial" w:hAnsi="Arial" w:cs="Arial"/>
          <w:sz w:val="22"/>
          <w:szCs w:val="22"/>
        </w:rPr>
      </w:pPr>
      <w:r w:rsidRPr="00403A71">
        <w:rPr>
          <w:rFonts w:ascii="Arial" w:hAnsi="Arial" w:cs="Arial"/>
          <w:sz w:val="22"/>
          <w:szCs w:val="22"/>
        </w:rPr>
        <w:t>No payment or gift is associated with this collection.</w:t>
      </w:r>
      <w:r w:rsidR="00D656EA" w:rsidRPr="00403A71">
        <w:rPr>
          <w:rFonts w:ascii="Arial" w:hAnsi="Arial" w:cs="Arial"/>
          <w:sz w:val="22"/>
          <w:szCs w:val="22"/>
        </w:rPr>
        <w:t xml:space="preserve"> </w:t>
      </w:r>
    </w:p>
    <w:p w14:paraId="3848FA59" w14:textId="77777777" w:rsidR="00EC4FC3" w:rsidRPr="00583EB1" w:rsidRDefault="00EC4FC3" w:rsidP="00D73D2D">
      <w:pPr>
        <w:suppressAutoHyphens/>
        <w:rPr>
          <w:rFonts w:ascii="Arial" w:hAnsi="Arial" w:cs="Arial"/>
          <w:sz w:val="36"/>
          <w:szCs w:val="36"/>
        </w:rPr>
      </w:pPr>
    </w:p>
    <w:p w14:paraId="62B8EFF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6BDAA314" w14:textId="77777777" w:rsidR="00EC4FC3" w:rsidRPr="00AF7551" w:rsidRDefault="00EC4FC3" w:rsidP="00D73D2D">
      <w:pPr>
        <w:rPr>
          <w:rFonts w:ascii="Arial" w:hAnsi="Arial" w:cs="Arial"/>
          <w:sz w:val="22"/>
          <w:szCs w:val="22"/>
        </w:rPr>
      </w:pPr>
    </w:p>
    <w:p w14:paraId="16614B37" w14:textId="38049EEA" w:rsidR="00AF7551" w:rsidRPr="00AF7551" w:rsidRDefault="00AF7551" w:rsidP="00AF7551">
      <w:pPr>
        <w:ind w:left="360"/>
        <w:rPr>
          <w:rFonts w:ascii="Arial" w:hAnsi="Arial" w:cs="Arial"/>
          <w:sz w:val="22"/>
          <w:szCs w:val="22"/>
        </w:rPr>
      </w:pPr>
      <w:r w:rsidRPr="00AF7551">
        <w:rPr>
          <w:rFonts w:ascii="Arial" w:hAnsi="Arial" w:cs="Arial"/>
          <w:sz w:val="22"/>
          <w:szCs w:val="22"/>
        </w:rPr>
        <w:t>Assurance</w:t>
      </w:r>
      <w:r w:rsidR="00583EB1">
        <w:rPr>
          <w:rFonts w:ascii="Arial" w:hAnsi="Arial" w:cs="Arial"/>
          <w:sz w:val="22"/>
          <w:szCs w:val="22"/>
        </w:rPr>
        <w:t>s</w:t>
      </w:r>
      <w:r w:rsidRPr="00AF7551">
        <w:rPr>
          <w:rFonts w:ascii="Arial" w:hAnsi="Arial" w:cs="Arial"/>
          <w:sz w:val="22"/>
          <w:szCs w:val="22"/>
        </w:rPr>
        <w:t xml:space="preserve"> of confidentiality </w:t>
      </w:r>
      <w:r w:rsidR="00583EB1">
        <w:rPr>
          <w:rFonts w:ascii="Arial" w:hAnsi="Arial" w:cs="Arial"/>
          <w:sz w:val="22"/>
          <w:szCs w:val="22"/>
        </w:rPr>
        <w:t xml:space="preserve">are </w:t>
      </w:r>
      <w:r w:rsidRPr="00AF7551">
        <w:rPr>
          <w:rFonts w:ascii="Arial" w:hAnsi="Arial" w:cs="Arial"/>
          <w:sz w:val="22"/>
          <w:szCs w:val="22"/>
        </w:rPr>
        <w:t>not applicable for this third</w:t>
      </w:r>
      <w:r>
        <w:rPr>
          <w:rFonts w:ascii="Arial" w:hAnsi="Arial" w:cs="Arial"/>
          <w:sz w:val="22"/>
          <w:szCs w:val="22"/>
        </w:rPr>
        <w:t>-</w:t>
      </w:r>
      <w:r w:rsidRPr="00AF7551">
        <w:rPr>
          <w:rFonts w:ascii="Arial" w:hAnsi="Arial" w:cs="Arial"/>
          <w:sz w:val="22"/>
          <w:szCs w:val="22"/>
        </w:rPr>
        <w:t xml:space="preserve">party disclosure. </w:t>
      </w:r>
    </w:p>
    <w:p w14:paraId="06508557" w14:textId="014F468A" w:rsidR="00E54CBA" w:rsidRPr="00583EB1" w:rsidRDefault="00E54CBA">
      <w:pPr>
        <w:rPr>
          <w:rFonts w:ascii="Arial" w:hAnsi="Arial" w:cs="Arial"/>
          <w:sz w:val="36"/>
          <w:szCs w:val="36"/>
        </w:rPr>
      </w:pPr>
    </w:p>
    <w:p w14:paraId="5A1819B2" w14:textId="77777777" w:rsidR="0038747C" w:rsidRPr="008F6EA7" w:rsidRDefault="00D656EA" w:rsidP="00D73D2D">
      <w:pPr>
        <w:rPr>
          <w:rFonts w:ascii="Arial" w:hAnsi="Arial" w:cs="Arial"/>
          <w:i/>
          <w:sz w:val="22"/>
          <w:szCs w:val="22"/>
        </w:rPr>
      </w:pPr>
      <w:r w:rsidRPr="008F6EA7">
        <w:rPr>
          <w:rFonts w:ascii="Arial" w:hAnsi="Arial" w:cs="Arial"/>
          <w:i/>
          <w:sz w:val="22"/>
          <w:szCs w:val="22"/>
        </w:rPr>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699E9941" w14:textId="77777777" w:rsidR="0038747C" w:rsidRPr="007A5D4B" w:rsidRDefault="0038747C" w:rsidP="00D73D2D">
      <w:pPr>
        <w:rPr>
          <w:rFonts w:ascii="Arial" w:hAnsi="Arial" w:cs="Arial"/>
          <w:sz w:val="22"/>
          <w:szCs w:val="22"/>
        </w:rPr>
      </w:pPr>
    </w:p>
    <w:p w14:paraId="2DA446F1" w14:textId="19093088" w:rsidR="00583EB1" w:rsidRPr="00583EB1" w:rsidRDefault="00583EB1" w:rsidP="004D086A">
      <w:pPr>
        <w:widowControl w:val="0"/>
        <w:suppressAutoHyphens/>
        <w:autoSpaceDE w:val="0"/>
        <w:autoSpaceDN w:val="0"/>
        <w:adjustRightInd w:val="0"/>
        <w:ind w:left="360"/>
        <w:rPr>
          <w:rFonts w:ascii="Arial" w:hAnsi="Arial" w:cs="Arial"/>
          <w:sz w:val="22"/>
          <w:szCs w:val="22"/>
        </w:rPr>
      </w:pPr>
      <w:r w:rsidRPr="00583EB1">
        <w:rPr>
          <w:rFonts w:ascii="Arial" w:hAnsi="Arial" w:cs="Arial"/>
          <w:sz w:val="22"/>
          <w:szCs w:val="22"/>
        </w:rPr>
        <w:t xml:space="preserve">This information collection contains no questions of a sensitive nature.  In addition, this </w:t>
      </w:r>
      <w:r>
        <w:rPr>
          <w:rFonts w:ascii="Arial" w:hAnsi="Arial" w:cs="Arial"/>
          <w:sz w:val="22"/>
          <w:szCs w:val="22"/>
        </w:rPr>
        <w:t>information collection is a third-part</w:t>
      </w:r>
      <w:r w:rsidR="00FB12EC">
        <w:rPr>
          <w:rFonts w:ascii="Arial" w:hAnsi="Arial" w:cs="Arial"/>
          <w:sz w:val="22"/>
          <w:szCs w:val="22"/>
        </w:rPr>
        <w:t>y</w:t>
      </w:r>
      <w:r>
        <w:rPr>
          <w:rFonts w:ascii="Arial" w:hAnsi="Arial" w:cs="Arial"/>
          <w:sz w:val="22"/>
          <w:szCs w:val="22"/>
        </w:rPr>
        <w:t xml:space="preserve"> disclosure, and, as such, it </w:t>
      </w:r>
      <w:r w:rsidRPr="00583EB1">
        <w:rPr>
          <w:rFonts w:ascii="Arial" w:hAnsi="Arial" w:cs="Arial"/>
          <w:sz w:val="22"/>
          <w:szCs w:val="22"/>
        </w:rPr>
        <w:t>does not collect personally identifiable information (PII) in an electronic system.  Therefore, no Privacy Impact Assessment (PIA) or System of Records Notice (SORN) is required for this collection.</w:t>
      </w:r>
    </w:p>
    <w:p w14:paraId="2D28ED18" w14:textId="77777777" w:rsidR="00AF1157" w:rsidRPr="00583EB1" w:rsidRDefault="00AF1157" w:rsidP="00D73D2D">
      <w:pPr>
        <w:suppressAutoHyphens/>
        <w:rPr>
          <w:rFonts w:ascii="Arial" w:hAnsi="Arial" w:cs="Arial"/>
          <w:sz w:val="36"/>
          <w:szCs w:val="36"/>
        </w:rPr>
      </w:pPr>
    </w:p>
    <w:p w14:paraId="161C8FFB" w14:textId="77777777" w:rsidR="00AF1157" w:rsidRPr="00AF060A" w:rsidRDefault="00AF060A" w:rsidP="00D73D2D">
      <w:pPr>
        <w:suppressAutoHyphens/>
        <w:rPr>
          <w:rFonts w:ascii="Arial" w:hAnsi="Arial" w:cs="Arial"/>
          <w:i/>
          <w:sz w:val="22"/>
          <w:szCs w:val="22"/>
        </w:rPr>
      </w:pPr>
      <w:r w:rsidRPr="00590898">
        <w:rPr>
          <w:rFonts w:ascii="Arial" w:hAnsi="Arial" w:cs="Arial"/>
          <w:i/>
          <w:sz w:val="22"/>
          <w:szCs w:val="22"/>
        </w:rPr>
        <w:t xml:space="preserve">12.  </w:t>
      </w:r>
      <w:r w:rsidR="00AF1157" w:rsidRPr="00590898">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0CC56FD" w14:textId="77777777" w:rsidR="00AF1157" w:rsidRPr="00651527" w:rsidRDefault="00AF1157" w:rsidP="00651527">
      <w:pPr>
        <w:suppressAutoHyphens/>
        <w:rPr>
          <w:rFonts w:ascii="Arial" w:hAnsi="Arial" w:cs="Arial"/>
          <w:sz w:val="22"/>
          <w:szCs w:val="22"/>
        </w:rPr>
      </w:pPr>
    </w:p>
    <w:p w14:paraId="2CD300C1" w14:textId="535D99CC" w:rsidR="0035447F" w:rsidRDefault="0035447F" w:rsidP="00651527">
      <w:pPr>
        <w:ind w:left="360"/>
        <w:rPr>
          <w:rFonts w:ascii="Arial" w:hAnsi="Arial" w:cs="Arial"/>
          <w:sz w:val="22"/>
          <w:szCs w:val="22"/>
        </w:rPr>
      </w:pPr>
      <w:r>
        <w:rPr>
          <w:rFonts w:ascii="Arial" w:hAnsi="Arial" w:cs="Arial"/>
          <w:sz w:val="22"/>
          <w:szCs w:val="22"/>
        </w:rPr>
        <w:t>The burden for the collection of required information contained in this information collection is estimated to be as follows:</w:t>
      </w:r>
      <w:r w:rsidR="00590898">
        <w:rPr>
          <w:rFonts w:ascii="Arial" w:hAnsi="Arial" w:cs="Arial"/>
          <w:sz w:val="22"/>
          <w:szCs w:val="22"/>
        </w:rPr>
        <w:t xml:space="preserve"> </w:t>
      </w:r>
    </w:p>
    <w:p w14:paraId="0FCC38CC" w14:textId="77777777" w:rsidR="0035447F" w:rsidRDefault="0035447F" w:rsidP="00651527">
      <w:pPr>
        <w:ind w:left="360"/>
        <w:rPr>
          <w:rFonts w:ascii="Arial" w:hAnsi="Arial" w:cs="Arial"/>
          <w:sz w:val="22"/>
          <w:szCs w:val="22"/>
        </w:rPr>
      </w:pPr>
    </w:p>
    <w:p w14:paraId="59620554" w14:textId="008A8CC7" w:rsidR="0035447F" w:rsidRDefault="0035447F" w:rsidP="00F904D9">
      <w:pPr>
        <w:tabs>
          <w:tab w:val="left" w:pos="720"/>
          <w:tab w:val="right" w:pos="6840"/>
        </w:tabs>
        <w:spacing w:after="120"/>
        <w:ind w:left="360"/>
        <w:rPr>
          <w:rFonts w:ascii="Arial" w:hAnsi="Arial" w:cs="Arial"/>
          <w:sz w:val="22"/>
          <w:szCs w:val="22"/>
        </w:rPr>
      </w:pPr>
      <w:r>
        <w:rPr>
          <w:rFonts w:ascii="Arial" w:hAnsi="Arial" w:cs="Arial"/>
          <w:sz w:val="22"/>
          <w:szCs w:val="22"/>
        </w:rPr>
        <w:tab/>
        <w:t xml:space="preserve">Total number </w:t>
      </w:r>
      <w:r w:rsidR="00F904D9">
        <w:rPr>
          <w:rFonts w:ascii="Arial" w:hAnsi="Arial" w:cs="Arial"/>
          <w:sz w:val="22"/>
          <w:szCs w:val="22"/>
        </w:rPr>
        <w:t xml:space="preserve">of alcohol beverage industry members: </w:t>
      </w:r>
      <w:r>
        <w:rPr>
          <w:rFonts w:ascii="Arial" w:hAnsi="Arial" w:cs="Arial"/>
          <w:sz w:val="22"/>
          <w:szCs w:val="22"/>
        </w:rPr>
        <w:tab/>
        <w:t>29, 288</w:t>
      </w:r>
      <w:r w:rsidR="00590898">
        <w:rPr>
          <w:rFonts w:ascii="Arial" w:hAnsi="Arial" w:cs="Arial"/>
          <w:sz w:val="22"/>
          <w:szCs w:val="22"/>
        </w:rPr>
        <w:t xml:space="preserve"> </w:t>
      </w:r>
    </w:p>
    <w:p w14:paraId="03035630" w14:textId="36EF0A80" w:rsidR="0035447F" w:rsidRDefault="0035447F" w:rsidP="00F904D9">
      <w:pPr>
        <w:tabs>
          <w:tab w:val="left" w:pos="720"/>
          <w:tab w:val="right" w:pos="6840"/>
        </w:tabs>
        <w:ind w:left="360"/>
        <w:rPr>
          <w:rFonts w:ascii="Arial" w:hAnsi="Arial" w:cs="Arial"/>
          <w:sz w:val="22"/>
          <w:szCs w:val="22"/>
        </w:rPr>
      </w:pPr>
      <w:r>
        <w:rPr>
          <w:rFonts w:ascii="Arial" w:hAnsi="Arial" w:cs="Arial"/>
          <w:sz w:val="22"/>
          <w:szCs w:val="22"/>
        </w:rPr>
        <w:tab/>
        <w:t>No. of respondents</w:t>
      </w:r>
      <w:r w:rsidR="00590898">
        <w:rPr>
          <w:rStyle w:val="FootnoteReference"/>
          <w:rFonts w:ascii="Arial" w:hAnsi="Arial" w:cs="Arial"/>
          <w:sz w:val="22"/>
          <w:szCs w:val="22"/>
        </w:rPr>
        <w:footnoteReference w:id="1"/>
      </w:r>
      <w:r>
        <w:rPr>
          <w:rFonts w:ascii="Arial" w:hAnsi="Arial" w:cs="Arial"/>
          <w:sz w:val="22"/>
          <w:szCs w:val="22"/>
        </w:rPr>
        <w:t xml:space="preserve"> affected by requirement</w:t>
      </w:r>
      <w:r w:rsidR="00F904D9">
        <w:rPr>
          <w:rFonts w:ascii="Arial" w:hAnsi="Arial" w:cs="Arial"/>
          <w:sz w:val="22"/>
          <w:szCs w:val="22"/>
        </w:rPr>
        <w:t>:</w:t>
      </w:r>
      <w:r>
        <w:rPr>
          <w:rFonts w:ascii="Arial" w:hAnsi="Arial" w:cs="Arial"/>
          <w:sz w:val="22"/>
          <w:szCs w:val="22"/>
        </w:rPr>
        <w:tab/>
        <w:t>19,197</w:t>
      </w:r>
      <w:r w:rsidR="00590898">
        <w:rPr>
          <w:rFonts w:ascii="Arial" w:hAnsi="Arial" w:cs="Arial"/>
          <w:sz w:val="22"/>
          <w:szCs w:val="22"/>
        </w:rPr>
        <w:t xml:space="preserve"> </w:t>
      </w:r>
    </w:p>
    <w:p w14:paraId="626B8F97" w14:textId="73F36E15" w:rsidR="0035447F" w:rsidRDefault="0035447F" w:rsidP="00F904D9">
      <w:pPr>
        <w:tabs>
          <w:tab w:val="left" w:pos="720"/>
          <w:tab w:val="right" w:pos="6840"/>
        </w:tabs>
        <w:ind w:left="360"/>
        <w:rPr>
          <w:rFonts w:ascii="Arial" w:hAnsi="Arial" w:cs="Arial"/>
          <w:sz w:val="22"/>
          <w:szCs w:val="22"/>
        </w:rPr>
      </w:pPr>
    </w:p>
    <w:p w14:paraId="5CD30B92" w14:textId="0B72A9F8" w:rsidR="0035447F" w:rsidRDefault="0035447F" w:rsidP="00F904D9">
      <w:pPr>
        <w:tabs>
          <w:tab w:val="left" w:pos="720"/>
          <w:tab w:val="right" w:pos="6840"/>
        </w:tabs>
        <w:spacing w:after="120"/>
        <w:ind w:left="360"/>
        <w:rPr>
          <w:rFonts w:ascii="Arial" w:hAnsi="Arial" w:cs="Arial"/>
          <w:sz w:val="22"/>
          <w:szCs w:val="22"/>
        </w:rPr>
      </w:pPr>
      <w:r>
        <w:rPr>
          <w:rFonts w:ascii="Arial" w:hAnsi="Arial" w:cs="Arial"/>
          <w:sz w:val="22"/>
          <w:szCs w:val="22"/>
        </w:rPr>
        <w:t>This requirement will have the following results:</w:t>
      </w:r>
      <w:r w:rsidR="00F904D9">
        <w:rPr>
          <w:rFonts w:ascii="Arial" w:hAnsi="Arial" w:cs="Arial"/>
          <w:sz w:val="22"/>
          <w:szCs w:val="22"/>
        </w:rPr>
        <w:t xml:space="preserve"> </w:t>
      </w:r>
    </w:p>
    <w:p w14:paraId="276FC844" w14:textId="48EF3DEC" w:rsidR="0035447F" w:rsidRDefault="0035447F" w:rsidP="00F904D9">
      <w:pPr>
        <w:tabs>
          <w:tab w:val="left" w:pos="720"/>
          <w:tab w:val="right" w:pos="6840"/>
        </w:tabs>
        <w:spacing w:after="120"/>
        <w:ind w:left="360"/>
        <w:rPr>
          <w:rFonts w:ascii="Arial" w:hAnsi="Arial" w:cs="Arial"/>
          <w:sz w:val="22"/>
          <w:szCs w:val="22"/>
        </w:rPr>
      </w:pPr>
      <w:r>
        <w:rPr>
          <w:rFonts w:ascii="Arial" w:hAnsi="Arial" w:cs="Arial"/>
          <w:sz w:val="22"/>
          <w:szCs w:val="22"/>
        </w:rPr>
        <w:tab/>
        <w:t>No. of respondents</w:t>
      </w:r>
      <w:r w:rsidR="00F904D9">
        <w:rPr>
          <w:rFonts w:ascii="Arial" w:hAnsi="Arial" w:cs="Arial"/>
          <w:sz w:val="22"/>
          <w:szCs w:val="22"/>
        </w:rPr>
        <w:t>:</w:t>
      </w:r>
      <w:r>
        <w:rPr>
          <w:rFonts w:ascii="Arial" w:hAnsi="Arial" w:cs="Arial"/>
          <w:sz w:val="22"/>
          <w:szCs w:val="22"/>
        </w:rPr>
        <w:tab/>
        <w:t>19,197</w:t>
      </w:r>
      <w:r w:rsidR="00590898">
        <w:rPr>
          <w:rFonts w:ascii="Arial" w:hAnsi="Arial" w:cs="Arial"/>
          <w:sz w:val="22"/>
          <w:szCs w:val="22"/>
        </w:rPr>
        <w:t xml:space="preserve"> </w:t>
      </w:r>
    </w:p>
    <w:p w14:paraId="1E42CBEE" w14:textId="1D2774BB" w:rsidR="0035447F" w:rsidRDefault="0035447F" w:rsidP="00F904D9">
      <w:pPr>
        <w:tabs>
          <w:tab w:val="left" w:pos="720"/>
          <w:tab w:val="right" w:pos="6840"/>
        </w:tabs>
        <w:spacing w:after="120"/>
        <w:ind w:left="360"/>
        <w:rPr>
          <w:rFonts w:ascii="Arial" w:hAnsi="Arial" w:cs="Arial"/>
          <w:sz w:val="22"/>
          <w:szCs w:val="22"/>
        </w:rPr>
      </w:pPr>
      <w:r>
        <w:rPr>
          <w:rFonts w:ascii="Arial" w:hAnsi="Arial" w:cs="Arial"/>
          <w:sz w:val="22"/>
          <w:szCs w:val="22"/>
        </w:rPr>
        <w:tab/>
        <w:t xml:space="preserve">Frequency of </w:t>
      </w:r>
      <w:r w:rsidR="00590898">
        <w:rPr>
          <w:rFonts w:ascii="Arial" w:hAnsi="Arial" w:cs="Arial"/>
          <w:sz w:val="22"/>
          <w:szCs w:val="22"/>
        </w:rPr>
        <w:t xml:space="preserve">annual </w:t>
      </w:r>
      <w:r>
        <w:rPr>
          <w:rFonts w:ascii="Arial" w:hAnsi="Arial" w:cs="Arial"/>
          <w:sz w:val="22"/>
          <w:szCs w:val="22"/>
        </w:rPr>
        <w:t>response</w:t>
      </w:r>
      <w:r w:rsidR="00590898">
        <w:rPr>
          <w:rFonts w:ascii="Arial" w:hAnsi="Arial" w:cs="Arial"/>
          <w:sz w:val="22"/>
          <w:szCs w:val="22"/>
        </w:rPr>
        <w:t>s</w:t>
      </w:r>
      <w:r w:rsidR="00F904D9">
        <w:rPr>
          <w:rFonts w:ascii="Arial" w:hAnsi="Arial" w:cs="Arial"/>
          <w:sz w:val="22"/>
          <w:szCs w:val="22"/>
        </w:rPr>
        <w:t>:</w:t>
      </w:r>
      <w:r>
        <w:rPr>
          <w:rFonts w:ascii="Arial" w:hAnsi="Arial" w:cs="Arial"/>
          <w:sz w:val="22"/>
          <w:szCs w:val="22"/>
        </w:rPr>
        <w:tab/>
        <w:t>1</w:t>
      </w:r>
      <w:r w:rsidR="00590898">
        <w:rPr>
          <w:rFonts w:ascii="Arial" w:hAnsi="Arial" w:cs="Arial"/>
          <w:sz w:val="22"/>
          <w:szCs w:val="22"/>
        </w:rPr>
        <w:t xml:space="preserve"> </w:t>
      </w:r>
    </w:p>
    <w:p w14:paraId="55B88D19" w14:textId="0DB5F64A" w:rsidR="0035447F" w:rsidRDefault="0035447F" w:rsidP="00F904D9">
      <w:pPr>
        <w:tabs>
          <w:tab w:val="left" w:pos="720"/>
          <w:tab w:val="right" w:pos="6840"/>
        </w:tabs>
        <w:spacing w:after="120"/>
        <w:ind w:left="360"/>
        <w:rPr>
          <w:rFonts w:ascii="Arial" w:hAnsi="Arial" w:cs="Arial"/>
          <w:sz w:val="22"/>
          <w:szCs w:val="22"/>
        </w:rPr>
      </w:pPr>
      <w:r>
        <w:rPr>
          <w:rFonts w:ascii="Arial" w:hAnsi="Arial" w:cs="Arial"/>
          <w:sz w:val="22"/>
          <w:szCs w:val="22"/>
        </w:rPr>
        <w:tab/>
        <w:t>Time per response</w:t>
      </w:r>
      <w:r w:rsidR="00F904D9">
        <w:rPr>
          <w:rFonts w:ascii="Arial" w:hAnsi="Arial" w:cs="Arial"/>
          <w:sz w:val="22"/>
          <w:szCs w:val="22"/>
        </w:rPr>
        <w:t>:</w:t>
      </w:r>
      <w:r>
        <w:rPr>
          <w:rFonts w:ascii="Arial" w:hAnsi="Arial" w:cs="Arial"/>
          <w:sz w:val="22"/>
          <w:szCs w:val="22"/>
        </w:rPr>
        <w:tab/>
        <w:t>40 minutes</w:t>
      </w:r>
      <w:r w:rsidR="00590898">
        <w:rPr>
          <w:rFonts w:ascii="Arial" w:hAnsi="Arial" w:cs="Arial"/>
          <w:sz w:val="22"/>
          <w:szCs w:val="22"/>
        </w:rPr>
        <w:t xml:space="preserve"> </w:t>
      </w:r>
    </w:p>
    <w:p w14:paraId="3201DC4D" w14:textId="741C3F4D" w:rsidR="0035447F" w:rsidRDefault="0035447F" w:rsidP="00F904D9">
      <w:pPr>
        <w:tabs>
          <w:tab w:val="left" w:pos="720"/>
          <w:tab w:val="right" w:pos="6840"/>
        </w:tabs>
        <w:ind w:left="360"/>
        <w:rPr>
          <w:rFonts w:ascii="Arial" w:hAnsi="Arial" w:cs="Arial"/>
          <w:sz w:val="22"/>
          <w:szCs w:val="22"/>
        </w:rPr>
      </w:pPr>
      <w:r>
        <w:rPr>
          <w:rFonts w:ascii="Arial" w:hAnsi="Arial" w:cs="Arial"/>
          <w:sz w:val="22"/>
          <w:szCs w:val="22"/>
        </w:rPr>
        <w:tab/>
        <w:t>Annual burden hours</w:t>
      </w:r>
      <w:r w:rsidR="00F904D9">
        <w:rPr>
          <w:rFonts w:ascii="Arial" w:hAnsi="Arial" w:cs="Arial"/>
          <w:sz w:val="22"/>
          <w:szCs w:val="22"/>
        </w:rPr>
        <w:t xml:space="preserve">: </w:t>
      </w:r>
      <w:r>
        <w:rPr>
          <w:rFonts w:ascii="Arial" w:hAnsi="Arial" w:cs="Arial"/>
          <w:sz w:val="22"/>
          <w:szCs w:val="22"/>
        </w:rPr>
        <w:tab/>
        <w:t>12,</w:t>
      </w:r>
      <w:r w:rsidR="00C4442D">
        <w:rPr>
          <w:rFonts w:ascii="Arial" w:hAnsi="Arial" w:cs="Arial"/>
          <w:sz w:val="22"/>
          <w:szCs w:val="22"/>
        </w:rPr>
        <w:t>798</w:t>
      </w:r>
      <w:r w:rsidR="00590898">
        <w:rPr>
          <w:rFonts w:ascii="Arial" w:hAnsi="Arial" w:cs="Arial"/>
          <w:sz w:val="22"/>
          <w:szCs w:val="22"/>
        </w:rPr>
        <w:t xml:space="preserve"> </w:t>
      </w:r>
    </w:p>
    <w:p w14:paraId="74759B99"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lastRenderedPageBreak/>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5EDF276E" w14:textId="77777777" w:rsidR="00101DE7" w:rsidRPr="007A5D4B" w:rsidRDefault="00101DE7" w:rsidP="00D73D2D">
      <w:pPr>
        <w:suppressAutoHyphens/>
        <w:ind w:left="480" w:hanging="480"/>
        <w:rPr>
          <w:rFonts w:ascii="Arial" w:hAnsi="Arial" w:cs="Arial"/>
          <w:sz w:val="22"/>
          <w:szCs w:val="22"/>
        </w:rPr>
      </w:pPr>
    </w:p>
    <w:p w14:paraId="31F881B3" w14:textId="47FE011B" w:rsidR="00AF1157" w:rsidRPr="000D2B8E" w:rsidRDefault="00583EB1" w:rsidP="00892C90">
      <w:pPr>
        <w:suppressAutoHyphens/>
        <w:ind w:left="360"/>
        <w:rPr>
          <w:rFonts w:ascii="Arial" w:hAnsi="Arial" w:cs="Arial"/>
          <w:sz w:val="22"/>
          <w:szCs w:val="22"/>
        </w:rPr>
      </w:pPr>
      <w:r>
        <w:rPr>
          <w:rFonts w:ascii="Arial" w:hAnsi="Arial" w:cs="Arial"/>
          <w:sz w:val="22"/>
          <w:szCs w:val="22"/>
        </w:rPr>
        <w:t xml:space="preserve">There is no additional cost to respondents associated with this information collection since the </w:t>
      </w:r>
      <w:r w:rsidR="00ED0257">
        <w:rPr>
          <w:rFonts w:ascii="Arial" w:hAnsi="Arial" w:cs="Arial"/>
          <w:sz w:val="22"/>
          <w:szCs w:val="22"/>
        </w:rPr>
        <w:t xml:space="preserve">labeling of </w:t>
      </w:r>
      <w:r>
        <w:rPr>
          <w:rFonts w:ascii="Arial" w:hAnsi="Arial" w:cs="Arial"/>
          <w:sz w:val="22"/>
          <w:szCs w:val="22"/>
        </w:rPr>
        <w:t>alcohol beverages is a usual and customary business practice</w:t>
      </w:r>
      <w:r w:rsidR="00ED0257">
        <w:rPr>
          <w:rFonts w:ascii="Arial" w:hAnsi="Arial" w:cs="Arial"/>
          <w:sz w:val="22"/>
          <w:szCs w:val="22"/>
        </w:rPr>
        <w:t>.</w:t>
      </w:r>
      <w:r>
        <w:rPr>
          <w:rFonts w:ascii="Arial" w:hAnsi="Arial" w:cs="Arial"/>
          <w:sz w:val="22"/>
          <w:szCs w:val="22"/>
        </w:rPr>
        <w:t xml:space="preserve"> </w:t>
      </w:r>
    </w:p>
    <w:p w14:paraId="25948898" w14:textId="77777777" w:rsidR="00892C90" w:rsidRPr="00583EB1" w:rsidRDefault="00892C90" w:rsidP="00892C90">
      <w:pPr>
        <w:suppressAutoHyphens/>
        <w:rPr>
          <w:rFonts w:ascii="Arial" w:hAnsi="Arial" w:cs="Arial"/>
          <w:sz w:val="36"/>
          <w:szCs w:val="36"/>
        </w:rPr>
      </w:pPr>
    </w:p>
    <w:p w14:paraId="4E48FD85"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132AA09" w14:textId="77777777" w:rsidR="00AF1157" w:rsidRPr="00146E9C" w:rsidRDefault="00AF1157" w:rsidP="00146E9C">
      <w:pPr>
        <w:suppressAutoHyphens/>
        <w:ind w:left="480" w:hanging="480"/>
        <w:rPr>
          <w:rFonts w:ascii="Arial" w:hAnsi="Arial" w:cs="Arial"/>
          <w:sz w:val="22"/>
          <w:szCs w:val="22"/>
        </w:rPr>
      </w:pPr>
    </w:p>
    <w:p w14:paraId="472B50BC" w14:textId="30E8C65B" w:rsidR="00146E9C" w:rsidRPr="00146E9C" w:rsidRDefault="00583EB1" w:rsidP="00146E9C">
      <w:pPr>
        <w:ind w:left="360"/>
        <w:rPr>
          <w:rFonts w:ascii="Arial" w:hAnsi="Arial" w:cs="Arial"/>
          <w:sz w:val="22"/>
          <w:szCs w:val="22"/>
        </w:rPr>
      </w:pPr>
      <w:r>
        <w:rPr>
          <w:rFonts w:ascii="Arial" w:hAnsi="Arial" w:cs="Arial"/>
          <w:sz w:val="22"/>
          <w:szCs w:val="22"/>
        </w:rPr>
        <w:t>As a third-party disclosure made on alcohol beverage labels by industry members, t</w:t>
      </w:r>
      <w:r w:rsidR="00146E9C" w:rsidRPr="00146E9C">
        <w:rPr>
          <w:rFonts w:ascii="Arial" w:hAnsi="Arial" w:cs="Arial"/>
          <w:sz w:val="22"/>
          <w:szCs w:val="22"/>
        </w:rPr>
        <w:t>here is no cost to the Federal Government</w:t>
      </w:r>
      <w:r>
        <w:rPr>
          <w:rFonts w:ascii="Arial" w:hAnsi="Arial" w:cs="Arial"/>
          <w:sz w:val="22"/>
          <w:szCs w:val="22"/>
        </w:rPr>
        <w:t xml:space="preserve"> associated with this information collection</w:t>
      </w:r>
      <w:r w:rsidR="00146E9C" w:rsidRPr="00146E9C">
        <w:rPr>
          <w:rFonts w:ascii="Arial" w:hAnsi="Arial" w:cs="Arial"/>
          <w:sz w:val="22"/>
          <w:szCs w:val="22"/>
        </w:rPr>
        <w:t xml:space="preserve">. </w:t>
      </w:r>
    </w:p>
    <w:p w14:paraId="3FFB2360" w14:textId="77777777" w:rsidR="004356FA" w:rsidRPr="00F904D9" w:rsidRDefault="004356FA" w:rsidP="002C1972">
      <w:pPr>
        <w:rPr>
          <w:rFonts w:ascii="Arial" w:hAnsi="Arial" w:cs="Arial"/>
          <w:sz w:val="36"/>
          <w:szCs w:val="36"/>
        </w:rPr>
      </w:pPr>
    </w:p>
    <w:p w14:paraId="2088F5F7" w14:textId="77777777" w:rsidR="00AF1157" w:rsidRPr="00F904D9" w:rsidRDefault="00AF060A" w:rsidP="00D73D2D">
      <w:pPr>
        <w:suppressAutoHyphens/>
        <w:rPr>
          <w:rFonts w:ascii="Arial" w:hAnsi="Arial" w:cs="Arial"/>
          <w:i/>
          <w:sz w:val="22"/>
          <w:szCs w:val="22"/>
        </w:rPr>
      </w:pPr>
      <w:r w:rsidRPr="00F904D9">
        <w:rPr>
          <w:rFonts w:ascii="Arial" w:hAnsi="Arial" w:cs="Arial"/>
          <w:i/>
          <w:sz w:val="22"/>
          <w:szCs w:val="22"/>
        </w:rPr>
        <w:t xml:space="preserve">15.  </w:t>
      </w:r>
      <w:r w:rsidR="00AF1157" w:rsidRPr="00F904D9">
        <w:rPr>
          <w:rFonts w:ascii="Arial" w:hAnsi="Arial" w:cs="Arial"/>
          <w:i/>
          <w:sz w:val="22"/>
          <w:szCs w:val="22"/>
        </w:rPr>
        <w:t>What is the reason for any program changes or adjustments reported?</w:t>
      </w:r>
      <w:r w:rsidRPr="00F904D9">
        <w:rPr>
          <w:rFonts w:ascii="Arial" w:hAnsi="Arial" w:cs="Arial"/>
          <w:i/>
          <w:sz w:val="22"/>
          <w:szCs w:val="22"/>
        </w:rPr>
        <w:t xml:space="preserve"> </w:t>
      </w:r>
    </w:p>
    <w:p w14:paraId="4150C146" w14:textId="77777777" w:rsidR="00AF1157" w:rsidRPr="00F904D9" w:rsidRDefault="00AF1157" w:rsidP="00D73D2D">
      <w:pPr>
        <w:suppressAutoHyphens/>
        <w:rPr>
          <w:rFonts w:ascii="Arial" w:hAnsi="Arial" w:cs="Arial"/>
          <w:sz w:val="22"/>
          <w:szCs w:val="22"/>
        </w:rPr>
      </w:pPr>
    </w:p>
    <w:p w14:paraId="5BD1F823" w14:textId="77777777" w:rsidR="00F904D9" w:rsidRDefault="00146E9C" w:rsidP="00146E9C">
      <w:pPr>
        <w:ind w:left="360"/>
        <w:rPr>
          <w:rFonts w:ascii="Arial" w:hAnsi="Arial" w:cs="Arial"/>
          <w:sz w:val="22"/>
          <w:szCs w:val="22"/>
        </w:rPr>
      </w:pPr>
      <w:r w:rsidRPr="00F904D9">
        <w:rPr>
          <w:rFonts w:ascii="Arial" w:hAnsi="Arial" w:cs="Arial"/>
          <w:sz w:val="22"/>
          <w:szCs w:val="22"/>
        </w:rPr>
        <w:t xml:space="preserve">There </w:t>
      </w:r>
      <w:r w:rsidR="00F904D9">
        <w:rPr>
          <w:rFonts w:ascii="Arial" w:hAnsi="Arial" w:cs="Arial"/>
          <w:sz w:val="22"/>
          <w:szCs w:val="22"/>
        </w:rPr>
        <w:t xml:space="preserve">are no program changes associated with this information collection. </w:t>
      </w:r>
    </w:p>
    <w:p w14:paraId="47EFFE73" w14:textId="77777777" w:rsidR="00F904D9" w:rsidRDefault="00F904D9" w:rsidP="00146E9C">
      <w:pPr>
        <w:ind w:left="360"/>
        <w:rPr>
          <w:rFonts w:ascii="Arial" w:hAnsi="Arial" w:cs="Arial"/>
          <w:sz w:val="22"/>
          <w:szCs w:val="22"/>
        </w:rPr>
      </w:pPr>
    </w:p>
    <w:p w14:paraId="3F466000" w14:textId="56BF4060" w:rsidR="00146E9C" w:rsidRPr="00F904D9" w:rsidRDefault="00F904D9" w:rsidP="00146E9C">
      <w:pPr>
        <w:ind w:left="360"/>
        <w:rPr>
          <w:rFonts w:ascii="Arial" w:hAnsi="Arial" w:cs="Arial"/>
          <w:sz w:val="22"/>
          <w:szCs w:val="22"/>
        </w:rPr>
      </w:pPr>
      <w:r>
        <w:rPr>
          <w:rFonts w:ascii="Arial" w:hAnsi="Arial" w:cs="Arial"/>
          <w:sz w:val="22"/>
          <w:szCs w:val="22"/>
        </w:rPr>
        <w:t>As for adjustments, TTB is increasing the number of respondents from 18,163 to 19,197, and, as result, the resulting annual burden hours increase from 12,109 to 12,</w:t>
      </w:r>
      <w:r w:rsidR="001E5440">
        <w:rPr>
          <w:rFonts w:ascii="Arial" w:hAnsi="Arial" w:cs="Arial"/>
          <w:sz w:val="22"/>
          <w:szCs w:val="22"/>
        </w:rPr>
        <w:t>798</w:t>
      </w:r>
      <w:r>
        <w:rPr>
          <w:rFonts w:ascii="Arial" w:hAnsi="Arial" w:cs="Arial"/>
          <w:sz w:val="22"/>
          <w:szCs w:val="22"/>
        </w:rPr>
        <w:t xml:space="preserve">.  This increase is due to the growth in the number of alcohol beverage producers and importers regulated by TTB, a portion of whom use sulfiting agents at level at or above 10 ppm in their products. </w:t>
      </w:r>
    </w:p>
    <w:p w14:paraId="4E075C42" w14:textId="77777777" w:rsidR="00AF060A" w:rsidRPr="00F904D9" w:rsidRDefault="00AF060A" w:rsidP="00AF060A">
      <w:pPr>
        <w:suppressAutoHyphens/>
        <w:rPr>
          <w:rFonts w:ascii="Arial" w:hAnsi="Arial" w:cs="Arial"/>
          <w:sz w:val="36"/>
          <w:szCs w:val="36"/>
        </w:rPr>
      </w:pPr>
    </w:p>
    <w:p w14:paraId="0B6B252C" w14:textId="77777777" w:rsidR="00AF1157" w:rsidRPr="00AF060A" w:rsidRDefault="00AF060A" w:rsidP="00D73D2D">
      <w:pPr>
        <w:suppressAutoHyphens/>
        <w:rPr>
          <w:rFonts w:ascii="Arial" w:hAnsi="Arial" w:cs="Arial"/>
          <w:i/>
          <w:sz w:val="22"/>
          <w:szCs w:val="22"/>
        </w:rPr>
      </w:pPr>
      <w:r w:rsidRPr="00F904D9">
        <w:rPr>
          <w:rFonts w:ascii="Arial" w:hAnsi="Arial" w:cs="Arial"/>
          <w:i/>
          <w:sz w:val="22"/>
          <w:szCs w:val="22"/>
        </w:rPr>
        <w:t xml:space="preserve">16.  </w:t>
      </w:r>
      <w:r w:rsidR="00AF1157" w:rsidRPr="00F904D9">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87DD09E" w14:textId="77777777" w:rsidR="00AF1157" w:rsidRPr="00146E9C" w:rsidRDefault="00AF1157" w:rsidP="00D73D2D">
      <w:pPr>
        <w:suppressAutoHyphens/>
        <w:ind w:left="480" w:hanging="480"/>
        <w:rPr>
          <w:rFonts w:ascii="Arial" w:hAnsi="Arial" w:cs="Arial"/>
          <w:sz w:val="22"/>
          <w:szCs w:val="22"/>
        </w:rPr>
      </w:pPr>
    </w:p>
    <w:p w14:paraId="7FEB118C" w14:textId="780D1434" w:rsidR="00146E9C" w:rsidRPr="00146E9C" w:rsidRDefault="00146E9C" w:rsidP="00146E9C">
      <w:pPr>
        <w:tabs>
          <w:tab w:val="left" w:pos="4896"/>
        </w:tabs>
        <w:ind w:left="360"/>
        <w:rPr>
          <w:rFonts w:ascii="Arial" w:hAnsi="Arial" w:cs="Arial"/>
          <w:sz w:val="22"/>
          <w:szCs w:val="22"/>
        </w:rPr>
      </w:pPr>
      <w:r w:rsidRPr="00146E9C">
        <w:rPr>
          <w:rFonts w:ascii="Arial" w:hAnsi="Arial" w:cs="Arial"/>
          <w:sz w:val="22"/>
          <w:szCs w:val="22"/>
        </w:rPr>
        <w:t xml:space="preserve">The results of this collection will not be published. </w:t>
      </w:r>
    </w:p>
    <w:p w14:paraId="3EB7E81C" w14:textId="77777777" w:rsidR="00AF1157" w:rsidRPr="008B50D3" w:rsidRDefault="00AF1157" w:rsidP="00D73D2D">
      <w:pPr>
        <w:suppressAutoHyphens/>
        <w:rPr>
          <w:rFonts w:ascii="Arial" w:hAnsi="Arial" w:cs="Arial"/>
          <w:sz w:val="36"/>
          <w:szCs w:val="36"/>
        </w:rPr>
      </w:pPr>
    </w:p>
    <w:p w14:paraId="3050609A"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1696B30A" w14:textId="77777777" w:rsidR="00AF1157" w:rsidRPr="00146E9C" w:rsidRDefault="00AF1157" w:rsidP="00D73D2D">
      <w:pPr>
        <w:suppressAutoHyphens/>
        <w:rPr>
          <w:rFonts w:ascii="Arial" w:hAnsi="Arial" w:cs="Arial"/>
          <w:sz w:val="22"/>
          <w:szCs w:val="22"/>
        </w:rPr>
      </w:pPr>
    </w:p>
    <w:p w14:paraId="6FAA4B4A" w14:textId="02157C91" w:rsidR="00146E9C" w:rsidRPr="00146E9C" w:rsidRDefault="008B50D3" w:rsidP="00146E9C">
      <w:pPr>
        <w:ind w:left="360"/>
        <w:rPr>
          <w:rFonts w:ascii="Arial" w:hAnsi="Arial" w:cs="Arial"/>
          <w:sz w:val="22"/>
          <w:szCs w:val="22"/>
        </w:rPr>
      </w:pPr>
      <w:r>
        <w:rPr>
          <w:rFonts w:ascii="Arial" w:hAnsi="Arial" w:cs="Arial"/>
          <w:sz w:val="22"/>
          <w:szCs w:val="22"/>
        </w:rPr>
        <w:t xml:space="preserve">This information collection is a third-party disclosure made on the labels of alcohol beverages containing sulfiting agents at 10 ppm or more, and, as </w:t>
      </w:r>
      <w:r w:rsidR="00ED0257">
        <w:rPr>
          <w:rFonts w:ascii="Arial" w:hAnsi="Arial" w:cs="Arial"/>
          <w:sz w:val="22"/>
          <w:szCs w:val="22"/>
        </w:rPr>
        <w:t>such,</w:t>
      </w:r>
      <w:r w:rsidR="00F945E2">
        <w:rPr>
          <w:rFonts w:ascii="Arial" w:hAnsi="Arial" w:cs="Arial"/>
          <w:sz w:val="22"/>
          <w:szCs w:val="22"/>
        </w:rPr>
        <w:t xml:space="preserve"> </w:t>
      </w:r>
      <w:r>
        <w:rPr>
          <w:rFonts w:ascii="Arial" w:hAnsi="Arial" w:cs="Arial"/>
          <w:sz w:val="22"/>
          <w:szCs w:val="22"/>
        </w:rPr>
        <w:t>there is no prescribed TTB form for this collection.  As such, the</w:t>
      </w:r>
      <w:r w:rsidR="00146E9C" w:rsidRPr="00146E9C">
        <w:rPr>
          <w:rFonts w:ascii="Arial" w:hAnsi="Arial" w:cs="Arial"/>
          <w:sz w:val="22"/>
          <w:szCs w:val="22"/>
        </w:rPr>
        <w:t xml:space="preserve">re is no medium </w:t>
      </w:r>
      <w:r w:rsidR="0012446E">
        <w:rPr>
          <w:rFonts w:ascii="Arial" w:hAnsi="Arial" w:cs="Arial"/>
          <w:sz w:val="22"/>
          <w:szCs w:val="22"/>
        </w:rPr>
        <w:t xml:space="preserve">on which </w:t>
      </w:r>
      <w:r>
        <w:rPr>
          <w:rFonts w:ascii="Arial" w:hAnsi="Arial" w:cs="Arial"/>
          <w:sz w:val="22"/>
          <w:szCs w:val="22"/>
        </w:rPr>
        <w:t xml:space="preserve">TTB can </w:t>
      </w:r>
      <w:r w:rsidR="00146E9C">
        <w:rPr>
          <w:rFonts w:ascii="Arial" w:hAnsi="Arial" w:cs="Arial"/>
          <w:sz w:val="22"/>
          <w:szCs w:val="22"/>
        </w:rPr>
        <w:t xml:space="preserve">display the </w:t>
      </w:r>
      <w:r>
        <w:rPr>
          <w:rFonts w:ascii="Arial" w:hAnsi="Arial" w:cs="Arial"/>
          <w:sz w:val="22"/>
          <w:szCs w:val="22"/>
        </w:rPr>
        <w:t xml:space="preserve">collection’s </w:t>
      </w:r>
      <w:r w:rsidR="00146E9C">
        <w:rPr>
          <w:rFonts w:ascii="Arial" w:hAnsi="Arial" w:cs="Arial"/>
          <w:sz w:val="22"/>
          <w:szCs w:val="22"/>
        </w:rPr>
        <w:t xml:space="preserve">expiration date. </w:t>
      </w:r>
    </w:p>
    <w:p w14:paraId="15EED9BA" w14:textId="77777777" w:rsidR="00014CEB" w:rsidRPr="008B50D3" w:rsidRDefault="00014CEB" w:rsidP="00146E9C">
      <w:pPr>
        <w:autoSpaceDE w:val="0"/>
        <w:autoSpaceDN w:val="0"/>
        <w:rPr>
          <w:rFonts w:ascii="Arial" w:hAnsi="Arial" w:cs="Arial"/>
          <w:sz w:val="36"/>
          <w:szCs w:val="36"/>
        </w:rPr>
      </w:pPr>
    </w:p>
    <w:p w14:paraId="07237024" w14:textId="5FCF01E9"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r w:rsidR="00F50340">
        <w:rPr>
          <w:rFonts w:ascii="Arial" w:hAnsi="Arial" w:cs="Arial"/>
          <w:i/>
          <w:sz w:val="22"/>
          <w:szCs w:val="22"/>
        </w:rPr>
        <w:t xml:space="preserve"> </w:t>
      </w:r>
    </w:p>
    <w:p w14:paraId="10D977B4" w14:textId="77777777" w:rsidR="00146E9C" w:rsidRPr="007A5D4B" w:rsidRDefault="00146E9C" w:rsidP="00146E9C">
      <w:pPr>
        <w:suppressAutoHyphens/>
        <w:rPr>
          <w:rFonts w:ascii="Arial" w:hAnsi="Arial" w:cs="Arial"/>
          <w:sz w:val="22"/>
          <w:szCs w:val="22"/>
        </w:rPr>
      </w:pPr>
    </w:p>
    <w:p w14:paraId="771AC67C" w14:textId="77777777" w:rsidR="00734B25" w:rsidRPr="005E2867" w:rsidRDefault="00734B25" w:rsidP="00BA1A21">
      <w:pPr>
        <w:ind w:left="360"/>
        <w:rPr>
          <w:rFonts w:ascii="Arial" w:hAnsi="Arial" w:cs="Arial"/>
          <w:sz w:val="22"/>
          <w:szCs w:val="22"/>
        </w:rPr>
      </w:pPr>
      <w:r w:rsidRPr="005E2867">
        <w:rPr>
          <w:rFonts w:ascii="Arial" w:hAnsi="Arial" w:cs="Arial"/>
          <w:sz w:val="22"/>
          <w:szCs w:val="22"/>
        </w:rPr>
        <w:t>(c)  See item 5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593D79CF" w14:textId="77777777" w:rsidR="00734B25" w:rsidRPr="005E2867" w:rsidRDefault="00734B25" w:rsidP="00BA1A21">
      <w:pPr>
        <w:spacing w:before="80"/>
        <w:ind w:left="360"/>
        <w:rPr>
          <w:rFonts w:ascii="Arial" w:hAnsi="Arial" w:cs="Arial"/>
          <w:sz w:val="22"/>
          <w:szCs w:val="22"/>
        </w:rPr>
      </w:pPr>
      <w:r w:rsidRPr="005E2867">
        <w:rPr>
          <w:rFonts w:ascii="Arial" w:hAnsi="Arial" w:cs="Arial"/>
          <w:sz w:val="22"/>
          <w:szCs w:val="22"/>
        </w:rPr>
        <w:t>(f)   This is not a recordkeeping requirement</w:t>
      </w:r>
      <w:r w:rsidR="00E115FD" w:rsidRPr="005E2867">
        <w:rPr>
          <w:rFonts w:ascii="Arial" w:hAnsi="Arial" w:cs="Arial"/>
          <w:sz w:val="22"/>
          <w:szCs w:val="22"/>
        </w:rPr>
        <w:t>.</w:t>
      </w:r>
      <w:r w:rsidR="00BA1A21" w:rsidRPr="005E2867">
        <w:rPr>
          <w:rFonts w:ascii="Arial" w:hAnsi="Arial" w:cs="Arial"/>
          <w:sz w:val="22"/>
          <w:szCs w:val="22"/>
        </w:rPr>
        <w:t xml:space="preserve"> </w:t>
      </w:r>
    </w:p>
    <w:p w14:paraId="2676D04B" w14:textId="77777777" w:rsidR="00734B25" w:rsidRPr="005E2867" w:rsidRDefault="00734B25" w:rsidP="00BA1A21">
      <w:pPr>
        <w:spacing w:before="80"/>
        <w:ind w:left="360"/>
        <w:rPr>
          <w:rFonts w:ascii="Arial" w:hAnsi="Arial" w:cs="Arial"/>
          <w:sz w:val="22"/>
          <w:szCs w:val="22"/>
        </w:rPr>
      </w:pPr>
      <w:r w:rsidRPr="005E2867">
        <w:rPr>
          <w:rFonts w:ascii="Arial" w:hAnsi="Arial" w:cs="Arial"/>
          <w:sz w:val="22"/>
          <w:szCs w:val="22"/>
        </w:rPr>
        <w:t>(i)   No statistics are involved</w:t>
      </w:r>
      <w:r w:rsidR="00E115FD" w:rsidRPr="005E2867">
        <w:rPr>
          <w:rFonts w:ascii="Arial" w:hAnsi="Arial" w:cs="Arial"/>
          <w:sz w:val="22"/>
          <w:szCs w:val="22"/>
        </w:rPr>
        <w:t>.</w:t>
      </w:r>
      <w:r w:rsidR="00BA1A21" w:rsidRPr="005E2867">
        <w:rPr>
          <w:rFonts w:ascii="Arial" w:hAnsi="Arial" w:cs="Arial"/>
          <w:sz w:val="22"/>
          <w:szCs w:val="22"/>
        </w:rPr>
        <w:t xml:space="preserve"> </w:t>
      </w:r>
    </w:p>
    <w:p w14:paraId="37219BC6" w14:textId="77777777" w:rsidR="00734B25" w:rsidRPr="005E2867" w:rsidRDefault="00734B25" w:rsidP="00BA1A21">
      <w:pPr>
        <w:spacing w:before="80"/>
        <w:ind w:left="360"/>
        <w:rPr>
          <w:rFonts w:ascii="Arial" w:hAnsi="Arial" w:cs="Arial"/>
          <w:sz w:val="22"/>
          <w:szCs w:val="22"/>
        </w:rPr>
      </w:pPr>
      <w:r w:rsidRPr="005E2867">
        <w:rPr>
          <w:rFonts w:ascii="Arial" w:hAnsi="Arial" w:cs="Arial"/>
          <w:sz w:val="22"/>
          <w:szCs w:val="22"/>
        </w:rPr>
        <w:t>(j)   See item 3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319612F9" w14:textId="77777777" w:rsidR="008B50D3" w:rsidRPr="008B50D3" w:rsidRDefault="008B50D3">
      <w:pPr>
        <w:rPr>
          <w:rFonts w:ascii="Arial" w:hAnsi="Arial" w:cs="Arial"/>
          <w:bCs/>
          <w:sz w:val="36"/>
          <w:szCs w:val="36"/>
        </w:rPr>
      </w:pPr>
    </w:p>
    <w:p w14:paraId="037D85A9" w14:textId="5474818F"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17D606B" w14:textId="77777777" w:rsidR="00BD3333" w:rsidRPr="007A5D4B" w:rsidRDefault="00BD3333" w:rsidP="00D73D2D">
      <w:pPr>
        <w:pStyle w:val="Header"/>
        <w:tabs>
          <w:tab w:val="clear" w:pos="4320"/>
          <w:tab w:val="clear" w:pos="8640"/>
        </w:tabs>
        <w:rPr>
          <w:rFonts w:ascii="Arial" w:hAnsi="Arial" w:cs="Arial"/>
          <w:sz w:val="22"/>
          <w:szCs w:val="22"/>
        </w:rPr>
      </w:pPr>
    </w:p>
    <w:p w14:paraId="230EED89" w14:textId="4936A057" w:rsidR="00BA1A21" w:rsidRPr="007A5D4B" w:rsidRDefault="00BD3333" w:rsidP="00F904D9">
      <w:pPr>
        <w:pStyle w:val="Header"/>
        <w:tabs>
          <w:tab w:val="clear" w:pos="4320"/>
          <w:tab w:val="clear" w:pos="8640"/>
        </w:tabs>
        <w:ind w:left="360"/>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DF451" w14:textId="77777777" w:rsidR="00FB12EC" w:rsidRDefault="00FB12EC">
      <w:r>
        <w:separator/>
      </w:r>
    </w:p>
  </w:endnote>
  <w:endnote w:type="continuationSeparator" w:id="0">
    <w:p w14:paraId="6E0B7F51" w14:textId="77777777" w:rsidR="00FB12EC" w:rsidRDefault="00FB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53AB8" w14:textId="77777777" w:rsidR="00CB0AF4" w:rsidRDefault="00CB0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A6494" w14:textId="77777777" w:rsidR="00FB12EC" w:rsidRPr="007A5D4B" w:rsidRDefault="00FB12EC"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702C" w14:textId="77777777" w:rsidR="00FB12EC" w:rsidRPr="007A5D4B" w:rsidRDefault="00FB12EC"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2986" w14:textId="77777777" w:rsidR="00FB12EC" w:rsidRDefault="00FB12EC">
      <w:r>
        <w:separator/>
      </w:r>
    </w:p>
  </w:footnote>
  <w:footnote w:type="continuationSeparator" w:id="0">
    <w:p w14:paraId="760748FB" w14:textId="77777777" w:rsidR="00FB12EC" w:rsidRDefault="00FB12EC">
      <w:r>
        <w:continuationSeparator/>
      </w:r>
    </w:p>
  </w:footnote>
  <w:footnote w:id="1">
    <w:p w14:paraId="2977AC1B" w14:textId="0D588A6A" w:rsidR="00FB12EC" w:rsidRPr="00590898" w:rsidRDefault="00FB12EC">
      <w:pPr>
        <w:pStyle w:val="FootnoteText"/>
      </w:pPr>
      <w:r>
        <w:rPr>
          <w:rStyle w:val="FootnoteReference"/>
        </w:rPr>
        <w:footnoteRef/>
      </w:r>
      <w:r>
        <w:t xml:space="preserve"> </w:t>
      </w:r>
      <w:r w:rsidRPr="00590898">
        <w:rPr>
          <w:rFonts w:ascii="Arial" w:hAnsi="Arial" w:cs="Arial"/>
        </w:rPr>
        <w:t xml:space="preserve">TTB has determined the affected respondents represent </w:t>
      </w:r>
      <w:r>
        <w:rPr>
          <w:rFonts w:ascii="Arial" w:hAnsi="Arial" w:cs="Arial"/>
        </w:rPr>
        <w:t xml:space="preserve">a portion of all </w:t>
      </w:r>
      <w:r w:rsidRPr="00590898">
        <w:rPr>
          <w:rFonts w:ascii="Arial" w:hAnsi="Arial" w:cs="Arial"/>
        </w:rPr>
        <w:t>permi</w:t>
      </w:r>
      <w:r>
        <w:rPr>
          <w:rFonts w:ascii="Arial" w:hAnsi="Arial" w:cs="Arial"/>
        </w:rPr>
        <w:t>t</w:t>
      </w:r>
      <w:r w:rsidRPr="00590898">
        <w:rPr>
          <w:rFonts w:ascii="Arial" w:hAnsi="Arial" w:cs="Arial"/>
        </w:rPr>
        <w:t xml:space="preserve">tees as </w:t>
      </w:r>
      <w:r>
        <w:rPr>
          <w:rFonts w:ascii="Arial" w:hAnsi="Arial" w:cs="Arial"/>
        </w:rPr>
        <w:t xml:space="preserve">follows:  </w:t>
      </w:r>
      <w:r w:rsidRPr="00590898">
        <w:rPr>
          <w:rFonts w:ascii="Arial" w:hAnsi="Arial" w:cs="Arial"/>
        </w:rPr>
        <w:t>1% of Distilled Spirits Plants, 5%</w:t>
      </w:r>
      <w:r>
        <w:rPr>
          <w:rFonts w:ascii="Arial" w:hAnsi="Arial" w:cs="Arial"/>
        </w:rPr>
        <w:t> </w:t>
      </w:r>
      <w:r w:rsidRPr="00590898">
        <w:rPr>
          <w:rFonts w:ascii="Arial" w:hAnsi="Arial" w:cs="Arial"/>
        </w:rPr>
        <w:t xml:space="preserve">of Brewers, 80% of Alcohol Beverage Importers, and 100% of Bonded Wineries.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CE76" w14:textId="77777777" w:rsidR="00CB0AF4" w:rsidRDefault="00CB0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E743D" w14:textId="77777777" w:rsidR="00FB12EC" w:rsidRPr="007A5D4B" w:rsidRDefault="00FB12E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94246">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A0C62" w14:textId="77777777" w:rsidR="00FB12EC" w:rsidRPr="007A5D4B" w:rsidRDefault="00FB12E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3802"/>
    <w:rsid w:val="00014CEB"/>
    <w:rsid w:val="0004764C"/>
    <w:rsid w:val="000656B8"/>
    <w:rsid w:val="00074898"/>
    <w:rsid w:val="0008452B"/>
    <w:rsid w:val="000A070D"/>
    <w:rsid w:val="000A2E33"/>
    <w:rsid w:val="000A4E1A"/>
    <w:rsid w:val="000B25A1"/>
    <w:rsid w:val="000B3E08"/>
    <w:rsid w:val="000C02AB"/>
    <w:rsid w:val="000D2B8E"/>
    <w:rsid w:val="00101DE7"/>
    <w:rsid w:val="00102FAF"/>
    <w:rsid w:val="001030A0"/>
    <w:rsid w:val="0012446E"/>
    <w:rsid w:val="0014153D"/>
    <w:rsid w:val="00146E9C"/>
    <w:rsid w:val="001E1CE4"/>
    <w:rsid w:val="001E5440"/>
    <w:rsid w:val="001F4DB5"/>
    <w:rsid w:val="00211CC0"/>
    <w:rsid w:val="0022156B"/>
    <w:rsid w:val="0025239A"/>
    <w:rsid w:val="002603F1"/>
    <w:rsid w:val="002812AD"/>
    <w:rsid w:val="002B47FB"/>
    <w:rsid w:val="002C1972"/>
    <w:rsid w:val="002C6C60"/>
    <w:rsid w:val="002D1324"/>
    <w:rsid w:val="002D38DC"/>
    <w:rsid w:val="002E38FA"/>
    <w:rsid w:val="0031245A"/>
    <w:rsid w:val="003241C8"/>
    <w:rsid w:val="0033260C"/>
    <w:rsid w:val="0035447F"/>
    <w:rsid w:val="00381FFC"/>
    <w:rsid w:val="0038747C"/>
    <w:rsid w:val="003C463D"/>
    <w:rsid w:val="00403A71"/>
    <w:rsid w:val="004356FA"/>
    <w:rsid w:val="004369DA"/>
    <w:rsid w:val="004479C7"/>
    <w:rsid w:val="00447B6B"/>
    <w:rsid w:val="004805F2"/>
    <w:rsid w:val="0049128F"/>
    <w:rsid w:val="004A0302"/>
    <w:rsid w:val="004A3DE5"/>
    <w:rsid w:val="004D0005"/>
    <w:rsid w:val="004D086A"/>
    <w:rsid w:val="004D1808"/>
    <w:rsid w:val="004D31C8"/>
    <w:rsid w:val="004D4299"/>
    <w:rsid w:val="004E0332"/>
    <w:rsid w:val="004E2C89"/>
    <w:rsid w:val="004F62C7"/>
    <w:rsid w:val="0050368E"/>
    <w:rsid w:val="0052736D"/>
    <w:rsid w:val="005278E4"/>
    <w:rsid w:val="00536D29"/>
    <w:rsid w:val="00537265"/>
    <w:rsid w:val="00557074"/>
    <w:rsid w:val="005775FD"/>
    <w:rsid w:val="00583EB1"/>
    <w:rsid w:val="00590898"/>
    <w:rsid w:val="005948C7"/>
    <w:rsid w:val="005B161C"/>
    <w:rsid w:val="005B74FE"/>
    <w:rsid w:val="005C282B"/>
    <w:rsid w:val="005D7CEB"/>
    <w:rsid w:val="005E2867"/>
    <w:rsid w:val="005E4F99"/>
    <w:rsid w:val="005E4F9B"/>
    <w:rsid w:val="005E6D86"/>
    <w:rsid w:val="005F5FA3"/>
    <w:rsid w:val="00612578"/>
    <w:rsid w:val="006244FF"/>
    <w:rsid w:val="00626560"/>
    <w:rsid w:val="00631780"/>
    <w:rsid w:val="00651527"/>
    <w:rsid w:val="00663972"/>
    <w:rsid w:val="00666847"/>
    <w:rsid w:val="006B32F4"/>
    <w:rsid w:val="006F123C"/>
    <w:rsid w:val="0070113F"/>
    <w:rsid w:val="00706229"/>
    <w:rsid w:val="00713786"/>
    <w:rsid w:val="00721C76"/>
    <w:rsid w:val="00725A88"/>
    <w:rsid w:val="007326E0"/>
    <w:rsid w:val="00734B25"/>
    <w:rsid w:val="00736DD6"/>
    <w:rsid w:val="00747516"/>
    <w:rsid w:val="007A5D4B"/>
    <w:rsid w:val="007B4E08"/>
    <w:rsid w:val="007D1399"/>
    <w:rsid w:val="007D5727"/>
    <w:rsid w:val="007E0D4B"/>
    <w:rsid w:val="007E678E"/>
    <w:rsid w:val="007F40E3"/>
    <w:rsid w:val="00804B0C"/>
    <w:rsid w:val="00811A04"/>
    <w:rsid w:val="00892C90"/>
    <w:rsid w:val="008B50D3"/>
    <w:rsid w:val="008C399F"/>
    <w:rsid w:val="008E18FD"/>
    <w:rsid w:val="008E49E0"/>
    <w:rsid w:val="008E786B"/>
    <w:rsid w:val="008F6EA7"/>
    <w:rsid w:val="00940505"/>
    <w:rsid w:val="00955B13"/>
    <w:rsid w:val="00975490"/>
    <w:rsid w:val="00981C40"/>
    <w:rsid w:val="00985AC8"/>
    <w:rsid w:val="009A1CD5"/>
    <w:rsid w:val="009D7BDC"/>
    <w:rsid w:val="009E4E4C"/>
    <w:rsid w:val="00A040AD"/>
    <w:rsid w:val="00A17E04"/>
    <w:rsid w:val="00A6259C"/>
    <w:rsid w:val="00A655B9"/>
    <w:rsid w:val="00A835B3"/>
    <w:rsid w:val="00AA6881"/>
    <w:rsid w:val="00AB19ED"/>
    <w:rsid w:val="00AC686F"/>
    <w:rsid w:val="00AD6DDF"/>
    <w:rsid w:val="00AF060A"/>
    <w:rsid w:val="00AF1157"/>
    <w:rsid w:val="00AF7551"/>
    <w:rsid w:val="00B07662"/>
    <w:rsid w:val="00B16AE4"/>
    <w:rsid w:val="00B23FF6"/>
    <w:rsid w:val="00B25B11"/>
    <w:rsid w:val="00B31E02"/>
    <w:rsid w:val="00B42E39"/>
    <w:rsid w:val="00B72AC4"/>
    <w:rsid w:val="00B8371F"/>
    <w:rsid w:val="00B87C0E"/>
    <w:rsid w:val="00B93A45"/>
    <w:rsid w:val="00B95061"/>
    <w:rsid w:val="00BA1A21"/>
    <w:rsid w:val="00BB1E17"/>
    <w:rsid w:val="00BB67E5"/>
    <w:rsid w:val="00BD3333"/>
    <w:rsid w:val="00C443DF"/>
    <w:rsid w:val="00C4442D"/>
    <w:rsid w:val="00C54292"/>
    <w:rsid w:val="00C71838"/>
    <w:rsid w:val="00C72612"/>
    <w:rsid w:val="00C74D2F"/>
    <w:rsid w:val="00CA7E3C"/>
    <w:rsid w:val="00CB0AF4"/>
    <w:rsid w:val="00CF6F36"/>
    <w:rsid w:val="00D004D6"/>
    <w:rsid w:val="00D01AA2"/>
    <w:rsid w:val="00D03A61"/>
    <w:rsid w:val="00D15A88"/>
    <w:rsid w:val="00D6325C"/>
    <w:rsid w:val="00D656EA"/>
    <w:rsid w:val="00D73D2D"/>
    <w:rsid w:val="00D76DF0"/>
    <w:rsid w:val="00D852E0"/>
    <w:rsid w:val="00DC6F3E"/>
    <w:rsid w:val="00DE66AE"/>
    <w:rsid w:val="00DE79C4"/>
    <w:rsid w:val="00DF2F51"/>
    <w:rsid w:val="00DF5F98"/>
    <w:rsid w:val="00DF7F92"/>
    <w:rsid w:val="00E02266"/>
    <w:rsid w:val="00E115FD"/>
    <w:rsid w:val="00E24457"/>
    <w:rsid w:val="00E275F9"/>
    <w:rsid w:val="00E41ED9"/>
    <w:rsid w:val="00E45CBA"/>
    <w:rsid w:val="00E50FF1"/>
    <w:rsid w:val="00E54CBA"/>
    <w:rsid w:val="00E90071"/>
    <w:rsid w:val="00EB1CB8"/>
    <w:rsid w:val="00EC4FC3"/>
    <w:rsid w:val="00ED0257"/>
    <w:rsid w:val="00ED7233"/>
    <w:rsid w:val="00EE2224"/>
    <w:rsid w:val="00F058FA"/>
    <w:rsid w:val="00F13FE4"/>
    <w:rsid w:val="00F32728"/>
    <w:rsid w:val="00F50340"/>
    <w:rsid w:val="00F618E0"/>
    <w:rsid w:val="00F625DA"/>
    <w:rsid w:val="00F904D9"/>
    <w:rsid w:val="00F94246"/>
    <w:rsid w:val="00F945E2"/>
    <w:rsid w:val="00FA228E"/>
    <w:rsid w:val="00FB12EC"/>
    <w:rsid w:val="00FC27E1"/>
    <w:rsid w:val="00FC674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2D7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paragraph" w:styleId="FootnoteText">
    <w:name w:val="footnote text"/>
    <w:basedOn w:val="Normal"/>
    <w:link w:val="FootnoteTextChar"/>
    <w:rsid w:val="00590898"/>
    <w:rPr>
      <w:sz w:val="20"/>
      <w:szCs w:val="20"/>
    </w:rPr>
  </w:style>
  <w:style w:type="character" w:customStyle="1" w:styleId="FootnoteTextChar">
    <w:name w:val="Footnote Text Char"/>
    <w:basedOn w:val="DefaultParagraphFont"/>
    <w:link w:val="FootnoteText"/>
    <w:rsid w:val="00590898"/>
  </w:style>
  <w:style w:type="character" w:styleId="FootnoteReference">
    <w:name w:val="footnote reference"/>
    <w:basedOn w:val="DefaultParagraphFont"/>
    <w:rsid w:val="00590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60531480">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99978227">
      <w:bodyDiv w:val="1"/>
      <w:marLeft w:val="0"/>
      <w:marRight w:val="0"/>
      <w:marTop w:val="0"/>
      <w:marBottom w:val="0"/>
      <w:divBdr>
        <w:top w:val="none" w:sz="0" w:space="0" w:color="auto"/>
        <w:left w:val="none" w:sz="0" w:space="0" w:color="auto"/>
        <w:bottom w:val="none" w:sz="0" w:space="0" w:color="auto"/>
        <w:right w:val="none" w:sz="0" w:space="0" w:color="auto"/>
      </w:divBdr>
    </w:div>
    <w:div w:id="2131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D052-64BB-480D-B494-07E24D2D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BB3021BE.dotm</Template>
  <TotalTime>0</TotalTime>
  <Pages>4</Pages>
  <Words>1455</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2016-04-06T19:14:00Z</dcterms:created>
  <dcterms:modified xsi:type="dcterms:W3CDTF">2016-04-25T17:20:00Z</dcterms:modified>
</cp:coreProperties>
</file>