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60" w:rsidRDefault="00772F60">
      <w:pPr>
        <w:pStyle w:val="Title"/>
      </w:pPr>
      <w:bookmarkStart w:id="0" w:name="_GoBack"/>
      <w:bookmarkEnd w:id="0"/>
      <w:r>
        <w:t>Supporting Statement</w:t>
      </w:r>
    </w:p>
    <w:p w:rsidR="00772F60" w:rsidRDefault="00772F60">
      <w:pPr>
        <w:jc w:val="center"/>
        <w:rPr>
          <w:b/>
          <w:bCs/>
        </w:rPr>
      </w:pPr>
      <w:r>
        <w:rPr>
          <w:b/>
          <w:bCs/>
        </w:rPr>
        <w:t xml:space="preserve">OMB Control Number 1557-0180 </w:t>
      </w:r>
    </w:p>
    <w:p w:rsidR="00772F60" w:rsidRDefault="00772F60">
      <w:pPr>
        <w:jc w:val="center"/>
        <w:rPr>
          <w:b/>
          <w:bCs/>
        </w:rPr>
      </w:pPr>
      <w:r>
        <w:rPr>
          <w:b/>
          <w:bCs/>
        </w:rPr>
        <w:t xml:space="preserve">Minimum Security Devices and Procedures, Reports of Suspicious Activities, and Bank Secrecy Act Compliance Program </w:t>
      </w:r>
    </w:p>
    <w:p w:rsidR="00772F60" w:rsidRDefault="00772F60">
      <w:pPr>
        <w:jc w:val="center"/>
        <w:rPr>
          <w:b/>
          <w:bCs/>
        </w:rPr>
      </w:pPr>
    </w:p>
    <w:p w:rsidR="00772F60" w:rsidRDefault="00772F60">
      <w:pPr>
        <w:jc w:val="center"/>
      </w:pPr>
    </w:p>
    <w:p w:rsidR="00772F60" w:rsidRDefault="00772F60">
      <w:pPr>
        <w:rPr>
          <w:b/>
          <w:bCs/>
        </w:rPr>
      </w:pPr>
    </w:p>
    <w:p w:rsidR="00772F60" w:rsidRDefault="00772F60">
      <w:pPr>
        <w:rPr>
          <w:b/>
          <w:bCs/>
        </w:rPr>
      </w:pPr>
      <w:proofErr w:type="gramStart"/>
      <w:r>
        <w:rPr>
          <w:b/>
          <w:bCs/>
        </w:rPr>
        <w:t>A.  Justification.</w:t>
      </w:r>
      <w:proofErr w:type="gramEnd"/>
    </w:p>
    <w:p w:rsidR="00772F60" w:rsidRDefault="00772F60"/>
    <w:p w:rsidR="00772F60" w:rsidRDefault="00772F60">
      <w:pPr>
        <w:rPr>
          <w:b/>
          <w:bCs/>
          <w:i/>
          <w:iCs/>
        </w:rPr>
      </w:pPr>
      <w:r>
        <w:rPr>
          <w:b/>
          <w:bCs/>
          <w:i/>
          <w:iCs/>
        </w:rPr>
        <w:t>1.  Circumstances that make the collection necessary:</w:t>
      </w:r>
    </w:p>
    <w:p w:rsidR="00772F60" w:rsidRDefault="00772F60"/>
    <w:p w:rsidR="00772F60" w:rsidRDefault="00772F60">
      <w:r>
        <w:rPr>
          <w:i/>
          <w:iCs/>
          <w:u w:val="single"/>
        </w:rPr>
        <w:t xml:space="preserve">Minimum Security Devices and </w:t>
      </w:r>
      <w:r w:rsidR="0081697A">
        <w:rPr>
          <w:i/>
          <w:iCs/>
          <w:u w:val="single"/>
        </w:rPr>
        <w:t xml:space="preserve">Procedures (12 CFR 21.2 and 21.4; </w:t>
      </w:r>
      <w:r w:rsidR="005E7CB8">
        <w:rPr>
          <w:i/>
          <w:iCs/>
          <w:u w:val="single"/>
        </w:rPr>
        <w:t xml:space="preserve">and </w:t>
      </w:r>
      <w:r w:rsidR="00D46F59">
        <w:rPr>
          <w:i/>
          <w:iCs/>
          <w:u w:val="single"/>
        </w:rPr>
        <w:t>12 CFR 168.2 and 1</w:t>
      </w:r>
      <w:r w:rsidR="0081697A">
        <w:rPr>
          <w:i/>
          <w:iCs/>
          <w:u w:val="single"/>
        </w:rPr>
        <w:t>68.4)</w:t>
      </w:r>
      <w:r w:rsidR="00996DAF">
        <w:rPr>
          <w:iCs/>
        </w:rPr>
        <w:t xml:space="preserve">:  </w:t>
      </w:r>
      <w:r>
        <w:t xml:space="preserve">Under </w:t>
      </w:r>
      <w:r w:rsidR="002248D5">
        <w:t>12 CFR</w:t>
      </w:r>
      <w:r>
        <w:t xml:space="preserve"> 21.2 and 21.4</w:t>
      </w:r>
      <w:r w:rsidR="0081697A">
        <w:t xml:space="preserve">; and </w:t>
      </w:r>
      <w:r w:rsidR="002248D5">
        <w:t>12 CFR</w:t>
      </w:r>
      <w:r w:rsidR="00D46F59">
        <w:t xml:space="preserve"> 168.2 and 1</w:t>
      </w:r>
      <w:r w:rsidR="0081697A">
        <w:t>68.4</w:t>
      </w:r>
      <w:r>
        <w:t>, national bank</w:t>
      </w:r>
      <w:r w:rsidR="0081697A">
        <w:t>s</w:t>
      </w:r>
      <w:r>
        <w:t xml:space="preserve"> </w:t>
      </w:r>
      <w:r w:rsidR="0081697A">
        <w:t xml:space="preserve">and </w:t>
      </w:r>
      <w:r w:rsidR="00845798">
        <w:t xml:space="preserve">Federal </w:t>
      </w:r>
      <w:r w:rsidR="0081697A">
        <w:t xml:space="preserve">savings associations are </w:t>
      </w:r>
      <w:r>
        <w:t xml:space="preserve">required to designate a security officer who must develop and administer a written security program.  The security officer shall report at least annually to the </w:t>
      </w:r>
      <w:r w:rsidR="0081697A">
        <w:t xml:space="preserve">institution’s </w:t>
      </w:r>
      <w:r>
        <w:t>board of directors on the effectiveness of the security program.  The substance of the re</w:t>
      </w:r>
      <w:r w:rsidR="00996DAF">
        <w:t xml:space="preserve">port </w:t>
      </w:r>
      <w:proofErr w:type="gramStart"/>
      <w:r w:rsidR="00996DAF">
        <w:t>shall be reflected</w:t>
      </w:r>
      <w:proofErr w:type="gramEnd"/>
      <w:r w:rsidR="00996DAF">
        <w:t xml:space="preserve"> in the b</w:t>
      </w:r>
      <w:r>
        <w:t xml:space="preserve">oard’s minutes.  These requirements ensure that </w:t>
      </w:r>
      <w:r w:rsidR="002248D5">
        <w:t>each institution has a</w:t>
      </w:r>
      <w:r>
        <w:t xml:space="preserve"> security officer </w:t>
      </w:r>
      <w:r w:rsidR="002248D5">
        <w:t xml:space="preserve">who </w:t>
      </w:r>
      <w:r>
        <w:t>is responsible for the security program and that</w:t>
      </w:r>
      <w:r w:rsidR="000964E6">
        <w:t xml:space="preserve"> the</w:t>
      </w:r>
      <w:r>
        <w:t xml:space="preserve"> </w:t>
      </w:r>
      <w:r w:rsidR="0081697A">
        <w:t>institution</w:t>
      </w:r>
      <w:r w:rsidR="000964E6">
        <w:t>’s</w:t>
      </w:r>
      <w:r w:rsidR="0081697A">
        <w:t xml:space="preserve"> </w:t>
      </w:r>
      <w:r w:rsidR="002248D5">
        <w:t xml:space="preserve">management and </w:t>
      </w:r>
      <w:r>
        <w:t xml:space="preserve">board of directors are aware of the content </w:t>
      </w:r>
      <w:r w:rsidR="00ED32C3">
        <w:t xml:space="preserve">and effectiveness </w:t>
      </w:r>
      <w:r>
        <w:t xml:space="preserve">of the program.  These requirements </w:t>
      </w:r>
      <w:r w:rsidR="00996DAF">
        <w:t xml:space="preserve">are necessary to </w:t>
      </w:r>
      <w:r>
        <w:t xml:space="preserve">ensure prudent </w:t>
      </w:r>
      <w:r w:rsidR="0081697A">
        <w:t xml:space="preserve">institution </w:t>
      </w:r>
      <w:proofErr w:type="gramStart"/>
      <w:r>
        <w:t>management and safety</w:t>
      </w:r>
      <w:proofErr w:type="gramEnd"/>
      <w:r>
        <w:t xml:space="preserve"> and soundness.</w:t>
      </w:r>
    </w:p>
    <w:p w:rsidR="00772F60" w:rsidRDefault="00772F60">
      <w:pPr>
        <w:pStyle w:val="Footer"/>
        <w:tabs>
          <w:tab w:val="clear" w:pos="4320"/>
          <w:tab w:val="clear" w:pos="8640"/>
        </w:tabs>
      </w:pPr>
    </w:p>
    <w:p w:rsidR="00772F60" w:rsidRDefault="00445664">
      <w:r>
        <w:rPr>
          <w:i/>
          <w:iCs/>
          <w:u w:val="single"/>
        </w:rPr>
        <w:t>Suspicious Activity Report (</w:t>
      </w:r>
      <w:r w:rsidR="00772F60">
        <w:rPr>
          <w:i/>
          <w:iCs/>
          <w:u w:val="single"/>
        </w:rPr>
        <w:t>SAR</w:t>
      </w:r>
      <w:r>
        <w:rPr>
          <w:i/>
          <w:iCs/>
          <w:u w:val="single"/>
        </w:rPr>
        <w:t>)</w:t>
      </w:r>
      <w:r w:rsidR="00772F60">
        <w:rPr>
          <w:i/>
          <w:iCs/>
          <w:u w:val="single"/>
        </w:rPr>
        <w:t xml:space="preserve"> (12 CFR 21.11</w:t>
      </w:r>
      <w:r w:rsidR="00950214">
        <w:rPr>
          <w:i/>
          <w:iCs/>
          <w:u w:val="single"/>
        </w:rPr>
        <w:t xml:space="preserve"> and 12 CFR 163.180</w:t>
      </w:r>
      <w:r w:rsidR="00772F60">
        <w:rPr>
          <w:i/>
          <w:iCs/>
          <w:u w:val="single"/>
        </w:rPr>
        <w:t>):</w:t>
      </w:r>
      <w:r w:rsidR="00772F60">
        <w:t xml:space="preserve">  The Financial Crimes Enforcement Network (</w:t>
      </w:r>
      <w:proofErr w:type="spellStart"/>
      <w:r w:rsidR="00772F60">
        <w:t>FinCEN</w:t>
      </w:r>
      <w:proofErr w:type="spellEnd"/>
      <w:r w:rsidR="00772F60">
        <w:t>) and Federal financial institution supervisory agencies</w:t>
      </w:r>
      <w:r w:rsidR="00772F60">
        <w:rPr>
          <w:rStyle w:val="FootnoteReference"/>
        </w:rPr>
        <w:footnoteReference w:id="1"/>
      </w:r>
      <w:r w:rsidR="00772F60">
        <w:t xml:space="preserve"> (bank regulators) adopted the SAR in 1996 to simplify the process through which</w:t>
      </w:r>
      <w:r w:rsidR="0081697A">
        <w:t xml:space="preserve"> depository institutions </w:t>
      </w:r>
      <w:r w:rsidR="00772F60">
        <w:t xml:space="preserve"> inform their regulators and law enforcement about suspected criminal activity.  The SAR </w:t>
      </w:r>
      <w:proofErr w:type="gramStart"/>
      <w:r w:rsidR="00772F60">
        <w:t>was updated</w:t>
      </w:r>
      <w:proofErr w:type="gramEnd"/>
      <w:r w:rsidR="00772F60">
        <w:t xml:space="preserve"> in 1999</w:t>
      </w:r>
      <w:r w:rsidR="00A55637">
        <w:t>,</w:t>
      </w:r>
      <w:r w:rsidR="00772F60">
        <w:t xml:space="preserve"> 2002</w:t>
      </w:r>
      <w:r w:rsidR="00A55637">
        <w:t>, 2006</w:t>
      </w:r>
      <w:r w:rsidR="00237823">
        <w:t>, 2009</w:t>
      </w:r>
      <w:r w:rsidR="007154C9">
        <w:t>, and 2012</w:t>
      </w:r>
      <w:r w:rsidR="00772F60">
        <w:t xml:space="preserve">.  </w:t>
      </w:r>
    </w:p>
    <w:p w:rsidR="009B2EF7" w:rsidRDefault="009B2EF7"/>
    <w:p w:rsidR="00772F60" w:rsidRDefault="00772F60">
      <w:r>
        <w:t xml:space="preserve">In 1992, the Department of the Treasury </w:t>
      </w:r>
      <w:proofErr w:type="gramStart"/>
      <w:r>
        <w:t>was granted</w:t>
      </w:r>
      <w:proofErr w:type="gramEnd"/>
      <w:r>
        <w:t xml:space="preserve"> broad authority to require suspicious transaction reporting under the Bank Secrecy Act</w:t>
      </w:r>
      <w:r w:rsidR="00996DAF">
        <w:t xml:space="preserve"> (BSA)</w:t>
      </w:r>
      <w:r>
        <w:t xml:space="preserve">.  </w:t>
      </w:r>
      <w:r>
        <w:rPr>
          <w:u w:val="single"/>
        </w:rPr>
        <w:t>See</w:t>
      </w:r>
      <w:r>
        <w:t xml:space="preserve"> 31 U.S.C. 5318(g).  </w:t>
      </w:r>
      <w:proofErr w:type="spellStart"/>
      <w:r>
        <w:t>FinCEN</w:t>
      </w:r>
      <w:proofErr w:type="spellEnd"/>
      <w:r>
        <w:t xml:space="preserve">, which </w:t>
      </w:r>
      <w:proofErr w:type="gramStart"/>
      <w:r>
        <w:t>has  delegated</w:t>
      </w:r>
      <w:proofErr w:type="gramEnd"/>
      <w:r>
        <w:t xml:space="preserve"> authority to administer the B</w:t>
      </w:r>
      <w:r w:rsidR="00996DAF">
        <w:t xml:space="preserve">SA, </w:t>
      </w:r>
      <w:r>
        <w:t xml:space="preserve">joined with the </w:t>
      </w:r>
      <w:r w:rsidR="002248D5">
        <w:t>Federal financial institution supervisory agencies in requiring,</w:t>
      </w:r>
      <w:r>
        <w:t xml:space="preserve"> on a consolidated form, reports of suspicious transactions.  </w:t>
      </w:r>
      <w:proofErr w:type="gramStart"/>
      <w:r>
        <w:t xml:space="preserve">See 31 CFR </w:t>
      </w:r>
      <w:r w:rsidR="00950214">
        <w:t xml:space="preserve">1020.320(a) (formerly 31 CFR </w:t>
      </w:r>
      <w:r>
        <w:t>103.18(a)</w:t>
      </w:r>
      <w:r w:rsidR="00950214">
        <w:t>)</w:t>
      </w:r>
      <w:r>
        <w:t>.</w:t>
      </w:r>
      <w:proofErr w:type="gramEnd"/>
      <w:r>
        <w:t xml:space="preserve">  The filing of SARs is necessary to prevent and detect crimes involving </w:t>
      </w:r>
      <w:r w:rsidR="0081697A">
        <w:t xml:space="preserve">depository institution </w:t>
      </w:r>
      <w:r>
        <w:t xml:space="preserve">funds, </w:t>
      </w:r>
      <w:r w:rsidR="0081697A">
        <w:t xml:space="preserve">institution </w:t>
      </w:r>
      <w:r>
        <w:t xml:space="preserve">insiders, criminal transactions, and money laundering.  These requirements are necessary to ensure </w:t>
      </w:r>
      <w:r w:rsidR="00996DAF">
        <w:t xml:space="preserve">an </w:t>
      </w:r>
      <w:r w:rsidR="0081697A">
        <w:t>institution</w:t>
      </w:r>
      <w:r w:rsidR="00996DAF">
        <w:t>’s</w:t>
      </w:r>
      <w:r w:rsidR="0081697A">
        <w:t xml:space="preserve"> </w:t>
      </w:r>
      <w:r>
        <w:t>safety and soundness.</w:t>
      </w:r>
    </w:p>
    <w:p w:rsidR="00772F60" w:rsidRDefault="00772F60"/>
    <w:p w:rsidR="00772F60" w:rsidRDefault="00772F60">
      <w:r>
        <w:t xml:space="preserve">Banks </w:t>
      </w:r>
      <w:r w:rsidR="0081697A">
        <w:t xml:space="preserve">and savings associations </w:t>
      </w:r>
      <w:r>
        <w:t>are required to maintain a copy of any SAR filed and the original or business record equivalent of any supporting documentation for a period of five years.  The documents are necessary for criminal investigations and prosecutions.</w:t>
      </w:r>
    </w:p>
    <w:p w:rsidR="00772F60" w:rsidRDefault="00772F60"/>
    <w:p w:rsidR="00772F60" w:rsidRDefault="00772F60">
      <w:r>
        <w:rPr>
          <w:i/>
          <w:iCs/>
          <w:u w:val="single"/>
        </w:rPr>
        <w:t>Procedures for Monitoring Bank Secrecy Act Compliance (12 CFR 21.21</w:t>
      </w:r>
      <w:r w:rsidR="00E95C5A">
        <w:rPr>
          <w:i/>
          <w:iCs/>
          <w:u w:val="single"/>
        </w:rPr>
        <w:t>)</w:t>
      </w:r>
      <w:r>
        <w:rPr>
          <w:i/>
          <w:iCs/>
          <w:u w:val="single"/>
        </w:rPr>
        <w:t>:</w:t>
      </w:r>
      <w:r>
        <w:t xml:space="preserve">  Under 12 CFR 21.21, national banks </w:t>
      </w:r>
      <w:r w:rsidR="00950214">
        <w:t xml:space="preserve">and savings associations </w:t>
      </w:r>
      <w:r>
        <w:t xml:space="preserve">are required to develop and provide for the </w:t>
      </w:r>
      <w:r>
        <w:lastRenderedPageBreak/>
        <w:t xml:space="preserve">continued administration of a program reasonably designed to assure and monitor their compliance with the BSA and </w:t>
      </w:r>
      <w:r w:rsidR="00237823">
        <w:t xml:space="preserve">applicable </w:t>
      </w:r>
      <w:r>
        <w:t xml:space="preserve">Treasury regulations.  The compliance program </w:t>
      </w:r>
      <w:r w:rsidR="000964E6">
        <w:t>must</w:t>
      </w:r>
      <w:r>
        <w:t xml:space="preserve"> be </w:t>
      </w:r>
      <w:r w:rsidR="000964E6">
        <w:t xml:space="preserve">in </w:t>
      </w:r>
      <w:r>
        <w:t>writing, approved by the board of directors</w:t>
      </w:r>
      <w:r w:rsidR="000964E6">
        <w:t>,</w:t>
      </w:r>
      <w:r>
        <w:t xml:space="preserve"> and </w:t>
      </w:r>
      <w:r w:rsidR="000964E6">
        <w:t xml:space="preserve">the approval </w:t>
      </w:r>
      <w:r>
        <w:t xml:space="preserve">noted in the minutes.  These requirements are necessary to ensure </w:t>
      </w:r>
      <w:r w:rsidR="0081697A">
        <w:t>institution</w:t>
      </w:r>
      <w:r>
        <w:t xml:space="preserve"> compliance with the BSA and </w:t>
      </w:r>
      <w:r w:rsidR="00237823">
        <w:t>applicable Treasury regulations</w:t>
      </w:r>
      <w:r>
        <w:t xml:space="preserve">.  </w:t>
      </w:r>
    </w:p>
    <w:p w:rsidR="00772F60" w:rsidRDefault="00772F60">
      <w:pPr>
        <w:pStyle w:val="Footer"/>
        <w:tabs>
          <w:tab w:val="clear" w:pos="4320"/>
          <w:tab w:val="clear" w:pos="8640"/>
        </w:tabs>
      </w:pPr>
    </w:p>
    <w:p w:rsidR="00772F60" w:rsidRDefault="00772F60">
      <w:pPr>
        <w:pStyle w:val="BodyText"/>
        <w:rPr>
          <w:b/>
          <w:bCs/>
        </w:rPr>
      </w:pPr>
      <w:r>
        <w:rPr>
          <w:b/>
          <w:bCs/>
        </w:rPr>
        <w:t>2.  Use of the information:</w:t>
      </w:r>
    </w:p>
    <w:p w:rsidR="00772F60" w:rsidRDefault="00772F60">
      <w:pPr>
        <w:pStyle w:val="Footer"/>
        <w:tabs>
          <w:tab w:val="clear" w:pos="4320"/>
          <w:tab w:val="clear" w:pos="8640"/>
        </w:tabs>
      </w:pPr>
    </w:p>
    <w:p w:rsidR="00772F60" w:rsidRDefault="00772F60">
      <w:r>
        <w:rPr>
          <w:i/>
          <w:iCs/>
          <w:u w:val="single"/>
        </w:rPr>
        <w:t xml:space="preserve">Minimum Security Devices and Procedures </w:t>
      </w:r>
      <w:r w:rsidRPr="0081697A">
        <w:rPr>
          <w:i/>
          <w:iCs/>
          <w:u w:val="single"/>
        </w:rPr>
        <w:t>(12 CFR 21.2 and 21.4</w:t>
      </w:r>
      <w:r w:rsidR="00972385">
        <w:rPr>
          <w:i/>
          <w:iCs/>
          <w:u w:val="single"/>
        </w:rPr>
        <w:t>; and</w:t>
      </w:r>
      <w:r w:rsidR="00D46F59">
        <w:rPr>
          <w:i/>
          <w:iCs/>
          <w:u w:val="single"/>
        </w:rPr>
        <w:t xml:space="preserve"> 12 CFR 1</w:t>
      </w:r>
      <w:r w:rsidR="0081697A">
        <w:rPr>
          <w:i/>
          <w:iCs/>
          <w:u w:val="single"/>
        </w:rPr>
        <w:t>68.2 and 568.4</w:t>
      </w:r>
      <w:r>
        <w:rPr>
          <w:i/>
          <w:iCs/>
          <w:u w:val="single"/>
        </w:rPr>
        <w:t>):</w:t>
      </w:r>
      <w:r>
        <w:t xml:space="preserve">  The OCC uses the information to ensure that national banks </w:t>
      </w:r>
      <w:r w:rsidR="0081697A">
        <w:t xml:space="preserve">and </w:t>
      </w:r>
      <w:r w:rsidR="00845798">
        <w:t xml:space="preserve">Federal </w:t>
      </w:r>
      <w:r w:rsidR="0081697A">
        <w:t xml:space="preserve">savings associations </w:t>
      </w:r>
      <w:r>
        <w:t xml:space="preserve">carefully review the effectiveness of their security systems and comply with Federal law.  The information collection ensures that national banks </w:t>
      </w:r>
      <w:r w:rsidR="005E7CB8">
        <w:t xml:space="preserve">and </w:t>
      </w:r>
      <w:r w:rsidR="00845798">
        <w:t xml:space="preserve">Federal </w:t>
      </w:r>
      <w:r w:rsidR="005E7CB8">
        <w:t xml:space="preserve">savings associations </w:t>
      </w:r>
      <w:r>
        <w:t xml:space="preserve">conduct their activities in accordance with </w:t>
      </w:r>
      <w:proofErr w:type="gramStart"/>
      <w:r>
        <w:t>safe and sound</w:t>
      </w:r>
      <w:proofErr w:type="gramEnd"/>
      <w:r>
        <w:t xml:space="preserve"> principles.  </w:t>
      </w:r>
      <w:r w:rsidR="005E7CB8">
        <w:t xml:space="preserve">The </w:t>
      </w:r>
      <w:r>
        <w:t>board</w:t>
      </w:r>
      <w:r w:rsidR="005E7CB8">
        <w:t>s</w:t>
      </w:r>
      <w:r>
        <w:t xml:space="preserve"> of directors </w:t>
      </w:r>
      <w:r w:rsidR="005E7CB8">
        <w:t xml:space="preserve">of national banks and </w:t>
      </w:r>
      <w:r w:rsidR="00845798">
        <w:t xml:space="preserve">Federal </w:t>
      </w:r>
      <w:r w:rsidR="005E7CB8">
        <w:t xml:space="preserve">savings associations </w:t>
      </w:r>
      <w:r>
        <w:t xml:space="preserve">use the information to ensure that the </w:t>
      </w:r>
      <w:r w:rsidR="005E7CB8">
        <w:t xml:space="preserve">institutions’ </w:t>
      </w:r>
      <w:r>
        <w:t>security system</w:t>
      </w:r>
      <w:r w:rsidR="005E7CB8">
        <w:t>s</w:t>
      </w:r>
      <w:r>
        <w:t xml:space="preserve"> </w:t>
      </w:r>
      <w:r w:rsidR="005E7CB8">
        <w:t>are</w:t>
      </w:r>
      <w:r>
        <w:t xml:space="preserve"> adequate.</w:t>
      </w:r>
    </w:p>
    <w:p w:rsidR="00772F60" w:rsidRDefault="00772F60">
      <w:pPr>
        <w:rPr>
          <w:b/>
          <w:bCs/>
          <w:i/>
          <w:iCs/>
        </w:rPr>
      </w:pPr>
    </w:p>
    <w:p w:rsidR="00772F60" w:rsidRDefault="00772F60">
      <w:pPr>
        <w:pStyle w:val="BodyText"/>
        <w:rPr>
          <w:i w:val="0"/>
          <w:iCs w:val="0"/>
        </w:rPr>
      </w:pPr>
      <w:r>
        <w:rPr>
          <w:u w:val="single"/>
        </w:rPr>
        <w:t>SAR and Retention of Records (12 CFR 21.11</w:t>
      </w:r>
      <w:r w:rsidR="00236158">
        <w:rPr>
          <w:u w:val="single"/>
        </w:rPr>
        <w:t xml:space="preserve"> and 12 CFR 163.180</w:t>
      </w:r>
      <w:r>
        <w:rPr>
          <w:u w:val="single"/>
        </w:rPr>
        <w:t>):</w:t>
      </w:r>
      <w:r>
        <w:t xml:space="preserve">  </w:t>
      </w:r>
      <w:r>
        <w:rPr>
          <w:i w:val="0"/>
          <w:iCs w:val="0"/>
        </w:rPr>
        <w:t xml:space="preserve">The OCC uses the SAR and the supporting documentation retained by national banks </w:t>
      </w:r>
      <w:r w:rsidR="005E7CB8">
        <w:rPr>
          <w:i w:val="0"/>
          <w:iCs w:val="0"/>
        </w:rPr>
        <w:t xml:space="preserve">and savings associations </w:t>
      </w:r>
      <w:r>
        <w:rPr>
          <w:i w:val="0"/>
          <w:iCs w:val="0"/>
        </w:rPr>
        <w:t>for supervisory purposes.  The information collection identifies suspicious transactions that could</w:t>
      </w:r>
      <w:r w:rsidR="005E7CB8">
        <w:rPr>
          <w:i w:val="0"/>
          <w:iCs w:val="0"/>
        </w:rPr>
        <w:t xml:space="preserve"> pose a threat to these institutions</w:t>
      </w:r>
      <w:r>
        <w:rPr>
          <w:i w:val="0"/>
          <w:iCs w:val="0"/>
        </w:rPr>
        <w:t xml:space="preserve">.  </w:t>
      </w:r>
    </w:p>
    <w:p w:rsidR="00772F60" w:rsidRDefault="00772F60">
      <w:pPr>
        <w:pStyle w:val="BodyText"/>
        <w:rPr>
          <w:i w:val="0"/>
          <w:iCs w:val="0"/>
        </w:rPr>
      </w:pPr>
    </w:p>
    <w:p w:rsidR="00772F60" w:rsidRDefault="00D5760A">
      <w:pPr>
        <w:pStyle w:val="BodyText"/>
        <w:rPr>
          <w:i w:val="0"/>
          <w:iCs w:val="0"/>
        </w:rPr>
      </w:pPr>
      <w:r>
        <w:rPr>
          <w:i w:val="0"/>
          <w:iCs w:val="0"/>
        </w:rPr>
        <w:t xml:space="preserve">Effective December 31, 2012, </w:t>
      </w:r>
      <w:proofErr w:type="spellStart"/>
      <w:r w:rsidR="00772F60">
        <w:rPr>
          <w:i w:val="0"/>
          <w:iCs w:val="0"/>
        </w:rPr>
        <w:t>FinCEN</w:t>
      </w:r>
      <w:proofErr w:type="spellEnd"/>
      <w:r w:rsidR="00772F60">
        <w:rPr>
          <w:i w:val="0"/>
          <w:iCs w:val="0"/>
        </w:rPr>
        <w:t xml:space="preserve"> </w:t>
      </w:r>
      <w:r>
        <w:rPr>
          <w:i w:val="0"/>
          <w:iCs w:val="0"/>
        </w:rPr>
        <w:t xml:space="preserve">completed </w:t>
      </w:r>
      <w:r w:rsidR="00987F3B">
        <w:rPr>
          <w:i w:val="0"/>
          <w:iCs w:val="0"/>
        </w:rPr>
        <w:t xml:space="preserve">the development of </w:t>
      </w:r>
      <w:r>
        <w:rPr>
          <w:i w:val="0"/>
          <w:iCs w:val="0"/>
        </w:rPr>
        <w:t xml:space="preserve">a modernized </w:t>
      </w:r>
      <w:r w:rsidR="00996DAF">
        <w:rPr>
          <w:i w:val="0"/>
          <w:iCs w:val="0"/>
        </w:rPr>
        <w:t xml:space="preserve">information technology </w:t>
      </w:r>
      <w:r w:rsidR="00772F60">
        <w:rPr>
          <w:i w:val="0"/>
          <w:iCs w:val="0"/>
        </w:rPr>
        <w:t xml:space="preserve">system containing the </w:t>
      </w:r>
      <w:r w:rsidR="005E7CB8">
        <w:rPr>
          <w:i w:val="0"/>
          <w:iCs w:val="0"/>
        </w:rPr>
        <w:t xml:space="preserve">information collected from </w:t>
      </w:r>
      <w:r w:rsidR="00996DAF">
        <w:rPr>
          <w:i w:val="0"/>
          <w:iCs w:val="0"/>
        </w:rPr>
        <w:t>all filing institutions</w:t>
      </w:r>
      <w:r w:rsidR="00772F60">
        <w:rPr>
          <w:i w:val="0"/>
          <w:iCs w:val="0"/>
        </w:rPr>
        <w:t xml:space="preserve">.  </w:t>
      </w:r>
      <w:proofErr w:type="spellStart"/>
      <w:r w:rsidR="00772F60">
        <w:rPr>
          <w:i w:val="0"/>
          <w:iCs w:val="0"/>
        </w:rPr>
        <w:t>FinCEN</w:t>
      </w:r>
      <w:proofErr w:type="spellEnd"/>
      <w:r w:rsidR="00772F60">
        <w:rPr>
          <w:i w:val="0"/>
          <w:iCs w:val="0"/>
        </w:rPr>
        <w:t xml:space="preserve"> provide</w:t>
      </w:r>
      <w:r>
        <w:rPr>
          <w:i w:val="0"/>
          <w:iCs w:val="0"/>
        </w:rPr>
        <w:t>s</w:t>
      </w:r>
      <w:r w:rsidR="00772F60">
        <w:rPr>
          <w:i w:val="0"/>
          <w:iCs w:val="0"/>
        </w:rPr>
        <w:t xml:space="preserve"> on-line access to the information to representatives of bank regulators and appropriate law enforcement agencies.</w:t>
      </w:r>
    </w:p>
    <w:p w:rsidR="00772F60" w:rsidRDefault="00772F60">
      <w:pPr>
        <w:pStyle w:val="BodyText"/>
        <w:rPr>
          <w:i w:val="0"/>
          <w:iCs w:val="0"/>
        </w:rPr>
      </w:pPr>
    </w:p>
    <w:p w:rsidR="00772F60" w:rsidRDefault="00772F60">
      <w:pPr>
        <w:pStyle w:val="BodyText"/>
        <w:rPr>
          <w:i w:val="0"/>
          <w:iCs w:val="0"/>
        </w:rPr>
      </w:pPr>
      <w:r>
        <w:rPr>
          <w:u w:val="single"/>
        </w:rPr>
        <w:t>Procedures for Monitoring Bank Secrecy Act Compliance (12 CFR 21.2</w:t>
      </w:r>
      <w:r w:rsidR="001C4611">
        <w:rPr>
          <w:u w:val="single"/>
        </w:rPr>
        <w:t>1</w:t>
      </w:r>
      <w:r>
        <w:rPr>
          <w:u w:val="single"/>
        </w:rPr>
        <w:t>):</w:t>
      </w:r>
      <w:r>
        <w:rPr>
          <w:i w:val="0"/>
          <w:iCs w:val="0"/>
        </w:rPr>
        <w:t xml:space="preserve">  National banks </w:t>
      </w:r>
      <w:r w:rsidR="005E7CB8">
        <w:rPr>
          <w:i w:val="0"/>
          <w:iCs w:val="0"/>
        </w:rPr>
        <w:t>and</w:t>
      </w:r>
      <w:r w:rsidR="00236158">
        <w:rPr>
          <w:i w:val="0"/>
          <w:iCs w:val="0"/>
        </w:rPr>
        <w:t xml:space="preserve"> savings associations </w:t>
      </w:r>
      <w:r>
        <w:rPr>
          <w:i w:val="0"/>
          <w:iCs w:val="0"/>
        </w:rPr>
        <w:t>use the compliance program to ensure compliance with the B</w:t>
      </w:r>
      <w:r w:rsidR="00996DAF">
        <w:rPr>
          <w:i w:val="0"/>
          <w:iCs w:val="0"/>
        </w:rPr>
        <w:t>SA</w:t>
      </w:r>
      <w:r>
        <w:rPr>
          <w:i w:val="0"/>
          <w:iCs w:val="0"/>
        </w:rPr>
        <w:t xml:space="preserve">.  Bank examiners review the written procedures and board approval in the examination process.  </w:t>
      </w:r>
    </w:p>
    <w:p w:rsidR="00772F60" w:rsidRDefault="00772F60">
      <w:pPr>
        <w:pStyle w:val="BodyText"/>
        <w:rPr>
          <w:i w:val="0"/>
          <w:iCs w:val="0"/>
        </w:rPr>
      </w:pPr>
    </w:p>
    <w:p w:rsidR="00772F60" w:rsidRDefault="00772F60">
      <w:pPr>
        <w:rPr>
          <w:b/>
          <w:bCs/>
          <w:i/>
          <w:iCs/>
        </w:rPr>
      </w:pPr>
      <w:r>
        <w:rPr>
          <w:b/>
          <w:bCs/>
          <w:i/>
          <w:iCs/>
        </w:rPr>
        <w:t>3.  Consideration of the use of improved information technology:</w:t>
      </w:r>
    </w:p>
    <w:p w:rsidR="00772F60" w:rsidRDefault="00772F60"/>
    <w:p w:rsidR="00772F60" w:rsidRDefault="00772F60">
      <w:r>
        <w:rPr>
          <w:i/>
          <w:iCs/>
          <w:u w:val="single"/>
        </w:rPr>
        <w:t>Minimum Security Devices and Procedures (12 CFR 21.2 and 21.4</w:t>
      </w:r>
      <w:r w:rsidR="00D46F59">
        <w:rPr>
          <w:i/>
          <w:iCs/>
          <w:u w:val="single"/>
        </w:rPr>
        <w:t>; and 12 CFR 1</w:t>
      </w:r>
      <w:r w:rsidR="005E7CB8">
        <w:rPr>
          <w:i/>
          <w:iCs/>
          <w:u w:val="single"/>
        </w:rPr>
        <w:t xml:space="preserve">68.2 and </w:t>
      </w:r>
      <w:r w:rsidR="00445664">
        <w:rPr>
          <w:i/>
          <w:iCs/>
          <w:u w:val="single"/>
        </w:rPr>
        <w:t>168</w:t>
      </w:r>
      <w:r w:rsidR="005E7CB8">
        <w:rPr>
          <w:i/>
          <w:iCs/>
          <w:u w:val="single"/>
        </w:rPr>
        <w:t>.4</w:t>
      </w:r>
      <w:r>
        <w:rPr>
          <w:i/>
          <w:iCs/>
          <w:u w:val="single"/>
        </w:rPr>
        <w:t>):</w:t>
      </w:r>
      <w:r>
        <w:t xml:space="preserve">  This is an internal </w:t>
      </w:r>
      <w:r w:rsidR="005E7CB8">
        <w:t xml:space="preserve">institution </w:t>
      </w:r>
      <w:r>
        <w:t xml:space="preserve">record.  </w:t>
      </w:r>
      <w:r w:rsidR="005E7CB8">
        <w:t xml:space="preserve">Institutions </w:t>
      </w:r>
      <w:r>
        <w:t>may use any technology that permits review by OCC examiners.</w:t>
      </w:r>
    </w:p>
    <w:p w:rsidR="00772F60" w:rsidRDefault="00772F60"/>
    <w:p w:rsidR="00772F60" w:rsidRDefault="00772F60">
      <w:pPr>
        <w:pStyle w:val="BodyText"/>
        <w:rPr>
          <w:i w:val="0"/>
          <w:iCs w:val="0"/>
        </w:rPr>
      </w:pPr>
      <w:r>
        <w:rPr>
          <w:u w:val="single"/>
        </w:rPr>
        <w:t>SAR (12 CFR 21.11</w:t>
      </w:r>
      <w:r w:rsidR="00236158">
        <w:rPr>
          <w:u w:val="single"/>
        </w:rPr>
        <w:t xml:space="preserve"> and 12 CFR 163.180</w:t>
      </w:r>
      <w:r>
        <w:rPr>
          <w:u w:val="single"/>
        </w:rPr>
        <w:t>):</w:t>
      </w:r>
      <w:r>
        <w:rPr>
          <w:i w:val="0"/>
          <w:iCs w:val="0"/>
        </w:rPr>
        <w:t xml:space="preserve"> The SAR system uses improved information technology to reduce burden on </w:t>
      </w:r>
      <w:r w:rsidR="005E7CB8">
        <w:rPr>
          <w:i w:val="0"/>
          <w:iCs w:val="0"/>
        </w:rPr>
        <w:t>institutions</w:t>
      </w:r>
      <w:r>
        <w:rPr>
          <w:i w:val="0"/>
          <w:iCs w:val="0"/>
        </w:rPr>
        <w:t xml:space="preserve">.  Whereas </w:t>
      </w:r>
      <w:r w:rsidR="005E7CB8">
        <w:rPr>
          <w:i w:val="0"/>
          <w:iCs w:val="0"/>
        </w:rPr>
        <w:t xml:space="preserve">institutions </w:t>
      </w:r>
      <w:r>
        <w:rPr>
          <w:i w:val="0"/>
          <w:iCs w:val="0"/>
        </w:rPr>
        <w:t>previously filed multiple copies of different forms with their primary regulators, U.S. Attorneys’ offices, the F</w:t>
      </w:r>
      <w:r w:rsidR="00996DAF">
        <w:rPr>
          <w:i w:val="0"/>
          <w:iCs w:val="0"/>
        </w:rPr>
        <w:t>ederal Bureau of Investigation</w:t>
      </w:r>
      <w:r>
        <w:rPr>
          <w:i w:val="0"/>
          <w:iCs w:val="0"/>
        </w:rPr>
        <w:t xml:space="preserve">, and other law enforcement agencies, as necessary, they are now able to file one, consolidated form online with </w:t>
      </w:r>
      <w:proofErr w:type="spellStart"/>
      <w:r>
        <w:rPr>
          <w:i w:val="0"/>
          <w:iCs w:val="0"/>
        </w:rPr>
        <w:t>FinCEN</w:t>
      </w:r>
      <w:proofErr w:type="spellEnd"/>
      <w:r>
        <w:rPr>
          <w:i w:val="0"/>
          <w:iCs w:val="0"/>
        </w:rPr>
        <w:t xml:space="preserve"> through the BSA E-Filing System.  By offering on-line access to </w:t>
      </w:r>
      <w:r w:rsidR="00996DAF">
        <w:rPr>
          <w:i w:val="0"/>
          <w:iCs w:val="0"/>
        </w:rPr>
        <w:t xml:space="preserve">authorized </w:t>
      </w:r>
      <w:r>
        <w:rPr>
          <w:i w:val="0"/>
          <w:iCs w:val="0"/>
        </w:rPr>
        <w:t xml:space="preserve">users, </w:t>
      </w:r>
      <w:proofErr w:type="spellStart"/>
      <w:r>
        <w:rPr>
          <w:i w:val="0"/>
          <w:iCs w:val="0"/>
        </w:rPr>
        <w:t>FinCEN</w:t>
      </w:r>
      <w:proofErr w:type="spellEnd"/>
      <w:r>
        <w:rPr>
          <w:i w:val="0"/>
          <w:iCs w:val="0"/>
        </w:rPr>
        <w:t xml:space="preserve"> has eliminated the need for multiple filings.  Because the </w:t>
      </w:r>
      <w:r w:rsidR="000964E6">
        <w:rPr>
          <w:i w:val="0"/>
          <w:iCs w:val="0"/>
        </w:rPr>
        <w:t xml:space="preserve">system consolidates </w:t>
      </w:r>
      <w:r>
        <w:rPr>
          <w:i w:val="0"/>
          <w:iCs w:val="0"/>
        </w:rPr>
        <w:t xml:space="preserve">various forms into one, the information collected is easier to collate, analyze, and use.  </w:t>
      </w:r>
      <w:proofErr w:type="spellStart"/>
      <w:r w:rsidR="00987F3B">
        <w:rPr>
          <w:i w:val="0"/>
          <w:iCs w:val="0"/>
        </w:rPr>
        <w:t>FinCEN</w:t>
      </w:r>
      <w:proofErr w:type="spellEnd"/>
      <w:r>
        <w:rPr>
          <w:i w:val="0"/>
          <w:iCs w:val="0"/>
        </w:rPr>
        <w:t xml:space="preserve"> also provide</w:t>
      </w:r>
      <w:r w:rsidR="00236158">
        <w:rPr>
          <w:i w:val="0"/>
          <w:iCs w:val="0"/>
        </w:rPr>
        <w:t>s</w:t>
      </w:r>
      <w:r>
        <w:rPr>
          <w:i w:val="0"/>
          <w:iCs w:val="0"/>
        </w:rPr>
        <w:t xml:space="preserve"> improved access to the SAR database for</w:t>
      </w:r>
      <w:r w:rsidR="00996DAF">
        <w:rPr>
          <w:i w:val="0"/>
          <w:iCs w:val="0"/>
        </w:rPr>
        <w:t xml:space="preserve"> law enforcement and state and F</w:t>
      </w:r>
      <w:r>
        <w:rPr>
          <w:i w:val="0"/>
          <w:iCs w:val="0"/>
        </w:rPr>
        <w:t xml:space="preserve">ederal regulators.  </w:t>
      </w:r>
    </w:p>
    <w:p w:rsidR="00772F60" w:rsidRDefault="00772F60">
      <w:pPr>
        <w:pStyle w:val="BodyText"/>
        <w:rPr>
          <w:i w:val="0"/>
          <w:iCs w:val="0"/>
        </w:rPr>
      </w:pPr>
    </w:p>
    <w:p w:rsidR="00772F60" w:rsidRDefault="00772F60">
      <w:pPr>
        <w:pStyle w:val="BodyText"/>
        <w:rPr>
          <w:i w:val="0"/>
          <w:iCs w:val="0"/>
        </w:rPr>
      </w:pPr>
      <w:r>
        <w:rPr>
          <w:u w:val="single"/>
        </w:rPr>
        <w:lastRenderedPageBreak/>
        <w:t>SAR Retention of Records (12 CFR 21.11</w:t>
      </w:r>
      <w:r w:rsidR="00236158">
        <w:rPr>
          <w:u w:val="single"/>
        </w:rPr>
        <w:t xml:space="preserve"> and 12 CFR 163.180</w:t>
      </w:r>
      <w:r>
        <w:rPr>
          <w:u w:val="single"/>
        </w:rPr>
        <w:t>):</w:t>
      </w:r>
      <w:r>
        <w:rPr>
          <w:i w:val="0"/>
          <w:iCs w:val="0"/>
        </w:rPr>
        <w:t xml:space="preserve">  Original documents </w:t>
      </w:r>
      <w:proofErr w:type="gramStart"/>
      <w:r>
        <w:rPr>
          <w:i w:val="0"/>
          <w:iCs w:val="0"/>
        </w:rPr>
        <w:t>are needed</w:t>
      </w:r>
      <w:proofErr w:type="gramEnd"/>
      <w:r>
        <w:rPr>
          <w:i w:val="0"/>
          <w:iCs w:val="0"/>
        </w:rPr>
        <w:t xml:space="preserve"> for investigative and evidentiary purposes.</w:t>
      </w:r>
    </w:p>
    <w:p w:rsidR="00772F60" w:rsidRDefault="00772F60">
      <w:pPr>
        <w:pStyle w:val="BodyText"/>
        <w:rPr>
          <w:i w:val="0"/>
          <w:iCs w:val="0"/>
        </w:rPr>
      </w:pPr>
    </w:p>
    <w:p w:rsidR="00772F60" w:rsidRDefault="00772F60">
      <w:pPr>
        <w:pStyle w:val="BodyText"/>
        <w:rPr>
          <w:i w:val="0"/>
          <w:iCs w:val="0"/>
        </w:rPr>
      </w:pPr>
      <w:r>
        <w:rPr>
          <w:u w:val="single"/>
        </w:rPr>
        <w:t>Procedures for Monitoring Bank Secrecy Act Compliance (12 CFR 21.21):</w:t>
      </w:r>
      <w:r>
        <w:rPr>
          <w:i w:val="0"/>
          <w:iCs w:val="0"/>
        </w:rPr>
        <w:t xml:space="preserve">  The OCC and the other bank regulators have imposed only the minimum requirements needed to satisfy the law.  This is an internal </w:t>
      </w:r>
      <w:r w:rsidR="005E7CB8">
        <w:rPr>
          <w:i w:val="0"/>
          <w:iCs w:val="0"/>
        </w:rPr>
        <w:t xml:space="preserve">institution </w:t>
      </w:r>
      <w:r>
        <w:rPr>
          <w:i w:val="0"/>
          <w:iCs w:val="0"/>
        </w:rPr>
        <w:t xml:space="preserve">record.  National banks </w:t>
      </w:r>
      <w:r w:rsidR="00666879">
        <w:rPr>
          <w:i w:val="0"/>
          <w:iCs w:val="0"/>
        </w:rPr>
        <w:t xml:space="preserve">and savings associations </w:t>
      </w:r>
      <w:r>
        <w:rPr>
          <w:i w:val="0"/>
          <w:iCs w:val="0"/>
        </w:rPr>
        <w:t>may use any information technology that permits review by OCC examiners.</w:t>
      </w:r>
    </w:p>
    <w:p w:rsidR="00772F60" w:rsidRDefault="00772F60"/>
    <w:p w:rsidR="00772F60" w:rsidRDefault="00772F60">
      <w:pPr>
        <w:rPr>
          <w:b/>
          <w:bCs/>
          <w:i/>
          <w:iCs/>
        </w:rPr>
      </w:pPr>
      <w:r>
        <w:rPr>
          <w:b/>
          <w:bCs/>
          <w:i/>
          <w:iCs/>
        </w:rPr>
        <w:t>4.  Efforts to identify duplication:</w:t>
      </w:r>
    </w:p>
    <w:p w:rsidR="00772F60" w:rsidRDefault="00772F60"/>
    <w:p w:rsidR="00772F60" w:rsidRDefault="00772F60">
      <w:r>
        <w:t>The required information is unique and is not duplicative of any other information already collected.</w:t>
      </w:r>
    </w:p>
    <w:p w:rsidR="00772F60" w:rsidRDefault="00772F60"/>
    <w:p w:rsidR="00445664" w:rsidRPr="00445664" w:rsidRDefault="00445664" w:rsidP="00445664">
      <w:pPr>
        <w:pStyle w:val="BodyText"/>
        <w:ind w:left="100" w:right="861"/>
        <w:rPr>
          <w:b/>
          <w:bCs/>
          <w:color w:val="000000"/>
        </w:rPr>
      </w:pPr>
      <w:r w:rsidRPr="009354F7">
        <w:rPr>
          <w:b/>
          <w:bCs/>
          <w:iCs w:val="0"/>
          <w:color w:val="000000"/>
        </w:rPr>
        <w:t xml:space="preserve">5.       </w:t>
      </w:r>
      <w:r w:rsidRPr="009354F7">
        <w:rPr>
          <w:b/>
          <w:bCs/>
          <w:iCs w:val="0"/>
          <w:color w:val="000000"/>
          <w:spacing w:val="-2"/>
        </w:rPr>
        <w:t>If</w:t>
      </w:r>
      <w:r w:rsidRPr="009354F7">
        <w:rPr>
          <w:b/>
          <w:bCs/>
          <w:iCs w:val="0"/>
          <w:color w:val="000000"/>
          <w:spacing w:val="-8"/>
        </w:rPr>
        <w:t xml:space="preserve"> </w:t>
      </w:r>
      <w:r w:rsidRPr="009354F7">
        <w:rPr>
          <w:b/>
          <w:bCs/>
          <w:iCs w:val="0"/>
          <w:color w:val="000000"/>
        </w:rPr>
        <w:t>the</w:t>
      </w:r>
      <w:r w:rsidRPr="009354F7">
        <w:rPr>
          <w:b/>
          <w:bCs/>
          <w:iCs w:val="0"/>
          <w:color w:val="000000"/>
          <w:spacing w:val="-7"/>
        </w:rPr>
        <w:t xml:space="preserve"> </w:t>
      </w:r>
      <w:r w:rsidRPr="009354F7">
        <w:rPr>
          <w:b/>
          <w:bCs/>
          <w:iCs w:val="0"/>
          <w:color w:val="000000"/>
          <w:spacing w:val="-1"/>
        </w:rPr>
        <w:t>collection</w:t>
      </w:r>
      <w:r w:rsidRPr="009354F7">
        <w:rPr>
          <w:b/>
          <w:bCs/>
          <w:iCs w:val="0"/>
          <w:color w:val="000000"/>
          <w:spacing w:val="-7"/>
        </w:rPr>
        <w:t xml:space="preserve"> </w:t>
      </w:r>
      <w:r w:rsidRPr="009354F7">
        <w:rPr>
          <w:b/>
          <w:bCs/>
          <w:iCs w:val="0"/>
          <w:color w:val="000000"/>
        </w:rPr>
        <w:t>of</w:t>
      </w:r>
      <w:r w:rsidRPr="009354F7">
        <w:rPr>
          <w:b/>
          <w:bCs/>
          <w:iCs w:val="0"/>
          <w:color w:val="000000"/>
          <w:spacing w:val="-8"/>
        </w:rPr>
        <w:t xml:space="preserve"> </w:t>
      </w:r>
      <w:r w:rsidRPr="009354F7">
        <w:rPr>
          <w:b/>
          <w:bCs/>
          <w:iCs w:val="0"/>
          <w:color w:val="000000"/>
          <w:spacing w:val="-1"/>
        </w:rPr>
        <w:t>information</w:t>
      </w:r>
      <w:r w:rsidRPr="009354F7">
        <w:rPr>
          <w:b/>
          <w:bCs/>
          <w:iCs w:val="0"/>
          <w:color w:val="000000"/>
          <w:spacing w:val="-7"/>
        </w:rPr>
        <w:t xml:space="preserve"> </w:t>
      </w:r>
      <w:proofErr w:type="gramStart"/>
      <w:r w:rsidRPr="009354F7">
        <w:rPr>
          <w:b/>
          <w:bCs/>
          <w:iCs w:val="0"/>
          <w:color w:val="000000"/>
          <w:spacing w:val="-1"/>
        </w:rPr>
        <w:t>impacts</w:t>
      </w:r>
      <w:proofErr w:type="gramEnd"/>
      <w:r w:rsidRPr="009354F7">
        <w:rPr>
          <w:b/>
          <w:bCs/>
          <w:iCs w:val="0"/>
          <w:color w:val="000000"/>
          <w:spacing w:val="-6"/>
        </w:rPr>
        <w:t xml:space="preserve"> </w:t>
      </w:r>
      <w:r w:rsidRPr="009354F7">
        <w:rPr>
          <w:b/>
          <w:bCs/>
          <w:iCs w:val="0"/>
          <w:color w:val="000000"/>
          <w:spacing w:val="-1"/>
        </w:rPr>
        <w:t>small</w:t>
      </w:r>
      <w:r w:rsidRPr="009354F7">
        <w:rPr>
          <w:b/>
          <w:bCs/>
          <w:iCs w:val="0"/>
          <w:color w:val="000000"/>
          <w:spacing w:val="-7"/>
        </w:rPr>
        <w:t xml:space="preserve"> </w:t>
      </w:r>
      <w:r w:rsidRPr="009354F7">
        <w:rPr>
          <w:b/>
          <w:bCs/>
          <w:iCs w:val="0"/>
          <w:color w:val="000000"/>
          <w:spacing w:val="-1"/>
        </w:rPr>
        <w:t>businesses</w:t>
      </w:r>
      <w:r w:rsidRPr="009354F7">
        <w:rPr>
          <w:b/>
          <w:bCs/>
          <w:iCs w:val="0"/>
          <w:color w:val="000000"/>
          <w:spacing w:val="-6"/>
        </w:rPr>
        <w:t xml:space="preserve"> </w:t>
      </w:r>
      <w:r w:rsidRPr="009354F7">
        <w:rPr>
          <w:b/>
          <w:bCs/>
          <w:iCs w:val="0"/>
          <w:color w:val="000000"/>
        </w:rPr>
        <w:t>or</w:t>
      </w:r>
      <w:r w:rsidRPr="009354F7">
        <w:rPr>
          <w:b/>
          <w:bCs/>
          <w:iCs w:val="0"/>
          <w:color w:val="000000"/>
          <w:spacing w:val="-8"/>
        </w:rPr>
        <w:t xml:space="preserve"> </w:t>
      </w:r>
      <w:r w:rsidRPr="009354F7">
        <w:rPr>
          <w:b/>
          <w:bCs/>
          <w:iCs w:val="0"/>
          <w:color w:val="000000"/>
          <w:spacing w:val="1"/>
        </w:rPr>
        <w:t>other</w:t>
      </w:r>
      <w:r w:rsidRPr="009354F7">
        <w:rPr>
          <w:b/>
          <w:bCs/>
          <w:iCs w:val="0"/>
          <w:color w:val="000000"/>
          <w:spacing w:val="-7"/>
        </w:rPr>
        <w:t xml:space="preserve"> </w:t>
      </w:r>
      <w:r w:rsidRPr="009354F7">
        <w:rPr>
          <w:b/>
          <w:bCs/>
          <w:iCs w:val="0"/>
          <w:color w:val="000000"/>
          <w:spacing w:val="-1"/>
        </w:rPr>
        <w:t>small</w:t>
      </w:r>
      <w:r w:rsidRPr="009354F7">
        <w:rPr>
          <w:b/>
          <w:bCs/>
          <w:iCs w:val="0"/>
          <w:color w:val="000000"/>
          <w:spacing w:val="-6"/>
        </w:rPr>
        <w:t xml:space="preserve"> </w:t>
      </w:r>
      <w:r w:rsidRPr="009354F7">
        <w:rPr>
          <w:b/>
          <w:bCs/>
          <w:iCs w:val="0"/>
          <w:color w:val="000000"/>
        </w:rPr>
        <w:t>entities, describe</w:t>
      </w:r>
      <w:r w:rsidRPr="009354F7">
        <w:rPr>
          <w:b/>
          <w:bCs/>
          <w:iCs w:val="0"/>
          <w:color w:val="000000"/>
          <w:spacing w:val="-7"/>
        </w:rPr>
        <w:t xml:space="preserve"> </w:t>
      </w:r>
      <w:r w:rsidRPr="009354F7">
        <w:rPr>
          <w:b/>
          <w:bCs/>
          <w:iCs w:val="0"/>
          <w:color w:val="000000"/>
          <w:spacing w:val="1"/>
        </w:rPr>
        <w:t>any</w:t>
      </w:r>
      <w:r w:rsidRPr="009354F7">
        <w:rPr>
          <w:b/>
          <w:bCs/>
          <w:iCs w:val="0"/>
          <w:color w:val="000000"/>
          <w:spacing w:val="-11"/>
        </w:rPr>
        <w:t xml:space="preserve"> </w:t>
      </w:r>
      <w:r w:rsidRPr="009354F7">
        <w:rPr>
          <w:b/>
          <w:bCs/>
          <w:iCs w:val="0"/>
          <w:color w:val="000000"/>
          <w:spacing w:val="-1"/>
        </w:rPr>
        <w:t>methods</w:t>
      </w:r>
      <w:r w:rsidRPr="009354F7">
        <w:rPr>
          <w:b/>
          <w:bCs/>
          <w:iCs w:val="0"/>
          <w:color w:val="000000"/>
          <w:spacing w:val="-8"/>
        </w:rPr>
        <w:t xml:space="preserve"> </w:t>
      </w:r>
      <w:r w:rsidRPr="009354F7">
        <w:rPr>
          <w:b/>
          <w:bCs/>
          <w:iCs w:val="0"/>
          <w:color w:val="000000"/>
          <w:spacing w:val="-1"/>
        </w:rPr>
        <w:t>used</w:t>
      </w:r>
      <w:r w:rsidRPr="009354F7">
        <w:rPr>
          <w:b/>
          <w:bCs/>
          <w:iCs w:val="0"/>
          <w:color w:val="000000"/>
          <w:spacing w:val="-8"/>
        </w:rPr>
        <w:t xml:space="preserve"> </w:t>
      </w:r>
      <w:r w:rsidRPr="009354F7">
        <w:rPr>
          <w:b/>
          <w:bCs/>
          <w:iCs w:val="0"/>
          <w:color w:val="000000"/>
        </w:rPr>
        <w:t>to</w:t>
      </w:r>
      <w:r w:rsidRPr="009354F7">
        <w:rPr>
          <w:b/>
          <w:bCs/>
          <w:iCs w:val="0"/>
          <w:color w:val="000000"/>
          <w:spacing w:val="-8"/>
        </w:rPr>
        <w:t xml:space="preserve"> </w:t>
      </w:r>
      <w:r w:rsidRPr="009354F7">
        <w:rPr>
          <w:b/>
          <w:bCs/>
          <w:iCs w:val="0"/>
          <w:color w:val="000000"/>
        </w:rPr>
        <w:t>minimize</w:t>
      </w:r>
      <w:r w:rsidRPr="009354F7">
        <w:rPr>
          <w:b/>
          <w:bCs/>
          <w:iCs w:val="0"/>
          <w:color w:val="000000"/>
          <w:spacing w:val="-8"/>
        </w:rPr>
        <w:t xml:space="preserve"> </w:t>
      </w:r>
      <w:r w:rsidRPr="009354F7">
        <w:rPr>
          <w:b/>
          <w:bCs/>
          <w:iCs w:val="0"/>
          <w:color w:val="000000"/>
          <w:spacing w:val="-1"/>
        </w:rPr>
        <w:t>burden.</w:t>
      </w:r>
    </w:p>
    <w:p w:rsidR="00445664" w:rsidRDefault="00445664" w:rsidP="00445664">
      <w:pPr>
        <w:rPr>
          <w:rFonts w:ascii="Calibri" w:hAnsi="Calibri"/>
          <w:color w:val="000000"/>
        </w:rPr>
      </w:pPr>
    </w:p>
    <w:p w:rsidR="00445664" w:rsidRDefault="00445664" w:rsidP="00445664">
      <w:pPr>
        <w:rPr>
          <w:color w:val="000000"/>
        </w:rPr>
      </w:pPr>
      <w:r>
        <w:rPr>
          <w:color w:val="000000"/>
        </w:rPr>
        <w:t xml:space="preserve">The rule applies to all OCC-supervised institutions regardless of asset size.  The rule requires that institutions report known or suspected violation of Federal law, or a suspicious transaction related to money laundering or a violation of the Bank Secrecy Act.  The rule expects institutions to report criminal matters to law enforcement authorities.  The OCC minimized the impact of the rule by setting the threshold for suspicious activities at $5,000, with the exception of insider-affiliated parties.  </w:t>
      </w:r>
      <w:proofErr w:type="gramStart"/>
      <w:r>
        <w:rPr>
          <w:color w:val="000000"/>
        </w:rPr>
        <w:t>There are no alternatives that would result in further lowering the burden on small institutions, while still accomplishing the purpose of the rule.</w:t>
      </w:r>
      <w:proofErr w:type="gramEnd"/>
    </w:p>
    <w:p w:rsidR="00772F60" w:rsidRDefault="00772F60"/>
    <w:p w:rsidR="00772F60" w:rsidRDefault="00772F60">
      <w:pPr>
        <w:pStyle w:val="BodyText"/>
        <w:rPr>
          <w:b/>
          <w:bCs/>
        </w:rPr>
      </w:pPr>
      <w:r>
        <w:rPr>
          <w:b/>
          <w:bCs/>
        </w:rPr>
        <w:t xml:space="preserve">6.  Consequences to the Federal program if the collection </w:t>
      </w:r>
      <w:proofErr w:type="gramStart"/>
      <w:r>
        <w:rPr>
          <w:b/>
          <w:bCs/>
        </w:rPr>
        <w:t>were conducted</w:t>
      </w:r>
      <w:proofErr w:type="gramEnd"/>
      <w:r>
        <w:rPr>
          <w:b/>
          <w:bCs/>
        </w:rPr>
        <w:t xml:space="preserve"> less frequently:</w:t>
      </w:r>
    </w:p>
    <w:p w:rsidR="00772F60" w:rsidRDefault="00772F60"/>
    <w:p w:rsidR="00772F60" w:rsidRDefault="00772F60">
      <w:r>
        <w:rPr>
          <w:i/>
          <w:iCs/>
          <w:u w:val="single"/>
        </w:rPr>
        <w:t>Minimum Security Devices and Procedures (12 CFR 21.2 and 21.4</w:t>
      </w:r>
      <w:r w:rsidR="00D46F59">
        <w:rPr>
          <w:i/>
          <w:iCs/>
          <w:u w:val="single"/>
        </w:rPr>
        <w:t>; 12 CFR 168.2 and 1</w:t>
      </w:r>
      <w:r w:rsidR="009938F5">
        <w:rPr>
          <w:i/>
          <w:iCs/>
          <w:u w:val="single"/>
        </w:rPr>
        <w:t>68.4</w:t>
      </w:r>
      <w:r>
        <w:rPr>
          <w:i/>
          <w:iCs/>
          <w:u w:val="single"/>
        </w:rPr>
        <w:t>):</w:t>
      </w:r>
      <w:r>
        <w:t xml:space="preserve">  A national bank </w:t>
      </w:r>
      <w:r w:rsidR="009938F5">
        <w:t>and</w:t>
      </w:r>
      <w:r w:rsidR="001C4611">
        <w:t xml:space="preserve"> Federal</w:t>
      </w:r>
      <w:r w:rsidR="009938F5">
        <w:t xml:space="preserve"> savings association </w:t>
      </w:r>
      <w:r>
        <w:t xml:space="preserve">must designate a security officer </w:t>
      </w:r>
      <w:r w:rsidR="00DB6B7D">
        <w:t xml:space="preserve">to </w:t>
      </w:r>
      <w:r>
        <w:t>develop and administer a written security program</w:t>
      </w:r>
      <w:r w:rsidR="00ED32C3">
        <w:t xml:space="preserve"> and report on the effectiveness of the program on an annual basis.  This annual review and reporting is a necessary part of a strong security program and l</w:t>
      </w:r>
      <w:r>
        <w:t xml:space="preserve">ess frequent </w:t>
      </w:r>
      <w:r w:rsidR="00ED32C3">
        <w:t xml:space="preserve">review and reporting could </w:t>
      </w:r>
      <w:r>
        <w:t>impair a</w:t>
      </w:r>
      <w:r w:rsidR="009938F5">
        <w:t xml:space="preserve">n institution’s </w:t>
      </w:r>
      <w:r>
        <w:t xml:space="preserve">safety and soundness.  </w:t>
      </w:r>
    </w:p>
    <w:p w:rsidR="00ED32C3" w:rsidRDefault="00ED32C3"/>
    <w:p w:rsidR="00772F60" w:rsidRDefault="00772F60">
      <w:r>
        <w:rPr>
          <w:i/>
          <w:iCs/>
          <w:u w:val="single"/>
        </w:rPr>
        <w:t>SAR (12 CFR 21.11</w:t>
      </w:r>
      <w:r w:rsidR="00666879">
        <w:rPr>
          <w:i/>
          <w:iCs/>
          <w:u w:val="single"/>
        </w:rPr>
        <w:t xml:space="preserve"> and 12 CFR 163.180</w:t>
      </w:r>
      <w:r>
        <w:rPr>
          <w:i/>
          <w:iCs/>
          <w:u w:val="single"/>
        </w:rPr>
        <w:t>)</w:t>
      </w:r>
      <w:r>
        <w:rPr>
          <w:u w:val="single"/>
        </w:rPr>
        <w:t>:</w:t>
      </w:r>
      <w:r>
        <w:t xml:space="preserve">  With the automated SAR system, the bank regulators, law enforcement, and industry benefit from improved detection of financial crime, analysis of trends, and coordination of investigative efforts.  The SAR requirement provides law enforcement and regulatory agencies with the ability to fight financial crime and ensures t</w:t>
      </w:r>
      <w:r w:rsidR="009938F5">
        <w:t>he safety and soundness of institutions</w:t>
      </w:r>
      <w:r>
        <w:t>.</w:t>
      </w:r>
    </w:p>
    <w:p w:rsidR="00772F60" w:rsidRDefault="00772F60"/>
    <w:p w:rsidR="00772F60" w:rsidRDefault="00772F60">
      <w:r>
        <w:rPr>
          <w:i/>
          <w:iCs/>
          <w:u w:val="single"/>
        </w:rPr>
        <w:t>SAR Retention of Records (12 CFR 21.11</w:t>
      </w:r>
      <w:r w:rsidR="00666879">
        <w:rPr>
          <w:i/>
          <w:iCs/>
          <w:u w:val="single"/>
        </w:rPr>
        <w:t xml:space="preserve"> and 12 CFR 163.180</w:t>
      </w:r>
      <w:r>
        <w:rPr>
          <w:i/>
          <w:iCs/>
          <w:u w:val="single"/>
        </w:rPr>
        <w:t>):</w:t>
      </w:r>
      <w:r>
        <w:t xml:space="preserve">  A national bank </w:t>
      </w:r>
      <w:r w:rsidR="00666879">
        <w:t xml:space="preserve">and savings association </w:t>
      </w:r>
      <w:r>
        <w:t>must maintain a copy of any SAR filed and the original or business record equivalent of any supporting documentation for a period of five years.</w:t>
      </w:r>
    </w:p>
    <w:p w:rsidR="00772F60" w:rsidRDefault="00772F60"/>
    <w:p w:rsidR="00772F60" w:rsidRDefault="00772F60">
      <w:r>
        <w:rPr>
          <w:i/>
          <w:iCs/>
          <w:u w:val="single"/>
        </w:rPr>
        <w:t>Procedures for Monitoring Bank Secrecy Act Compliance (12 CFR 21.21):</w:t>
      </w:r>
      <w:r>
        <w:t xml:space="preserve">  Each national bank </w:t>
      </w:r>
      <w:r w:rsidR="001B0FCD">
        <w:t xml:space="preserve">and savings association </w:t>
      </w:r>
      <w:r>
        <w:t xml:space="preserve">is required to develop and maintain a written </w:t>
      </w:r>
      <w:r w:rsidR="00996DAF">
        <w:t xml:space="preserve">BSA </w:t>
      </w:r>
      <w:r>
        <w:t>compliance program.</w:t>
      </w:r>
    </w:p>
    <w:p w:rsidR="00772F60" w:rsidRDefault="00772F60"/>
    <w:p w:rsidR="00772F60" w:rsidRDefault="00772F60">
      <w:pPr>
        <w:pStyle w:val="BodyText"/>
        <w:rPr>
          <w:b/>
          <w:bCs/>
        </w:rPr>
      </w:pPr>
      <w:r>
        <w:rPr>
          <w:b/>
          <w:bCs/>
        </w:rPr>
        <w:lastRenderedPageBreak/>
        <w:t xml:space="preserve">7.  Special circumstances that would cause an information collection to be conducted in a manner inconsistent with </w:t>
      </w:r>
      <w:proofErr w:type="gramStart"/>
      <w:r>
        <w:rPr>
          <w:b/>
          <w:bCs/>
        </w:rPr>
        <w:t>5</w:t>
      </w:r>
      <w:proofErr w:type="gramEnd"/>
      <w:r>
        <w:rPr>
          <w:b/>
          <w:bCs/>
        </w:rPr>
        <w:t xml:space="preserve"> CFR </w:t>
      </w:r>
      <w:r w:rsidR="00F012B9">
        <w:rPr>
          <w:b/>
          <w:bCs/>
        </w:rPr>
        <w:t>P</w:t>
      </w:r>
      <w:r>
        <w:rPr>
          <w:b/>
          <w:bCs/>
        </w:rPr>
        <w:t>art 1320:</w:t>
      </w:r>
    </w:p>
    <w:p w:rsidR="00772F60" w:rsidRDefault="00772F60"/>
    <w:p w:rsidR="001A3CF1" w:rsidRDefault="00772F60">
      <w:r>
        <w:t xml:space="preserve">With one exception, these recordkeeping and reporting requirements are conducted in a manner consistent with the requirements of </w:t>
      </w:r>
      <w:proofErr w:type="gramStart"/>
      <w:r>
        <w:t>5</w:t>
      </w:r>
      <w:proofErr w:type="gramEnd"/>
      <w:r>
        <w:t xml:space="preserve"> CFR </w:t>
      </w:r>
      <w:r w:rsidR="00F012B9">
        <w:t xml:space="preserve">part </w:t>
      </w:r>
      <w:r>
        <w:t xml:space="preserve">1320.  The reporting of suspicious activity on a SAR may occur more frequently than quarterly, depending on the frequency of the activity.  This information </w:t>
      </w:r>
      <w:proofErr w:type="gramStart"/>
      <w:r>
        <w:t>must be reported</w:t>
      </w:r>
      <w:proofErr w:type="gramEnd"/>
      <w:r>
        <w:t xml:space="preserve"> in a timely manner to enable law enforcement to take appropriate action.  Records </w:t>
      </w:r>
      <w:proofErr w:type="gramStart"/>
      <w:r>
        <w:t>must be kept</w:t>
      </w:r>
      <w:proofErr w:type="gramEnd"/>
      <w:r>
        <w:t xml:space="preserve"> for five years because substantive violations of the law that may be indicated by the suspicious activity are generally subject to statutes of limitations of longer than three years.  To ensure that documents are available for prosecutions, reporting </w:t>
      </w:r>
      <w:r w:rsidR="00666879">
        <w:t>institutions</w:t>
      </w:r>
      <w:r>
        <w:t xml:space="preserve"> must retain original evidentiary documents for five years.</w:t>
      </w:r>
    </w:p>
    <w:p w:rsidR="00772F60" w:rsidRDefault="00772F60"/>
    <w:p w:rsidR="00772F60" w:rsidRDefault="00772F60">
      <w:pPr>
        <w:pStyle w:val="BodyText"/>
        <w:rPr>
          <w:b/>
          <w:bCs/>
        </w:rPr>
      </w:pPr>
      <w:r>
        <w:rPr>
          <w:b/>
          <w:bCs/>
        </w:rPr>
        <w:t>8.  Efforts to consult with persons outside the agency:</w:t>
      </w:r>
    </w:p>
    <w:p w:rsidR="00772F60" w:rsidRDefault="00772F60"/>
    <w:p w:rsidR="00C24463" w:rsidRPr="00C24463" w:rsidRDefault="00C24463" w:rsidP="00C24463">
      <w:r w:rsidRPr="00C24463">
        <w:t xml:space="preserve">In the </w:t>
      </w:r>
      <w:r w:rsidRPr="00C24463">
        <w:rPr>
          <w:u w:val="single"/>
        </w:rPr>
        <w:t>Federal Register</w:t>
      </w:r>
      <w:r w:rsidR="00A278B6">
        <w:t xml:space="preserve"> of </w:t>
      </w:r>
      <w:r w:rsidR="00B81C33">
        <w:t>March 25</w:t>
      </w:r>
      <w:r w:rsidR="00A278B6">
        <w:t>, 201</w:t>
      </w:r>
      <w:r w:rsidR="00F012B9">
        <w:t>6</w:t>
      </w:r>
      <w:r w:rsidR="00445664">
        <w:t>,</w:t>
      </w:r>
      <w:r w:rsidR="00A278B6">
        <w:t xml:space="preserve"> </w:t>
      </w:r>
      <w:r w:rsidR="00F012B9">
        <w:t>81</w:t>
      </w:r>
      <w:r w:rsidR="00996DAF">
        <w:t xml:space="preserve"> </w:t>
      </w:r>
      <w:r w:rsidR="00A278B6">
        <w:t xml:space="preserve">FR </w:t>
      </w:r>
      <w:r w:rsidR="00B81C33">
        <w:t>16277</w:t>
      </w:r>
      <w:r w:rsidRPr="00C24463">
        <w:t xml:space="preserve">, the OCC published a 60-day notice soliciting comments concerning this information collection. </w:t>
      </w:r>
      <w:r w:rsidR="00AD299A">
        <w:t xml:space="preserve"> </w:t>
      </w:r>
      <w:r w:rsidRPr="00C24463">
        <w:t xml:space="preserve">The OCC received no comments.  </w:t>
      </w:r>
    </w:p>
    <w:p w:rsidR="00772F60" w:rsidRDefault="00772F60"/>
    <w:p w:rsidR="00772F60" w:rsidRDefault="00772F60">
      <w:pPr>
        <w:pStyle w:val="BodyText"/>
        <w:rPr>
          <w:b/>
          <w:bCs/>
        </w:rPr>
      </w:pPr>
      <w:r>
        <w:rPr>
          <w:b/>
          <w:bCs/>
        </w:rPr>
        <w:t>9.  Payment or gift to respondents:</w:t>
      </w:r>
    </w:p>
    <w:p w:rsidR="00772F60" w:rsidRDefault="00772F60"/>
    <w:p w:rsidR="00772F60" w:rsidRDefault="00772F60">
      <w:proofErr w:type="gramStart"/>
      <w:r>
        <w:t>None.</w:t>
      </w:r>
      <w:proofErr w:type="gramEnd"/>
    </w:p>
    <w:p w:rsidR="00772F60" w:rsidRDefault="00772F60"/>
    <w:p w:rsidR="00772F60" w:rsidRDefault="00772F60">
      <w:pPr>
        <w:pStyle w:val="BodyText"/>
        <w:rPr>
          <w:b/>
          <w:bCs/>
        </w:rPr>
      </w:pPr>
      <w:r>
        <w:rPr>
          <w:b/>
          <w:bCs/>
        </w:rPr>
        <w:t>10.  Any assurance of confidentiality:</w:t>
      </w:r>
    </w:p>
    <w:p w:rsidR="00772F60" w:rsidRDefault="00772F60"/>
    <w:p w:rsidR="00772F60" w:rsidRDefault="00772F60">
      <w:r>
        <w:t>Information provided to the government on the SARs is expressly prohibited from disclosure under 31 U.S.C. 5318(g</w:t>
      </w:r>
      <w:r w:rsidR="00972385">
        <w:t>) (</w:t>
      </w:r>
      <w:r>
        <w:t xml:space="preserve">2).  Appropriate system security safeguards </w:t>
      </w:r>
      <w:proofErr w:type="gramStart"/>
      <w:r>
        <w:t>have been put</w:t>
      </w:r>
      <w:proofErr w:type="gramEnd"/>
      <w:r>
        <w:t xml:space="preserve"> in place to protect against unauthorized access.</w:t>
      </w:r>
    </w:p>
    <w:p w:rsidR="00772F60" w:rsidRDefault="00772F60"/>
    <w:p w:rsidR="00772F60" w:rsidRDefault="00772F60">
      <w:pPr>
        <w:pStyle w:val="BodyText"/>
        <w:rPr>
          <w:b/>
          <w:bCs/>
        </w:rPr>
      </w:pPr>
      <w:r>
        <w:rPr>
          <w:b/>
          <w:bCs/>
        </w:rPr>
        <w:t>11.  Justification for questions of a sensitive nature:</w:t>
      </w:r>
    </w:p>
    <w:p w:rsidR="00772F60" w:rsidRDefault="00772F60"/>
    <w:p w:rsidR="00772F60" w:rsidRDefault="00772F60">
      <w:r>
        <w:t>There are no questions of a sensitive nature.</w:t>
      </w:r>
    </w:p>
    <w:p w:rsidR="00772F60" w:rsidRDefault="00772F60">
      <w:pPr>
        <w:pStyle w:val="BodyText"/>
        <w:rPr>
          <w:b/>
          <w:bCs/>
        </w:rPr>
      </w:pPr>
    </w:p>
    <w:p w:rsidR="00772F60" w:rsidRDefault="00772F60">
      <w:pPr>
        <w:pStyle w:val="BodyText"/>
        <w:rPr>
          <w:b/>
          <w:bCs/>
        </w:rPr>
      </w:pPr>
      <w:r>
        <w:rPr>
          <w:b/>
          <w:bCs/>
        </w:rPr>
        <w:t>12.  Burden estimate:</w:t>
      </w:r>
    </w:p>
    <w:p w:rsidR="00772F60" w:rsidRDefault="00772F60">
      <w:pPr>
        <w:pStyle w:val="BodyText"/>
        <w:rPr>
          <w:i w:val="0"/>
          <w:iCs w:val="0"/>
        </w:rPr>
      </w:pPr>
    </w:p>
    <w:p w:rsidR="00772F60" w:rsidRDefault="00772F60">
      <w:pPr>
        <w:pStyle w:val="BodyText"/>
        <w:rPr>
          <w:i w:val="0"/>
          <w:iCs w:val="0"/>
        </w:rPr>
      </w:pPr>
      <w:r>
        <w:rPr>
          <w:i w:val="0"/>
          <w:iCs w:val="0"/>
        </w:rPr>
        <w:t xml:space="preserve">The OCC estimates that the time spent by each national bank </w:t>
      </w:r>
      <w:r w:rsidR="006E1F2C">
        <w:rPr>
          <w:i w:val="0"/>
          <w:iCs w:val="0"/>
        </w:rPr>
        <w:t xml:space="preserve">and savings association </w:t>
      </w:r>
      <w:r>
        <w:rPr>
          <w:i w:val="0"/>
          <w:iCs w:val="0"/>
        </w:rPr>
        <w:t>to file a SAR will vary, depend</w:t>
      </w:r>
      <w:r w:rsidR="005E7CB8">
        <w:rPr>
          <w:i w:val="0"/>
          <w:iCs w:val="0"/>
        </w:rPr>
        <w:t>ing on the size and type of institution</w:t>
      </w:r>
      <w:r>
        <w:rPr>
          <w:i w:val="0"/>
          <w:iCs w:val="0"/>
        </w:rPr>
        <w:t xml:space="preserve"> involved and the number of reportable transaction</w:t>
      </w:r>
      <w:r w:rsidR="00E021B6">
        <w:rPr>
          <w:i w:val="0"/>
          <w:iCs w:val="0"/>
        </w:rPr>
        <w:t xml:space="preserve">s.  The OCC estimates that </w:t>
      </w:r>
      <w:r w:rsidR="0003315A">
        <w:rPr>
          <w:i w:val="0"/>
          <w:iCs w:val="0"/>
        </w:rPr>
        <w:t>1,485</w:t>
      </w:r>
      <w:r>
        <w:rPr>
          <w:i w:val="0"/>
          <w:iCs w:val="0"/>
        </w:rPr>
        <w:t xml:space="preserve"> </w:t>
      </w:r>
      <w:r w:rsidR="00AD299A">
        <w:rPr>
          <w:i w:val="0"/>
          <w:iCs w:val="0"/>
        </w:rPr>
        <w:t xml:space="preserve">(as of 1-31-2016) </w:t>
      </w:r>
      <w:r>
        <w:rPr>
          <w:i w:val="0"/>
          <w:iCs w:val="0"/>
        </w:rPr>
        <w:t>national banks</w:t>
      </w:r>
      <w:r w:rsidR="00E021B6">
        <w:rPr>
          <w:i w:val="0"/>
          <w:iCs w:val="0"/>
        </w:rPr>
        <w:t xml:space="preserve"> </w:t>
      </w:r>
      <w:r w:rsidR="009A2FFE">
        <w:rPr>
          <w:i w:val="0"/>
          <w:iCs w:val="0"/>
        </w:rPr>
        <w:t xml:space="preserve">and savings associations </w:t>
      </w:r>
      <w:r w:rsidR="00E021B6">
        <w:rPr>
          <w:i w:val="0"/>
          <w:iCs w:val="0"/>
        </w:rPr>
        <w:t xml:space="preserve">will file approximately </w:t>
      </w:r>
      <w:r w:rsidR="0003315A">
        <w:rPr>
          <w:i w:val="0"/>
          <w:iCs w:val="0"/>
        </w:rPr>
        <w:t>613,294</w:t>
      </w:r>
      <w:r w:rsidR="009A2FFE">
        <w:rPr>
          <w:i w:val="0"/>
          <w:iCs w:val="0"/>
        </w:rPr>
        <w:t xml:space="preserve"> </w:t>
      </w:r>
      <w:r>
        <w:rPr>
          <w:i w:val="0"/>
          <w:iCs w:val="0"/>
        </w:rPr>
        <w:t>SAR</w:t>
      </w:r>
      <w:r w:rsidR="00AD299A">
        <w:rPr>
          <w:i w:val="0"/>
          <w:iCs w:val="0"/>
        </w:rPr>
        <w:t>s</w:t>
      </w:r>
      <w:r>
        <w:rPr>
          <w:i w:val="0"/>
          <w:iCs w:val="0"/>
        </w:rPr>
        <w:t xml:space="preserve"> each year.  The OCC estimates that the annu</w:t>
      </w:r>
      <w:r w:rsidR="00E021B6">
        <w:rPr>
          <w:i w:val="0"/>
          <w:iCs w:val="0"/>
        </w:rPr>
        <w:t xml:space="preserve">al recordkeeping burden of </w:t>
      </w:r>
      <w:r w:rsidR="0003315A">
        <w:rPr>
          <w:i w:val="0"/>
          <w:iCs w:val="0"/>
        </w:rPr>
        <w:t>1,485</w:t>
      </w:r>
      <w:r>
        <w:rPr>
          <w:i w:val="0"/>
          <w:iCs w:val="0"/>
        </w:rPr>
        <w:t xml:space="preserve"> national banks </w:t>
      </w:r>
      <w:r w:rsidR="009A2FFE">
        <w:rPr>
          <w:i w:val="0"/>
          <w:iCs w:val="0"/>
        </w:rPr>
        <w:t xml:space="preserve">and savings associations </w:t>
      </w:r>
      <w:r>
        <w:rPr>
          <w:i w:val="0"/>
          <w:iCs w:val="0"/>
        </w:rPr>
        <w:t xml:space="preserve">will vary, depending on the size and type of bank.  The burden </w:t>
      </w:r>
      <w:proofErr w:type="gramStart"/>
      <w:r>
        <w:rPr>
          <w:i w:val="0"/>
          <w:iCs w:val="0"/>
        </w:rPr>
        <w:t>is calculated</w:t>
      </w:r>
      <w:proofErr w:type="gramEnd"/>
      <w:r>
        <w:rPr>
          <w:i w:val="0"/>
          <w:iCs w:val="0"/>
        </w:rPr>
        <w:t xml:space="preserve"> as follows:</w:t>
      </w:r>
    </w:p>
    <w:p w:rsidR="00772F60" w:rsidRDefault="00772F60">
      <w:pPr>
        <w:pStyle w:val="BodyText"/>
        <w:rPr>
          <w:i w:val="0"/>
          <w:iCs w:val="0"/>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3780"/>
        <w:gridCol w:w="2070"/>
        <w:gridCol w:w="1080"/>
        <w:gridCol w:w="1440"/>
      </w:tblGrid>
      <w:tr w:rsidR="00772F60" w:rsidTr="00891604">
        <w:trPr>
          <w:tblHeader/>
        </w:trPr>
        <w:tc>
          <w:tcPr>
            <w:tcW w:w="1710" w:type="dxa"/>
            <w:shd w:val="pct20" w:color="auto" w:fill="auto"/>
          </w:tcPr>
          <w:p w:rsidR="00772F60" w:rsidRDefault="00891604">
            <w:pPr>
              <w:pStyle w:val="ArticleNumber"/>
              <w:numPr>
                <w:ilvl w:val="0"/>
                <w:numId w:val="0"/>
              </w:numPr>
              <w:spacing w:line="240" w:lineRule="auto"/>
              <w:rPr>
                <w:b/>
                <w:bCs/>
                <w:sz w:val="20"/>
              </w:rPr>
            </w:pPr>
            <w:r>
              <w:rPr>
                <w:b/>
                <w:bCs/>
                <w:sz w:val="20"/>
              </w:rPr>
              <w:t>Citation</w:t>
            </w:r>
          </w:p>
          <w:p w:rsidR="00772F60" w:rsidRDefault="00772F60">
            <w:pPr>
              <w:jc w:val="center"/>
              <w:rPr>
                <w:b/>
                <w:bCs/>
                <w:sz w:val="20"/>
              </w:rPr>
            </w:pPr>
            <w:r>
              <w:rPr>
                <w:b/>
                <w:bCs/>
                <w:sz w:val="20"/>
              </w:rPr>
              <w:t>and</w:t>
            </w:r>
          </w:p>
          <w:p w:rsidR="00772F60" w:rsidRDefault="00772F60">
            <w:pPr>
              <w:jc w:val="center"/>
              <w:rPr>
                <w:b/>
                <w:bCs/>
                <w:sz w:val="20"/>
              </w:rPr>
            </w:pPr>
            <w:r>
              <w:rPr>
                <w:b/>
                <w:bCs/>
                <w:sz w:val="20"/>
              </w:rPr>
              <w:t>Burden Type</w:t>
            </w:r>
          </w:p>
        </w:tc>
        <w:tc>
          <w:tcPr>
            <w:tcW w:w="3780" w:type="dxa"/>
            <w:shd w:val="pct20" w:color="auto" w:fill="auto"/>
          </w:tcPr>
          <w:p w:rsidR="00772F60" w:rsidRDefault="00772F60">
            <w:pPr>
              <w:jc w:val="center"/>
              <w:rPr>
                <w:b/>
                <w:bCs/>
                <w:sz w:val="20"/>
              </w:rPr>
            </w:pPr>
            <w:r>
              <w:rPr>
                <w:b/>
                <w:bCs/>
                <w:sz w:val="20"/>
              </w:rPr>
              <w:t>Information Collection Requirements</w:t>
            </w:r>
          </w:p>
          <w:p w:rsidR="00772F60" w:rsidRDefault="00772F60" w:rsidP="00D45F69">
            <w:pPr>
              <w:jc w:val="center"/>
              <w:rPr>
                <w:b/>
                <w:bCs/>
                <w:sz w:val="20"/>
              </w:rPr>
            </w:pPr>
          </w:p>
        </w:tc>
        <w:tc>
          <w:tcPr>
            <w:tcW w:w="2070" w:type="dxa"/>
            <w:shd w:val="pct20" w:color="auto" w:fill="auto"/>
          </w:tcPr>
          <w:p w:rsidR="00772F60" w:rsidRDefault="00772F60">
            <w:pPr>
              <w:pStyle w:val="ArticleNumber"/>
              <w:numPr>
                <w:ilvl w:val="0"/>
                <w:numId w:val="0"/>
              </w:numPr>
              <w:spacing w:line="240" w:lineRule="auto"/>
              <w:rPr>
                <w:b/>
                <w:bCs/>
                <w:sz w:val="20"/>
              </w:rPr>
            </w:pPr>
            <w:r>
              <w:rPr>
                <w:b/>
                <w:bCs/>
                <w:sz w:val="20"/>
              </w:rPr>
              <w:t>Number</w:t>
            </w:r>
          </w:p>
          <w:p w:rsidR="00772F60" w:rsidRDefault="00772F60">
            <w:pPr>
              <w:pStyle w:val="ArticleNumber"/>
              <w:numPr>
                <w:ilvl w:val="0"/>
                <w:numId w:val="0"/>
              </w:numPr>
              <w:spacing w:line="240" w:lineRule="auto"/>
              <w:rPr>
                <w:b/>
                <w:bCs/>
                <w:sz w:val="20"/>
              </w:rPr>
            </w:pPr>
            <w:r>
              <w:rPr>
                <w:b/>
                <w:bCs/>
                <w:sz w:val="20"/>
              </w:rPr>
              <w:t>of</w:t>
            </w:r>
          </w:p>
          <w:p w:rsidR="00891604" w:rsidRDefault="00772F60" w:rsidP="00891604">
            <w:pPr>
              <w:pStyle w:val="ArticleNumber"/>
              <w:numPr>
                <w:ilvl w:val="0"/>
                <w:numId w:val="0"/>
              </w:numPr>
              <w:spacing w:line="240" w:lineRule="auto"/>
              <w:rPr>
                <w:b/>
                <w:bCs/>
                <w:sz w:val="20"/>
              </w:rPr>
            </w:pPr>
            <w:r>
              <w:rPr>
                <w:b/>
                <w:bCs/>
                <w:sz w:val="20"/>
              </w:rPr>
              <w:t>Respondents</w:t>
            </w:r>
          </w:p>
          <w:p w:rsidR="00772F60" w:rsidRDefault="00772F60">
            <w:pPr>
              <w:pStyle w:val="ArticleNumber"/>
              <w:numPr>
                <w:ilvl w:val="0"/>
                <w:numId w:val="0"/>
              </w:numPr>
              <w:spacing w:line="240" w:lineRule="auto"/>
              <w:rPr>
                <w:b/>
                <w:bCs/>
                <w:sz w:val="20"/>
              </w:rPr>
            </w:pPr>
            <w:r>
              <w:rPr>
                <w:b/>
                <w:bCs/>
                <w:sz w:val="20"/>
              </w:rPr>
              <w:t xml:space="preserve"> and Response</w:t>
            </w:r>
            <w:r w:rsidR="00891604">
              <w:rPr>
                <w:b/>
                <w:bCs/>
                <w:sz w:val="20"/>
              </w:rPr>
              <w:t>s or Records</w:t>
            </w:r>
          </w:p>
        </w:tc>
        <w:tc>
          <w:tcPr>
            <w:tcW w:w="1080" w:type="dxa"/>
            <w:shd w:val="pct20" w:color="auto" w:fill="auto"/>
          </w:tcPr>
          <w:p w:rsidR="00772F60" w:rsidRDefault="00772F60" w:rsidP="00C6298E">
            <w:pPr>
              <w:pStyle w:val="ArticleNumber"/>
              <w:numPr>
                <w:ilvl w:val="0"/>
                <w:numId w:val="0"/>
              </w:numPr>
              <w:spacing w:line="240" w:lineRule="auto"/>
              <w:rPr>
                <w:b/>
                <w:bCs/>
                <w:sz w:val="20"/>
              </w:rPr>
            </w:pPr>
            <w:r>
              <w:rPr>
                <w:b/>
                <w:bCs/>
                <w:sz w:val="20"/>
              </w:rPr>
              <w:t>Average</w:t>
            </w:r>
          </w:p>
          <w:p w:rsidR="00772F60" w:rsidRDefault="00772F60" w:rsidP="00C6298E">
            <w:pPr>
              <w:jc w:val="center"/>
              <w:rPr>
                <w:b/>
                <w:bCs/>
                <w:sz w:val="20"/>
              </w:rPr>
            </w:pPr>
            <w:r>
              <w:rPr>
                <w:b/>
                <w:bCs/>
                <w:sz w:val="20"/>
              </w:rPr>
              <w:t>Hours Per</w:t>
            </w:r>
          </w:p>
          <w:p w:rsidR="00772F60" w:rsidRDefault="00772F60" w:rsidP="00C6298E">
            <w:pPr>
              <w:jc w:val="center"/>
              <w:rPr>
                <w:b/>
                <w:bCs/>
                <w:sz w:val="20"/>
              </w:rPr>
            </w:pPr>
            <w:r>
              <w:rPr>
                <w:b/>
                <w:bCs/>
                <w:sz w:val="20"/>
              </w:rPr>
              <w:t>Response</w:t>
            </w:r>
          </w:p>
        </w:tc>
        <w:tc>
          <w:tcPr>
            <w:tcW w:w="1440" w:type="dxa"/>
            <w:shd w:val="pct20" w:color="auto" w:fill="auto"/>
          </w:tcPr>
          <w:p w:rsidR="00772F60" w:rsidRDefault="00772F60">
            <w:pPr>
              <w:pStyle w:val="ArticleNumber"/>
              <w:numPr>
                <w:ilvl w:val="0"/>
                <w:numId w:val="0"/>
              </w:numPr>
              <w:spacing w:line="240" w:lineRule="auto"/>
              <w:rPr>
                <w:b/>
                <w:bCs/>
                <w:sz w:val="20"/>
              </w:rPr>
            </w:pPr>
            <w:r>
              <w:rPr>
                <w:b/>
                <w:bCs/>
                <w:sz w:val="20"/>
              </w:rPr>
              <w:t>Estimated</w:t>
            </w:r>
          </w:p>
          <w:p w:rsidR="00772F60" w:rsidRDefault="00772F60">
            <w:pPr>
              <w:jc w:val="center"/>
              <w:rPr>
                <w:b/>
                <w:bCs/>
                <w:sz w:val="20"/>
              </w:rPr>
            </w:pPr>
            <w:r>
              <w:rPr>
                <w:b/>
                <w:bCs/>
                <w:sz w:val="20"/>
              </w:rPr>
              <w:t>Burden</w:t>
            </w:r>
          </w:p>
          <w:p w:rsidR="00772F60" w:rsidRDefault="00772F60">
            <w:pPr>
              <w:jc w:val="center"/>
              <w:rPr>
                <w:b/>
                <w:bCs/>
                <w:sz w:val="20"/>
              </w:rPr>
            </w:pPr>
            <w:r>
              <w:rPr>
                <w:b/>
                <w:bCs/>
                <w:sz w:val="20"/>
              </w:rPr>
              <w:t>Hours</w:t>
            </w:r>
          </w:p>
        </w:tc>
      </w:tr>
      <w:tr w:rsidR="00772F60">
        <w:tc>
          <w:tcPr>
            <w:tcW w:w="1710" w:type="dxa"/>
          </w:tcPr>
          <w:p w:rsidR="009938F5" w:rsidRDefault="00772F60">
            <w:pPr>
              <w:rPr>
                <w:sz w:val="20"/>
              </w:rPr>
            </w:pPr>
            <w:r>
              <w:rPr>
                <w:sz w:val="20"/>
              </w:rPr>
              <w:t>12 CFR 21.2 and 21.4</w:t>
            </w:r>
            <w:r w:rsidR="009938F5">
              <w:rPr>
                <w:sz w:val="20"/>
              </w:rPr>
              <w:t xml:space="preserve">; </w:t>
            </w:r>
          </w:p>
          <w:p w:rsidR="009938F5" w:rsidRDefault="00D46F59">
            <w:pPr>
              <w:rPr>
                <w:sz w:val="20"/>
              </w:rPr>
            </w:pPr>
            <w:r>
              <w:rPr>
                <w:sz w:val="20"/>
              </w:rPr>
              <w:t xml:space="preserve">12 CFR 168.2 and </w:t>
            </w:r>
            <w:r>
              <w:rPr>
                <w:sz w:val="20"/>
              </w:rPr>
              <w:lastRenderedPageBreak/>
              <w:t>1</w:t>
            </w:r>
            <w:r w:rsidR="009938F5">
              <w:rPr>
                <w:sz w:val="20"/>
              </w:rPr>
              <w:t>68.4</w:t>
            </w:r>
          </w:p>
          <w:p w:rsidR="00772F60" w:rsidRDefault="00772F60">
            <w:pPr>
              <w:rPr>
                <w:sz w:val="20"/>
              </w:rPr>
            </w:pPr>
            <w:r>
              <w:rPr>
                <w:sz w:val="20"/>
              </w:rPr>
              <w:t>Recordkeeping</w:t>
            </w:r>
          </w:p>
        </w:tc>
        <w:tc>
          <w:tcPr>
            <w:tcW w:w="3780" w:type="dxa"/>
          </w:tcPr>
          <w:p w:rsidR="00772F60" w:rsidRDefault="00772F60">
            <w:pPr>
              <w:pStyle w:val="BodyText"/>
              <w:rPr>
                <w:b/>
                <w:bCs/>
                <w:sz w:val="20"/>
              </w:rPr>
            </w:pPr>
            <w:r>
              <w:rPr>
                <w:b/>
                <w:bCs/>
                <w:sz w:val="20"/>
              </w:rPr>
              <w:lastRenderedPageBreak/>
              <w:t>Minimum Security Devices and Procedures</w:t>
            </w:r>
          </w:p>
          <w:p w:rsidR="00772F60" w:rsidRDefault="00772F60">
            <w:pPr>
              <w:rPr>
                <w:b/>
                <w:bCs/>
                <w:i/>
                <w:iCs/>
                <w:sz w:val="20"/>
              </w:rPr>
            </w:pPr>
          </w:p>
          <w:p w:rsidR="00772F60" w:rsidRDefault="00772F60">
            <w:pPr>
              <w:rPr>
                <w:sz w:val="20"/>
              </w:rPr>
            </w:pPr>
            <w:r>
              <w:rPr>
                <w:b/>
                <w:bCs/>
                <w:i/>
                <w:iCs/>
                <w:sz w:val="20"/>
              </w:rPr>
              <w:lastRenderedPageBreak/>
              <w:t>§ 21.2</w:t>
            </w:r>
            <w:r w:rsidR="00F7473A">
              <w:rPr>
                <w:b/>
                <w:bCs/>
                <w:i/>
                <w:iCs/>
                <w:sz w:val="20"/>
              </w:rPr>
              <w:t xml:space="preserve"> </w:t>
            </w:r>
            <w:r w:rsidR="00D46F59">
              <w:rPr>
                <w:b/>
                <w:bCs/>
                <w:i/>
                <w:iCs/>
                <w:sz w:val="20"/>
              </w:rPr>
              <w:t>and 1</w:t>
            </w:r>
            <w:r w:rsidR="009938F5">
              <w:rPr>
                <w:b/>
                <w:bCs/>
                <w:i/>
                <w:iCs/>
                <w:sz w:val="20"/>
              </w:rPr>
              <w:t>68.2</w:t>
            </w:r>
            <w:r>
              <w:rPr>
                <w:b/>
                <w:bCs/>
                <w:i/>
                <w:iCs/>
                <w:sz w:val="20"/>
              </w:rPr>
              <w:t xml:space="preserve"> – Designation of security officer</w:t>
            </w:r>
            <w:r>
              <w:rPr>
                <w:sz w:val="20"/>
              </w:rPr>
              <w:t xml:space="preserve"> – </w:t>
            </w:r>
            <w:r w:rsidR="009938F5">
              <w:rPr>
                <w:sz w:val="20"/>
              </w:rPr>
              <w:t xml:space="preserve">The board of directors of each </w:t>
            </w:r>
            <w:r w:rsidR="00972385">
              <w:rPr>
                <w:sz w:val="20"/>
              </w:rPr>
              <w:t xml:space="preserve">national </w:t>
            </w:r>
            <w:r w:rsidR="009938F5">
              <w:rPr>
                <w:sz w:val="20"/>
              </w:rPr>
              <w:t xml:space="preserve">bank and </w:t>
            </w:r>
            <w:r w:rsidR="001C4611">
              <w:rPr>
                <w:sz w:val="20"/>
              </w:rPr>
              <w:t xml:space="preserve">Federal </w:t>
            </w:r>
            <w:r w:rsidR="009938F5">
              <w:rPr>
                <w:sz w:val="20"/>
              </w:rPr>
              <w:t xml:space="preserve">savings association </w:t>
            </w:r>
            <w:r>
              <w:rPr>
                <w:sz w:val="20"/>
              </w:rPr>
              <w:t>shall designate a security officer who must develop and administer a written security program.</w:t>
            </w:r>
          </w:p>
          <w:p w:rsidR="00772F60" w:rsidRDefault="00772F60">
            <w:pPr>
              <w:rPr>
                <w:sz w:val="20"/>
              </w:rPr>
            </w:pPr>
          </w:p>
          <w:p w:rsidR="00772F60" w:rsidRDefault="00772F60" w:rsidP="00F36E6C">
            <w:pPr>
              <w:rPr>
                <w:sz w:val="20"/>
              </w:rPr>
            </w:pPr>
            <w:r>
              <w:rPr>
                <w:b/>
                <w:bCs/>
                <w:i/>
                <w:iCs/>
                <w:sz w:val="20"/>
              </w:rPr>
              <w:t>§ 21.4</w:t>
            </w:r>
            <w:r w:rsidR="00F36E6C">
              <w:rPr>
                <w:b/>
                <w:bCs/>
                <w:i/>
                <w:iCs/>
                <w:sz w:val="20"/>
              </w:rPr>
              <w:t xml:space="preserve"> </w:t>
            </w:r>
            <w:r w:rsidR="00D46F59">
              <w:rPr>
                <w:b/>
                <w:bCs/>
                <w:i/>
                <w:iCs/>
                <w:sz w:val="20"/>
              </w:rPr>
              <w:t>and 1</w:t>
            </w:r>
            <w:r w:rsidR="00D45F69">
              <w:rPr>
                <w:b/>
                <w:bCs/>
                <w:i/>
                <w:iCs/>
                <w:sz w:val="20"/>
              </w:rPr>
              <w:t>68.4</w:t>
            </w:r>
            <w:r>
              <w:rPr>
                <w:b/>
                <w:bCs/>
                <w:i/>
                <w:iCs/>
                <w:sz w:val="20"/>
              </w:rPr>
              <w:t xml:space="preserve"> – Report</w:t>
            </w:r>
            <w:r>
              <w:rPr>
                <w:sz w:val="20"/>
              </w:rPr>
              <w:t xml:space="preserve"> – The security officer for a national bank </w:t>
            </w:r>
            <w:r w:rsidR="009938F5">
              <w:rPr>
                <w:sz w:val="20"/>
              </w:rPr>
              <w:t>and</w:t>
            </w:r>
            <w:r w:rsidR="001C4611">
              <w:rPr>
                <w:sz w:val="20"/>
              </w:rPr>
              <w:t xml:space="preserve"> Federal</w:t>
            </w:r>
            <w:r w:rsidR="009938F5">
              <w:rPr>
                <w:sz w:val="20"/>
              </w:rPr>
              <w:t xml:space="preserve"> savings association </w:t>
            </w:r>
            <w:r>
              <w:rPr>
                <w:sz w:val="20"/>
              </w:rPr>
              <w:t xml:space="preserve">shall report at least annually to the </w:t>
            </w:r>
            <w:r w:rsidR="00F36E6C">
              <w:rPr>
                <w:sz w:val="20"/>
              </w:rPr>
              <w:t>institution</w:t>
            </w:r>
            <w:r>
              <w:rPr>
                <w:sz w:val="20"/>
              </w:rPr>
              <w:t>’s board of directors on the effectiveness of the security program.  The substance of such re</w:t>
            </w:r>
            <w:r w:rsidR="00AD299A">
              <w:rPr>
                <w:sz w:val="20"/>
              </w:rPr>
              <w:t xml:space="preserve">port </w:t>
            </w:r>
            <w:proofErr w:type="gramStart"/>
            <w:r w:rsidR="00AD299A">
              <w:rPr>
                <w:sz w:val="20"/>
              </w:rPr>
              <w:t>shall be reflected</w:t>
            </w:r>
            <w:proofErr w:type="gramEnd"/>
            <w:r w:rsidR="00AD299A">
              <w:rPr>
                <w:sz w:val="20"/>
              </w:rPr>
              <w:t xml:space="preserve"> in the b</w:t>
            </w:r>
            <w:r>
              <w:rPr>
                <w:sz w:val="20"/>
              </w:rPr>
              <w:t>oard minutes.</w:t>
            </w:r>
          </w:p>
        </w:tc>
        <w:tc>
          <w:tcPr>
            <w:tcW w:w="2070" w:type="dxa"/>
          </w:tcPr>
          <w:p w:rsidR="00772F60" w:rsidRPr="00237823" w:rsidRDefault="0003315A" w:rsidP="00C6298E">
            <w:pPr>
              <w:jc w:val="right"/>
              <w:rPr>
                <w:sz w:val="20"/>
              </w:rPr>
            </w:pPr>
            <w:r>
              <w:rPr>
                <w:sz w:val="20"/>
              </w:rPr>
              <w:lastRenderedPageBreak/>
              <w:t>1,485</w:t>
            </w:r>
            <w:r w:rsidR="00772F60" w:rsidRPr="00237823">
              <w:rPr>
                <w:sz w:val="20"/>
              </w:rPr>
              <w:t xml:space="preserve"> </w:t>
            </w:r>
            <w:proofErr w:type="spellStart"/>
            <w:r w:rsidR="00772F60" w:rsidRPr="00237823">
              <w:rPr>
                <w:sz w:val="20"/>
              </w:rPr>
              <w:t>recordkeepers</w:t>
            </w:r>
            <w:proofErr w:type="spellEnd"/>
          </w:p>
          <w:p w:rsidR="00772F60" w:rsidRPr="00237823" w:rsidRDefault="0003315A" w:rsidP="00237823">
            <w:pPr>
              <w:jc w:val="right"/>
              <w:rPr>
                <w:sz w:val="20"/>
              </w:rPr>
            </w:pPr>
            <w:r>
              <w:rPr>
                <w:sz w:val="20"/>
              </w:rPr>
              <w:t>1,485</w:t>
            </w:r>
            <w:r w:rsidR="00237823">
              <w:rPr>
                <w:sz w:val="20"/>
              </w:rPr>
              <w:t xml:space="preserve"> </w:t>
            </w:r>
            <w:r w:rsidR="00772F60" w:rsidRPr="00237823">
              <w:rPr>
                <w:sz w:val="20"/>
              </w:rPr>
              <w:t>records</w:t>
            </w:r>
          </w:p>
        </w:tc>
        <w:tc>
          <w:tcPr>
            <w:tcW w:w="1080" w:type="dxa"/>
          </w:tcPr>
          <w:p w:rsidR="00772F60" w:rsidRPr="00237823" w:rsidRDefault="00772F60" w:rsidP="00C6298E">
            <w:pPr>
              <w:jc w:val="center"/>
              <w:rPr>
                <w:sz w:val="20"/>
              </w:rPr>
            </w:pPr>
            <w:r w:rsidRPr="00237823">
              <w:rPr>
                <w:sz w:val="20"/>
              </w:rPr>
              <w:t>.5 hour</w:t>
            </w:r>
          </w:p>
        </w:tc>
        <w:tc>
          <w:tcPr>
            <w:tcW w:w="1440" w:type="dxa"/>
          </w:tcPr>
          <w:p w:rsidR="00772F60" w:rsidRPr="00237823" w:rsidRDefault="0003315A" w:rsidP="00675167">
            <w:pPr>
              <w:jc w:val="right"/>
              <w:rPr>
                <w:sz w:val="20"/>
              </w:rPr>
            </w:pPr>
            <w:r>
              <w:rPr>
                <w:sz w:val="20"/>
              </w:rPr>
              <w:t>74</w:t>
            </w:r>
            <w:r w:rsidR="00675167">
              <w:rPr>
                <w:sz w:val="20"/>
              </w:rPr>
              <w:t>3</w:t>
            </w:r>
            <w:r w:rsidRPr="00237823">
              <w:rPr>
                <w:sz w:val="20"/>
              </w:rPr>
              <w:t xml:space="preserve"> </w:t>
            </w:r>
            <w:r w:rsidR="00772F60" w:rsidRPr="00237823">
              <w:rPr>
                <w:sz w:val="20"/>
              </w:rPr>
              <w:t>hours</w:t>
            </w:r>
          </w:p>
        </w:tc>
      </w:tr>
      <w:tr w:rsidR="00772F60">
        <w:tc>
          <w:tcPr>
            <w:tcW w:w="1710" w:type="dxa"/>
          </w:tcPr>
          <w:p w:rsidR="00772F60" w:rsidRDefault="00772F60">
            <w:pPr>
              <w:rPr>
                <w:sz w:val="20"/>
              </w:rPr>
            </w:pPr>
            <w:r>
              <w:rPr>
                <w:sz w:val="20"/>
              </w:rPr>
              <w:lastRenderedPageBreak/>
              <w:t>12 CFR 21.11(a)</w:t>
            </w:r>
            <w:r w:rsidR="00D45F69">
              <w:rPr>
                <w:sz w:val="20"/>
              </w:rPr>
              <w:t xml:space="preserve"> and 163.180(d)(1)</w:t>
            </w:r>
          </w:p>
          <w:p w:rsidR="00772F60" w:rsidRDefault="00772F60">
            <w:pPr>
              <w:rPr>
                <w:sz w:val="20"/>
              </w:rPr>
            </w:pPr>
            <w:r>
              <w:rPr>
                <w:sz w:val="20"/>
              </w:rPr>
              <w:t>Reporting</w:t>
            </w: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D45F69" w:rsidRDefault="00D45F69">
            <w:pPr>
              <w:rPr>
                <w:sz w:val="20"/>
              </w:rPr>
            </w:pPr>
          </w:p>
          <w:p w:rsidR="00D45F69" w:rsidRDefault="00D45F69">
            <w:pPr>
              <w:rPr>
                <w:sz w:val="20"/>
              </w:rPr>
            </w:pPr>
          </w:p>
          <w:p w:rsidR="00F36E6C" w:rsidRDefault="00F36E6C">
            <w:pPr>
              <w:rPr>
                <w:sz w:val="20"/>
              </w:rPr>
            </w:pPr>
          </w:p>
          <w:p w:rsidR="00772F60" w:rsidRDefault="00772F60">
            <w:pPr>
              <w:rPr>
                <w:sz w:val="20"/>
              </w:rPr>
            </w:pPr>
            <w:r>
              <w:rPr>
                <w:sz w:val="20"/>
              </w:rPr>
              <w:t>12 CFR 21.11(g)</w:t>
            </w:r>
            <w:r w:rsidR="00D45F69">
              <w:rPr>
                <w:sz w:val="20"/>
              </w:rPr>
              <w:t xml:space="preserve"> and 163.180(d)(8)</w:t>
            </w:r>
          </w:p>
          <w:p w:rsidR="00772F60" w:rsidRDefault="00772F60">
            <w:pPr>
              <w:rPr>
                <w:sz w:val="20"/>
              </w:rPr>
            </w:pPr>
            <w:r>
              <w:rPr>
                <w:sz w:val="20"/>
              </w:rPr>
              <w:t>Recordkeeping</w:t>
            </w:r>
          </w:p>
        </w:tc>
        <w:tc>
          <w:tcPr>
            <w:tcW w:w="3780" w:type="dxa"/>
          </w:tcPr>
          <w:p w:rsidR="00772F60" w:rsidRDefault="00772F60">
            <w:pPr>
              <w:pStyle w:val="Heading4"/>
              <w:rPr>
                <w:i/>
                <w:iCs/>
              </w:rPr>
            </w:pPr>
            <w:r>
              <w:rPr>
                <w:i/>
                <w:iCs/>
              </w:rPr>
              <w:t>Reports of Suspicious Activities</w:t>
            </w:r>
          </w:p>
          <w:p w:rsidR="00772F60" w:rsidRDefault="00772F60">
            <w:pPr>
              <w:rPr>
                <w:sz w:val="20"/>
              </w:rPr>
            </w:pPr>
          </w:p>
          <w:p w:rsidR="00772F60" w:rsidRDefault="00772F60">
            <w:pPr>
              <w:rPr>
                <w:sz w:val="20"/>
              </w:rPr>
            </w:pPr>
            <w:r>
              <w:rPr>
                <w:b/>
                <w:bCs/>
                <w:i/>
                <w:iCs/>
                <w:sz w:val="20"/>
              </w:rPr>
              <w:t>§ 21.11(a)</w:t>
            </w:r>
            <w:r w:rsidR="003148EE">
              <w:rPr>
                <w:b/>
                <w:bCs/>
                <w:i/>
                <w:iCs/>
                <w:sz w:val="20"/>
              </w:rPr>
              <w:t xml:space="preserve"> and 163.180(d)(1)</w:t>
            </w:r>
            <w:r>
              <w:rPr>
                <w:b/>
                <w:bCs/>
                <w:i/>
                <w:iCs/>
                <w:sz w:val="20"/>
              </w:rPr>
              <w:t xml:space="preserve"> – Suspicious Activity Report – Purpose and scope </w:t>
            </w:r>
            <w:r w:rsidR="003148EE">
              <w:rPr>
                <w:sz w:val="20"/>
              </w:rPr>
              <w:t xml:space="preserve">– National </w:t>
            </w:r>
            <w:r>
              <w:rPr>
                <w:sz w:val="20"/>
              </w:rPr>
              <w:t xml:space="preserve">banks </w:t>
            </w:r>
            <w:r w:rsidR="003148EE">
              <w:rPr>
                <w:sz w:val="20"/>
              </w:rPr>
              <w:t xml:space="preserve">and savings associations </w:t>
            </w:r>
            <w:r>
              <w:rPr>
                <w:sz w:val="20"/>
              </w:rPr>
              <w:t>are required to file a S</w:t>
            </w:r>
            <w:r w:rsidR="00AD299A">
              <w:rPr>
                <w:sz w:val="20"/>
              </w:rPr>
              <w:t>AR</w:t>
            </w:r>
            <w:r>
              <w:rPr>
                <w:sz w:val="20"/>
              </w:rPr>
              <w:t xml:space="preserve"> when they detect a known or suspected violation of Federal law or a suspicious transaction related to a money laundering activity or a violation of the B</w:t>
            </w:r>
            <w:r w:rsidR="00AD299A">
              <w:rPr>
                <w:sz w:val="20"/>
              </w:rPr>
              <w:t>SA</w:t>
            </w:r>
            <w:r>
              <w:rPr>
                <w:sz w:val="20"/>
              </w:rPr>
              <w:t>.  This section applies to all national banks</w:t>
            </w:r>
            <w:r w:rsidR="00F36E6C">
              <w:rPr>
                <w:sz w:val="20"/>
              </w:rPr>
              <w:t xml:space="preserve"> and savings associations </w:t>
            </w:r>
            <w:r>
              <w:rPr>
                <w:sz w:val="20"/>
              </w:rPr>
              <w:t>as well as any Federal branches and agencies of foreign banks licensed or chartered by the OCC.</w:t>
            </w:r>
          </w:p>
          <w:p w:rsidR="00772F60" w:rsidRDefault="00772F60">
            <w:pPr>
              <w:rPr>
                <w:sz w:val="20"/>
              </w:rPr>
            </w:pPr>
          </w:p>
          <w:p w:rsidR="001C4611" w:rsidRDefault="001C4611" w:rsidP="00AD299A">
            <w:pPr>
              <w:rPr>
                <w:b/>
                <w:bCs/>
                <w:i/>
                <w:iCs/>
                <w:sz w:val="20"/>
              </w:rPr>
            </w:pPr>
          </w:p>
          <w:p w:rsidR="00772F60" w:rsidRDefault="00772F60" w:rsidP="00AD299A">
            <w:pPr>
              <w:rPr>
                <w:sz w:val="20"/>
              </w:rPr>
            </w:pPr>
            <w:r>
              <w:rPr>
                <w:b/>
                <w:bCs/>
                <w:i/>
                <w:iCs/>
                <w:sz w:val="20"/>
              </w:rPr>
              <w:t>§ 21.11(g)</w:t>
            </w:r>
            <w:r w:rsidR="003148EE">
              <w:rPr>
                <w:b/>
                <w:bCs/>
                <w:i/>
                <w:iCs/>
                <w:sz w:val="20"/>
              </w:rPr>
              <w:t xml:space="preserve"> and 163.180(d</w:t>
            </w:r>
            <w:proofErr w:type="gramStart"/>
            <w:r w:rsidR="003148EE">
              <w:rPr>
                <w:b/>
                <w:bCs/>
                <w:i/>
                <w:iCs/>
                <w:sz w:val="20"/>
              </w:rPr>
              <w:t>)(</w:t>
            </w:r>
            <w:proofErr w:type="gramEnd"/>
            <w:r w:rsidR="003148EE">
              <w:rPr>
                <w:b/>
                <w:bCs/>
                <w:i/>
                <w:iCs/>
                <w:sz w:val="20"/>
              </w:rPr>
              <w:t>8)</w:t>
            </w:r>
            <w:r>
              <w:rPr>
                <w:b/>
                <w:bCs/>
                <w:i/>
                <w:iCs/>
                <w:sz w:val="20"/>
              </w:rPr>
              <w:t xml:space="preserve"> – Suspicious Activity Report – Retention of records</w:t>
            </w:r>
            <w:r>
              <w:rPr>
                <w:sz w:val="20"/>
              </w:rPr>
              <w:t xml:space="preserve"> –</w:t>
            </w:r>
            <w:r w:rsidR="003148EE">
              <w:rPr>
                <w:sz w:val="20"/>
              </w:rPr>
              <w:t xml:space="preserve"> A</w:t>
            </w:r>
            <w:r>
              <w:rPr>
                <w:sz w:val="20"/>
              </w:rPr>
              <w:t xml:space="preserve"> </w:t>
            </w:r>
            <w:r w:rsidR="003148EE">
              <w:rPr>
                <w:sz w:val="20"/>
              </w:rPr>
              <w:t>n</w:t>
            </w:r>
            <w:r>
              <w:rPr>
                <w:sz w:val="20"/>
              </w:rPr>
              <w:t>ational bank</w:t>
            </w:r>
            <w:r w:rsidR="003148EE">
              <w:rPr>
                <w:sz w:val="20"/>
              </w:rPr>
              <w:t xml:space="preserve"> and savings association</w:t>
            </w:r>
            <w:r>
              <w:rPr>
                <w:sz w:val="20"/>
              </w:rPr>
              <w:t xml:space="preserve"> shall maintain a copy of any SAR filed and the original or business record equivalent of any supporting documentation for a period of five years from the date of the filing of the SAR.  Supporting document shall be identified and maintained by the bank </w:t>
            </w:r>
            <w:r w:rsidR="00AD299A">
              <w:rPr>
                <w:sz w:val="20"/>
              </w:rPr>
              <w:t xml:space="preserve">or </w:t>
            </w:r>
            <w:r w:rsidR="003148EE">
              <w:rPr>
                <w:sz w:val="20"/>
              </w:rPr>
              <w:t xml:space="preserve">savings association </w:t>
            </w:r>
            <w:r>
              <w:rPr>
                <w:sz w:val="20"/>
              </w:rPr>
              <w:t xml:space="preserve">as such, and </w:t>
            </w:r>
            <w:proofErr w:type="gramStart"/>
            <w:r>
              <w:rPr>
                <w:sz w:val="20"/>
              </w:rPr>
              <w:t>shall be deemed to have been filed</w:t>
            </w:r>
            <w:proofErr w:type="gramEnd"/>
            <w:r>
              <w:rPr>
                <w:sz w:val="20"/>
              </w:rPr>
              <w:t xml:space="preserve"> with the SAR.</w:t>
            </w:r>
          </w:p>
        </w:tc>
        <w:tc>
          <w:tcPr>
            <w:tcW w:w="2070" w:type="dxa"/>
          </w:tcPr>
          <w:p w:rsidR="00772F60" w:rsidRDefault="00772F60" w:rsidP="00C6298E">
            <w:pPr>
              <w:pStyle w:val="FootnoteText"/>
              <w:jc w:val="right"/>
            </w:pPr>
          </w:p>
          <w:p w:rsidR="00772F60" w:rsidRDefault="00772F60" w:rsidP="00C6298E">
            <w:pPr>
              <w:pStyle w:val="FootnoteText"/>
              <w:jc w:val="right"/>
            </w:pPr>
          </w:p>
          <w:p w:rsidR="00772F60" w:rsidRDefault="0003315A" w:rsidP="00C6298E">
            <w:pPr>
              <w:pStyle w:val="FootnoteText"/>
              <w:jc w:val="right"/>
            </w:pPr>
            <w:r>
              <w:t>1,485</w:t>
            </w:r>
            <w:r w:rsidR="00772F60">
              <w:t xml:space="preserve"> respondents</w:t>
            </w:r>
          </w:p>
          <w:p w:rsidR="00772F60" w:rsidRDefault="007D58BB" w:rsidP="00C6298E">
            <w:pPr>
              <w:pStyle w:val="FootnoteText"/>
              <w:jc w:val="right"/>
            </w:pPr>
            <w:r>
              <w:t xml:space="preserve"> </w:t>
            </w:r>
            <w:r w:rsidR="0003315A">
              <w:t>613,294</w:t>
            </w:r>
            <w:r w:rsidR="00772F60">
              <w:t xml:space="preserve"> responses</w:t>
            </w: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D45F69" w:rsidRDefault="00D45F69" w:rsidP="00C6298E">
            <w:pPr>
              <w:pStyle w:val="FootnoteText"/>
              <w:jc w:val="right"/>
            </w:pPr>
          </w:p>
          <w:p w:rsidR="00F36E6C" w:rsidRDefault="00F36E6C" w:rsidP="00C6298E">
            <w:pPr>
              <w:pStyle w:val="FootnoteText"/>
              <w:jc w:val="right"/>
            </w:pPr>
          </w:p>
          <w:p w:rsidR="00772F60" w:rsidRDefault="0003315A" w:rsidP="00C6298E">
            <w:pPr>
              <w:pStyle w:val="FootnoteText"/>
              <w:jc w:val="right"/>
            </w:pPr>
            <w:r>
              <w:t>1,485</w:t>
            </w:r>
            <w:r w:rsidR="00772F60">
              <w:t xml:space="preserve"> </w:t>
            </w:r>
            <w:proofErr w:type="spellStart"/>
            <w:r w:rsidR="00772F60">
              <w:t>recordkeepers</w:t>
            </w:r>
            <w:proofErr w:type="spellEnd"/>
          </w:p>
          <w:p w:rsidR="00A67808" w:rsidRDefault="0003315A" w:rsidP="00C6298E">
            <w:pPr>
              <w:pStyle w:val="FootnoteText"/>
              <w:jc w:val="right"/>
            </w:pPr>
            <w:r>
              <w:t>1,485</w:t>
            </w:r>
            <w:r w:rsidR="00A67808">
              <w:t xml:space="preserve"> records</w:t>
            </w:r>
          </w:p>
        </w:tc>
        <w:tc>
          <w:tcPr>
            <w:tcW w:w="1080" w:type="dxa"/>
          </w:tcPr>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r>
              <w:rPr>
                <w:sz w:val="20"/>
              </w:rPr>
              <w:t>1 hour</w:t>
            </w: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D45F69" w:rsidRDefault="00D45F69" w:rsidP="00C6298E">
            <w:pPr>
              <w:jc w:val="center"/>
              <w:rPr>
                <w:sz w:val="20"/>
              </w:rPr>
            </w:pPr>
          </w:p>
          <w:p w:rsidR="00F36E6C" w:rsidRDefault="00F36E6C" w:rsidP="00C6298E">
            <w:pPr>
              <w:jc w:val="center"/>
              <w:rPr>
                <w:sz w:val="20"/>
              </w:rPr>
            </w:pPr>
          </w:p>
          <w:p w:rsidR="00D45F69" w:rsidRDefault="00D45F69" w:rsidP="00C6298E">
            <w:pPr>
              <w:jc w:val="center"/>
              <w:rPr>
                <w:sz w:val="20"/>
              </w:rPr>
            </w:pPr>
          </w:p>
          <w:p w:rsidR="00772F60" w:rsidRDefault="00987F3B" w:rsidP="00C6298E">
            <w:pPr>
              <w:jc w:val="center"/>
              <w:rPr>
                <w:sz w:val="20"/>
              </w:rPr>
            </w:pPr>
            <w:r>
              <w:rPr>
                <w:sz w:val="20"/>
              </w:rPr>
              <w:t>1.5</w:t>
            </w:r>
            <w:r w:rsidR="00772F60">
              <w:rPr>
                <w:sz w:val="20"/>
              </w:rPr>
              <w:t xml:space="preserve"> hours</w:t>
            </w:r>
          </w:p>
        </w:tc>
        <w:tc>
          <w:tcPr>
            <w:tcW w:w="1440" w:type="dxa"/>
          </w:tcPr>
          <w:p w:rsidR="00772F60" w:rsidRDefault="00772F60" w:rsidP="00C6298E">
            <w:pPr>
              <w:jc w:val="right"/>
              <w:rPr>
                <w:sz w:val="20"/>
              </w:rPr>
            </w:pPr>
          </w:p>
          <w:p w:rsidR="00772F60" w:rsidRDefault="00772F60" w:rsidP="00C6298E">
            <w:pPr>
              <w:jc w:val="right"/>
              <w:rPr>
                <w:sz w:val="20"/>
              </w:rPr>
            </w:pPr>
          </w:p>
          <w:p w:rsidR="00772F60" w:rsidRDefault="0003315A" w:rsidP="00C6298E">
            <w:pPr>
              <w:jc w:val="right"/>
              <w:rPr>
                <w:sz w:val="20"/>
              </w:rPr>
            </w:pPr>
            <w:r>
              <w:rPr>
                <w:sz w:val="20"/>
              </w:rPr>
              <w:t>613,294</w:t>
            </w:r>
            <w:r w:rsidR="00772F60">
              <w:rPr>
                <w:sz w:val="20"/>
              </w:rPr>
              <w:t xml:space="preserve"> hours</w:t>
            </w: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D45F69" w:rsidRDefault="00D45F69" w:rsidP="00C6298E">
            <w:pPr>
              <w:jc w:val="right"/>
              <w:rPr>
                <w:sz w:val="20"/>
              </w:rPr>
            </w:pPr>
          </w:p>
          <w:p w:rsidR="00D45F69" w:rsidRDefault="00D45F69" w:rsidP="00C6298E">
            <w:pPr>
              <w:jc w:val="right"/>
              <w:rPr>
                <w:sz w:val="20"/>
              </w:rPr>
            </w:pPr>
          </w:p>
          <w:p w:rsidR="00F36E6C" w:rsidRDefault="00F36E6C" w:rsidP="00C6298E">
            <w:pPr>
              <w:jc w:val="right"/>
              <w:rPr>
                <w:sz w:val="20"/>
              </w:rPr>
            </w:pPr>
          </w:p>
          <w:p w:rsidR="00772F60" w:rsidRDefault="00987F3B" w:rsidP="00675167">
            <w:pPr>
              <w:jc w:val="right"/>
              <w:rPr>
                <w:sz w:val="20"/>
              </w:rPr>
            </w:pPr>
            <w:r>
              <w:rPr>
                <w:sz w:val="20"/>
              </w:rPr>
              <w:t>2,</w:t>
            </w:r>
            <w:r w:rsidR="0003315A">
              <w:rPr>
                <w:sz w:val="20"/>
              </w:rPr>
              <w:t>22</w:t>
            </w:r>
            <w:r w:rsidR="00675167">
              <w:rPr>
                <w:sz w:val="20"/>
              </w:rPr>
              <w:t>8</w:t>
            </w:r>
            <w:r w:rsidR="00772F60">
              <w:rPr>
                <w:sz w:val="20"/>
              </w:rPr>
              <w:t xml:space="preserve"> hours</w:t>
            </w:r>
          </w:p>
        </w:tc>
      </w:tr>
      <w:tr w:rsidR="00772F60">
        <w:trPr>
          <w:cantSplit/>
        </w:trPr>
        <w:tc>
          <w:tcPr>
            <w:tcW w:w="1710" w:type="dxa"/>
          </w:tcPr>
          <w:p w:rsidR="00772F60" w:rsidRDefault="00772F60">
            <w:pPr>
              <w:rPr>
                <w:sz w:val="20"/>
              </w:rPr>
            </w:pPr>
            <w:r>
              <w:rPr>
                <w:sz w:val="20"/>
              </w:rPr>
              <w:lastRenderedPageBreak/>
              <w:t>12 CFR 21.21</w:t>
            </w:r>
          </w:p>
          <w:p w:rsidR="00772F60" w:rsidRDefault="00772F60">
            <w:pPr>
              <w:rPr>
                <w:sz w:val="20"/>
              </w:rPr>
            </w:pPr>
            <w:r>
              <w:rPr>
                <w:sz w:val="20"/>
              </w:rPr>
              <w:t>Recordkeeping</w:t>
            </w:r>
          </w:p>
        </w:tc>
        <w:tc>
          <w:tcPr>
            <w:tcW w:w="3780" w:type="dxa"/>
          </w:tcPr>
          <w:p w:rsidR="00772F60" w:rsidRDefault="00772F60">
            <w:pPr>
              <w:pStyle w:val="BodyText"/>
              <w:rPr>
                <w:b/>
                <w:bCs/>
                <w:sz w:val="20"/>
              </w:rPr>
            </w:pPr>
            <w:r>
              <w:rPr>
                <w:b/>
                <w:bCs/>
                <w:sz w:val="20"/>
              </w:rPr>
              <w:t>Procedures for Monitoring Bank Secrecy Act Compliance</w:t>
            </w:r>
          </w:p>
          <w:p w:rsidR="00772F60" w:rsidRDefault="00772F60">
            <w:pPr>
              <w:pStyle w:val="FootnoteText"/>
            </w:pPr>
          </w:p>
          <w:p w:rsidR="00772F60" w:rsidRDefault="00772F60">
            <w:pPr>
              <w:rPr>
                <w:sz w:val="20"/>
              </w:rPr>
            </w:pPr>
            <w:r>
              <w:rPr>
                <w:b/>
                <w:bCs/>
                <w:i/>
                <w:iCs/>
                <w:sz w:val="20"/>
              </w:rPr>
              <w:t>§ 21.21-- Bank Secrecy Act compliance</w:t>
            </w:r>
            <w:r>
              <w:rPr>
                <w:sz w:val="20"/>
              </w:rPr>
              <w:t xml:space="preserve"> – All national banks </w:t>
            </w:r>
            <w:r w:rsidR="00180FCC">
              <w:rPr>
                <w:sz w:val="20"/>
              </w:rPr>
              <w:t xml:space="preserve">and savings associations </w:t>
            </w:r>
            <w:r>
              <w:rPr>
                <w:sz w:val="20"/>
              </w:rPr>
              <w:t xml:space="preserve">are required to develop and provide for the continued administration of a program reasonably designed to assure and monitor their compliance with subchapter II of chapter 53 of title 31, United States Code, and the implementing regulations promulgated thereunder by </w:t>
            </w:r>
            <w:r w:rsidRPr="00D45F69">
              <w:rPr>
                <w:sz w:val="20"/>
              </w:rPr>
              <w:t xml:space="preserve">31 CFR </w:t>
            </w:r>
            <w:r w:rsidR="00D45F69" w:rsidRPr="00D45F69">
              <w:rPr>
                <w:sz w:val="20"/>
              </w:rPr>
              <w:t>Chapter X (formerly P</w:t>
            </w:r>
            <w:r w:rsidRPr="00D45F69">
              <w:rPr>
                <w:sz w:val="20"/>
              </w:rPr>
              <w:t>art 103</w:t>
            </w:r>
            <w:r w:rsidR="00D45F69">
              <w:rPr>
                <w:sz w:val="20"/>
              </w:rPr>
              <w:t>)</w:t>
            </w:r>
            <w:r>
              <w:rPr>
                <w:sz w:val="20"/>
              </w:rPr>
              <w:t xml:space="preserve">.  The compliance program </w:t>
            </w:r>
            <w:proofErr w:type="gramStart"/>
            <w:r>
              <w:rPr>
                <w:sz w:val="20"/>
              </w:rPr>
              <w:t>shall be reduced to writing, approved by the board of directors, and noted in the minutes</w:t>
            </w:r>
            <w:proofErr w:type="gramEnd"/>
            <w:r>
              <w:rPr>
                <w:sz w:val="20"/>
              </w:rPr>
              <w:t>.</w:t>
            </w:r>
          </w:p>
          <w:p w:rsidR="00180FCC" w:rsidRDefault="00180FCC" w:rsidP="00180FCC">
            <w:pPr>
              <w:rPr>
                <w:sz w:val="20"/>
              </w:rPr>
            </w:pPr>
          </w:p>
        </w:tc>
        <w:tc>
          <w:tcPr>
            <w:tcW w:w="2070" w:type="dxa"/>
          </w:tcPr>
          <w:p w:rsidR="00772F60" w:rsidRDefault="0003315A" w:rsidP="00C6298E">
            <w:pPr>
              <w:pStyle w:val="FootnoteText"/>
              <w:jc w:val="right"/>
            </w:pPr>
            <w:r>
              <w:t>1,485</w:t>
            </w:r>
            <w:r w:rsidR="00772F60">
              <w:t xml:space="preserve"> </w:t>
            </w:r>
            <w:proofErr w:type="spellStart"/>
            <w:r w:rsidR="00772F60">
              <w:t>recordkeepers</w:t>
            </w:r>
            <w:proofErr w:type="spellEnd"/>
          </w:p>
          <w:p w:rsidR="00D57803" w:rsidRDefault="0003315A" w:rsidP="00C6298E">
            <w:pPr>
              <w:pStyle w:val="FootnoteText"/>
              <w:jc w:val="right"/>
            </w:pPr>
            <w:r>
              <w:t>1,485</w:t>
            </w:r>
            <w:r w:rsidR="00D57803">
              <w:t xml:space="preserve"> records</w:t>
            </w:r>
          </w:p>
          <w:p w:rsidR="00772F60" w:rsidRDefault="00772F60" w:rsidP="00C6298E">
            <w:pPr>
              <w:pStyle w:val="FootnoteText"/>
              <w:jc w:val="right"/>
            </w:pPr>
          </w:p>
          <w:p w:rsidR="00772F60" w:rsidRDefault="00772F60" w:rsidP="00C6298E">
            <w:pPr>
              <w:pStyle w:val="FootnoteText"/>
              <w:jc w:val="right"/>
            </w:pPr>
          </w:p>
          <w:p w:rsidR="00772F60" w:rsidRDefault="00C6298E" w:rsidP="00C6298E">
            <w:pPr>
              <w:pStyle w:val="FootnoteText"/>
              <w:jc w:val="right"/>
            </w:pPr>
            <w:r>
              <w:t xml:space="preserve">Community Banks: </w:t>
            </w:r>
            <w:r w:rsidR="00295FB5">
              <w:t>1,354</w:t>
            </w:r>
          </w:p>
          <w:p w:rsidR="00772F60" w:rsidRDefault="00772F60" w:rsidP="00C6298E">
            <w:pPr>
              <w:pStyle w:val="FootnoteText"/>
              <w:jc w:val="right"/>
            </w:pPr>
          </w:p>
          <w:p w:rsidR="00772F60" w:rsidRDefault="007D58BB" w:rsidP="00C6298E">
            <w:pPr>
              <w:pStyle w:val="FootnoteText"/>
              <w:jc w:val="right"/>
            </w:pPr>
            <w:r>
              <w:t xml:space="preserve">Mid-Size Banks: </w:t>
            </w:r>
            <w:r w:rsidR="00295FB5">
              <w:t>42</w:t>
            </w:r>
          </w:p>
          <w:p w:rsidR="00772F60" w:rsidRDefault="00772F60" w:rsidP="00C6298E">
            <w:pPr>
              <w:pStyle w:val="FootnoteText"/>
              <w:jc w:val="right"/>
            </w:pPr>
          </w:p>
          <w:p w:rsidR="00772F60" w:rsidRDefault="007D58BB" w:rsidP="00295FB5">
            <w:pPr>
              <w:pStyle w:val="FootnoteText"/>
              <w:jc w:val="right"/>
            </w:pPr>
            <w:r>
              <w:t xml:space="preserve">Large Banks:  </w:t>
            </w:r>
            <w:r w:rsidR="00295FB5">
              <w:t>89</w:t>
            </w:r>
          </w:p>
        </w:tc>
        <w:tc>
          <w:tcPr>
            <w:tcW w:w="1080" w:type="dxa"/>
          </w:tcPr>
          <w:p w:rsidR="00772F60" w:rsidRPr="00EE4839" w:rsidRDefault="00772F60" w:rsidP="00C6298E">
            <w:pPr>
              <w:jc w:val="center"/>
              <w:rPr>
                <w:sz w:val="20"/>
              </w:rPr>
            </w:pPr>
          </w:p>
          <w:p w:rsidR="00772F60" w:rsidRPr="00EE4839" w:rsidRDefault="00772F60" w:rsidP="00C6298E">
            <w:pPr>
              <w:jc w:val="center"/>
              <w:rPr>
                <w:sz w:val="20"/>
              </w:rPr>
            </w:pPr>
          </w:p>
          <w:p w:rsidR="00772F60" w:rsidRPr="00EE4839" w:rsidRDefault="00772F60" w:rsidP="00C6298E">
            <w:pPr>
              <w:jc w:val="center"/>
              <w:rPr>
                <w:sz w:val="20"/>
              </w:rPr>
            </w:pPr>
          </w:p>
          <w:p w:rsidR="00772F60" w:rsidRPr="00EE4839" w:rsidRDefault="00772F60" w:rsidP="00C6298E">
            <w:pPr>
              <w:jc w:val="center"/>
              <w:rPr>
                <w:sz w:val="20"/>
              </w:rPr>
            </w:pPr>
          </w:p>
          <w:p w:rsidR="00955763" w:rsidRPr="00EE4839" w:rsidRDefault="00955763" w:rsidP="00C6298E">
            <w:pPr>
              <w:jc w:val="center"/>
              <w:rPr>
                <w:sz w:val="20"/>
              </w:rPr>
            </w:pPr>
          </w:p>
          <w:p w:rsidR="00772F60" w:rsidRPr="00EE4839" w:rsidRDefault="00772F60" w:rsidP="00C6298E">
            <w:pPr>
              <w:jc w:val="center"/>
              <w:rPr>
                <w:sz w:val="20"/>
              </w:rPr>
            </w:pPr>
            <w:r w:rsidRPr="00EE4839">
              <w:rPr>
                <w:sz w:val="20"/>
              </w:rPr>
              <w:t>35 hours</w:t>
            </w:r>
          </w:p>
          <w:p w:rsidR="00772F60" w:rsidRPr="00EE4839" w:rsidRDefault="00772F60" w:rsidP="00C6298E">
            <w:pPr>
              <w:jc w:val="center"/>
              <w:rPr>
                <w:sz w:val="20"/>
              </w:rPr>
            </w:pPr>
          </w:p>
          <w:p w:rsidR="00772F60" w:rsidRPr="00EE4839" w:rsidRDefault="00772F60" w:rsidP="00C6298E">
            <w:pPr>
              <w:jc w:val="center"/>
              <w:rPr>
                <w:sz w:val="20"/>
              </w:rPr>
            </w:pPr>
            <w:r w:rsidRPr="00EE4839">
              <w:rPr>
                <w:sz w:val="20"/>
              </w:rPr>
              <w:t>250 hours</w:t>
            </w:r>
          </w:p>
          <w:p w:rsidR="00772F60" w:rsidRPr="00EE4839" w:rsidRDefault="00772F60" w:rsidP="00C6298E">
            <w:pPr>
              <w:jc w:val="center"/>
              <w:rPr>
                <w:sz w:val="20"/>
              </w:rPr>
            </w:pPr>
          </w:p>
          <w:p w:rsidR="00772F60" w:rsidRPr="00EE4839" w:rsidRDefault="00772F60" w:rsidP="00C6298E">
            <w:pPr>
              <w:jc w:val="center"/>
              <w:rPr>
                <w:sz w:val="20"/>
              </w:rPr>
            </w:pPr>
            <w:r w:rsidRPr="00EE4839">
              <w:rPr>
                <w:sz w:val="20"/>
              </w:rPr>
              <w:t>450 hours</w:t>
            </w:r>
          </w:p>
        </w:tc>
        <w:tc>
          <w:tcPr>
            <w:tcW w:w="1440" w:type="dxa"/>
          </w:tcPr>
          <w:p w:rsidR="00772F60" w:rsidRPr="00EE4839" w:rsidRDefault="00772F60" w:rsidP="00C6298E">
            <w:pPr>
              <w:jc w:val="right"/>
              <w:rPr>
                <w:sz w:val="20"/>
              </w:rPr>
            </w:pPr>
          </w:p>
          <w:p w:rsidR="00772F60" w:rsidRPr="00EE4839" w:rsidRDefault="00772F60" w:rsidP="00C6298E">
            <w:pPr>
              <w:jc w:val="right"/>
              <w:rPr>
                <w:sz w:val="20"/>
              </w:rPr>
            </w:pPr>
          </w:p>
          <w:p w:rsidR="00772F60" w:rsidRPr="00EE4839" w:rsidRDefault="00772F60" w:rsidP="00C6298E">
            <w:pPr>
              <w:jc w:val="right"/>
              <w:rPr>
                <w:sz w:val="20"/>
              </w:rPr>
            </w:pPr>
          </w:p>
          <w:p w:rsidR="00772F60" w:rsidRPr="00EE4839" w:rsidRDefault="00772F60" w:rsidP="00C6298E">
            <w:pPr>
              <w:jc w:val="right"/>
              <w:rPr>
                <w:sz w:val="20"/>
              </w:rPr>
            </w:pPr>
          </w:p>
          <w:p w:rsidR="00955763" w:rsidRPr="00EE4839" w:rsidRDefault="00955763" w:rsidP="00C6298E">
            <w:pPr>
              <w:jc w:val="right"/>
              <w:rPr>
                <w:sz w:val="20"/>
              </w:rPr>
            </w:pPr>
          </w:p>
          <w:p w:rsidR="00772F60" w:rsidRPr="00EE4839" w:rsidRDefault="00EE4839" w:rsidP="00C6298E">
            <w:pPr>
              <w:jc w:val="right"/>
              <w:rPr>
                <w:sz w:val="20"/>
              </w:rPr>
            </w:pPr>
            <w:r w:rsidRPr="00E8795B">
              <w:rPr>
                <w:sz w:val="20"/>
              </w:rPr>
              <w:t>47,390</w:t>
            </w:r>
            <w:r w:rsidR="00772F60" w:rsidRPr="00EE4839">
              <w:rPr>
                <w:sz w:val="20"/>
              </w:rPr>
              <w:t xml:space="preserve"> hours</w:t>
            </w:r>
          </w:p>
          <w:p w:rsidR="00772F60" w:rsidRPr="00EE4839" w:rsidRDefault="00772F60" w:rsidP="00C6298E">
            <w:pPr>
              <w:jc w:val="right"/>
              <w:rPr>
                <w:sz w:val="20"/>
              </w:rPr>
            </w:pPr>
          </w:p>
          <w:p w:rsidR="00772F60" w:rsidRPr="00EE4839" w:rsidRDefault="00EE4839" w:rsidP="00C6298E">
            <w:pPr>
              <w:jc w:val="right"/>
              <w:rPr>
                <w:sz w:val="20"/>
              </w:rPr>
            </w:pPr>
            <w:r w:rsidRPr="00E8795B">
              <w:rPr>
                <w:sz w:val="20"/>
              </w:rPr>
              <w:t>10,500</w:t>
            </w:r>
            <w:r w:rsidR="00772F60" w:rsidRPr="00EE4839">
              <w:rPr>
                <w:sz w:val="20"/>
              </w:rPr>
              <w:t xml:space="preserve"> hours</w:t>
            </w:r>
          </w:p>
          <w:p w:rsidR="00772F60" w:rsidRPr="00EE4839" w:rsidRDefault="00772F60" w:rsidP="00C6298E">
            <w:pPr>
              <w:jc w:val="right"/>
              <w:rPr>
                <w:sz w:val="20"/>
              </w:rPr>
            </w:pPr>
          </w:p>
          <w:p w:rsidR="00772F60" w:rsidRPr="00EE4839" w:rsidRDefault="00EE4839" w:rsidP="003148EE">
            <w:pPr>
              <w:jc w:val="right"/>
              <w:rPr>
                <w:sz w:val="20"/>
              </w:rPr>
            </w:pPr>
            <w:r w:rsidRPr="00E8795B">
              <w:rPr>
                <w:sz w:val="20"/>
              </w:rPr>
              <w:t>40,050</w:t>
            </w:r>
            <w:r w:rsidR="00772F60" w:rsidRPr="00EE4839">
              <w:rPr>
                <w:sz w:val="20"/>
              </w:rPr>
              <w:t xml:space="preserve"> hours</w:t>
            </w:r>
          </w:p>
        </w:tc>
      </w:tr>
      <w:tr w:rsidR="00772F60">
        <w:tc>
          <w:tcPr>
            <w:tcW w:w="1710" w:type="dxa"/>
          </w:tcPr>
          <w:p w:rsidR="00772F60" w:rsidRDefault="00772F60">
            <w:pPr>
              <w:rPr>
                <w:b/>
                <w:bCs/>
                <w:sz w:val="20"/>
              </w:rPr>
            </w:pPr>
            <w:r>
              <w:rPr>
                <w:b/>
                <w:bCs/>
                <w:sz w:val="20"/>
              </w:rPr>
              <w:t>Total</w:t>
            </w:r>
          </w:p>
        </w:tc>
        <w:tc>
          <w:tcPr>
            <w:tcW w:w="3780" w:type="dxa"/>
          </w:tcPr>
          <w:p w:rsidR="00772F60" w:rsidRDefault="00772F60">
            <w:pPr>
              <w:rPr>
                <w:b/>
                <w:bCs/>
                <w:sz w:val="20"/>
              </w:rPr>
            </w:pPr>
          </w:p>
        </w:tc>
        <w:tc>
          <w:tcPr>
            <w:tcW w:w="2070" w:type="dxa"/>
          </w:tcPr>
          <w:p w:rsidR="00772F60" w:rsidRDefault="00772F60" w:rsidP="00C6298E">
            <w:pPr>
              <w:jc w:val="right"/>
              <w:rPr>
                <w:b/>
                <w:bCs/>
                <w:sz w:val="20"/>
              </w:rPr>
            </w:pPr>
          </w:p>
        </w:tc>
        <w:tc>
          <w:tcPr>
            <w:tcW w:w="1080" w:type="dxa"/>
          </w:tcPr>
          <w:p w:rsidR="00772F60" w:rsidRDefault="00772F60">
            <w:pPr>
              <w:jc w:val="right"/>
              <w:rPr>
                <w:b/>
                <w:bCs/>
                <w:sz w:val="20"/>
              </w:rPr>
            </w:pPr>
          </w:p>
        </w:tc>
        <w:tc>
          <w:tcPr>
            <w:tcW w:w="1440" w:type="dxa"/>
          </w:tcPr>
          <w:p w:rsidR="007D58BB" w:rsidRPr="00D01838" w:rsidRDefault="00D01838" w:rsidP="00C6298E">
            <w:pPr>
              <w:jc w:val="right"/>
              <w:rPr>
                <w:b/>
                <w:bCs/>
                <w:sz w:val="20"/>
              </w:rPr>
            </w:pPr>
            <w:r>
              <w:rPr>
                <w:b/>
                <w:bCs/>
                <w:sz w:val="20"/>
              </w:rPr>
              <w:t>714,205</w:t>
            </w:r>
          </w:p>
          <w:p w:rsidR="00772F60" w:rsidRPr="00E8795B" w:rsidRDefault="00772F60" w:rsidP="00C6298E">
            <w:pPr>
              <w:jc w:val="right"/>
              <w:rPr>
                <w:b/>
                <w:bCs/>
                <w:sz w:val="20"/>
                <w:highlight w:val="yellow"/>
              </w:rPr>
            </w:pPr>
            <w:r w:rsidRPr="00D01838">
              <w:rPr>
                <w:b/>
                <w:bCs/>
                <w:sz w:val="20"/>
              </w:rPr>
              <w:t xml:space="preserve"> hours</w:t>
            </w:r>
          </w:p>
        </w:tc>
      </w:tr>
    </w:tbl>
    <w:p w:rsidR="00772F60" w:rsidRDefault="00772F60"/>
    <w:p w:rsidR="00F012B9" w:rsidRDefault="00F012B9" w:rsidP="00F012B9">
      <w:pPr>
        <w:rPr>
          <w:szCs w:val="24"/>
        </w:rPr>
      </w:pPr>
    </w:p>
    <w:p w:rsidR="00F012B9" w:rsidRDefault="00F012B9" w:rsidP="00F012B9">
      <w:pPr>
        <w:rPr>
          <w:b/>
          <w:szCs w:val="24"/>
        </w:rPr>
      </w:pPr>
      <w:r>
        <w:rPr>
          <w:b/>
          <w:szCs w:val="24"/>
        </w:rPr>
        <w:t>Cost of Hour Burden</w:t>
      </w:r>
    </w:p>
    <w:p w:rsidR="00F012B9" w:rsidRDefault="00F012B9" w:rsidP="00F012B9">
      <w:pPr>
        <w:rPr>
          <w:b/>
          <w:szCs w:val="24"/>
        </w:rPr>
      </w:pPr>
    </w:p>
    <w:p w:rsidR="00F012B9" w:rsidRPr="00F012B9" w:rsidRDefault="00D01838" w:rsidP="00F012B9">
      <w:pPr>
        <w:rPr>
          <w:szCs w:val="24"/>
        </w:rPr>
      </w:pPr>
      <w:r>
        <w:rPr>
          <w:szCs w:val="24"/>
        </w:rPr>
        <w:t>714,205</w:t>
      </w:r>
      <w:r w:rsidR="00F012B9" w:rsidRPr="00E8795B">
        <w:rPr>
          <w:szCs w:val="24"/>
        </w:rPr>
        <w:t xml:space="preserve"> x $101 = </w:t>
      </w:r>
      <w:r w:rsidR="00AD299A">
        <w:rPr>
          <w:szCs w:val="24"/>
        </w:rPr>
        <w:t>$</w:t>
      </w:r>
      <w:r>
        <w:rPr>
          <w:szCs w:val="24"/>
        </w:rPr>
        <w:t>72,134,705</w:t>
      </w:r>
    </w:p>
    <w:p w:rsidR="00F012B9" w:rsidRDefault="00F012B9" w:rsidP="00F012B9">
      <w:pPr>
        <w:rPr>
          <w:szCs w:val="24"/>
        </w:rPr>
      </w:pPr>
    </w:p>
    <w:p w:rsidR="005E7CB8" w:rsidRDefault="00F012B9">
      <w:pPr>
        <w:rPr>
          <w:szCs w:val="24"/>
        </w:rPr>
      </w:pPr>
      <w:r w:rsidRPr="00596CA3">
        <w:rPr>
          <w:szCs w:val="24"/>
        </w:rPr>
        <w:t xml:space="preserve">To estimate average hourly wages we reviewed data from May </w:t>
      </w:r>
      <w:r w:rsidR="001C4611" w:rsidRPr="00596CA3">
        <w:rPr>
          <w:szCs w:val="24"/>
        </w:rPr>
        <w:t>201</w:t>
      </w:r>
      <w:r w:rsidR="001C4611">
        <w:rPr>
          <w:szCs w:val="24"/>
        </w:rPr>
        <w:t>5</w:t>
      </w:r>
      <w:r w:rsidR="001C4611" w:rsidRPr="00596CA3">
        <w:rPr>
          <w:szCs w:val="24"/>
        </w:rPr>
        <w:t xml:space="preserve"> </w:t>
      </w:r>
      <w:r w:rsidRPr="00596CA3">
        <w:rPr>
          <w:szCs w:val="24"/>
        </w:rPr>
        <w:t xml:space="preserve">for wages (by industry and occupation) from the U.S. Bureau of Labor Statistics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B448D1" w:rsidRDefault="00B448D1">
      <w:pPr>
        <w:rPr>
          <w:b/>
          <w:bCs/>
          <w:i/>
          <w:iCs/>
        </w:rPr>
      </w:pPr>
    </w:p>
    <w:p w:rsidR="00772F60" w:rsidRDefault="00772F60">
      <w:pPr>
        <w:pStyle w:val="BodyText"/>
        <w:rPr>
          <w:b/>
          <w:bCs/>
        </w:rPr>
      </w:pPr>
      <w:r>
        <w:rPr>
          <w:b/>
          <w:bCs/>
        </w:rPr>
        <w:t>13.  Estimate of total annual costs to respondents (excluding cost of hour burden in Item #12):</w:t>
      </w:r>
    </w:p>
    <w:p w:rsidR="00DD7722" w:rsidRDefault="00DD7722" w:rsidP="00DD7722">
      <w:pPr>
        <w:rPr>
          <w:b/>
          <w:bCs/>
        </w:rPr>
      </w:pPr>
    </w:p>
    <w:p w:rsidR="00DD7722" w:rsidRDefault="00F012B9" w:rsidP="00DD7722">
      <w:proofErr w:type="gramStart"/>
      <w:r>
        <w:t>None.</w:t>
      </w:r>
      <w:proofErr w:type="gramEnd"/>
    </w:p>
    <w:p w:rsidR="00772F60" w:rsidRDefault="00772F60"/>
    <w:p w:rsidR="00772F60" w:rsidRDefault="00772F60">
      <w:pPr>
        <w:pStyle w:val="BodyText"/>
        <w:rPr>
          <w:b/>
          <w:bCs/>
        </w:rPr>
      </w:pPr>
      <w:r>
        <w:rPr>
          <w:b/>
          <w:bCs/>
        </w:rPr>
        <w:t>14.  Estimate of annualized costs to the Federal government:</w:t>
      </w:r>
    </w:p>
    <w:p w:rsidR="00772F60" w:rsidRDefault="00772F60">
      <w:pPr>
        <w:pStyle w:val="Footer"/>
        <w:tabs>
          <w:tab w:val="clear" w:pos="4320"/>
          <w:tab w:val="clear" w:pos="8640"/>
        </w:tabs>
      </w:pPr>
    </w:p>
    <w:p w:rsidR="00772F60" w:rsidRDefault="00772F60">
      <w:proofErr w:type="gramStart"/>
      <w:r>
        <w:t>Not applicable.</w:t>
      </w:r>
      <w:proofErr w:type="gramEnd"/>
    </w:p>
    <w:p w:rsidR="00772F60" w:rsidRDefault="00772F60"/>
    <w:p w:rsidR="00772F60" w:rsidRDefault="00772F60">
      <w:pPr>
        <w:pStyle w:val="BodyText"/>
        <w:rPr>
          <w:b/>
          <w:bCs/>
        </w:rPr>
      </w:pPr>
      <w:r>
        <w:rPr>
          <w:b/>
          <w:bCs/>
        </w:rPr>
        <w:t>15.  Change in burden:</w:t>
      </w:r>
    </w:p>
    <w:p w:rsidR="00772F60" w:rsidRDefault="00772F60"/>
    <w:p w:rsidR="00772F60" w:rsidRDefault="00772F60">
      <w:pPr>
        <w:rPr>
          <w:i/>
          <w:iCs/>
          <w:u w:val="single"/>
        </w:rPr>
      </w:pPr>
      <w:r>
        <w:rPr>
          <w:i/>
          <w:iCs/>
          <w:u w:val="single"/>
        </w:rPr>
        <w:t>Former Burden:</w:t>
      </w:r>
    </w:p>
    <w:p w:rsidR="00F012B9" w:rsidRDefault="006E6C2B" w:rsidP="00F012B9">
      <w:proofErr w:type="gramStart"/>
      <w:r>
        <w:t>508,333</w:t>
      </w:r>
      <w:proofErr w:type="gramEnd"/>
      <w:r w:rsidR="00F012B9" w:rsidRPr="00B448D1">
        <w:t xml:space="preserve"> burden hours</w:t>
      </w:r>
      <w:r w:rsidR="00B448D1">
        <w:t>.</w:t>
      </w:r>
    </w:p>
    <w:p w:rsidR="00772F60" w:rsidRDefault="00772F60"/>
    <w:p w:rsidR="00772F60" w:rsidRDefault="00772F60">
      <w:pPr>
        <w:rPr>
          <w:i/>
          <w:iCs/>
          <w:u w:val="single"/>
        </w:rPr>
      </w:pPr>
      <w:r>
        <w:rPr>
          <w:i/>
          <w:iCs/>
          <w:u w:val="single"/>
        </w:rPr>
        <w:lastRenderedPageBreak/>
        <w:t>New Burden:</w:t>
      </w:r>
    </w:p>
    <w:p w:rsidR="007458C2" w:rsidRDefault="003B699B">
      <w:proofErr w:type="gramStart"/>
      <w:r>
        <w:t>714,205</w:t>
      </w:r>
      <w:proofErr w:type="gramEnd"/>
      <w:r w:rsidR="00B448D1">
        <w:t xml:space="preserve"> burden hours.</w:t>
      </w:r>
    </w:p>
    <w:p w:rsidR="00B448D1" w:rsidRDefault="00B448D1"/>
    <w:p w:rsidR="00772F60" w:rsidRDefault="00772F60">
      <w:r>
        <w:rPr>
          <w:i/>
          <w:iCs/>
          <w:u w:val="single"/>
        </w:rPr>
        <w:t>Difference:</w:t>
      </w:r>
    </w:p>
    <w:p w:rsidR="00772F60" w:rsidRDefault="00C15C86">
      <w:proofErr w:type="gramStart"/>
      <w:r>
        <w:t>+</w:t>
      </w:r>
      <w:r w:rsidR="003B699B">
        <w:t>205,87</w:t>
      </w:r>
      <w:r w:rsidR="006E6C2B">
        <w:t>2</w:t>
      </w:r>
      <w:proofErr w:type="gramEnd"/>
      <w:r>
        <w:t xml:space="preserve"> burden hours.</w:t>
      </w:r>
    </w:p>
    <w:p w:rsidR="00772F60" w:rsidRDefault="00772F60"/>
    <w:p w:rsidR="00772F60" w:rsidRDefault="00B81C33">
      <w:r>
        <w:t>The increase</w:t>
      </w:r>
      <w:r w:rsidR="00911A6F">
        <w:t xml:space="preserve"> is due to an increase in SAR filings.</w:t>
      </w:r>
    </w:p>
    <w:p w:rsidR="00772F60" w:rsidRDefault="00772F60"/>
    <w:p w:rsidR="00772F60" w:rsidRDefault="00772F60">
      <w:pPr>
        <w:pStyle w:val="BodyText"/>
        <w:rPr>
          <w:b/>
          <w:bCs/>
        </w:rPr>
      </w:pPr>
      <w:r>
        <w:rPr>
          <w:b/>
          <w:bCs/>
        </w:rPr>
        <w:t xml:space="preserve">16.  Information regarding collections whose results are to </w:t>
      </w:r>
      <w:proofErr w:type="gramStart"/>
      <w:r>
        <w:rPr>
          <w:b/>
          <w:bCs/>
        </w:rPr>
        <w:t>be published</w:t>
      </w:r>
      <w:proofErr w:type="gramEnd"/>
      <w:r>
        <w:rPr>
          <w:b/>
          <w:bCs/>
        </w:rPr>
        <w:t xml:space="preserve"> for statistical use:</w:t>
      </w:r>
    </w:p>
    <w:p w:rsidR="00772F60" w:rsidRDefault="00772F60"/>
    <w:p w:rsidR="00772F60" w:rsidRDefault="00772F60">
      <w:r>
        <w:t>The OCC has no plans to publish the information for statistical purposes.</w:t>
      </w:r>
    </w:p>
    <w:p w:rsidR="00772F60" w:rsidRDefault="00772F60"/>
    <w:p w:rsidR="00772F60" w:rsidRDefault="00772F60">
      <w:pPr>
        <w:pStyle w:val="BodyText"/>
        <w:rPr>
          <w:b/>
          <w:bCs/>
        </w:rPr>
      </w:pPr>
      <w:r>
        <w:rPr>
          <w:b/>
          <w:bCs/>
        </w:rPr>
        <w:t>17.  Reasons for not displaying OMB approval expiration date:</w:t>
      </w:r>
    </w:p>
    <w:p w:rsidR="00772F60" w:rsidRDefault="00772F60"/>
    <w:p w:rsidR="00772F60" w:rsidRDefault="004C4193">
      <w:proofErr w:type="gramStart"/>
      <w:r>
        <w:t>Not applicable.</w:t>
      </w:r>
      <w:proofErr w:type="gramEnd"/>
    </w:p>
    <w:p w:rsidR="00772F60" w:rsidRDefault="00772F60"/>
    <w:p w:rsidR="00772F60" w:rsidRDefault="00772F60">
      <w:pPr>
        <w:pStyle w:val="BodyText"/>
        <w:rPr>
          <w:b/>
          <w:bCs/>
        </w:rPr>
      </w:pPr>
      <w:r>
        <w:rPr>
          <w:b/>
          <w:bCs/>
        </w:rPr>
        <w:t>18.  Exceptions to the certification statement in Item 19 of OMB Form 83-I:</w:t>
      </w:r>
    </w:p>
    <w:p w:rsidR="00772F60" w:rsidRDefault="00772F60"/>
    <w:p w:rsidR="00772F60" w:rsidRDefault="00772F60">
      <w:proofErr w:type="gramStart"/>
      <w:r>
        <w:t>None.</w:t>
      </w:r>
      <w:proofErr w:type="gramEnd"/>
    </w:p>
    <w:p w:rsidR="00772F60" w:rsidRDefault="00772F60">
      <w:pPr>
        <w:rPr>
          <w:b/>
          <w:bCs/>
        </w:rPr>
      </w:pPr>
    </w:p>
    <w:p w:rsidR="00772F60" w:rsidRDefault="00772F60">
      <w:proofErr w:type="gramStart"/>
      <w:r>
        <w:rPr>
          <w:b/>
          <w:bCs/>
        </w:rPr>
        <w:t>B.  Collections of Information Employing Statistical Methods.</w:t>
      </w:r>
      <w:proofErr w:type="gramEnd"/>
    </w:p>
    <w:p w:rsidR="00772F60" w:rsidRDefault="00772F60"/>
    <w:p w:rsidR="00772F60" w:rsidRDefault="00772F60">
      <w:proofErr w:type="gramStart"/>
      <w:r>
        <w:t>Not applicable.</w:t>
      </w:r>
      <w:proofErr w:type="gramEnd"/>
    </w:p>
    <w:sectPr w:rsidR="00772F60" w:rsidSect="0032093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71E" w:rsidRDefault="00FD171E">
      <w:r>
        <w:separator/>
      </w:r>
    </w:p>
  </w:endnote>
  <w:endnote w:type="continuationSeparator" w:id="0">
    <w:p w:rsidR="00FD171E" w:rsidRDefault="00FD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71E" w:rsidRDefault="00FD1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171E" w:rsidRDefault="00FD1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71E" w:rsidRDefault="00FD1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54F7">
      <w:rPr>
        <w:rStyle w:val="PageNumber"/>
        <w:noProof/>
      </w:rPr>
      <w:t>3</w:t>
    </w:r>
    <w:r>
      <w:rPr>
        <w:rStyle w:val="PageNumber"/>
      </w:rPr>
      <w:fldChar w:fldCharType="end"/>
    </w:r>
  </w:p>
  <w:p w:rsidR="00FD171E" w:rsidRDefault="00FD1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71E" w:rsidRDefault="00FD171E">
      <w:r>
        <w:separator/>
      </w:r>
    </w:p>
  </w:footnote>
  <w:footnote w:type="continuationSeparator" w:id="0">
    <w:p w:rsidR="00FD171E" w:rsidRDefault="00FD171E">
      <w:r>
        <w:continuationSeparator/>
      </w:r>
    </w:p>
  </w:footnote>
  <w:footnote w:id="1">
    <w:p w:rsidR="00FD171E" w:rsidRDefault="00FD171E">
      <w:pPr>
        <w:pStyle w:val="FootnoteText"/>
      </w:pPr>
      <w:r>
        <w:rPr>
          <w:rStyle w:val="FootnoteReference"/>
        </w:rPr>
        <w:footnoteRef/>
      </w:r>
      <w:r>
        <w:t xml:space="preserve"> The Federal financial institution supervisory agencies are the Office of the Comptroller of the Currency (OCC), Board of Governors of the Federal Reserve System (Board), Federal Deposit Insurance Corporation (FDIC), and National Credit Union Administration (NCUA).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0"/>
  </w:num>
  <w:num w:numId="21">
    <w:abstractNumId w:val="2"/>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AEB"/>
    <w:rsid w:val="00020F0B"/>
    <w:rsid w:val="0003315A"/>
    <w:rsid w:val="00077559"/>
    <w:rsid w:val="0009497D"/>
    <w:rsid w:val="000964E6"/>
    <w:rsid w:val="00171055"/>
    <w:rsid w:val="0017729A"/>
    <w:rsid w:val="00180FCC"/>
    <w:rsid w:val="001871AA"/>
    <w:rsid w:val="00192A90"/>
    <w:rsid w:val="001A0206"/>
    <w:rsid w:val="001A0567"/>
    <w:rsid w:val="001A2D77"/>
    <w:rsid w:val="001A3CF1"/>
    <w:rsid w:val="001B0FCD"/>
    <w:rsid w:val="001C4611"/>
    <w:rsid w:val="001F0B3E"/>
    <w:rsid w:val="0020183B"/>
    <w:rsid w:val="0021443D"/>
    <w:rsid w:val="0021725D"/>
    <w:rsid w:val="002248D5"/>
    <w:rsid w:val="00225217"/>
    <w:rsid w:val="00231FE8"/>
    <w:rsid w:val="00236158"/>
    <w:rsid w:val="00237823"/>
    <w:rsid w:val="002426F7"/>
    <w:rsid w:val="00295FB5"/>
    <w:rsid w:val="002D3053"/>
    <w:rsid w:val="003148EE"/>
    <w:rsid w:val="0032093C"/>
    <w:rsid w:val="003363E0"/>
    <w:rsid w:val="00337003"/>
    <w:rsid w:val="0034595E"/>
    <w:rsid w:val="00345CF0"/>
    <w:rsid w:val="003A6564"/>
    <w:rsid w:val="003B699B"/>
    <w:rsid w:val="003D3A58"/>
    <w:rsid w:val="00445664"/>
    <w:rsid w:val="00445B75"/>
    <w:rsid w:val="004511C0"/>
    <w:rsid w:val="004727FD"/>
    <w:rsid w:val="004857E8"/>
    <w:rsid w:val="00496AC8"/>
    <w:rsid w:val="004C4193"/>
    <w:rsid w:val="005248E0"/>
    <w:rsid w:val="00526C43"/>
    <w:rsid w:val="00547197"/>
    <w:rsid w:val="005E7CB8"/>
    <w:rsid w:val="005F65FF"/>
    <w:rsid w:val="00624D63"/>
    <w:rsid w:val="00653117"/>
    <w:rsid w:val="00666879"/>
    <w:rsid w:val="00675167"/>
    <w:rsid w:val="006C5F1D"/>
    <w:rsid w:val="006E1F2C"/>
    <w:rsid w:val="006E6C2B"/>
    <w:rsid w:val="007154C9"/>
    <w:rsid w:val="007458C2"/>
    <w:rsid w:val="00763E7D"/>
    <w:rsid w:val="00772F60"/>
    <w:rsid w:val="007910F7"/>
    <w:rsid w:val="00793412"/>
    <w:rsid w:val="007B3837"/>
    <w:rsid w:val="007C12C8"/>
    <w:rsid w:val="007D58BB"/>
    <w:rsid w:val="007F573B"/>
    <w:rsid w:val="0081697A"/>
    <w:rsid w:val="00816FC4"/>
    <w:rsid w:val="00826B00"/>
    <w:rsid w:val="0083127C"/>
    <w:rsid w:val="008373A6"/>
    <w:rsid w:val="00845798"/>
    <w:rsid w:val="00855934"/>
    <w:rsid w:val="00891604"/>
    <w:rsid w:val="008A3A70"/>
    <w:rsid w:val="00911A6F"/>
    <w:rsid w:val="009354F7"/>
    <w:rsid w:val="00950214"/>
    <w:rsid w:val="00955763"/>
    <w:rsid w:val="009600F2"/>
    <w:rsid w:val="00966426"/>
    <w:rsid w:val="00967E96"/>
    <w:rsid w:val="00972385"/>
    <w:rsid w:val="00987F3B"/>
    <w:rsid w:val="009938F5"/>
    <w:rsid w:val="00993B68"/>
    <w:rsid w:val="00996DAF"/>
    <w:rsid w:val="009A2FFE"/>
    <w:rsid w:val="009B2EF7"/>
    <w:rsid w:val="009D0298"/>
    <w:rsid w:val="009D63A9"/>
    <w:rsid w:val="009E4EA7"/>
    <w:rsid w:val="009E6F2F"/>
    <w:rsid w:val="009F6FF9"/>
    <w:rsid w:val="00A278B6"/>
    <w:rsid w:val="00A55637"/>
    <w:rsid w:val="00A67808"/>
    <w:rsid w:val="00A7177A"/>
    <w:rsid w:val="00A96563"/>
    <w:rsid w:val="00AB6595"/>
    <w:rsid w:val="00AB7081"/>
    <w:rsid w:val="00AD299A"/>
    <w:rsid w:val="00B30A8D"/>
    <w:rsid w:val="00B448D1"/>
    <w:rsid w:val="00B81C33"/>
    <w:rsid w:val="00BA08AB"/>
    <w:rsid w:val="00BB6813"/>
    <w:rsid w:val="00BC5DDD"/>
    <w:rsid w:val="00BC65A6"/>
    <w:rsid w:val="00C15C86"/>
    <w:rsid w:val="00C24463"/>
    <w:rsid w:val="00C6298E"/>
    <w:rsid w:val="00C72849"/>
    <w:rsid w:val="00C86C6D"/>
    <w:rsid w:val="00CB76E5"/>
    <w:rsid w:val="00D01838"/>
    <w:rsid w:val="00D25315"/>
    <w:rsid w:val="00D36C5D"/>
    <w:rsid w:val="00D45F69"/>
    <w:rsid w:val="00D46F59"/>
    <w:rsid w:val="00D5760A"/>
    <w:rsid w:val="00D57803"/>
    <w:rsid w:val="00DB0802"/>
    <w:rsid w:val="00DB6B7D"/>
    <w:rsid w:val="00DC5AEB"/>
    <w:rsid w:val="00DD7722"/>
    <w:rsid w:val="00E021B6"/>
    <w:rsid w:val="00E61A03"/>
    <w:rsid w:val="00E8795B"/>
    <w:rsid w:val="00E90F5C"/>
    <w:rsid w:val="00E95C5A"/>
    <w:rsid w:val="00EA5A3C"/>
    <w:rsid w:val="00ED32C3"/>
    <w:rsid w:val="00EE4839"/>
    <w:rsid w:val="00F012B9"/>
    <w:rsid w:val="00F07BE6"/>
    <w:rsid w:val="00F36E6C"/>
    <w:rsid w:val="00F43AF9"/>
    <w:rsid w:val="00F7473A"/>
    <w:rsid w:val="00F86E0E"/>
    <w:rsid w:val="00FA45C8"/>
    <w:rsid w:val="00FB22D0"/>
    <w:rsid w:val="00FD171E"/>
    <w:rsid w:val="00FE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93C"/>
    <w:rPr>
      <w:sz w:val="24"/>
    </w:rPr>
  </w:style>
  <w:style w:type="paragraph" w:styleId="Heading1">
    <w:name w:val="heading 1"/>
    <w:basedOn w:val="Normal"/>
    <w:next w:val="Normal"/>
    <w:qFormat/>
    <w:rsid w:val="0032093C"/>
    <w:pPr>
      <w:keepNext/>
      <w:spacing w:before="240" w:after="60"/>
      <w:outlineLvl w:val="0"/>
    </w:pPr>
    <w:rPr>
      <w:b/>
      <w:kern w:val="28"/>
      <w:sz w:val="28"/>
    </w:rPr>
  </w:style>
  <w:style w:type="paragraph" w:styleId="Heading2">
    <w:name w:val="heading 2"/>
    <w:basedOn w:val="Normal"/>
    <w:next w:val="Normal"/>
    <w:qFormat/>
    <w:rsid w:val="0032093C"/>
    <w:pPr>
      <w:keepNext/>
      <w:spacing w:before="240" w:after="60"/>
      <w:outlineLvl w:val="1"/>
    </w:pPr>
    <w:rPr>
      <w:b/>
    </w:rPr>
  </w:style>
  <w:style w:type="paragraph" w:styleId="Heading3">
    <w:name w:val="heading 3"/>
    <w:basedOn w:val="Normal"/>
    <w:next w:val="Normal"/>
    <w:qFormat/>
    <w:rsid w:val="0032093C"/>
    <w:pPr>
      <w:keepNext/>
      <w:spacing w:before="240" w:after="60"/>
      <w:outlineLvl w:val="2"/>
    </w:pPr>
    <w:rPr>
      <w:u w:val="single"/>
    </w:rPr>
  </w:style>
  <w:style w:type="paragraph" w:styleId="Heading4">
    <w:name w:val="heading 4"/>
    <w:basedOn w:val="Normal"/>
    <w:next w:val="Normal"/>
    <w:qFormat/>
    <w:rsid w:val="0032093C"/>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2093C"/>
    <w:rPr>
      <w:vertAlign w:val="superscript"/>
    </w:rPr>
  </w:style>
  <w:style w:type="paragraph" w:styleId="FootnoteText">
    <w:name w:val="footnote text"/>
    <w:basedOn w:val="Normal"/>
    <w:semiHidden/>
    <w:rsid w:val="0032093C"/>
    <w:rPr>
      <w:sz w:val="20"/>
    </w:rPr>
  </w:style>
  <w:style w:type="paragraph" w:customStyle="1" w:styleId="ArticleNumber">
    <w:name w:val="Article Number"/>
    <w:basedOn w:val="Normal"/>
    <w:rsid w:val="0032093C"/>
    <w:pPr>
      <w:numPr>
        <w:numId w:val="16"/>
      </w:numPr>
      <w:spacing w:line="480" w:lineRule="auto"/>
      <w:jc w:val="center"/>
    </w:pPr>
  </w:style>
  <w:style w:type="paragraph" w:customStyle="1" w:styleId="ArticleLevel1">
    <w:name w:val="Article Level (1)"/>
    <w:basedOn w:val="Normal"/>
    <w:rsid w:val="0032093C"/>
    <w:pPr>
      <w:numPr>
        <w:ilvl w:val="1"/>
        <w:numId w:val="13"/>
      </w:numPr>
      <w:tabs>
        <w:tab w:val="clear" w:pos="1080"/>
      </w:tabs>
      <w:spacing w:line="480" w:lineRule="auto"/>
    </w:pPr>
  </w:style>
  <w:style w:type="paragraph" w:customStyle="1" w:styleId="ArticleLevela">
    <w:name w:val="Article Level (a)"/>
    <w:basedOn w:val="Normal"/>
    <w:rsid w:val="0032093C"/>
    <w:pPr>
      <w:numPr>
        <w:ilvl w:val="2"/>
        <w:numId w:val="14"/>
      </w:numPr>
      <w:tabs>
        <w:tab w:val="clear" w:pos="1440"/>
      </w:tabs>
      <w:spacing w:line="480" w:lineRule="auto"/>
      <w:ind w:left="2160"/>
    </w:pPr>
  </w:style>
  <w:style w:type="paragraph" w:customStyle="1" w:styleId="ArticleLeveli">
    <w:name w:val="Article Level (i)"/>
    <w:basedOn w:val="Normal"/>
    <w:rsid w:val="0032093C"/>
    <w:pPr>
      <w:numPr>
        <w:ilvl w:val="3"/>
        <w:numId w:val="15"/>
      </w:numPr>
      <w:tabs>
        <w:tab w:val="clear" w:pos="2160"/>
      </w:tabs>
      <w:spacing w:line="480" w:lineRule="auto"/>
      <w:ind w:left="2880"/>
    </w:pPr>
  </w:style>
  <w:style w:type="paragraph" w:styleId="Footer">
    <w:name w:val="footer"/>
    <w:basedOn w:val="Normal"/>
    <w:rsid w:val="0032093C"/>
    <w:pPr>
      <w:tabs>
        <w:tab w:val="center" w:pos="4320"/>
        <w:tab w:val="right" w:pos="8640"/>
      </w:tabs>
    </w:pPr>
  </w:style>
  <w:style w:type="character" w:styleId="PageNumber">
    <w:name w:val="page number"/>
    <w:basedOn w:val="DefaultParagraphFont"/>
    <w:rsid w:val="0032093C"/>
  </w:style>
  <w:style w:type="paragraph" w:styleId="Title">
    <w:name w:val="Title"/>
    <w:basedOn w:val="Normal"/>
    <w:qFormat/>
    <w:rsid w:val="0032093C"/>
    <w:pPr>
      <w:jc w:val="center"/>
    </w:pPr>
    <w:rPr>
      <w:b/>
      <w:bCs/>
    </w:rPr>
  </w:style>
  <w:style w:type="paragraph" w:styleId="BodyText">
    <w:name w:val="Body Text"/>
    <w:basedOn w:val="Normal"/>
    <w:rsid w:val="0032093C"/>
    <w:rPr>
      <w:i/>
      <w:iCs/>
    </w:rPr>
  </w:style>
  <w:style w:type="character" w:styleId="Hyperlink">
    <w:name w:val="Hyperlink"/>
    <w:basedOn w:val="DefaultParagraphFont"/>
    <w:rsid w:val="0032093C"/>
    <w:rPr>
      <w:color w:val="0000FF"/>
      <w:u w:val="single"/>
    </w:rPr>
  </w:style>
  <w:style w:type="paragraph" w:styleId="BalloonText">
    <w:name w:val="Balloon Text"/>
    <w:basedOn w:val="Normal"/>
    <w:semiHidden/>
    <w:rsid w:val="00E021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93C"/>
    <w:rPr>
      <w:sz w:val="24"/>
    </w:rPr>
  </w:style>
  <w:style w:type="paragraph" w:styleId="Heading1">
    <w:name w:val="heading 1"/>
    <w:basedOn w:val="Normal"/>
    <w:next w:val="Normal"/>
    <w:qFormat/>
    <w:rsid w:val="0032093C"/>
    <w:pPr>
      <w:keepNext/>
      <w:spacing w:before="240" w:after="60"/>
      <w:outlineLvl w:val="0"/>
    </w:pPr>
    <w:rPr>
      <w:b/>
      <w:kern w:val="28"/>
      <w:sz w:val="28"/>
    </w:rPr>
  </w:style>
  <w:style w:type="paragraph" w:styleId="Heading2">
    <w:name w:val="heading 2"/>
    <w:basedOn w:val="Normal"/>
    <w:next w:val="Normal"/>
    <w:qFormat/>
    <w:rsid w:val="0032093C"/>
    <w:pPr>
      <w:keepNext/>
      <w:spacing w:before="240" w:after="60"/>
      <w:outlineLvl w:val="1"/>
    </w:pPr>
    <w:rPr>
      <w:b/>
    </w:rPr>
  </w:style>
  <w:style w:type="paragraph" w:styleId="Heading3">
    <w:name w:val="heading 3"/>
    <w:basedOn w:val="Normal"/>
    <w:next w:val="Normal"/>
    <w:qFormat/>
    <w:rsid w:val="0032093C"/>
    <w:pPr>
      <w:keepNext/>
      <w:spacing w:before="240" w:after="60"/>
      <w:outlineLvl w:val="2"/>
    </w:pPr>
    <w:rPr>
      <w:u w:val="single"/>
    </w:rPr>
  </w:style>
  <w:style w:type="paragraph" w:styleId="Heading4">
    <w:name w:val="heading 4"/>
    <w:basedOn w:val="Normal"/>
    <w:next w:val="Normal"/>
    <w:qFormat/>
    <w:rsid w:val="0032093C"/>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2093C"/>
    <w:rPr>
      <w:vertAlign w:val="superscript"/>
    </w:rPr>
  </w:style>
  <w:style w:type="paragraph" w:styleId="FootnoteText">
    <w:name w:val="footnote text"/>
    <w:basedOn w:val="Normal"/>
    <w:semiHidden/>
    <w:rsid w:val="0032093C"/>
    <w:rPr>
      <w:sz w:val="20"/>
    </w:rPr>
  </w:style>
  <w:style w:type="paragraph" w:customStyle="1" w:styleId="ArticleNumber">
    <w:name w:val="Article Number"/>
    <w:basedOn w:val="Normal"/>
    <w:rsid w:val="0032093C"/>
    <w:pPr>
      <w:numPr>
        <w:numId w:val="16"/>
      </w:numPr>
      <w:spacing w:line="480" w:lineRule="auto"/>
      <w:jc w:val="center"/>
    </w:pPr>
  </w:style>
  <w:style w:type="paragraph" w:customStyle="1" w:styleId="ArticleLevel1">
    <w:name w:val="Article Level (1)"/>
    <w:basedOn w:val="Normal"/>
    <w:rsid w:val="0032093C"/>
    <w:pPr>
      <w:numPr>
        <w:ilvl w:val="1"/>
        <w:numId w:val="13"/>
      </w:numPr>
      <w:tabs>
        <w:tab w:val="clear" w:pos="1080"/>
      </w:tabs>
      <w:spacing w:line="480" w:lineRule="auto"/>
    </w:pPr>
  </w:style>
  <w:style w:type="paragraph" w:customStyle="1" w:styleId="ArticleLevela">
    <w:name w:val="Article Level (a)"/>
    <w:basedOn w:val="Normal"/>
    <w:rsid w:val="0032093C"/>
    <w:pPr>
      <w:numPr>
        <w:ilvl w:val="2"/>
        <w:numId w:val="14"/>
      </w:numPr>
      <w:tabs>
        <w:tab w:val="clear" w:pos="1440"/>
      </w:tabs>
      <w:spacing w:line="480" w:lineRule="auto"/>
      <w:ind w:left="2160"/>
    </w:pPr>
  </w:style>
  <w:style w:type="paragraph" w:customStyle="1" w:styleId="ArticleLeveli">
    <w:name w:val="Article Level (i)"/>
    <w:basedOn w:val="Normal"/>
    <w:rsid w:val="0032093C"/>
    <w:pPr>
      <w:numPr>
        <w:ilvl w:val="3"/>
        <w:numId w:val="15"/>
      </w:numPr>
      <w:tabs>
        <w:tab w:val="clear" w:pos="2160"/>
      </w:tabs>
      <w:spacing w:line="480" w:lineRule="auto"/>
      <w:ind w:left="2880"/>
    </w:pPr>
  </w:style>
  <w:style w:type="paragraph" w:styleId="Footer">
    <w:name w:val="footer"/>
    <w:basedOn w:val="Normal"/>
    <w:rsid w:val="0032093C"/>
    <w:pPr>
      <w:tabs>
        <w:tab w:val="center" w:pos="4320"/>
        <w:tab w:val="right" w:pos="8640"/>
      </w:tabs>
    </w:pPr>
  </w:style>
  <w:style w:type="character" w:styleId="PageNumber">
    <w:name w:val="page number"/>
    <w:basedOn w:val="DefaultParagraphFont"/>
    <w:rsid w:val="0032093C"/>
  </w:style>
  <w:style w:type="paragraph" w:styleId="Title">
    <w:name w:val="Title"/>
    <w:basedOn w:val="Normal"/>
    <w:qFormat/>
    <w:rsid w:val="0032093C"/>
    <w:pPr>
      <w:jc w:val="center"/>
    </w:pPr>
    <w:rPr>
      <w:b/>
      <w:bCs/>
    </w:rPr>
  </w:style>
  <w:style w:type="paragraph" w:styleId="BodyText">
    <w:name w:val="Body Text"/>
    <w:basedOn w:val="Normal"/>
    <w:rsid w:val="0032093C"/>
    <w:rPr>
      <w:i/>
      <w:iCs/>
    </w:rPr>
  </w:style>
  <w:style w:type="character" w:styleId="Hyperlink">
    <w:name w:val="Hyperlink"/>
    <w:basedOn w:val="DefaultParagraphFont"/>
    <w:rsid w:val="0032093C"/>
    <w:rPr>
      <w:color w:val="0000FF"/>
      <w:u w:val="single"/>
    </w:rPr>
  </w:style>
  <w:style w:type="paragraph" w:styleId="BalloonText">
    <w:name w:val="Balloon Text"/>
    <w:basedOn w:val="Normal"/>
    <w:semiHidden/>
    <w:rsid w:val="00E02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0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C7208-211C-4A71-87E3-2DA50A38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2180</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mary.gottlieb</cp:lastModifiedBy>
  <cp:revision>3</cp:revision>
  <cp:lastPrinted>2016-06-15T17:04:00Z</cp:lastPrinted>
  <dcterms:created xsi:type="dcterms:W3CDTF">2016-06-21T18:01:00Z</dcterms:created>
  <dcterms:modified xsi:type="dcterms:W3CDTF">2016-06-21T18:01:00Z</dcterms:modified>
</cp:coreProperties>
</file>