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27FD6">
        <w:rPr>
          <w:sz w:val="28"/>
        </w:rPr>
        <w:t>1652-0058</w:t>
      </w:r>
      <w:r>
        <w:rPr>
          <w:sz w:val="28"/>
        </w:rPr>
        <w:t>)</w:t>
      </w:r>
    </w:p>
    <w:p w:rsidR="00E50293" w:rsidRPr="009239AA" w:rsidRDefault="009322D8" w:rsidP="00434E33">
      <w:pPr>
        <w:rPr>
          <w:b/>
        </w:rPr>
      </w:pPr>
      <w:r>
        <w:rPr>
          <w:b/>
          <w:noProof/>
        </w:rPr>
        <mc:AlternateContent>
          <mc:Choice Requires="wps">
            <w:drawing>
              <wp:anchor distT="0" distB="0" distL="114300" distR="114300" simplePos="0" relativeHeight="251657216" behindDoc="0" locked="0" layoutInCell="0" allowOverlap="1" wp14:anchorId="102AD7DA" wp14:editId="56A7783F">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9CAA9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BD38FC">
        <w:t>Aviation Security Information Sharing Survey</w:t>
      </w:r>
    </w:p>
    <w:p w:rsidR="005E714A" w:rsidRDefault="005E714A"/>
    <w:p w:rsidR="001B0AAA" w:rsidRPr="00BD38FC" w:rsidRDefault="00F15956" w:rsidP="0046671F">
      <w:r>
        <w:rPr>
          <w:b/>
        </w:rPr>
        <w:t>PURPOSE</w:t>
      </w:r>
      <w:r w:rsidRPr="009239AA">
        <w:rPr>
          <w:b/>
        </w:rPr>
        <w:t>:</w:t>
      </w:r>
      <w:r w:rsidR="00BD38FC">
        <w:rPr>
          <w:b/>
        </w:rPr>
        <w:t xml:space="preserve"> </w:t>
      </w:r>
      <w:r w:rsidR="00E27FD6" w:rsidRPr="00E27FD6">
        <w:t>The Transportation Security Administration (TSA) will conduct this survey</w:t>
      </w:r>
      <w:r w:rsidR="00783C7B">
        <w:t xml:space="preserve"> with </w:t>
      </w:r>
      <w:r w:rsidR="00783C7B" w:rsidRPr="00783C7B">
        <w:t xml:space="preserve">Aviation Domain Intelligence Integration and Analysis Cell (ADIAC) </w:t>
      </w:r>
      <w:r w:rsidR="00103F8E">
        <w:t xml:space="preserve">members </w:t>
      </w:r>
      <w:r w:rsidR="00E27FD6" w:rsidRPr="00E27FD6">
        <w:t>in order to i</w:t>
      </w:r>
      <w:r w:rsidR="00BD38FC">
        <w:t>dentify gaps in information sharing within the aviation security</w:t>
      </w:r>
      <w:r w:rsidR="00103F8E">
        <w:t xml:space="preserve"> industry</w:t>
      </w:r>
      <w:r w:rsidR="00423880">
        <w:t>.</w:t>
      </w:r>
      <w:r w:rsidR="00103F8E" w:rsidRPr="00103F8E">
        <w:t xml:space="preserve"> </w:t>
      </w:r>
      <w:r w:rsidR="00103F8E">
        <w:t>ADIAC</w:t>
      </w:r>
      <w:r w:rsidR="00103F8E" w:rsidRPr="00103F8E">
        <w:t xml:space="preserve"> </w:t>
      </w:r>
      <w:r w:rsidR="0046671F">
        <w:t xml:space="preserve">is a </w:t>
      </w:r>
      <w:r w:rsidR="00103F8E" w:rsidRPr="00103F8E">
        <w:t>TSA Administrator/Chief of Operations-endorsed, Office of the Director of National Intelligence</w:t>
      </w:r>
      <w:r w:rsidR="0046671F">
        <w:t xml:space="preserve">-sponsored, </w:t>
      </w:r>
      <w:r w:rsidR="00103F8E">
        <w:t>TSA</w:t>
      </w:r>
      <w:r w:rsidR="0046671F">
        <w:t>-hosted aviation threat intel</w:t>
      </w:r>
      <w:r w:rsidR="00783C7B">
        <w:t xml:space="preserve">ligence and </w:t>
      </w:r>
      <w:r w:rsidR="0046671F">
        <w:t>info</w:t>
      </w:r>
      <w:r w:rsidR="00783C7B">
        <w:t>rmation</w:t>
      </w:r>
      <w:r w:rsidR="0046671F">
        <w:t xml:space="preserve"> sharing cell supporting two-way government-industry collaboration. </w:t>
      </w:r>
      <w:r w:rsidR="00423880">
        <w:t xml:space="preserve">See attached </w:t>
      </w:r>
      <w:r w:rsidR="00103F8E" w:rsidRPr="00103F8E">
        <w:t xml:space="preserve">ADIAC </w:t>
      </w:r>
      <w:r w:rsidR="00423880">
        <w:t>Charter</w:t>
      </w:r>
      <w:r w:rsidR="00CD2DF8">
        <w:t xml:space="preserve"> for more information</w:t>
      </w:r>
      <w:r w:rsidR="00423880">
        <w:t xml:space="preserve">. The survey would build on the existing </w:t>
      </w:r>
      <w:r w:rsidR="00103F8E" w:rsidRPr="00103F8E">
        <w:t xml:space="preserve">ADIAC </w:t>
      </w:r>
      <w:r w:rsidR="00935DBB">
        <w:t>member</w:t>
      </w:r>
      <w:r w:rsidR="00423880">
        <w:t xml:space="preserve"> relationships among government and</w:t>
      </w:r>
      <w:r w:rsidR="0046671F">
        <w:t xml:space="preserve"> aviation industry stakeholders.</w:t>
      </w:r>
    </w:p>
    <w:p w:rsidR="001B0AAA" w:rsidRDefault="001B0AAA"/>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E858E1">
        <w:t xml:space="preserve">Aviation private sector voluntary </w:t>
      </w:r>
      <w:r w:rsidR="00BD38FC">
        <w:t xml:space="preserve">participants of the ADIAC (e.g., airlines, </w:t>
      </w:r>
      <w:r w:rsidR="00B333B0">
        <w:t>airport infrastructure, air cargo</w:t>
      </w:r>
      <w:r w:rsidR="00BD38FC">
        <w:t>)</w:t>
      </w:r>
    </w:p>
    <w:p w:rsidR="00F15956" w:rsidRDefault="00F15956"/>
    <w:p w:rsidR="00F06866" w:rsidRPr="00F06866" w:rsidRDefault="00F06866">
      <w:pPr>
        <w:rPr>
          <w:b/>
        </w:rPr>
      </w:pPr>
      <w:r>
        <w:rPr>
          <w:b/>
        </w:rPr>
        <w:t>TYPE OF COLLECTION:</w:t>
      </w:r>
      <w:r w:rsidRPr="00F06866">
        <w:t xml:space="preserve"> (Check one)</w:t>
      </w:r>
    </w:p>
    <w:p w:rsidR="00441434" w:rsidRPr="003C3908" w:rsidRDefault="00441434" w:rsidP="0096108F">
      <w:pPr>
        <w:pStyle w:val="BodyTextIndent"/>
        <w:tabs>
          <w:tab w:val="left" w:pos="360"/>
        </w:tabs>
        <w:ind w:left="0"/>
        <w:rPr>
          <w:bCs/>
          <w:sz w:val="24"/>
          <w:szCs w:val="24"/>
        </w:rPr>
      </w:pPr>
    </w:p>
    <w:p w:rsidR="00F06866" w:rsidRPr="00F06866" w:rsidRDefault="0096108F" w:rsidP="0096108F">
      <w:pPr>
        <w:pStyle w:val="BodyTextIndent"/>
        <w:tabs>
          <w:tab w:val="left" w:pos="360"/>
        </w:tabs>
        <w:ind w:left="0"/>
        <w:rPr>
          <w:bCs/>
          <w:sz w:val="24"/>
        </w:rPr>
      </w:pPr>
      <w:r w:rsidRPr="00F06866">
        <w:rPr>
          <w:bCs/>
          <w:sz w:val="24"/>
        </w:rPr>
        <w:t>[</w:t>
      </w:r>
      <w:r w:rsidR="00412889">
        <w:rPr>
          <w:bCs/>
          <w:sz w:val="24"/>
        </w:rPr>
        <w:t xml:space="preserve"> </w:t>
      </w: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BD38FC">
        <w:rPr>
          <w:bCs/>
          <w:sz w:val="24"/>
        </w:rPr>
        <w:t>X</w:t>
      </w:r>
      <w:r w:rsidR="00412889">
        <w:rPr>
          <w:bCs/>
          <w:sz w:val="24"/>
        </w:rPr>
        <w:t xml:space="preserve"> </w:t>
      </w:r>
      <w:r w:rsidRPr="00F06866">
        <w:rPr>
          <w:bCs/>
          <w:sz w:val="24"/>
        </w:rPr>
        <w:t xml:space="preserve">] </w:t>
      </w:r>
      <w:r w:rsidR="00F06866" w:rsidRPr="00F06866">
        <w:rPr>
          <w:bCs/>
          <w:sz w:val="24"/>
        </w:rPr>
        <w:t>Customer Satisfaction Survey</w:t>
      </w:r>
    </w:p>
    <w:p w:rsidR="0096108F" w:rsidRDefault="0096108F" w:rsidP="0096108F">
      <w:pPr>
        <w:pStyle w:val="BodyTextIndent"/>
        <w:tabs>
          <w:tab w:val="left" w:pos="360"/>
        </w:tabs>
        <w:ind w:left="0"/>
        <w:rPr>
          <w:bCs/>
          <w:sz w:val="24"/>
        </w:rPr>
      </w:pPr>
      <w:r w:rsidRPr="00F06866">
        <w:rPr>
          <w:bCs/>
          <w:sz w:val="24"/>
        </w:rPr>
        <w:t>[</w:t>
      </w:r>
      <w:r w:rsidR="00412889">
        <w:rPr>
          <w:bCs/>
          <w:sz w:val="24"/>
        </w:rPr>
        <w:t xml:space="preserve"> </w:t>
      </w: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w:t>
      </w:r>
      <w:r w:rsidR="00412889">
        <w:rPr>
          <w:bCs/>
          <w:sz w:val="24"/>
        </w:rPr>
        <w:t xml:space="preserve"> </w:t>
      </w:r>
      <w:r w:rsidR="00F06866">
        <w:rPr>
          <w:bCs/>
          <w:sz w:val="24"/>
        </w:rPr>
        <w:t xml:space="preserve"> ] Small Discussion Group</w:t>
      </w:r>
    </w:p>
    <w:p w:rsidR="00F06866" w:rsidRPr="00F06866" w:rsidRDefault="00935ADA" w:rsidP="0096108F">
      <w:pPr>
        <w:pStyle w:val="BodyTextIndent"/>
        <w:tabs>
          <w:tab w:val="left" w:pos="360"/>
        </w:tabs>
        <w:ind w:left="0"/>
        <w:rPr>
          <w:bCs/>
          <w:sz w:val="24"/>
        </w:rPr>
      </w:pPr>
      <w:r>
        <w:rPr>
          <w:bCs/>
          <w:sz w:val="24"/>
        </w:rPr>
        <w:t>[</w:t>
      </w:r>
      <w:r w:rsidR="00412889">
        <w:rPr>
          <w:bCs/>
          <w:sz w:val="24"/>
        </w:rPr>
        <w:t xml:space="preserve"> </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412889">
        <w:rPr>
          <w:bCs/>
          <w:sz w:val="24"/>
        </w:rPr>
        <w:t xml:space="preserve"> </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Pr="003C3908" w:rsidRDefault="00441434"/>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BD38FC">
        <w:t xml:space="preserve"> </w:t>
      </w:r>
      <w:r w:rsidR="00BD38FC">
        <w:rPr>
          <w:u w:val="single"/>
        </w:rPr>
        <w:t>John Patch</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Default="00C86E91" w:rsidP="00C86E91">
      <w:pPr>
        <w:rPr>
          <w:b/>
        </w:rPr>
      </w:pPr>
      <w:r w:rsidRPr="00C86E91">
        <w:rPr>
          <w:b/>
        </w:rPr>
        <w:t>Personally Identifiable Information:</w:t>
      </w:r>
    </w:p>
    <w:p w:rsidR="003C3908" w:rsidRPr="003C3908" w:rsidRDefault="003C3908" w:rsidP="00C86E91"/>
    <w:p w:rsidR="00C86E91" w:rsidRDefault="009C13B9" w:rsidP="00C86E91">
      <w:pPr>
        <w:pStyle w:val="ListParagraph"/>
        <w:numPr>
          <w:ilvl w:val="0"/>
          <w:numId w:val="18"/>
        </w:numPr>
      </w:pPr>
      <w:r>
        <w:t>Is</w:t>
      </w:r>
      <w:r w:rsidR="00237B48">
        <w:t xml:space="preserve"> personally identifiable information (PII) collected</w:t>
      </w:r>
      <w:r>
        <w:t xml:space="preserve">?  </w:t>
      </w:r>
      <w:r w:rsidR="00BD38FC">
        <w:t>[</w:t>
      </w:r>
      <w:r w:rsidR="00412889">
        <w:t xml:space="preserve"> </w:t>
      </w:r>
      <w:r w:rsidR="00BD38FC">
        <w:t xml:space="preserve"> </w:t>
      </w:r>
      <w:r w:rsidR="009239AA">
        <w:t>] Yes  [</w:t>
      </w:r>
      <w:r w:rsidR="00412889">
        <w:t xml:space="preserve"> </w:t>
      </w:r>
      <w:r w:rsidR="00BD38FC">
        <w:t>X</w:t>
      </w:r>
      <w:r w:rsidR="00412889">
        <w:t xml:space="preserve"> ] No</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Pr="003C3908" w:rsidRDefault="00CF6542" w:rsidP="00C86E91">
      <w:pPr>
        <w:pStyle w:val="ListParagraph"/>
        <w:ind w:left="0"/>
      </w:pPr>
    </w:p>
    <w:p w:rsidR="00C86E91" w:rsidRDefault="00CB1078" w:rsidP="003C3908">
      <w:pPr>
        <w:pStyle w:val="ListParagraph"/>
        <w:keepNext/>
        <w:ind w:left="0"/>
        <w:rPr>
          <w:b/>
        </w:rPr>
      </w:pPr>
      <w:r>
        <w:rPr>
          <w:b/>
        </w:rPr>
        <w:lastRenderedPageBreak/>
        <w:t>Gifts or Payments</w:t>
      </w:r>
      <w:r w:rsidR="00C86E91">
        <w:rPr>
          <w:b/>
        </w:rPr>
        <w:t>:</w:t>
      </w:r>
    </w:p>
    <w:p w:rsidR="003C3908" w:rsidRPr="003C3908" w:rsidRDefault="003C3908" w:rsidP="003C3908">
      <w:pPr>
        <w:pStyle w:val="ListParagraph"/>
        <w:keepNext/>
        <w:ind w:left="0"/>
      </w:pPr>
    </w:p>
    <w:p w:rsidR="00C86E91" w:rsidRDefault="00C86E91" w:rsidP="00C86E91">
      <w:r>
        <w:t xml:space="preserve">Is an incentive (e.g., money or reimbursement of expenses, token of appreciation) provided to participants?  [  ] Yes [ </w:t>
      </w:r>
      <w:r w:rsidR="00BD38FC">
        <w:t>X</w:t>
      </w:r>
      <w:r w:rsidR="00412889">
        <w:t xml:space="preserve"> ] No</w:t>
      </w:r>
    </w:p>
    <w:p w:rsidR="00BD38FC" w:rsidRPr="003C3908" w:rsidRDefault="00BD38FC" w:rsidP="00C86E91"/>
    <w:p w:rsidR="005E714A" w:rsidRDefault="005E714A" w:rsidP="003C3908">
      <w:pPr>
        <w:keepNext/>
        <w:rPr>
          <w:b/>
        </w:rPr>
      </w:pPr>
      <w:r>
        <w:rPr>
          <w:b/>
        </w:rPr>
        <w:t>BURDEN HOUR</w:t>
      </w:r>
    </w:p>
    <w:p w:rsidR="00C84182" w:rsidRDefault="00C84182" w:rsidP="003C3908">
      <w:pPr>
        <w:keepNext/>
        <w:rPr>
          <w:i/>
        </w:rPr>
      </w:pPr>
    </w:p>
    <w:p w:rsidR="00C84182" w:rsidRPr="00F40BD1" w:rsidRDefault="00C84182" w:rsidP="003C3908">
      <w:r w:rsidRPr="00F40BD1">
        <w:t>TSA estimates the hour burden to the public by multiplying the number of responses, 30</w:t>
      </w:r>
      <w:r>
        <w:rPr>
          <w:rStyle w:val="FootnoteReference"/>
        </w:rPr>
        <w:footnoteReference w:id="1"/>
      </w:r>
      <w:r w:rsidRPr="00F40BD1">
        <w:t>, by the estimated hour burden for each response. TSA assumes it will take a respondent ten minutes (0.166666667 hours)</w:t>
      </w:r>
      <w:r>
        <w:rPr>
          <w:rStyle w:val="FootnoteReference"/>
        </w:rPr>
        <w:footnoteReference w:id="2"/>
      </w:r>
      <w:r w:rsidRPr="00F40BD1">
        <w:t xml:space="preserve"> to complete each survey. TSA estimates a</w:t>
      </w:r>
      <w:r>
        <w:t>n</w:t>
      </w:r>
      <w:r w:rsidRPr="00F40BD1">
        <w:t xml:space="preserve"> </w:t>
      </w:r>
      <w:r>
        <w:t>annual</w:t>
      </w:r>
      <w:r w:rsidRPr="00F40BD1">
        <w:t xml:space="preserve"> hour burden of 5 hours to the survey respondents. </w:t>
      </w:r>
      <w:r>
        <w:t>T</w:t>
      </w:r>
      <w:r w:rsidRPr="00F40BD1">
        <w:t>able</w:t>
      </w:r>
      <w:r>
        <w:t xml:space="preserve"> 1</w:t>
      </w:r>
      <w:r w:rsidR="009979B6">
        <w:t xml:space="preserve"> </w:t>
      </w:r>
      <w:r w:rsidRPr="00F40BD1">
        <w:t>displays the annual hour burden estimate.</w:t>
      </w:r>
    </w:p>
    <w:p w:rsidR="00C84182" w:rsidRPr="003C3908" w:rsidRDefault="00C84182" w:rsidP="00C84182">
      <w:pPr>
        <w:keepNext/>
        <w:keepLines/>
      </w:pPr>
    </w:p>
    <w:tbl>
      <w:tblPr>
        <w:tblW w:w="5000" w:type="pct"/>
        <w:tblLook w:val="04A0" w:firstRow="1" w:lastRow="0" w:firstColumn="1" w:lastColumn="0" w:noHBand="0" w:noVBand="1"/>
      </w:tblPr>
      <w:tblGrid>
        <w:gridCol w:w="1980"/>
        <w:gridCol w:w="3467"/>
        <w:gridCol w:w="4129"/>
      </w:tblGrid>
      <w:tr w:rsidR="00C84182" w:rsidTr="001B0BBC">
        <w:trPr>
          <w:trHeight w:val="300"/>
        </w:trPr>
        <w:tc>
          <w:tcPr>
            <w:tcW w:w="5000" w:type="pct"/>
            <w:gridSpan w:val="3"/>
            <w:tcBorders>
              <w:top w:val="nil"/>
              <w:left w:val="nil"/>
              <w:bottom w:val="nil"/>
              <w:right w:val="nil"/>
            </w:tcBorders>
            <w:shd w:val="clear" w:color="auto" w:fill="auto"/>
            <w:noWrap/>
            <w:vAlign w:val="bottom"/>
            <w:hideMark/>
          </w:tcPr>
          <w:p w:rsidR="00C84182" w:rsidRDefault="00C84182" w:rsidP="001B0BBC">
            <w:pPr>
              <w:rPr>
                <w:rFonts w:ascii="Calibri" w:hAnsi="Calibri"/>
                <w:b/>
                <w:bCs/>
                <w:color w:val="000000"/>
                <w:sz w:val="22"/>
                <w:szCs w:val="22"/>
              </w:rPr>
            </w:pPr>
            <w:r>
              <w:rPr>
                <w:rFonts w:ascii="Calibri" w:hAnsi="Calibri"/>
                <w:b/>
                <w:bCs/>
                <w:color w:val="000000"/>
                <w:sz w:val="22"/>
                <w:szCs w:val="22"/>
              </w:rPr>
              <w:t>Table 1: Respondents Total Hour Burden</w:t>
            </w:r>
          </w:p>
        </w:tc>
      </w:tr>
      <w:tr w:rsidR="00C84182" w:rsidTr="001B0BBC">
        <w:trPr>
          <w:trHeight w:val="300"/>
        </w:trPr>
        <w:tc>
          <w:tcPr>
            <w:tcW w:w="103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84182" w:rsidRPr="00F40BD1" w:rsidRDefault="00C84182" w:rsidP="001B0BBC">
            <w:pPr>
              <w:jc w:val="center"/>
              <w:rPr>
                <w:rFonts w:ascii="Calibri" w:hAnsi="Calibri"/>
                <w:b/>
                <w:color w:val="000000"/>
                <w:sz w:val="22"/>
                <w:szCs w:val="22"/>
              </w:rPr>
            </w:pPr>
            <w:r w:rsidRPr="00F40BD1">
              <w:rPr>
                <w:rFonts w:ascii="Calibri" w:hAnsi="Calibri"/>
                <w:b/>
                <w:color w:val="000000"/>
                <w:sz w:val="22"/>
                <w:szCs w:val="22"/>
              </w:rPr>
              <w:t>Year</w:t>
            </w:r>
          </w:p>
        </w:tc>
        <w:tc>
          <w:tcPr>
            <w:tcW w:w="1810" w:type="pct"/>
            <w:tcBorders>
              <w:top w:val="single" w:sz="4" w:space="0" w:color="auto"/>
              <w:left w:val="nil"/>
              <w:bottom w:val="single" w:sz="4" w:space="0" w:color="auto"/>
              <w:right w:val="single" w:sz="4" w:space="0" w:color="auto"/>
            </w:tcBorders>
            <w:shd w:val="clear" w:color="auto" w:fill="FFFFFF"/>
            <w:vAlign w:val="center"/>
            <w:hideMark/>
          </w:tcPr>
          <w:p w:rsidR="00C84182" w:rsidRPr="00F40BD1" w:rsidRDefault="00C84182" w:rsidP="001B0BBC">
            <w:pPr>
              <w:jc w:val="center"/>
              <w:rPr>
                <w:rFonts w:ascii="Calibri" w:hAnsi="Calibri"/>
                <w:b/>
                <w:color w:val="000000"/>
                <w:sz w:val="22"/>
                <w:szCs w:val="22"/>
              </w:rPr>
            </w:pPr>
            <w:r w:rsidRPr="00F40BD1">
              <w:rPr>
                <w:rFonts w:ascii="Calibri" w:hAnsi="Calibri"/>
                <w:b/>
                <w:color w:val="000000"/>
                <w:sz w:val="22"/>
                <w:szCs w:val="22"/>
              </w:rPr>
              <w:t>Total Responses</w:t>
            </w:r>
          </w:p>
        </w:tc>
        <w:tc>
          <w:tcPr>
            <w:tcW w:w="2155" w:type="pct"/>
            <w:tcBorders>
              <w:top w:val="single" w:sz="4" w:space="0" w:color="auto"/>
              <w:left w:val="nil"/>
              <w:bottom w:val="single" w:sz="4" w:space="0" w:color="auto"/>
              <w:right w:val="single" w:sz="4" w:space="0" w:color="auto"/>
            </w:tcBorders>
            <w:shd w:val="clear" w:color="auto" w:fill="FFFFFF"/>
            <w:vAlign w:val="center"/>
            <w:hideMark/>
          </w:tcPr>
          <w:p w:rsidR="00C84182" w:rsidRPr="00F40BD1" w:rsidRDefault="00C84182" w:rsidP="001B0BBC">
            <w:pPr>
              <w:jc w:val="center"/>
              <w:rPr>
                <w:rFonts w:ascii="Calibri" w:hAnsi="Calibri"/>
                <w:b/>
                <w:color w:val="000000"/>
                <w:sz w:val="22"/>
                <w:szCs w:val="22"/>
              </w:rPr>
            </w:pPr>
            <w:r>
              <w:rPr>
                <w:rFonts w:ascii="Calibri" w:hAnsi="Calibri"/>
                <w:b/>
                <w:color w:val="000000"/>
                <w:sz w:val="22"/>
                <w:szCs w:val="22"/>
              </w:rPr>
              <w:t>Annual</w:t>
            </w:r>
            <w:r w:rsidRPr="00F40BD1">
              <w:rPr>
                <w:rFonts w:ascii="Calibri" w:hAnsi="Calibri"/>
                <w:b/>
                <w:color w:val="000000"/>
                <w:sz w:val="22"/>
                <w:szCs w:val="22"/>
              </w:rPr>
              <w:t xml:space="preserve"> Hour Burden</w:t>
            </w:r>
          </w:p>
        </w:tc>
      </w:tr>
      <w:tr w:rsidR="00C84182" w:rsidTr="001B0BBC">
        <w:trPr>
          <w:trHeight w:val="314"/>
        </w:trPr>
        <w:tc>
          <w:tcPr>
            <w:tcW w:w="103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84182" w:rsidRDefault="00C84182" w:rsidP="001B0BBC">
            <w:pPr>
              <w:rPr>
                <w:rFonts w:ascii="Calibri" w:hAnsi="Calibri"/>
                <w:color w:val="000000"/>
                <w:sz w:val="22"/>
                <w:szCs w:val="22"/>
              </w:rPr>
            </w:pPr>
          </w:p>
        </w:tc>
        <w:tc>
          <w:tcPr>
            <w:tcW w:w="1810" w:type="pct"/>
            <w:tcBorders>
              <w:top w:val="nil"/>
              <w:left w:val="nil"/>
              <w:bottom w:val="single" w:sz="4" w:space="0" w:color="auto"/>
              <w:right w:val="single" w:sz="4" w:space="0" w:color="auto"/>
            </w:tcBorders>
            <w:shd w:val="clear" w:color="auto" w:fill="FFFFFF"/>
            <w:vAlign w:val="bottom"/>
            <w:hideMark/>
          </w:tcPr>
          <w:p w:rsidR="00C84182" w:rsidRPr="00F40BD1" w:rsidRDefault="00C84182" w:rsidP="001B0BBC">
            <w:pPr>
              <w:jc w:val="center"/>
              <w:rPr>
                <w:rFonts w:ascii="Calibri" w:hAnsi="Calibri"/>
                <w:b/>
                <w:color w:val="000000"/>
                <w:sz w:val="22"/>
                <w:szCs w:val="22"/>
              </w:rPr>
            </w:pPr>
            <w:r w:rsidRPr="00F40BD1">
              <w:rPr>
                <w:rFonts w:ascii="Calibri" w:hAnsi="Calibri"/>
                <w:b/>
                <w:color w:val="000000"/>
                <w:sz w:val="22"/>
                <w:szCs w:val="22"/>
              </w:rPr>
              <w:t>A</w:t>
            </w:r>
          </w:p>
        </w:tc>
        <w:tc>
          <w:tcPr>
            <w:tcW w:w="2155" w:type="pct"/>
            <w:tcBorders>
              <w:top w:val="nil"/>
              <w:left w:val="nil"/>
              <w:bottom w:val="single" w:sz="4" w:space="0" w:color="auto"/>
              <w:right w:val="single" w:sz="4" w:space="0" w:color="auto"/>
            </w:tcBorders>
            <w:shd w:val="clear" w:color="auto" w:fill="FFFFFF"/>
            <w:vAlign w:val="bottom"/>
            <w:hideMark/>
          </w:tcPr>
          <w:p w:rsidR="00C84182" w:rsidRPr="00F40BD1" w:rsidRDefault="00C84182" w:rsidP="001B0BBC">
            <w:pPr>
              <w:jc w:val="center"/>
              <w:rPr>
                <w:rFonts w:ascii="Calibri" w:hAnsi="Calibri"/>
                <w:b/>
                <w:color w:val="000000"/>
                <w:sz w:val="22"/>
                <w:szCs w:val="22"/>
              </w:rPr>
            </w:pPr>
            <w:r>
              <w:rPr>
                <w:rFonts w:ascii="Calibri" w:hAnsi="Calibri"/>
                <w:b/>
                <w:color w:val="000000"/>
                <w:sz w:val="22"/>
                <w:szCs w:val="22"/>
              </w:rPr>
              <w:t>B</w:t>
            </w:r>
            <w:r w:rsidRPr="00F40BD1">
              <w:rPr>
                <w:rFonts w:ascii="Calibri" w:hAnsi="Calibri"/>
                <w:b/>
                <w:color w:val="000000"/>
                <w:sz w:val="22"/>
                <w:szCs w:val="22"/>
              </w:rPr>
              <w:t xml:space="preserve"> = A × 0.1666667 Hours</w:t>
            </w:r>
          </w:p>
        </w:tc>
      </w:tr>
      <w:tr w:rsidR="00C84182" w:rsidTr="001B0BBC">
        <w:trPr>
          <w:trHeight w:val="30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C84182" w:rsidRDefault="00C84182" w:rsidP="00C84182">
            <w:pPr>
              <w:jc w:val="center"/>
              <w:rPr>
                <w:rFonts w:ascii="Calibri" w:hAnsi="Calibri"/>
                <w:color w:val="000000"/>
                <w:sz w:val="22"/>
                <w:szCs w:val="22"/>
              </w:rPr>
            </w:pPr>
            <w:r>
              <w:rPr>
                <w:rFonts w:ascii="Calibri" w:hAnsi="Calibri"/>
                <w:color w:val="000000"/>
                <w:sz w:val="22"/>
                <w:szCs w:val="22"/>
              </w:rPr>
              <w:t>2017</w:t>
            </w:r>
          </w:p>
        </w:tc>
        <w:tc>
          <w:tcPr>
            <w:tcW w:w="1810" w:type="pct"/>
            <w:tcBorders>
              <w:top w:val="nil"/>
              <w:left w:val="nil"/>
              <w:bottom w:val="single" w:sz="4" w:space="0" w:color="auto"/>
              <w:right w:val="single" w:sz="4" w:space="0" w:color="auto"/>
            </w:tcBorders>
            <w:shd w:val="clear" w:color="auto" w:fill="auto"/>
            <w:noWrap/>
            <w:vAlign w:val="bottom"/>
            <w:hideMark/>
          </w:tcPr>
          <w:p w:rsidR="00C84182" w:rsidRDefault="00C84182" w:rsidP="001B0BBC">
            <w:pPr>
              <w:jc w:val="right"/>
              <w:rPr>
                <w:rFonts w:ascii="Calibri" w:hAnsi="Calibri"/>
                <w:color w:val="000000"/>
                <w:sz w:val="22"/>
                <w:szCs w:val="22"/>
              </w:rPr>
            </w:pPr>
            <w:r>
              <w:rPr>
                <w:rFonts w:ascii="Calibri" w:hAnsi="Calibri"/>
                <w:color w:val="000000"/>
                <w:sz w:val="22"/>
                <w:szCs w:val="22"/>
              </w:rPr>
              <w:t>30</w:t>
            </w:r>
          </w:p>
        </w:tc>
        <w:tc>
          <w:tcPr>
            <w:tcW w:w="2155" w:type="pct"/>
            <w:tcBorders>
              <w:top w:val="nil"/>
              <w:left w:val="nil"/>
              <w:bottom w:val="single" w:sz="4" w:space="0" w:color="auto"/>
              <w:right w:val="single" w:sz="4" w:space="0" w:color="auto"/>
            </w:tcBorders>
            <w:shd w:val="clear" w:color="auto" w:fill="auto"/>
            <w:noWrap/>
            <w:vAlign w:val="bottom"/>
            <w:hideMark/>
          </w:tcPr>
          <w:p w:rsidR="00C84182" w:rsidRDefault="00C84182" w:rsidP="001B0BBC">
            <w:pPr>
              <w:jc w:val="right"/>
              <w:rPr>
                <w:rFonts w:ascii="Calibri" w:hAnsi="Calibri"/>
                <w:color w:val="000000"/>
                <w:sz w:val="22"/>
                <w:szCs w:val="22"/>
              </w:rPr>
            </w:pPr>
            <w:r>
              <w:rPr>
                <w:rFonts w:ascii="Calibri" w:hAnsi="Calibri"/>
                <w:color w:val="000000"/>
                <w:sz w:val="22"/>
                <w:szCs w:val="22"/>
              </w:rPr>
              <w:t>5</w:t>
            </w:r>
          </w:p>
        </w:tc>
      </w:tr>
      <w:tr w:rsidR="00C84182" w:rsidTr="001B0BBC">
        <w:trPr>
          <w:trHeight w:val="30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rsidR="00C84182" w:rsidRPr="00F40BD1" w:rsidRDefault="00C84182" w:rsidP="00C84182">
            <w:pPr>
              <w:jc w:val="right"/>
              <w:rPr>
                <w:rFonts w:ascii="Calibri" w:hAnsi="Calibri"/>
                <w:b/>
                <w:color w:val="000000"/>
                <w:sz w:val="22"/>
                <w:szCs w:val="22"/>
              </w:rPr>
            </w:pPr>
            <w:r w:rsidRPr="00F40BD1">
              <w:rPr>
                <w:rFonts w:ascii="Calibri" w:hAnsi="Calibri"/>
                <w:b/>
                <w:color w:val="000000"/>
                <w:sz w:val="22"/>
                <w:szCs w:val="22"/>
              </w:rPr>
              <w:t>Total</w:t>
            </w:r>
          </w:p>
        </w:tc>
        <w:tc>
          <w:tcPr>
            <w:tcW w:w="1810" w:type="pct"/>
            <w:tcBorders>
              <w:top w:val="nil"/>
              <w:left w:val="nil"/>
              <w:bottom w:val="single" w:sz="4" w:space="0" w:color="auto"/>
              <w:right w:val="single" w:sz="4" w:space="0" w:color="auto"/>
            </w:tcBorders>
            <w:shd w:val="clear" w:color="auto" w:fill="auto"/>
            <w:noWrap/>
            <w:vAlign w:val="bottom"/>
            <w:hideMark/>
          </w:tcPr>
          <w:p w:rsidR="00C84182" w:rsidRPr="00F40BD1" w:rsidRDefault="00C84182" w:rsidP="001B0BBC">
            <w:pPr>
              <w:jc w:val="right"/>
              <w:rPr>
                <w:rFonts w:ascii="Calibri" w:hAnsi="Calibri"/>
                <w:b/>
                <w:color w:val="000000"/>
                <w:sz w:val="22"/>
                <w:szCs w:val="22"/>
              </w:rPr>
            </w:pPr>
            <w:r w:rsidRPr="00F40BD1">
              <w:rPr>
                <w:rFonts w:ascii="Calibri" w:hAnsi="Calibri"/>
                <w:b/>
                <w:color w:val="000000"/>
                <w:sz w:val="22"/>
                <w:szCs w:val="22"/>
              </w:rPr>
              <w:t>30</w:t>
            </w:r>
          </w:p>
        </w:tc>
        <w:tc>
          <w:tcPr>
            <w:tcW w:w="2155" w:type="pct"/>
            <w:tcBorders>
              <w:top w:val="nil"/>
              <w:left w:val="nil"/>
              <w:bottom w:val="single" w:sz="4" w:space="0" w:color="auto"/>
              <w:right w:val="single" w:sz="4" w:space="0" w:color="auto"/>
            </w:tcBorders>
            <w:shd w:val="clear" w:color="auto" w:fill="auto"/>
            <w:noWrap/>
            <w:vAlign w:val="bottom"/>
            <w:hideMark/>
          </w:tcPr>
          <w:p w:rsidR="00C84182" w:rsidRPr="00F40BD1" w:rsidRDefault="00C84182" w:rsidP="001B0BBC">
            <w:pPr>
              <w:jc w:val="right"/>
              <w:rPr>
                <w:rFonts w:ascii="Calibri" w:hAnsi="Calibri"/>
                <w:b/>
                <w:color w:val="000000"/>
                <w:sz w:val="22"/>
                <w:szCs w:val="22"/>
              </w:rPr>
            </w:pPr>
            <w:r w:rsidRPr="00F40BD1">
              <w:rPr>
                <w:rFonts w:ascii="Calibri" w:hAnsi="Calibri"/>
                <w:b/>
                <w:color w:val="000000"/>
                <w:sz w:val="22"/>
                <w:szCs w:val="22"/>
              </w:rPr>
              <w:t>5</w:t>
            </w:r>
          </w:p>
        </w:tc>
      </w:tr>
    </w:tbl>
    <w:p w:rsidR="00C84182" w:rsidRPr="003C3908" w:rsidRDefault="00C84182" w:rsidP="00C84182">
      <w:pPr>
        <w:keepNext/>
        <w:keepLines/>
      </w:pPr>
    </w:p>
    <w:p w:rsidR="00C84182" w:rsidRPr="006A3378" w:rsidRDefault="00C84182" w:rsidP="003C3908">
      <w:r w:rsidRPr="006A3378">
        <w:t xml:space="preserve">TSA estimates the annual hour burden cost to respondents by multiplying the total hour burden </w:t>
      </w:r>
      <w:r>
        <w:t>by</w:t>
      </w:r>
      <w:r w:rsidRPr="006A3378">
        <w:t xml:space="preserve"> the fully loaded </w:t>
      </w:r>
      <w:r>
        <w:t>wage</w:t>
      </w:r>
      <w:r w:rsidRPr="006A3378">
        <w:t xml:space="preserve"> rate</w:t>
      </w:r>
      <w:r w:rsidRPr="006A3378">
        <w:rPr>
          <w:rStyle w:val="FootnoteReference"/>
        </w:rPr>
        <w:footnoteReference w:id="3"/>
      </w:r>
      <w:r w:rsidRPr="006A3378">
        <w:t xml:space="preserve"> for respondents. TSA uses a fully loaded </w:t>
      </w:r>
      <w:r>
        <w:t xml:space="preserve">hourly </w:t>
      </w:r>
      <w:r w:rsidRPr="006A3378">
        <w:t>compensation rate for respondent</w:t>
      </w:r>
      <w:r>
        <w:t>s</w:t>
      </w:r>
      <w:r>
        <w:rPr>
          <w:rStyle w:val="FootnoteReference"/>
        </w:rPr>
        <w:footnoteReference w:id="4"/>
      </w:r>
      <w:r w:rsidRPr="001059AD">
        <w:t xml:space="preserve"> </w:t>
      </w:r>
      <w:r w:rsidRPr="006A3378">
        <w:t>of $</w:t>
      </w:r>
      <w:r>
        <w:t>77.90</w:t>
      </w:r>
      <w:r w:rsidRPr="006A3378">
        <w:t>.</w:t>
      </w:r>
      <w:r w:rsidRPr="006A3378">
        <w:rPr>
          <w:rStyle w:val="FootnoteReference"/>
        </w:rPr>
        <w:footnoteReference w:id="5"/>
      </w:r>
      <w:r w:rsidRPr="006A3378">
        <w:t xml:space="preserve"> TSA estimates an annual hour burden cost of $</w:t>
      </w:r>
      <w:r>
        <w:t>389.</w:t>
      </w:r>
      <w:r w:rsidR="00412889">
        <w:t>50</w:t>
      </w:r>
      <w:r w:rsidR="00412889" w:rsidRPr="006A3378">
        <w:t xml:space="preserve"> </w:t>
      </w:r>
      <w:r w:rsidRPr="006A3378">
        <w:t>to respondents. Table 2 displays the an</w:t>
      </w:r>
      <w:r w:rsidR="003C3908">
        <w:t>nual hour burden cost estimate.</w:t>
      </w:r>
    </w:p>
    <w:p w:rsidR="00C84182" w:rsidRPr="003C3908" w:rsidRDefault="00C84182" w:rsidP="00C84182">
      <w:pPr>
        <w:keepNext/>
        <w:keepLines/>
      </w:pPr>
    </w:p>
    <w:tbl>
      <w:tblPr>
        <w:tblW w:w="5000" w:type="pct"/>
        <w:tblLook w:val="04A0" w:firstRow="1" w:lastRow="0" w:firstColumn="1" w:lastColumn="0" w:noHBand="0" w:noVBand="1"/>
      </w:tblPr>
      <w:tblGrid>
        <w:gridCol w:w="5340"/>
        <w:gridCol w:w="1934"/>
        <w:gridCol w:w="2302"/>
      </w:tblGrid>
      <w:tr w:rsidR="00C84182" w:rsidTr="001B0BBC">
        <w:trPr>
          <w:trHeight w:val="300"/>
        </w:trPr>
        <w:tc>
          <w:tcPr>
            <w:tcW w:w="5000" w:type="pct"/>
            <w:gridSpan w:val="3"/>
            <w:tcBorders>
              <w:top w:val="nil"/>
              <w:left w:val="nil"/>
              <w:bottom w:val="nil"/>
              <w:right w:val="nil"/>
            </w:tcBorders>
            <w:shd w:val="clear" w:color="auto" w:fill="auto"/>
            <w:noWrap/>
            <w:vAlign w:val="bottom"/>
            <w:hideMark/>
          </w:tcPr>
          <w:p w:rsidR="00C84182" w:rsidRDefault="00C84182" w:rsidP="001B0BBC">
            <w:pPr>
              <w:rPr>
                <w:rFonts w:ascii="Calibri" w:hAnsi="Calibri"/>
                <w:b/>
                <w:bCs/>
                <w:color w:val="000000"/>
                <w:sz w:val="22"/>
                <w:szCs w:val="22"/>
              </w:rPr>
            </w:pPr>
            <w:r>
              <w:rPr>
                <w:rFonts w:ascii="Calibri" w:hAnsi="Calibri"/>
                <w:b/>
                <w:bCs/>
                <w:color w:val="000000"/>
                <w:sz w:val="22"/>
                <w:szCs w:val="22"/>
              </w:rPr>
              <w:t>Table 2: Respondents Total Hour Burden Cost</w:t>
            </w:r>
          </w:p>
        </w:tc>
      </w:tr>
      <w:tr w:rsidR="00C84182" w:rsidTr="001B0BBC">
        <w:trPr>
          <w:trHeight w:val="600"/>
        </w:trPr>
        <w:tc>
          <w:tcPr>
            <w:tcW w:w="2788"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4182" w:rsidRPr="006A3378" w:rsidRDefault="00C84182" w:rsidP="001B0BBC">
            <w:pPr>
              <w:jc w:val="center"/>
              <w:rPr>
                <w:rFonts w:ascii="Calibri" w:hAnsi="Calibri"/>
                <w:b/>
                <w:color w:val="000000"/>
                <w:sz w:val="22"/>
                <w:szCs w:val="22"/>
              </w:rPr>
            </w:pPr>
            <w:r w:rsidRPr="006A3378">
              <w:rPr>
                <w:rFonts w:ascii="Calibri" w:hAnsi="Calibri"/>
                <w:b/>
                <w:color w:val="000000"/>
                <w:sz w:val="22"/>
                <w:szCs w:val="22"/>
              </w:rPr>
              <w:t>Year</w:t>
            </w:r>
          </w:p>
        </w:tc>
        <w:tc>
          <w:tcPr>
            <w:tcW w:w="1010" w:type="pct"/>
            <w:tcBorders>
              <w:top w:val="single" w:sz="4" w:space="0" w:color="auto"/>
              <w:left w:val="nil"/>
              <w:bottom w:val="single" w:sz="4" w:space="0" w:color="auto"/>
              <w:right w:val="single" w:sz="4" w:space="0" w:color="auto"/>
            </w:tcBorders>
            <w:shd w:val="clear" w:color="auto" w:fill="FFFFFF"/>
            <w:vAlign w:val="bottom"/>
            <w:hideMark/>
          </w:tcPr>
          <w:p w:rsidR="00C84182" w:rsidRPr="006A3378" w:rsidRDefault="00C84182" w:rsidP="001B0BBC">
            <w:pPr>
              <w:jc w:val="center"/>
              <w:rPr>
                <w:rFonts w:ascii="Calibri" w:hAnsi="Calibri"/>
                <w:b/>
                <w:color w:val="000000"/>
                <w:sz w:val="22"/>
                <w:szCs w:val="22"/>
              </w:rPr>
            </w:pPr>
            <w:r>
              <w:rPr>
                <w:rFonts w:ascii="Calibri" w:hAnsi="Calibri"/>
                <w:b/>
                <w:color w:val="000000"/>
                <w:sz w:val="22"/>
                <w:szCs w:val="22"/>
              </w:rPr>
              <w:t>Annual</w:t>
            </w:r>
            <w:r w:rsidRPr="006A3378">
              <w:rPr>
                <w:rFonts w:ascii="Calibri" w:hAnsi="Calibri"/>
                <w:b/>
                <w:color w:val="000000"/>
                <w:sz w:val="22"/>
                <w:szCs w:val="22"/>
              </w:rPr>
              <w:t xml:space="preserve"> Hour Burden</w:t>
            </w:r>
          </w:p>
        </w:tc>
        <w:tc>
          <w:tcPr>
            <w:tcW w:w="1202" w:type="pct"/>
            <w:tcBorders>
              <w:top w:val="single" w:sz="4" w:space="0" w:color="auto"/>
              <w:left w:val="nil"/>
              <w:bottom w:val="single" w:sz="4" w:space="0" w:color="auto"/>
              <w:right w:val="single" w:sz="4" w:space="0" w:color="auto"/>
            </w:tcBorders>
            <w:shd w:val="clear" w:color="auto" w:fill="FFFFFF"/>
            <w:vAlign w:val="bottom"/>
            <w:hideMark/>
          </w:tcPr>
          <w:p w:rsidR="00C84182" w:rsidRPr="006A3378" w:rsidRDefault="00C84182" w:rsidP="001B0BBC">
            <w:pPr>
              <w:jc w:val="center"/>
              <w:rPr>
                <w:rFonts w:ascii="Calibri" w:hAnsi="Calibri"/>
                <w:b/>
                <w:color w:val="000000"/>
                <w:sz w:val="22"/>
                <w:szCs w:val="22"/>
              </w:rPr>
            </w:pPr>
            <w:r>
              <w:rPr>
                <w:rFonts w:ascii="Calibri" w:hAnsi="Calibri"/>
                <w:b/>
                <w:color w:val="000000"/>
                <w:sz w:val="22"/>
                <w:szCs w:val="22"/>
              </w:rPr>
              <w:t>Annual</w:t>
            </w:r>
            <w:r w:rsidRPr="006A3378">
              <w:rPr>
                <w:rFonts w:ascii="Calibri" w:hAnsi="Calibri"/>
                <w:b/>
                <w:color w:val="000000"/>
                <w:sz w:val="22"/>
                <w:szCs w:val="22"/>
              </w:rPr>
              <w:t xml:space="preserve"> Hour Burden Cost</w:t>
            </w:r>
          </w:p>
        </w:tc>
      </w:tr>
      <w:tr w:rsidR="00C84182" w:rsidTr="001B0BBC">
        <w:trPr>
          <w:trHeight w:val="300"/>
        </w:trPr>
        <w:tc>
          <w:tcPr>
            <w:tcW w:w="278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84182" w:rsidRPr="006A3378" w:rsidRDefault="00C84182" w:rsidP="001B0BBC">
            <w:pPr>
              <w:rPr>
                <w:rFonts w:ascii="Calibri" w:hAnsi="Calibri"/>
                <w:b/>
                <w:color w:val="000000"/>
                <w:sz w:val="22"/>
                <w:szCs w:val="22"/>
              </w:rPr>
            </w:pPr>
          </w:p>
        </w:tc>
        <w:tc>
          <w:tcPr>
            <w:tcW w:w="1010" w:type="pct"/>
            <w:tcBorders>
              <w:top w:val="nil"/>
              <w:left w:val="nil"/>
              <w:bottom w:val="single" w:sz="4" w:space="0" w:color="auto"/>
              <w:right w:val="single" w:sz="4" w:space="0" w:color="auto"/>
            </w:tcBorders>
            <w:shd w:val="clear" w:color="auto" w:fill="FFFFFF"/>
            <w:noWrap/>
            <w:vAlign w:val="bottom"/>
            <w:hideMark/>
          </w:tcPr>
          <w:p w:rsidR="00C84182" w:rsidRPr="006A3378" w:rsidRDefault="00C84182" w:rsidP="001B0BBC">
            <w:pPr>
              <w:jc w:val="center"/>
              <w:rPr>
                <w:rFonts w:ascii="Calibri" w:hAnsi="Calibri"/>
                <w:b/>
                <w:color w:val="000000"/>
                <w:sz w:val="22"/>
                <w:szCs w:val="22"/>
              </w:rPr>
            </w:pPr>
            <w:r w:rsidRPr="006A3378">
              <w:rPr>
                <w:rFonts w:ascii="Calibri" w:hAnsi="Calibri"/>
                <w:b/>
                <w:color w:val="000000"/>
                <w:sz w:val="22"/>
                <w:szCs w:val="22"/>
              </w:rPr>
              <w:t>A</w:t>
            </w:r>
          </w:p>
        </w:tc>
        <w:tc>
          <w:tcPr>
            <w:tcW w:w="1202" w:type="pct"/>
            <w:tcBorders>
              <w:top w:val="nil"/>
              <w:left w:val="nil"/>
              <w:bottom w:val="single" w:sz="4" w:space="0" w:color="auto"/>
              <w:right w:val="single" w:sz="4" w:space="0" w:color="auto"/>
            </w:tcBorders>
            <w:shd w:val="clear" w:color="auto" w:fill="FFFFFF"/>
            <w:noWrap/>
            <w:vAlign w:val="bottom"/>
            <w:hideMark/>
          </w:tcPr>
          <w:p w:rsidR="00C84182" w:rsidRPr="006A3378" w:rsidRDefault="00C84182" w:rsidP="001B0BBC">
            <w:pPr>
              <w:jc w:val="center"/>
              <w:rPr>
                <w:rFonts w:ascii="Calibri" w:hAnsi="Calibri"/>
                <w:b/>
                <w:color w:val="000000"/>
                <w:sz w:val="22"/>
                <w:szCs w:val="22"/>
              </w:rPr>
            </w:pPr>
            <w:r w:rsidRPr="006A3378">
              <w:rPr>
                <w:rFonts w:ascii="Calibri" w:hAnsi="Calibri"/>
                <w:b/>
                <w:color w:val="000000"/>
                <w:sz w:val="22"/>
                <w:szCs w:val="22"/>
              </w:rPr>
              <w:t>B = A × $</w:t>
            </w:r>
            <w:r>
              <w:rPr>
                <w:rFonts w:ascii="Calibri" w:hAnsi="Calibri"/>
                <w:b/>
                <w:color w:val="000000"/>
                <w:sz w:val="22"/>
                <w:szCs w:val="22"/>
              </w:rPr>
              <w:t>77.90</w:t>
            </w:r>
            <w:r w:rsidRPr="006A3378">
              <w:rPr>
                <w:rFonts w:ascii="Calibri" w:hAnsi="Calibri"/>
                <w:b/>
                <w:color w:val="000000"/>
                <w:sz w:val="22"/>
                <w:szCs w:val="22"/>
              </w:rPr>
              <w:t>/Hour</w:t>
            </w:r>
          </w:p>
        </w:tc>
      </w:tr>
      <w:tr w:rsidR="00C84182" w:rsidTr="001B0BBC">
        <w:trPr>
          <w:trHeight w:val="300"/>
        </w:trPr>
        <w:tc>
          <w:tcPr>
            <w:tcW w:w="2788" w:type="pct"/>
            <w:tcBorders>
              <w:top w:val="nil"/>
              <w:left w:val="single" w:sz="4" w:space="0" w:color="auto"/>
              <w:bottom w:val="single" w:sz="4" w:space="0" w:color="auto"/>
              <w:right w:val="single" w:sz="4" w:space="0" w:color="auto"/>
            </w:tcBorders>
            <w:shd w:val="clear" w:color="auto" w:fill="auto"/>
            <w:noWrap/>
            <w:vAlign w:val="bottom"/>
            <w:hideMark/>
          </w:tcPr>
          <w:p w:rsidR="00C84182" w:rsidRDefault="00C84182" w:rsidP="00C84182">
            <w:pPr>
              <w:jc w:val="center"/>
              <w:rPr>
                <w:rFonts w:ascii="Calibri" w:hAnsi="Calibri"/>
                <w:color w:val="000000"/>
                <w:sz w:val="22"/>
                <w:szCs w:val="22"/>
              </w:rPr>
            </w:pPr>
            <w:r>
              <w:rPr>
                <w:rFonts w:ascii="Calibri" w:hAnsi="Calibri"/>
                <w:color w:val="000000"/>
                <w:sz w:val="22"/>
                <w:szCs w:val="22"/>
              </w:rPr>
              <w:t>2017</w:t>
            </w:r>
          </w:p>
        </w:tc>
        <w:tc>
          <w:tcPr>
            <w:tcW w:w="1010" w:type="pct"/>
            <w:tcBorders>
              <w:top w:val="nil"/>
              <w:left w:val="nil"/>
              <w:bottom w:val="single" w:sz="4" w:space="0" w:color="auto"/>
              <w:right w:val="single" w:sz="4" w:space="0" w:color="auto"/>
            </w:tcBorders>
            <w:shd w:val="clear" w:color="auto" w:fill="auto"/>
            <w:noWrap/>
            <w:vAlign w:val="bottom"/>
            <w:hideMark/>
          </w:tcPr>
          <w:p w:rsidR="00C84182" w:rsidRDefault="00C84182" w:rsidP="001B0BBC">
            <w:pPr>
              <w:jc w:val="right"/>
              <w:rPr>
                <w:rFonts w:ascii="Calibri" w:hAnsi="Calibri"/>
                <w:color w:val="000000"/>
                <w:sz w:val="22"/>
                <w:szCs w:val="22"/>
              </w:rPr>
            </w:pPr>
            <w:r>
              <w:rPr>
                <w:rFonts w:ascii="Calibri" w:hAnsi="Calibri"/>
                <w:color w:val="000000"/>
                <w:sz w:val="22"/>
                <w:szCs w:val="22"/>
              </w:rPr>
              <w:t>5</w:t>
            </w:r>
          </w:p>
        </w:tc>
        <w:tc>
          <w:tcPr>
            <w:tcW w:w="1202" w:type="pct"/>
            <w:tcBorders>
              <w:top w:val="nil"/>
              <w:left w:val="nil"/>
              <w:bottom w:val="single" w:sz="4" w:space="0" w:color="auto"/>
              <w:right w:val="single" w:sz="4" w:space="0" w:color="auto"/>
            </w:tcBorders>
            <w:shd w:val="clear" w:color="auto" w:fill="auto"/>
            <w:noWrap/>
            <w:vAlign w:val="bottom"/>
            <w:hideMark/>
          </w:tcPr>
          <w:p w:rsidR="00C84182" w:rsidRDefault="00C84182" w:rsidP="00462871">
            <w:pPr>
              <w:jc w:val="right"/>
              <w:rPr>
                <w:rFonts w:ascii="Calibri" w:hAnsi="Calibri"/>
                <w:color w:val="000000"/>
                <w:sz w:val="22"/>
                <w:szCs w:val="22"/>
              </w:rPr>
            </w:pPr>
            <w:r>
              <w:rPr>
                <w:rFonts w:ascii="Calibri" w:hAnsi="Calibri"/>
                <w:color w:val="000000"/>
                <w:sz w:val="22"/>
                <w:szCs w:val="22"/>
              </w:rPr>
              <w:t>$389.</w:t>
            </w:r>
            <w:r w:rsidR="003C3908">
              <w:rPr>
                <w:rFonts w:ascii="Calibri" w:hAnsi="Calibri"/>
                <w:color w:val="000000"/>
                <w:sz w:val="22"/>
                <w:szCs w:val="22"/>
              </w:rPr>
              <w:t>50</w:t>
            </w:r>
          </w:p>
        </w:tc>
      </w:tr>
      <w:tr w:rsidR="00C84182" w:rsidTr="001B0BBC">
        <w:trPr>
          <w:trHeight w:val="300"/>
        </w:trPr>
        <w:tc>
          <w:tcPr>
            <w:tcW w:w="2788" w:type="pct"/>
            <w:tcBorders>
              <w:top w:val="nil"/>
              <w:left w:val="single" w:sz="4" w:space="0" w:color="auto"/>
              <w:bottom w:val="single" w:sz="4" w:space="0" w:color="auto"/>
              <w:right w:val="single" w:sz="4" w:space="0" w:color="auto"/>
            </w:tcBorders>
            <w:shd w:val="clear" w:color="auto" w:fill="auto"/>
            <w:noWrap/>
            <w:vAlign w:val="bottom"/>
            <w:hideMark/>
          </w:tcPr>
          <w:p w:rsidR="00C84182" w:rsidRPr="006A3378" w:rsidRDefault="00C84182" w:rsidP="00C84182">
            <w:pPr>
              <w:jc w:val="right"/>
              <w:rPr>
                <w:rFonts w:ascii="Calibri" w:hAnsi="Calibri"/>
                <w:b/>
                <w:color w:val="000000"/>
                <w:sz w:val="22"/>
                <w:szCs w:val="22"/>
              </w:rPr>
            </w:pPr>
            <w:r w:rsidRPr="006A3378">
              <w:rPr>
                <w:rFonts w:ascii="Calibri" w:hAnsi="Calibri"/>
                <w:b/>
                <w:color w:val="000000"/>
                <w:sz w:val="22"/>
                <w:szCs w:val="22"/>
              </w:rPr>
              <w:t>Total</w:t>
            </w:r>
          </w:p>
        </w:tc>
        <w:tc>
          <w:tcPr>
            <w:tcW w:w="1010" w:type="pct"/>
            <w:tcBorders>
              <w:top w:val="nil"/>
              <w:left w:val="nil"/>
              <w:bottom w:val="single" w:sz="4" w:space="0" w:color="auto"/>
              <w:right w:val="single" w:sz="4" w:space="0" w:color="auto"/>
            </w:tcBorders>
            <w:shd w:val="clear" w:color="auto" w:fill="auto"/>
            <w:noWrap/>
            <w:vAlign w:val="bottom"/>
            <w:hideMark/>
          </w:tcPr>
          <w:p w:rsidR="00C84182" w:rsidRPr="006A3378" w:rsidRDefault="00C84182" w:rsidP="001B0BBC">
            <w:pPr>
              <w:jc w:val="right"/>
              <w:rPr>
                <w:rFonts w:ascii="Calibri" w:hAnsi="Calibri"/>
                <w:b/>
                <w:color w:val="000000"/>
                <w:sz w:val="22"/>
                <w:szCs w:val="22"/>
              </w:rPr>
            </w:pPr>
            <w:r w:rsidRPr="006A3378">
              <w:rPr>
                <w:rFonts w:ascii="Calibri" w:hAnsi="Calibri"/>
                <w:b/>
                <w:color w:val="000000"/>
                <w:sz w:val="22"/>
                <w:szCs w:val="22"/>
              </w:rPr>
              <w:t>5</w:t>
            </w:r>
          </w:p>
        </w:tc>
        <w:tc>
          <w:tcPr>
            <w:tcW w:w="1202" w:type="pct"/>
            <w:tcBorders>
              <w:top w:val="nil"/>
              <w:left w:val="nil"/>
              <w:bottom w:val="single" w:sz="4" w:space="0" w:color="auto"/>
              <w:right w:val="single" w:sz="4" w:space="0" w:color="auto"/>
            </w:tcBorders>
            <w:shd w:val="clear" w:color="auto" w:fill="auto"/>
            <w:noWrap/>
            <w:vAlign w:val="bottom"/>
            <w:hideMark/>
          </w:tcPr>
          <w:p w:rsidR="00C84182" w:rsidRPr="006A3378" w:rsidRDefault="00C84182" w:rsidP="00462871">
            <w:pPr>
              <w:jc w:val="right"/>
              <w:rPr>
                <w:rFonts w:ascii="Calibri" w:hAnsi="Calibri"/>
                <w:b/>
                <w:color w:val="000000"/>
                <w:sz w:val="22"/>
                <w:szCs w:val="22"/>
              </w:rPr>
            </w:pPr>
            <w:r w:rsidRPr="006A3378">
              <w:rPr>
                <w:rFonts w:ascii="Calibri" w:hAnsi="Calibri"/>
                <w:b/>
                <w:color w:val="000000"/>
                <w:sz w:val="22"/>
                <w:szCs w:val="22"/>
              </w:rPr>
              <w:t>$</w:t>
            </w:r>
            <w:r>
              <w:rPr>
                <w:rFonts w:ascii="Calibri" w:hAnsi="Calibri"/>
                <w:b/>
                <w:color w:val="000000"/>
                <w:sz w:val="22"/>
                <w:szCs w:val="22"/>
              </w:rPr>
              <w:t>389.</w:t>
            </w:r>
            <w:r w:rsidR="003C3908">
              <w:rPr>
                <w:rFonts w:ascii="Calibri" w:hAnsi="Calibri"/>
                <w:b/>
                <w:color w:val="000000"/>
                <w:sz w:val="22"/>
                <w:szCs w:val="22"/>
              </w:rPr>
              <w:t>50</w:t>
            </w:r>
          </w:p>
        </w:tc>
      </w:tr>
    </w:tbl>
    <w:p w:rsidR="00F3170F" w:rsidRDefault="00F3170F" w:rsidP="00F3170F"/>
    <w:p w:rsidR="00ED6492" w:rsidRDefault="001C39F7" w:rsidP="003C3908">
      <w:pPr>
        <w:keepNext/>
        <w:rPr>
          <w:b/>
        </w:rPr>
      </w:pPr>
      <w:r>
        <w:rPr>
          <w:b/>
        </w:rPr>
        <w:lastRenderedPageBreak/>
        <w:t xml:space="preserve">FEDERAL </w:t>
      </w:r>
      <w:r w:rsidR="009F5923">
        <w:rPr>
          <w:b/>
        </w:rPr>
        <w:t>COST</w:t>
      </w:r>
    </w:p>
    <w:p w:rsidR="00C84182" w:rsidRPr="003C3908" w:rsidRDefault="00C84182" w:rsidP="003C3908">
      <w:pPr>
        <w:keepNext/>
      </w:pPr>
    </w:p>
    <w:p w:rsidR="00C84182" w:rsidRDefault="00C84182" w:rsidP="00C84182">
      <w:r>
        <w:t xml:space="preserve">TSA estimates the cost to the </w:t>
      </w:r>
      <w:r w:rsidR="003C3908">
        <w:t xml:space="preserve">Federal Government </w:t>
      </w:r>
      <w:r>
        <w:t>by calculating TSA costs.</w:t>
      </w:r>
      <w:r>
        <w:rPr>
          <w:rStyle w:val="FootnoteReference"/>
        </w:rPr>
        <w:footnoteReference w:id="6"/>
      </w:r>
      <w:r>
        <w:t xml:space="preserve"> TSA uses a contractor to compile and analyze the survey results. TSA assumes that the compilation and analysis of the results will take three hours.</w:t>
      </w:r>
      <w:r>
        <w:rPr>
          <w:rStyle w:val="FootnoteReference"/>
        </w:rPr>
        <w:footnoteReference w:id="7"/>
      </w:r>
      <w:r>
        <w:t xml:space="preserve"> TSA uses a blended hourly wage rate of $185.00</w:t>
      </w:r>
      <w:r w:rsidRPr="006A47F0">
        <w:t xml:space="preserve"> </w:t>
      </w:r>
      <w:r>
        <w:t>for TSA Contractor.</w:t>
      </w:r>
      <w:r>
        <w:rPr>
          <w:rStyle w:val="FootnoteReference"/>
        </w:rPr>
        <w:footnoteReference w:id="8"/>
      </w:r>
      <w:r>
        <w:t xml:space="preserve"> TSA estimates TSA costs by multiplying the TSA Contractor hour burden by the Contractor wage rate. TSA estimates the total TSA cost to be $555.00. Table 3 displays the TSA cost estimation.</w:t>
      </w:r>
    </w:p>
    <w:p w:rsidR="00C84182" w:rsidRDefault="00C84182" w:rsidP="003C3908">
      <w:pPr>
        <w:keepNext/>
      </w:pPr>
    </w:p>
    <w:tbl>
      <w:tblPr>
        <w:tblW w:w="5000" w:type="pct"/>
        <w:tblLook w:val="04A0" w:firstRow="1" w:lastRow="0" w:firstColumn="1" w:lastColumn="0" w:noHBand="0" w:noVBand="1"/>
      </w:tblPr>
      <w:tblGrid>
        <w:gridCol w:w="4001"/>
        <w:gridCol w:w="2545"/>
        <w:gridCol w:w="3030"/>
      </w:tblGrid>
      <w:tr w:rsidR="00C84182" w:rsidTr="001B0BBC">
        <w:trPr>
          <w:trHeight w:val="300"/>
        </w:trPr>
        <w:tc>
          <w:tcPr>
            <w:tcW w:w="3418" w:type="pct"/>
            <w:gridSpan w:val="2"/>
            <w:tcBorders>
              <w:top w:val="nil"/>
              <w:left w:val="nil"/>
              <w:bottom w:val="nil"/>
              <w:right w:val="nil"/>
            </w:tcBorders>
            <w:shd w:val="clear" w:color="auto" w:fill="auto"/>
            <w:noWrap/>
            <w:vAlign w:val="bottom"/>
            <w:hideMark/>
          </w:tcPr>
          <w:p w:rsidR="00C84182" w:rsidRDefault="00C84182" w:rsidP="001B0BBC">
            <w:pPr>
              <w:rPr>
                <w:rFonts w:ascii="Calibri" w:hAnsi="Calibri"/>
                <w:b/>
                <w:bCs/>
                <w:color w:val="000000"/>
                <w:sz w:val="22"/>
                <w:szCs w:val="22"/>
              </w:rPr>
            </w:pPr>
            <w:r>
              <w:rPr>
                <w:rFonts w:ascii="Calibri" w:hAnsi="Calibri"/>
                <w:b/>
                <w:bCs/>
                <w:color w:val="000000"/>
                <w:sz w:val="22"/>
                <w:szCs w:val="22"/>
              </w:rPr>
              <w:t>Table 3: Total TSA Cost</w:t>
            </w:r>
          </w:p>
        </w:tc>
        <w:tc>
          <w:tcPr>
            <w:tcW w:w="1582" w:type="pct"/>
            <w:tcBorders>
              <w:top w:val="nil"/>
              <w:left w:val="nil"/>
              <w:bottom w:val="nil"/>
              <w:right w:val="nil"/>
            </w:tcBorders>
            <w:shd w:val="clear" w:color="auto" w:fill="auto"/>
            <w:noWrap/>
            <w:vAlign w:val="bottom"/>
            <w:hideMark/>
          </w:tcPr>
          <w:p w:rsidR="00C84182" w:rsidRDefault="00C84182" w:rsidP="001B0BBC">
            <w:pPr>
              <w:rPr>
                <w:rFonts w:ascii="Calibri" w:hAnsi="Calibri"/>
                <w:b/>
                <w:bCs/>
                <w:color w:val="000000"/>
                <w:sz w:val="22"/>
                <w:szCs w:val="22"/>
              </w:rPr>
            </w:pPr>
          </w:p>
        </w:tc>
      </w:tr>
      <w:tr w:rsidR="00C84182" w:rsidTr="001B0BBC">
        <w:trPr>
          <w:trHeight w:val="600"/>
        </w:trPr>
        <w:tc>
          <w:tcPr>
            <w:tcW w:w="2089"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84182" w:rsidRPr="006A6CFC" w:rsidRDefault="00C84182" w:rsidP="001B0BBC">
            <w:pPr>
              <w:jc w:val="center"/>
              <w:rPr>
                <w:rFonts w:ascii="Calibri" w:hAnsi="Calibri"/>
                <w:b/>
                <w:color w:val="000000"/>
                <w:sz w:val="22"/>
                <w:szCs w:val="22"/>
              </w:rPr>
            </w:pPr>
            <w:r w:rsidRPr="006A6CFC">
              <w:rPr>
                <w:rFonts w:ascii="Calibri" w:hAnsi="Calibri"/>
                <w:b/>
                <w:color w:val="000000"/>
                <w:sz w:val="22"/>
                <w:szCs w:val="22"/>
              </w:rPr>
              <w:t>Year</w:t>
            </w:r>
          </w:p>
        </w:tc>
        <w:tc>
          <w:tcPr>
            <w:tcW w:w="1329" w:type="pct"/>
            <w:tcBorders>
              <w:top w:val="single" w:sz="4" w:space="0" w:color="auto"/>
              <w:left w:val="nil"/>
              <w:bottom w:val="single" w:sz="4" w:space="0" w:color="auto"/>
              <w:right w:val="single" w:sz="4" w:space="0" w:color="auto"/>
            </w:tcBorders>
            <w:shd w:val="clear" w:color="auto" w:fill="FFFFFF"/>
            <w:vAlign w:val="bottom"/>
            <w:hideMark/>
          </w:tcPr>
          <w:p w:rsidR="00C84182" w:rsidRPr="006A6CFC" w:rsidRDefault="00C84182" w:rsidP="001B0BBC">
            <w:pPr>
              <w:jc w:val="center"/>
              <w:rPr>
                <w:rFonts w:ascii="Calibri" w:hAnsi="Calibri"/>
                <w:b/>
                <w:color w:val="000000"/>
                <w:sz w:val="22"/>
                <w:szCs w:val="22"/>
              </w:rPr>
            </w:pPr>
            <w:r w:rsidRPr="006A6CFC">
              <w:rPr>
                <w:rFonts w:ascii="Calibri" w:hAnsi="Calibri"/>
                <w:b/>
                <w:color w:val="000000"/>
                <w:sz w:val="22"/>
                <w:szCs w:val="22"/>
              </w:rPr>
              <w:t>TSA Contractor Hour Burden</w:t>
            </w:r>
          </w:p>
        </w:tc>
        <w:tc>
          <w:tcPr>
            <w:tcW w:w="1582" w:type="pct"/>
            <w:tcBorders>
              <w:top w:val="single" w:sz="4" w:space="0" w:color="auto"/>
              <w:left w:val="nil"/>
              <w:bottom w:val="single" w:sz="4" w:space="0" w:color="auto"/>
              <w:right w:val="single" w:sz="4" w:space="0" w:color="auto"/>
            </w:tcBorders>
            <w:shd w:val="clear" w:color="auto" w:fill="FFFFFF"/>
            <w:vAlign w:val="bottom"/>
            <w:hideMark/>
          </w:tcPr>
          <w:p w:rsidR="00C84182" w:rsidRPr="006A6CFC" w:rsidRDefault="00C84182" w:rsidP="001B0BBC">
            <w:pPr>
              <w:jc w:val="center"/>
              <w:rPr>
                <w:rFonts w:ascii="Calibri" w:hAnsi="Calibri"/>
                <w:b/>
                <w:color w:val="000000"/>
                <w:sz w:val="22"/>
                <w:szCs w:val="22"/>
              </w:rPr>
            </w:pPr>
            <w:r w:rsidRPr="006A6CFC">
              <w:rPr>
                <w:rFonts w:ascii="Calibri" w:hAnsi="Calibri"/>
                <w:b/>
                <w:color w:val="000000"/>
                <w:sz w:val="22"/>
                <w:szCs w:val="22"/>
              </w:rPr>
              <w:t>TSA Contractor Hour Burden Costs</w:t>
            </w:r>
          </w:p>
        </w:tc>
      </w:tr>
      <w:tr w:rsidR="00C84182" w:rsidTr="001B0BBC">
        <w:trPr>
          <w:trHeight w:val="300"/>
        </w:trPr>
        <w:tc>
          <w:tcPr>
            <w:tcW w:w="208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84182" w:rsidRPr="006A6CFC" w:rsidRDefault="00C84182" w:rsidP="001B0BBC">
            <w:pPr>
              <w:rPr>
                <w:rFonts w:ascii="Calibri" w:hAnsi="Calibri"/>
                <w:b/>
                <w:color w:val="000000"/>
                <w:sz w:val="22"/>
                <w:szCs w:val="22"/>
              </w:rPr>
            </w:pPr>
          </w:p>
        </w:tc>
        <w:tc>
          <w:tcPr>
            <w:tcW w:w="1329" w:type="pct"/>
            <w:tcBorders>
              <w:top w:val="nil"/>
              <w:left w:val="nil"/>
              <w:bottom w:val="single" w:sz="4" w:space="0" w:color="auto"/>
              <w:right w:val="single" w:sz="4" w:space="0" w:color="auto"/>
            </w:tcBorders>
            <w:shd w:val="clear" w:color="auto" w:fill="FFFFFF"/>
            <w:noWrap/>
            <w:vAlign w:val="bottom"/>
            <w:hideMark/>
          </w:tcPr>
          <w:p w:rsidR="00C84182" w:rsidRPr="006A6CFC" w:rsidRDefault="00C84182" w:rsidP="001B0BBC">
            <w:pPr>
              <w:jc w:val="center"/>
              <w:rPr>
                <w:rFonts w:ascii="Calibri" w:hAnsi="Calibri"/>
                <w:b/>
                <w:color w:val="000000"/>
                <w:sz w:val="22"/>
                <w:szCs w:val="22"/>
              </w:rPr>
            </w:pPr>
            <w:r w:rsidRPr="006A6CFC">
              <w:rPr>
                <w:rFonts w:ascii="Calibri" w:hAnsi="Calibri"/>
                <w:b/>
                <w:color w:val="000000"/>
                <w:sz w:val="22"/>
                <w:szCs w:val="22"/>
              </w:rPr>
              <w:t>A</w:t>
            </w:r>
          </w:p>
        </w:tc>
        <w:tc>
          <w:tcPr>
            <w:tcW w:w="1582" w:type="pct"/>
            <w:tcBorders>
              <w:top w:val="nil"/>
              <w:left w:val="nil"/>
              <w:bottom w:val="single" w:sz="4" w:space="0" w:color="auto"/>
              <w:right w:val="single" w:sz="4" w:space="0" w:color="auto"/>
            </w:tcBorders>
            <w:shd w:val="clear" w:color="auto" w:fill="FFFFFF"/>
            <w:noWrap/>
            <w:vAlign w:val="bottom"/>
            <w:hideMark/>
          </w:tcPr>
          <w:p w:rsidR="00C84182" w:rsidRPr="006A6CFC" w:rsidRDefault="00C84182" w:rsidP="001B0BBC">
            <w:pPr>
              <w:jc w:val="center"/>
              <w:rPr>
                <w:rFonts w:ascii="Calibri" w:hAnsi="Calibri"/>
                <w:b/>
                <w:color w:val="000000"/>
                <w:sz w:val="22"/>
                <w:szCs w:val="22"/>
              </w:rPr>
            </w:pPr>
            <w:r w:rsidRPr="006A6CFC">
              <w:rPr>
                <w:rFonts w:ascii="Calibri" w:hAnsi="Calibri"/>
                <w:b/>
                <w:color w:val="000000"/>
                <w:sz w:val="22"/>
                <w:szCs w:val="22"/>
              </w:rPr>
              <w:t>B = A × $185.00/Hour</w:t>
            </w:r>
          </w:p>
        </w:tc>
      </w:tr>
      <w:tr w:rsidR="00C84182" w:rsidTr="001B0BBC">
        <w:trPr>
          <w:trHeight w:val="300"/>
        </w:trPr>
        <w:tc>
          <w:tcPr>
            <w:tcW w:w="2089" w:type="pct"/>
            <w:tcBorders>
              <w:top w:val="nil"/>
              <w:left w:val="single" w:sz="4" w:space="0" w:color="auto"/>
              <w:bottom w:val="single" w:sz="4" w:space="0" w:color="auto"/>
              <w:right w:val="single" w:sz="4" w:space="0" w:color="auto"/>
            </w:tcBorders>
            <w:shd w:val="clear" w:color="auto" w:fill="auto"/>
            <w:noWrap/>
            <w:vAlign w:val="bottom"/>
            <w:hideMark/>
          </w:tcPr>
          <w:p w:rsidR="00C84182" w:rsidRDefault="00C84182" w:rsidP="00C84182">
            <w:pPr>
              <w:jc w:val="center"/>
              <w:rPr>
                <w:rFonts w:ascii="Calibri" w:hAnsi="Calibri"/>
                <w:color w:val="000000"/>
                <w:sz w:val="22"/>
                <w:szCs w:val="22"/>
              </w:rPr>
            </w:pPr>
            <w:r>
              <w:rPr>
                <w:rFonts w:ascii="Calibri" w:hAnsi="Calibri"/>
                <w:color w:val="000000"/>
                <w:sz w:val="22"/>
                <w:szCs w:val="22"/>
              </w:rPr>
              <w:t>2017</w:t>
            </w:r>
          </w:p>
        </w:tc>
        <w:tc>
          <w:tcPr>
            <w:tcW w:w="1329" w:type="pct"/>
            <w:tcBorders>
              <w:top w:val="nil"/>
              <w:left w:val="nil"/>
              <w:bottom w:val="single" w:sz="4" w:space="0" w:color="auto"/>
              <w:right w:val="single" w:sz="4" w:space="0" w:color="auto"/>
            </w:tcBorders>
            <w:shd w:val="clear" w:color="auto" w:fill="auto"/>
            <w:noWrap/>
            <w:vAlign w:val="bottom"/>
            <w:hideMark/>
          </w:tcPr>
          <w:p w:rsidR="00C84182" w:rsidRDefault="00C84182" w:rsidP="001B0BBC">
            <w:pPr>
              <w:jc w:val="right"/>
              <w:rPr>
                <w:rFonts w:ascii="Calibri" w:hAnsi="Calibri"/>
                <w:color w:val="000000"/>
                <w:sz w:val="22"/>
                <w:szCs w:val="22"/>
              </w:rPr>
            </w:pPr>
            <w:r>
              <w:rPr>
                <w:rFonts w:ascii="Calibri" w:hAnsi="Calibri"/>
                <w:color w:val="000000"/>
                <w:sz w:val="22"/>
                <w:szCs w:val="22"/>
              </w:rPr>
              <w:t>3</w:t>
            </w:r>
          </w:p>
        </w:tc>
        <w:tc>
          <w:tcPr>
            <w:tcW w:w="1582" w:type="pct"/>
            <w:tcBorders>
              <w:top w:val="nil"/>
              <w:left w:val="nil"/>
              <w:bottom w:val="single" w:sz="4" w:space="0" w:color="auto"/>
              <w:right w:val="single" w:sz="4" w:space="0" w:color="auto"/>
            </w:tcBorders>
            <w:shd w:val="clear" w:color="auto" w:fill="auto"/>
            <w:noWrap/>
            <w:vAlign w:val="bottom"/>
            <w:hideMark/>
          </w:tcPr>
          <w:p w:rsidR="00C84182" w:rsidRDefault="00C84182" w:rsidP="00462871">
            <w:pPr>
              <w:jc w:val="right"/>
              <w:rPr>
                <w:rFonts w:ascii="Calibri" w:hAnsi="Calibri"/>
                <w:color w:val="000000"/>
                <w:sz w:val="22"/>
                <w:szCs w:val="22"/>
              </w:rPr>
            </w:pPr>
            <w:r>
              <w:rPr>
                <w:rFonts w:ascii="Calibri" w:hAnsi="Calibri"/>
                <w:color w:val="000000"/>
                <w:sz w:val="22"/>
                <w:szCs w:val="22"/>
              </w:rPr>
              <w:t xml:space="preserve">$555.00 </w:t>
            </w:r>
          </w:p>
        </w:tc>
      </w:tr>
      <w:tr w:rsidR="00C84182" w:rsidTr="001B0BBC">
        <w:trPr>
          <w:trHeight w:val="300"/>
        </w:trPr>
        <w:tc>
          <w:tcPr>
            <w:tcW w:w="2089" w:type="pct"/>
            <w:tcBorders>
              <w:top w:val="nil"/>
              <w:left w:val="single" w:sz="4" w:space="0" w:color="auto"/>
              <w:bottom w:val="single" w:sz="4" w:space="0" w:color="auto"/>
              <w:right w:val="single" w:sz="4" w:space="0" w:color="auto"/>
            </w:tcBorders>
            <w:shd w:val="clear" w:color="auto" w:fill="auto"/>
            <w:noWrap/>
            <w:vAlign w:val="bottom"/>
            <w:hideMark/>
          </w:tcPr>
          <w:p w:rsidR="00C84182" w:rsidRPr="006A6CFC" w:rsidRDefault="00C84182" w:rsidP="00C84182">
            <w:pPr>
              <w:jc w:val="right"/>
              <w:rPr>
                <w:rFonts w:ascii="Calibri" w:hAnsi="Calibri"/>
                <w:b/>
                <w:color w:val="000000"/>
                <w:sz w:val="22"/>
                <w:szCs w:val="22"/>
              </w:rPr>
            </w:pPr>
            <w:r w:rsidRPr="006A6CFC">
              <w:rPr>
                <w:rFonts w:ascii="Calibri" w:hAnsi="Calibri"/>
                <w:b/>
                <w:color w:val="000000"/>
                <w:sz w:val="22"/>
                <w:szCs w:val="22"/>
              </w:rPr>
              <w:t>Total</w:t>
            </w:r>
          </w:p>
        </w:tc>
        <w:tc>
          <w:tcPr>
            <w:tcW w:w="1329" w:type="pct"/>
            <w:tcBorders>
              <w:top w:val="nil"/>
              <w:left w:val="nil"/>
              <w:bottom w:val="single" w:sz="4" w:space="0" w:color="auto"/>
              <w:right w:val="single" w:sz="4" w:space="0" w:color="auto"/>
            </w:tcBorders>
            <w:shd w:val="clear" w:color="auto" w:fill="auto"/>
            <w:noWrap/>
            <w:vAlign w:val="bottom"/>
            <w:hideMark/>
          </w:tcPr>
          <w:p w:rsidR="00C84182" w:rsidRPr="006A6CFC" w:rsidRDefault="00C84182" w:rsidP="001B0BBC">
            <w:pPr>
              <w:jc w:val="right"/>
              <w:rPr>
                <w:rFonts w:ascii="Calibri" w:hAnsi="Calibri"/>
                <w:b/>
                <w:color w:val="000000"/>
                <w:sz w:val="22"/>
                <w:szCs w:val="22"/>
              </w:rPr>
            </w:pPr>
            <w:r w:rsidRPr="006A6CFC">
              <w:rPr>
                <w:rFonts w:ascii="Calibri" w:hAnsi="Calibri"/>
                <w:b/>
                <w:color w:val="000000"/>
                <w:sz w:val="22"/>
                <w:szCs w:val="22"/>
              </w:rPr>
              <w:t>3</w:t>
            </w:r>
          </w:p>
        </w:tc>
        <w:tc>
          <w:tcPr>
            <w:tcW w:w="1582" w:type="pct"/>
            <w:tcBorders>
              <w:top w:val="nil"/>
              <w:left w:val="nil"/>
              <w:bottom w:val="single" w:sz="4" w:space="0" w:color="auto"/>
              <w:right w:val="single" w:sz="4" w:space="0" w:color="auto"/>
            </w:tcBorders>
            <w:shd w:val="clear" w:color="auto" w:fill="auto"/>
            <w:noWrap/>
            <w:vAlign w:val="bottom"/>
            <w:hideMark/>
          </w:tcPr>
          <w:p w:rsidR="00C84182" w:rsidRPr="006A6CFC" w:rsidRDefault="00C84182" w:rsidP="00462871">
            <w:pPr>
              <w:jc w:val="right"/>
              <w:rPr>
                <w:rFonts w:ascii="Calibri" w:hAnsi="Calibri"/>
                <w:b/>
                <w:color w:val="000000"/>
                <w:sz w:val="22"/>
                <w:szCs w:val="22"/>
              </w:rPr>
            </w:pPr>
            <w:r w:rsidRPr="006A6CFC">
              <w:rPr>
                <w:rFonts w:ascii="Calibri" w:hAnsi="Calibri"/>
                <w:b/>
                <w:color w:val="000000"/>
                <w:sz w:val="22"/>
                <w:szCs w:val="22"/>
              </w:rPr>
              <w:t xml:space="preserve">$555.00 </w:t>
            </w:r>
          </w:p>
        </w:tc>
      </w:tr>
    </w:tbl>
    <w:p w:rsidR="00C84182" w:rsidRDefault="00C84182"/>
    <w:p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rsidR="0069403B" w:rsidRPr="003C3908" w:rsidRDefault="0069403B" w:rsidP="00F06866"/>
    <w:p w:rsidR="00F06866" w:rsidRDefault="00636621" w:rsidP="002B276F">
      <w:pPr>
        <w:keepNext/>
        <w:rPr>
          <w:b/>
        </w:rPr>
      </w:pPr>
      <w:r>
        <w:rPr>
          <w:b/>
        </w:rPr>
        <w:t>The</w:t>
      </w:r>
      <w:r w:rsidR="0069403B">
        <w:rPr>
          <w:b/>
        </w:rPr>
        <w:t xml:space="preserve"> select</w:t>
      </w:r>
      <w:r>
        <w:rPr>
          <w:b/>
        </w:rPr>
        <w:t>ion of your targeted respondents</w:t>
      </w:r>
    </w:p>
    <w:p w:rsidR="003C3908" w:rsidRDefault="003C3908" w:rsidP="002B276F">
      <w:pPr>
        <w:pStyle w:val="ListParagraph"/>
        <w:keepNext/>
        <w:ind w:left="360"/>
      </w:pPr>
    </w:p>
    <w:p w:rsidR="003C3908"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rsidR="003C3908">
        <w:t>?</w:t>
      </w:r>
    </w:p>
    <w:p w:rsidR="00E27FD6" w:rsidRDefault="0069403B" w:rsidP="00E27FD6">
      <w:pPr>
        <w:pStyle w:val="ListParagraph"/>
        <w:ind w:left="360"/>
      </w:pPr>
      <w:r>
        <w:t xml:space="preserve">[ </w:t>
      </w:r>
      <w:r w:rsidR="00BD38FC">
        <w:t xml:space="preserve">X </w:t>
      </w:r>
      <w:r>
        <w:t>] Yes</w:t>
      </w:r>
      <w:r w:rsidR="00E27FD6">
        <w:t>.  T</w:t>
      </w:r>
      <w:r w:rsidR="006B51A1">
        <w:t xml:space="preserve">he Customer Satisfaction survey will be </w:t>
      </w:r>
      <w:r w:rsidR="00A74621">
        <w:t>distributed to</w:t>
      </w:r>
      <w:r w:rsidR="00F73CA2">
        <w:t xml:space="preserve"> </w:t>
      </w:r>
      <w:r w:rsidR="00F73CA2" w:rsidRPr="00F73CA2">
        <w:t>ADIAC</w:t>
      </w:r>
      <w:r w:rsidR="00F73CA2">
        <w:t xml:space="preserve"> </w:t>
      </w:r>
      <w:r w:rsidR="00935DBB">
        <w:t>members</w:t>
      </w:r>
      <w:r w:rsidR="00EF2CCE">
        <w:t>.</w:t>
      </w:r>
    </w:p>
    <w:p w:rsidR="00636621" w:rsidRDefault="0069403B" w:rsidP="002B276F">
      <w:pPr>
        <w:pStyle w:val="ListParagraph"/>
        <w:ind w:left="360"/>
      </w:pPr>
      <w:r>
        <w:t>[</w:t>
      </w:r>
      <w:r w:rsidR="003C3908">
        <w:t xml:space="preserve"> </w:t>
      </w:r>
      <w:r>
        <w:t xml:space="preserve"> ] No</w:t>
      </w:r>
    </w:p>
    <w:p w:rsidR="00636621" w:rsidRDefault="00636621" w:rsidP="00462871">
      <w:pPr>
        <w:pStyle w:val="ListParagraph"/>
        <w:numPr>
          <w:ilvl w:val="0"/>
          <w:numId w:val="15"/>
        </w:numPr>
      </w:pPr>
      <w:r w:rsidRPr="00636621">
        <w:t xml:space="preserve">If the answer is yes, </w:t>
      </w:r>
      <w:r>
        <w:t>please provide</w:t>
      </w:r>
      <w:r w:rsidR="003C3908">
        <w:t xml:space="preserve"> </w:t>
      </w:r>
      <w:r>
        <w:t>a description of both below</w:t>
      </w:r>
      <w:r w:rsidR="00A403BB">
        <w:t xml:space="preserve"> (or attach the sampling plan)</w:t>
      </w:r>
      <w:r w:rsidR="002B276F">
        <w:t>.</w:t>
      </w:r>
      <w:r w:rsidR="003C3908">
        <w:t xml:space="preserve"> </w:t>
      </w:r>
      <w:r>
        <w:t>If the answer is no, please provide a description of how you plan to identify your potential group of respondents</w:t>
      </w:r>
      <w:r w:rsidR="001B0AAA">
        <w:t xml:space="preserve"> and how you will select them</w:t>
      </w:r>
      <w:r w:rsidR="002B276F">
        <w:t>.</w:t>
      </w:r>
    </w:p>
    <w:p w:rsidR="00BD38FC" w:rsidRDefault="00BD38FC" w:rsidP="00BD38FC">
      <w:pPr>
        <w:pStyle w:val="ListParagraph"/>
        <w:ind w:left="0"/>
      </w:pPr>
    </w:p>
    <w:p w:rsidR="00BD38FC" w:rsidRDefault="00BD38FC" w:rsidP="00BD38FC">
      <w:pPr>
        <w:pStyle w:val="ListParagraph"/>
        <w:ind w:left="0"/>
      </w:pPr>
      <w:r>
        <w:t>Customer List:</w:t>
      </w:r>
    </w:p>
    <w:p w:rsidR="00BD38FC" w:rsidRPr="00BD38FC" w:rsidRDefault="00BD38FC" w:rsidP="00BD38FC">
      <w:pPr>
        <w:numPr>
          <w:ilvl w:val="0"/>
          <w:numId w:val="19"/>
        </w:numPr>
      </w:pPr>
      <w:r w:rsidRPr="00BD38FC">
        <w:t>Air Wisconsin Airlines</w:t>
      </w:r>
    </w:p>
    <w:p w:rsidR="00BD38FC" w:rsidRPr="00BD38FC" w:rsidRDefault="00BD38FC" w:rsidP="00BD38FC">
      <w:pPr>
        <w:numPr>
          <w:ilvl w:val="0"/>
          <w:numId w:val="19"/>
        </w:numPr>
      </w:pPr>
      <w:r w:rsidRPr="00BD38FC">
        <w:t>Aircraft Owners and Pilots Association (AOPA)</w:t>
      </w:r>
    </w:p>
    <w:p w:rsidR="00BD38FC" w:rsidRPr="00BD38FC" w:rsidRDefault="00BD38FC" w:rsidP="00BD38FC">
      <w:pPr>
        <w:numPr>
          <w:ilvl w:val="0"/>
          <w:numId w:val="19"/>
        </w:numPr>
      </w:pPr>
      <w:r w:rsidRPr="00BD38FC">
        <w:t>Airlines for America (A4A)</w:t>
      </w:r>
    </w:p>
    <w:p w:rsidR="00BD38FC" w:rsidRPr="00BD38FC" w:rsidRDefault="00BD38FC" w:rsidP="00BD38FC">
      <w:pPr>
        <w:numPr>
          <w:ilvl w:val="0"/>
          <w:numId w:val="19"/>
        </w:numPr>
      </w:pPr>
      <w:r w:rsidRPr="00BD38FC">
        <w:t>Airports Council International- North America (ACI-NA)</w:t>
      </w:r>
    </w:p>
    <w:p w:rsidR="00BD38FC" w:rsidRPr="00BD38FC" w:rsidRDefault="00BD38FC" w:rsidP="00BD38FC">
      <w:pPr>
        <w:numPr>
          <w:ilvl w:val="0"/>
          <w:numId w:val="19"/>
        </w:numPr>
      </w:pPr>
      <w:r w:rsidRPr="00BD38FC">
        <w:t>Atlas Air</w:t>
      </w:r>
    </w:p>
    <w:p w:rsidR="00BD38FC" w:rsidRPr="00BD38FC" w:rsidRDefault="00BD38FC" w:rsidP="00BD38FC">
      <w:pPr>
        <w:numPr>
          <w:ilvl w:val="0"/>
          <w:numId w:val="19"/>
        </w:numPr>
      </w:pPr>
      <w:r w:rsidRPr="00BD38FC">
        <w:t>Aviation Information Sharing and Analysis Center (A-IS</w:t>
      </w:r>
      <w:r w:rsidR="003C3908">
        <w:t>AC)</w:t>
      </w:r>
    </w:p>
    <w:p w:rsidR="00BD38FC" w:rsidRPr="00BD38FC" w:rsidRDefault="00BD38FC" w:rsidP="00BD38FC">
      <w:pPr>
        <w:numPr>
          <w:ilvl w:val="0"/>
          <w:numId w:val="19"/>
        </w:numPr>
      </w:pPr>
      <w:r w:rsidRPr="00BD38FC">
        <w:t>Boeing</w:t>
      </w:r>
    </w:p>
    <w:p w:rsidR="00BD38FC" w:rsidRPr="00BD38FC" w:rsidRDefault="00BD38FC" w:rsidP="00BD38FC">
      <w:pPr>
        <w:numPr>
          <w:ilvl w:val="0"/>
          <w:numId w:val="19"/>
        </w:numPr>
      </w:pPr>
      <w:r w:rsidRPr="00BD38FC">
        <w:t>Cargo Airline Association</w:t>
      </w:r>
    </w:p>
    <w:p w:rsidR="00BD38FC" w:rsidRPr="00BD38FC" w:rsidRDefault="00BD38FC" w:rsidP="00BD38FC">
      <w:pPr>
        <w:numPr>
          <w:ilvl w:val="0"/>
          <w:numId w:val="19"/>
        </w:numPr>
      </w:pPr>
      <w:r w:rsidRPr="00BD38FC">
        <w:t>Centennial Airport</w:t>
      </w:r>
    </w:p>
    <w:p w:rsidR="00BD38FC" w:rsidRPr="00BD38FC" w:rsidRDefault="00BD38FC" w:rsidP="00BD38FC">
      <w:pPr>
        <w:numPr>
          <w:ilvl w:val="0"/>
          <w:numId w:val="19"/>
        </w:numPr>
      </w:pPr>
      <w:r w:rsidRPr="00BD38FC">
        <w:t>CommutAir</w:t>
      </w:r>
    </w:p>
    <w:p w:rsidR="00BD38FC" w:rsidRPr="00BD38FC" w:rsidRDefault="00BD38FC" w:rsidP="00BD38FC">
      <w:pPr>
        <w:numPr>
          <w:ilvl w:val="0"/>
          <w:numId w:val="19"/>
        </w:numPr>
      </w:pPr>
      <w:r w:rsidRPr="00BD38FC">
        <w:t>United Express</w:t>
      </w:r>
    </w:p>
    <w:p w:rsidR="00BD38FC" w:rsidRPr="00BD38FC" w:rsidRDefault="00BD38FC" w:rsidP="00BD38FC">
      <w:pPr>
        <w:numPr>
          <w:ilvl w:val="0"/>
          <w:numId w:val="19"/>
        </w:numPr>
      </w:pPr>
      <w:r w:rsidRPr="00BD38FC">
        <w:t>Compass Airlines</w:t>
      </w:r>
    </w:p>
    <w:p w:rsidR="00BD38FC" w:rsidRPr="00BD38FC" w:rsidRDefault="003C3908" w:rsidP="00BD38FC">
      <w:pPr>
        <w:numPr>
          <w:ilvl w:val="0"/>
          <w:numId w:val="19"/>
        </w:numPr>
      </w:pPr>
      <w:r>
        <w:t>Eastern Air Lines</w:t>
      </w:r>
    </w:p>
    <w:p w:rsidR="00BD38FC" w:rsidRPr="00BD38FC" w:rsidRDefault="00BD38FC" w:rsidP="00BD38FC">
      <w:pPr>
        <w:numPr>
          <w:ilvl w:val="0"/>
          <w:numId w:val="19"/>
        </w:numPr>
      </w:pPr>
      <w:r w:rsidRPr="00BD38FC">
        <w:t>FedEx</w:t>
      </w:r>
    </w:p>
    <w:p w:rsidR="00BD38FC" w:rsidRPr="00BD38FC" w:rsidRDefault="003C3908" w:rsidP="00BD38FC">
      <w:pPr>
        <w:numPr>
          <w:ilvl w:val="0"/>
          <w:numId w:val="19"/>
        </w:numPr>
      </w:pPr>
      <w:r>
        <w:t>JetBlue</w:t>
      </w:r>
    </w:p>
    <w:p w:rsidR="00BD38FC" w:rsidRPr="00BD38FC" w:rsidRDefault="00BD38FC" w:rsidP="00BD38FC">
      <w:pPr>
        <w:numPr>
          <w:ilvl w:val="0"/>
          <w:numId w:val="19"/>
        </w:numPr>
      </w:pPr>
      <w:r w:rsidRPr="00BD38FC">
        <w:t>Maryla</w:t>
      </w:r>
      <w:r w:rsidR="003C3908">
        <w:t>nd Department of Transportation</w:t>
      </w:r>
    </w:p>
    <w:p w:rsidR="00BD38FC" w:rsidRPr="00BD38FC" w:rsidRDefault="00BD38FC" w:rsidP="00BD38FC">
      <w:pPr>
        <w:numPr>
          <w:ilvl w:val="0"/>
          <w:numId w:val="19"/>
        </w:numPr>
      </w:pPr>
      <w:r w:rsidRPr="00BD38FC">
        <w:t>Mesa Airline</w:t>
      </w:r>
    </w:p>
    <w:p w:rsidR="00BD38FC" w:rsidRPr="00BD38FC" w:rsidRDefault="00BD38FC" w:rsidP="00BD38FC">
      <w:pPr>
        <w:numPr>
          <w:ilvl w:val="0"/>
          <w:numId w:val="19"/>
        </w:numPr>
      </w:pPr>
      <w:r w:rsidRPr="00BD38FC">
        <w:t>National Air Carrier Association (NACA)</w:t>
      </w:r>
    </w:p>
    <w:p w:rsidR="00BD38FC" w:rsidRPr="00BD38FC" w:rsidRDefault="00BD38FC" w:rsidP="00BD38FC">
      <w:pPr>
        <w:numPr>
          <w:ilvl w:val="0"/>
          <w:numId w:val="19"/>
        </w:numPr>
      </w:pPr>
      <w:r w:rsidRPr="00BD38FC">
        <w:t>National Business Aviation Association (NBAA)</w:t>
      </w:r>
    </w:p>
    <w:p w:rsidR="00BD38FC" w:rsidRPr="00BD38FC" w:rsidRDefault="00BD38FC" w:rsidP="00BD38FC">
      <w:pPr>
        <w:numPr>
          <w:ilvl w:val="0"/>
          <w:numId w:val="19"/>
        </w:numPr>
      </w:pPr>
      <w:r w:rsidRPr="00BD38FC">
        <w:t xml:space="preserve">Regional Airline Association (RAA) </w:t>
      </w:r>
    </w:p>
    <w:p w:rsidR="00BD38FC" w:rsidRPr="00BD38FC" w:rsidRDefault="00BD38FC" w:rsidP="00BD38FC">
      <w:pPr>
        <w:numPr>
          <w:ilvl w:val="0"/>
          <w:numId w:val="19"/>
        </w:numPr>
      </w:pPr>
      <w:r w:rsidRPr="00BD38FC">
        <w:t>Republic Airline</w:t>
      </w:r>
    </w:p>
    <w:p w:rsidR="00BD38FC" w:rsidRPr="00BD38FC" w:rsidRDefault="00BD38FC" w:rsidP="00BD38FC">
      <w:pPr>
        <w:numPr>
          <w:ilvl w:val="0"/>
          <w:numId w:val="19"/>
        </w:numPr>
      </w:pPr>
      <w:r>
        <w:t>Seattle-Tacoma In</w:t>
      </w:r>
      <w:r w:rsidRPr="00BD38FC">
        <w:t>ternational Airport</w:t>
      </w:r>
    </w:p>
    <w:p w:rsidR="00BD38FC" w:rsidRPr="00BD38FC" w:rsidRDefault="00BD38FC" w:rsidP="00BD38FC">
      <w:pPr>
        <w:numPr>
          <w:ilvl w:val="0"/>
          <w:numId w:val="19"/>
        </w:numPr>
      </w:pPr>
      <w:r w:rsidRPr="00BD38FC">
        <w:t>Sun Country Airlines</w:t>
      </w:r>
    </w:p>
    <w:p w:rsidR="00BD38FC" w:rsidRPr="00BD38FC" w:rsidRDefault="00BD38FC" w:rsidP="00BD38FC">
      <w:pPr>
        <w:numPr>
          <w:ilvl w:val="0"/>
          <w:numId w:val="19"/>
        </w:numPr>
      </w:pPr>
      <w:r w:rsidRPr="00BD38FC">
        <w:t>Transstates Holdings – Trans States Airline</w:t>
      </w:r>
    </w:p>
    <w:p w:rsidR="00BD38FC" w:rsidRPr="00BD38FC" w:rsidRDefault="00BD38FC" w:rsidP="00BD38FC">
      <w:pPr>
        <w:numPr>
          <w:ilvl w:val="0"/>
          <w:numId w:val="19"/>
        </w:numPr>
      </w:pPr>
      <w:r w:rsidRPr="00BD38FC">
        <w:t>United Airlines</w:t>
      </w:r>
    </w:p>
    <w:p w:rsidR="00BD38FC" w:rsidRPr="00BD38FC" w:rsidRDefault="00BD38FC" w:rsidP="00BD38FC">
      <w:pPr>
        <w:numPr>
          <w:ilvl w:val="0"/>
          <w:numId w:val="19"/>
        </w:numPr>
      </w:pPr>
      <w:r w:rsidRPr="00BD38FC">
        <w:t>United Parcel Service (UPS)</w:t>
      </w:r>
    </w:p>
    <w:p w:rsidR="00A403BB" w:rsidRDefault="00A403BB" w:rsidP="00A403BB"/>
    <w:p w:rsidR="00A403BB" w:rsidRDefault="00B560E8" w:rsidP="00A403BB">
      <w:r w:rsidRPr="00B560E8">
        <w:t xml:space="preserve">TSA’s survey administrators will e-mail </w:t>
      </w:r>
      <w:r>
        <w:t xml:space="preserve">ADIAC members </w:t>
      </w:r>
      <w:r w:rsidRPr="00B560E8">
        <w:t>to ask them if they would be willing to take a 10-minute voluntary survey via a web link.</w:t>
      </w:r>
    </w:p>
    <w:p w:rsidR="004D6E14" w:rsidRPr="002B276F" w:rsidRDefault="004D6E14" w:rsidP="00A403BB"/>
    <w:p w:rsidR="00A403BB" w:rsidRDefault="00A403BB" w:rsidP="002B276F">
      <w:pPr>
        <w:keepNext/>
        <w:rPr>
          <w:b/>
        </w:rPr>
      </w:pPr>
      <w:r>
        <w:rPr>
          <w:b/>
        </w:rPr>
        <w:t>Administration of the Instrument</w:t>
      </w:r>
    </w:p>
    <w:p w:rsidR="002B276F" w:rsidRDefault="002B276F" w:rsidP="002B276F">
      <w:pPr>
        <w:pStyle w:val="ListParagraph"/>
        <w:ind w:left="360"/>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BD38FC">
        <w:t>X</w:t>
      </w:r>
      <w:r>
        <w:t>] Web-based</w:t>
      </w:r>
      <w:r w:rsidR="00233C72">
        <w:t xml:space="preserve"> (no social media)</w:t>
      </w:r>
    </w:p>
    <w:p w:rsidR="001B0AAA" w:rsidRDefault="00A403BB" w:rsidP="001B0AAA">
      <w:pPr>
        <w:ind w:left="720"/>
      </w:pPr>
      <w:r>
        <w:t xml:space="preserve">[ </w:t>
      </w:r>
      <w:r w:rsidR="001B0AAA">
        <w:t xml:space="preserve"> </w:t>
      </w:r>
      <w:r w:rsidR="003C3908">
        <w:t>] Telephone</w:t>
      </w:r>
    </w:p>
    <w:p w:rsidR="001B0AAA" w:rsidRDefault="00A403BB" w:rsidP="001B0AAA">
      <w:pPr>
        <w:ind w:left="720"/>
      </w:pPr>
      <w:r>
        <w:t>[</w:t>
      </w:r>
      <w:r w:rsidR="001B0AAA">
        <w:t xml:space="preserve"> </w:t>
      </w:r>
      <w:r>
        <w:t xml:space="preserve"> ] </w:t>
      </w:r>
      <w:r w:rsidR="003C3908">
        <w:t>In-person</w:t>
      </w:r>
    </w:p>
    <w:p w:rsidR="001B0AAA" w:rsidRDefault="00A403BB" w:rsidP="001B0AAA">
      <w:pPr>
        <w:ind w:left="720"/>
      </w:pPr>
      <w:r>
        <w:t xml:space="preserve">[ </w:t>
      </w:r>
      <w:r w:rsidR="001B0AAA">
        <w:t xml:space="preserve"> </w:t>
      </w:r>
      <w:r>
        <w:t>] Mail</w:t>
      </w:r>
      <w:r w:rsidR="001B0AAA">
        <w:t xml:space="preserve"> </w:t>
      </w:r>
    </w:p>
    <w:p w:rsidR="002B276F"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BD38FC">
        <w:t>X</w:t>
      </w:r>
      <w:r>
        <w:t xml:space="preserve"> ] No</w:t>
      </w:r>
    </w:p>
    <w:p w:rsidR="00F24CFC" w:rsidRDefault="00F24CFC" w:rsidP="00F24CFC">
      <w:pPr>
        <w:pStyle w:val="ListParagraph"/>
        <w:ind w:left="360"/>
      </w:pPr>
    </w:p>
    <w:p w:rsidR="00942D4C" w:rsidRDefault="003C3908" w:rsidP="00F24CFC">
      <w:pPr>
        <w:pStyle w:val="ListParagraph"/>
        <w:ind w:left="360"/>
        <w:rPr>
          <w:b/>
        </w:rPr>
      </w:pPr>
      <w:r>
        <w:rPr>
          <w:b/>
        </w:rPr>
        <w:object w:dxaOrig="1728" w:dyaOrig="1234" w14:anchorId="0B056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61.5pt" o:ole="">
            <v:imagedata r:id="rId13" o:title=""/>
          </v:shape>
          <o:OLEObject Type="Embed" ProgID="Acrobat.Document.11" ShapeID="_x0000_i1025" DrawAspect="Icon" ObjectID="_1566971705" r:id="rId14"/>
        </w:object>
      </w:r>
    </w:p>
    <w:p w:rsidR="00CD5099" w:rsidRDefault="00CD5099" w:rsidP="00F24CFC">
      <w:pPr>
        <w:pStyle w:val="ListParagraph"/>
        <w:ind w:left="360"/>
        <w:rPr>
          <w:b/>
        </w:rPr>
      </w:pPr>
    </w:p>
    <w:p w:rsidR="00CD5099" w:rsidRDefault="00CD5099" w:rsidP="00F24CFC">
      <w:pPr>
        <w:pStyle w:val="ListParagraph"/>
        <w:ind w:left="360"/>
      </w:pPr>
    </w:p>
    <w:p w:rsidR="00CD5099" w:rsidRPr="008228C3" w:rsidRDefault="00CD5099" w:rsidP="00CD5099">
      <w:pPr>
        <w:rPr>
          <w:b/>
        </w:rPr>
      </w:pPr>
      <w:r>
        <w:rPr>
          <w:b/>
        </w:rPr>
        <w:t xml:space="preserve">Submit </w:t>
      </w:r>
      <w:r w:rsidRPr="00F24CFC">
        <w:rPr>
          <w:b/>
        </w:rPr>
        <w:t>all instruments, instructions, and scripts are submitted with the request.</w:t>
      </w:r>
    </w:p>
    <w:p w:rsidR="00D10A92" w:rsidRDefault="00D10A92">
      <w:pPr>
        <w:rPr>
          <w:b/>
        </w:rPr>
      </w:pPr>
      <w:r>
        <w:rPr>
          <w:b/>
        </w:rPr>
        <w:br w:type="page"/>
      </w:r>
    </w:p>
    <w:p w:rsidR="00D10A92" w:rsidRDefault="00D10A92" w:rsidP="00D10A92">
      <w:pPr>
        <w:spacing w:after="240" w:line="240" w:lineRule="exact"/>
        <w:jc w:val="center"/>
        <w:rPr>
          <w:rFonts w:eastAsiaTheme="minorHAnsi"/>
          <w:b/>
          <w:sz w:val="28"/>
          <w:szCs w:val="28"/>
        </w:rPr>
      </w:pPr>
      <w:r>
        <w:rPr>
          <w:rFonts w:eastAsiaTheme="minorHAnsi"/>
          <w:b/>
          <w:noProof/>
          <w:sz w:val="28"/>
          <w:szCs w:val="28"/>
        </w:rPr>
        <mc:AlternateContent>
          <mc:Choice Requires="wps">
            <w:drawing>
              <wp:anchor distT="0" distB="0" distL="114300" distR="114300" simplePos="0" relativeHeight="251659264" behindDoc="0" locked="0" layoutInCell="1" allowOverlap="1" wp14:anchorId="71BCEF9C" wp14:editId="784134FF">
                <wp:simplePos x="0" y="0"/>
                <wp:positionH relativeFrom="column">
                  <wp:posOffset>4535905</wp:posOffset>
                </wp:positionH>
                <wp:positionV relativeFrom="paragraph">
                  <wp:posOffset>-276726</wp:posOffset>
                </wp:positionV>
                <wp:extent cx="2141621" cy="445168"/>
                <wp:effectExtent l="0" t="0" r="0" b="0"/>
                <wp:wrapNone/>
                <wp:docPr id="1" name="Text Box 1"/>
                <wp:cNvGraphicFramePr/>
                <a:graphic xmlns:a="http://schemas.openxmlformats.org/drawingml/2006/main">
                  <a:graphicData uri="http://schemas.microsoft.com/office/word/2010/wordprocessingShape">
                    <wps:wsp>
                      <wps:cNvSpPr txBox="1"/>
                      <wps:spPr>
                        <a:xfrm>
                          <a:off x="0" y="0"/>
                          <a:ext cx="2141621" cy="445168"/>
                        </a:xfrm>
                        <a:prstGeom prst="rect">
                          <a:avLst/>
                        </a:prstGeom>
                        <a:solidFill>
                          <a:schemeClr val="lt1"/>
                        </a:solidFill>
                        <a:ln w="6350">
                          <a:noFill/>
                        </a:ln>
                      </wps:spPr>
                      <wps:txbx>
                        <w:txbxContent>
                          <w:p w:rsidR="00D10A92" w:rsidRDefault="00D10A92" w:rsidP="00D10A92">
                            <w:r>
                              <w:t>OMB control no. 1652-0058</w:t>
                            </w:r>
                          </w:p>
                          <w:p w:rsidR="00D10A92" w:rsidRDefault="00D10A92" w:rsidP="00D10A92">
                            <w:r>
                              <w:t>Exp.: 07/31/2019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7.15pt;margin-top:-21.8pt;width:168.65pt;height:3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" fillcolor="white [3201]" stroked="f" strokeweight=".5pt">
                <v:textbox>
                  <w:txbxContent>
                    <w:p w:rsidR="00D10A92" w:rsidRDefault="00D10A92" w:rsidP="00D10A92">
                      <w:r>
                        <w:t>OMB control no. 1652-0058</w:t>
                      </w:r>
                    </w:p>
                    <w:p w:rsidR="00D10A92" w:rsidRDefault="00D10A92" w:rsidP="00D10A92">
                      <w:r>
                        <w:t>Exp.: 07/31/2019</w:t>
                      </w:r>
                    </w:p>
                  </w:txbxContent>
                </v:textbox>
              </v:shape>
            </w:pict>
          </mc:Fallback>
        </mc:AlternateContent>
      </w:r>
    </w:p>
    <w:p w:rsidR="00D10A92" w:rsidRPr="00D10A92" w:rsidRDefault="00D10A92" w:rsidP="00D10A92">
      <w:pPr>
        <w:spacing w:after="240" w:line="240" w:lineRule="exact"/>
        <w:jc w:val="center"/>
        <w:rPr>
          <w:rFonts w:eastAsiaTheme="minorHAnsi"/>
          <w:b/>
        </w:rPr>
      </w:pPr>
      <w:r w:rsidRPr="00D10A92">
        <w:rPr>
          <w:rFonts w:eastAsiaTheme="minorHAnsi"/>
          <w:b/>
          <w:sz w:val="28"/>
          <w:szCs w:val="28"/>
        </w:rPr>
        <w:t>Aviation Security Information Sharing Survey</w:t>
      </w:r>
    </w:p>
    <w:p w:rsidR="00D10A92" w:rsidRPr="00D10A92" w:rsidRDefault="00D10A92" w:rsidP="00D10A92">
      <w:pPr>
        <w:spacing w:after="120" w:line="240" w:lineRule="exact"/>
        <w:rPr>
          <w:rFonts w:eastAsiaTheme="minorHAnsi"/>
        </w:rPr>
      </w:pPr>
      <w:r w:rsidRPr="00D10A92">
        <w:rPr>
          <w:rFonts w:eastAsiaTheme="minorHAnsi"/>
          <w:b/>
        </w:rPr>
        <w:t xml:space="preserve">NOTE: </w:t>
      </w:r>
      <w:r w:rsidRPr="00D10A92">
        <w:rPr>
          <w:rFonts w:eastAsiaTheme="minorHAnsi"/>
        </w:rPr>
        <w:t>This survey is voluntary and you may skip any question for any reason.</w:t>
      </w:r>
      <w:r w:rsidRPr="00D10A92">
        <w:rPr>
          <w:rFonts w:eastAsiaTheme="minorHAnsi"/>
          <w:b/>
        </w:rPr>
        <w:t xml:space="preserve">  </w:t>
      </w:r>
      <w:r w:rsidRPr="00D10A92">
        <w:rPr>
          <w:rFonts w:eastAsiaTheme="minorHAnsi"/>
        </w:rPr>
        <w:t>Do not provide sensitive information in this survey.  If you have feedback that may be sensitive in nature, please contact the survey administrator directly (240-473-1673).</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Provide the category to which your organization most closely aligns (select one)</w:t>
      </w:r>
    </w:p>
    <w:p w:rsidR="00D10A92" w:rsidRPr="00D10A92" w:rsidRDefault="00D10A92" w:rsidP="00D10A92">
      <w:pPr>
        <w:numPr>
          <w:ilvl w:val="1"/>
          <w:numId w:val="20"/>
        </w:numPr>
        <w:spacing w:before="120" w:after="120" w:line="240" w:lineRule="exact"/>
        <w:rPr>
          <w:rFonts w:eastAsiaTheme="minorHAnsi"/>
        </w:rPr>
      </w:pPr>
      <w:r w:rsidRPr="00D10A92">
        <w:rPr>
          <w:rFonts w:eastAsiaTheme="minorHAnsi"/>
        </w:rPr>
        <w:t>Mainline carrier</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Regional carrier</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Air Cargo carrier</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Airport</w:t>
      </w:r>
    </w:p>
    <w:p w:rsidR="00D10A92" w:rsidRPr="00D10A92" w:rsidRDefault="00D10A92" w:rsidP="00D10A92">
      <w:pPr>
        <w:numPr>
          <w:ilvl w:val="2"/>
          <w:numId w:val="20"/>
        </w:numPr>
        <w:spacing w:after="120" w:line="240" w:lineRule="exact"/>
        <w:rPr>
          <w:rFonts w:eastAsiaTheme="minorHAnsi"/>
        </w:rPr>
      </w:pPr>
      <w:r w:rsidRPr="00D10A92">
        <w:rPr>
          <w:rFonts w:eastAsiaTheme="minorHAnsi"/>
        </w:rPr>
        <w:t>More than 8 million passengers per year</w:t>
      </w:r>
    </w:p>
    <w:p w:rsidR="00D10A92" w:rsidRPr="00D10A92" w:rsidRDefault="00D10A92" w:rsidP="00D10A92">
      <w:pPr>
        <w:numPr>
          <w:ilvl w:val="2"/>
          <w:numId w:val="20"/>
        </w:numPr>
        <w:spacing w:after="120" w:line="240" w:lineRule="exact"/>
        <w:rPr>
          <w:rFonts w:eastAsiaTheme="minorHAnsi"/>
        </w:rPr>
      </w:pPr>
      <w:r w:rsidRPr="00D10A92">
        <w:rPr>
          <w:rFonts w:eastAsiaTheme="minorHAnsi"/>
        </w:rPr>
        <w:t>2 – 8 million passengers per year</w:t>
      </w:r>
    </w:p>
    <w:p w:rsidR="00D10A92" w:rsidRPr="00D10A92" w:rsidRDefault="00D10A92" w:rsidP="00D10A92">
      <w:pPr>
        <w:numPr>
          <w:ilvl w:val="2"/>
          <w:numId w:val="20"/>
        </w:numPr>
        <w:spacing w:after="120" w:line="240" w:lineRule="exact"/>
        <w:rPr>
          <w:rFonts w:eastAsiaTheme="minorHAnsi"/>
        </w:rPr>
      </w:pPr>
      <w:r w:rsidRPr="00D10A92">
        <w:rPr>
          <w:rFonts w:eastAsiaTheme="minorHAnsi"/>
        </w:rPr>
        <w:t>400,000 – 2 million passengers per year</w:t>
      </w:r>
    </w:p>
    <w:p w:rsidR="00D10A92" w:rsidRPr="00D10A92" w:rsidRDefault="00D10A92" w:rsidP="00D10A92">
      <w:pPr>
        <w:numPr>
          <w:ilvl w:val="2"/>
          <w:numId w:val="20"/>
        </w:numPr>
        <w:spacing w:after="120" w:line="240" w:lineRule="exact"/>
        <w:rPr>
          <w:rFonts w:eastAsiaTheme="minorHAnsi"/>
        </w:rPr>
      </w:pPr>
      <w:r w:rsidRPr="00D10A92">
        <w:rPr>
          <w:rFonts w:eastAsiaTheme="minorHAnsi"/>
        </w:rPr>
        <w:t>10,000 – 400,000 passengers per year</w:t>
      </w:r>
    </w:p>
    <w:p w:rsidR="00D10A92" w:rsidRPr="00D10A92" w:rsidRDefault="00D10A92" w:rsidP="00D10A92">
      <w:pPr>
        <w:numPr>
          <w:ilvl w:val="2"/>
          <w:numId w:val="20"/>
        </w:numPr>
        <w:spacing w:after="120" w:line="240" w:lineRule="exact"/>
        <w:rPr>
          <w:rFonts w:eastAsiaTheme="minorHAnsi"/>
        </w:rPr>
      </w:pPr>
      <w:r w:rsidRPr="00D10A92">
        <w:rPr>
          <w:rFonts w:eastAsiaTheme="minorHAnsi"/>
        </w:rPr>
        <w:t>Fewer than 10,000 passengers per year</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OEM/Aircraft manufacturer</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Aviation association</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Other (specify): ______________</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How do you connect with others in your field regarding aviation security issues? (select all that apply)</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Conferences</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E-mail</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Web boards or online forum</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In-person</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Other (specify): ______________</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What type of event most often causes you to search for aviation security information? (rank in order of importance)</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Aviation security incident (e.g., Brussels airport bombing, Australia terror plot foiled)</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General terrorism incident (e.g., Manchester bombing, Paris bombing)</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Criminal activity associated with aviation (e.g., cartel violence in Mexico, smuggling)</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Company or equipment vulnerability (e.g., credit card hack, GPS receiver jamming)</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Geo-political dynamics (e.g., Qatar airspace, N. Korea missile launches, Venezuela)</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Competitive advantage (e.g., informing a decision to halt service to Cuba)</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Legal or regulatory change (e.g., travel ban, Personal Electronic Device (PED) restrictions)</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Other (specify): _____________</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 xml:space="preserve">The thing you are most worried about in regards to aviation security right now is: </w:t>
      </w:r>
      <w:r w:rsidRPr="00D10A92">
        <w:rPr>
          <w:rFonts w:eastAsiaTheme="minorHAnsi"/>
        </w:rPr>
        <w:br/>
        <w:t>________________________________________________________________.</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 xml:space="preserve">You have a hard time finding information about: </w:t>
      </w:r>
      <w:r w:rsidRPr="00D10A92">
        <w:rPr>
          <w:rFonts w:eastAsiaTheme="minorHAnsi"/>
        </w:rPr>
        <w:br/>
        <w:t>________________________________________________________________.</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Which of the following aviation security resources do you use most frequently? (rank in order of importance)</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ADIAC</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Federal government resource (specify): ______________</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Subscription service (e.g., iJet, Control Risks, International SOS, A-ISAC)</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Internal company resource</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Internet search</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Web board or online forum</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Industry association/membership resources</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Government Stakeholder/Intel Office</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Other (specify): ______________</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What is the most important feature of products you use/value the most to gain awareness in your day-to-day job? (select one)</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Time of day product is released</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Source reliability</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Ability to engage with author/creator of information</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Timeliness of the information contained in the product</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How do you like to receive unclassified aviation security information: (rank in order of importance)?</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Text message</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 xml:space="preserve">Smart phone app </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E-mail</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Daily conference call</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Secure web site (e.g., SAGE)</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Other (specify): ______________</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 xml:space="preserve">Do you currently have access to </w:t>
      </w:r>
      <w:r w:rsidRPr="00D10A92">
        <w:rPr>
          <w:rFonts w:eastAsiaTheme="minorHAnsi"/>
          <w:b/>
        </w:rPr>
        <w:t>sensitive, but unclassified</w:t>
      </w:r>
      <w:r w:rsidRPr="00D10A92">
        <w:rPr>
          <w:rFonts w:eastAsiaTheme="minorHAnsi"/>
        </w:rPr>
        <w:t xml:space="preserve"> information (i.e., information not publicly available, such as Sensitive Security Information (SSI), Law Enforcement Sensitive (LES), etc.)?</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Yes</w:t>
      </w:r>
    </w:p>
    <w:p w:rsidR="00D10A92" w:rsidRPr="00D10A92" w:rsidRDefault="00D10A92" w:rsidP="00D10A92">
      <w:pPr>
        <w:numPr>
          <w:ilvl w:val="2"/>
          <w:numId w:val="20"/>
        </w:numPr>
        <w:spacing w:after="120" w:line="240" w:lineRule="exact"/>
        <w:rPr>
          <w:rFonts w:eastAsiaTheme="minorHAnsi"/>
        </w:rPr>
      </w:pPr>
      <w:r w:rsidRPr="00D10A92">
        <w:rPr>
          <w:rFonts w:eastAsiaTheme="minorHAnsi"/>
        </w:rPr>
        <w:t>How frequently do you access this information?</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Daily</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Weekly</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Monthly</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If/when an event occurs</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 xml:space="preserve">Never </w:t>
      </w:r>
    </w:p>
    <w:p w:rsidR="00D10A92" w:rsidRPr="00D10A92" w:rsidRDefault="00D10A92" w:rsidP="00D10A92">
      <w:pPr>
        <w:numPr>
          <w:ilvl w:val="2"/>
          <w:numId w:val="20"/>
        </w:numPr>
        <w:spacing w:after="120" w:line="240" w:lineRule="exact"/>
        <w:rPr>
          <w:rFonts w:eastAsiaTheme="minorHAnsi"/>
        </w:rPr>
      </w:pPr>
      <w:r w:rsidRPr="00D10A92">
        <w:rPr>
          <w:rFonts w:eastAsiaTheme="minorHAnsi"/>
        </w:rPr>
        <w:t>How do you access this information?</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Within my own company/organization</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Personal relationship with someone in the Government</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Personal relationship with someone outside the Government</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Homeland Secure Data Network (HSDN)/other government system</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Association I am a member of</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Other (specify): __________</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No</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 xml:space="preserve">Do you currently have access to </w:t>
      </w:r>
      <w:r w:rsidRPr="00D10A92">
        <w:rPr>
          <w:rFonts w:eastAsiaTheme="minorHAnsi"/>
          <w:b/>
        </w:rPr>
        <w:t>classified</w:t>
      </w:r>
      <w:r w:rsidRPr="00D10A92">
        <w:rPr>
          <w:rFonts w:eastAsiaTheme="minorHAnsi"/>
        </w:rPr>
        <w:t xml:space="preserve"> information?</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Yes</w:t>
      </w:r>
    </w:p>
    <w:p w:rsidR="00D10A92" w:rsidRPr="00D10A92" w:rsidRDefault="00D10A92" w:rsidP="00D10A92">
      <w:pPr>
        <w:numPr>
          <w:ilvl w:val="2"/>
          <w:numId w:val="20"/>
        </w:numPr>
        <w:spacing w:after="120" w:line="240" w:lineRule="exact"/>
        <w:rPr>
          <w:rFonts w:eastAsiaTheme="minorHAnsi"/>
        </w:rPr>
      </w:pPr>
      <w:r w:rsidRPr="00D10A92">
        <w:rPr>
          <w:rFonts w:eastAsiaTheme="minorHAnsi"/>
        </w:rPr>
        <w:t>How frequently do you access this information?</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Daily</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Weekly</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Monthly</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If/when an event occurs</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Never</w:t>
      </w:r>
    </w:p>
    <w:p w:rsidR="00D10A92" w:rsidRPr="00D10A92" w:rsidRDefault="00D10A92" w:rsidP="00D10A92">
      <w:pPr>
        <w:numPr>
          <w:ilvl w:val="2"/>
          <w:numId w:val="20"/>
        </w:numPr>
        <w:spacing w:after="120" w:line="240" w:lineRule="exact"/>
        <w:rPr>
          <w:rFonts w:eastAsiaTheme="minorHAnsi"/>
        </w:rPr>
      </w:pPr>
      <w:r w:rsidRPr="00D10A92">
        <w:rPr>
          <w:rFonts w:eastAsiaTheme="minorHAnsi"/>
        </w:rPr>
        <w:t>How do you access this information?</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Within my own company/organization</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Personal relationship with someone in the Government</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Personal relationship with someone outside the Government</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HSDN/other government system</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Association I am a member of</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Other (specify): __________</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No</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Do you know what ADIAC is?</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Yes</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No (skip to Q14)</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Do you dial into the ADIAC daily call at 0930 EST?</w:t>
      </w:r>
    </w:p>
    <w:p w:rsidR="00D10A92" w:rsidRPr="00D10A92" w:rsidRDefault="00D10A92" w:rsidP="00D10A92">
      <w:pPr>
        <w:numPr>
          <w:ilvl w:val="1"/>
          <w:numId w:val="20"/>
        </w:numPr>
        <w:spacing w:before="100" w:beforeAutospacing="1" w:after="120" w:line="240" w:lineRule="exact"/>
        <w:rPr>
          <w:rFonts w:eastAsiaTheme="minorHAnsi"/>
        </w:rPr>
      </w:pPr>
      <w:r w:rsidRPr="00D10A92">
        <w:rPr>
          <w:rFonts w:eastAsiaTheme="minorHAnsi"/>
        </w:rPr>
        <w:t>Yes</w:t>
      </w:r>
    </w:p>
    <w:p w:rsidR="00D10A92" w:rsidRPr="00D10A92" w:rsidRDefault="00D10A92" w:rsidP="00D10A92">
      <w:pPr>
        <w:keepNext/>
        <w:numPr>
          <w:ilvl w:val="2"/>
          <w:numId w:val="20"/>
        </w:numPr>
        <w:spacing w:after="120" w:line="240" w:lineRule="exact"/>
        <w:ind w:left="2174" w:hanging="187"/>
        <w:rPr>
          <w:rFonts w:eastAsiaTheme="minorHAnsi"/>
        </w:rPr>
      </w:pPr>
      <w:r w:rsidRPr="00D10A92">
        <w:rPr>
          <w:rFonts w:eastAsiaTheme="minorHAnsi"/>
        </w:rPr>
        <w:t>Frequency</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Daily</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Weekly</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Monthly</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If/when an event occurs</w:t>
      </w:r>
    </w:p>
    <w:p w:rsidR="00D10A92" w:rsidRPr="00D10A92" w:rsidRDefault="00D10A92" w:rsidP="00D10A92">
      <w:pPr>
        <w:numPr>
          <w:ilvl w:val="3"/>
          <w:numId w:val="20"/>
        </w:numPr>
        <w:spacing w:after="120" w:line="240" w:lineRule="exact"/>
        <w:rPr>
          <w:rFonts w:eastAsiaTheme="minorHAnsi"/>
        </w:rPr>
      </w:pPr>
      <w:r w:rsidRPr="00D10A92">
        <w:rPr>
          <w:rFonts w:eastAsiaTheme="minorHAnsi"/>
        </w:rPr>
        <w:t>Never</w:t>
      </w:r>
    </w:p>
    <w:p w:rsidR="00D10A92" w:rsidRPr="00D10A92" w:rsidRDefault="00D10A92" w:rsidP="00D10A92">
      <w:pPr>
        <w:numPr>
          <w:ilvl w:val="2"/>
          <w:numId w:val="20"/>
        </w:numPr>
        <w:spacing w:before="100" w:beforeAutospacing="1" w:after="120" w:line="259" w:lineRule="auto"/>
        <w:ind w:left="2174" w:hanging="187"/>
        <w:rPr>
          <w:rFonts w:eastAsiaTheme="minorHAnsi"/>
        </w:rPr>
      </w:pPr>
      <w:r w:rsidRPr="00D10A92">
        <w:rPr>
          <w:rFonts w:eastAsiaTheme="minorHAnsi"/>
        </w:rPr>
        <w:t xml:space="preserve">What do you find most valuable about the daily call? </w:t>
      </w:r>
      <w:r w:rsidRPr="00D10A92">
        <w:rPr>
          <w:rFonts w:eastAsiaTheme="minorHAnsi"/>
        </w:rPr>
        <w:br/>
        <w:t>__________________________________________________________</w:t>
      </w:r>
    </w:p>
    <w:p w:rsidR="00D10A92" w:rsidRPr="00D10A92" w:rsidRDefault="00D10A92" w:rsidP="00D10A92">
      <w:pPr>
        <w:numPr>
          <w:ilvl w:val="2"/>
          <w:numId w:val="20"/>
        </w:numPr>
        <w:spacing w:before="100" w:beforeAutospacing="1" w:after="120" w:line="240" w:lineRule="exact"/>
        <w:rPr>
          <w:rFonts w:eastAsiaTheme="minorHAnsi"/>
        </w:rPr>
      </w:pPr>
      <w:r w:rsidRPr="00D10A92">
        <w:rPr>
          <w:rFonts w:eastAsiaTheme="minorHAnsi"/>
        </w:rPr>
        <w:t xml:space="preserve">What do you find least useful? </w:t>
      </w:r>
      <w:r w:rsidRPr="00D10A92">
        <w:rPr>
          <w:rFonts w:eastAsiaTheme="minorHAnsi"/>
        </w:rPr>
        <w:br/>
        <w:t>__________________________________________________________</w:t>
      </w:r>
    </w:p>
    <w:p w:rsidR="00D10A92" w:rsidRPr="00D10A92" w:rsidRDefault="00D10A92" w:rsidP="00D10A92">
      <w:pPr>
        <w:numPr>
          <w:ilvl w:val="1"/>
          <w:numId w:val="20"/>
        </w:numPr>
        <w:spacing w:after="120" w:line="240" w:lineRule="exact"/>
        <w:rPr>
          <w:rFonts w:eastAsiaTheme="minorHAnsi"/>
        </w:rPr>
      </w:pPr>
      <w:r w:rsidRPr="00D10A92">
        <w:rPr>
          <w:rFonts w:eastAsiaTheme="minorHAnsi"/>
        </w:rPr>
        <w:t>No</w:t>
      </w:r>
    </w:p>
    <w:p w:rsidR="00D10A92" w:rsidRPr="00D10A92" w:rsidRDefault="00D10A92" w:rsidP="00D10A92">
      <w:pPr>
        <w:numPr>
          <w:ilvl w:val="2"/>
          <w:numId w:val="20"/>
        </w:numPr>
        <w:spacing w:after="120" w:line="240" w:lineRule="exact"/>
        <w:rPr>
          <w:rFonts w:eastAsiaTheme="minorHAnsi"/>
        </w:rPr>
      </w:pPr>
      <w:r w:rsidRPr="00D10A92">
        <w:rPr>
          <w:rFonts w:eastAsiaTheme="minorHAnsi"/>
        </w:rPr>
        <w:t>I would participate in ADIAC or participate more if: ________________</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How would you rate the state of government-private sector information sharing prior to the existence of the ADIAC? (1=nonexistent, 5=excellent): ____</w:t>
      </w:r>
    </w:p>
    <w:p w:rsidR="00D10A92" w:rsidRPr="00D10A92" w:rsidRDefault="00D10A92" w:rsidP="00D10A92">
      <w:pPr>
        <w:numPr>
          <w:ilvl w:val="0"/>
          <w:numId w:val="20"/>
        </w:numPr>
        <w:spacing w:before="360" w:after="120" w:line="240" w:lineRule="exact"/>
        <w:rPr>
          <w:rFonts w:eastAsiaTheme="minorHAnsi"/>
        </w:rPr>
      </w:pPr>
      <w:r w:rsidRPr="00D10A92">
        <w:rPr>
          <w:rFonts w:eastAsiaTheme="minorHAnsi"/>
        </w:rPr>
        <w:t>How would you rate the current state of government-private sector information sharing? (1=nonexistent, 5=excellent): ____</w:t>
      </w:r>
    </w:p>
    <w:p w:rsidR="00D10A92" w:rsidRPr="00D10A92" w:rsidRDefault="00D10A92" w:rsidP="00D10A92">
      <w:pPr>
        <w:numPr>
          <w:ilvl w:val="0"/>
          <w:numId w:val="20"/>
        </w:numPr>
        <w:spacing w:before="360" w:after="120" w:line="259" w:lineRule="auto"/>
        <w:rPr>
          <w:rFonts w:eastAsiaTheme="minorHAnsi"/>
        </w:rPr>
      </w:pPr>
      <w:r w:rsidRPr="00D10A92">
        <w:rPr>
          <w:rFonts w:eastAsiaTheme="minorHAnsi"/>
        </w:rPr>
        <w:t xml:space="preserve">Open comments (regarding ADIAC or aviation security information sharing): </w:t>
      </w:r>
      <w:r w:rsidRPr="00D10A92">
        <w:rPr>
          <w:rFonts w:eastAsiaTheme="minorHAnsi"/>
        </w:rPr>
        <w:br/>
        <w:t>________________________________________________________________________</w:t>
      </w:r>
      <w:r w:rsidRPr="00D10A92">
        <w:rPr>
          <w:rFonts w:eastAsiaTheme="minorHAnsi"/>
        </w:rPr>
        <w:br/>
        <w:t>________________________________________________________________________</w:t>
      </w:r>
      <w:r w:rsidRPr="00D10A92">
        <w:rPr>
          <w:rFonts w:eastAsiaTheme="minorHAnsi"/>
        </w:rPr>
        <w:br/>
        <w:t>________________________________________________________________________</w:t>
      </w:r>
    </w:p>
    <w:p w:rsidR="00D10A92" w:rsidRPr="00D10A92" w:rsidRDefault="00D10A92" w:rsidP="00D10A92">
      <w:pPr>
        <w:spacing w:before="360" w:after="120" w:line="240" w:lineRule="exact"/>
        <w:rPr>
          <w:rFonts w:eastAsiaTheme="minorHAnsi"/>
          <w:sz w:val="20"/>
          <w:szCs w:val="20"/>
        </w:rPr>
      </w:pPr>
      <w:r w:rsidRPr="00D10A92">
        <w:rPr>
          <w:rFonts w:eastAsiaTheme="minorHAnsi"/>
          <w:b/>
          <w:sz w:val="20"/>
          <w:szCs w:val="20"/>
        </w:rPr>
        <w:t>PAPERWORK REDUCTION ACT STATEMENT</w:t>
      </w:r>
      <w:r w:rsidRPr="00D10A92">
        <w:rPr>
          <w:rFonts w:eastAsiaTheme="minorHAnsi"/>
          <w:sz w:val="20"/>
          <w:szCs w:val="20"/>
        </w:rPr>
        <w:t>: TSA is collecting this information to identify gaps in information sharing within the aviation security industry. The public burden for collecting this voluntary collection of information is estimated to be approximately 10 minutes. Send comments regarding this burden estimate or collection to: TSA-11, Attention: PRA 1652-0058 Aviation Security Information Sharing</w:t>
      </w:r>
      <w:r w:rsidRPr="00D10A92" w:rsidDel="006D4DD8">
        <w:rPr>
          <w:rFonts w:eastAsiaTheme="minorHAnsi"/>
          <w:sz w:val="20"/>
          <w:szCs w:val="20"/>
        </w:rPr>
        <w:t xml:space="preserve"> </w:t>
      </w:r>
      <w:r w:rsidRPr="00D10A92">
        <w:rPr>
          <w:rFonts w:eastAsiaTheme="minorHAnsi"/>
          <w:sz w:val="20"/>
          <w:szCs w:val="20"/>
        </w:rPr>
        <w:t>Survey, 601 South 12th Street, Arlington, VA 20598. An agency may not conduct or sponsor, and persons are not required to respond to a collection of information, unless it displays a valid OMB control number. The OMB control number assigned to this collection is 1652-0058, which expires 07/31/2019.</w:t>
      </w:r>
    </w:p>
    <w:p w:rsidR="005E714A" w:rsidRPr="008228C3" w:rsidRDefault="005E714A" w:rsidP="007C7448">
      <w:pPr>
        <w:rPr>
          <w:b/>
        </w:rPr>
      </w:pPr>
    </w:p>
    <w:sectPr w:rsidR="005E714A" w:rsidRPr="008228C3" w:rsidSect="00194AC6">
      <w:footerReference w:type="defaul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4E7" w:rsidRDefault="00A834E7">
      <w:r>
        <w:separator/>
      </w:r>
    </w:p>
  </w:endnote>
  <w:endnote w:type="continuationSeparator" w:id="0">
    <w:p w:rsidR="00A834E7" w:rsidRDefault="00A8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249D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4E7" w:rsidRDefault="00A834E7">
      <w:r>
        <w:separator/>
      </w:r>
    </w:p>
  </w:footnote>
  <w:footnote w:type="continuationSeparator" w:id="0">
    <w:p w:rsidR="00A834E7" w:rsidRDefault="00A834E7">
      <w:r>
        <w:continuationSeparator/>
      </w:r>
    </w:p>
  </w:footnote>
  <w:footnote w:id="1">
    <w:p w:rsidR="00C84182" w:rsidRDefault="00C84182" w:rsidP="00C84182">
      <w:pPr>
        <w:pStyle w:val="FootnoteText"/>
      </w:pPr>
      <w:r>
        <w:rPr>
          <w:rStyle w:val="FootnoteReference"/>
        </w:rPr>
        <w:footnoteRef/>
      </w:r>
      <w:r>
        <w:t xml:space="preserve"> Estimate from the TSA Office of Intelligence and Analysis, ADIAC.</w:t>
      </w:r>
    </w:p>
  </w:footnote>
  <w:footnote w:id="2">
    <w:p w:rsidR="00C84182" w:rsidRDefault="00C84182" w:rsidP="00C84182">
      <w:pPr>
        <w:pStyle w:val="FootnoteText"/>
      </w:pPr>
      <w:r>
        <w:rPr>
          <w:rStyle w:val="FootnoteReference"/>
        </w:rPr>
        <w:footnoteRef/>
      </w:r>
      <w:r>
        <w:t xml:space="preserve"> Estimate from the TSA Office of Intelligence and Analysis, ADIAC.</w:t>
      </w:r>
    </w:p>
  </w:footnote>
  <w:footnote w:id="3">
    <w:p w:rsidR="00C84182" w:rsidRDefault="00C84182" w:rsidP="00C84182">
      <w:pPr>
        <w:pStyle w:val="FootnoteText"/>
      </w:pPr>
      <w:r>
        <w:rPr>
          <w:rStyle w:val="FootnoteReference"/>
        </w:rPr>
        <w:footnoteRef/>
      </w:r>
      <w:r>
        <w:t xml:space="preserve"> A fully loaded wage rate includes non-hourly compensation such as health benefits and </w:t>
      </w:r>
      <w:r w:rsidR="003C3908">
        <w:t>retirement costs, among others.</w:t>
      </w:r>
    </w:p>
  </w:footnote>
  <w:footnote w:id="4">
    <w:p w:rsidR="00C84182" w:rsidRDefault="00C84182" w:rsidP="00C84182">
      <w:pPr>
        <w:pStyle w:val="FootnoteText"/>
      </w:pPr>
      <w:r>
        <w:rPr>
          <w:rStyle w:val="FootnoteReference"/>
        </w:rPr>
        <w:footnoteRef/>
      </w:r>
      <w:r>
        <w:t xml:space="preserve"> TSA’s Office of Intelligence and Analysis, ADIAC reports that managers at respondents’ firms are likely to fill out the survey. TSA uses the mean hourly wage of $53.50 for Other Management Occupations as a proxy wage rate for respondents. </w:t>
      </w:r>
      <w:r w:rsidRPr="001059AD">
        <w:t xml:space="preserve">BLS. May 2016 National Industry-Specific Occupational and Wage Estimates. NAICS 481100 - Scheduled Air Transportation. </w:t>
      </w:r>
      <w:r>
        <w:t xml:space="preserve">SOC </w:t>
      </w:r>
      <w:r w:rsidRPr="001059AD">
        <w:t xml:space="preserve">11-9000 Other Management Occupations. Data last modified: March 31, 2017. Data Retrieved August 24, 2017. </w:t>
      </w:r>
      <w:hyperlink r:id="rId1" w:history="1">
        <w:r w:rsidRPr="00A110B3">
          <w:rPr>
            <w:rStyle w:val="Hyperlink"/>
          </w:rPr>
          <w:t>https://www.bls.gov/oes/2016/may/naics4_481100.htm</w:t>
        </w:r>
      </w:hyperlink>
    </w:p>
  </w:footnote>
  <w:footnote w:id="5">
    <w:p w:rsidR="00C84182" w:rsidRDefault="00C84182" w:rsidP="00C84182">
      <w:pPr>
        <w:pStyle w:val="FootnoteText"/>
      </w:pPr>
      <w:r>
        <w:rPr>
          <w:rStyle w:val="FootnoteReference"/>
        </w:rPr>
        <w:footnoteRef/>
      </w:r>
      <w:r>
        <w:t xml:space="preserve"> TSA calculates a compensation factor of 1.50598 for Other Management Occupations by dividing the total compensation of </w:t>
      </w:r>
      <w:r w:rsidRPr="00C93FDB">
        <w:t>Management, professional, and related</w:t>
      </w:r>
      <w:r>
        <w:t xml:space="preserve"> ($58.62) by their wages and salaries ($40.26) (1.4560 = $58.62 ÷ $40.26). To calculate the fully loaded hourly wage rate, TSA multiplies the mean hourly wage for Other Management Occupations ($53.50) by the compensation factor and obtains $77.90 ($77.90 = $53.50 x 1.4560). </w:t>
      </w:r>
      <w:r w:rsidRPr="001059AD">
        <w:t xml:space="preserve">BLS. Employer Costs for Employee Compensation - March 2017. Table 5. Employer costs per hour worked for employee compensation and costs as a percent of total compensation: private industry workers, by major occupational and industry group. </w:t>
      </w:r>
      <w:r w:rsidRPr="002F4BF5">
        <w:t>Management, professional, and related</w:t>
      </w:r>
      <w:r w:rsidRPr="001059AD">
        <w:t xml:space="preserve">. </w:t>
      </w:r>
      <w:hyperlink r:id="rId2" w:history="1">
        <w:r w:rsidRPr="00820B2C">
          <w:rPr>
            <w:rStyle w:val="Hyperlink"/>
          </w:rPr>
          <w:t>https://www.bls.gov/news.release/archives/ecec_06092017.htm</w:t>
        </w:r>
      </w:hyperlink>
      <w:r>
        <w:t>.</w:t>
      </w:r>
    </w:p>
  </w:footnote>
  <w:footnote w:id="6">
    <w:p w:rsidR="00C84182" w:rsidRDefault="00C84182" w:rsidP="00C84182">
      <w:pPr>
        <w:pStyle w:val="FootnoteText"/>
      </w:pPr>
      <w:r>
        <w:rPr>
          <w:rStyle w:val="FootnoteReference"/>
        </w:rPr>
        <w:footnoteRef/>
      </w:r>
      <w:r>
        <w:t xml:space="preserve"> This collection does not create any costs for non-TSA federal entities. </w:t>
      </w:r>
    </w:p>
  </w:footnote>
  <w:footnote w:id="7">
    <w:p w:rsidR="00C84182" w:rsidRDefault="00C84182" w:rsidP="00C84182">
      <w:pPr>
        <w:pStyle w:val="FootnoteText"/>
      </w:pPr>
      <w:r>
        <w:rPr>
          <w:rStyle w:val="FootnoteReference"/>
        </w:rPr>
        <w:footnoteRef/>
      </w:r>
      <w:r>
        <w:t xml:space="preserve"> Estimate from the TSA Office of Intelligence and Analysis, ADIAC.</w:t>
      </w:r>
    </w:p>
  </w:footnote>
  <w:footnote w:id="8">
    <w:p w:rsidR="00C84182" w:rsidRDefault="00C84182" w:rsidP="00C84182">
      <w:pPr>
        <w:pStyle w:val="FootnoteText"/>
      </w:pPr>
      <w:r>
        <w:rPr>
          <w:rStyle w:val="FootnoteReference"/>
        </w:rPr>
        <w:footnoteRef/>
      </w:r>
      <w:r>
        <w:t xml:space="preserve"> Estimate provided by TSA contract team, Deloitte Consulting, based on the hourly wage rate specified in the relevant contract.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665B79"/>
    <w:multiLevelType w:val="hybridMultilevel"/>
    <w:tmpl w:val="C6F09C9E"/>
    <w:lvl w:ilvl="0" w:tplc="FBFED61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D2E684">
      <w:start w:val="1"/>
      <w:numFmt w:val="upperRoman"/>
      <w:lvlText w:val="%4&gt;"/>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20F49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64941CE"/>
    <w:multiLevelType w:val="hybridMultilevel"/>
    <w:tmpl w:val="7374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5"/>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3"/>
  </w:num>
  <w:num w:numId="16">
    <w:abstractNumId w:val="12"/>
  </w:num>
  <w:num w:numId="17">
    <w:abstractNumId w:val="4"/>
  </w:num>
  <w:num w:numId="18">
    <w:abstractNumId w:val="5"/>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9D2"/>
    <w:rsid w:val="0001027E"/>
    <w:rsid w:val="00015DAB"/>
    <w:rsid w:val="000172FA"/>
    <w:rsid w:val="00023A57"/>
    <w:rsid w:val="00047A64"/>
    <w:rsid w:val="00067329"/>
    <w:rsid w:val="000B2838"/>
    <w:rsid w:val="000D44CA"/>
    <w:rsid w:val="000E200B"/>
    <w:rsid w:val="000F68BE"/>
    <w:rsid w:val="00103F8E"/>
    <w:rsid w:val="001927A4"/>
    <w:rsid w:val="00194AC6"/>
    <w:rsid w:val="001A23B0"/>
    <w:rsid w:val="001A25CC"/>
    <w:rsid w:val="001B0AAA"/>
    <w:rsid w:val="001B0BBC"/>
    <w:rsid w:val="001C39F7"/>
    <w:rsid w:val="00233C72"/>
    <w:rsid w:val="00237B48"/>
    <w:rsid w:val="0024521E"/>
    <w:rsid w:val="00263C3D"/>
    <w:rsid w:val="00274D0B"/>
    <w:rsid w:val="002766D8"/>
    <w:rsid w:val="0029059C"/>
    <w:rsid w:val="002B052D"/>
    <w:rsid w:val="002B276F"/>
    <w:rsid w:val="002B34CD"/>
    <w:rsid w:val="002B3C95"/>
    <w:rsid w:val="002D0B92"/>
    <w:rsid w:val="003C3908"/>
    <w:rsid w:val="003D2919"/>
    <w:rsid w:val="003D5BBE"/>
    <w:rsid w:val="003E3C61"/>
    <w:rsid w:val="003F1C5B"/>
    <w:rsid w:val="0041242E"/>
    <w:rsid w:val="00412889"/>
    <w:rsid w:val="00423880"/>
    <w:rsid w:val="00434E33"/>
    <w:rsid w:val="00441434"/>
    <w:rsid w:val="00442206"/>
    <w:rsid w:val="0045264C"/>
    <w:rsid w:val="00462871"/>
    <w:rsid w:val="0046671F"/>
    <w:rsid w:val="00486076"/>
    <w:rsid w:val="004876EC"/>
    <w:rsid w:val="004D501C"/>
    <w:rsid w:val="004D6E14"/>
    <w:rsid w:val="005009B0"/>
    <w:rsid w:val="005A1006"/>
    <w:rsid w:val="005E1D6C"/>
    <w:rsid w:val="005E714A"/>
    <w:rsid w:val="005F693D"/>
    <w:rsid w:val="006140A0"/>
    <w:rsid w:val="00626A60"/>
    <w:rsid w:val="00636621"/>
    <w:rsid w:val="00642B49"/>
    <w:rsid w:val="0067220B"/>
    <w:rsid w:val="006832D9"/>
    <w:rsid w:val="0069403B"/>
    <w:rsid w:val="006A335E"/>
    <w:rsid w:val="006B51A1"/>
    <w:rsid w:val="006F3DDE"/>
    <w:rsid w:val="00704678"/>
    <w:rsid w:val="00715905"/>
    <w:rsid w:val="007425E7"/>
    <w:rsid w:val="00783C7B"/>
    <w:rsid w:val="007C7448"/>
    <w:rsid w:val="007F7080"/>
    <w:rsid w:val="00802607"/>
    <w:rsid w:val="008101A5"/>
    <w:rsid w:val="00822664"/>
    <w:rsid w:val="008228C3"/>
    <w:rsid w:val="00843796"/>
    <w:rsid w:val="0085533D"/>
    <w:rsid w:val="00883A8E"/>
    <w:rsid w:val="00883A9D"/>
    <w:rsid w:val="00895229"/>
    <w:rsid w:val="008A46CF"/>
    <w:rsid w:val="008B2EB3"/>
    <w:rsid w:val="008F0203"/>
    <w:rsid w:val="008F50D4"/>
    <w:rsid w:val="008F63B5"/>
    <w:rsid w:val="009239AA"/>
    <w:rsid w:val="009322D8"/>
    <w:rsid w:val="00935ADA"/>
    <w:rsid w:val="00935DBB"/>
    <w:rsid w:val="00942D4C"/>
    <w:rsid w:val="00946B6C"/>
    <w:rsid w:val="00955A71"/>
    <w:rsid w:val="0096108F"/>
    <w:rsid w:val="00967C7A"/>
    <w:rsid w:val="0098404E"/>
    <w:rsid w:val="00986DFD"/>
    <w:rsid w:val="00995403"/>
    <w:rsid w:val="009979B6"/>
    <w:rsid w:val="009C13B9"/>
    <w:rsid w:val="009D01A2"/>
    <w:rsid w:val="009F5923"/>
    <w:rsid w:val="00A403BB"/>
    <w:rsid w:val="00A51992"/>
    <w:rsid w:val="00A674DF"/>
    <w:rsid w:val="00A74621"/>
    <w:rsid w:val="00A75AE5"/>
    <w:rsid w:val="00A834E7"/>
    <w:rsid w:val="00A83AA6"/>
    <w:rsid w:val="00A90FCD"/>
    <w:rsid w:val="00A934D6"/>
    <w:rsid w:val="00AE1809"/>
    <w:rsid w:val="00B249DE"/>
    <w:rsid w:val="00B333B0"/>
    <w:rsid w:val="00B5511A"/>
    <w:rsid w:val="00B560E8"/>
    <w:rsid w:val="00B80D76"/>
    <w:rsid w:val="00B824F4"/>
    <w:rsid w:val="00BA2105"/>
    <w:rsid w:val="00BA7E06"/>
    <w:rsid w:val="00BB43B5"/>
    <w:rsid w:val="00BB6219"/>
    <w:rsid w:val="00BD290F"/>
    <w:rsid w:val="00BD38FC"/>
    <w:rsid w:val="00BD78CA"/>
    <w:rsid w:val="00C14CC4"/>
    <w:rsid w:val="00C33C52"/>
    <w:rsid w:val="00C40D8B"/>
    <w:rsid w:val="00C8407A"/>
    <w:rsid w:val="00C84182"/>
    <w:rsid w:val="00C8488C"/>
    <w:rsid w:val="00C86E91"/>
    <w:rsid w:val="00CA2650"/>
    <w:rsid w:val="00CB1078"/>
    <w:rsid w:val="00CC6FAF"/>
    <w:rsid w:val="00CD2DF8"/>
    <w:rsid w:val="00CD5099"/>
    <w:rsid w:val="00CF6542"/>
    <w:rsid w:val="00D00E0F"/>
    <w:rsid w:val="00D10A92"/>
    <w:rsid w:val="00D24698"/>
    <w:rsid w:val="00D6383F"/>
    <w:rsid w:val="00DA287A"/>
    <w:rsid w:val="00DB59D0"/>
    <w:rsid w:val="00DC33D3"/>
    <w:rsid w:val="00E26329"/>
    <w:rsid w:val="00E27FD6"/>
    <w:rsid w:val="00E40B50"/>
    <w:rsid w:val="00E431C7"/>
    <w:rsid w:val="00E50293"/>
    <w:rsid w:val="00E55AAF"/>
    <w:rsid w:val="00E65FFC"/>
    <w:rsid w:val="00E744EA"/>
    <w:rsid w:val="00E80951"/>
    <w:rsid w:val="00E858E1"/>
    <w:rsid w:val="00E86CC6"/>
    <w:rsid w:val="00EB56B3"/>
    <w:rsid w:val="00ED6492"/>
    <w:rsid w:val="00EE18CB"/>
    <w:rsid w:val="00EF2095"/>
    <w:rsid w:val="00EF2CCE"/>
    <w:rsid w:val="00EF6181"/>
    <w:rsid w:val="00F06866"/>
    <w:rsid w:val="00F15956"/>
    <w:rsid w:val="00F24CFC"/>
    <w:rsid w:val="00F3170F"/>
    <w:rsid w:val="00F51AC7"/>
    <w:rsid w:val="00F73CA2"/>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67C7A"/>
    <w:rPr>
      <w:sz w:val="24"/>
      <w:szCs w:val="24"/>
    </w:rPr>
  </w:style>
  <w:style w:type="paragraph" w:styleId="FootnoteText">
    <w:name w:val="footnote text"/>
    <w:basedOn w:val="Normal"/>
    <w:link w:val="FootnoteTextChar"/>
    <w:rsid w:val="00C84182"/>
    <w:rPr>
      <w:sz w:val="20"/>
      <w:szCs w:val="20"/>
    </w:rPr>
  </w:style>
  <w:style w:type="character" w:customStyle="1" w:styleId="FootnoteTextChar">
    <w:name w:val="Footnote Text Char"/>
    <w:basedOn w:val="DefaultParagraphFont"/>
    <w:link w:val="FootnoteText"/>
    <w:rsid w:val="00C84182"/>
  </w:style>
  <w:style w:type="character" w:styleId="FootnoteReference">
    <w:name w:val="footnote reference"/>
    <w:rsid w:val="00C84182"/>
    <w:rPr>
      <w:vertAlign w:val="superscript"/>
    </w:rPr>
  </w:style>
  <w:style w:type="character" w:styleId="Hyperlink">
    <w:name w:val="Hyperlink"/>
    <w:rsid w:val="00C84182"/>
    <w:rPr>
      <w:color w:val="0563C1"/>
      <w:u w:val="single"/>
    </w:rPr>
  </w:style>
  <w:style w:type="character" w:styleId="FollowedHyperlink">
    <w:name w:val="FollowedHyperlink"/>
    <w:rsid w:val="00C84182"/>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967C7A"/>
    <w:rPr>
      <w:sz w:val="24"/>
      <w:szCs w:val="24"/>
    </w:rPr>
  </w:style>
  <w:style w:type="paragraph" w:styleId="FootnoteText">
    <w:name w:val="footnote text"/>
    <w:basedOn w:val="Normal"/>
    <w:link w:val="FootnoteTextChar"/>
    <w:rsid w:val="00C84182"/>
    <w:rPr>
      <w:sz w:val="20"/>
      <w:szCs w:val="20"/>
    </w:rPr>
  </w:style>
  <w:style w:type="character" w:customStyle="1" w:styleId="FootnoteTextChar">
    <w:name w:val="Footnote Text Char"/>
    <w:basedOn w:val="DefaultParagraphFont"/>
    <w:link w:val="FootnoteText"/>
    <w:rsid w:val="00C84182"/>
  </w:style>
  <w:style w:type="character" w:styleId="FootnoteReference">
    <w:name w:val="footnote reference"/>
    <w:rsid w:val="00C84182"/>
    <w:rPr>
      <w:vertAlign w:val="superscript"/>
    </w:rPr>
  </w:style>
  <w:style w:type="character" w:styleId="Hyperlink">
    <w:name w:val="Hyperlink"/>
    <w:rsid w:val="00C84182"/>
    <w:rPr>
      <w:color w:val="0563C1"/>
      <w:u w:val="single"/>
    </w:rPr>
  </w:style>
  <w:style w:type="character" w:styleId="FollowedHyperlink">
    <w:name w:val="FollowedHyperlink"/>
    <w:rsid w:val="00C8418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044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archives/ecec_06092017.htm" TargetMode="External"/><Relationship Id="rId1" Type="http://schemas.openxmlformats.org/officeDocument/2006/relationships/hyperlink" Target="https://www.bls.gov/oes/2016/may/naics4_4811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Originator_x0020_Division xmlns="dfa24db8-b43c-4576-b9f3-d527095e9577">Mission Support Division</Originator_x0020_Division>
    <Folder_x0020_Title xmlns="dfa24db8-b43c-4576-b9f3-d527095e9577" xsi:nil="true"/>
    <Originator xmlns="dfa24db8-b43c-4576-b9f3-d527095e9577">
      <UserInfo>
        <DisplayName/>
        <AccountId>226</AccountId>
        <AccountType/>
      </UserInfo>
    </Originator>
    <WorkFolder_x0020_Type xmlns="dfa24db8-b43c-4576-b9f3-d527095e9577">05 - Other</WorkFolder_x0020_Type>
    <_dlc_DocId xmlns="dfa24db8-b43c-4576-b9f3-d527095e9577">TSADT-783092807-449</_dlc_DocId>
    <_dlc_DocIdUrl xmlns="dfa24db8-b43c-4576-b9f3-d527095e9577">
      <Url>https://apps2013.ishare.tsa.dhs.gov/sites/gel/OIT/_layouts/15/DocIdRedir.aspx?ID=TSADT-783092807-449</Url>
      <Description>TSADT-783092807-449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6F361A932546F4590D5DC141682ABDA" ma:contentTypeVersion="6" ma:contentTypeDescription="Create a new document." ma:contentTypeScope="" ma:versionID="0e2816a0120227a68e7a0c3597ff1ea1">
  <xsd:schema xmlns:xsd="http://www.w3.org/2001/XMLSchema" xmlns:xs="http://www.w3.org/2001/XMLSchema" xmlns:p="http://schemas.microsoft.com/office/2006/metadata/properties" xmlns:ns2="dfa24db8-b43c-4576-b9f3-d527095e9577" xmlns:ns4="http://schemas.microsoft.com/sharepoint/v4" targetNamespace="http://schemas.microsoft.com/office/2006/metadata/properties" ma:root="true" ma:fieldsID="9cccaed2945c2dc1e48984154b241476" ns2:_="" ns4:_="">
    <xsd:import namespace="dfa24db8-b43c-4576-b9f3-d527095e957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Originator_x0020_Division" minOccurs="0"/>
                <xsd:element ref="ns2:WorkFolder_x0020_Type" minOccurs="0"/>
                <xsd:element ref="ns2:Folder_x0020_Title" minOccurs="0"/>
                <xsd:element ref="ns2:Originato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24db8-b43c-4576-b9f3-d527095e95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riginator_x0020_Division" ma:index="11" nillable="true" ma:displayName="Originator Division" ma:format="Dropdown" ma:indexed="true" ma:internalName="Originator_x0020_Division">
      <xsd:simpleType>
        <xsd:restriction base="dms:Choice">
          <xsd:enumeration value="IT Government and Industry Liaison"/>
          <xsd:enumeration value="Information Assurance Division"/>
          <xsd:enumeration value="Customer Engagement &amp; Development Division"/>
          <xsd:enumeration value="Operations &amp; Engineering"/>
          <xsd:enumeration value="End User Services Division"/>
          <xsd:enumeration value="Enterprise Architecture Division"/>
          <xsd:enumeration value="Mission Support Division"/>
        </xsd:restriction>
      </xsd:simpleType>
    </xsd:element>
    <xsd:element name="WorkFolder_x0020_Type" ma:index="12" nillable="true" ma:displayName="WorkFolder Type" ma:format="Dropdown" ma:indexed="true" ma:internalName="WorkFolder_x0020_Type">
      <xsd:simpleType>
        <xsd:restriction base="dms:Choice">
          <xsd:enumeration value="01 - Letter"/>
          <xsd:enumeration value="02 - IT Waiver/Exception"/>
          <xsd:enumeration value="03 - Memo"/>
          <xsd:enumeration value="04 - PR"/>
          <xsd:enumeration value="05 - Other"/>
          <xsd:enumeration value="06 - Training"/>
          <xsd:enumeration value="07 - CIO COUNCIL"/>
          <xsd:enumeration value="08 - Misc"/>
          <xsd:enumeration value="09 - Broadcast"/>
          <xsd:enumeration value="10 - Flyer"/>
          <xsd:enumeration value="11 - PAR Forms"/>
          <xsd:enumeration value="12 - SOP"/>
          <xsd:enumeration value="13 - MD"/>
          <xsd:enumeration value="14 - Security Policy"/>
        </xsd:restriction>
      </xsd:simpleType>
    </xsd:element>
    <xsd:element name="Folder_x0020_Title" ma:index="13" nillable="true" ma:displayName="Folder Title" ma:indexed="true" ma:internalName="Folder_x0020_Title">
      <xsd:simpleType>
        <xsd:restriction base="dms:Text">
          <xsd:maxLength value="255"/>
        </xsd:restriction>
      </xsd:simpleType>
    </xsd:element>
    <xsd:element name="Originator" ma:index="14" nillable="true" ma:displayName="Originator" ma:indexed="true" ma:list="UserInfo" ma:SharePointGroup="0" ma:internalName="Origin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5CB20-1CD7-4480-AF64-6668FBC8EBC0}">
  <ds:schemaRefs>
    <ds:schemaRef ds:uri="http://schemas.microsoft.com/office/2006/metadata/longProperties"/>
  </ds:schemaRefs>
</ds:datastoreItem>
</file>

<file path=customXml/itemProps2.xml><?xml version="1.0" encoding="utf-8"?>
<ds:datastoreItem xmlns:ds="http://schemas.openxmlformats.org/officeDocument/2006/customXml" ds:itemID="{EB8AFC8A-1997-4814-AC21-E5530E7F5492}">
  <ds:schemaRefs>
    <ds:schemaRef ds:uri="http://schemas.microsoft.com/office/2006/metadata/properties"/>
    <ds:schemaRef ds:uri="http://schemas.microsoft.com/office/infopath/2007/PartnerControls"/>
    <ds:schemaRef ds:uri="http://schemas.microsoft.com/sharepoint/v4"/>
    <ds:schemaRef ds:uri="dfa24db8-b43c-4576-b9f3-d527095e9577"/>
  </ds:schemaRefs>
</ds:datastoreItem>
</file>

<file path=customXml/itemProps3.xml><?xml version="1.0" encoding="utf-8"?>
<ds:datastoreItem xmlns:ds="http://schemas.openxmlformats.org/officeDocument/2006/customXml" ds:itemID="{F9B77FB7-48F2-4720-AFFD-77592EBBA307}">
  <ds:schemaRefs>
    <ds:schemaRef ds:uri="http://schemas.microsoft.com/sharepoint/events"/>
  </ds:schemaRefs>
</ds:datastoreItem>
</file>

<file path=customXml/itemProps4.xml><?xml version="1.0" encoding="utf-8"?>
<ds:datastoreItem xmlns:ds="http://schemas.openxmlformats.org/officeDocument/2006/customXml" ds:itemID="{B603ED61-F2E0-48AE-A418-D06A3B7A86B3}">
  <ds:schemaRefs>
    <ds:schemaRef ds:uri="http://schemas.microsoft.com/sharepoint/v3/contenttype/forms"/>
  </ds:schemaRefs>
</ds:datastoreItem>
</file>

<file path=customXml/itemProps5.xml><?xml version="1.0" encoding="utf-8"?>
<ds:datastoreItem xmlns:ds="http://schemas.openxmlformats.org/officeDocument/2006/customXml" ds:itemID="{B721B92F-5695-4452-BFAD-659964015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24db8-b43c-4576-b9f3-d527095e957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11536</CharactersWithSpaces>
  <SharedDoc>false</SharedDoc>
  <HLinks>
    <vt:vector size="12" baseType="variant">
      <vt:variant>
        <vt:i4>4063243</vt:i4>
      </vt:variant>
      <vt:variant>
        <vt:i4>3</vt:i4>
      </vt:variant>
      <vt:variant>
        <vt:i4>0</vt:i4>
      </vt:variant>
      <vt:variant>
        <vt:i4>5</vt:i4>
      </vt:variant>
      <vt:variant>
        <vt:lpwstr>https://www.bls.gov/news.release/archives/ecec_06092017.htm</vt:lpwstr>
      </vt:variant>
      <vt:variant>
        <vt:lpwstr/>
      </vt:variant>
      <vt:variant>
        <vt:i4>327783</vt:i4>
      </vt:variant>
      <vt:variant>
        <vt:i4>0</vt:i4>
      </vt:variant>
      <vt:variant>
        <vt:i4>0</vt:i4>
      </vt:variant>
      <vt:variant>
        <vt:i4>5</vt:i4>
      </vt:variant>
      <vt:variant>
        <vt:lpwstr>https://www.bls.gov/oes/2016/may/naics4_481100.htm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2010-10-04T15:59:00Z</cp:lastPrinted>
  <dcterms:created xsi:type="dcterms:W3CDTF">2017-09-15T13:09:00Z</dcterms:created>
  <dcterms:modified xsi:type="dcterms:W3CDTF">2017-09-15T13:09:00Z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2MNXFYDWMX7Y-370726045-3187</vt:lpwstr>
  </property>
  <property fmtid="{D5CDD505-2E9C-101B-9397-08002B2CF9AE}" pid="4" name="_dlc_DocIdItemGuid">
    <vt:lpwstr>55fd9e34-8d32-41bd-8ea9-8be2716485a1</vt:lpwstr>
  </property>
  <property fmtid="{D5CDD505-2E9C-101B-9397-08002B2CF9AE}" pid="5" name="_dlc_DocIdUrl">
    <vt:lpwstr>https://office.ishare.tsa.dhs.gov/sites/oit/bmo/pra/_layouts/15/DocIdRedir.aspx?ID=2MNXFYDWMX7Y-370726045-3187, 2MNXFYDWMX7Y-370726045-3187</vt:lpwstr>
  </property>
  <property fmtid="{D5CDD505-2E9C-101B-9397-08002B2CF9AE}" pid="6" name="ContentTypeId">
    <vt:lpwstr>0x01010056F361A932546F4590D5DC141682ABDA</vt:lpwstr>
  </property>
</Properties>
</file>