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BA565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19290C">
        <w:rPr>
          <w:sz w:val="28"/>
        </w:rPr>
        <w:t>1652</w:t>
      </w:r>
      <w:r>
        <w:rPr>
          <w:sz w:val="28"/>
        </w:rPr>
        <w:t>-</w:t>
      </w:r>
      <w:r w:rsidR="0019290C">
        <w:rPr>
          <w:sz w:val="28"/>
        </w:rPr>
        <w:t>0058</w:t>
      </w:r>
      <w:r>
        <w:rPr>
          <w:sz w:val="28"/>
        </w:rPr>
        <w:t>)</w:t>
      </w:r>
    </w:p>
    <w:p w14:paraId="4684FE9D" w14:textId="77777777" w:rsidR="00794B46" w:rsidRDefault="00794B46" w:rsidP="00434E33">
      <w:pPr>
        <w:rPr>
          <w:b/>
        </w:rPr>
      </w:pPr>
    </w:p>
    <w:p w14:paraId="7728AEAA" w14:textId="37196B73" w:rsidR="00E50293" w:rsidRPr="00045936" w:rsidRDefault="004F0863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FDE4DF" wp14:editId="3B4213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A3B11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</w:t>
      </w:r>
      <w:r w:rsidR="00545169" w:rsidRPr="00045936">
        <w:t>TSA Customer Experience Survey</w:t>
      </w:r>
    </w:p>
    <w:p w14:paraId="6EC1A398" w14:textId="77777777" w:rsidR="005E714A" w:rsidRDefault="005E714A" w:rsidP="00F75832">
      <w:pPr>
        <w:jc w:val="right"/>
      </w:pPr>
    </w:p>
    <w:p w14:paraId="15ADF788" w14:textId="536053FC" w:rsidR="00545169" w:rsidRPr="00045936" w:rsidRDefault="00F15956" w:rsidP="00545169">
      <w:r>
        <w:rPr>
          <w:b/>
        </w:rPr>
        <w:t>PURPOSE</w:t>
      </w:r>
      <w:r w:rsidRPr="009239AA">
        <w:rPr>
          <w:b/>
        </w:rPr>
        <w:t>:</w:t>
      </w:r>
      <w:r w:rsidR="00A13D12" w:rsidRPr="00045936">
        <w:t xml:space="preserve"> </w:t>
      </w:r>
      <w:r w:rsidR="00545169" w:rsidRPr="00045936">
        <w:t>The TSA Customer Service Branch (CSB) and the TSA Pre</w:t>
      </w:r>
      <w:r w:rsidR="00545169" w:rsidRPr="00045936">
        <w:rPr>
          <w:rFonts w:ascii="Segoe UI Symbol" w:hAnsi="Segoe UI Symbol" w:cs="Segoe UI Symbol"/>
        </w:rPr>
        <w:t>✓</w:t>
      </w:r>
      <w:r w:rsidR="00545169" w:rsidRPr="00045936">
        <w:rPr>
          <w:vertAlign w:val="superscript"/>
        </w:rPr>
        <w:t xml:space="preserve">® </w:t>
      </w:r>
      <w:r w:rsidR="00545169" w:rsidRPr="00045936">
        <w:t>teams</w:t>
      </w:r>
      <w:r w:rsidR="007D5FF2">
        <w:t xml:space="preserve"> are committed</w:t>
      </w:r>
      <w:r w:rsidR="00545169" w:rsidRPr="00045936">
        <w:t xml:space="preserve"> to support</w:t>
      </w:r>
      <w:r w:rsidR="007D5FF2">
        <w:t>ing</w:t>
      </w:r>
      <w:r w:rsidR="00545169" w:rsidRPr="00045936">
        <w:t xml:space="preserve"> </w:t>
      </w:r>
      <w:r w:rsidR="007D5FF2">
        <w:t xml:space="preserve">a </w:t>
      </w:r>
      <w:r w:rsidR="00545169" w:rsidRPr="00045936">
        <w:t xml:space="preserve">high-level of customer satisfaction </w:t>
      </w:r>
      <w:r w:rsidR="0030617C" w:rsidRPr="00045936">
        <w:t xml:space="preserve">with </w:t>
      </w:r>
      <w:r w:rsidR="002C5916" w:rsidRPr="00045936">
        <w:t>the security chec</w:t>
      </w:r>
      <w:r w:rsidR="0030617C" w:rsidRPr="00045936">
        <w:t>k</w:t>
      </w:r>
      <w:r w:rsidR="002C5916" w:rsidRPr="00045936">
        <w:t xml:space="preserve">point process. This </w:t>
      </w:r>
      <w:r w:rsidR="007D5FF2">
        <w:t xml:space="preserve">survey supports these efforts and also replies to </w:t>
      </w:r>
      <w:r w:rsidR="00545169" w:rsidRPr="00045936">
        <w:t>Mandates from OMB Circular A-11</w:t>
      </w:r>
      <w:r w:rsidR="002C3E4C" w:rsidRPr="00045936">
        <w:t xml:space="preserve"> and</w:t>
      </w:r>
      <w:r w:rsidR="00545169" w:rsidRPr="00045936">
        <w:t xml:space="preserve"> deadlines from the FAA Reauthorization Act of 2018</w:t>
      </w:r>
      <w:r w:rsidR="002C3E4C" w:rsidRPr="00045936">
        <w:t>.</w:t>
      </w:r>
      <w:r w:rsidR="00545169" w:rsidRPr="00045936">
        <w:t xml:space="preserve"> </w:t>
      </w:r>
      <w:r w:rsidR="007D5FF2">
        <w:t xml:space="preserve"> TSA expects these s</w:t>
      </w:r>
      <w:r w:rsidR="00545169" w:rsidRPr="00045936">
        <w:t xml:space="preserve">urveys will uncover dynamics that impact </w:t>
      </w:r>
      <w:r w:rsidR="006828AE" w:rsidRPr="00045936">
        <w:t xml:space="preserve">passengers’ </w:t>
      </w:r>
      <w:r w:rsidR="00545169" w:rsidRPr="00045936">
        <w:t>experience</w:t>
      </w:r>
      <w:r w:rsidR="006828AE" w:rsidRPr="00045936">
        <w:t>s, allowing</w:t>
      </w:r>
      <w:r w:rsidR="00545169" w:rsidRPr="00045936">
        <w:t xml:space="preserve"> TSA to pinpoint </w:t>
      </w:r>
      <w:r w:rsidR="0052119F" w:rsidRPr="00045936">
        <w:t>areas of improvement</w:t>
      </w:r>
      <w:r w:rsidR="00AC339D" w:rsidRPr="00045936">
        <w:t xml:space="preserve"> </w:t>
      </w:r>
      <w:r w:rsidR="00545169" w:rsidRPr="00045936">
        <w:t>and make tactical adjustments (e.g.</w:t>
      </w:r>
      <w:r w:rsidR="001E6674" w:rsidRPr="00045936">
        <w:t>,</w:t>
      </w:r>
      <w:r w:rsidR="00545169" w:rsidRPr="00045936">
        <w:t xml:space="preserve"> enhance targeted marketing). </w:t>
      </w:r>
      <w:r w:rsidR="002C5916" w:rsidRPr="00045936">
        <w:t>Passengers who have gone through the checkpoint experience will be asked their opinions related to satisfaction, confidence, quality, ease of use, transparency, employee interaction</w:t>
      </w:r>
      <w:r w:rsidR="009875A6">
        <w:t>,</w:t>
      </w:r>
      <w:r w:rsidR="002C5916" w:rsidRPr="00045936">
        <w:t xml:space="preserve"> and their decisions related to enrolling in TSA Pre</w:t>
      </w:r>
      <w:r w:rsidR="002C5916" w:rsidRPr="00045936">
        <w:rPr>
          <w:rFonts w:ascii="Segoe UI Symbol" w:hAnsi="Segoe UI Symbol" w:cs="Segoe UI Symbol"/>
        </w:rPr>
        <w:t>✓</w:t>
      </w:r>
      <w:r w:rsidR="002C5916" w:rsidRPr="00045936">
        <w:t xml:space="preserve">®. </w:t>
      </w:r>
    </w:p>
    <w:p w14:paraId="4DFDD2E1" w14:textId="77777777" w:rsidR="00293708" w:rsidRPr="00045936" w:rsidRDefault="00293708" w:rsidP="00293708"/>
    <w:p w14:paraId="1D8FDD9A" w14:textId="04A2BBCC" w:rsidR="00F15956" w:rsidRPr="002C5916" w:rsidRDefault="00434E33" w:rsidP="0072266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  <w:r w:rsidR="002C5916" w:rsidRPr="00045936">
        <w:t xml:space="preserve">The respondents include passengers who have gone through checkpoint </w:t>
      </w:r>
      <w:r w:rsidR="006828AE" w:rsidRPr="00045936">
        <w:t xml:space="preserve">screening </w:t>
      </w:r>
      <w:r w:rsidR="002C5916" w:rsidRPr="00045936">
        <w:t>using either the standard or TSA Pre</w:t>
      </w:r>
      <w:r w:rsidR="002C5916" w:rsidRPr="00045936">
        <w:rPr>
          <w:rFonts w:ascii="Segoe UI Symbol" w:hAnsi="Segoe UI Symbol" w:cs="Segoe UI Symbol"/>
        </w:rPr>
        <w:t>✓</w:t>
      </w:r>
      <w:r w:rsidR="002C5916" w:rsidRPr="00045936">
        <w:t>® lanes</w:t>
      </w:r>
      <w:r w:rsidR="00C75D11" w:rsidRPr="00045936">
        <w:t>.</w:t>
      </w:r>
    </w:p>
    <w:p w14:paraId="33352AF2" w14:textId="77777777" w:rsidR="00E26329" w:rsidRPr="00045936" w:rsidRDefault="00E26329"/>
    <w:p w14:paraId="19BD632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1909AF8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395D57C" w14:textId="42560B06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9A06C6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D153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</w:p>
    <w:p w14:paraId="562BFB7E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9A06C6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</w:t>
      </w:r>
      <w:r w:rsidR="009A4473">
        <w:rPr>
          <w:bCs/>
          <w:sz w:val="24"/>
        </w:rPr>
        <w:t xml:space="preserve">such as </w:t>
      </w:r>
      <w:r w:rsidR="009239AA">
        <w:rPr>
          <w:bCs/>
          <w:sz w:val="24"/>
        </w:rPr>
        <w:t>Website or Software</w:t>
      </w:r>
      <w:r w:rsidR="009A4473">
        <w:rPr>
          <w:bCs/>
          <w:sz w:val="24"/>
        </w:rPr>
        <w:t>)</w:t>
      </w:r>
      <w:r w:rsidR="00F06866">
        <w:rPr>
          <w:bCs/>
          <w:sz w:val="24"/>
        </w:rPr>
        <w:tab/>
        <w:t xml:space="preserve">[ </w:t>
      </w:r>
      <w:r w:rsidR="009A06C6">
        <w:rPr>
          <w:bCs/>
          <w:sz w:val="24"/>
        </w:rPr>
        <w:t xml:space="preserve"> </w:t>
      </w:r>
      <w:r w:rsidR="00F06866">
        <w:rPr>
          <w:bCs/>
          <w:sz w:val="24"/>
        </w:rPr>
        <w:t>] Small Discussion Group</w:t>
      </w:r>
    </w:p>
    <w:p w14:paraId="705BFDF1" w14:textId="09E81340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A06C6">
        <w:rPr>
          <w:bCs/>
          <w:sz w:val="24"/>
        </w:rPr>
        <w:t xml:space="preserve"> 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9A06C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>______________________</w:t>
      </w:r>
      <w:r w:rsidR="00F06866">
        <w:rPr>
          <w:bCs/>
          <w:sz w:val="24"/>
          <w:u w:val="single"/>
        </w:rPr>
        <w:tab/>
      </w:r>
    </w:p>
    <w:p w14:paraId="1429F958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294F62F0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65934CFA" w14:textId="77777777" w:rsidR="00441434" w:rsidRPr="00045936" w:rsidRDefault="00441434"/>
    <w:p w14:paraId="5EFD1113" w14:textId="008DD04E" w:rsidR="008101A5" w:rsidRPr="009C13B9" w:rsidRDefault="008101A5" w:rsidP="008101A5">
      <w:r>
        <w:t>I certify the following to be true:</w:t>
      </w:r>
    </w:p>
    <w:p w14:paraId="2D84E237" w14:textId="1BEA6BB2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</w:p>
    <w:p w14:paraId="5DE7296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82D2573" w14:textId="106596D3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045936">
        <w:rPr>
          <w:u w:val="single"/>
        </w:rPr>
        <w:t>not</w:t>
      </w:r>
      <w:r w:rsidRPr="00C14CC4">
        <w:t xml:space="preserve"> raise issues of concern to other </w:t>
      </w:r>
      <w:r w:rsidR="006828AE">
        <w:t>F</w:t>
      </w:r>
      <w:r w:rsidRPr="00C14CC4">
        <w:t>ederal agencies</w:t>
      </w:r>
      <w:r>
        <w:t>.</w:t>
      </w:r>
    </w:p>
    <w:p w14:paraId="47026101" w14:textId="3E8AEB75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 w:rsidRPr="00045936">
        <w:rPr>
          <w:u w:val="single"/>
        </w:rPr>
        <w:t>no</w:t>
      </w:r>
      <w:r>
        <w:rPr>
          <w:u w:val="single"/>
        </w:rPr>
        <w:t>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</w:p>
    <w:p w14:paraId="41502DFE" w14:textId="71D73443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045936">
        <w:rPr>
          <w:u w:val="single"/>
        </w:rPr>
        <w:t>substantially</w:t>
      </w:r>
      <w:r>
        <w:t xml:space="preserve"> informing </w:t>
      </w:r>
      <w:r w:rsidRPr="00045936">
        <w:rPr>
          <w:u w:val="single"/>
        </w:rPr>
        <w:t>influential</w:t>
      </w:r>
      <w:r w:rsidRPr="00E854FE">
        <w:rPr>
          <w:u w:val="single"/>
        </w:rPr>
        <w:t xml:space="preserve"> </w:t>
      </w:r>
      <w:r>
        <w:t>policy decisions.</w:t>
      </w:r>
    </w:p>
    <w:p w14:paraId="3C013FD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16FA06E6" w14:textId="788855E5" w:rsidR="009C13B9" w:rsidRDefault="009C13B9" w:rsidP="009C13B9"/>
    <w:p w14:paraId="21543CE3" w14:textId="560CEDAE" w:rsidR="009875A6" w:rsidRDefault="009875A6" w:rsidP="009C13B9"/>
    <w:p w14:paraId="49070D8B" w14:textId="354EE0A4" w:rsidR="009875A6" w:rsidRDefault="009875A6" w:rsidP="009C13B9"/>
    <w:p w14:paraId="2E0CC1BB" w14:textId="77777777" w:rsidR="009875A6" w:rsidRDefault="009875A6" w:rsidP="009C13B9"/>
    <w:p w14:paraId="793205E7" w14:textId="14535C34" w:rsidR="00825B45" w:rsidRDefault="009C13B9" w:rsidP="009C13B9">
      <w:r>
        <w:t>Name</w:t>
      </w:r>
      <w:r w:rsidR="00825B45">
        <w:t xml:space="preserve">: </w:t>
      </w:r>
      <w:r w:rsidR="006F5118" w:rsidRPr="006F5118">
        <w:rPr>
          <w:rFonts w:ascii="Segoe Script" w:hAnsi="Segoe Script"/>
          <w:i/>
          <w:u w:val="single"/>
        </w:rPr>
        <w:t>Michelle Cartagena</w:t>
      </w:r>
    </w:p>
    <w:p w14:paraId="4D6511A5" w14:textId="141EA5F0" w:rsidR="00825B45" w:rsidRDefault="00825B45" w:rsidP="00825B45">
      <w:pPr>
        <w:ind w:firstLine="720"/>
      </w:pPr>
      <w:r>
        <w:t xml:space="preserve">Michelle Cartagena </w:t>
      </w:r>
    </w:p>
    <w:p w14:paraId="44FA047B" w14:textId="2A4BCC98" w:rsidR="00825B45" w:rsidRDefault="00825B45" w:rsidP="00825B45">
      <w:pPr>
        <w:ind w:firstLine="720"/>
      </w:pPr>
      <w:r>
        <w:t>Branch Manager, Customer Service Branch</w:t>
      </w:r>
    </w:p>
    <w:p w14:paraId="3D6A2019" w14:textId="4F36BEED" w:rsidR="00825B45" w:rsidRDefault="00825B45" w:rsidP="00825B45">
      <w:pPr>
        <w:ind w:firstLine="720"/>
      </w:pPr>
      <w:r>
        <w:t>Civil Rights &amp; Liberties, Ombudsman, and Travel Engagement</w:t>
      </w:r>
    </w:p>
    <w:p w14:paraId="10E77475" w14:textId="4A088521" w:rsidR="009C13B9" w:rsidRDefault="00825B45" w:rsidP="00825B45">
      <w:pPr>
        <w:ind w:firstLine="720"/>
      </w:pPr>
      <w:r>
        <w:t>TSA</w:t>
      </w:r>
    </w:p>
    <w:p w14:paraId="1A6B6A3F" w14:textId="77777777" w:rsidR="009C13B9" w:rsidRDefault="009C13B9" w:rsidP="009C13B9">
      <w:pPr>
        <w:pStyle w:val="ListParagraph"/>
        <w:ind w:left="360"/>
      </w:pPr>
    </w:p>
    <w:p w14:paraId="71C71D1B" w14:textId="77777777" w:rsidR="00646492" w:rsidRDefault="00646492">
      <w:r>
        <w:br w:type="page"/>
      </w:r>
    </w:p>
    <w:p w14:paraId="25D7C024" w14:textId="08FD2027" w:rsidR="009C13B9" w:rsidRDefault="009C13B9" w:rsidP="009C13B9">
      <w:r>
        <w:lastRenderedPageBreak/>
        <w:t>To assist review, please provide answers to the following question:</w:t>
      </w:r>
    </w:p>
    <w:p w14:paraId="60F2E2F8" w14:textId="77777777" w:rsidR="009C13B9" w:rsidRDefault="009C13B9" w:rsidP="009C13B9">
      <w:pPr>
        <w:pStyle w:val="ListParagraph"/>
        <w:ind w:left="360"/>
      </w:pPr>
    </w:p>
    <w:p w14:paraId="60FA1F48" w14:textId="77777777" w:rsidR="009C13B9" w:rsidRPr="00C86E91" w:rsidRDefault="00C86E91" w:rsidP="00045936">
      <w:pPr>
        <w:keepNext/>
        <w:rPr>
          <w:b/>
        </w:rPr>
      </w:pPr>
      <w:r w:rsidRPr="00C86E91">
        <w:rPr>
          <w:b/>
        </w:rPr>
        <w:t>Personally Identifiable Information:</w:t>
      </w:r>
    </w:p>
    <w:p w14:paraId="768EE92A" w14:textId="15C3650E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CD0196">
        <w:t xml:space="preserve"> </w:t>
      </w:r>
      <w:r w:rsidR="009239AA">
        <w:t>] Yes  [</w:t>
      </w:r>
      <w:r w:rsidR="00AD1532">
        <w:t>X</w:t>
      </w:r>
      <w:r w:rsidR="009239AA">
        <w:t>] No</w:t>
      </w:r>
    </w:p>
    <w:p w14:paraId="6393F28E" w14:textId="6CC2087C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1502C7">
        <w:t xml:space="preserve">  </w:t>
      </w:r>
      <w:r w:rsidR="009239AA">
        <w:t>] No</w:t>
      </w:r>
    </w:p>
    <w:p w14:paraId="3DCD2CFE" w14:textId="69987F26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293708">
        <w:t xml:space="preserve">  </w:t>
      </w:r>
      <w:r>
        <w:t>] No</w:t>
      </w:r>
    </w:p>
    <w:p w14:paraId="0343EC56" w14:textId="77777777" w:rsidR="00794B46" w:rsidRPr="00045936" w:rsidRDefault="00794B46" w:rsidP="00C86E91">
      <w:pPr>
        <w:pStyle w:val="ListParagraph"/>
        <w:ind w:left="0"/>
      </w:pPr>
    </w:p>
    <w:p w14:paraId="5FCE4D79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09EC7A01" w14:textId="1E875DAC" w:rsidR="004D6E14" w:rsidRPr="00045936" w:rsidRDefault="00C86E91">
      <w:r>
        <w:t>Is an incentive (</w:t>
      </w:r>
      <w:r w:rsidR="009A4473">
        <w:t xml:space="preserve">such as </w:t>
      </w:r>
      <w:r>
        <w:t>money or reimbursement of expenses, token of appreciation) provided to participants?  [  ] Yes [</w:t>
      </w:r>
      <w:r w:rsidR="00AD1532">
        <w:t>X</w:t>
      </w:r>
      <w:r>
        <w:t>] No</w:t>
      </w:r>
    </w:p>
    <w:p w14:paraId="5011234C" w14:textId="77777777" w:rsidR="00C86E91" w:rsidRPr="00045936" w:rsidRDefault="00C86E91"/>
    <w:p w14:paraId="3C83F785" w14:textId="0CC2F74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</w:p>
    <w:p w14:paraId="2DBB8C26" w14:textId="77777777" w:rsidR="006832D9" w:rsidRPr="00045936" w:rsidRDefault="006832D9" w:rsidP="00F3170F">
      <w:pPr>
        <w:keepNext/>
        <w:keepLines/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721"/>
        <w:gridCol w:w="2306"/>
        <w:gridCol w:w="2260"/>
        <w:gridCol w:w="1289"/>
      </w:tblGrid>
      <w:tr w:rsidR="00EF2095" w14:paraId="256534D0" w14:textId="77777777" w:rsidTr="00AD1532">
        <w:trPr>
          <w:trHeight w:val="321"/>
        </w:trPr>
        <w:tc>
          <w:tcPr>
            <w:tcW w:w="1943" w:type="pct"/>
          </w:tcPr>
          <w:p w14:paraId="0EFC57B0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204" w:type="pct"/>
          </w:tcPr>
          <w:p w14:paraId="01BCB22A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180" w:type="pct"/>
          </w:tcPr>
          <w:p w14:paraId="3F0BA3B7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673" w:type="pct"/>
          </w:tcPr>
          <w:p w14:paraId="3C946EA3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11ACCDA1" w14:textId="77777777" w:rsidTr="00AD1532">
        <w:trPr>
          <w:trHeight w:val="321"/>
        </w:trPr>
        <w:tc>
          <w:tcPr>
            <w:tcW w:w="1943" w:type="pct"/>
          </w:tcPr>
          <w:p w14:paraId="36A7E1FC" w14:textId="77777777" w:rsidR="006832D9" w:rsidRDefault="00AD1532" w:rsidP="00843796">
            <w:r>
              <w:t>Traveling Public</w:t>
            </w:r>
          </w:p>
        </w:tc>
        <w:tc>
          <w:tcPr>
            <w:tcW w:w="1204" w:type="pct"/>
          </w:tcPr>
          <w:p w14:paraId="619552E4" w14:textId="77777777" w:rsidR="006832D9" w:rsidRDefault="00AD1532" w:rsidP="00005BBC">
            <w:r>
              <w:t>5,500</w:t>
            </w:r>
            <w:r w:rsidR="00293708">
              <w:t xml:space="preserve"> </w:t>
            </w:r>
          </w:p>
        </w:tc>
        <w:tc>
          <w:tcPr>
            <w:tcW w:w="1180" w:type="pct"/>
          </w:tcPr>
          <w:p w14:paraId="3899E692" w14:textId="3C8716D9" w:rsidR="00AD1532" w:rsidRDefault="00AD1532" w:rsidP="00843796">
            <w:r>
              <w:t>0.0</w:t>
            </w:r>
            <w:r w:rsidR="00530EEF">
              <w:t>8</w:t>
            </w:r>
            <w:r>
              <w:t xml:space="preserve"> hrs</w:t>
            </w:r>
            <w:r w:rsidR="00293708">
              <w:t xml:space="preserve"> </w:t>
            </w:r>
          </w:p>
          <w:p w14:paraId="032F3E8B" w14:textId="258459D3" w:rsidR="006832D9" w:rsidRDefault="00AD1532" w:rsidP="00843796">
            <w:r>
              <w:t>(</w:t>
            </w:r>
            <w:r w:rsidR="00530EEF">
              <w:t>5</w:t>
            </w:r>
            <w:r>
              <w:t xml:space="preserve"> minutes)</w:t>
            </w:r>
          </w:p>
        </w:tc>
        <w:tc>
          <w:tcPr>
            <w:tcW w:w="673" w:type="pct"/>
          </w:tcPr>
          <w:p w14:paraId="467F0342" w14:textId="51562F0B" w:rsidR="006832D9" w:rsidRDefault="00530EEF" w:rsidP="00005BBC">
            <w:r>
              <w:t>458.33</w:t>
            </w:r>
            <w:r w:rsidR="00AD1532">
              <w:t xml:space="preserve"> hrs</w:t>
            </w:r>
          </w:p>
        </w:tc>
      </w:tr>
      <w:tr w:rsidR="00AD1532" w14:paraId="1A128DD9" w14:textId="77777777" w:rsidTr="00AD1532">
        <w:trPr>
          <w:trHeight w:val="321"/>
        </w:trPr>
        <w:tc>
          <w:tcPr>
            <w:tcW w:w="1943" w:type="pct"/>
          </w:tcPr>
          <w:p w14:paraId="2D594B04" w14:textId="77777777" w:rsidR="00AD1532" w:rsidRDefault="00AD1532" w:rsidP="00AD1532">
            <w:r>
              <w:rPr>
                <w:b/>
              </w:rPr>
              <w:t>Totals</w:t>
            </w:r>
          </w:p>
        </w:tc>
        <w:tc>
          <w:tcPr>
            <w:tcW w:w="1204" w:type="pct"/>
          </w:tcPr>
          <w:p w14:paraId="559FB4C4" w14:textId="77777777" w:rsidR="00AD1532" w:rsidRDefault="00AD1532" w:rsidP="00AD1532">
            <w:r>
              <w:t xml:space="preserve">5,500 </w:t>
            </w:r>
          </w:p>
        </w:tc>
        <w:tc>
          <w:tcPr>
            <w:tcW w:w="1180" w:type="pct"/>
          </w:tcPr>
          <w:p w14:paraId="6AE694A6" w14:textId="72579A53" w:rsidR="00AD1532" w:rsidRDefault="00AD1532" w:rsidP="00AD1532">
            <w:r>
              <w:t>0.0</w:t>
            </w:r>
            <w:r w:rsidR="00530EEF">
              <w:t>8</w:t>
            </w:r>
            <w:r>
              <w:t xml:space="preserve"> hrs </w:t>
            </w:r>
          </w:p>
          <w:p w14:paraId="2AE18F27" w14:textId="25C8607C" w:rsidR="00AD1532" w:rsidRDefault="00AD1532" w:rsidP="00AD1532">
            <w:r>
              <w:t>(</w:t>
            </w:r>
            <w:r w:rsidR="00530EEF">
              <w:t>5</w:t>
            </w:r>
            <w:r>
              <w:t xml:space="preserve"> minutes)</w:t>
            </w:r>
          </w:p>
        </w:tc>
        <w:tc>
          <w:tcPr>
            <w:tcW w:w="673" w:type="pct"/>
          </w:tcPr>
          <w:p w14:paraId="2A3DA5E8" w14:textId="555B5528" w:rsidR="00AD1532" w:rsidRDefault="00530EEF" w:rsidP="00AD1532">
            <w:r>
              <w:t>458.33</w:t>
            </w:r>
            <w:r w:rsidR="00AD1532">
              <w:t xml:space="preserve"> hrs</w:t>
            </w:r>
          </w:p>
        </w:tc>
      </w:tr>
    </w:tbl>
    <w:p w14:paraId="54D88C22" w14:textId="77777777" w:rsidR="00F3170F" w:rsidRDefault="00F3170F" w:rsidP="00F3170F"/>
    <w:p w14:paraId="1284C713" w14:textId="6CF3D6EC" w:rsidR="00AD1532" w:rsidRDefault="00AD1532" w:rsidP="00AD1532">
      <w:r>
        <w:t>TSA estimates the hour burden cost to the general public by multiplying the hour burden times the fully loaded hourly compensation wage for the traveling public. TSA uses a fully loaded compensation wage of $35.64</w:t>
      </w:r>
      <w:r>
        <w:rPr>
          <w:rStyle w:val="FootnoteReference"/>
        </w:rPr>
        <w:footnoteReference w:id="2"/>
      </w:r>
      <w:r>
        <w:t xml:space="preserve"> to represent the general public for purposes of this ICR. TSA estimates an annual hour burden cost of $</w:t>
      </w:r>
      <w:r w:rsidR="00530EEF">
        <w:t>16,335</w:t>
      </w:r>
      <w:r>
        <w:t>.00 to the general public for purposes of this ICR (</w:t>
      </w:r>
      <w:r w:rsidR="00530EEF">
        <w:t>458</w:t>
      </w:r>
      <w:r>
        <w:t>.33 hours x $35.64 compensation wage).</w:t>
      </w:r>
    </w:p>
    <w:p w14:paraId="0AD5EBC3" w14:textId="77777777" w:rsidR="00441434" w:rsidRDefault="00441434" w:rsidP="00F3170F"/>
    <w:p w14:paraId="4BC252BC" w14:textId="2360936A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 w:rsidRPr="00045936">
        <w:t xml:space="preserve"> </w:t>
      </w:r>
      <w:r w:rsidR="00C86E91">
        <w:t xml:space="preserve">The estimated annual cost to the Federal </w:t>
      </w:r>
      <w:r w:rsidR="009875A6">
        <w:t>G</w:t>
      </w:r>
      <w:r w:rsidR="00C86E91">
        <w:t>overnment is</w:t>
      </w:r>
      <w:r w:rsidR="003E726E">
        <w:t xml:space="preserve">: </w:t>
      </w:r>
      <w:r w:rsidR="003E726E" w:rsidRPr="00045936">
        <w:t>$</w:t>
      </w:r>
      <w:r w:rsidR="00961111" w:rsidRPr="00045936">
        <w:t>368,056.62</w:t>
      </w:r>
      <w:r w:rsidR="009875A6">
        <w:t>.</w:t>
      </w:r>
    </w:p>
    <w:p w14:paraId="78ECC74B" w14:textId="77777777" w:rsidR="00AD1532" w:rsidRPr="00045936" w:rsidRDefault="00AD1532"/>
    <w:p w14:paraId="2EA66FA6" w14:textId="702A24AF" w:rsidR="00AD1532" w:rsidRPr="00E42224" w:rsidRDefault="00AD1532" w:rsidP="00AD1532">
      <w:r>
        <w:t>TSA estimates the annual cost to the Federal Government by summing the total a</w:t>
      </w:r>
      <w:r w:rsidR="00E8257C">
        <w:t>nnual contra</w:t>
      </w:r>
      <w:r w:rsidR="00E8257C" w:rsidRPr="00E42224">
        <w:t xml:space="preserve">ctual expenses for </w:t>
      </w:r>
      <w:r w:rsidR="00E42224" w:rsidRPr="00E42224">
        <w:t>11</w:t>
      </w:r>
      <w:r w:rsidR="00E8257C" w:rsidRPr="00E42224">
        <w:t xml:space="preserve"> </w:t>
      </w:r>
      <w:r w:rsidRPr="00E42224">
        <w:t>contractor</w:t>
      </w:r>
      <w:r w:rsidR="00E8257C" w:rsidRPr="00E42224">
        <w:t>s</w:t>
      </w:r>
      <w:r w:rsidRPr="00E42224">
        <w:t xml:space="preserve"> plus the hour burden cost for </w:t>
      </w:r>
      <w:r w:rsidR="00E8257C" w:rsidRPr="00E42224">
        <w:t>two (</w:t>
      </w:r>
      <w:r w:rsidRPr="00E42224">
        <w:t>2</w:t>
      </w:r>
      <w:r w:rsidR="00E8257C" w:rsidRPr="00E42224">
        <w:t>)</w:t>
      </w:r>
      <w:r w:rsidRPr="00E42224">
        <w:t xml:space="preserve"> TSA employees.</w:t>
      </w:r>
    </w:p>
    <w:p w14:paraId="42160042" w14:textId="77777777" w:rsidR="00AD1532" w:rsidRPr="00E42224" w:rsidRDefault="00AD1532" w:rsidP="00AD1532"/>
    <w:p w14:paraId="6114AC5B" w14:textId="716F82AE" w:rsidR="00AD1532" w:rsidRPr="00E42224" w:rsidRDefault="00AD1532" w:rsidP="00AD1532">
      <w:r w:rsidRPr="00E42224">
        <w:t xml:space="preserve">TSA estimates the total annual cost for survey administration for the contractor is </w:t>
      </w:r>
      <w:r w:rsidR="00E42224" w:rsidRPr="00E42224">
        <w:t>$314,466.00</w:t>
      </w:r>
      <w:r w:rsidRPr="00E42224">
        <w:t xml:space="preserve">. The total annual cost for survey analysis for the contractor is </w:t>
      </w:r>
      <w:r w:rsidR="00E42224" w:rsidRPr="00E42224">
        <w:t>$49,552.50</w:t>
      </w:r>
      <w:r w:rsidRPr="00E42224">
        <w:t>. TSA thus estimates an annual cost of $</w:t>
      </w:r>
      <w:r w:rsidR="00E42224" w:rsidRPr="00E42224">
        <w:t>364,018.50</w:t>
      </w:r>
      <w:r w:rsidR="00E8257C" w:rsidRPr="00E42224">
        <w:t xml:space="preserve"> </w:t>
      </w:r>
      <w:r w:rsidRPr="00E42224">
        <w:t>to the Federal Government for contracting expenses.</w:t>
      </w:r>
    </w:p>
    <w:p w14:paraId="71250ABA" w14:textId="77777777" w:rsidR="00AD1532" w:rsidRPr="00E42224" w:rsidRDefault="00AD1532" w:rsidP="00AD1532"/>
    <w:p w14:paraId="35198273" w14:textId="43CEA6E1" w:rsidR="00AD1532" w:rsidRPr="00E42224" w:rsidRDefault="00AD1532" w:rsidP="00AD1532">
      <w:r w:rsidRPr="00E42224">
        <w:t>TSA assumes a J-band employee will spend 27 hours annually to fulfill duties necessary to carry out the administration portion of this survey. TSA uses a fully loaded hourly compensation wage of $74.78 to represent the TSA employees. Based on this information, TSA estimates an annual hour burden cost of $4,038.12 for the TSA employees ($74.78 x 27 hours x 2 employees). TSA assumes the J-band employees will not participate in the survey analysis component of this ICR.</w:t>
      </w:r>
    </w:p>
    <w:p w14:paraId="2EAE3970" w14:textId="77777777" w:rsidR="00AD1532" w:rsidRPr="00E42224" w:rsidRDefault="00AD1532" w:rsidP="00AD1532"/>
    <w:p w14:paraId="28F0464B" w14:textId="261B6D06" w:rsidR="00AD1532" w:rsidRPr="009875A6" w:rsidRDefault="00AD1532" w:rsidP="00045936">
      <w:pPr>
        <w:keepNext/>
      </w:pPr>
      <w:r w:rsidRPr="00E42224">
        <w:lastRenderedPageBreak/>
        <w:t>TSA estimates a total annual cost of $</w:t>
      </w:r>
      <w:r w:rsidR="00E42224" w:rsidRPr="00E42224">
        <w:t>368,056.62</w:t>
      </w:r>
      <w:r w:rsidR="00E8257C" w:rsidRPr="00E42224">
        <w:t xml:space="preserve"> </w:t>
      </w:r>
      <w:r w:rsidRPr="00E42224">
        <w:t>to the Federal Government for this ICR ($</w:t>
      </w:r>
      <w:r w:rsidR="00E42224" w:rsidRPr="00E42224">
        <w:t>364,018.50</w:t>
      </w:r>
      <w:r w:rsidRPr="00E42224">
        <w:t xml:space="preserve"> contracting</w:t>
      </w:r>
      <w:r>
        <w:t xml:space="preserve"> expenses + $4,038.12 TSA employee burden).</w:t>
      </w:r>
    </w:p>
    <w:p w14:paraId="24C57DBE" w14:textId="77777777" w:rsidR="003E726E" w:rsidRPr="00045936" w:rsidRDefault="003E726E" w:rsidP="00045936">
      <w:pPr>
        <w:keepNext/>
      </w:pPr>
    </w:p>
    <w:tbl>
      <w:tblPr>
        <w:tblW w:w="94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35"/>
        <w:gridCol w:w="1710"/>
        <w:gridCol w:w="1620"/>
        <w:gridCol w:w="1786"/>
        <w:gridCol w:w="1832"/>
      </w:tblGrid>
      <w:tr w:rsidR="00121F52" w:rsidRPr="003E726E" w14:paraId="4DBB5842" w14:textId="77777777" w:rsidTr="00764DEB">
        <w:trPr>
          <w:trHeight w:val="96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5BB56" w14:textId="77777777" w:rsidR="00121F52" w:rsidRPr="00DB1DF0" w:rsidRDefault="00121F52" w:rsidP="00045936">
            <w:pPr>
              <w:keepNext/>
              <w:jc w:val="center"/>
              <w:rPr>
                <w:b/>
              </w:rPr>
            </w:pPr>
            <w:r w:rsidRPr="00DB1DF0">
              <w:rPr>
                <w:b/>
              </w:rPr>
              <w:t>TSA Position and Grade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0BFDE" w14:textId="77777777" w:rsidR="00121F52" w:rsidRPr="00DB1DF0" w:rsidRDefault="00121F52" w:rsidP="00045936">
            <w:pPr>
              <w:keepNext/>
              <w:jc w:val="center"/>
              <w:rPr>
                <w:b/>
              </w:rPr>
            </w:pPr>
            <w:r w:rsidRPr="00DB1DF0">
              <w:rPr>
                <w:b/>
              </w:rPr>
              <w:t>Average Hourly Loaded Rate of Pay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ED5128" w14:textId="77777777" w:rsidR="00121F52" w:rsidRPr="00DB1DF0" w:rsidRDefault="00121F52" w:rsidP="0004593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Estimated Number of Hours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4F5D7F" w14:textId="77777777" w:rsidR="00121F52" w:rsidRPr="00DB1DF0" w:rsidRDefault="00121F52" w:rsidP="00045936">
            <w:pPr>
              <w:keepNext/>
              <w:jc w:val="center"/>
              <w:rPr>
                <w:b/>
              </w:rPr>
            </w:pPr>
            <w:r w:rsidRPr="00DB1DF0">
              <w:rPr>
                <w:b/>
              </w:rPr>
              <w:t>Estimated Number of Annual Reviews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2B58A" w14:textId="77777777" w:rsidR="00121F52" w:rsidRPr="00DB1DF0" w:rsidRDefault="00121F52" w:rsidP="00045936">
            <w:pPr>
              <w:keepNext/>
              <w:jc w:val="center"/>
              <w:rPr>
                <w:b/>
              </w:rPr>
            </w:pPr>
            <w:r w:rsidRPr="00DB1DF0">
              <w:rPr>
                <w:b/>
              </w:rPr>
              <w:t>Estimated Annual Cost to the Federal Government</w:t>
            </w:r>
          </w:p>
        </w:tc>
      </w:tr>
      <w:tr w:rsidR="00121F52" w:rsidRPr="003E726E" w14:paraId="584D9812" w14:textId="77777777" w:rsidTr="00764DEB">
        <w:trPr>
          <w:trHeight w:val="64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5AFC0" w14:textId="77777777" w:rsidR="00121F52" w:rsidRPr="00DB1DF0" w:rsidRDefault="00764DEB" w:rsidP="00A9259F">
            <w:r>
              <w:t>J</w:t>
            </w:r>
            <w:r w:rsidR="00121F52">
              <w:t>-Band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40F12" w14:textId="20B5B74E" w:rsidR="00121F52" w:rsidRPr="00764DEB" w:rsidRDefault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$74.78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319D5" w14:textId="77777777" w:rsidR="00121F52" w:rsidRPr="00764DEB" w:rsidRDefault="00293708" w:rsidP="0096766A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 xml:space="preserve"> </w:t>
            </w:r>
            <w:r w:rsidR="00764DEB" w:rsidRPr="00764DEB">
              <w:rPr>
                <w:sz w:val="22"/>
                <w:szCs w:val="22"/>
              </w:rPr>
              <w:t>27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2B042" w14:textId="02236C26" w:rsidR="00121F52" w:rsidRPr="00764DEB" w:rsidRDefault="00E42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0B070" w14:textId="77777777" w:rsidR="00121F52" w:rsidRPr="00764DEB" w:rsidRDefault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$2,019.06</w:t>
            </w:r>
          </w:p>
        </w:tc>
      </w:tr>
      <w:tr w:rsidR="00764DEB" w:rsidRPr="003E726E" w14:paraId="1A9692DD" w14:textId="77777777" w:rsidTr="00764DEB">
        <w:trPr>
          <w:trHeight w:val="64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FCD25" w14:textId="77777777" w:rsidR="00764DEB" w:rsidRDefault="00764DEB" w:rsidP="00764DEB">
            <w:r>
              <w:t>J-Band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DDFC7" w14:textId="78AAA968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$74.78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EBF3E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 xml:space="preserve"> 27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B8139" w14:textId="70E9338C" w:rsidR="00764DEB" w:rsidRPr="00764DEB" w:rsidRDefault="00E42224" w:rsidP="00764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9170F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$2,019.06</w:t>
            </w:r>
          </w:p>
        </w:tc>
      </w:tr>
      <w:tr w:rsidR="00121F52" w:rsidRPr="003E726E" w14:paraId="046C8FFF" w14:textId="77777777" w:rsidTr="00764DEB">
        <w:trPr>
          <w:trHeight w:val="64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CD7CB" w14:textId="77777777" w:rsidR="005C6653" w:rsidRDefault="00121F52" w:rsidP="0096766A">
            <w:r>
              <w:t>Contractor/</w:t>
            </w:r>
          </w:p>
          <w:p w14:paraId="3F3F405E" w14:textId="77777777" w:rsidR="00121F52" w:rsidRPr="00DB1DF0" w:rsidRDefault="00764DEB" w:rsidP="0096766A">
            <w:r>
              <w:t>Surveyor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523C5" w14:textId="77777777" w:rsidR="00121F52" w:rsidRPr="00764DEB" w:rsidRDefault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$123.32</w:t>
            </w:r>
            <w:r w:rsidR="00293708" w:rsidRPr="00764D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A43AA" w14:textId="77777777" w:rsidR="00121F52" w:rsidRPr="00764DEB" w:rsidRDefault="00764DEB" w:rsidP="0096766A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255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2976B" w14:textId="77BA48CD" w:rsidR="00121F52" w:rsidRPr="00764DEB" w:rsidRDefault="00E42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7A25D" w14:textId="77777777" w:rsidR="00121F52" w:rsidRPr="00764DEB" w:rsidRDefault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$31,446.60</w:t>
            </w:r>
          </w:p>
        </w:tc>
      </w:tr>
      <w:tr w:rsidR="00764DEB" w:rsidRPr="003E726E" w14:paraId="5B4CFFC0" w14:textId="77777777" w:rsidTr="00764DEB">
        <w:trPr>
          <w:trHeight w:val="64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CE4AE" w14:textId="77777777" w:rsidR="00764DEB" w:rsidRDefault="00764DEB" w:rsidP="00764DEB">
            <w:r>
              <w:t>Contractor/</w:t>
            </w:r>
          </w:p>
          <w:p w14:paraId="5C3DC625" w14:textId="77777777" w:rsidR="00764DEB" w:rsidRDefault="00764DEB" w:rsidP="00764DEB">
            <w:r>
              <w:t>Surveyor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7589A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 xml:space="preserve">$123.32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ED9A5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255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076A4" w14:textId="0DEEEF77" w:rsidR="00764DEB" w:rsidRPr="00764DEB" w:rsidRDefault="00E42224" w:rsidP="00764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45A67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$31,446.60</w:t>
            </w:r>
          </w:p>
        </w:tc>
      </w:tr>
      <w:tr w:rsidR="00764DEB" w:rsidRPr="003E726E" w14:paraId="6376AF47" w14:textId="77777777" w:rsidTr="00764DEB">
        <w:trPr>
          <w:trHeight w:val="64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C5CE4" w14:textId="77777777" w:rsidR="00764DEB" w:rsidRDefault="00764DEB" w:rsidP="00764DEB">
            <w:r>
              <w:t>Contractor/</w:t>
            </w:r>
          </w:p>
          <w:p w14:paraId="73845F22" w14:textId="77777777" w:rsidR="00764DEB" w:rsidRDefault="00764DEB" w:rsidP="00764DEB">
            <w:r>
              <w:t>Surveyor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2800E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 xml:space="preserve">$123.32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777B8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255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8B77D" w14:textId="45DA9BE8" w:rsidR="00764DEB" w:rsidRPr="00764DEB" w:rsidRDefault="00E42224" w:rsidP="00764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43AF6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$31,446.60</w:t>
            </w:r>
          </w:p>
        </w:tc>
      </w:tr>
      <w:tr w:rsidR="00764DEB" w:rsidRPr="003E726E" w14:paraId="3D5CBC40" w14:textId="77777777" w:rsidTr="00764DEB">
        <w:trPr>
          <w:trHeight w:val="64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F34AC" w14:textId="77777777" w:rsidR="00764DEB" w:rsidRDefault="00764DEB" w:rsidP="00764DEB">
            <w:r>
              <w:t>Contractor/</w:t>
            </w:r>
          </w:p>
          <w:p w14:paraId="3D048A51" w14:textId="77777777" w:rsidR="00764DEB" w:rsidRDefault="00764DEB" w:rsidP="00764DEB">
            <w:r>
              <w:t>Surveyor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B2B7A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 xml:space="preserve">$123.32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FD04B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255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6B985" w14:textId="484899F8" w:rsidR="00764DEB" w:rsidRPr="00764DEB" w:rsidRDefault="00E42224" w:rsidP="00764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7E8D9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$31,446.60</w:t>
            </w:r>
          </w:p>
        </w:tc>
      </w:tr>
      <w:tr w:rsidR="00764DEB" w:rsidRPr="003E726E" w14:paraId="4D9B775E" w14:textId="77777777" w:rsidTr="00764DEB">
        <w:trPr>
          <w:trHeight w:val="64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EC0E9" w14:textId="77777777" w:rsidR="00764DEB" w:rsidRDefault="00764DEB" w:rsidP="00764DEB">
            <w:r>
              <w:t>Contractor/</w:t>
            </w:r>
          </w:p>
          <w:p w14:paraId="302B866F" w14:textId="77777777" w:rsidR="00764DEB" w:rsidRDefault="00764DEB" w:rsidP="00764DEB">
            <w:r>
              <w:t>Surveyor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1175C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 xml:space="preserve">$123.32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9DF64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255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BD74C" w14:textId="756CF52C" w:rsidR="00764DEB" w:rsidRPr="00764DEB" w:rsidRDefault="00E42224" w:rsidP="00764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F3B88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$31,446.60</w:t>
            </w:r>
          </w:p>
        </w:tc>
      </w:tr>
      <w:tr w:rsidR="00764DEB" w:rsidRPr="003E726E" w14:paraId="52BDA8E1" w14:textId="77777777" w:rsidTr="00764DEB">
        <w:trPr>
          <w:trHeight w:val="64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F3C5F" w14:textId="77777777" w:rsidR="00764DEB" w:rsidRDefault="00764DEB" w:rsidP="00764DEB">
            <w:r>
              <w:t>Contractor/</w:t>
            </w:r>
          </w:p>
          <w:p w14:paraId="74FBDF93" w14:textId="77777777" w:rsidR="00764DEB" w:rsidRDefault="00764DEB" w:rsidP="00764DEB">
            <w:r>
              <w:t>Surveyor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D0D26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 xml:space="preserve">$123.32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E69A8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255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83FCD" w14:textId="30EBF2E1" w:rsidR="00764DEB" w:rsidRPr="00764DEB" w:rsidRDefault="00E42224" w:rsidP="00764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47948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$31,446.60</w:t>
            </w:r>
          </w:p>
        </w:tc>
      </w:tr>
      <w:tr w:rsidR="00764DEB" w:rsidRPr="003E726E" w14:paraId="25355EC4" w14:textId="77777777" w:rsidTr="00764DEB">
        <w:trPr>
          <w:trHeight w:val="64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4A4E4" w14:textId="77777777" w:rsidR="00764DEB" w:rsidRDefault="00764DEB" w:rsidP="00764DEB">
            <w:r>
              <w:t>Contractor/</w:t>
            </w:r>
          </w:p>
          <w:p w14:paraId="3A36A0E9" w14:textId="77777777" w:rsidR="00764DEB" w:rsidRDefault="00764DEB" w:rsidP="00764DEB">
            <w:r>
              <w:t>Surveyor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7DB91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 xml:space="preserve">$123.32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F2A1B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255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F453E" w14:textId="39801FB9" w:rsidR="00764DEB" w:rsidRPr="00764DEB" w:rsidRDefault="00E42224" w:rsidP="00764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04A0A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$31,446.60</w:t>
            </w:r>
          </w:p>
        </w:tc>
      </w:tr>
      <w:tr w:rsidR="00764DEB" w:rsidRPr="003E726E" w14:paraId="0F4BDC52" w14:textId="77777777" w:rsidTr="00764DEB">
        <w:trPr>
          <w:trHeight w:val="64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145B8" w14:textId="77777777" w:rsidR="00764DEB" w:rsidRDefault="00764DEB" w:rsidP="00764DEB">
            <w:r>
              <w:t>Contractor/</w:t>
            </w:r>
          </w:p>
          <w:p w14:paraId="795C6660" w14:textId="77777777" w:rsidR="00764DEB" w:rsidRDefault="00764DEB" w:rsidP="00764DEB">
            <w:r>
              <w:t>Surveyor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07C77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 xml:space="preserve">$123.32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3CA5B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255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6D8D4" w14:textId="3F316E90" w:rsidR="00764DEB" w:rsidRPr="00764DEB" w:rsidRDefault="00E42224" w:rsidP="00764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919B4" w14:textId="77777777" w:rsidR="00764DEB" w:rsidRPr="00764DEB" w:rsidRDefault="00764DEB" w:rsidP="00764DEB">
            <w:pPr>
              <w:jc w:val="center"/>
              <w:rPr>
                <w:sz w:val="22"/>
                <w:szCs w:val="22"/>
              </w:rPr>
            </w:pPr>
            <w:r w:rsidRPr="00764DEB">
              <w:rPr>
                <w:sz w:val="22"/>
                <w:szCs w:val="22"/>
              </w:rPr>
              <w:t>$31,446.60</w:t>
            </w:r>
          </w:p>
        </w:tc>
      </w:tr>
      <w:tr w:rsidR="00764DEB" w:rsidRPr="003E726E" w14:paraId="06D9B737" w14:textId="77777777" w:rsidTr="00764DEB">
        <w:trPr>
          <w:trHeight w:val="64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FE5AA" w14:textId="77777777" w:rsidR="00764DEB" w:rsidRPr="00E42224" w:rsidRDefault="00764DEB" w:rsidP="00764DEB">
            <w:r w:rsidRPr="00E42224">
              <w:t>Contractor/</w:t>
            </w:r>
          </w:p>
          <w:p w14:paraId="502AAD95" w14:textId="77777777" w:rsidR="00764DEB" w:rsidRPr="00E42224" w:rsidRDefault="00764DEB" w:rsidP="00764DEB">
            <w:r w:rsidRPr="00E42224">
              <w:t>Surveyor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20CAA" w14:textId="77777777" w:rsidR="00764DEB" w:rsidRPr="00E42224" w:rsidRDefault="00764DEB" w:rsidP="00764DEB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 xml:space="preserve">$123.32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C9FF0" w14:textId="77777777" w:rsidR="00764DEB" w:rsidRPr="00E42224" w:rsidRDefault="00764DEB" w:rsidP="00764DEB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255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08D48" w14:textId="4A2514A7" w:rsidR="00764DEB" w:rsidRPr="00E42224" w:rsidRDefault="00E42224" w:rsidP="00764DEB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8EDDB" w14:textId="77777777" w:rsidR="00764DEB" w:rsidRPr="00E42224" w:rsidRDefault="00764DEB" w:rsidP="00764DEB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$31,446.60</w:t>
            </w:r>
          </w:p>
        </w:tc>
      </w:tr>
      <w:tr w:rsidR="00E42224" w:rsidRPr="003E726E" w14:paraId="79E84B32" w14:textId="77777777" w:rsidTr="00E42224">
        <w:trPr>
          <w:trHeight w:val="64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6657C" w14:textId="77777777" w:rsidR="00E42224" w:rsidRPr="00E42224" w:rsidRDefault="00E42224" w:rsidP="00E42224">
            <w:r w:rsidRPr="00E42224">
              <w:t>Contractor/</w:t>
            </w:r>
          </w:p>
          <w:p w14:paraId="32804234" w14:textId="77777777" w:rsidR="00E42224" w:rsidRPr="00E42224" w:rsidRDefault="00E42224" w:rsidP="00E42224">
            <w:r w:rsidRPr="00E42224">
              <w:t>Analyst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89DE7" w14:textId="33A074F2" w:rsidR="00E42224" w:rsidRPr="00E42224" w:rsidRDefault="00E42224" w:rsidP="00E42224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$198.21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E9F08" w14:textId="77777777" w:rsidR="00E42224" w:rsidRPr="00E42224" w:rsidRDefault="00E42224" w:rsidP="00E42224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250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7AFFA" w14:textId="77777777" w:rsidR="00E42224" w:rsidRPr="00E42224" w:rsidRDefault="00E42224" w:rsidP="00E42224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6DAE4" w14:textId="77777777" w:rsidR="00E42224" w:rsidRPr="00E42224" w:rsidRDefault="00E42224" w:rsidP="00E42224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$49,552.50</w:t>
            </w:r>
          </w:p>
        </w:tc>
      </w:tr>
      <w:tr w:rsidR="00E42224" w:rsidRPr="003E726E" w14:paraId="559D866C" w14:textId="77777777" w:rsidTr="00E42224">
        <w:trPr>
          <w:trHeight w:val="64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9AC6E" w14:textId="77777777" w:rsidR="00E42224" w:rsidRPr="00E42224" w:rsidRDefault="00E42224" w:rsidP="00E42224">
            <w:r w:rsidRPr="00E42224">
              <w:t>Contractor/</w:t>
            </w:r>
          </w:p>
          <w:p w14:paraId="2578EE20" w14:textId="77777777" w:rsidR="00E42224" w:rsidRPr="00E42224" w:rsidRDefault="00E42224" w:rsidP="00E42224">
            <w:r w:rsidRPr="00E42224">
              <w:t>Analyst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40643" w14:textId="3376FC73" w:rsidR="00E42224" w:rsidRPr="00E42224" w:rsidRDefault="00E42224" w:rsidP="00E42224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$198.21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0FA80" w14:textId="77777777" w:rsidR="00E42224" w:rsidRPr="00E42224" w:rsidRDefault="00E42224" w:rsidP="00E42224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250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6E940" w14:textId="77777777" w:rsidR="00E42224" w:rsidRPr="00E42224" w:rsidRDefault="00E42224" w:rsidP="00E42224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F138A" w14:textId="77777777" w:rsidR="00E42224" w:rsidRPr="00E42224" w:rsidRDefault="00E42224" w:rsidP="00E42224">
            <w:pPr>
              <w:jc w:val="center"/>
              <w:rPr>
                <w:sz w:val="22"/>
                <w:szCs w:val="22"/>
              </w:rPr>
            </w:pPr>
            <w:r w:rsidRPr="00E42224">
              <w:rPr>
                <w:sz w:val="22"/>
                <w:szCs w:val="22"/>
              </w:rPr>
              <w:t>$49,552.50</w:t>
            </w:r>
          </w:p>
        </w:tc>
      </w:tr>
      <w:tr w:rsidR="00E42224" w:rsidRPr="003E726E" w14:paraId="2BC9697B" w14:textId="77777777" w:rsidTr="00E42224">
        <w:trPr>
          <w:trHeight w:val="63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73ACFA7" w14:textId="77777777" w:rsidR="00E42224" w:rsidRPr="00E42224" w:rsidRDefault="00E42224" w:rsidP="00E42224"/>
        </w:tc>
        <w:tc>
          <w:tcPr>
            <w:tcW w:w="5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CFB28" w14:textId="77777777" w:rsidR="00E42224" w:rsidRPr="00E42224" w:rsidRDefault="00E42224" w:rsidP="00E42224">
            <w:r w:rsidRPr="00E42224">
              <w:t>Total Estimated Annual Cost to the Federal Government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BFDEE" w14:textId="57323736" w:rsidR="00E42224" w:rsidRPr="00E42224" w:rsidRDefault="00E42224" w:rsidP="00E42224">
            <w:pPr>
              <w:jc w:val="center"/>
              <w:rPr>
                <w:b/>
                <w:bCs/>
                <w:sz w:val="22"/>
                <w:szCs w:val="22"/>
              </w:rPr>
            </w:pPr>
            <w:r w:rsidRPr="00E42224">
              <w:rPr>
                <w:b/>
                <w:bCs/>
                <w:sz w:val="22"/>
                <w:szCs w:val="22"/>
              </w:rPr>
              <w:t>$368,056.62</w:t>
            </w:r>
          </w:p>
        </w:tc>
      </w:tr>
    </w:tbl>
    <w:p w14:paraId="02191EE9" w14:textId="77777777" w:rsidR="008A1C98" w:rsidRPr="00045936" w:rsidRDefault="008A1C98">
      <w:pPr>
        <w:rPr>
          <w:bCs/>
          <w:u w:val="single"/>
        </w:rPr>
      </w:pPr>
    </w:p>
    <w:p w14:paraId="2F9D70AE" w14:textId="77777777" w:rsidR="00646492" w:rsidRDefault="0064649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8C38BC4" w14:textId="53F315F0" w:rsidR="0069403B" w:rsidRDefault="00ED6492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20D59DBF" w14:textId="77777777" w:rsidR="0069403B" w:rsidRPr="00045936" w:rsidRDefault="0069403B" w:rsidP="00F06866"/>
    <w:p w14:paraId="3E117411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3E9E752F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E8257C">
        <w:t>[X</w:t>
      </w:r>
      <w:r>
        <w:t>] Yes</w:t>
      </w:r>
      <w:r>
        <w:tab/>
        <w:t>[</w:t>
      </w:r>
      <w:r w:rsidR="00293708">
        <w:t xml:space="preserve">  </w:t>
      </w:r>
      <w:r>
        <w:t>] No</w:t>
      </w:r>
    </w:p>
    <w:p w14:paraId="60027113" w14:textId="77777777" w:rsidR="00636621" w:rsidRDefault="00636621" w:rsidP="00636621">
      <w:pPr>
        <w:pStyle w:val="ListParagraph"/>
      </w:pPr>
    </w:p>
    <w:p w14:paraId="58B8E069" w14:textId="645F8FDE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>? 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4785F54F" w14:textId="77777777" w:rsidR="002D58CC" w:rsidRDefault="002D58CC" w:rsidP="002D58CC"/>
    <w:p w14:paraId="7920B761" w14:textId="03D1982E" w:rsidR="004010C9" w:rsidRPr="00045936" w:rsidRDefault="00C025E3" w:rsidP="004010C9">
      <w:r w:rsidRPr="00045936">
        <w:t xml:space="preserve">For purposes of this collection, </w:t>
      </w:r>
      <w:r w:rsidR="00E8257C" w:rsidRPr="00045936">
        <w:t>TSA’s potential group of survey respondents will consist of a sample of passengers (e.g. every 5th passenger) traversing the screening checkpoint at the airport who has gone through either the standard or TSA Pre</w:t>
      </w:r>
      <w:r w:rsidR="00E8257C" w:rsidRPr="00045936">
        <w:rPr>
          <w:rFonts w:ascii="Segoe UI Symbol" w:hAnsi="Segoe UI Symbol" w:cs="Segoe UI Symbol"/>
        </w:rPr>
        <w:t>✓</w:t>
      </w:r>
      <w:r w:rsidR="00E8257C" w:rsidRPr="00045936">
        <w:t xml:space="preserve">® screening lanes. TSA survey administrators will approach passengers after they have successfully cleared security and ask them if they would be willing to take a </w:t>
      </w:r>
      <w:r w:rsidR="00530EEF" w:rsidRPr="00045936">
        <w:t>5</w:t>
      </w:r>
      <w:r w:rsidR="00E8257C" w:rsidRPr="00045936">
        <w:t xml:space="preserve">-minute voluntary survey on a tablet. </w:t>
      </w:r>
      <w:r w:rsidR="006828AE" w:rsidRPr="00045936">
        <w:t>The passenger will have the option to complete the survey on the tablet or have the intervi</w:t>
      </w:r>
      <w:r w:rsidR="00EF2C1A" w:rsidRPr="00045936">
        <w:t>ewer read the questions and capture their answers.</w:t>
      </w:r>
    </w:p>
    <w:p w14:paraId="772802B7" w14:textId="77777777" w:rsidR="004D6E14" w:rsidRPr="00045936" w:rsidRDefault="004D6E14" w:rsidP="00A403BB"/>
    <w:p w14:paraId="54FD17B2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0C82F331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16B84504" w14:textId="4B5FD8FD" w:rsidR="001B0AAA" w:rsidRDefault="002D58CC" w:rsidP="001B0AAA">
      <w:pPr>
        <w:ind w:left="720"/>
      </w:pPr>
      <w:r>
        <w:t>[</w:t>
      </w:r>
      <w:r w:rsidR="00293708">
        <w:t xml:space="preserve">  </w:t>
      </w:r>
      <w:r w:rsidR="00A403BB">
        <w:t>] Web-based</w:t>
      </w:r>
      <w:r w:rsidR="001B0AAA">
        <w:t xml:space="preserve"> or other forms of Social Media</w:t>
      </w:r>
    </w:p>
    <w:p w14:paraId="363C765B" w14:textId="282FFACD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</w:p>
    <w:p w14:paraId="48955AF9" w14:textId="7E6FE0A9" w:rsidR="001B0AAA" w:rsidRDefault="00A403BB" w:rsidP="001B0AAA">
      <w:pPr>
        <w:ind w:left="720"/>
      </w:pPr>
      <w:r>
        <w:t>[</w:t>
      </w:r>
      <w:r w:rsidR="00E8257C">
        <w:t>X</w:t>
      </w:r>
      <w:r>
        <w:t>] In-person</w:t>
      </w:r>
    </w:p>
    <w:p w14:paraId="24CFDB19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55152359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26FA024C" w14:textId="77777777" w:rsidR="002D58CC" w:rsidRDefault="002D58CC" w:rsidP="004010C9"/>
    <w:p w14:paraId="6036E5D7" w14:textId="4C0FD161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</w:t>
      </w:r>
      <w:r w:rsidR="00E8257C">
        <w:t>cilitators be used?  [X</w:t>
      </w:r>
      <w:r w:rsidR="002D58CC">
        <w:t xml:space="preserve">] Yes </w:t>
      </w:r>
      <w:r w:rsidR="00646492">
        <w:t xml:space="preserve"> </w:t>
      </w:r>
      <w:r w:rsidR="002D58CC">
        <w:t xml:space="preserve">[ </w:t>
      </w:r>
      <w:r w:rsidR="00293708">
        <w:t xml:space="preserve"> </w:t>
      </w:r>
      <w:r>
        <w:t>] No</w:t>
      </w:r>
    </w:p>
    <w:p w14:paraId="351C46D7" w14:textId="6193CF62" w:rsidR="00F24CFC" w:rsidRDefault="00F24CFC" w:rsidP="00F24CFC">
      <w:pPr>
        <w:pStyle w:val="ListParagraph"/>
        <w:ind w:left="360"/>
      </w:pPr>
    </w:p>
    <w:p w14:paraId="18D688DD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794D4931" w14:textId="77777777" w:rsidR="005E714A" w:rsidRDefault="005E714A" w:rsidP="006068CD"/>
    <w:sectPr w:rsidR="005E714A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197955" w16cid:durableId="2028C29D"/>
  <w16cid:commentId w16cid:paraId="34509C0E" w16cid:durableId="2028C29E"/>
  <w16cid:commentId w16cid:paraId="35995163" w16cid:durableId="2028C3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E4F73" w14:textId="77777777" w:rsidR="00DB26BB" w:rsidRDefault="00DB26BB">
      <w:r>
        <w:separator/>
      </w:r>
    </w:p>
  </w:endnote>
  <w:endnote w:type="continuationSeparator" w:id="0">
    <w:p w14:paraId="2A23E7E8" w14:textId="77777777" w:rsidR="00DB26BB" w:rsidRDefault="00DB26BB">
      <w:r>
        <w:continuationSeparator/>
      </w:r>
    </w:p>
  </w:endnote>
  <w:endnote w:type="continuationNotice" w:id="1">
    <w:p w14:paraId="7860178D" w14:textId="77777777" w:rsidR="00DB26BB" w:rsidRDefault="00DB26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DD092" w14:textId="42D7F5B6" w:rsidR="00E21A69" w:rsidRDefault="00E21A6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5280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57094" w14:textId="77777777" w:rsidR="00DB26BB" w:rsidRDefault="00DB26BB">
      <w:r>
        <w:separator/>
      </w:r>
    </w:p>
  </w:footnote>
  <w:footnote w:type="continuationSeparator" w:id="0">
    <w:p w14:paraId="20CCF8F5" w14:textId="77777777" w:rsidR="00DB26BB" w:rsidRDefault="00DB26BB">
      <w:r>
        <w:continuationSeparator/>
      </w:r>
    </w:p>
  </w:footnote>
  <w:footnote w:type="continuationNotice" w:id="1">
    <w:p w14:paraId="731F5D71" w14:textId="77777777" w:rsidR="00DB26BB" w:rsidRDefault="00DB26BB"/>
  </w:footnote>
  <w:footnote w:id="2">
    <w:p w14:paraId="1EF32B36" w14:textId="48AF0E93" w:rsidR="00E21A69" w:rsidRDefault="00E21A69" w:rsidP="00AD1532">
      <w:pPr>
        <w:pStyle w:val="FootnoteText"/>
      </w:pPr>
      <w:r>
        <w:rPr>
          <w:rStyle w:val="FootnoteReference"/>
        </w:rPr>
        <w:footnoteRef/>
      </w:r>
      <w:r>
        <w:t xml:space="preserve"> Employer costs for employee compensation based on average wages and salaries of $24.33/hour plus benefits of $11.31/hour, U.S. Bureau of Labor Statistics. Released December 15, 2017. </w:t>
      </w:r>
      <w:r w:rsidR="009875A6">
        <w:t>H</w:t>
      </w:r>
      <w:r>
        <w:t>ttps://www.bls.gov/news.release/archives/ecec_12152017.htm.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5BBC"/>
    <w:rsid w:val="00023A57"/>
    <w:rsid w:val="00045936"/>
    <w:rsid w:val="00047A64"/>
    <w:rsid w:val="00067329"/>
    <w:rsid w:val="0008673E"/>
    <w:rsid w:val="000B2838"/>
    <w:rsid w:val="000D44CA"/>
    <w:rsid w:val="000D769E"/>
    <w:rsid w:val="000E200B"/>
    <w:rsid w:val="000E3787"/>
    <w:rsid w:val="000F68BE"/>
    <w:rsid w:val="0010254D"/>
    <w:rsid w:val="00121F52"/>
    <w:rsid w:val="001502C7"/>
    <w:rsid w:val="00152429"/>
    <w:rsid w:val="00161025"/>
    <w:rsid w:val="001927A4"/>
    <w:rsid w:val="0019290C"/>
    <w:rsid w:val="00194AC6"/>
    <w:rsid w:val="001A23B0"/>
    <w:rsid w:val="001A25CC"/>
    <w:rsid w:val="001B0AAA"/>
    <w:rsid w:val="001C39F7"/>
    <w:rsid w:val="001E6674"/>
    <w:rsid w:val="001F085F"/>
    <w:rsid w:val="00211EF0"/>
    <w:rsid w:val="00216A06"/>
    <w:rsid w:val="00237B48"/>
    <w:rsid w:val="0024521E"/>
    <w:rsid w:val="0025637E"/>
    <w:rsid w:val="00263C3D"/>
    <w:rsid w:val="00266988"/>
    <w:rsid w:val="00274236"/>
    <w:rsid w:val="00274D0B"/>
    <w:rsid w:val="00285B78"/>
    <w:rsid w:val="002875A8"/>
    <w:rsid w:val="00293708"/>
    <w:rsid w:val="002A2358"/>
    <w:rsid w:val="002B3C95"/>
    <w:rsid w:val="002C3E4C"/>
    <w:rsid w:val="002C5916"/>
    <w:rsid w:val="002D0B92"/>
    <w:rsid w:val="002D3D4F"/>
    <w:rsid w:val="002D58CC"/>
    <w:rsid w:val="002E2B04"/>
    <w:rsid w:val="0030617C"/>
    <w:rsid w:val="00320544"/>
    <w:rsid w:val="003400C7"/>
    <w:rsid w:val="00367DB8"/>
    <w:rsid w:val="003D5BBE"/>
    <w:rsid w:val="003E3C61"/>
    <w:rsid w:val="003E726E"/>
    <w:rsid w:val="003F1C5B"/>
    <w:rsid w:val="003F6D6C"/>
    <w:rsid w:val="004010C9"/>
    <w:rsid w:val="00430BFB"/>
    <w:rsid w:val="00434E33"/>
    <w:rsid w:val="00441434"/>
    <w:rsid w:val="0045264C"/>
    <w:rsid w:val="004876EC"/>
    <w:rsid w:val="004B1462"/>
    <w:rsid w:val="004B27AB"/>
    <w:rsid w:val="004D6E14"/>
    <w:rsid w:val="004E36F7"/>
    <w:rsid w:val="004E6E38"/>
    <w:rsid w:val="004F0863"/>
    <w:rsid w:val="005009B0"/>
    <w:rsid w:val="0052119F"/>
    <w:rsid w:val="00530EEF"/>
    <w:rsid w:val="00545169"/>
    <w:rsid w:val="00545AFE"/>
    <w:rsid w:val="00560ED3"/>
    <w:rsid w:val="005716B6"/>
    <w:rsid w:val="00576243"/>
    <w:rsid w:val="00576E3A"/>
    <w:rsid w:val="005A1006"/>
    <w:rsid w:val="005C6653"/>
    <w:rsid w:val="005D160A"/>
    <w:rsid w:val="005D1702"/>
    <w:rsid w:val="005D5BE2"/>
    <w:rsid w:val="005E714A"/>
    <w:rsid w:val="00601EE5"/>
    <w:rsid w:val="00602E36"/>
    <w:rsid w:val="006039CE"/>
    <w:rsid w:val="006068CD"/>
    <w:rsid w:val="006140A0"/>
    <w:rsid w:val="00615D0B"/>
    <w:rsid w:val="00631D98"/>
    <w:rsid w:val="00636621"/>
    <w:rsid w:val="00642B49"/>
    <w:rsid w:val="00646492"/>
    <w:rsid w:val="00655F86"/>
    <w:rsid w:val="00663548"/>
    <w:rsid w:val="00675386"/>
    <w:rsid w:val="006828AE"/>
    <w:rsid w:val="006832D9"/>
    <w:rsid w:val="0069403B"/>
    <w:rsid w:val="006F3491"/>
    <w:rsid w:val="006F3DDE"/>
    <w:rsid w:val="006F5118"/>
    <w:rsid w:val="00704678"/>
    <w:rsid w:val="00705288"/>
    <w:rsid w:val="00722663"/>
    <w:rsid w:val="007425E7"/>
    <w:rsid w:val="00764984"/>
    <w:rsid w:val="00764DEB"/>
    <w:rsid w:val="00794B46"/>
    <w:rsid w:val="007B1363"/>
    <w:rsid w:val="007D5FF2"/>
    <w:rsid w:val="007E0263"/>
    <w:rsid w:val="00802607"/>
    <w:rsid w:val="008030F1"/>
    <w:rsid w:val="008101A5"/>
    <w:rsid w:val="00812C5D"/>
    <w:rsid w:val="0081536C"/>
    <w:rsid w:val="00822664"/>
    <w:rsid w:val="00825B45"/>
    <w:rsid w:val="00842540"/>
    <w:rsid w:val="00843796"/>
    <w:rsid w:val="00855FEA"/>
    <w:rsid w:val="00876C01"/>
    <w:rsid w:val="00895229"/>
    <w:rsid w:val="008A1C98"/>
    <w:rsid w:val="008A432D"/>
    <w:rsid w:val="008E0960"/>
    <w:rsid w:val="008F0203"/>
    <w:rsid w:val="008F50D4"/>
    <w:rsid w:val="009239AA"/>
    <w:rsid w:val="009359E8"/>
    <w:rsid w:val="00935ADA"/>
    <w:rsid w:val="009469D0"/>
    <w:rsid w:val="00946B6C"/>
    <w:rsid w:val="00955A71"/>
    <w:rsid w:val="0096108F"/>
    <w:rsid w:val="00961111"/>
    <w:rsid w:val="0096766A"/>
    <w:rsid w:val="009844EE"/>
    <w:rsid w:val="009875A6"/>
    <w:rsid w:val="009A06C6"/>
    <w:rsid w:val="009A4473"/>
    <w:rsid w:val="009A46D3"/>
    <w:rsid w:val="009C13B9"/>
    <w:rsid w:val="009D01A2"/>
    <w:rsid w:val="009F5923"/>
    <w:rsid w:val="00A07F79"/>
    <w:rsid w:val="00A13D12"/>
    <w:rsid w:val="00A403BB"/>
    <w:rsid w:val="00A578CE"/>
    <w:rsid w:val="00A60288"/>
    <w:rsid w:val="00A674DF"/>
    <w:rsid w:val="00A7590A"/>
    <w:rsid w:val="00A83AA6"/>
    <w:rsid w:val="00A9259F"/>
    <w:rsid w:val="00A966B0"/>
    <w:rsid w:val="00AB4283"/>
    <w:rsid w:val="00AC339D"/>
    <w:rsid w:val="00AD1532"/>
    <w:rsid w:val="00AE1809"/>
    <w:rsid w:val="00AE57A2"/>
    <w:rsid w:val="00B04B7A"/>
    <w:rsid w:val="00B252F6"/>
    <w:rsid w:val="00B42A3F"/>
    <w:rsid w:val="00B70BF2"/>
    <w:rsid w:val="00B80D76"/>
    <w:rsid w:val="00B81CDC"/>
    <w:rsid w:val="00BA2105"/>
    <w:rsid w:val="00BA2407"/>
    <w:rsid w:val="00BA6D1B"/>
    <w:rsid w:val="00BA7E06"/>
    <w:rsid w:val="00BB43B5"/>
    <w:rsid w:val="00BB5350"/>
    <w:rsid w:val="00BB6219"/>
    <w:rsid w:val="00BD290F"/>
    <w:rsid w:val="00C01B18"/>
    <w:rsid w:val="00C025E3"/>
    <w:rsid w:val="00C14CC4"/>
    <w:rsid w:val="00C16780"/>
    <w:rsid w:val="00C27F64"/>
    <w:rsid w:val="00C33C52"/>
    <w:rsid w:val="00C40D8B"/>
    <w:rsid w:val="00C444BC"/>
    <w:rsid w:val="00C467C4"/>
    <w:rsid w:val="00C47304"/>
    <w:rsid w:val="00C75806"/>
    <w:rsid w:val="00C75D11"/>
    <w:rsid w:val="00C8407A"/>
    <w:rsid w:val="00C8488C"/>
    <w:rsid w:val="00C86E91"/>
    <w:rsid w:val="00CA2650"/>
    <w:rsid w:val="00CA719D"/>
    <w:rsid w:val="00CB1078"/>
    <w:rsid w:val="00CC6FAF"/>
    <w:rsid w:val="00CD0196"/>
    <w:rsid w:val="00D03938"/>
    <w:rsid w:val="00D11E55"/>
    <w:rsid w:val="00D24698"/>
    <w:rsid w:val="00D5280D"/>
    <w:rsid w:val="00D61819"/>
    <w:rsid w:val="00D6383F"/>
    <w:rsid w:val="00DB1DF0"/>
    <w:rsid w:val="00DB26BB"/>
    <w:rsid w:val="00DB59D0"/>
    <w:rsid w:val="00DC0976"/>
    <w:rsid w:val="00DC33D3"/>
    <w:rsid w:val="00DE1F7B"/>
    <w:rsid w:val="00DF341F"/>
    <w:rsid w:val="00E02C98"/>
    <w:rsid w:val="00E06E0F"/>
    <w:rsid w:val="00E21A69"/>
    <w:rsid w:val="00E21EF3"/>
    <w:rsid w:val="00E26329"/>
    <w:rsid w:val="00E3508D"/>
    <w:rsid w:val="00E40B50"/>
    <w:rsid w:val="00E40DC5"/>
    <w:rsid w:val="00E42224"/>
    <w:rsid w:val="00E50293"/>
    <w:rsid w:val="00E56307"/>
    <w:rsid w:val="00E65FFC"/>
    <w:rsid w:val="00E74E8D"/>
    <w:rsid w:val="00E80951"/>
    <w:rsid w:val="00E8257C"/>
    <w:rsid w:val="00E86CC6"/>
    <w:rsid w:val="00EB2D63"/>
    <w:rsid w:val="00EB56B3"/>
    <w:rsid w:val="00ED6492"/>
    <w:rsid w:val="00EF2095"/>
    <w:rsid w:val="00EF2C1A"/>
    <w:rsid w:val="00F06866"/>
    <w:rsid w:val="00F14540"/>
    <w:rsid w:val="00F15956"/>
    <w:rsid w:val="00F24CFC"/>
    <w:rsid w:val="00F3170F"/>
    <w:rsid w:val="00F65A9C"/>
    <w:rsid w:val="00F722A2"/>
    <w:rsid w:val="00F75832"/>
    <w:rsid w:val="00F81394"/>
    <w:rsid w:val="00F976B0"/>
    <w:rsid w:val="00FA6DE7"/>
    <w:rsid w:val="00FB1A71"/>
    <w:rsid w:val="00FC08B9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DB0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AD15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D1532"/>
  </w:style>
  <w:style w:type="character" w:styleId="FootnoteReference">
    <w:name w:val="footnote reference"/>
    <w:semiHidden/>
    <w:unhideWhenUsed/>
    <w:rsid w:val="00AD1532"/>
    <w:rPr>
      <w:vertAlign w:val="superscript"/>
    </w:rPr>
  </w:style>
  <w:style w:type="paragraph" w:styleId="Revision">
    <w:name w:val="Revision"/>
    <w:hidden/>
    <w:uiPriority w:val="99"/>
    <w:semiHidden/>
    <w:rsid w:val="00825B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AD15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D1532"/>
  </w:style>
  <w:style w:type="character" w:styleId="FootnoteReference">
    <w:name w:val="footnote reference"/>
    <w:semiHidden/>
    <w:unhideWhenUsed/>
    <w:rsid w:val="00AD1532"/>
    <w:rPr>
      <w:vertAlign w:val="superscript"/>
    </w:rPr>
  </w:style>
  <w:style w:type="paragraph" w:styleId="Revision">
    <w:name w:val="Revision"/>
    <w:hidden/>
    <w:uiPriority w:val="99"/>
    <w:semiHidden/>
    <w:rsid w:val="00825B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dfa24db8-b43c-4576-b9f3-d527095e9577">TSADT-783092807-14584</_dlc_DocId>
    <_dlc_DocIdUrl xmlns="dfa24db8-b43c-4576-b9f3-d527095e9577">
      <Url>https://apps2013.ishare.tsa.dhs.gov/sites/gel/OIT/_layouts/15/DocIdRedir.aspx?ID=TSADT-783092807-14584</Url>
      <Description>TSADT-783092807-14584</Description>
    </_dlc_DocIdUrl>
    <IconOverlay xmlns="http://schemas.microsoft.com/sharepoint/v4" xsi:nil="true"/>
    <Originator_x0020_Division xmlns="dfa24db8-b43c-4576-b9f3-d527095e9577">Mission Support Division</Originator_x0020_Division>
    <Folder_x0020_Title xmlns="dfa24db8-b43c-4576-b9f3-d527095e9577" xsi:nil="true"/>
    <Originator xmlns="dfa24db8-b43c-4576-b9f3-d527095e9577">
      <UserInfo>
        <DisplayName/>
        <AccountId>226</AccountId>
        <AccountType/>
      </UserInfo>
    </Originator>
    <WorkFolder_x0020_Type xmlns="dfa24db8-b43c-4576-b9f3-d527095e9577">25 - Other</WorkFolder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361A932546F4590D5DC141682ABDA" ma:contentTypeVersion="7" ma:contentTypeDescription="Create a new document." ma:contentTypeScope="" ma:versionID="c7eb3d4420186e7cfb22c11118b58469">
  <xsd:schema xmlns:xsd="http://www.w3.org/2001/XMLSchema" xmlns:xs="http://www.w3.org/2001/XMLSchema" xmlns:p="http://schemas.microsoft.com/office/2006/metadata/properties" xmlns:ns2="dfa24db8-b43c-4576-b9f3-d527095e9577" xmlns:ns4="http://schemas.microsoft.com/sharepoint/v4" targetNamespace="http://schemas.microsoft.com/office/2006/metadata/properties" ma:root="true" ma:fieldsID="897c6a1cf3eb03bda970cb1bcee18b59" ns2:_="" ns4:_="">
    <xsd:import namespace="dfa24db8-b43c-4576-b9f3-d527095e957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riginator_x0020_Division"/>
                <xsd:element ref="ns2:WorkFolder_x0020_Type"/>
                <xsd:element ref="ns2:Folder_x0020_Title" minOccurs="0"/>
                <xsd:element ref="ns2:Originator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24db8-b43c-4576-b9f3-d527095e95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riginator_x0020_Division" ma:index="11" ma:displayName="Originator Division" ma:format="Dropdown" ma:indexed="true" ma:internalName="Originator_x0020_Division" ma:readOnly="false">
      <xsd:simpleType>
        <xsd:restriction base="dms:Choice">
          <xsd:enumeration value="IT Government and Industry Liaison"/>
          <xsd:enumeration value="Information Assurance Division"/>
          <xsd:enumeration value="Application Development Division"/>
          <xsd:enumeration value="Operations &amp; Engineering"/>
          <xsd:enumeration value="End User Services Division"/>
          <xsd:enumeration value="Enterprise Architecture Division"/>
          <xsd:enumeration value="Mission Support Division"/>
          <xsd:enumeration value="IT Operations"/>
          <xsd:enumeration value="Mission Operations"/>
          <xsd:enumeration value="Classified Technology Division"/>
          <xsd:enumeration value="Technology Solutions Division"/>
        </xsd:restriction>
      </xsd:simpleType>
    </xsd:element>
    <xsd:element name="WorkFolder_x0020_Type" ma:index="12" ma:displayName="WorkFolder Type" ma:format="Dropdown" ma:indexed="true" ma:internalName="WorkFolder_x0020_Type" ma:readOnly="false">
      <xsd:simpleType>
        <xsd:restriction base="dms:Choice">
          <xsd:enumeration value="01 - Letter"/>
          <xsd:enumeration value="02 - IT Waiver/Exception"/>
          <xsd:enumeration value="03 - Memo"/>
          <xsd:enumeration value="04 - PR"/>
          <xsd:enumeration value="05 - Training"/>
          <xsd:enumeration value="06 - CIO COUNCIL"/>
          <xsd:enumeration value="07 - Misc"/>
          <xsd:enumeration value="08 - Broadcast"/>
          <xsd:enumeration value="09 - Flyer"/>
          <xsd:enumeration value="10 - PAR Forms"/>
          <xsd:enumeration value="11 - SOP"/>
          <xsd:enumeration value="12 - MD"/>
          <xsd:enumeration value="13 - Security Policy"/>
          <xsd:enumeration value="14 - Action/Decision Memo"/>
          <xsd:enumeration value="15 - Airport Amendment"/>
          <xsd:enumeration value="16 - Briefing Book"/>
          <xsd:enumeration value="17 - Enforcement Investigation Report"/>
          <xsd:enumeration value="18 - Official Correspondence"/>
          <xsd:enumeration value="19 - Standard Operating Procedure (SOP)"/>
          <xsd:enumeration value="20 - Information Memo"/>
          <xsd:enumeration value="21 - HR Action"/>
          <xsd:enumeration value="22 - Finance Action"/>
          <xsd:enumeration value="23 - Read Ahead"/>
          <xsd:enumeration value="24 - Stakeholder Letter"/>
          <xsd:enumeration value="25 - Other"/>
        </xsd:restriction>
      </xsd:simpleType>
    </xsd:element>
    <xsd:element name="Folder_x0020_Title" ma:index="13" nillable="true" ma:displayName="Folder Title" ma:indexed="true" ma:internalName="Folder_x0020_Title" ma:readOnly="false">
      <xsd:simpleType>
        <xsd:restriction base="dms:Text">
          <xsd:maxLength value="255"/>
        </xsd:restriction>
      </xsd:simpleType>
    </xsd:element>
    <xsd:element name="Originator" ma:index="14" ma:displayName="Originator" ma:indexed="true" ma:list="UserInfo" ma:SharePointGroup="0" ma:internalName="Origin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6A19-1AC5-488B-B454-F5C8645991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E29B40-0BDB-4CAE-98D2-51BEE6FB2AB9}">
  <ds:schemaRefs>
    <ds:schemaRef ds:uri="http://schemas.microsoft.com/office/2006/metadata/properties"/>
    <ds:schemaRef ds:uri="dfa24db8-b43c-4576-b9f3-d527095e957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C8F7F61-B2D4-44E7-A108-174E06079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24db8-b43c-4576-b9f3-d527095e957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8B86C-0904-493B-A7A5-67F7C1CC3D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D7D215-5D4B-4FCF-B387-03AFE77F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under THE GENERIC CLEARANCE</vt:lpstr>
    </vt:vector>
  </TitlesOfParts>
  <Company>ssa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under THE GENERIC CLEARANCE</dc:title>
  <dc:creator>558022</dc:creator>
  <cp:keywords>5000.22</cp:keywords>
  <cp:lastModifiedBy>SYSTEM</cp:lastModifiedBy>
  <cp:revision>2</cp:revision>
  <cp:lastPrinted>2013-05-29T13:20:00Z</cp:lastPrinted>
  <dcterms:created xsi:type="dcterms:W3CDTF">2019-03-15T12:04:00Z</dcterms:created>
  <dcterms:modified xsi:type="dcterms:W3CDTF">2019-03-15T12:04:00Z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0x01010056F361A932546F4590D5DC141682ABDA</vt:lpwstr>
  </property>
  <property fmtid="{D5CDD505-2E9C-101B-9397-08002B2CF9AE}" pid="4" name="Owner">
    <vt:lpwstr/>
  </property>
  <property fmtid="{D5CDD505-2E9C-101B-9397-08002B2CF9AE}" pid="5" name="Status">
    <vt:lpwstr>Draft</vt:lpwstr>
  </property>
  <property fmtid="{D5CDD505-2E9C-101B-9397-08002B2CF9AE}" pid="6" name="_dlc_DocIdItemGuid">
    <vt:lpwstr>57fc561f-ce9f-4e72-8002-1616a4f596de</vt:lpwstr>
  </property>
</Properties>
</file>