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BA4621">
      <w:pPr>
        <w:pStyle w:val="Heading2"/>
        <w:keepNext w:val="0"/>
        <w:tabs>
          <w:tab w:val="left" w:pos="900"/>
        </w:tabs>
        <w:ind w:right="-187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50162">
        <w:rPr>
          <w:sz w:val="28"/>
        </w:rPr>
        <w:t>1652-0058)</w:t>
      </w:r>
    </w:p>
    <w:p w:rsidR="00DC3D06" w:rsidRPr="00DC3D06" w:rsidRDefault="00D94260" w:rsidP="00BA4621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E829D26" wp14:editId="13D38330">
                <wp:simplePos x="0" y="0"/>
                <wp:positionH relativeFrom="column">
                  <wp:posOffset>0</wp:posOffset>
                </wp:positionH>
                <wp:positionV relativeFrom="page">
                  <wp:posOffset>968016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CE4E55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6.2pt" to="468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" o:allowincell="f" strokeweight="1.5pt">
                <w10:wrap anchory="page"/>
              </v:line>
            </w:pict>
          </mc:Fallback>
        </mc:AlternateContent>
      </w:r>
    </w:p>
    <w:p w:rsidR="005E714A" w:rsidRDefault="005E714A">
      <w:r w:rsidRPr="00434E33">
        <w:rPr>
          <w:b/>
        </w:rPr>
        <w:t>TITLE OF INFORMATION COLLECTION:</w:t>
      </w:r>
      <w:r>
        <w:t xml:space="preserve"> </w:t>
      </w:r>
      <w:r w:rsidR="00380279">
        <w:t xml:space="preserve">Transportation Security Administration </w:t>
      </w:r>
      <w:r w:rsidR="00380279" w:rsidRPr="001C6F44">
        <w:t>Policy Feedback Survey</w:t>
      </w:r>
    </w:p>
    <w:p w:rsidR="00380279" w:rsidRDefault="00380279"/>
    <w:p w:rsidR="001B0AAA" w:rsidRPr="003E586E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BA4621">
        <w:t xml:space="preserve"> </w:t>
      </w:r>
      <w:r w:rsidR="003E586E">
        <w:t>The Transportation Security Administration (TSA) will conduct this survey in order to receive feedback from stakeholders</w:t>
      </w:r>
      <w:r w:rsidR="00BA4621">
        <w:t xml:space="preserve"> regarding their opinion on the extent to which TSA has actively engaged with them to inform decisions related to policies that affect their operations.</w:t>
      </w:r>
      <w:r w:rsidR="00503845">
        <w:t xml:space="preserve">  TSA will use this information to identify opportunities for increasing transparency and collaboration with our stakeholders.</w:t>
      </w:r>
    </w:p>
    <w:p w:rsidR="001B0AAA" w:rsidRDefault="001B0AAA"/>
    <w:p w:rsidR="00434E33" w:rsidRPr="00BA4621" w:rsidRDefault="00434E33" w:rsidP="000C487F">
      <w:r w:rsidRPr="00434E33">
        <w:rPr>
          <w:b/>
        </w:rPr>
        <w:t>DESCRIPTION OF RESPONDENTS</w:t>
      </w:r>
      <w:r>
        <w:t xml:space="preserve">: </w:t>
      </w:r>
      <w:r w:rsidR="003E586E">
        <w:t>The respondents are external (industry) stakeholders</w:t>
      </w:r>
      <w:r w:rsidR="00050162">
        <w:t xml:space="preserve"> from the aviation and surface industry</w:t>
      </w:r>
      <w:r w:rsidR="000120A8">
        <w:t>.</w:t>
      </w:r>
      <w:r w:rsidR="003E586E">
        <w:t xml:space="preserve"> </w:t>
      </w:r>
      <w:r w:rsidR="00050162">
        <w:t>Respondents from the aviation industry</w:t>
      </w:r>
      <w:r w:rsidR="000120A8">
        <w:t xml:space="preserve"> include</w:t>
      </w:r>
      <w:r w:rsidR="003E586E">
        <w:t xml:space="preserve"> </w:t>
      </w:r>
      <w:r w:rsidR="00050162">
        <w:t>a</w:t>
      </w:r>
      <w:r w:rsidR="003E586E">
        <w:t xml:space="preserve">ircraft </w:t>
      </w:r>
      <w:r w:rsidR="00050162">
        <w:t>o</w:t>
      </w:r>
      <w:r w:rsidR="003E586E">
        <w:t xml:space="preserve">perators (passenger and air cargo), </w:t>
      </w:r>
      <w:r w:rsidR="00050162">
        <w:t>a</w:t>
      </w:r>
      <w:r w:rsidR="003E586E">
        <w:t xml:space="preserve">irport </w:t>
      </w:r>
      <w:r w:rsidR="00050162">
        <w:t>o</w:t>
      </w:r>
      <w:r w:rsidR="003E586E">
        <w:t xml:space="preserve">perators, </w:t>
      </w:r>
      <w:r w:rsidR="00380D1D">
        <w:t xml:space="preserve">freight forwarders and other regulated air cargo entities, </w:t>
      </w:r>
      <w:r w:rsidR="00B455EC" w:rsidRPr="000C487F">
        <w:t>and the associations that represent them</w:t>
      </w:r>
      <w:r w:rsidR="000120A8">
        <w:t xml:space="preserve">. </w:t>
      </w:r>
      <w:r w:rsidR="00050162">
        <w:t>Respondents from the s</w:t>
      </w:r>
      <w:r w:rsidR="000120A8">
        <w:t>urface</w:t>
      </w:r>
      <w:r w:rsidR="00050162">
        <w:t xml:space="preserve"> </w:t>
      </w:r>
      <w:r w:rsidR="00380D1D">
        <w:t xml:space="preserve">industry </w:t>
      </w:r>
      <w:r w:rsidR="00050162">
        <w:t>include</w:t>
      </w:r>
      <w:r w:rsidR="000120A8">
        <w:t xml:space="preserve"> railroads</w:t>
      </w:r>
      <w:r w:rsidR="000C487F">
        <w:t>,</w:t>
      </w:r>
      <w:r w:rsidR="000120A8">
        <w:t xml:space="preserve"> public transportation agencies, pipeline operators, highway motor carriers, cruise ship operators, ferry operators</w:t>
      </w:r>
      <w:r w:rsidR="00380D1D">
        <w:t>,</w:t>
      </w:r>
      <w:r w:rsidR="00B455EC" w:rsidRPr="000C487F">
        <w:rPr>
          <w:snapToGrid w:val="0"/>
        </w:rPr>
        <w:t xml:space="preserve"> </w:t>
      </w:r>
      <w:r w:rsidR="000120A8">
        <w:rPr>
          <w:snapToGrid w:val="0"/>
        </w:rPr>
        <w:t>and the trade associations that represent them.</w:t>
      </w:r>
    </w:p>
    <w:p w:rsidR="00E26329" w:rsidRPr="00BA4621" w:rsidRDefault="00E26329"/>
    <w:p w:rsidR="00F06866" w:rsidRPr="00F06866" w:rsidRDefault="00F06866" w:rsidP="00BA4621">
      <w:pPr>
        <w:keepNext/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BA4621" w:rsidRDefault="00441434" w:rsidP="00BA4621">
      <w:pPr>
        <w:pStyle w:val="BodyTextIndent"/>
        <w:keepNext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942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455E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D942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94260">
        <w:rPr>
          <w:bCs/>
          <w:sz w:val="24"/>
        </w:rPr>
        <w:t xml:space="preserve"> </w:t>
      </w:r>
      <w:r w:rsidR="00F06866">
        <w:rPr>
          <w:bCs/>
          <w:sz w:val="24"/>
        </w:rPr>
        <w:tab/>
        <w:t xml:space="preserve">[ </w:t>
      </w:r>
      <w:r w:rsidR="00D94260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D94260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D94260">
        <w:rPr>
          <w:bCs/>
          <w:sz w:val="24"/>
        </w:rPr>
        <w:t xml:space="preserve"> 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BA4621">
        <w:rPr>
          <w:bCs/>
          <w:sz w:val="24"/>
        </w:rPr>
        <w:t xml:space="preserve"> </w:t>
      </w:r>
      <w:r w:rsidR="00F06866" w:rsidRPr="00F06866">
        <w:rPr>
          <w:bCs/>
          <w:sz w:val="24"/>
          <w:u w:val="single"/>
        </w:rPr>
        <w:t>______________________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 w:rsidP="00BA4621">
      <w:pPr>
        <w:keepNext/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Pr="00BA4621" w:rsidRDefault="00441434" w:rsidP="00BA4621">
      <w:pPr>
        <w:keepNext/>
      </w:pPr>
    </w:p>
    <w:p w:rsidR="008101A5" w:rsidRPr="009C13B9" w:rsidRDefault="008101A5" w:rsidP="008101A5">
      <w:r>
        <w:t>I certify the following to be true: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BA4621">
        <w:t>not</w:t>
      </w:r>
      <w:r w:rsidRPr="00C14CC4">
        <w:t xml:space="preserve"> raise issues of concern to other </w:t>
      </w:r>
      <w:r w:rsidR="00D94260">
        <w:t>F</w:t>
      </w:r>
      <w:r w:rsidRPr="00C14CC4">
        <w:t>ederal agencies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BA4621"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BA4621">
        <w:t>substantially</w:t>
      </w:r>
      <w:r>
        <w:t xml:space="preserve"> informing </w:t>
      </w:r>
      <w:r w:rsidRPr="00BA4621"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94260" w:rsidRDefault="00D94260" w:rsidP="009C13B9"/>
    <w:p w:rsidR="000A70CD" w:rsidRDefault="009C13B9" w:rsidP="009C13B9">
      <w:r>
        <w:t>Name:</w:t>
      </w:r>
      <w:r w:rsidR="00380279">
        <w:tab/>
      </w:r>
      <w:r w:rsidR="00B455EC">
        <w:t>Kevin Knott</w:t>
      </w:r>
    </w:p>
    <w:p w:rsidR="000A70CD" w:rsidRPr="00380279" w:rsidRDefault="000A70CD" w:rsidP="00380279">
      <w:pPr>
        <w:ind w:left="720"/>
        <w:rPr>
          <w:rFonts w:ascii="Segoe Script" w:hAnsi="Segoe Script"/>
          <w:i/>
          <w:sz w:val="22"/>
          <w:szCs w:val="22"/>
        </w:rPr>
      </w:pPr>
      <w:r>
        <w:rPr>
          <w:rFonts w:ascii="Segoe Script" w:hAnsi="Segoe Script"/>
          <w:i/>
        </w:rPr>
        <w:t>K</w:t>
      </w:r>
      <w:r w:rsidRPr="00380279">
        <w:rPr>
          <w:rFonts w:ascii="Segoe Script" w:hAnsi="Segoe Script"/>
          <w:i/>
        </w:rPr>
        <w:t xml:space="preserve">evin Knott </w:t>
      </w:r>
    </w:p>
    <w:p w:rsidR="000A70CD" w:rsidRDefault="000A70CD" w:rsidP="00380279">
      <w:pPr>
        <w:ind w:left="720"/>
      </w:pPr>
      <w:r>
        <w:t>Manager, Industry Engagement Branch, Aviation Division</w:t>
      </w:r>
    </w:p>
    <w:p w:rsidR="000A70CD" w:rsidRDefault="000A70CD" w:rsidP="00380279">
      <w:pPr>
        <w:ind w:left="720"/>
      </w:pPr>
      <w:r>
        <w:t>Security Policy and Industry Engagement</w:t>
      </w:r>
    </w:p>
    <w:p w:rsidR="009C13B9" w:rsidRDefault="009C13B9" w:rsidP="009C13B9">
      <w:pPr>
        <w:pStyle w:val="ListParagraph"/>
        <w:ind w:left="360"/>
      </w:pPr>
    </w:p>
    <w:p w:rsidR="00D94260" w:rsidRDefault="00D94260">
      <w:r>
        <w:br w:type="page"/>
      </w:r>
    </w:p>
    <w:p w:rsidR="009C13B9" w:rsidRDefault="009C13B9" w:rsidP="00BA4621">
      <w:pPr>
        <w:keepNext/>
      </w:pPr>
      <w:r>
        <w:lastRenderedPageBreak/>
        <w:t>To assist review, please provide answers to the following question:</w:t>
      </w:r>
    </w:p>
    <w:p w:rsidR="009C13B9" w:rsidRDefault="009C13B9" w:rsidP="00BA4621">
      <w:pPr>
        <w:pStyle w:val="ListParagraph"/>
        <w:keepNext/>
        <w:ind w:left="360"/>
      </w:pPr>
    </w:p>
    <w:p w:rsidR="009C13B9" w:rsidRPr="00C86E91" w:rsidRDefault="00C86E91" w:rsidP="00BA4621">
      <w:pPr>
        <w:keepNext/>
        <w:rPr>
          <w:b/>
        </w:rPr>
      </w:pPr>
      <w:r w:rsidRPr="00C86E91">
        <w:rPr>
          <w:b/>
        </w:rPr>
        <w:t>Personally Identifiable Information:</w:t>
      </w:r>
    </w:p>
    <w:p w:rsidR="00470B25" w:rsidRDefault="00470B25" w:rsidP="00BA4621">
      <w:pPr>
        <w:pStyle w:val="ListParagraph"/>
        <w:keepNext/>
        <w:ind w:left="360"/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D94260">
        <w:t>X</w:t>
      </w:r>
      <w:r w:rsidR="009239AA">
        <w:t>] Yes  [</w:t>
      </w:r>
      <w:r w:rsidR="00D94260">
        <w:t xml:space="preserve"> </w:t>
      </w:r>
      <w:r w:rsidR="00FE6B56">
        <w:t xml:space="preserve"> </w:t>
      </w:r>
      <w:r w:rsidR="009239AA">
        <w:t xml:space="preserve">]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[  ] Yes </w:t>
      </w:r>
      <w:r w:rsidR="00D94260">
        <w:t xml:space="preserve"> </w:t>
      </w:r>
      <w:r w:rsidR="009239AA">
        <w:t>[</w:t>
      </w:r>
      <w:r w:rsidR="000120A8">
        <w:t>X</w:t>
      </w:r>
      <w:r w:rsidR="009239AA">
        <w:t>] No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0C487F" w:rsidRPr="00BA4621" w:rsidRDefault="000C487F" w:rsidP="00C86E91">
      <w:pPr>
        <w:pStyle w:val="ListParagraph"/>
        <w:ind w:left="0"/>
      </w:pPr>
    </w:p>
    <w:p w:rsidR="00C86E91" w:rsidRPr="00C86E91" w:rsidRDefault="00CB1078" w:rsidP="00BA4621">
      <w:pPr>
        <w:pStyle w:val="ListParagraph"/>
        <w:keepNext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420DB7" w:rsidRDefault="00420DB7" w:rsidP="00BA4621">
      <w:pPr>
        <w:keepNext/>
      </w:pPr>
    </w:p>
    <w:p w:rsidR="00371141" w:rsidRDefault="00C86E91" w:rsidP="00C86E91">
      <w:r>
        <w:t>Is an incentive (e.g., money or reimbursement of expenses, token of appreciation) provided to participants?  [  ] Yes [</w:t>
      </w:r>
      <w:r w:rsidR="00D94260">
        <w:t>X</w:t>
      </w:r>
      <w:r>
        <w:t>] No</w:t>
      </w:r>
    </w:p>
    <w:p w:rsidR="00371141" w:rsidRPr="00420DB7" w:rsidRDefault="00371141" w:rsidP="00C86E91"/>
    <w:p w:rsidR="00AD44AE" w:rsidRDefault="005E714A" w:rsidP="00C86E91">
      <w:r>
        <w:rPr>
          <w:b/>
        </w:rPr>
        <w:t>BURDEN HOUR</w:t>
      </w:r>
      <w:r w:rsidR="00441434">
        <w:rPr>
          <w:b/>
        </w:rPr>
        <w:t>S</w:t>
      </w:r>
      <w:r w:rsidR="00D94260">
        <w:t>:</w:t>
      </w:r>
      <w:r w:rsidR="00420DB7">
        <w:t xml:space="preserve"> </w:t>
      </w:r>
      <w:r w:rsidR="00AD44AE">
        <w:t xml:space="preserve">TSA plans to </w:t>
      </w:r>
      <w:r w:rsidR="00503845">
        <w:t xml:space="preserve">conduct an initial, baseline </w:t>
      </w:r>
      <w:r w:rsidR="00AD44AE">
        <w:t xml:space="preserve">survey </w:t>
      </w:r>
      <w:r w:rsidR="00503845">
        <w:t xml:space="preserve">of respondents and then, using the same form, solicit their feedback at the time final policy decisions are transmitted.  </w:t>
      </w:r>
      <w:r w:rsidR="00AD44AE">
        <w:t xml:space="preserve"> TSA estimates 100 respondents from the aviation sector and 120 respondents from the surface sectors. </w:t>
      </w:r>
      <w:r w:rsidR="00D94260">
        <w:t xml:space="preserve"> </w:t>
      </w:r>
      <w:r w:rsidR="00AD44AE">
        <w:t xml:space="preserve">As the survey will be administered in conjunction with a policy process, TSA estimates each respondent will have four annual responses. </w:t>
      </w:r>
      <w:r w:rsidR="00D94260">
        <w:t xml:space="preserve"> </w:t>
      </w:r>
      <w:r w:rsidR="00AD44AE">
        <w:t xml:space="preserve">TSA estimates each response will require approximately 10 minutes (0.16667 hours) for an annual hour burden of 147 hours. </w:t>
      </w:r>
      <w:r w:rsidR="00503845">
        <w:t xml:space="preserve"> TSA assumes r</w:t>
      </w:r>
      <w:r w:rsidR="00AD44AE">
        <w:t xml:space="preserve">espondents will be security coordinators for their respective employers. </w:t>
      </w:r>
      <w:r w:rsidR="00D94260">
        <w:t xml:space="preserve"> </w:t>
      </w:r>
      <w:r w:rsidR="00AD44AE">
        <w:t>TSA estimates a fully-loaded hourly wage rate</w:t>
      </w:r>
      <w:r w:rsidR="00AD44AE">
        <w:rPr>
          <w:rStyle w:val="FootnoteReference"/>
        </w:rPr>
        <w:footnoteReference w:id="1"/>
      </w:r>
      <w:r w:rsidR="00AD44AE">
        <w:t xml:space="preserve"> of $79.33</w:t>
      </w:r>
      <w:r w:rsidR="00AD44AE">
        <w:rPr>
          <w:rStyle w:val="FootnoteReference"/>
        </w:rPr>
        <w:footnoteReference w:id="2"/>
      </w:r>
      <w:r w:rsidR="00AD44AE">
        <w:t xml:space="preserve"> for respondents from the surface sectors and $86.54</w:t>
      </w:r>
      <w:r w:rsidR="00AD44AE">
        <w:rPr>
          <w:rStyle w:val="FootnoteReference"/>
        </w:rPr>
        <w:footnoteReference w:id="3"/>
      </w:r>
      <w:r w:rsidR="00AD44AE">
        <w:t xml:space="preserve"> for respondents from the aviation sector.</w:t>
      </w:r>
      <w:r w:rsidR="00623ECB">
        <w:t xml:space="preserve"> </w:t>
      </w:r>
      <w:r w:rsidR="00D94260">
        <w:t xml:space="preserve"> </w:t>
      </w:r>
      <w:r w:rsidR="00623ECB">
        <w:t xml:space="preserve">TSA estimates a total annual hour burden cost of $12,116 for this generic clearance. </w:t>
      </w:r>
      <w:r w:rsidR="00420DB7">
        <w:t xml:space="preserve"> </w:t>
      </w:r>
      <w:r w:rsidR="00623ECB">
        <w:t>Table 1 summarizes these calculations.</w:t>
      </w:r>
    </w:p>
    <w:p w:rsidR="00623ECB" w:rsidRPr="000B0591" w:rsidRDefault="00623ECB" w:rsidP="00C86E91"/>
    <w:tbl>
      <w:tblPr>
        <w:tblW w:w="94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60"/>
        <w:gridCol w:w="1512"/>
        <w:gridCol w:w="1458"/>
        <w:gridCol w:w="1281"/>
        <w:gridCol w:w="1419"/>
        <w:gridCol w:w="1422"/>
        <w:gridCol w:w="1116"/>
      </w:tblGrid>
      <w:tr w:rsidR="000A70CD" w:rsidRPr="00A87B4C" w:rsidTr="00BA4621">
        <w:tc>
          <w:tcPr>
            <w:tcW w:w="94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EAAAA" w:themeFill="background2" w:themeFillShade="BF"/>
            <w:noWrap/>
            <w:vAlign w:val="bottom"/>
          </w:tcPr>
          <w:p w:rsidR="000A70CD" w:rsidRPr="00BA4621" w:rsidRDefault="000A70CD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Table 1. Public Hour Burden and Costs</w:t>
            </w:r>
          </w:p>
        </w:tc>
      </w:tr>
      <w:tr w:rsidR="00623ECB" w:rsidRPr="00A87B4C" w:rsidTr="00BA4621"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Responses per Respondent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Hour Burden Per Response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Respondent Wage Rate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 Cost</w:t>
            </w:r>
          </w:p>
        </w:tc>
      </w:tr>
      <w:tr w:rsidR="00623ECB" w:rsidRPr="00A87B4C" w:rsidTr="00BA4621"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ECB" w:rsidRPr="00BA4621" w:rsidRDefault="00623ECB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 = A x B x C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 = D x E</w:t>
            </w:r>
          </w:p>
        </w:tc>
      </w:tr>
      <w:tr w:rsidR="00623ECB" w:rsidRPr="00A87B4C" w:rsidTr="00BA4621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Surface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CB" w:rsidRPr="00BA4621" w:rsidRDefault="00623E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3ECB" w:rsidRPr="00BA4621" w:rsidRDefault="00623EC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0.16667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$79.33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$6,346</w:t>
            </w:r>
          </w:p>
        </w:tc>
      </w:tr>
      <w:tr w:rsidR="00623ECB" w:rsidRPr="00A87B4C" w:rsidTr="00BA4621"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Aviation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3ECB" w:rsidRPr="00BA4621" w:rsidRDefault="00623E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66.67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$86.54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$5,770</w:t>
            </w:r>
          </w:p>
        </w:tc>
      </w:tr>
      <w:tr w:rsidR="00623ECB" w:rsidRPr="00A87B4C" w:rsidTr="00BA4621"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623ECB" w:rsidRPr="00BA4621" w:rsidRDefault="00623EC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3ECB" w:rsidRPr="00BA4621" w:rsidRDefault="00623EC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$12,116</w:t>
            </w:r>
          </w:p>
        </w:tc>
      </w:tr>
    </w:tbl>
    <w:p w:rsidR="00F3170F" w:rsidRDefault="00F3170F" w:rsidP="00F3170F"/>
    <w:p w:rsidR="003724A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420DB7" w:rsidRPr="00BA4621">
        <w:t xml:space="preserve"> </w:t>
      </w:r>
      <w:r w:rsidR="003724AA" w:rsidRPr="000B0591">
        <w:t>TSA</w:t>
      </w:r>
      <w:r w:rsidR="00503845">
        <w:t>'s</w:t>
      </w:r>
      <w:r w:rsidR="003724AA" w:rsidRPr="000B0591">
        <w:t xml:space="preserve"> Industry Engagement Managers </w:t>
      </w:r>
      <w:r w:rsidR="003724AA">
        <w:t xml:space="preserve">(IEMs) </w:t>
      </w:r>
      <w:r w:rsidR="00503845">
        <w:t xml:space="preserve">will </w:t>
      </w:r>
      <w:r w:rsidR="003724AA">
        <w:t xml:space="preserve">analyze survey data after TSA receives the results. </w:t>
      </w:r>
      <w:r w:rsidR="00A87B4C">
        <w:t xml:space="preserve"> </w:t>
      </w:r>
      <w:r w:rsidR="003724AA">
        <w:t>There are seven IEMs f</w:t>
      </w:r>
      <w:r w:rsidR="00380D1D">
        <w:t xml:space="preserve">or aviation and five IEMs for surface </w:t>
      </w:r>
      <w:r w:rsidR="003724AA">
        <w:t>that will review the data.</w:t>
      </w:r>
      <w:r w:rsidR="00470B25">
        <w:t xml:space="preserve"> </w:t>
      </w:r>
      <w:r w:rsidR="003724AA">
        <w:t xml:space="preserve"> For each of the </w:t>
      </w:r>
      <w:r w:rsidR="00470B25">
        <w:t xml:space="preserve">4 </w:t>
      </w:r>
      <w:r w:rsidR="003724AA">
        <w:t>anticipated surveys, it will take an individual IEM 30 minutes (0.5 hours) to analyze the survey data.</w:t>
      </w:r>
      <w:r w:rsidR="00956EA9">
        <w:t xml:space="preserve"> </w:t>
      </w:r>
      <w:r w:rsidR="00470B25">
        <w:t xml:space="preserve"> </w:t>
      </w:r>
      <w:r w:rsidR="00956EA9">
        <w:t xml:space="preserve">TSA anticipates a </w:t>
      </w:r>
      <w:r w:rsidR="00A87B4C">
        <w:t>F</w:t>
      </w:r>
      <w:r w:rsidR="00956EA9">
        <w:t xml:space="preserve">ederal annual hour burden of 24 hours. </w:t>
      </w:r>
      <w:r w:rsidR="00470B25">
        <w:t xml:space="preserve"> </w:t>
      </w:r>
      <w:r w:rsidR="00956EA9">
        <w:t xml:space="preserve">TSA estimates a fully-loaded hourly wage rate of $92.24, for a </w:t>
      </w:r>
      <w:r w:rsidR="00A87B4C">
        <w:t>F</w:t>
      </w:r>
      <w:r w:rsidR="00956EA9">
        <w:t xml:space="preserve">ederal annual hour burden cost of $2,214. </w:t>
      </w:r>
      <w:r w:rsidR="00A87B4C">
        <w:t xml:space="preserve"> </w:t>
      </w:r>
      <w:r w:rsidR="00956EA9">
        <w:t>Table 2 summarizes these calculations.</w:t>
      </w:r>
    </w:p>
    <w:p w:rsidR="00956EA9" w:rsidRDefault="00956EA9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32"/>
        <w:gridCol w:w="1440"/>
        <w:gridCol w:w="1537"/>
        <w:gridCol w:w="1433"/>
        <w:gridCol w:w="1800"/>
        <w:gridCol w:w="1710"/>
      </w:tblGrid>
      <w:tr w:rsidR="000A70CD" w:rsidRPr="00470B25" w:rsidTr="00BA4621"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0CECE" w:themeFill="background2" w:themeFillShade="E6"/>
            <w:noWrap/>
            <w:vAlign w:val="bottom"/>
          </w:tcPr>
          <w:p w:rsidR="000A70CD" w:rsidRPr="00BA4621" w:rsidRDefault="000A70CD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Table 2. Federal Hour Burden and Costs</w:t>
            </w:r>
          </w:p>
        </w:tc>
      </w:tr>
      <w:tr w:rsidR="00470B25" w:rsidRPr="00470B25" w:rsidTr="00BA4621">
        <w:tc>
          <w:tcPr>
            <w:tcW w:w="13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Population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IEMs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Number of Responses per IEM</w:t>
            </w:r>
          </w:p>
        </w:tc>
        <w:tc>
          <w:tcPr>
            <w:tcW w:w="1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Hour Burden Per Response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Annual Hour Burden Cost</w:t>
            </w:r>
          </w:p>
        </w:tc>
      </w:tr>
      <w:tr w:rsidR="00470B25" w:rsidRPr="00470B25" w:rsidTr="00BA4621">
        <w:tc>
          <w:tcPr>
            <w:tcW w:w="13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EA9" w:rsidRPr="00BA4621" w:rsidRDefault="00956EA9" w:rsidP="00BA4621">
            <w:pPr>
              <w:keepNext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 = A x B x C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 w:rsidP="00BA4621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 = D x $92.24</w:t>
            </w:r>
          </w:p>
        </w:tc>
      </w:tr>
      <w:tr w:rsidR="00470B25" w:rsidRPr="00470B25" w:rsidTr="00470B25"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Surface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A9" w:rsidRPr="00BA4621" w:rsidRDefault="00956E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EA9" w:rsidRPr="00BA4621" w:rsidRDefault="00956E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$922</w:t>
            </w:r>
          </w:p>
        </w:tc>
      </w:tr>
      <w:tr w:rsidR="00470B25" w:rsidRPr="00470B25" w:rsidTr="00470B25">
        <w:tc>
          <w:tcPr>
            <w:tcW w:w="1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Aviation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56EA9" w:rsidRPr="00BA4621" w:rsidRDefault="00956E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color w:val="000000"/>
                <w:sz w:val="20"/>
                <w:szCs w:val="20"/>
              </w:rPr>
              <w:t>$1,291</w:t>
            </w:r>
          </w:p>
        </w:tc>
      </w:tr>
      <w:tr w:rsidR="00470B25" w:rsidRPr="00470B25" w:rsidTr="00BA4621">
        <w:tc>
          <w:tcPr>
            <w:tcW w:w="1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956EA9" w:rsidRPr="00BA4621" w:rsidRDefault="00956EA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EA9" w:rsidRPr="00BA4621" w:rsidRDefault="00956EA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462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$2,214</w:t>
            </w:r>
          </w:p>
        </w:tc>
      </w:tr>
    </w:tbl>
    <w:p w:rsidR="00956EA9" w:rsidRPr="000B0591" w:rsidRDefault="00956EA9"/>
    <w:p w:rsidR="0069403B" w:rsidRDefault="00ED6492" w:rsidP="00BA4621">
      <w:pPr>
        <w:keepNext/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:rsidR="0069403B" w:rsidRPr="00BA4621" w:rsidRDefault="0069403B" w:rsidP="00BA4621">
      <w:pPr>
        <w:keepNext/>
      </w:pPr>
    </w:p>
    <w:p w:rsidR="00F06866" w:rsidRDefault="00636621" w:rsidP="00BA4621">
      <w:pPr>
        <w:keepNext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420DB7" w:rsidRDefault="00420DB7" w:rsidP="00BA4621">
      <w:pPr>
        <w:pStyle w:val="ListParagraph"/>
        <w:keepNext/>
        <w:ind w:left="360"/>
      </w:pP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024E32">
        <w:t>X</w:t>
      </w:r>
      <w:r>
        <w:t>] Yes</w:t>
      </w:r>
      <w:r>
        <w:tab/>
        <w:t>[</w:t>
      </w:r>
      <w:r w:rsidR="00470B25">
        <w:t xml:space="preserve"> </w:t>
      </w:r>
      <w:r>
        <w:t xml:space="preserve"> ] No</w:t>
      </w:r>
    </w:p>
    <w:p w:rsidR="00636621" w:rsidRDefault="00636621" w:rsidP="00636621">
      <w:pPr>
        <w:pStyle w:val="ListParagraph"/>
      </w:pPr>
    </w:p>
    <w:p w:rsidR="00636621" w:rsidRDefault="00636621" w:rsidP="00BA4621">
      <w:pPr>
        <w:keepNext/>
      </w:pPr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B455EC" w:rsidRDefault="00B455EC" w:rsidP="00BA4621">
      <w:pPr>
        <w:keepNext/>
      </w:pPr>
    </w:p>
    <w:p w:rsidR="00B455EC" w:rsidRPr="00BA4621" w:rsidRDefault="00B455EC" w:rsidP="00BA4621">
      <w:pPr>
        <w:ind w:left="720"/>
      </w:pPr>
      <w:r w:rsidRPr="00BA4621">
        <w:t xml:space="preserve">For the purposes of this collection, </w:t>
      </w:r>
      <w:r w:rsidR="00624065" w:rsidRPr="00BA4621">
        <w:t xml:space="preserve">the potential respondents will be the security points of contact with </w:t>
      </w:r>
      <w:r w:rsidR="00C639F1" w:rsidRPr="00BA4621">
        <w:t>a</w:t>
      </w:r>
      <w:r w:rsidR="00624065" w:rsidRPr="00BA4621">
        <w:t xml:space="preserve">viation and </w:t>
      </w:r>
      <w:r w:rsidR="00C639F1" w:rsidRPr="00BA4621">
        <w:t>s</w:t>
      </w:r>
      <w:r w:rsidR="00624065" w:rsidRPr="00BA4621">
        <w:t>urface operators and the trade associations that represent them.</w:t>
      </w:r>
      <w:r w:rsidR="00FE6B56" w:rsidRPr="00BA4621">
        <w:t xml:space="preserve">  TSA survey administrators will </w:t>
      </w:r>
      <w:r w:rsidR="004352AF">
        <w:t xml:space="preserve">initially </w:t>
      </w:r>
      <w:r w:rsidR="00FE6B56" w:rsidRPr="00BA4621">
        <w:t xml:space="preserve">email </w:t>
      </w:r>
      <w:r w:rsidR="004352AF">
        <w:t>respondents</w:t>
      </w:r>
      <w:r w:rsidR="00FE6B56" w:rsidRPr="00BA4621">
        <w:t xml:space="preserve"> to ask </w:t>
      </w:r>
      <w:r w:rsidR="004352AF">
        <w:t xml:space="preserve">them to participate in the </w:t>
      </w:r>
      <w:r w:rsidR="00FE6B56" w:rsidRPr="00BA4621">
        <w:t>10-minute voluntary survey.</w:t>
      </w:r>
      <w:r w:rsidR="004352AF">
        <w:t xml:space="preserve">  </w:t>
      </w:r>
    </w:p>
    <w:p w:rsidR="004D6E14" w:rsidRPr="00BA4621" w:rsidRDefault="004D6E14" w:rsidP="00A403BB"/>
    <w:p w:rsidR="00A403BB" w:rsidRDefault="00A403BB" w:rsidP="00BA4621">
      <w:pPr>
        <w:keepNext/>
        <w:rPr>
          <w:b/>
        </w:rPr>
      </w:pPr>
      <w:r>
        <w:rPr>
          <w:b/>
        </w:rPr>
        <w:t>Administration of the Instrument</w:t>
      </w:r>
    </w:p>
    <w:p w:rsidR="00420DB7" w:rsidRDefault="00420DB7" w:rsidP="00BA4621">
      <w:pPr>
        <w:pStyle w:val="ListParagraph"/>
        <w:keepNext/>
        <w:ind w:left="360"/>
      </w:pP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624065">
        <w:t>X</w:t>
      </w:r>
      <w:r>
        <w:t>] Web-based</w:t>
      </w:r>
      <w:r w:rsidR="001B0AAA">
        <w:t xml:space="preserve"> or other forms of Social Media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3B3C0D" w:rsidRDefault="003B3C0D" w:rsidP="001B0AAA">
      <w:pPr>
        <w:ind w:left="720"/>
      </w:pPr>
    </w:p>
    <w:p w:rsidR="005E714A" w:rsidRPr="00420DB7" w:rsidRDefault="00F24CFC" w:rsidP="00BA4621">
      <w:pPr>
        <w:pStyle w:val="ListParagraph"/>
        <w:numPr>
          <w:ilvl w:val="0"/>
          <w:numId w:val="17"/>
        </w:numPr>
        <w:rPr>
          <w:b/>
        </w:rPr>
      </w:pPr>
      <w:r>
        <w:t>Will interviewers or facilitators be used?  [  ] Yes</w:t>
      </w:r>
      <w:r w:rsidR="00470B25">
        <w:t xml:space="preserve"> </w:t>
      </w:r>
      <w:r>
        <w:t xml:space="preserve"> [</w:t>
      </w:r>
      <w:r w:rsidR="00470B25">
        <w:t>X</w:t>
      </w:r>
      <w:r>
        <w:t>] No</w:t>
      </w:r>
    </w:p>
    <w:sectPr w:rsidR="005E714A" w:rsidRPr="00420DB7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554" w:rsidRDefault="00B34554">
      <w:r>
        <w:separator/>
      </w:r>
    </w:p>
  </w:endnote>
  <w:endnote w:type="continuationSeparator" w:id="0">
    <w:p w:rsidR="00B34554" w:rsidRDefault="00B3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93A4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554" w:rsidRDefault="00B34554">
      <w:r>
        <w:separator/>
      </w:r>
    </w:p>
  </w:footnote>
  <w:footnote w:type="continuationSeparator" w:id="0">
    <w:p w:rsidR="00B34554" w:rsidRDefault="00B34554">
      <w:r>
        <w:continuationSeparator/>
      </w:r>
    </w:p>
  </w:footnote>
  <w:footnote w:id="1">
    <w:p w:rsidR="00AD44AE" w:rsidRDefault="00AD44AE">
      <w:pPr>
        <w:pStyle w:val="FootnoteText"/>
      </w:pPr>
      <w:r>
        <w:rPr>
          <w:rStyle w:val="FootnoteReference"/>
        </w:rPr>
        <w:footnoteRef/>
      </w:r>
      <w:r>
        <w:t xml:space="preserve"> A fully-loaded wage rate accounts for employer costs of non-wage employee compensation, such as health and retirement benefits.</w:t>
      </w:r>
    </w:p>
  </w:footnote>
  <w:footnote w:id="2">
    <w:p w:rsidR="00AD44AE" w:rsidRDefault="00AD44AE">
      <w:pPr>
        <w:pStyle w:val="FootnoteText"/>
      </w:pPr>
      <w:r>
        <w:rPr>
          <w:rStyle w:val="FootnoteReference"/>
        </w:rPr>
        <w:footnoteRef/>
      </w:r>
      <w:r>
        <w:t xml:space="preserve"> The unloaded wage rate for Operations Specialties Managers </w:t>
      </w:r>
      <w:r w:rsidR="00623ECB">
        <w:t xml:space="preserve">(surface) </w:t>
      </w:r>
      <w:r>
        <w:t>is $52.45</w:t>
      </w:r>
      <w:r w:rsidR="00D527B7">
        <w:t xml:space="preserve"> (TSA uses Rail Transportation as a proxy for all surface modes)</w:t>
      </w:r>
      <w:r>
        <w:t xml:space="preserve">. </w:t>
      </w:r>
      <w:r w:rsidR="00A87B4C">
        <w:t xml:space="preserve"> </w:t>
      </w:r>
      <w:r w:rsidRPr="00AD44AE">
        <w:t xml:space="preserve">BLS. </w:t>
      </w:r>
      <w:r w:rsidR="00A87B4C">
        <w:t xml:space="preserve"> </w:t>
      </w:r>
      <w:r w:rsidRPr="00AD44AE">
        <w:t>May 2017 National Industry-Specific Occupational Employment and Wage Estimates. NAICS 482000 - Rail Transportation. Occupation Code 11-3000 Operations Specialties Managers.</w:t>
      </w:r>
      <w:r w:rsidR="00A87B4C">
        <w:t xml:space="preserve"> </w:t>
      </w:r>
      <w:r w:rsidRPr="00AD44AE">
        <w:t xml:space="preserve"> Last updated March 30, 2018 (accessed October 16, 2018). </w:t>
      </w:r>
      <w:r w:rsidR="00A87B4C">
        <w:t xml:space="preserve"> </w:t>
      </w:r>
      <w:hyperlink r:id="rId1" w:history="1">
        <w:r w:rsidR="00A87B4C">
          <w:rPr>
            <w:rStyle w:val="Hyperlink"/>
            <w:u w:val="none"/>
          </w:rPr>
          <w:t>H</w:t>
        </w:r>
        <w:r w:rsidRPr="00BA4621">
          <w:rPr>
            <w:rStyle w:val="Hyperlink"/>
            <w:u w:val="none"/>
          </w:rPr>
          <w:t>ttps://www.bls.gov/oes/2017/May/naics3_482000.htm</w:t>
        </w:r>
      </w:hyperlink>
      <w:r w:rsidR="00A87B4C" w:rsidRPr="00BA4621">
        <w:rPr>
          <w:rStyle w:val="Hyperlink"/>
          <w:u w:val="none"/>
        </w:rPr>
        <w:t>.</w:t>
      </w:r>
      <w:r w:rsidR="00A87B4C">
        <w:rPr>
          <w:rStyle w:val="Hyperlink"/>
          <w:u w:val="none"/>
        </w:rPr>
        <w:t xml:space="preserve">  </w:t>
      </w:r>
      <w:r>
        <w:t xml:space="preserve">To load the wage rate, TSA calculates a compensation factor by dividing the total compensation ($28.54) of private sector workers in the transportation industry by the wage component ($18.87), for a compensation factor of 1.51245. </w:t>
      </w:r>
      <w:r w:rsidR="00A87B4C">
        <w:t xml:space="preserve"> </w:t>
      </w:r>
      <w:r w:rsidRPr="00AD44AE">
        <w:t xml:space="preserve">BLS. </w:t>
      </w:r>
      <w:r w:rsidR="00A87B4C">
        <w:t xml:space="preserve"> </w:t>
      </w:r>
      <w:r w:rsidRPr="00AD44AE">
        <w:t xml:space="preserve">Employer Costs for Employee Compensation - June 2018. Table 5. </w:t>
      </w:r>
      <w:r w:rsidR="00A87B4C">
        <w:t xml:space="preserve"> </w:t>
      </w:r>
      <w:r w:rsidRPr="00AD44AE">
        <w:t xml:space="preserve">Employer costs per hour worked for employee compensation and costs as a percent of total compensation: private industry workers. </w:t>
      </w:r>
      <w:r w:rsidR="00A87B4C">
        <w:t xml:space="preserve">  </w:t>
      </w:r>
      <w:r w:rsidRPr="00AD44AE">
        <w:t xml:space="preserve">Production, transportation and material moving occupations. Last modified September 18, 2018 (accessed July 24, 2018). </w:t>
      </w:r>
      <w:r w:rsidR="00A87B4C">
        <w:t xml:space="preserve"> </w:t>
      </w:r>
      <w:hyperlink r:id="rId2" w:history="1">
        <w:r w:rsidR="00A87B4C">
          <w:rPr>
            <w:rStyle w:val="Hyperlink"/>
            <w:u w:val="none"/>
          </w:rPr>
          <w:t>H</w:t>
        </w:r>
        <w:r w:rsidRPr="00BA4621">
          <w:rPr>
            <w:rStyle w:val="Hyperlink"/>
            <w:u w:val="none"/>
          </w:rPr>
          <w:t>ttps://www.bls.gov/news.release/archives/ecec_09182018.htm</w:t>
        </w:r>
      </w:hyperlink>
      <w:r w:rsidR="00A87B4C">
        <w:rPr>
          <w:rStyle w:val="Hyperlink"/>
          <w:u w:val="none"/>
        </w:rPr>
        <w:t>.</w:t>
      </w:r>
      <w:r w:rsidR="00A87B4C">
        <w:t xml:space="preserve">  </w:t>
      </w:r>
      <w:r>
        <w:t>TSA calculates the fully-loaded wage by multiplying the unloaded wage by the compensation factor. $79.33</w:t>
      </w:r>
      <w:r w:rsidR="00623ECB">
        <w:t xml:space="preserve"> = $52.45 x 1.51245.</w:t>
      </w:r>
    </w:p>
  </w:footnote>
  <w:footnote w:id="3">
    <w:p w:rsidR="00AD44AE" w:rsidRDefault="00AD44AE" w:rsidP="00623E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23ECB">
        <w:t>The unloaded wage rate for Operations Specialties Managers (aviation) is $57.22.</w:t>
      </w:r>
      <w:r w:rsidR="00A87B4C">
        <w:t xml:space="preserve"> </w:t>
      </w:r>
      <w:r w:rsidR="00623ECB">
        <w:t xml:space="preserve"> </w:t>
      </w:r>
      <w:r w:rsidR="00623ECB" w:rsidRPr="00623ECB">
        <w:t xml:space="preserve">BLS. </w:t>
      </w:r>
      <w:r w:rsidR="00A87B4C">
        <w:t xml:space="preserve"> </w:t>
      </w:r>
      <w:r w:rsidR="00623ECB" w:rsidRPr="00623ECB">
        <w:t xml:space="preserve">May 2017 National Industry-Specific Occupational Employment and Wage Estimates. </w:t>
      </w:r>
      <w:r w:rsidR="00A87B4C">
        <w:t xml:space="preserve"> </w:t>
      </w:r>
      <w:r w:rsidR="00623ECB" w:rsidRPr="00623ECB">
        <w:t xml:space="preserve">NAICS 481000 - Air Transportation. Occupation Code 11-3000 Operations Specialties Managers. </w:t>
      </w:r>
      <w:r w:rsidR="00A87B4C">
        <w:t xml:space="preserve"> </w:t>
      </w:r>
      <w:r w:rsidR="00623ECB" w:rsidRPr="00623ECB">
        <w:t xml:space="preserve">Last updated March 30, 2018 (accessed October 16, 2018). </w:t>
      </w:r>
      <w:r w:rsidR="00A87B4C">
        <w:t xml:space="preserve"> </w:t>
      </w:r>
      <w:hyperlink r:id="rId3" w:history="1">
        <w:r w:rsidR="00A87B4C">
          <w:rPr>
            <w:rStyle w:val="Hyperlink"/>
            <w:u w:val="none"/>
          </w:rPr>
          <w:t>H</w:t>
        </w:r>
        <w:r w:rsidR="003724AA" w:rsidRPr="00BA4621">
          <w:rPr>
            <w:rStyle w:val="Hyperlink"/>
            <w:u w:val="none"/>
          </w:rPr>
          <w:t>ttps://www.bls.gov/oes/2017/May/naics3_481000.htm</w:t>
        </w:r>
      </w:hyperlink>
      <w:r w:rsidR="003724AA">
        <w:t xml:space="preserve"> </w:t>
      </w:r>
      <w:r w:rsidR="00A87B4C">
        <w:t xml:space="preserve"> </w:t>
      </w:r>
      <w:r w:rsidR="00623ECB">
        <w:t xml:space="preserve">To load the wage rate, TSA calculates a compensation factor by dividing the total compensation ($28.54) of private sector workers in the transportation industry by the wage component ($18.87), for a compensation factor of 1.51245. </w:t>
      </w:r>
      <w:r w:rsidR="00A87B4C">
        <w:t xml:space="preserve"> </w:t>
      </w:r>
      <w:r w:rsidR="00623ECB">
        <w:t xml:space="preserve">BLS. </w:t>
      </w:r>
      <w:r w:rsidR="00A87B4C">
        <w:t xml:space="preserve"> </w:t>
      </w:r>
      <w:r w:rsidR="00623ECB">
        <w:t xml:space="preserve">Employer Costs for Employee Compensation - June 2018. Table 5. </w:t>
      </w:r>
      <w:r w:rsidR="00A87B4C">
        <w:t xml:space="preserve"> </w:t>
      </w:r>
      <w:r w:rsidR="00623ECB">
        <w:t xml:space="preserve">Employer costs per hour worked for employee compensation and costs as a percent of total compensation: private industry workers. </w:t>
      </w:r>
      <w:r w:rsidR="00A87B4C">
        <w:t xml:space="preserve"> </w:t>
      </w:r>
      <w:r w:rsidR="00623ECB">
        <w:t xml:space="preserve">Production, transportation and material moving occupations. Last modified September 18, 2018 (accessed July 24, 2018). </w:t>
      </w:r>
      <w:r w:rsidR="00A87B4C">
        <w:t xml:space="preserve"> </w:t>
      </w:r>
      <w:hyperlink r:id="rId4" w:history="1">
        <w:r w:rsidR="00A87B4C" w:rsidRPr="00BA4621">
          <w:rPr>
            <w:rStyle w:val="Hyperlink"/>
            <w:u w:val="none"/>
          </w:rPr>
          <w:t>H</w:t>
        </w:r>
        <w:r w:rsidR="003724AA" w:rsidRPr="00BA4621">
          <w:rPr>
            <w:rStyle w:val="Hyperlink"/>
            <w:u w:val="none"/>
          </w:rPr>
          <w:t>ttps://www.bls.gov/news.release/archives/ecec_09182018.htm</w:t>
        </w:r>
      </w:hyperlink>
      <w:r w:rsidR="00A87B4C" w:rsidRPr="00BA4621">
        <w:rPr>
          <w:rStyle w:val="Hyperlink"/>
          <w:u w:val="none"/>
        </w:rPr>
        <w:t xml:space="preserve">. </w:t>
      </w:r>
      <w:r w:rsidR="003724AA">
        <w:t xml:space="preserve"> </w:t>
      </w:r>
      <w:r w:rsidR="00623ECB">
        <w:t>TSA calculates the fully-loaded wage by multiplying the unloaded wage by the compensation factor. $86.54 = $57.22 x 1.51245.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3F74"/>
    <w:rsid w:val="0001027E"/>
    <w:rsid w:val="000120A8"/>
    <w:rsid w:val="00023A57"/>
    <w:rsid w:val="00024E32"/>
    <w:rsid w:val="00045329"/>
    <w:rsid w:val="00047A64"/>
    <w:rsid w:val="00050162"/>
    <w:rsid w:val="00067329"/>
    <w:rsid w:val="000A70CD"/>
    <w:rsid w:val="000B0591"/>
    <w:rsid w:val="000B2838"/>
    <w:rsid w:val="000C487F"/>
    <w:rsid w:val="000D44CA"/>
    <w:rsid w:val="000E200B"/>
    <w:rsid w:val="000F68BE"/>
    <w:rsid w:val="001738DC"/>
    <w:rsid w:val="001927A4"/>
    <w:rsid w:val="00194AC6"/>
    <w:rsid w:val="001A23B0"/>
    <w:rsid w:val="001A25CC"/>
    <w:rsid w:val="001B0AAA"/>
    <w:rsid w:val="001B2E00"/>
    <w:rsid w:val="001C39F7"/>
    <w:rsid w:val="001C6F44"/>
    <w:rsid w:val="001C763D"/>
    <w:rsid w:val="001D3048"/>
    <w:rsid w:val="00237B48"/>
    <w:rsid w:val="0024521E"/>
    <w:rsid w:val="0025753E"/>
    <w:rsid w:val="00263C3D"/>
    <w:rsid w:val="00274D0B"/>
    <w:rsid w:val="002B052D"/>
    <w:rsid w:val="002B34CD"/>
    <w:rsid w:val="002B3C95"/>
    <w:rsid w:val="002B7859"/>
    <w:rsid w:val="002D0B92"/>
    <w:rsid w:val="002D5125"/>
    <w:rsid w:val="00306FFA"/>
    <w:rsid w:val="0032243E"/>
    <w:rsid w:val="00357F6F"/>
    <w:rsid w:val="00371141"/>
    <w:rsid w:val="003724AA"/>
    <w:rsid w:val="00380279"/>
    <w:rsid w:val="00380D1D"/>
    <w:rsid w:val="0039636A"/>
    <w:rsid w:val="003B3C0D"/>
    <w:rsid w:val="003D5BBE"/>
    <w:rsid w:val="003E3C61"/>
    <w:rsid w:val="003E586E"/>
    <w:rsid w:val="003F1C5B"/>
    <w:rsid w:val="0041242E"/>
    <w:rsid w:val="00420DB7"/>
    <w:rsid w:val="00432EBF"/>
    <w:rsid w:val="00434E33"/>
    <w:rsid w:val="004352AF"/>
    <w:rsid w:val="00440E81"/>
    <w:rsid w:val="00441434"/>
    <w:rsid w:val="0045264C"/>
    <w:rsid w:val="00456F7A"/>
    <w:rsid w:val="00470B25"/>
    <w:rsid w:val="004876EC"/>
    <w:rsid w:val="004D6E14"/>
    <w:rsid w:val="005009B0"/>
    <w:rsid w:val="00503845"/>
    <w:rsid w:val="005A1006"/>
    <w:rsid w:val="005A2A55"/>
    <w:rsid w:val="005E714A"/>
    <w:rsid w:val="005F693D"/>
    <w:rsid w:val="006140A0"/>
    <w:rsid w:val="00623ECB"/>
    <w:rsid w:val="00624065"/>
    <w:rsid w:val="00636621"/>
    <w:rsid w:val="00642B49"/>
    <w:rsid w:val="006832D9"/>
    <w:rsid w:val="006846B9"/>
    <w:rsid w:val="0069403B"/>
    <w:rsid w:val="006F3DDE"/>
    <w:rsid w:val="00704678"/>
    <w:rsid w:val="007425E7"/>
    <w:rsid w:val="00750A9D"/>
    <w:rsid w:val="007D45A6"/>
    <w:rsid w:val="007F7080"/>
    <w:rsid w:val="00802607"/>
    <w:rsid w:val="008101A5"/>
    <w:rsid w:val="00812467"/>
    <w:rsid w:val="00822664"/>
    <w:rsid w:val="008228C3"/>
    <w:rsid w:val="00843796"/>
    <w:rsid w:val="00875E8A"/>
    <w:rsid w:val="00895229"/>
    <w:rsid w:val="008B2EB3"/>
    <w:rsid w:val="008C1654"/>
    <w:rsid w:val="008F0203"/>
    <w:rsid w:val="008F50D4"/>
    <w:rsid w:val="008F63B5"/>
    <w:rsid w:val="009057A9"/>
    <w:rsid w:val="009239AA"/>
    <w:rsid w:val="00935ADA"/>
    <w:rsid w:val="00946B6C"/>
    <w:rsid w:val="00955A71"/>
    <w:rsid w:val="00956EA9"/>
    <w:rsid w:val="0096108F"/>
    <w:rsid w:val="00974401"/>
    <w:rsid w:val="0098404E"/>
    <w:rsid w:val="00986462"/>
    <w:rsid w:val="00997BA2"/>
    <w:rsid w:val="009C13B9"/>
    <w:rsid w:val="009D01A2"/>
    <w:rsid w:val="009E0C1F"/>
    <w:rsid w:val="009F5923"/>
    <w:rsid w:val="00A03927"/>
    <w:rsid w:val="00A262E4"/>
    <w:rsid w:val="00A403BB"/>
    <w:rsid w:val="00A674DF"/>
    <w:rsid w:val="00A83AA6"/>
    <w:rsid w:val="00A87B4C"/>
    <w:rsid w:val="00A934D6"/>
    <w:rsid w:val="00A93A42"/>
    <w:rsid w:val="00AC5D8D"/>
    <w:rsid w:val="00AC7686"/>
    <w:rsid w:val="00AD00D8"/>
    <w:rsid w:val="00AD44AE"/>
    <w:rsid w:val="00AE1809"/>
    <w:rsid w:val="00AE4B5A"/>
    <w:rsid w:val="00B053F9"/>
    <w:rsid w:val="00B34554"/>
    <w:rsid w:val="00B455EC"/>
    <w:rsid w:val="00B52A85"/>
    <w:rsid w:val="00B57CA9"/>
    <w:rsid w:val="00B80D76"/>
    <w:rsid w:val="00B824F4"/>
    <w:rsid w:val="00BA2105"/>
    <w:rsid w:val="00BA2BB9"/>
    <w:rsid w:val="00BA4621"/>
    <w:rsid w:val="00BA7E06"/>
    <w:rsid w:val="00BB089D"/>
    <w:rsid w:val="00BB43B5"/>
    <w:rsid w:val="00BB6219"/>
    <w:rsid w:val="00BD290F"/>
    <w:rsid w:val="00BD78CA"/>
    <w:rsid w:val="00C14CC4"/>
    <w:rsid w:val="00C33C52"/>
    <w:rsid w:val="00C40D8B"/>
    <w:rsid w:val="00C639F1"/>
    <w:rsid w:val="00C8407A"/>
    <w:rsid w:val="00C8488C"/>
    <w:rsid w:val="00C86E91"/>
    <w:rsid w:val="00CA2650"/>
    <w:rsid w:val="00CB1078"/>
    <w:rsid w:val="00CC6FAF"/>
    <w:rsid w:val="00CD2FAB"/>
    <w:rsid w:val="00CF6542"/>
    <w:rsid w:val="00D00E0F"/>
    <w:rsid w:val="00D24698"/>
    <w:rsid w:val="00D527B7"/>
    <w:rsid w:val="00D6383F"/>
    <w:rsid w:val="00D64A9C"/>
    <w:rsid w:val="00D94260"/>
    <w:rsid w:val="00DA015B"/>
    <w:rsid w:val="00DB59D0"/>
    <w:rsid w:val="00DC33D3"/>
    <w:rsid w:val="00DC3D06"/>
    <w:rsid w:val="00E248D4"/>
    <w:rsid w:val="00E26329"/>
    <w:rsid w:val="00E40B50"/>
    <w:rsid w:val="00E50293"/>
    <w:rsid w:val="00E65FFC"/>
    <w:rsid w:val="00E744EA"/>
    <w:rsid w:val="00E80951"/>
    <w:rsid w:val="00E86CC6"/>
    <w:rsid w:val="00EB3CA6"/>
    <w:rsid w:val="00EB56B3"/>
    <w:rsid w:val="00ED6492"/>
    <w:rsid w:val="00EE4167"/>
    <w:rsid w:val="00EF080E"/>
    <w:rsid w:val="00EF2095"/>
    <w:rsid w:val="00F06866"/>
    <w:rsid w:val="00F15956"/>
    <w:rsid w:val="00F24CFC"/>
    <w:rsid w:val="00F3170F"/>
    <w:rsid w:val="00F51AC7"/>
    <w:rsid w:val="00F976B0"/>
    <w:rsid w:val="00FA6DE7"/>
    <w:rsid w:val="00FC0A8E"/>
    <w:rsid w:val="00FC1CB7"/>
    <w:rsid w:val="00FE2FA6"/>
    <w:rsid w:val="00FE3DF2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D44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44AE"/>
  </w:style>
  <w:style w:type="character" w:styleId="FootnoteReference">
    <w:name w:val="footnote reference"/>
    <w:rsid w:val="00AD44AE"/>
    <w:rPr>
      <w:vertAlign w:val="superscript"/>
    </w:rPr>
  </w:style>
  <w:style w:type="character" w:styleId="Hyperlink">
    <w:name w:val="Hyperlink"/>
    <w:rsid w:val="00AD44A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D44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44AE"/>
  </w:style>
  <w:style w:type="character" w:styleId="FootnoteReference">
    <w:name w:val="footnote reference"/>
    <w:rsid w:val="00AD44AE"/>
    <w:rPr>
      <w:vertAlign w:val="superscript"/>
    </w:rPr>
  </w:style>
  <w:style w:type="character" w:styleId="Hyperlink">
    <w:name w:val="Hyperlink"/>
    <w:rsid w:val="00AD44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ls.gov/oes/2017/May/naics3_481000.htm" TargetMode="External"/><Relationship Id="rId2" Type="http://schemas.openxmlformats.org/officeDocument/2006/relationships/hyperlink" Target="https://www.bls.gov/news.release/archives/ecec_09182018.htm" TargetMode="External"/><Relationship Id="rId1" Type="http://schemas.openxmlformats.org/officeDocument/2006/relationships/hyperlink" Target="https://www.bls.gov/oes/2017/May/naics3_482000.htm" TargetMode="External"/><Relationship Id="rId4" Type="http://schemas.openxmlformats.org/officeDocument/2006/relationships/hyperlink" Target="https://www.bls.gov/news.release/archives/ecec_0918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a24db8-b43c-4576-b9f3-d527095e9577">TSADT-783092807-11389</_dlc_DocId>
    <_dlc_DocIdUrl xmlns="dfa24db8-b43c-4576-b9f3-d527095e9577">
      <Url>https://apps2013.ishare.tsa.dhs.gov/sites/gel/OIT/_layouts/15/DocIdRedir.aspx?ID=TSADT-783092807-11389</Url>
      <Description>TSADT-783092807-11389</Description>
    </_dlc_DocIdUrl>
    <IconOverlay xmlns="http://schemas.microsoft.com/sharepoint/v4" xsi:nil="true"/>
    <Originator_x0020_Division xmlns="dfa24db8-b43c-4576-b9f3-d527095e9577">Mission Support Division</Originator_x0020_Division>
    <Folder_x0020_Title xmlns="dfa24db8-b43c-4576-b9f3-d527095e9577" xsi:nil="true"/>
    <Originator xmlns="dfa24db8-b43c-4576-b9f3-d527095e9577">
      <UserInfo>
        <DisplayName/>
        <AccountId>226</AccountId>
        <AccountType/>
      </UserInfo>
    </Originator>
    <WorkFolder_x0020_Type xmlns="dfa24db8-b43c-4576-b9f3-d527095e9577">25 - Other</WorkFolder_x0020_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361A932546F4590D5DC141682ABDA" ma:contentTypeVersion="7" ma:contentTypeDescription="Create a new document." ma:contentTypeScope="" ma:versionID="c7eb3d4420186e7cfb22c11118b58469">
  <xsd:schema xmlns:xsd="http://www.w3.org/2001/XMLSchema" xmlns:xs="http://www.w3.org/2001/XMLSchema" xmlns:p="http://schemas.microsoft.com/office/2006/metadata/properties" xmlns:ns2="dfa24db8-b43c-4576-b9f3-d527095e9577" xmlns:ns4="http://schemas.microsoft.com/sharepoint/v4" targetNamespace="http://schemas.microsoft.com/office/2006/metadata/properties" ma:root="true" ma:fieldsID="897c6a1cf3eb03bda970cb1bcee18b59" ns2:_="" ns4:_="">
    <xsd:import namespace="dfa24db8-b43c-4576-b9f3-d527095e957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riginator_x0020_Division"/>
                <xsd:element ref="ns2:WorkFolder_x0020_Type"/>
                <xsd:element ref="ns2:Folder_x0020_Title" minOccurs="0"/>
                <xsd:element ref="ns2:Originator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24db8-b43c-4576-b9f3-d527095e95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riginator_x0020_Division" ma:index="11" ma:displayName="Originator Division" ma:format="Dropdown" ma:indexed="true" ma:internalName="Originator_x0020_Division" ma:readOnly="false">
      <xsd:simpleType>
        <xsd:restriction base="dms:Choice">
          <xsd:enumeration value="IT Government and Industry Liaison"/>
          <xsd:enumeration value="Information Assurance Division"/>
          <xsd:enumeration value="Application Development Division"/>
          <xsd:enumeration value="Operations &amp; Engineering"/>
          <xsd:enumeration value="End User Services Division"/>
          <xsd:enumeration value="Enterprise Architecture Division"/>
          <xsd:enumeration value="Mission Support Division"/>
          <xsd:enumeration value="IT Operations"/>
          <xsd:enumeration value="Mission Operations"/>
          <xsd:enumeration value="Classified Technology Division"/>
          <xsd:enumeration value="Technology Solutions Division"/>
        </xsd:restriction>
      </xsd:simpleType>
    </xsd:element>
    <xsd:element name="WorkFolder_x0020_Type" ma:index="12" ma:displayName="WorkFolder Type" ma:format="Dropdown" ma:indexed="true" ma:internalName="WorkFolder_x0020_Type" ma:readOnly="false">
      <xsd:simpleType>
        <xsd:restriction base="dms:Choice">
          <xsd:enumeration value="01 - Letter"/>
          <xsd:enumeration value="02 - IT Waiver/Exception"/>
          <xsd:enumeration value="03 - Memo"/>
          <xsd:enumeration value="04 - PR"/>
          <xsd:enumeration value="05 - Training"/>
          <xsd:enumeration value="06 - CIO COUNCIL"/>
          <xsd:enumeration value="07 - Misc"/>
          <xsd:enumeration value="08 - Broadcast"/>
          <xsd:enumeration value="09 - Flyer"/>
          <xsd:enumeration value="10 - PAR Forms"/>
          <xsd:enumeration value="11 - SOP"/>
          <xsd:enumeration value="12 - MD"/>
          <xsd:enumeration value="13 - Security Policy"/>
          <xsd:enumeration value="14 - Action/Decision Memo"/>
          <xsd:enumeration value="15 - Airport Amendment"/>
          <xsd:enumeration value="16 - Briefing Book"/>
          <xsd:enumeration value="17 - Enforcement Investigation Report"/>
          <xsd:enumeration value="18 - Official Correspondence"/>
          <xsd:enumeration value="19 - Standard Operating Procedure (SOP)"/>
          <xsd:enumeration value="20 - Information Memo"/>
          <xsd:enumeration value="21 - HR Action"/>
          <xsd:enumeration value="22 - Finance Action"/>
          <xsd:enumeration value="23 - Read Ahead"/>
          <xsd:enumeration value="24 - Stakeholder Letter"/>
          <xsd:enumeration value="25 - Other"/>
        </xsd:restriction>
      </xsd:simpleType>
    </xsd:element>
    <xsd:element name="Folder_x0020_Title" ma:index="13" nillable="true" ma:displayName="Folder Title" ma:indexed="true" ma:internalName="Folder_x0020_Title" ma:readOnly="false">
      <xsd:simpleType>
        <xsd:restriction base="dms:Text">
          <xsd:maxLength value="255"/>
        </xsd:restriction>
      </xsd:simpleType>
    </xsd:element>
    <xsd:element name="Originator" ma:index="14" ma:displayName="Originator" ma:indexed="true" ma:list="UserInfo" ma:SharePointGroup="0" ma:internalName="Origin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8EE6E-A1E4-44A7-96F2-DAE26DA569CA}">
  <ds:schemaRefs>
    <ds:schemaRef ds:uri="http://schemas.microsoft.com/office/2006/metadata/properties"/>
    <ds:schemaRef ds:uri="http://schemas.microsoft.com/office/infopath/2007/PartnerControls"/>
    <ds:schemaRef ds:uri="dfa24db8-b43c-4576-b9f3-d527095e9577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983524DA-E1A7-4B4F-8B20-A6CFBE3DB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24db8-b43c-4576-b9f3-d527095e957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D9727-10A3-4C53-92BD-7329E7DF85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B7486D-BA51-441E-8C20-A7AAE4DB9E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2D10ADB-1571-4861-B057-40DA6E1A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5967</CharactersWithSpaces>
  <SharedDoc>false</SharedDoc>
  <HLinks>
    <vt:vector size="24" baseType="variant">
      <vt:variant>
        <vt:i4>4128778</vt:i4>
      </vt:variant>
      <vt:variant>
        <vt:i4>9</vt:i4>
      </vt:variant>
      <vt:variant>
        <vt:i4>0</vt:i4>
      </vt:variant>
      <vt:variant>
        <vt:i4>5</vt:i4>
      </vt:variant>
      <vt:variant>
        <vt:lpwstr>https://www.bls.gov/news.release/archives/ecec_09182018.htm</vt:lpwstr>
      </vt:variant>
      <vt:variant>
        <vt:lpwstr/>
      </vt:variant>
      <vt:variant>
        <vt:i4>327776</vt:i4>
      </vt:variant>
      <vt:variant>
        <vt:i4>6</vt:i4>
      </vt:variant>
      <vt:variant>
        <vt:i4>0</vt:i4>
      </vt:variant>
      <vt:variant>
        <vt:i4>5</vt:i4>
      </vt:variant>
      <vt:variant>
        <vt:lpwstr>https://www.bls.gov/oes/2017/May/naics3_481000.htm</vt:lpwstr>
      </vt:variant>
      <vt:variant>
        <vt:lpwstr/>
      </vt:variant>
      <vt:variant>
        <vt:i4>4128778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https://www.bls.gov/news.release/archives/ecec_09182018.htm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https://www.bls.gov/oes/2017/May/naics3_482000.htm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>5000.22</cp:keywords>
  <cp:lastModifiedBy>SYSTEM</cp:lastModifiedBy>
  <cp:revision>2</cp:revision>
  <cp:lastPrinted>2010-10-04T15:59:00Z</cp:lastPrinted>
  <dcterms:created xsi:type="dcterms:W3CDTF">2018-11-20T17:44:00Z</dcterms:created>
  <dcterms:modified xsi:type="dcterms:W3CDTF">2018-11-20T17:44:00Z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0x01010056F361A932546F4590D5DC141682ABDA</vt:lpwstr>
  </property>
  <property fmtid="{D5CDD505-2E9C-101B-9397-08002B2CF9AE}" pid="4" name="_dlc_DocIdItemGuid">
    <vt:lpwstr>58aa9a3c-5e10-49da-bccd-4c0e46141089</vt:lpwstr>
  </property>
  <property fmtid="{D5CDD505-2E9C-101B-9397-08002B2CF9AE}" pid="5" name="_docset_NoMedatataSyncRequired">
    <vt:lpwstr>False</vt:lpwstr>
  </property>
</Properties>
</file>