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41C9" w14:textId="77777777" w:rsidR="008478A9" w:rsidRPr="002F4ACA" w:rsidRDefault="008478A9" w:rsidP="00A30BF1">
      <w:pPr>
        <w:pStyle w:val="SL-FlLftSgl"/>
        <w:spacing w:line="240" w:lineRule="auto"/>
        <w:rPr>
          <w:sz w:val="56"/>
        </w:rPr>
      </w:pPr>
    </w:p>
    <w:p w14:paraId="68D6C151" w14:textId="77777777" w:rsidR="008478A9" w:rsidRPr="00AD5101" w:rsidRDefault="00A80324" w:rsidP="00A30BF1">
      <w:pPr>
        <w:pStyle w:val="SL-FlLftSgl"/>
        <w:spacing w:line="240" w:lineRule="auto"/>
        <w:rPr>
          <w:rFonts w:ascii="Times New Roman Bold" w:hAnsi="Times New Roman Bold"/>
          <w:b/>
          <w:sz w:val="56"/>
        </w:rPr>
      </w:pPr>
      <w:r w:rsidRPr="004438DC">
        <w:rPr>
          <w:noProof/>
          <w:sz w:val="56"/>
        </w:rPr>
        <w:drawing>
          <wp:inline distT="0" distB="0" distL="0" distR="0" wp14:anchorId="12028ABF" wp14:editId="06917A7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1C31FAA" w14:textId="77777777" w:rsidR="00A80324" w:rsidRDefault="00A80324" w:rsidP="00A30BF1">
      <w:pPr>
        <w:pStyle w:val="SL-FlLftSgl"/>
        <w:spacing w:line="240" w:lineRule="auto"/>
        <w:jc w:val="center"/>
        <w:rPr>
          <w:rFonts w:ascii="Times New Roman Bold" w:hAnsi="Times New Roman Bold"/>
          <w:b/>
          <w:sz w:val="56"/>
        </w:rPr>
      </w:pPr>
      <w:bookmarkStart w:id="0" w:name="_Toc474654492"/>
      <w:bookmarkStart w:id="1" w:name="_Toc474809904"/>
    </w:p>
    <w:p w14:paraId="05A26B11" w14:textId="77777777" w:rsidR="00A80324" w:rsidRDefault="00A80324" w:rsidP="00A30BF1">
      <w:pPr>
        <w:pStyle w:val="SL-FlLftSgl"/>
        <w:spacing w:line="240" w:lineRule="auto"/>
        <w:jc w:val="center"/>
        <w:rPr>
          <w:rFonts w:ascii="Times New Roman Bold" w:hAnsi="Times New Roman Bold"/>
          <w:b/>
          <w:sz w:val="56"/>
        </w:rPr>
      </w:pPr>
    </w:p>
    <w:p w14:paraId="42F22864" w14:textId="41A8FD34" w:rsidR="00A80324" w:rsidRDefault="00240CBA" w:rsidP="00A30BF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2016 (</w:t>
      </w:r>
      <w:r w:rsidR="00A80324" w:rsidRPr="00AD5101">
        <w:rPr>
          <w:rFonts w:ascii="Times New Roman Bold" w:hAnsi="Times New Roman Bold"/>
          <w:b/>
          <w:sz w:val="56"/>
        </w:rPr>
        <w:t>NHES:</w:t>
      </w:r>
      <w:r w:rsidR="00A80324">
        <w:rPr>
          <w:rFonts w:ascii="Times New Roman Bold" w:hAnsi="Times New Roman Bold"/>
          <w:b/>
          <w:sz w:val="56"/>
        </w:rPr>
        <w:t>201</w:t>
      </w:r>
      <w:r w:rsidR="007F7BB8">
        <w:rPr>
          <w:rFonts w:ascii="Times New Roman Bold" w:hAnsi="Times New Roman Bold"/>
          <w:b/>
          <w:sz w:val="56"/>
        </w:rPr>
        <w:t>6</w:t>
      </w:r>
      <w:r>
        <w:rPr>
          <w:rFonts w:ascii="Times New Roman Bold" w:hAnsi="Times New Roman Bold"/>
          <w:b/>
          <w:sz w:val="56"/>
        </w:rPr>
        <w:t>)</w:t>
      </w:r>
    </w:p>
    <w:p w14:paraId="5F046D87" w14:textId="77777777" w:rsidR="00A80324" w:rsidRPr="00AD5101"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2D6019C2" w14:textId="77777777" w:rsidR="00240CBA" w:rsidRDefault="00240CBA" w:rsidP="00A30BF1">
      <w:pPr>
        <w:pStyle w:val="SL-FlLftSgl"/>
        <w:spacing w:line="240" w:lineRule="auto"/>
        <w:jc w:val="center"/>
        <w:rPr>
          <w:rFonts w:ascii="Times New Roman Bold" w:hAnsi="Times New Roman Bold"/>
          <w:b/>
          <w:sz w:val="36"/>
          <w:szCs w:val="36"/>
        </w:rPr>
      </w:pPr>
    </w:p>
    <w:p w14:paraId="47EAAEC8" w14:textId="5AC900CA" w:rsidR="00A80324" w:rsidRPr="00E75AC9" w:rsidRDefault="00A80324" w:rsidP="00A30BF1">
      <w:pPr>
        <w:pStyle w:val="SL-FlLftSgl"/>
        <w:spacing w:line="240" w:lineRule="auto"/>
        <w:jc w:val="center"/>
        <w:rPr>
          <w:rFonts w:ascii="Times New Roman Bold" w:hAnsi="Times New Roman Bold"/>
          <w:b/>
          <w:sz w:val="36"/>
          <w:szCs w:val="36"/>
        </w:rPr>
      </w:pPr>
    </w:p>
    <w:p w14:paraId="1140073A" w14:textId="1F91234B" w:rsidR="00A80324" w:rsidRDefault="00A80324" w:rsidP="00A30BF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C36FB0">
        <w:rPr>
          <w:rFonts w:ascii="Times New Roman Bold" w:hAnsi="Times New Roman Bold"/>
          <w:b/>
          <w:sz w:val="56"/>
        </w:rPr>
        <w:t>0768 v.11</w:t>
      </w:r>
    </w:p>
    <w:p w14:paraId="6061E401" w14:textId="77777777" w:rsidR="00A80324" w:rsidRPr="009A1B27"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Part A</w:t>
      </w:r>
    </w:p>
    <w:p w14:paraId="2674F373" w14:textId="77777777" w:rsidR="00A80324" w:rsidRPr="00AD5101" w:rsidRDefault="00A80324" w:rsidP="00A30BF1">
      <w:pPr>
        <w:pStyle w:val="SL-FlLftSgl"/>
        <w:spacing w:line="240" w:lineRule="auto"/>
        <w:jc w:val="center"/>
        <w:rPr>
          <w:rFonts w:ascii="Times New Roman Bold" w:hAnsi="Times New Roman Bold"/>
          <w:b/>
          <w:sz w:val="28"/>
        </w:rPr>
      </w:pPr>
    </w:p>
    <w:p w14:paraId="6FAC4AA2" w14:textId="77777777" w:rsidR="00A80324" w:rsidRDefault="00A80324" w:rsidP="00A30BF1">
      <w:pPr>
        <w:pStyle w:val="C1-CtrBoldHd"/>
        <w:spacing w:after="0" w:line="240" w:lineRule="auto"/>
      </w:pPr>
    </w:p>
    <w:p w14:paraId="3FB80A1C" w14:textId="77777777" w:rsidR="00A80324" w:rsidRDefault="00A80324" w:rsidP="00A30BF1">
      <w:pPr>
        <w:pStyle w:val="C1-CtrBoldHd"/>
        <w:spacing w:after="0" w:line="240" w:lineRule="auto"/>
      </w:pPr>
    </w:p>
    <w:p w14:paraId="1268A553" w14:textId="77777777" w:rsidR="00A80324" w:rsidRDefault="00A80324" w:rsidP="00A30BF1">
      <w:pPr>
        <w:pStyle w:val="C1-CtrBoldHd"/>
        <w:spacing w:after="0" w:line="240" w:lineRule="auto"/>
      </w:pPr>
    </w:p>
    <w:p w14:paraId="539B09C3" w14:textId="77777777" w:rsidR="00A80324" w:rsidRDefault="00A80324" w:rsidP="00A30BF1">
      <w:pPr>
        <w:pStyle w:val="C1-CtrBoldHd"/>
        <w:spacing w:after="0" w:line="240" w:lineRule="auto"/>
      </w:pPr>
    </w:p>
    <w:p w14:paraId="7DD268E9" w14:textId="77777777" w:rsidR="00A80324" w:rsidRDefault="00A80324" w:rsidP="00A30BF1">
      <w:pPr>
        <w:pStyle w:val="C1-CtrBoldHd"/>
        <w:spacing w:after="0" w:line="240" w:lineRule="auto"/>
      </w:pPr>
    </w:p>
    <w:p w14:paraId="0C0FA224" w14:textId="77777777" w:rsidR="00A80324" w:rsidRDefault="00A80324" w:rsidP="00A30BF1">
      <w:pPr>
        <w:pStyle w:val="C1-CtrBoldHd"/>
        <w:spacing w:after="0" w:line="240" w:lineRule="auto"/>
      </w:pPr>
    </w:p>
    <w:p w14:paraId="4ECBFD58" w14:textId="77777777" w:rsidR="00A80324" w:rsidRDefault="00A80324" w:rsidP="00A30BF1">
      <w:pPr>
        <w:pStyle w:val="C1-CtrBoldHd"/>
        <w:spacing w:after="0" w:line="240" w:lineRule="auto"/>
      </w:pPr>
    </w:p>
    <w:p w14:paraId="02C2F0A4" w14:textId="77777777" w:rsidR="00A80324" w:rsidRDefault="00A80324" w:rsidP="00A30BF1">
      <w:pPr>
        <w:pStyle w:val="C1-CtrBoldHd"/>
        <w:spacing w:after="0" w:line="240" w:lineRule="auto"/>
      </w:pPr>
    </w:p>
    <w:p w14:paraId="26A5B2C2" w14:textId="77777777" w:rsidR="00A80324" w:rsidRDefault="00A80324" w:rsidP="00A30BF1">
      <w:pPr>
        <w:pStyle w:val="C1-CtrBoldHd"/>
        <w:spacing w:after="0" w:line="240" w:lineRule="auto"/>
      </w:pPr>
    </w:p>
    <w:p w14:paraId="3DC78951" w14:textId="77777777" w:rsidR="00A80324" w:rsidRDefault="00A80324" w:rsidP="00A30BF1">
      <w:pPr>
        <w:pStyle w:val="C1-CtrBoldHd"/>
        <w:spacing w:after="0" w:line="240" w:lineRule="auto"/>
      </w:pPr>
    </w:p>
    <w:p w14:paraId="2AEBB98A" w14:textId="77777777" w:rsidR="00A80324" w:rsidRDefault="00A80324" w:rsidP="00A30BF1">
      <w:pPr>
        <w:pStyle w:val="C1-CtrBoldHd"/>
        <w:spacing w:after="0" w:line="240" w:lineRule="auto"/>
      </w:pPr>
    </w:p>
    <w:p w14:paraId="30399B7B" w14:textId="77777777" w:rsidR="00A80324" w:rsidRDefault="00A80324" w:rsidP="00A30BF1">
      <w:pPr>
        <w:pStyle w:val="C1-CtrBoldHd"/>
        <w:spacing w:after="0" w:line="240" w:lineRule="auto"/>
      </w:pPr>
    </w:p>
    <w:p w14:paraId="2D0E87F0" w14:textId="77777777" w:rsidR="00A80324" w:rsidRDefault="00A80324" w:rsidP="00A30BF1">
      <w:pPr>
        <w:pStyle w:val="C1-CtrBoldHd"/>
        <w:spacing w:after="0" w:line="240" w:lineRule="auto"/>
      </w:pPr>
    </w:p>
    <w:p w14:paraId="2181DC41" w14:textId="77777777" w:rsidR="00A80324" w:rsidRDefault="00A80324" w:rsidP="00A30BF1">
      <w:pPr>
        <w:pStyle w:val="C1-CtrBoldHd"/>
        <w:spacing w:after="0" w:line="240" w:lineRule="auto"/>
      </w:pPr>
    </w:p>
    <w:p w14:paraId="7D8529AC" w14:textId="2EE06056" w:rsidR="00582768" w:rsidRDefault="00582768" w:rsidP="00582768">
      <w:pPr>
        <w:pStyle w:val="C1-CtrBoldHd"/>
        <w:spacing w:after="0" w:line="240" w:lineRule="auto"/>
        <w:rPr>
          <w:rFonts w:ascii="Times New Roman Bold" w:hAnsi="Times New Roman Bold"/>
          <w:sz w:val="28"/>
        </w:rPr>
      </w:pPr>
      <w:r>
        <w:rPr>
          <w:rFonts w:ascii="Times New Roman Bold" w:hAnsi="Times New Roman Bold"/>
          <w:b w:val="0"/>
          <w:caps w:val="0"/>
          <w:sz w:val="28"/>
        </w:rPr>
        <w:t>April</w:t>
      </w:r>
      <w:r w:rsidRPr="0079531A">
        <w:rPr>
          <w:rFonts w:ascii="Times New Roman Bold" w:hAnsi="Times New Roman Bold"/>
          <w:sz w:val="28"/>
        </w:rPr>
        <w:t xml:space="preserve"> 201</w:t>
      </w:r>
      <w:r>
        <w:rPr>
          <w:rFonts w:ascii="Times New Roman Bold" w:hAnsi="Times New Roman Bold"/>
          <w:sz w:val="28"/>
        </w:rPr>
        <w:t>5</w:t>
      </w:r>
    </w:p>
    <w:p w14:paraId="0DEB69D5" w14:textId="77777777" w:rsidR="00A80324" w:rsidRDefault="00A80324" w:rsidP="00A30BF1">
      <w:pPr>
        <w:pStyle w:val="C1-CtrBoldHd"/>
        <w:spacing w:after="0" w:line="240" w:lineRule="auto"/>
      </w:pPr>
    </w:p>
    <w:p w14:paraId="0FD91079" w14:textId="4D5C1FBB" w:rsidR="00CA6F93" w:rsidRDefault="00582768" w:rsidP="00A30BF1">
      <w:pPr>
        <w:pStyle w:val="C1-CtrBoldHd"/>
        <w:spacing w:after="0" w:line="240" w:lineRule="auto"/>
        <w:rPr>
          <w:rFonts w:ascii="Times New Roman Bold" w:hAnsi="Times New Roman Bold"/>
          <w:sz w:val="28"/>
        </w:rPr>
      </w:pPr>
      <w:r>
        <w:rPr>
          <w:rFonts w:ascii="Times New Roman Bold" w:hAnsi="Times New Roman Bold"/>
          <w:b w:val="0"/>
          <w:caps w:val="0"/>
          <w:sz w:val="28"/>
        </w:rPr>
        <w:t xml:space="preserve">Revised in </w:t>
      </w:r>
      <w:r w:rsidR="00104F37">
        <w:rPr>
          <w:rFonts w:ascii="Times New Roman Bold" w:hAnsi="Times New Roman Bold"/>
          <w:b w:val="0"/>
          <w:caps w:val="0"/>
          <w:sz w:val="28"/>
        </w:rPr>
        <w:t>Ju</w:t>
      </w:r>
      <w:r w:rsidR="008E3F94">
        <w:rPr>
          <w:rFonts w:ascii="Times New Roman Bold" w:hAnsi="Times New Roman Bold"/>
          <w:b w:val="0"/>
          <w:caps w:val="0"/>
          <w:sz w:val="28"/>
        </w:rPr>
        <w:t>ly</w:t>
      </w:r>
      <w:r w:rsidR="00B10411" w:rsidRPr="0079531A">
        <w:rPr>
          <w:rFonts w:ascii="Times New Roman Bold" w:hAnsi="Times New Roman Bold"/>
          <w:sz w:val="28"/>
        </w:rPr>
        <w:t xml:space="preserve"> 201</w:t>
      </w:r>
      <w:r w:rsidR="007F7BB8">
        <w:rPr>
          <w:rFonts w:ascii="Times New Roman Bold" w:hAnsi="Times New Roman Bold"/>
          <w:sz w:val="28"/>
        </w:rPr>
        <w:t>5</w:t>
      </w:r>
    </w:p>
    <w:p w14:paraId="4394CA00" w14:textId="77777777" w:rsidR="004B4AEC" w:rsidRDefault="00570886" w:rsidP="00A30BF1">
      <w:pPr>
        <w:pStyle w:val="C1-CtrBoldHd"/>
        <w:spacing w:after="0" w:line="240" w:lineRule="auto"/>
      </w:pPr>
      <w:r>
        <w:br w:type="page"/>
      </w:r>
    </w:p>
    <w:p w14:paraId="73C0B2C5" w14:textId="77777777" w:rsidR="004B4AEC" w:rsidRDefault="004B4AEC" w:rsidP="00A30BF1">
      <w:pPr>
        <w:pStyle w:val="C1-CtrBoldHd"/>
        <w:spacing w:after="0" w:line="240" w:lineRule="auto"/>
      </w:pPr>
    </w:p>
    <w:p w14:paraId="42971FA9" w14:textId="77777777" w:rsidR="004B4AEC" w:rsidRDefault="004B4AEC" w:rsidP="00A30BF1">
      <w:pPr>
        <w:pStyle w:val="C1-CtrBoldHd"/>
        <w:spacing w:after="0" w:line="240" w:lineRule="auto"/>
      </w:pPr>
    </w:p>
    <w:p w14:paraId="3AA6660B" w14:textId="77777777" w:rsidR="004B4AEC" w:rsidRDefault="004B4AEC" w:rsidP="00A30BF1">
      <w:pPr>
        <w:pStyle w:val="C1-CtrBoldHd"/>
        <w:spacing w:after="0" w:line="240" w:lineRule="auto"/>
      </w:pPr>
    </w:p>
    <w:p w14:paraId="1CA5910F" w14:textId="77777777" w:rsidR="004B4AEC" w:rsidRDefault="004B4AEC" w:rsidP="00A30BF1">
      <w:pPr>
        <w:pStyle w:val="C1-CtrBoldHd"/>
        <w:spacing w:after="0" w:line="240" w:lineRule="auto"/>
      </w:pPr>
    </w:p>
    <w:p w14:paraId="16BAB6DB" w14:textId="77777777" w:rsidR="004B4AEC" w:rsidRDefault="004B4AEC" w:rsidP="00A30BF1">
      <w:pPr>
        <w:pStyle w:val="C1-CtrBoldHd"/>
        <w:spacing w:after="0" w:line="240" w:lineRule="auto"/>
      </w:pPr>
    </w:p>
    <w:p w14:paraId="1B47B70B" w14:textId="3E162CC7" w:rsidR="008478A9" w:rsidRDefault="008478A9" w:rsidP="00A30BF1">
      <w:pPr>
        <w:pStyle w:val="C1-CtrBoldHd"/>
        <w:spacing w:after="0" w:line="240" w:lineRule="auto"/>
      </w:pPr>
      <w:r w:rsidRPr="00A30BF1">
        <w:t>TABLE OF CONTENTS</w:t>
      </w:r>
      <w:bookmarkEnd w:id="0"/>
      <w:bookmarkEnd w:id="1"/>
    </w:p>
    <w:p w14:paraId="2945F059" w14:textId="77777777" w:rsidR="008478A9" w:rsidRDefault="008478A9" w:rsidP="00A30BF1">
      <w:pPr>
        <w:pStyle w:val="T0-ChapPgHd"/>
        <w:spacing w:line="240" w:lineRule="auto"/>
      </w:pPr>
      <w:r>
        <w:tab/>
        <w:t>Page</w:t>
      </w:r>
    </w:p>
    <w:p w14:paraId="7B224784" w14:textId="77777777" w:rsidR="008478A9" w:rsidRDefault="008478A9" w:rsidP="00A30BF1">
      <w:pPr>
        <w:pStyle w:val="T0-ChapPgHd"/>
        <w:spacing w:line="240" w:lineRule="auto"/>
      </w:pPr>
    </w:p>
    <w:p w14:paraId="6D1E9434" w14:textId="77777777" w:rsidR="008478A9" w:rsidRDefault="008478A9" w:rsidP="00A30BF1">
      <w:pPr>
        <w:pStyle w:val="TOC1"/>
        <w:tabs>
          <w:tab w:val="left" w:pos="0"/>
        </w:tabs>
        <w:spacing w:line="240" w:lineRule="auto"/>
        <w:ind w:left="0"/>
      </w:pPr>
      <w:r w:rsidRPr="005029BB">
        <w:t>JUSTIFICATION</w:t>
      </w:r>
      <w:r>
        <w:tab/>
      </w:r>
      <w:r w:rsidRPr="005029BB">
        <w:tab/>
        <w:t>1</w:t>
      </w:r>
    </w:p>
    <w:p w14:paraId="49287578" w14:textId="77777777" w:rsidR="008478A9" w:rsidRPr="005029BB" w:rsidRDefault="008478A9" w:rsidP="00A30BF1">
      <w:pPr>
        <w:pStyle w:val="TOC1"/>
        <w:tabs>
          <w:tab w:val="left" w:pos="270"/>
        </w:tabs>
        <w:spacing w:line="240" w:lineRule="auto"/>
      </w:pPr>
    </w:p>
    <w:p w14:paraId="302F49B2" w14:textId="3558F163" w:rsidR="008478A9" w:rsidRPr="005029BB" w:rsidRDefault="008478A9" w:rsidP="00A30BF1">
      <w:pPr>
        <w:pStyle w:val="TOC2"/>
        <w:tabs>
          <w:tab w:val="clear" w:pos="2160"/>
          <w:tab w:val="left" w:pos="270"/>
          <w:tab w:val="left" w:pos="1080"/>
        </w:tabs>
        <w:spacing w:line="240" w:lineRule="auto"/>
        <w:ind w:left="900"/>
      </w:pPr>
      <w:r w:rsidRPr="005029BB">
        <w:t>A.1</w:t>
      </w:r>
      <w:r w:rsidRPr="005029BB">
        <w:tab/>
        <w:t>Circumstances Necessitating Collection of Information</w:t>
      </w:r>
      <w:r>
        <w:tab/>
      </w:r>
      <w:r w:rsidRPr="005029BB">
        <w:tab/>
      </w:r>
      <w:r w:rsidR="00645B88">
        <w:t>1</w:t>
      </w:r>
    </w:p>
    <w:p w14:paraId="212B07FC" w14:textId="6847A6ED" w:rsidR="008478A9" w:rsidRPr="005029BB" w:rsidRDefault="008478A9" w:rsidP="00A30BF1">
      <w:pPr>
        <w:pStyle w:val="TOC2"/>
        <w:tabs>
          <w:tab w:val="clear" w:pos="2160"/>
          <w:tab w:val="left" w:pos="270"/>
          <w:tab w:val="left" w:pos="1080"/>
        </w:tabs>
        <w:spacing w:line="240" w:lineRule="auto"/>
        <w:ind w:left="900"/>
      </w:pPr>
      <w:r w:rsidRPr="005029BB">
        <w:t>A.2</w:t>
      </w:r>
      <w:r w:rsidRPr="005029BB">
        <w:tab/>
        <w:t>Purposes and Uses of the Data</w:t>
      </w:r>
      <w:r>
        <w:tab/>
      </w:r>
      <w:r w:rsidRPr="005029BB">
        <w:tab/>
      </w:r>
      <w:r w:rsidR="00645B88">
        <w:t>1</w:t>
      </w:r>
    </w:p>
    <w:p w14:paraId="0ADE0B9E" w14:textId="4AA7991E" w:rsidR="008478A9" w:rsidRDefault="008478A9" w:rsidP="00A30BF1">
      <w:pPr>
        <w:pStyle w:val="TOC2"/>
        <w:tabs>
          <w:tab w:val="clear" w:pos="2160"/>
          <w:tab w:val="left" w:pos="270"/>
          <w:tab w:val="left" w:pos="1080"/>
        </w:tabs>
        <w:spacing w:line="240" w:lineRule="auto"/>
        <w:ind w:left="900"/>
      </w:pPr>
      <w:r w:rsidRPr="005029BB">
        <w:t>A.3</w:t>
      </w:r>
      <w:r w:rsidRPr="005029BB">
        <w:tab/>
        <w:t>Use of Improved Information Technology</w:t>
      </w:r>
      <w:r>
        <w:tab/>
      </w:r>
      <w:r w:rsidRPr="005029BB">
        <w:tab/>
      </w:r>
      <w:r w:rsidR="00645B88">
        <w:t>5</w:t>
      </w:r>
    </w:p>
    <w:p w14:paraId="0370614D" w14:textId="0296CE68" w:rsidR="008478A9" w:rsidRDefault="008478A9" w:rsidP="00A30BF1">
      <w:pPr>
        <w:pStyle w:val="TOC2"/>
        <w:tabs>
          <w:tab w:val="clear" w:pos="2160"/>
          <w:tab w:val="left" w:pos="270"/>
          <w:tab w:val="left" w:pos="1080"/>
        </w:tabs>
        <w:spacing w:line="240" w:lineRule="auto"/>
        <w:ind w:left="900"/>
      </w:pPr>
      <w:r w:rsidRPr="005029BB">
        <w:t>A.4</w:t>
      </w:r>
      <w:r w:rsidRPr="005029BB">
        <w:tab/>
        <w:t>Efforts to Identify Duplication</w:t>
      </w:r>
      <w:r>
        <w:tab/>
      </w:r>
      <w:r w:rsidRPr="005029BB">
        <w:tab/>
      </w:r>
      <w:r w:rsidR="00645B88">
        <w:t>6</w:t>
      </w:r>
    </w:p>
    <w:p w14:paraId="5BCF77C0" w14:textId="39F15E1C" w:rsidR="005826D3" w:rsidRPr="005029BB" w:rsidRDefault="005826D3" w:rsidP="005826D3">
      <w:pPr>
        <w:pStyle w:val="TOC2"/>
        <w:tabs>
          <w:tab w:val="clear" w:pos="2160"/>
          <w:tab w:val="left" w:pos="270"/>
          <w:tab w:val="left" w:pos="1080"/>
        </w:tabs>
        <w:spacing w:line="240" w:lineRule="auto"/>
        <w:ind w:left="900"/>
      </w:pPr>
      <w:r w:rsidRPr="005029BB">
        <w:t>A.</w:t>
      </w:r>
      <w:r>
        <w:t>5</w:t>
      </w:r>
      <w:r w:rsidRPr="005029BB">
        <w:tab/>
      </w:r>
      <w:r w:rsidRPr="005826D3">
        <w:t>Collection of Data from Small Businesses</w:t>
      </w:r>
      <w:r>
        <w:tab/>
      </w:r>
      <w:r w:rsidRPr="005029BB">
        <w:tab/>
      </w:r>
      <w:r w:rsidR="005F01D0">
        <w:t>6</w:t>
      </w:r>
    </w:p>
    <w:p w14:paraId="4131D545" w14:textId="196EF1C2" w:rsidR="005826D3" w:rsidRPr="005029BB" w:rsidRDefault="005826D3" w:rsidP="005826D3">
      <w:pPr>
        <w:pStyle w:val="TOC2"/>
        <w:tabs>
          <w:tab w:val="clear" w:pos="2160"/>
          <w:tab w:val="left" w:pos="270"/>
          <w:tab w:val="left" w:pos="1080"/>
        </w:tabs>
        <w:spacing w:line="240" w:lineRule="auto"/>
        <w:ind w:left="900"/>
      </w:pPr>
      <w:r w:rsidRPr="005029BB">
        <w:t>A.</w:t>
      </w:r>
      <w:r>
        <w:t>6</w:t>
      </w:r>
      <w:r w:rsidRPr="005029BB">
        <w:tab/>
      </w:r>
      <w:r w:rsidRPr="005826D3">
        <w:t>Consequences of Less Frequent Data Collection</w:t>
      </w:r>
      <w:r>
        <w:tab/>
      </w:r>
      <w:r w:rsidRPr="005029BB">
        <w:tab/>
      </w:r>
      <w:r w:rsidR="00645B88">
        <w:t>7</w:t>
      </w:r>
    </w:p>
    <w:p w14:paraId="2FCF8DB6" w14:textId="5AE0B51B" w:rsidR="005826D3" w:rsidRPr="005029BB" w:rsidRDefault="005826D3" w:rsidP="005826D3">
      <w:pPr>
        <w:pStyle w:val="TOC2"/>
        <w:tabs>
          <w:tab w:val="clear" w:pos="2160"/>
          <w:tab w:val="left" w:pos="270"/>
          <w:tab w:val="left" w:pos="1080"/>
        </w:tabs>
        <w:spacing w:line="240" w:lineRule="auto"/>
        <w:ind w:left="900"/>
      </w:pPr>
      <w:r w:rsidRPr="005029BB">
        <w:t>A.</w:t>
      </w:r>
      <w:r>
        <w:t>7</w:t>
      </w:r>
      <w:r w:rsidRPr="005029BB">
        <w:tab/>
      </w:r>
      <w:r w:rsidRPr="005826D3">
        <w:t>Special Circumstances of Data Collection</w:t>
      </w:r>
      <w:r>
        <w:tab/>
      </w:r>
      <w:r w:rsidRPr="005029BB">
        <w:tab/>
      </w:r>
      <w:r w:rsidR="00645B88">
        <w:t>7</w:t>
      </w:r>
    </w:p>
    <w:p w14:paraId="09518398" w14:textId="3F052C94" w:rsidR="008478A9" w:rsidRPr="005029BB" w:rsidRDefault="008478A9" w:rsidP="00A30BF1">
      <w:pPr>
        <w:pStyle w:val="TOC2"/>
        <w:tabs>
          <w:tab w:val="clear" w:pos="2160"/>
          <w:tab w:val="left" w:pos="270"/>
          <w:tab w:val="left" w:pos="1080"/>
        </w:tabs>
        <w:spacing w:line="240" w:lineRule="auto"/>
        <w:ind w:left="900"/>
      </w:pPr>
      <w:r w:rsidRPr="005029BB">
        <w:t>A.</w:t>
      </w:r>
      <w:r w:rsidR="005826D3">
        <w:t>8</w:t>
      </w:r>
      <w:r w:rsidRPr="005029BB">
        <w:tab/>
        <w:t>Consultations Outside the Agency</w:t>
      </w:r>
      <w:r>
        <w:tab/>
      </w:r>
      <w:r w:rsidRPr="005029BB">
        <w:tab/>
      </w:r>
      <w:r w:rsidR="00645B88">
        <w:t>7</w:t>
      </w:r>
    </w:p>
    <w:p w14:paraId="17320FAD" w14:textId="3ED0CD9E" w:rsidR="008478A9" w:rsidRPr="005029BB" w:rsidRDefault="008478A9" w:rsidP="00A30BF1">
      <w:pPr>
        <w:pStyle w:val="TOC2"/>
        <w:tabs>
          <w:tab w:val="clear" w:pos="2160"/>
          <w:tab w:val="left" w:pos="270"/>
          <w:tab w:val="left" w:pos="1080"/>
        </w:tabs>
        <w:spacing w:line="240" w:lineRule="auto"/>
        <w:ind w:left="900"/>
      </w:pPr>
      <w:r w:rsidRPr="005029BB">
        <w:t>A.</w:t>
      </w:r>
      <w:r w:rsidR="005826D3">
        <w:t>9</w:t>
      </w:r>
      <w:r w:rsidRPr="005029BB">
        <w:tab/>
        <w:t>Payments to Respondents</w:t>
      </w:r>
      <w:r>
        <w:tab/>
      </w:r>
      <w:r w:rsidRPr="005029BB">
        <w:tab/>
      </w:r>
      <w:r w:rsidR="003A79C3">
        <w:t>9</w:t>
      </w:r>
    </w:p>
    <w:p w14:paraId="76900ED3" w14:textId="39220EEF" w:rsidR="008478A9" w:rsidRPr="005029BB" w:rsidRDefault="008478A9" w:rsidP="00A30BF1">
      <w:pPr>
        <w:pStyle w:val="TOC2"/>
        <w:tabs>
          <w:tab w:val="clear" w:pos="2160"/>
          <w:tab w:val="left" w:pos="270"/>
          <w:tab w:val="left" w:pos="1080"/>
        </w:tabs>
        <w:spacing w:line="240" w:lineRule="auto"/>
        <w:ind w:left="900"/>
      </w:pPr>
      <w:r w:rsidRPr="005029BB">
        <w:t>A.</w:t>
      </w:r>
      <w:r w:rsidR="005826D3">
        <w:t>10</w:t>
      </w:r>
      <w:r w:rsidRPr="005029BB">
        <w:tab/>
        <w:t>Assurance of Confidentiality</w:t>
      </w:r>
      <w:r>
        <w:tab/>
      </w:r>
      <w:r w:rsidRPr="005029BB">
        <w:tab/>
      </w:r>
      <w:r w:rsidR="003B5AB8">
        <w:t>1</w:t>
      </w:r>
      <w:r w:rsidR="0020033A">
        <w:t>2</w:t>
      </w:r>
    </w:p>
    <w:p w14:paraId="0F95B096" w14:textId="23602524" w:rsidR="008478A9" w:rsidRPr="005029BB" w:rsidRDefault="008478A9" w:rsidP="00A30BF1">
      <w:pPr>
        <w:pStyle w:val="TOC2"/>
        <w:tabs>
          <w:tab w:val="clear" w:pos="2160"/>
          <w:tab w:val="left" w:pos="270"/>
          <w:tab w:val="left" w:pos="1080"/>
        </w:tabs>
        <w:spacing w:line="240" w:lineRule="auto"/>
        <w:ind w:left="900"/>
      </w:pPr>
      <w:r w:rsidRPr="005029BB">
        <w:t>A.</w:t>
      </w:r>
      <w:r w:rsidR="005826D3">
        <w:t>11</w:t>
      </w:r>
      <w:r w:rsidRPr="005029BB">
        <w:tab/>
        <w:t>Sensitive Questions</w:t>
      </w:r>
      <w:r>
        <w:tab/>
      </w:r>
      <w:r w:rsidRPr="005029BB">
        <w:tab/>
      </w:r>
      <w:r w:rsidR="009E1F52">
        <w:t>1</w:t>
      </w:r>
      <w:r w:rsidR="0020033A">
        <w:t>2</w:t>
      </w:r>
    </w:p>
    <w:p w14:paraId="7CA42EC0" w14:textId="41E9EF0E" w:rsidR="008478A9" w:rsidRPr="005029BB" w:rsidRDefault="008478A9" w:rsidP="00A30BF1">
      <w:pPr>
        <w:pStyle w:val="TOC2"/>
        <w:tabs>
          <w:tab w:val="clear" w:pos="2160"/>
          <w:tab w:val="left" w:pos="270"/>
          <w:tab w:val="left" w:pos="1080"/>
        </w:tabs>
        <w:spacing w:line="240" w:lineRule="auto"/>
        <w:ind w:left="900"/>
      </w:pPr>
      <w:r w:rsidRPr="005029BB">
        <w:t>A.</w:t>
      </w:r>
      <w:r w:rsidR="005826D3">
        <w:t>12</w:t>
      </w:r>
      <w:r w:rsidRPr="005029BB">
        <w:tab/>
        <w:t>Estimated Response Burden</w:t>
      </w:r>
      <w:r>
        <w:tab/>
      </w:r>
      <w:r w:rsidRPr="005029BB">
        <w:tab/>
      </w:r>
      <w:r w:rsidR="00075AA8">
        <w:t>1</w:t>
      </w:r>
      <w:r w:rsidR="003A79C3">
        <w:t>3</w:t>
      </w:r>
    </w:p>
    <w:p w14:paraId="41A267CC" w14:textId="30CE2395" w:rsidR="008478A9" w:rsidRPr="005029BB" w:rsidRDefault="008478A9" w:rsidP="00A30BF1">
      <w:pPr>
        <w:pStyle w:val="TOC2"/>
        <w:tabs>
          <w:tab w:val="clear" w:pos="2160"/>
          <w:tab w:val="left" w:pos="270"/>
          <w:tab w:val="left" w:pos="1080"/>
        </w:tabs>
        <w:spacing w:line="240" w:lineRule="auto"/>
        <w:ind w:left="900"/>
      </w:pPr>
      <w:r w:rsidRPr="005029BB">
        <w:t>A.</w:t>
      </w:r>
      <w:r w:rsidR="005826D3">
        <w:t>13</w:t>
      </w:r>
      <w:r w:rsidRPr="005029BB">
        <w:tab/>
        <w:t>Cost to Respondents</w:t>
      </w:r>
      <w:r>
        <w:tab/>
      </w:r>
      <w:r w:rsidRPr="005029BB">
        <w:tab/>
      </w:r>
      <w:r w:rsidR="000D189D">
        <w:t>1</w:t>
      </w:r>
      <w:r w:rsidR="0020033A">
        <w:t>4</w:t>
      </w:r>
    </w:p>
    <w:p w14:paraId="0E74D441" w14:textId="4A52BE10"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4</w:t>
      </w:r>
      <w:r w:rsidRPr="005029BB">
        <w:tab/>
        <w:t>Cost to the Federal Government</w:t>
      </w:r>
      <w:r>
        <w:tab/>
      </w:r>
      <w:r w:rsidRPr="005029BB">
        <w:tab/>
      </w:r>
      <w:r w:rsidR="00075AA8">
        <w:t>1</w:t>
      </w:r>
      <w:r w:rsidR="0020033A">
        <w:t>4</w:t>
      </w:r>
    </w:p>
    <w:p w14:paraId="2335FFDA" w14:textId="6C529584" w:rsidR="005826D3" w:rsidRDefault="005826D3" w:rsidP="005826D3">
      <w:pPr>
        <w:pStyle w:val="TOC2"/>
        <w:tabs>
          <w:tab w:val="clear" w:pos="2160"/>
          <w:tab w:val="left" w:pos="270"/>
          <w:tab w:val="left" w:pos="1080"/>
        </w:tabs>
        <w:spacing w:line="240" w:lineRule="auto"/>
        <w:ind w:left="900"/>
      </w:pPr>
      <w:r w:rsidRPr="005029BB">
        <w:t>A.1</w:t>
      </w:r>
      <w:r>
        <w:t>5</w:t>
      </w:r>
      <w:r w:rsidRPr="005029BB">
        <w:tab/>
      </w:r>
      <w:r w:rsidRPr="005826D3">
        <w:t>Reasons for Program Changes</w:t>
      </w:r>
      <w:r>
        <w:tab/>
      </w:r>
      <w:r w:rsidRPr="005029BB">
        <w:tab/>
      </w:r>
      <w:r w:rsidR="00075AA8">
        <w:t>1</w:t>
      </w:r>
      <w:r w:rsidR="003A79C3">
        <w:t>4</w:t>
      </w:r>
    </w:p>
    <w:p w14:paraId="32FF7E9B" w14:textId="68D64BDA"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6</w:t>
      </w:r>
      <w:r w:rsidRPr="005029BB">
        <w:tab/>
        <w:t>Publication Plans and Project Schedule</w:t>
      </w:r>
      <w:r>
        <w:tab/>
      </w:r>
      <w:r w:rsidRPr="005029BB">
        <w:tab/>
      </w:r>
      <w:r w:rsidR="009E1F52">
        <w:t>1</w:t>
      </w:r>
      <w:r w:rsidR="0020033A">
        <w:t>5</w:t>
      </w:r>
    </w:p>
    <w:p w14:paraId="0EA8D49B" w14:textId="39CF7E18"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7</w:t>
      </w:r>
      <w:r w:rsidRPr="005029BB">
        <w:tab/>
        <w:t xml:space="preserve">Approval </w:t>
      </w:r>
      <w:r w:rsidR="00626A5E">
        <w:t>to</w:t>
      </w:r>
      <w:r w:rsidRPr="005029BB">
        <w:t xml:space="preserve"> Not Display the Expiration Date for OMB Approval</w:t>
      </w:r>
      <w:r>
        <w:tab/>
      </w:r>
      <w:r w:rsidRPr="005029BB">
        <w:tab/>
      </w:r>
      <w:r w:rsidR="000E541E">
        <w:t>1</w:t>
      </w:r>
      <w:r w:rsidR="0020033A">
        <w:t>5</w:t>
      </w:r>
    </w:p>
    <w:p w14:paraId="7DF0FF0B" w14:textId="7542B9A9" w:rsidR="008478A9"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8</w:t>
      </w:r>
      <w:r w:rsidRPr="005029BB">
        <w:tab/>
        <w:t>Exceptions to the Certification Statement</w:t>
      </w:r>
      <w:r>
        <w:tab/>
      </w:r>
      <w:r w:rsidRPr="005029BB">
        <w:tab/>
      </w:r>
      <w:r w:rsidR="000E541E">
        <w:t>1</w:t>
      </w:r>
      <w:r w:rsidR="0020033A">
        <w:t>5</w:t>
      </w:r>
    </w:p>
    <w:p w14:paraId="5899FABA" w14:textId="77777777" w:rsidR="008478A9" w:rsidRPr="005029BB" w:rsidRDefault="008478A9" w:rsidP="00A30BF1">
      <w:pPr>
        <w:pStyle w:val="TOC2"/>
        <w:tabs>
          <w:tab w:val="left" w:pos="270"/>
        </w:tabs>
        <w:spacing w:line="240" w:lineRule="auto"/>
      </w:pPr>
    </w:p>
    <w:p w14:paraId="4D0DDC30" w14:textId="77777777" w:rsidR="008478A9" w:rsidRDefault="008478A9" w:rsidP="00A30BF1">
      <w:pPr>
        <w:pStyle w:val="TOC1"/>
        <w:spacing w:line="240" w:lineRule="auto"/>
      </w:pPr>
    </w:p>
    <w:p w14:paraId="27C50E35" w14:textId="77777777" w:rsidR="008478A9" w:rsidRPr="00062B20" w:rsidRDefault="008478A9" w:rsidP="00A30BF1">
      <w:pPr>
        <w:pStyle w:val="C2-CtrSglSp"/>
        <w:spacing w:line="240" w:lineRule="auto"/>
        <w:rPr>
          <w:b/>
        </w:rPr>
      </w:pPr>
      <w:r w:rsidRPr="00062B20">
        <w:rPr>
          <w:b/>
        </w:rPr>
        <w:t>List of Tables</w:t>
      </w:r>
    </w:p>
    <w:p w14:paraId="4DBEC8E4" w14:textId="44A0D8A2" w:rsidR="008478A9" w:rsidRDefault="008478A9" w:rsidP="00A30BF1">
      <w:pPr>
        <w:pStyle w:val="T0-ChapPgHd"/>
        <w:spacing w:line="240" w:lineRule="auto"/>
      </w:pPr>
      <w:r>
        <w:t>Table</w:t>
      </w:r>
      <w:r>
        <w:tab/>
      </w:r>
    </w:p>
    <w:p w14:paraId="3DA32B79" w14:textId="1736B54D" w:rsidR="00527847" w:rsidRDefault="00527847" w:rsidP="00A30BF1">
      <w:pPr>
        <w:pStyle w:val="TOC5"/>
        <w:tabs>
          <w:tab w:val="clear" w:pos="1440"/>
          <w:tab w:val="left" w:pos="900"/>
        </w:tabs>
        <w:spacing w:line="240" w:lineRule="auto"/>
        <w:ind w:left="900" w:right="1584" w:hanging="540"/>
      </w:pPr>
      <w:r>
        <w:t>1</w:t>
      </w:r>
      <w:r>
        <w:tab/>
      </w:r>
      <w:r w:rsidR="004B4AEC">
        <w:t>C</w:t>
      </w:r>
      <w:r w:rsidR="004B4AEC" w:rsidRPr="004B4AEC">
        <w:t>hild survey eligibility rates by predicted household response propensity score</w:t>
      </w:r>
      <w:r>
        <w:tab/>
      </w:r>
      <w:r>
        <w:tab/>
      </w:r>
      <w:r w:rsidR="005F01D0">
        <w:t>1</w:t>
      </w:r>
      <w:r w:rsidR="003A79C3">
        <w:t>1</w:t>
      </w:r>
    </w:p>
    <w:p w14:paraId="16EEC587" w14:textId="1C0ED5F5" w:rsidR="004B4AEC" w:rsidRDefault="004B4AEC" w:rsidP="004B4AEC">
      <w:pPr>
        <w:pStyle w:val="TOC5"/>
        <w:tabs>
          <w:tab w:val="clear" w:pos="1440"/>
          <w:tab w:val="left" w:pos="900"/>
        </w:tabs>
        <w:spacing w:line="240" w:lineRule="auto"/>
        <w:ind w:left="900" w:right="1584" w:hanging="540"/>
      </w:pPr>
      <w:r>
        <w:t>2</w:t>
      </w:r>
      <w:r>
        <w:tab/>
        <w:t>Incentive amounts and sample sizes for targeted incentive experiment</w:t>
      </w:r>
      <w:r>
        <w:tab/>
      </w:r>
      <w:r>
        <w:tab/>
        <w:t>1</w:t>
      </w:r>
      <w:r w:rsidR="0020033A">
        <w:t>2</w:t>
      </w:r>
    </w:p>
    <w:p w14:paraId="2B2DB12A" w14:textId="01F54601" w:rsidR="008478A9" w:rsidRDefault="004B4AEC" w:rsidP="00A30BF1">
      <w:pPr>
        <w:pStyle w:val="TOC5"/>
        <w:tabs>
          <w:tab w:val="clear" w:pos="1440"/>
          <w:tab w:val="left" w:pos="900"/>
        </w:tabs>
        <w:spacing w:line="240" w:lineRule="auto"/>
        <w:ind w:left="900" w:right="1584" w:hanging="540"/>
      </w:pPr>
      <w:r>
        <w:t>3</w:t>
      </w:r>
      <w:r w:rsidR="008478A9">
        <w:tab/>
      </w:r>
      <w:r w:rsidR="008478A9" w:rsidRPr="005029BB">
        <w:t xml:space="preserve">Estimated response burden for </w:t>
      </w:r>
      <w:r w:rsidR="0008703C">
        <w:t>NHES:201</w:t>
      </w:r>
      <w:r w:rsidR="007F7BB8">
        <w:t>6</w:t>
      </w:r>
      <w:r w:rsidR="008478A9">
        <w:tab/>
      </w:r>
      <w:r w:rsidR="008478A9" w:rsidRPr="005029BB">
        <w:tab/>
      </w:r>
      <w:r w:rsidR="008A294A">
        <w:t>1</w:t>
      </w:r>
      <w:r w:rsidR="0020033A">
        <w:t>4</w:t>
      </w:r>
    </w:p>
    <w:p w14:paraId="3B6B0DB6" w14:textId="77777777" w:rsidR="00B40735" w:rsidRDefault="00B40735" w:rsidP="00A30BF1">
      <w:pPr>
        <w:pStyle w:val="TOC5"/>
        <w:tabs>
          <w:tab w:val="clear" w:pos="1440"/>
          <w:tab w:val="left" w:pos="900"/>
        </w:tabs>
        <w:spacing w:line="240" w:lineRule="auto"/>
        <w:ind w:left="900" w:right="1584" w:hanging="540"/>
      </w:pPr>
    </w:p>
    <w:p w14:paraId="14F9D00B" w14:textId="77777777" w:rsidR="008478A9" w:rsidRDefault="008478A9" w:rsidP="00A30BF1">
      <w:pPr>
        <w:pStyle w:val="TOC1"/>
        <w:spacing w:line="240" w:lineRule="auto"/>
        <w:ind w:left="0"/>
      </w:pPr>
    </w:p>
    <w:p w14:paraId="4EAEF011" w14:textId="37405070" w:rsidR="008478A9" w:rsidRPr="00062B20" w:rsidRDefault="008478A9" w:rsidP="00A30BF1">
      <w:pPr>
        <w:pStyle w:val="C2-CtrSglSp"/>
        <w:spacing w:line="240" w:lineRule="auto"/>
        <w:rPr>
          <w:b/>
        </w:rPr>
      </w:pPr>
      <w:r w:rsidRPr="00062B20">
        <w:rPr>
          <w:b/>
        </w:rPr>
        <w:t>List of Exhibits</w:t>
      </w:r>
    </w:p>
    <w:p w14:paraId="283C8D40" w14:textId="77777777" w:rsidR="008478A9" w:rsidRDefault="008478A9" w:rsidP="00A30BF1">
      <w:pPr>
        <w:pStyle w:val="T0-ChapPgHd"/>
        <w:spacing w:line="240" w:lineRule="auto"/>
      </w:pPr>
      <w:r>
        <w:t>Exhibit</w:t>
      </w:r>
      <w:r>
        <w:tab/>
      </w:r>
    </w:p>
    <w:p w14:paraId="36039842" w14:textId="482D2871" w:rsidR="008478A9" w:rsidRDefault="008478A9" w:rsidP="00A30BF1">
      <w:pPr>
        <w:pStyle w:val="TOC5"/>
        <w:tabs>
          <w:tab w:val="clear" w:pos="1440"/>
          <w:tab w:val="left" w:pos="900"/>
        </w:tabs>
        <w:spacing w:line="240" w:lineRule="auto"/>
        <w:ind w:left="900" w:right="1584" w:hanging="540"/>
      </w:pPr>
      <w:r w:rsidRPr="005029BB">
        <w:t>1</w:t>
      </w:r>
      <w:r>
        <w:tab/>
      </w:r>
      <w:r w:rsidRPr="005029BB">
        <w:t>Surveys conducted under the National Household Education Surveys Program, by years administered: 1991 through 20</w:t>
      </w:r>
      <w:r w:rsidR="00AD667F">
        <w:t>12</w:t>
      </w:r>
      <w:r>
        <w:tab/>
      </w:r>
      <w:r w:rsidRPr="005029BB">
        <w:tab/>
      </w:r>
      <w:r w:rsidR="003B1786">
        <w:t>3</w:t>
      </w:r>
    </w:p>
    <w:p w14:paraId="47FAA1F4" w14:textId="0473DAA9" w:rsidR="008478A9" w:rsidRDefault="008C69B4" w:rsidP="00A30BF1">
      <w:pPr>
        <w:pStyle w:val="TOC5"/>
        <w:tabs>
          <w:tab w:val="clear" w:pos="1440"/>
          <w:tab w:val="left" w:pos="900"/>
        </w:tabs>
        <w:spacing w:line="240" w:lineRule="auto"/>
        <w:ind w:left="900" w:right="1584" w:hanging="540"/>
      </w:pPr>
      <w:r>
        <w:t>2</w:t>
      </w:r>
      <w:r w:rsidR="0068462A">
        <w:tab/>
      </w:r>
      <w:r w:rsidR="008478A9" w:rsidRPr="005029BB">
        <w:t>NHES</w:t>
      </w:r>
      <w:r w:rsidR="0008703C">
        <w:t>:201</w:t>
      </w:r>
      <w:r w:rsidR="007F7BB8">
        <w:t>6</w:t>
      </w:r>
      <w:r w:rsidR="0008703C">
        <w:t xml:space="preserve"> </w:t>
      </w:r>
      <w:r w:rsidR="008478A9" w:rsidRPr="005029BB">
        <w:t>schedule of major activities</w:t>
      </w:r>
      <w:r w:rsidR="008478A9">
        <w:tab/>
      </w:r>
      <w:r w:rsidR="008478A9" w:rsidRPr="005029BB">
        <w:tab/>
      </w:r>
      <w:r w:rsidR="00075AA8">
        <w:t>1</w:t>
      </w:r>
      <w:r w:rsidR="0020033A">
        <w:t>5</w:t>
      </w:r>
    </w:p>
    <w:p w14:paraId="6A08D81D" w14:textId="77777777" w:rsidR="005826D3" w:rsidRDefault="005826D3">
      <w:pPr>
        <w:spacing w:line="240" w:lineRule="auto"/>
        <w:jc w:val="left"/>
      </w:pPr>
      <w:bookmarkStart w:id="2" w:name="_Toc222888884"/>
    </w:p>
    <w:p w14:paraId="7057BA42" w14:textId="4F1BB9B7" w:rsidR="005826D3" w:rsidRDefault="005826D3">
      <w:pPr>
        <w:spacing w:line="240" w:lineRule="auto"/>
        <w:jc w:val="left"/>
      </w:pPr>
    </w:p>
    <w:p w14:paraId="5324AD23" w14:textId="12843450" w:rsidR="005826D3" w:rsidRPr="005826D3" w:rsidRDefault="005826D3" w:rsidP="005826D3">
      <w:pPr>
        <w:pStyle w:val="TOC2"/>
        <w:tabs>
          <w:tab w:val="clear" w:pos="2160"/>
          <w:tab w:val="left" w:pos="270"/>
          <w:tab w:val="left" w:pos="1080"/>
        </w:tabs>
        <w:spacing w:line="240" w:lineRule="auto"/>
        <w:ind w:left="900"/>
      </w:pPr>
    </w:p>
    <w:p w14:paraId="4112FDB1" w14:textId="45807B13" w:rsidR="005826D3" w:rsidRPr="005826D3" w:rsidRDefault="005826D3" w:rsidP="005826D3">
      <w:pPr>
        <w:pStyle w:val="TOC2"/>
        <w:tabs>
          <w:tab w:val="clear" w:pos="2160"/>
          <w:tab w:val="left" w:pos="270"/>
          <w:tab w:val="left" w:pos="1080"/>
        </w:tabs>
        <w:spacing w:line="240" w:lineRule="auto"/>
        <w:ind w:left="900"/>
      </w:pPr>
    </w:p>
    <w:p w14:paraId="109B514F" w14:textId="66816CA3" w:rsidR="005826D3" w:rsidRPr="005826D3" w:rsidRDefault="005826D3" w:rsidP="005826D3">
      <w:pPr>
        <w:pStyle w:val="TOC2"/>
        <w:tabs>
          <w:tab w:val="clear" w:pos="2160"/>
          <w:tab w:val="left" w:pos="270"/>
          <w:tab w:val="left" w:pos="1080"/>
        </w:tabs>
        <w:spacing w:line="240" w:lineRule="auto"/>
        <w:ind w:left="900"/>
      </w:pPr>
    </w:p>
    <w:p w14:paraId="46946100" w14:textId="77777777" w:rsidR="003B5AB8" w:rsidRDefault="004900FF">
      <w:pPr>
        <w:spacing w:line="240" w:lineRule="auto"/>
        <w:jc w:val="left"/>
        <w:sectPr w:rsidR="003B5AB8" w:rsidSect="00474007">
          <w:headerReference w:type="default" r:id="rId10"/>
          <w:footerReference w:type="even" r:id="rId11"/>
          <w:footerReference w:type="default" r:id="rId12"/>
          <w:footerReference w:type="first" r:id="rId13"/>
          <w:pgSz w:w="12240" w:h="15840" w:code="1"/>
          <w:pgMar w:top="1008" w:right="1008" w:bottom="1008" w:left="1008" w:header="432" w:footer="432" w:gutter="0"/>
          <w:pgNumType w:fmt="lowerRoman" w:start="1"/>
          <w:cols w:space="720"/>
          <w:titlePg/>
          <w:docGrid w:linePitch="360"/>
        </w:sectPr>
      </w:pPr>
      <w:r>
        <w:br w:type="page"/>
      </w:r>
    </w:p>
    <w:p w14:paraId="7DEF5A26" w14:textId="05D05EF0" w:rsidR="00A30BF1" w:rsidRDefault="008478A9" w:rsidP="00646A5F">
      <w:pPr>
        <w:pStyle w:val="C1-CtrBoldHd"/>
        <w:spacing w:after="120" w:line="240" w:lineRule="auto"/>
      </w:pPr>
      <w:r>
        <w:lastRenderedPageBreak/>
        <w:t>JUSTIFICATION</w:t>
      </w:r>
      <w:bookmarkEnd w:id="2"/>
    </w:p>
    <w:p w14:paraId="347C974D" w14:textId="3544CCC2" w:rsidR="008478A9" w:rsidRDefault="008F46F7" w:rsidP="00646A5F">
      <w:pPr>
        <w:pStyle w:val="Heading4"/>
        <w:spacing w:after="120" w:line="240" w:lineRule="auto"/>
        <w:ind w:left="0" w:firstLine="0"/>
        <w:jc w:val="left"/>
      </w:pPr>
      <w:r>
        <w:t xml:space="preserve">NHES Program - </w:t>
      </w:r>
      <w:r w:rsidR="008478A9">
        <w:t>Request for Clearance</w:t>
      </w:r>
    </w:p>
    <w:p w14:paraId="4201DF4E" w14:textId="0962909E" w:rsidR="009F34DB" w:rsidRDefault="0034204C" w:rsidP="00646A5F">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rsidR="00764E3E">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rsidR="002E278A">
        <w:t>hooling, and civic involvement.</w:t>
      </w:r>
      <w:r w:rsidR="00316FDF">
        <w:t xml:space="preserve"> NCES received approval in </w:t>
      </w:r>
      <w:r w:rsidR="0097077B">
        <w:t>September 2014</w:t>
      </w:r>
      <w:r w:rsidR="00316FDF">
        <w:t xml:space="preserve"> to conduct the </w:t>
      </w:r>
      <w:r w:rsidR="00123697">
        <w:t>full-scale NHES</w:t>
      </w:r>
      <w:r w:rsidR="00316FDF">
        <w:t xml:space="preserve"> in 2015 (OMB# 1850-0768 v. 10) but decided to delay data collection until 2016</w:t>
      </w:r>
      <w:r w:rsidR="00123697">
        <w:t xml:space="preserve"> to further refine the surveys and data collection processes and to better manage budget constraints.</w:t>
      </w:r>
      <w:r w:rsidR="00105381">
        <w:t xml:space="preserve"> </w:t>
      </w:r>
      <w:r w:rsidR="003726FF">
        <w:t>This request is to conduct NHES:2016 full scale data collection, as described in this submission.</w:t>
      </w:r>
    </w:p>
    <w:p w14:paraId="09A3A563" w14:textId="77777777" w:rsidR="008478A9" w:rsidRDefault="008478A9" w:rsidP="00646A5F">
      <w:pPr>
        <w:pStyle w:val="Heading1"/>
        <w:spacing w:after="120" w:line="240" w:lineRule="auto"/>
        <w:ind w:left="0" w:firstLine="0"/>
        <w:jc w:val="left"/>
      </w:pPr>
      <w:bookmarkStart w:id="3" w:name="_Toc61176377"/>
      <w:bookmarkStart w:id="4" w:name="_Toc222888886"/>
      <w:r>
        <w:t>A.1</w:t>
      </w:r>
      <w:r>
        <w:tab/>
        <w:t>Circumstances Necessitating Collection of Information</w:t>
      </w:r>
      <w:bookmarkEnd w:id="3"/>
      <w:bookmarkEnd w:id="4"/>
    </w:p>
    <w:p w14:paraId="262CDCCC" w14:textId="5D6E9869" w:rsidR="007A29A2" w:rsidRDefault="008C3E6E" w:rsidP="00646A5F">
      <w:pPr>
        <w:pStyle w:val="P1-StandPara"/>
        <w:spacing w:after="120" w:line="240" w:lineRule="auto"/>
        <w:ind w:firstLine="0"/>
        <w:jc w:val="lef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w:t>
      </w:r>
      <w:r w:rsidR="008478A9">
        <w:t xml:space="preserve">NCES </w:t>
      </w:r>
      <w:r>
        <w:t>to</w:t>
      </w:r>
      <w:r w:rsidR="008478A9">
        <w:t xml:space="preserve"> </w:t>
      </w:r>
      <w:r w:rsidRPr="008C3E6E">
        <w:t>collect, report, analyze, and disseminate statistical data related to education in the United States and in other nations</w:t>
      </w:r>
      <w:r w:rsidR="008478A9">
        <w:t>.</w:t>
      </w:r>
      <w:r w:rsidR="0052333F">
        <w:t xml:space="preserve"> </w:t>
      </w:r>
      <w:r w:rsidR="008478A9">
        <w:t xml:space="preserve">The NHES is specifically designed to support this mission by providing a means to investigate education issues that cannot be adequately studied through the Center’s institution-based data collection efforts. For example, </w:t>
      </w:r>
      <w:r w:rsidR="007E2337">
        <w:t xml:space="preserve">some </w:t>
      </w:r>
      <w:r w:rsidR="00715A64">
        <w:t xml:space="preserve">school-age </w:t>
      </w:r>
      <w:r w:rsidR="008478A9">
        <w:t>children</w:t>
      </w:r>
      <w:r w:rsidR="00715A64">
        <w:t xml:space="preserve"> </w:t>
      </w:r>
      <w:r w:rsidR="007E2337">
        <w:t>are homeschooled rather than attending a public or private school</w:t>
      </w:r>
      <w:r w:rsidR="00715A64">
        <w:t xml:space="preserve">. </w:t>
      </w:r>
      <w:r w:rsidR="008478A9">
        <w:t xml:space="preserve">There is no available sample frame that includes all of </w:t>
      </w:r>
      <w:r w:rsidR="007E2337">
        <w:t>the homeschooling students across the United States</w:t>
      </w:r>
      <w:r w:rsidR="006814A7">
        <w:t xml:space="preserve">. </w:t>
      </w:r>
      <w:r w:rsidR="00784C50" w:rsidRPr="00AB5148">
        <w:t xml:space="preserve">Likewise, </w:t>
      </w:r>
      <w:r w:rsidR="003D304D" w:rsidRPr="00AB5148">
        <w:t xml:space="preserve">although attaining a postsecondary credential has become increasingly important for securing opportunities to get high-return jobs in the United States in the 21st century, NCES has traditionally only collected data on postsecondary certificates and degrees awarded through credit-bearing instruction in institutions of higher education that participate in Title IV federal student aid programs. These comprise only a portion of </w:t>
      </w:r>
      <w:r w:rsidR="00847832">
        <w:t xml:space="preserve">the </w:t>
      </w:r>
      <w:r w:rsidR="003D304D" w:rsidRPr="00AB5148">
        <w:t xml:space="preserve">subbaccalaureate education and training </w:t>
      </w:r>
      <w:r w:rsidR="00847832">
        <w:t xml:space="preserve">that </w:t>
      </w:r>
      <w:r w:rsidR="003D304D" w:rsidRPr="00AB5148">
        <w:t xml:space="preserve">American adults seek and complete </w:t>
      </w:r>
      <w:r w:rsidR="00847832">
        <w:t xml:space="preserve">in order </w:t>
      </w:r>
      <w:r w:rsidR="003D304D" w:rsidRPr="00AB5148">
        <w:t xml:space="preserve">to learn the skills they need </w:t>
      </w:r>
      <w:r w:rsidR="00847832">
        <w:t>for</w:t>
      </w:r>
      <w:r w:rsidR="003D304D" w:rsidRPr="00AB5148">
        <w:t xml:space="preserve"> find</w:t>
      </w:r>
      <w:r w:rsidR="00847832">
        <w:t>ing</w:t>
      </w:r>
      <w:r w:rsidR="003D304D" w:rsidRPr="00AB5148">
        <w:t xml:space="preserve"> and keep</w:t>
      </w:r>
      <w:r w:rsidR="00847832">
        <w:t>ing</w:t>
      </w:r>
      <w:r w:rsidR="003D304D" w:rsidRPr="00AB5148">
        <w:t xml:space="preserve"> good-paying jobs.</w:t>
      </w:r>
    </w:p>
    <w:p w14:paraId="23CC2180" w14:textId="77777777" w:rsidR="007A29A2" w:rsidRDefault="008478A9" w:rsidP="00646A5F">
      <w:pPr>
        <w:pStyle w:val="P1-StandPara"/>
        <w:spacing w:after="120" w:line="240" w:lineRule="auto"/>
        <w:ind w:firstLine="0"/>
        <w:jc w:val="left"/>
      </w:pPr>
      <w:r w:rsidRPr="00AB5148">
        <w:t xml:space="preserve">It is efficient and economical to interview parents about their </w:t>
      </w:r>
      <w:r w:rsidR="00CB781E" w:rsidRPr="00AB5148">
        <w:t xml:space="preserve">children’s participation in </w:t>
      </w:r>
      <w:r w:rsidR="0058363B" w:rsidRPr="00AB5148">
        <w:t>child care programs</w:t>
      </w:r>
      <w:r w:rsidR="00CB781E" w:rsidRPr="00AB5148">
        <w:t xml:space="preserve"> and </w:t>
      </w:r>
      <w:r w:rsidR="0058363B" w:rsidRPr="00AB5148">
        <w:t>family participation in school and other education activities</w:t>
      </w:r>
      <w:r w:rsidRPr="00AB5148">
        <w:t xml:space="preserve"> through a household-based approach rather</w:t>
      </w:r>
      <w:r>
        <w:t xml:space="preserve"> than incurring the cost and nonresponse involved in enlisting schools, obtaining lists of parents, and sampling parents from those lists.</w:t>
      </w:r>
      <w:r w:rsidR="00784C50">
        <w:t xml:space="preserve"> Similarly, it is also most efficient to interview adults through a household-based approach rather than trying to obtain lists </w:t>
      </w:r>
      <w:r w:rsidR="005A4BAF">
        <w:t>from a</w:t>
      </w:r>
      <w:r w:rsidR="003D304D">
        <w:t xml:space="preserve"> myriad of</w:t>
      </w:r>
      <w:r w:rsidR="00A9755C">
        <w:t xml:space="preserve"> </w:t>
      </w:r>
      <w:r w:rsidR="00775228">
        <w:t xml:space="preserve">private </w:t>
      </w:r>
      <w:r w:rsidR="00784C50">
        <w:t>credential</w:t>
      </w:r>
      <w:r w:rsidR="00BF1F91">
        <w:t>-</w:t>
      </w:r>
      <w:r w:rsidR="00784C50">
        <w:t xml:space="preserve">awarding bodies. Also, </w:t>
      </w:r>
      <w:r w:rsidR="003D304D">
        <w:t xml:space="preserve">the household approach allows for </w:t>
      </w:r>
      <w:r w:rsidR="009B179F">
        <w:t>inclusion</w:t>
      </w:r>
      <w:r w:rsidR="003D304D">
        <w:t xml:space="preserve"> of adults who do not participate in training or have a credential, </w:t>
      </w:r>
      <w:r w:rsidR="005A4BAF">
        <w:t>providing a</w:t>
      </w:r>
      <w:r w:rsidR="003D304D">
        <w:t xml:space="preserve"> point of comparison</w:t>
      </w:r>
      <w:r w:rsidR="00784C50">
        <w:t>.</w:t>
      </w:r>
    </w:p>
    <w:p w14:paraId="25FCA3AE" w14:textId="27E29C25" w:rsidR="00974A81" w:rsidRDefault="0058363B" w:rsidP="00646A5F">
      <w:pPr>
        <w:pStyle w:val="P1-StandPara"/>
        <w:spacing w:after="120" w:line="240" w:lineRule="auto"/>
        <w:ind w:firstLine="0"/>
        <w:jc w:val="left"/>
      </w:pPr>
      <w:r>
        <w:t xml:space="preserve">Repeating the NHES:2012 child surveys will provide the first trend data available under the new NHES design. Tracking trends in education topics on a regular, repeating basis is a key research goal of the NHES program. Adding the adult education component will provide the first publicly available </w:t>
      </w:r>
      <w:r w:rsidR="006A4117">
        <w:t xml:space="preserve">adult </w:t>
      </w:r>
      <w:r>
        <w:t xml:space="preserve">education data from the NHES in over a decade, and provide </w:t>
      </w:r>
      <w:r w:rsidR="00F3219E">
        <w:t xml:space="preserve">detailed </w:t>
      </w:r>
      <w:r>
        <w:t xml:space="preserve">data </w:t>
      </w:r>
      <w:r w:rsidR="00F3219E">
        <w:t>about</w:t>
      </w:r>
      <w:r>
        <w:t xml:space="preserve"> previously un</w:t>
      </w:r>
      <w:r w:rsidR="004D7A77">
        <w:t xml:space="preserve">der </w:t>
      </w:r>
      <w:r>
        <w:t xml:space="preserve">measured </w:t>
      </w:r>
      <w:r w:rsidR="00115ACC">
        <w:t>non-degree</w:t>
      </w:r>
      <w:r w:rsidR="00F3219E">
        <w:t xml:space="preserve"> credentials.</w:t>
      </w:r>
    </w:p>
    <w:p w14:paraId="302005EB" w14:textId="77777777" w:rsidR="008478A9" w:rsidRDefault="008478A9" w:rsidP="00646A5F">
      <w:pPr>
        <w:pStyle w:val="Heading1"/>
        <w:spacing w:after="120" w:line="240" w:lineRule="auto"/>
        <w:ind w:left="0" w:firstLine="0"/>
        <w:jc w:val="left"/>
      </w:pPr>
      <w:bookmarkStart w:id="5" w:name="_Toc61176378"/>
      <w:bookmarkStart w:id="6" w:name="_Toc222888887"/>
      <w:r>
        <w:t>A.2</w:t>
      </w:r>
      <w:r>
        <w:tab/>
        <w:t>Purposes and Uses of the Data</w:t>
      </w:r>
      <w:bookmarkEnd w:id="5"/>
      <w:bookmarkEnd w:id="6"/>
    </w:p>
    <w:p w14:paraId="578FDA91" w14:textId="415025FA" w:rsidR="008478A9" w:rsidRDefault="00F3219E" w:rsidP="00646A5F">
      <w:pPr>
        <w:pStyle w:val="P1-StandPara"/>
        <w:spacing w:after="120" w:line="240" w:lineRule="auto"/>
        <w:ind w:firstLine="0"/>
        <w:jc w:val="left"/>
      </w:pPr>
      <w:r w:rsidRPr="00F3219E">
        <w:t xml:space="preserve">The </w:t>
      </w:r>
      <w:r w:rsidR="006747C5">
        <w:t>NHES:2016</w:t>
      </w:r>
      <w:r w:rsidRPr="00F3219E">
        <w:t xml:space="preserve"> data collection will provide policymakers and researchers with data on early childhood education, parent and fami</w:t>
      </w:r>
      <w:r>
        <w:t xml:space="preserve">ly involvement in education, </w:t>
      </w:r>
      <w:r w:rsidRPr="00F3219E">
        <w:t>homeschooling</w:t>
      </w:r>
      <w:r>
        <w:t xml:space="preserve">, and adult </w:t>
      </w:r>
      <w:r w:rsidR="004F0A32">
        <w:t>training and education</w:t>
      </w:r>
      <w:r w:rsidRPr="00F3219E">
        <w:t xml:space="preserve"> t</w:t>
      </w:r>
      <w:r w:rsidR="00847832">
        <w:t>hat are not available elsewhere</w:t>
      </w:r>
      <w:r w:rsidR="00294111">
        <w:t>. R</w:t>
      </w:r>
      <w:r w:rsidRPr="00F3219E">
        <w:t>esearchers nationwide rely on NHES data for important policy analyses.</w:t>
      </w:r>
      <w:r w:rsidR="00847832">
        <w:t xml:space="preserve"> </w:t>
      </w:r>
      <w:r w:rsidR="00847832" w:rsidRPr="000B413E">
        <w:t>Survey data</w:t>
      </w:r>
      <w:r w:rsidR="00847832" w:rsidRPr="007F15C6">
        <w:t xml:space="preserve"> from the NHES have been</w:t>
      </w:r>
      <w:r w:rsidR="00847832">
        <w:t xml:space="preserve"> used for a large number of descriptive and analytic reports and articles, including NCES </w:t>
      </w:r>
      <w:r w:rsidR="00847832" w:rsidRPr="00F3219E">
        <w:t>education indicators, reports, and statistical abstracts</w:t>
      </w:r>
      <w:r w:rsidR="00847832">
        <w:t xml:space="preserve">; publications of other Federal agencies; policy analyses; theses and dissertations; conference papers; and journal articles. A list of NHES publications issued by NCES can be found on the NHES website, </w:t>
      </w:r>
      <w:hyperlink r:id="rId14" w:history="1">
        <w:r w:rsidR="00847832" w:rsidRPr="007F15C6">
          <w:t>http://nces.ed.gov/nhes</w:t>
        </w:r>
      </w:hyperlink>
      <w:r w:rsidR="00847832">
        <w:t>.</w:t>
      </w:r>
    </w:p>
    <w:p w14:paraId="6A4B3D2A" w14:textId="2C33E27A" w:rsidR="00847832" w:rsidRPr="00847832" w:rsidRDefault="00847832" w:rsidP="00646A5F">
      <w:pPr>
        <w:pStyle w:val="P1-StandPara"/>
        <w:spacing w:after="120" w:line="240" w:lineRule="auto"/>
        <w:ind w:left="720" w:firstLine="0"/>
        <w:jc w:val="left"/>
        <w:rPr>
          <w:b/>
        </w:rPr>
      </w:pPr>
      <w:r w:rsidRPr="00847832">
        <w:rPr>
          <w:b/>
        </w:rPr>
        <w:t xml:space="preserve">NHES </w:t>
      </w:r>
      <w:r w:rsidR="001A7798">
        <w:rPr>
          <w:b/>
        </w:rPr>
        <w:t>Program</w:t>
      </w:r>
    </w:p>
    <w:p w14:paraId="6AF42800" w14:textId="5B61EB90" w:rsidR="00847832" w:rsidRPr="0034204C" w:rsidRDefault="00847832" w:rsidP="00646A5F">
      <w:pPr>
        <w:pStyle w:val="P1-StandPara"/>
        <w:widowControl w:val="0"/>
        <w:spacing w:after="120" w:line="240" w:lineRule="auto"/>
        <w:ind w:firstLine="0"/>
        <w:jc w:val="left"/>
      </w:pPr>
      <w:r w:rsidRPr="0034204C">
        <w:t>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 Surveys are administered in English and in Spanish.</w:t>
      </w:r>
      <w:r>
        <w:t xml:space="preserve"> Data from the NHES are used to provide national cross-sectional estimates on populations of special interest to education researchers and policymakers.</w:t>
      </w:r>
    </w:p>
    <w:p w14:paraId="6D880166" w14:textId="1C6092A0" w:rsidR="00847832" w:rsidRDefault="00847832" w:rsidP="00646A5F">
      <w:pPr>
        <w:pStyle w:val="P1-StandPara"/>
        <w:spacing w:after="120" w:line="240" w:lineRule="auto"/>
        <w:ind w:firstLine="0"/>
        <w:jc w:val="left"/>
      </w:pPr>
      <w:r w:rsidRPr="0034204C">
        <w:lastRenderedPageBreak/>
        <w:t xml:space="preserve">Beginning in 1991, NHES was administered </w:t>
      </w:r>
      <w:r>
        <w:t>approximately</w:t>
      </w:r>
      <w:r w:rsidRPr="0034204C">
        <w:t xml:space="preserve"> every other year as a landline random-digit-dial (RDD) survey. During a period of declining response rates in all RDD surveys, NCES decided to conduct a series of field tests to determine if a change to self-administered mailed questionnaire</w:t>
      </w:r>
      <w:r>
        <w:t xml:space="preserve">s would improve response rates. A feasibility test of the new design was conducted in 2009 followed by a field test in 2011. The field test results helped to inform the final design of a full-scale NHES collection in 2012 </w:t>
      </w:r>
      <w:r w:rsidRPr="00501801">
        <w:t>(OMB# 1850-0768</w:t>
      </w:r>
      <w:r>
        <w:t xml:space="preserve"> v.9)</w:t>
      </w:r>
      <w:r w:rsidRPr="0034204C">
        <w:t>, which included the Early Childhood Program Participation (ECPP</w:t>
      </w:r>
      <w:r w:rsidR="00B03879">
        <w:t>),</w:t>
      </w:r>
      <w:r w:rsidRPr="0034204C">
        <w:t xml:space="preserve"> the Parent and Family Involvement in Education</w:t>
      </w:r>
      <w:r w:rsidR="00B03879">
        <w:t>-Enrolled</w:t>
      </w:r>
      <w:r w:rsidRPr="0034204C">
        <w:t xml:space="preserve"> (PFI</w:t>
      </w:r>
      <w:r w:rsidR="00B03879">
        <w:t xml:space="preserve">-E), and the Parent and Family Involvement in Education-Homeschooled (PFI-H) </w:t>
      </w:r>
      <w:r w:rsidRPr="0034204C">
        <w:t>surveys.</w:t>
      </w:r>
    </w:p>
    <w:p w14:paraId="4E65A766" w14:textId="77777777" w:rsidR="00847832" w:rsidRDefault="00847832" w:rsidP="00646A5F">
      <w:pPr>
        <w:pStyle w:val="Heading4"/>
        <w:spacing w:after="120" w:line="240" w:lineRule="auto"/>
        <w:ind w:left="720" w:firstLine="0"/>
        <w:jc w:val="left"/>
      </w:pPr>
      <w:r>
        <w:t>ATES Development</w:t>
      </w:r>
    </w:p>
    <w:p w14:paraId="2CD3D1DE" w14:textId="72298442" w:rsidR="00847832" w:rsidRDefault="00847832" w:rsidP="00646A5F">
      <w:pPr>
        <w:pStyle w:val="P1-StandPara"/>
        <w:spacing w:after="120" w:line="240" w:lineRule="auto"/>
        <w:ind w:firstLine="0"/>
        <w:jc w:val="left"/>
      </w:pPr>
      <w:r>
        <w:t>During the same period of time,</w:t>
      </w:r>
      <w:r w:rsidRPr="00783CC8">
        <w:t xml:space="preserve"> </w:t>
      </w:r>
      <w:r>
        <w:t xml:space="preserve">NCES began supporting developmental work on new questionnaire items for federal household surveys on work-related education, training, and credentials for adults and out-of-school youth. </w:t>
      </w:r>
      <w:r w:rsidRPr="00783CC8">
        <w:t xml:space="preserve">The Interagency Working Group on Expanded Measures of Enrollment and Attainment (GEMEnA) </w:t>
      </w:r>
      <w:r>
        <w:t>is a</w:t>
      </w:r>
      <w:r w:rsidR="00B03879">
        <w:t xml:space="preserve"> </w:t>
      </w:r>
      <w:r>
        <w:t>collaboration among federal statistical agencies established by the OMB Office of Statistical and Science Policy, the Council of Economic Advisors, and the Under Secretary of Education to improve federal household statistics on the attainment of non-degree credentials such as industry-recognized certifications, occupational licenses, and educational certificates. In 2012, GEMEnA’s commission expanded to include the development of new and revised measures of enrollment or participation in education and training for work. One of GEMEnA’s roles is to guide NCES’s development of a new household survey on these topics to support research and policy analysis. To achieve this purpose, NCES conducted focus groups, cognitive interviews, and two pilot studies (OMB# 1850-0803), first a two-stage telephone survey and then a single-stage self-administered mail survey</w:t>
      </w:r>
      <w:r w:rsidRPr="00056044">
        <w:t>.</w:t>
      </w:r>
      <w:r>
        <w:t xml:space="preserve"> Detailed information and reports from these activities can be found at nces.ed.gov/surveys/gemena.</w:t>
      </w:r>
    </w:p>
    <w:p w14:paraId="529232E1" w14:textId="03A8FEDA" w:rsidR="00847832" w:rsidRPr="0034204C" w:rsidRDefault="00847832" w:rsidP="00646A5F">
      <w:pPr>
        <w:pStyle w:val="P1-StandPara"/>
        <w:spacing w:after="120" w:line="240" w:lineRule="auto"/>
        <w:ind w:firstLine="0"/>
        <w:jc w:val="left"/>
      </w:pPr>
      <w:r w:rsidRPr="0034204C">
        <w:t xml:space="preserve">In 2016, the NHES </w:t>
      </w:r>
      <w:r>
        <w:t>will</w:t>
      </w:r>
      <w:r w:rsidRPr="0034204C">
        <w:t xml:space="preserve"> field the first full-scale administration of the Adult Training and Education Survey (ATES)</w:t>
      </w:r>
      <w:r>
        <w:t>, which will</w:t>
      </w:r>
      <w:r w:rsidRPr="0034204C">
        <w:t xml:space="preserve"> provide new measures of adults’ educational and o</w:t>
      </w:r>
      <w:r>
        <w:t xml:space="preserve">ccupational credentials, including </w:t>
      </w:r>
      <w:r w:rsidRPr="0034204C">
        <w:t>count</w:t>
      </w:r>
      <w:r>
        <w:t>s of</w:t>
      </w:r>
      <w:r w:rsidRPr="0034204C">
        <w:t xml:space="preserve"> </w:t>
      </w:r>
      <w:r>
        <w:t xml:space="preserve">(1) </w:t>
      </w:r>
      <w:r w:rsidRPr="0034204C">
        <w:t xml:space="preserve">adults who have an </w:t>
      </w:r>
      <w:r>
        <w:t xml:space="preserve">industry-recognized </w:t>
      </w:r>
      <w:r w:rsidRPr="0034204C">
        <w:t xml:space="preserve">certification or </w:t>
      </w:r>
      <w:r>
        <w:t xml:space="preserve">occupational </w:t>
      </w:r>
      <w:r w:rsidRPr="0034204C">
        <w:t>license, including the number of such credent</w:t>
      </w:r>
      <w:r>
        <w:t>ials, the type of work they are for,</w:t>
      </w:r>
      <w:r w:rsidRPr="0034204C">
        <w:t xml:space="preserve"> their perceived labor market value, and the role of education in preparing for the</w:t>
      </w:r>
      <w:r>
        <w:t xml:space="preserve">m; (2) </w:t>
      </w:r>
      <w:r w:rsidRPr="0034204C">
        <w:t>adults who have educational certificates, including the subject field of the certificate, its perceived labor market value, and its role in preparing for occupational credentialing</w:t>
      </w:r>
      <w:r>
        <w:t>; and (3) adults who have completed an</w:t>
      </w:r>
      <w:r w:rsidRPr="0034204C">
        <w:t xml:space="preserve"> </w:t>
      </w:r>
      <w:r>
        <w:t xml:space="preserve">initial </w:t>
      </w:r>
      <w:r w:rsidRPr="0034204C">
        <w:t xml:space="preserve">work experience program (such as </w:t>
      </w:r>
      <w:r>
        <w:t xml:space="preserve">an </w:t>
      </w:r>
      <w:r w:rsidRPr="0034204C">
        <w:t>apprenticeship</w:t>
      </w:r>
      <w:r>
        <w:t xml:space="preserve"> or internship</w:t>
      </w:r>
      <w:r w:rsidRPr="0034204C">
        <w:t>)</w:t>
      </w:r>
      <w:r>
        <w:t>, including characteristics of the program and its perceived labor market value</w:t>
      </w:r>
      <w:r w:rsidRPr="0034204C">
        <w:t>.</w:t>
      </w:r>
    </w:p>
    <w:p w14:paraId="77832035" w14:textId="77777777" w:rsidR="00847832" w:rsidRPr="00FD11CA" w:rsidRDefault="00847832" w:rsidP="00646A5F">
      <w:pPr>
        <w:pStyle w:val="P1-StandPara"/>
        <w:spacing w:after="120" w:line="240" w:lineRule="auto"/>
        <w:ind w:left="720" w:firstLine="0"/>
        <w:jc w:val="left"/>
        <w:rPr>
          <w:b/>
        </w:rPr>
      </w:pPr>
      <w:r>
        <w:rPr>
          <w:b/>
        </w:rPr>
        <w:t>NHES Feasibility Study</w:t>
      </w:r>
    </w:p>
    <w:p w14:paraId="1310FBE0" w14:textId="77777777" w:rsidR="00847832" w:rsidRDefault="00847832" w:rsidP="00646A5F">
      <w:pPr>
        <w:pStyle w:val="P1-StandPara"/>
        <w:spacing w:after="120" w:line="240" w:lineRule="auto"/>
        <w:ind w:firstLine="0"/>
        <w:jc w:val="left"/>
      </w:pPr>
      <w:r>
        <w:t xml:space="preserve">One of NCES’s goals from the beginning of the GEMEnA project was to determine the feasibility of eventually incorporating a survey of adults back into the NHES. In 2014, NCES conducted a Feasibility Study testing the integration of an adult topical survey into NHES mail operations and processing (OMB# 1850-0803). </w:t>
      </w:r>
      <w:r w:rsidRPr="005A4BAF">
        <w:t>The</w:t>
      </w:r>
      <w:r>
        <w:t xml:space="preserve"> NHES</w:t>
      </w:r>
      <w:r w:rsidRPr="005A4BAF">
        <w:t xml:space="preserve"> F</w:t>
      </w:r>
      <w:r w:rsidRPr="005A27E9">
        <w:t>easi</w:t>
      </w:r>
      <w:r w:rsidRPr="00706190">
        <w:t>bility S</w:t>
      </w:r>
      <w:r>
        <w:t xml:space="preserve">tudy (NHES-FS) included several experiments to inform the final design of the 2016 full-scale NHES. Using one household survey platform for both child and adult surveys provides greater efficiency in the data collection and reduces overall national burden by maximizing the </w:t>
      </w:r>
      <w:r w:rsidRPr="00E16DF2">
        <w:t>use of a single household sample draw.</w:t>
      </w:r>
      <w:r>
        <w:t xml:space="preserve"> </w:t>
      </w:r>
      <w:r w:rsidRPr="00FD11CA">
        <w:t>Before adding an adult survey back into the NHES it was important to test the feasibility of using a mail survey to screen households for both adults and children, and to test different approaches to collecting topical data from households (e.g., sampling either an adult or a child from the same household for topical follow up compared to sampling both and adult and a child for follow up).</w:t>
      </w:r>
      <w:r>
        <w:t xml:space="preserve"> The NHES-FS also included several other experiments to test approaches aimed toward decreasing unit and item nonresponse. The results of these experiments have informed the design of the NHES:2016.</w:t>
      </w:r>
    </w:p>
    <w:p w14:paraId="2AE7B0EC" w14:textId="777A5485" w:rsidR="000145F6" w:rsidRDefault="000145F6" w:rsidP="00D91F86">
      <w:pPr>
        <w:pStyle w:val="P1-StandPara"/>
        <w:tabs>
          <w:tab w:val="left" w:pos="720"/>
          <w:tab w:val="left" w:pos="1440"/>
          <w:tab w:val="left" w:pos="2160"/>
          <w:tab w:val="left" w:pos="2880"/>
          <w:tab w:val="left" w:pos="8895"/>
        </w:tabs>
        <w:spacing w:after="120" w:line="240" w:lineRule="auto"/>
        <w:ind w:firstLine="0"/>
        <w:jc w:val="left"/>
        <w:rPr>
          <w:b/>
        </w:rPr>
      </w:pPr>
      <w:r>
        <w:tab/>
      </w:r>
      <w:r>
        <w:rPr>
          <w:b/>
        </w:rPr>
        <w:t>NHES Cognitive Interviews</w:t>
      </w:r>
    </w:p>
    <w:p w14:paraId="0B2AD5FD" w14:textId="6603E442" w:rsidR="000145F6" w:rsidRDefault="000145F6" w:rsidP="000145F6">
      <w:pPr>
        <w:pStyle w:val="P1-StandPara"/>
        <w:spacing w:after="120" w:line="240" w:lineRule="auto"/>
        <w:ind w:firstLine="0"/>
        <w:jc w:val="left"/>
        <w:rPr>
          <w:szCs w:val="22"/>
        </w:rPr>
      </w:pPr>
      <w:r>
        <w:rPr>
          <w:szCs w:val="22"/>
        </w:rPr>
        <w:t>NCES conducted a number of rounds of cognitive interviews from December of 2014 through June of 2</w:t>
      </w:r>
      <w:r w:rsidR="00703A79">
        <w:rPr>
          <w:szCs w:val="22"/>
        </w:rPr>
        <w:t>01</w:t>
      </w:r>
      <w:r>
        <w:rPr>
          <w:szCs w:val="22"/>
        </w:rPr>
        <w:t>5</w:t>
      </w:r>
      <w:r w:rsidR="002D3205">
        <w:rPr>
          <w:szCs w:val="22"/>
        </w:rPr>
        <w:t xml:space="preserve"> (listed below)</w:t>
      </w:r>
      <w:r>
        <w:rPr>
          <w:szCs w:val="22"/>
        </w:rPr>
        <w:t xml:space="preserve"> that lead to changes designed to improve respondents’ understanding of the language used in the letters, postcards, and survey items.</w:t>
      </w:r>
      <w:r w:rsidRPr="00AE4D7E">
        <w:rPr>
          <w:szCs w:val="22"/>
        </w:rPr>
        <w:t xml:space="preserve"> </w:t>
      </w:r>
      <w:r>
        <w:rPr>
          <w:szCs w:val="22"/>
        </w:rPr>
        <w:t>The results of these cognitive interviews informed the development of the documents in this submission and are presented in Appendix 4.</w:t>
      </w:r>
    </w:p>
    <w:p w14:paraId="05600BA7" w14:textId="0C662AB3" w:rsidR="000145F6" w:rsidRPr="0052333F" w:rsidRDefault="000145F6" w:rsidP="0052333F">
      <w:pPr>
        <w:pStyle w:val="ListParagraph"/>
        <w:numPr>
          <w:ilvl w:val="0"/>
          <w:numId w:val="7"/>
        </w:numPr>
        <w:spacing w:after="120" w:line="240" w:lineRule="auto"/>
        <w:ind w:left="450" w:hanging="270"/>
        <w:rPr>
          <w:rFonts w:ascii="Times New Roman" w:hAnsi="Times New Roman" w:cs="Times New Roman"/>
          <w:sz w:val="20"/>
          <w:szCs w:val="20"/>
        </w:rPr>
      </w:pPr>
      <w:r w:rsidRPr="0052333F">
        <w:rPr>
          <w:rFonts w:ascii="Times New Roman" w:hAnsi="Times New Roman" w:cs="Times New Roman"/>
          <w:sz w:val="20"/>
          <w:szCs w:val="20"/>
        </w:rPr>
        <w:t>Phase 1 Spanish language interviews for respondent contact materials and screener instrument—OMB #1850-0803 v.128</w:t>
      </w:r>
    </w:p>
    <w:p w14:paraId="50ABB6BF" w14:textId="4680D491" w:rsidR="000145F6" w:rsidRPr="0052333F" w:rsidRDefault="000145F6" w:rsidP="0052333F">
      <w:pPr>
        <w:pStyle w:val="ListParagraph"/>
        <w:numPr>
          <w:ilvl w:val="0"/>
          <w:numId w:val="7"/>
        </w:numPr>
        <w:spacing w:after="120" w:line="240" w:lineRule="auto"/>
        <w:ind w:left="450" w:hanging="270"/>
        <w:rPr>
          <w:rFonts w:ascii="Times New Roman" w:hAnsi="Times New Roman" w:cs="Times New Roman"/>
          <w:sz w:val="20"/>
          <w:szCs w:val="20"/>
        </w:rPr>
      </w:pPr>
      <w:r w:rsidRPr="0052333F">
        <w:rPr>
          <w:rFonts w:ascii="Times New Roman" w:hAnsi="Times New Roman" w:cs="Times New Roman"/>
          <w:sz w:val="20"/>
          <w:szCs w:val="20"/>
        </w:rPr>
        <w:t>Phase 2 Spanish language interviews for topical questionnaires –OMB #1850-0803 v.131</w:t>
      </w:r>
    </w:p>
    <w:p w14:paraId="668E9640" w14:textId="6FDF987A" w:rsidR="000145F6" w:rsidRPr="0052333F" w:rsidRDefault="000145F6" w:rsidP="0052333F">
      <w:pPr>
        <w:pStyle w:val="ListParagraph"/>
        <w:numPr>
          <w:ilvl w:val="0"/>
          <w:numId w:val="7"/>
        </w:numPr>
        <w:spacing w:after="120" w:line="240" w:lineRule="auto"/>
        <w:ind w:left="450" w:hanging="270"/>
        <w:rPr>
          <w:rFonts w:ascii="Times New Roman" w:hAnsi="Times New Roman" w:cs="Times New Roman"/>
          <w:sz w:val="20"/>
          <w:szCs w:val="20"/>
        </w:rPr>
      </w:pPr>
      <w:r w:rsidRPr="0052333F">
        <w:rPr>
          <w:rFonts w:ascii="Times New Roman" w:hAnsi="Times New Roman" w:cs="Times New Roman"/>
          <w:sz w:val="20"/>
          <w:szCs w:val="20"/>
        </w:rPr>
        <w:t xml:space="preserve">Phase 3 </w:t>
      </w:r>
      <w:r w:rsidR="00387899" w:rsidRPr="0052333F">
        <w:rPr>
          <w:rFonts w:ascii="Times New Roman" w:hAnsi="Times New Roman" w:cs="Times New Roman"/>
          <w:sz w:val="20"/>
          <w:szCs w:val="20"/>
        </w:rPr>
        <w:t xml:space="preserve">Spanish and English </w:t>
      </w:r>
      <w:r w:rsidRPr="0052333F">
        <w:rPr>
          <w:rFonts w:ascii="Times New Roman" w:hAnsi="Times New Roman" w:cs="Times New Roman"/>
          <w:sz w:val="20"/>
          <w:szCs w:val="20"/>
        </w:rPr>
        <w:t>interviews on contact materials for web experiment –OMB</w:t>
      </w:r>
      <w:r w:rsidR="00105381">
        <w:rPr>
          <w:rFonts w:ascii="Times New Roman" w:hAnsi="Times New Roman" w:cs="Times New Roman"/>
          <w:sz w:val="20"/>
          <w:szCs w:val="20"/>
        </w:rPr>
        <w:t xml:space="preserve"> </w:t>
      </w:r>
      <w:r w:rsidR="002D72A5" w:rsidRPr="0052333F">
        <w:rPr>
          <w:rFonts w:ascii="Times New Roman" w:hAnsi="Times New Roman" w:cs="Times New Roman"/>
          <w:sz w:val="20"/>
          <w:szCs w:val="20"/>
        </w:rPr>
        <w:t>#1850-0803 v. 136</w:t>
      </w:r>
    </w:p>
    <w:p w14:paraId="789E2ACA" w14:textId="3C80CF8E" w:rsidR="000145F6" w:rsidRPr="0052333F" w:rsidRDefault="000145F6" w:rsidP="0052333F">
      <w:pPr>
        <w:pStyle w:val="ListParagraph"/>
        <w:numPr>
          <w:ilvl w:val="0"/>
          <w:numId w:val="7"/>
        </w:numPr>
        <w:spacing w:after="120" w:line="240" w:lineRule="auto"/>
        <w:ind w:left="450" w:hanging="270"/>
        <w:rPr>
          <w:rFonts w:ascii="Times New Roman" w:hAnsi="Times New Roman" w:cs="Times New Roman"/>
          <w:sz w:val="20"/>
          <w:szCs w:val="20"/>
        </w:rPr>
      </w:pPr>
      <w:r w:rsidRPr="0052333F">
        <w:rPr>
          <w:rFonts w:ascii="Times New Roman" w:hAnsi="Times New Roman" w:cs="Times New Roman"/>
          <w:sz w:val="20"/>
          <w:szCs w:val="20"/>
        </w:rPr>
        <w:t>PFI and ECPP interviews –OMB #1850-0803 v.121</w:t>
      </w:r>
    </w:p>
    <w:p w14:paraId="7E21BAD5" w14:textId="46D2645E" w:rsidR="000145F6" w:rsidRPr="0052333F" w:rsidRDefault="000145F6" w:rsidP="0052333F">
      <w:pPr>
        <w:pStyle w:val="ListParagraph"/>
        <w:numPr>
          <w:ilvl w:val="0"/>
          <w:numId w:val="7"/>
        </w:numPr>
        <w:spacing w:after="120" w:line="240" w:lineRule="auto"/>
        <w:ind w:left="450" w:hanging="270"/>
        <w:rPr>
          <w:rFonts w:ascii="Times New Roman" w:hAnsi="Times New Roman" w:cs="Times New Roman"/>
          <w:sz w:val="20"/>
          <w:szCs w:val="20"/>
        </w:rPr>
      </w:pPr>
      <w:r w:rsidRPr="0052333F">
        <w:rPr>
          <w:rFonts w:ascii="Times New Roman" w:hAnsi="Times New Roman" w:cs="Times New Roman"/>
          <w:sz w:val="20"/>
          <w:szCs w:val="20"/>
        </w:rPr>
        <w:t>ATES interviews—OMB #1850-0803 v.127</w:t>
      </w:r>
    </w:p>
    <w:p w14:paraId="1E1A567E" w14:textId="77777777" w:rsidR="00847832" w:rsidRDefault="00847832" w:rsidP="00646A5F">
      <w:pPr>
        <w:pStyle w:val="P1-StandPara"/>
        <w:spacing w:after="120" w:line="240" w:lineRule="auto"/>
        <w:ind w:left="720" w:firstLine="0"/>
        <w:jc w:val="left"/>
        <w:rPr>
          <w:b/>
        </w:rPr>
      </w:pPr>
      <w:r>
        <w:rPr>
          <w:b/>
        </w:rPr>
        <w:lastRenderedPageBreak/>
        <w:t>Overview of NHES:2016 Target population</w:t>
      </w:r>
    </w:p>
    <w:p w14:paraId="6679B1A8" w14:textId="6828B09D" w:rsidR="00847832" w:rsidRDefault="0068311B" w:rsidP="00646A5F">
      <w:pPr>
        <w:pStyle w:val="P1-StandPara"/>
        <w:spacing w:after="120" w:line="240" w:lineRule="auto"/>
        <w:ind w:firstLine="0"/>
        <w:jc w:val="left"/>
      </w:pPr>
      <w:r>
        <w:t>The NHES:2016 will include the ATES, the PFI-E, the PFI-H, and the ECPP. Adults ages 16 to 65 who are not enrolled in or homeschooled for grade 12 or below will be eligible for the ATES topical survey, and children from birth through 12</w:t>
      </w:r>
      <w:r w:rsidRPr="00941D40">
        <w:rPr>
          <w:vertAlign w:val="superscript"/>
        </w:rPr>
        <w:t>th</w:t>
      </w:r>
      <w:r>
        <w:t xml:space="preserve"> grade who are ages 20 or younger will be eligible </w:t>
      </w:r>
      <w:r w:rsidR="007E768B">
        <w:t>f</w:t>
      </w:r>
      <w:r>
        <w:t>or the child-focused surveys</w:t>
      </w:r>
      <w:r w:rsidRPr="003F69DF">
        <w:t>.</w:t>
      </w:r>
      <w:r>
        <w:t xml:space="preserve"> The PFI-E </w:t>
      </w:r>
      <w:r w:rsidR="00387899">
        <w:t>samples</w:t>
      </w:r>
      <w:r w:rsidRPr="00540585">
        <w:t xml:space="preserve"> children and youth </w:t>
      </w:r>
      <w:r>
        <w:t>age</w:t>
      </w:r>
      <w:r w:rsidRPr="000145F6">
        <w:t xml:space="preserve">s </w:t>
      </w:r>
      <w:r w:rsidR="00475ACE" w:rsidRPr="000145F6">
        <w:t>20 or younger</w:t>
      </w:r>
      <w:r w:rsidRPr="000145F6">
        <w:t xml:space="preserve"> enrolled in kindergarten through 12</w:t>
      </w:r>
      <w:r w:rsidRPr="000145F6">
        <w:rPr>
          <w:vertAlign w:val="superscript"/>
        </w:rPr>
        <w:t>th</w:t>
      </w:r>
      <w:r w:rsidRPr="000145F6">
        <w:t xml:space="preserve"> grade, while the PFI-H targets families of children and youth ages </w:t>
      </w:r>
      <w:r w:rsidR="00B1433B" w:rsidRPr="000145F6">
        <w:t>20 or younger</w:t>
      </w:r>
      <w:r w:rsidRPr="000145F6">
        <w:t xml:space="preserve"> ho</w:t>
      </w:r>
      <w:r>
        <w:t>meschooled for</w:t>
      </w:r>
      <w:r w:rsidR="00387899">
        <w:t xml:space="preserve"> the equivalent of</w:t>
      </w:r>
      <w:r>
        <w:t xml:space="preserve"> kindergarten through 12</w:t>
      </w:r>
      <w:r w:rsidRPr="000E1E54">
        <w:rPr>
          <w:vertAlign w:val="superscript"/>
        </w:rPr>
        <w:t>th</w:t>
      </w:r>
      <w:r>
        <w:t xml:space="preserve"> grade. The ECPP </w:t>
      </w:r>
      <w:r w:rsidR="00387899">
        <w:t>samples</w:t>
      </w:r>
      <w:r>
        <w:t xml:space="preserve"> children ages 6 or younger who are not yet enrolled in kindergarten.</w:t>
      </w:r>
      <w:r w:rsidRPr="003F69DF">
        <w:t xml:space="preserve"> </w:t>
      </w:r>
      <w:r w:rsidR="00847832">
        <w:t xml:space="preserve">Adults knowledgeable about the care and education of the sampled children respond </w:t>
      </w:r>
      <w:r w:rsidR="007E768B">
        <w:t>to</w:t>
      </w:r>
      <w:r w:rsidR="00847832">
        <w:t xml:space="preserve"> the surveys about children</w:t>
      </w:r>
      <w:r w:rsidR="00387899">
        <w:t>, whereas sampled adults answer ATES surveys about themselves</w:t>
      </w:r>
      <w:r w:rsidR="00847832">
        <w:t>.</w:t>
      </w:r>
    </w:p>
    <w:p w14:paraId="7E00AB4B" w14:textId="0A7B9BED" w:rsidR="00847832" w:rsidRDefault="00847832" w:rsidP="00646A5F">
      <w:pPr>
        <w:pStyle w:val="P1-StandPara"/>
        <w:spacing w:after="120" w:line="240" w:lineRule="auto"/>
        <w:ind w:firstLine="0"/>
        <w:jc w:val="left"/>
      </w:pPr>
      <w:r>
        <w:t xml:space="preserve">This submission includes a number of letters and postcards for each stage of the study tailored for the screener instrument and each topical survey. It also includes respondent materials designed for a planned web survey experiment described in the section entitled NHES:2016 Experiments. </w:t>
      </w:r>
      <w:r w:rsidRPr="00474007">
        <w:t>All</w:t>
      </w:r>
      <w:r>
        <w:t xml:space="preserve"> English-language respondent contact materials are provided in Appendix 1</w:t>
      </w:r>
      <w:r w:rsidR="0068311B">
        <w:t xml:space="preserve"> and all English- and Spanish-language </w:t>
      </w:r>
      <w:r w:rsidR="00541CBB">
        <w:t xml:space="preserve">mail </w:t>
      </w:r>
      <w:r w:rsidR="0068311B">
        <w:t>survey materials are provided in Appendix 2.</w:t>
      </w:r>
      <w:r w:rsidR="00541CBB">
        <w:t xml:space="preserve"> Appendix 2 also includes a table describing differences between the mail surveys and the web surveys.</w:t>
      </w:r>
    </w:p>
    <w:p w14:paraId="0E9FAF71" w14:textId="77777777" w:rsidR="00847832" w:rsidRDefault="00847832" w:rsidP="00646A5F">
      <w:pPr>
        <w:pStyle w:val="P1-StandPara"/>
        <w:spacing w:after="120" w:line="240" w:lineRule="auto"/>
        <w:ind w:left="720" w:firstLine="0"/>
        <w:jc w:val="left"/>
        <w:rPr>
          <w:b/>
        </w:rPr>
      </w:pPr>
      <w:r w:rsidRPr="00282F2F">
        <w:rPr>
          <w:b/>
        </w:rPr>
        <w:t xml:space="preserve">NHES:2016 </w:t>
      </w:r>
      <w:r>
        <w:rPr>
          <w:b/>
        </w:rPr>
        <w:t>Screener Instrument</w:t>
      </w:r>
    </w:p>
    <w:p w14:paraId="4A539B6C" w14:textId="77777777" w:rsidR="00847832" w:rsidRPr="00474007" w:rsidRDefault="00847832" w:rsidP="00646A5F">
      <w:pPr>
        <w:pStyle w:val="P1-StandPara"/>
        <w:spacing w:after="120" w:line="240" w:lineRule="auto"/>
        <w:ind w:firstLine="0"/>
        <w:jc w:val="left"/>
      </w:pPr>
      <w:r>
        <w:t xml:space="preserve">The household screener instrument was revised from the 2012 NHES to include a complete listing of all household members rather than just of children in the household. The response rates for a 5-person child-only screener and a 10-person all household member screener were found to be comparable in a small experiment conducted in conjunction with an ATES pilot test in 2013. The NHES-FS used the 10-person screener as part of its goal to evaluate the procedures needed to include an adult-focused survey in NHES and included an experiment comparing </w:t>
      </w:r>
      <w:r w:rsidRPr="00E5729A">
        <w:t>response rate differences between a screener that asked for age measured in years versus a screener that ask</w:t>
      </w:r>
      <w:r>
        <w:t>ed</w:t>
      </w:r>
      <w:r w:rsidRPr="00E5729A">
        <w:t xml:space="preserve"> for age measured as year and month of birth.</w:t>
      </w:r>
      <w:r>
        <w:t xml:space="preserve"> Based on the results of this experiment, NHES:2016 will use the screener that asks for age as year and month of birth. English and Spanish versions of the screener are shown in </w:t>
      </w:r>
      <w:r w:rsidRPr="00474007">
        <w:t>Appendix 2.</w:t>
      </w:r>
    </w:p>
    <w:p w14:paraId="002D89BF" w14:textId="77777777" w:rsidR="00847832" w:rsidRDefault="00847832" w:rsidP="00646A5F">
      <w:pPr>
        <w:pStyle w:val="Heading4"/>
        <w:spacing w:after="120" w:line="240" w:lineRule="auto"/>
        <w:ind w:left="720" w:firstLine="0"/>
        <w:jc w:val="left"/>
      </w:pPr>
      <w:r w:rsidRPr="00474007">
        <w:t>NHES:2016 Topical Surveys</w:t>
      </w:r>
    </w:p>
    <w:p w14:paraId="6E0A25CC" w14:textId="68026A64" w:rsidR="00387899" w:rsidRDefault="00847832" w:rsidP="00646A5F">
      <w:pPr>
        <w:pStyle w:val="P1-StandPara"/>
        <w:spacing w:after="120" w:line="240" w:lineRule="auto"/>
        <w:ind w:firstLine="0"/>
        <w:jc w:val="left"/>
      </w:pPr>
      <w:r w:rsidRPr="00474007">
        <w:t>As shown in Exhibit 1, each administration of the NHES has included more than one topical survey. The NHES:2016 will include one adult-focused survey (ATES) and t</w:t>
      </w:r>
      <w:r w:rsidR="007E768B">
        <w:t>hree</w:t>
      </w:r>
      <w:r w:rsidRPr="00474007">
        <w:t xml:space="preserve"> child-focused topical surveys (PFI</w:t>
      </w:r>
      <w:r w:rsidR="007E768B">
        <w:t>-E, PFI-H,</w:t>
      </w:r>
      <w:r w:rsidRPr="00474007">
        <w:t xml:space="preserve"> and ECPP). The surveys are shown in Appendix </w:t>
      </w:r>
      <w:r>
        <w:t>2</w:t>
      </w:r>
      <w:r w:rsidRPr="00474007">
        <w:t>.</w:t>
      </w:r>
      <w:r>
        <w:t xml:space="preserve"> </w:t>
      </w:r>
      <w:r w:rsidRPr="00474007">
        <w:t>The planned NHES:2016 administration of the PFI and ECPP surveys is a repeat of the child-focused topics administered for the first time in mail survey mod</w:t>
      </w:r>
      <w:r>
        <w:t xml:space="preserve">e as part of NHES:2012. NCES decided to repeat these surveys in 2016 to establish the first trend data for the newly-designed NHES. Tracking changes in the population over time is a key research goal of the NHES program. To develop ATES content, NCES under the guidance of GEMEnA has been </w:t>
      </w:r>
      <w:r w:rsidRPr="00974A81">
        <w:t xml:space="preserve">developing and testing new survey </w:t>
      </w:r>
      <w:r>
        <w:t>items</w:t>
      </w:r>
      <w:r w:rsidRPr="00974A81">
        <w:t xml:space="preserve"> since 2009</w:t>
      </w:r>
      <w:r>
        <w:t xml:space="preserve">, including conducting </w:t>
      </w:r>
      <w:r w:rsidRPr="00974A81">
        <w:t>expert review,</w:t>
      </w:r>
      <w:r>
        <w:t xml:space="preserve"> focus groups,</w:t>
      </w:r>
      <w:r w:rsidRPr="00974A81">
        <w:t xml:space="preserve"> cognitive test</w:t>
      </w:r>
      <w:r>
        <w:t>s and pilot tests</w:t>
      </w:r>
      <w:r w:rsidRPr="00974A81">
        <w:t>.</w:t>
      </w:r>
      <w:r>
        <w:t xml:space="preserve"> English and Spanish versions of the PFI</w:t>
      </w:r>
      <w:r w:rsidR="00A35F0A">
        <w:t>-E</w:t>
      </w:r>
      <w:r>
        <w:t>,</w:t>
      </w:r>
      <w:r w:rsidR="00A35F0A">
        <w:t xml:space="preserve"> PFI-H,</w:t>
      </w:r>
      <w:r>
        <w:t xml:space="preserve"> ECPP, and ATES are shown in </w:t>
      </w:r>
      <w:r w:rsidRPr="00474007">
        <w:t>Appendix 2</w:t>
      </w:r>
      <w:r>
        <w:t>.</w:t>
      </w:r>
    </w:p>
    <w:p w14:paraId="6D6B7071" w14:textId="77777777" w:rsidR="00847832" w:rsidRDefault="00847832" w:rsidP="00847832">
      <w:pPr>
        <w:pStyle w:val="N8-QxQBlock"/>
        <w:tabs>
          <w:tab w:val="clear" w:pos="1152"/>
          <w:tab w:val="left" w:pos="-360"/>
        </w:tabs>
        <w:suppressAutoHyphens/>
        <w:spacing w:after="0" w:line="240" w:lineRule="auto"/>
        <w:ind w:left="0" w:firstLine="0"/>
        <w:rPr>
          <w:b/>
          <w:spacing w:val="-2"/>
        </w:rPr>
      </w:pPr>
      <w:r>
        <w:rPr>
          <w:b/>
          <w:spacing w:val="-2"/>
        </w:rPr>
        <w:t xml:space="preserve">Exhibit </w:t>
      </w:r>
      <w:r w:rsidRPr="00AA16D5">
        <w:rPr>
          <w:b/>
          <w:spacing w:val="-2"/>
        </w:rPr>
        <w:t>1.</w:t>
      </w:r>
      <w:r w:rsidRPr="00AA16D5">
        <w:rPr>
          <w:b/>
          <w:spacing w:val="-2"/>
        </w:rPr>
        <w:t> </w:t>
      </w:r>
      <w:r>
        <w:rPr>
          <w:b/>
          <w:spacing w:val="-2"/>
        </w:rPr>
        <w:t>Topical s</w:t>
      </w:r>
      <w:r w:rsidRPr="00AA16D5">
        <w:rPr>
          <w:b/>
          <w:spacing w:val="-2"/>
        </w:rPr>
        <w:t xml:space="preserve">urveys conducted under the National Household Education Surveys </w:t>
      </w:r>
      <w:r>
        <w:rPr>
          <w:b/>
          <w:spacing w:val="-2"/>
        </w:rPr>
        <w:t>P</w:t>
      </w:r>
      <w:r w:rsidRPr="00AA16D5">
        <w:rPr>
          <w:b/>
          <w:spacing w:val="-2"/>
        </w:rPr>
        <w:t>rogram, by</w:t>
      </w:r>
    </w:p>
    <w:p w14:paraId="4DC587CD" w14:textId="77777777" w:rsidR="00847832" w:rsidRPr="00474007" w:rsidRDefault="00847832" w:rsidP="00847832">
      <w:pPr>
        <w:pStyle w:val="N8-QxQBlock"/>
        <w:tabs>
          <w:tab w:val="clear" w:pos="1152"/>
          <w:tab w:val="left" w:pos="-360"/>
        </w:tabs>
        <w:suppressAutoHyphens/>
        <w:spacing w:after="0" w:line="240" w:lineRule="auto"/>
        <w:ind w:left="0" w:firstLine="0"/>
        <w:rPr>
          <w:b/>
          <w:spacing w:val="-2"/>
        </w:rPr>
      </w:pPr>
      <w:r>
        <w:rPr>
          <w:b/>
          <w:spacing w:val="-2"/>
        </w:rPr>
        <w:tab/>
        <w:t xml:space="preserve"> </w:t>
      </w:r>
      <w:r w:rsidRPr="00AA16D5">
        <w:rPr>
          <w:b/>
          <w:spacing w:val="-2"/>
        </w:rPr>
        <w:t>years administered: 1991</w:t>
      </w:r>
      <w:r>
        <w:rPr>
          <w:b/>
          <w:spacing w:val="-2"/>
        </w:rPr>
        <w:t>–</w:t>
      </w:r>
      <w:r w:rsidRPr="00AA16D5">
        <w:rPr>
          <w:b/>
          <w:spacing w:val="-2"/>
        </w:rPr>
        <w:t>20</w:t>
      </w:r>
      <w:r>
        <w:rPr>
          <w:b/>
          <w:spacing w:val="-2"/>
        </w:rPr>
        <w:t>12</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57"/>
        <w:gridCol w:w="620"/>
        <w:gridCol w:w="616"/>
        <w:gridCol w:w="616"/>
        <w:gridCol w:w="616"/>
        <w:gridCol w:w="681"/>
        <w:gridCol w:w="631"/>
        <w:gridCol w:w="628"/>
        <w:gridCol w:w="631"/>
        <w:gridCol w:w="626"/>
        <w:gridCol w:w="618"/>
      </w:tblGrid>
      <w:tr w:rsidR="0079066E" w14:paraId="27B72745" w14:textId="77777777" w:rsidTr="0079066E">
        <w:trPr>
          <w:cantSplit/>
        </w:trPr>
        <w:tc>
          <w:tcPr>
            <w:tcW w:w="1991" w:type="pct"/>
            <w:vMerge w:val="restart"/>
            <w:tcBorders>
              <w:top w:val="single" w:sz="2" w:space="0" w:color="auto"/>
              <w:left w:val="nil"/>
              <w:bottom w:val="single" w:sz="2" w:space="0" w:color="auto"/>
              <w:right w:val="nil"/>
            </w:tcBorders>
            <w:vAlign w:val="bottom"/>
          </w:tcPr>
          <w:p w14:paraId="2DF79AC4" w14:textId="77777777" w:rsidR="0079066E" w:rsidRDefault="0079066E" w:rsidP="003726FF">
            <w:pPr>
              <w:pStyle w:val="SL-FlLftSgl"/>
              <w:jc w:val="left"/>
              <w:rPr>
                <w:sz w:val="20"/>
              </w:rPr>
            </w:pPr>
            <w:r>
              <w:rPr>
                <w:sz w:val="20"/>
              </w:rPr>
              <w:t>Topical survey</w:t>
            </w:r>
          </w:p>
        </w:tc>
        <w:tc>
          <w:tcPr>
            <w:tcW w:w="3009" w:type="pct"/>
            <w:gridSpan w:val="10"/>
            <w:tcBorders>
              <w:top w:val="single" w:sz="2" w:space="0" w:color="auto"/>
              <w:left w:val="nil"/>
              <w:bottom w:val="single" w:sz="2" w:space="0" w:color="auto"/>
              <w:right w:val="nil"/>
            </w:tcBorders>
            <w:vAlign w:val="center"/>
          </w:tcPr>
          <w:p w14:paraId="05B91068" w14:textId="4FE465E5" w:rsidR="0079066E" w:rsidRDefault="0079066E" w:rsidP="003726FF">
            <w:pPr>
              <w:pStyle w:val="SL-FlLftSgl"/>
              <w:jc w:val="center"/>
              <w:rPr>
                <w:sz w:val="20"/>
              </w:rPr>
            </w:pPr>
            <w:r>
              <w:rPr>
                <w:sz w:val="20"/>
              </w:rPr>
              <w:t>NHES survey administration</w:t>
            </w:r>
          </w:p>
        </w:tc>
      </w:tr>
      <w:tr w:rsidR="0079066E" w14:paraId="0ED12547" w14:textId="77777777" w:rsidTr="0079066E">
        <w:trPr>
          <w:cantSplit/>
        </w:trPr>
        <w:tc>
          <w:tcPr>
            <w:tcW w:w="1991" w:type="pct"/>
            <w:vMerge/>
            <w:tcBorders>
              <w:top w:val="single" w:sz="2" w:space="0" w:color="auto"/>
              <w:left w:val="nil"/>
              <w:bottom w:val="single" w:sz="2" w:space="0" w:color="auto"/>
              <w:right w:val="nil"/>
            </w:tcBorders>
            <w:vAlign w:val="center"/>
          </w:tcPr>
          <w:p w14:paraId="386A5277" w14:textId="77777777" w:rsidR="00847832" w:rsidRDefault="00847832" w:rsidP="003726FF">
            <w:pPr>
              <w:pStyle w:val="SL-FlLftSgl"/>
              <w:jc w:val="right"/>
              <w:rPr>
                <w:sz w:val="20"/>
              </w:rPr>
            </w:pPr>
          </w:p>
        </w:tc>
        <w:tc>
          <w:tcPr>
            <w:tcW w:w="297" w:type="pct"/>
            <w:tcBorders>
              <w:top w:val="single" w:sz="2" w:space="0" w:color="auto"/>
              <w:left w:val="nil"/>
              <w:bottom w:val="single" w:sz="2" w:space="0" w:color="auto"/>
              <w:right w:val="nil"/>
            </w:tcBorders>
            <w:vAlign w:val="bottom"/>
          </w:tcPr>
          <w:p w14:paraId="61EA753F" w14:textId="77777777" w:rsidR="00847832" w:rsidRDefault="00847832" w:rsidP="003726FF">
            <w:pPr>
              <w:pStyle w:val="SL-FlLftSgl"/>
              <w:jc w:val="right"/>
              <w:rPr>
                <w:sz w:val="20"/>
              </w:rPr>
            </w:pPr>
            <w:r>
              <w:rPr>
                <w:sz w:val="20"/>
              </w:rPr>
              <w:t>1991</w:t>
            </w:r>
          </w:p>
        </w:tc>
        <w:tc>
          <w:tcPr>
            <w:tcW w:w="295" w:type="pct"/>
            <w:tcBorders>
              <w:top w:val="single" w:sz="2" w:space="0" w:color="auto"/>
              <w:left w:val="nil"/>
              <w:bottom w:val="single" w:sz="2" w:space="0" w:color="auto"/>
              <w:right w:val="nil"/>
            </w:tcBorders>
            <w:vAlign w:val="bottom"/>
          </w:tcPr>
          <w:p w14:paraId="7AA0DFCE" w14:textId="77777777" w:rsidR="00847832" w:rsidRDefault="00847832" w:rsidP="003726FF">
            <w:pPr>
              <w:pStyle w:val="SL-FlLftSgl"/>
              <w:jc w:val="right"/>
              <w:rPr>
                <w:sz w:val="20"/>
              </w:rPr>
            </w:pPr>
            <w:r>
              <w:rPr>
                <w:sz w:val="20"/>
              </w:rPr>
              <w:t>1993</w:t>
            </w:r>
          </w:p>
        </w:tc>
        <w:tc>
          <w:tcPr>
            <w:tcW w:w="295" w:type="pct"/>
            <w:tcBorders>
              <w:top w:val="single" w:sz="2" w:space="0" w:color="auto"/>
              <w:left w:val="nil"/>
              <w:bottom w:val="single" w:sz="2" w:space="0" w:color="auto"/>
              <w:right w:val="nil"/>
            </w:tcBorders>
            <w:vAlign w:val="bottom"/>
          </w:tcPr>
          <w:p w14:paraId="08B6CD96" w14:textId="77777777" w:rsidR="00847832" w:rsidRDefault="00847832" w:rsidP="003726FF">
            <w:pPr>
              <w:pStyle w:val="SL-FlLftSgl"/>
              <w:jc w:val="right"/>
              <w:rPr>
                <w:sz w:val="20"/>
              </w:rPr>
            </w:pPr>
            <w:r>
              <w:rPr>
                <w:sz w:val="20"/>
              </w:rPr>
              <w:t>1995</w:t>
            </w:r>
          </w:p>
        </w:tc>
        <w:tc>
          <w:tcPr>
            <w:tcW w:w="295" w:type="pct"/>
            <w:tcBorders>
              <w:top w:val="single" w:sz="2" w:space="0" w:color="auto"/>
              <w:left w:val="nil"/>
              <w:bottom w:val="single" w:sz="2" w:space="0" w:color="auto"/>
              <w:right w:val="nil"/>
            </w:tcBorders>
            <w:vAlign w:val="bottom"/>
          </w:tcPr>
          <w:p w14:paraId="67F9AE9C" w14:textId="77777777" w:rsidR="00847832" w:rsidRDefault="00847832" w:rsidP="003726FF">
            <w:pPr>
              <w:pStyle w:val="SL-FlLftSgl"/>
              <w:jc w:val="right"/>
              <w:rPr>
                <w:sz w:val="20"/>
              </w:rPr>
            </w:pPr>
            <w:r>
              <w:rPr>
                <w:sz w:val="20"/>
              </w:rPr>
              <w:t>1996</w:t>
            </w:r>
          </w:p>
        </w:tc>
        <w:tc>
          <w:tcPr>
            <w:tcW w:w="326" w:type="pct"/>
            <w:tcBorders>
              <w:top w:val="single" w:sz="2" w:space="0" w:color="auto"/>
              <w:left w:val="nil"/>
              <w:bottom w:val="single" w:sz="2" w:space="0" w:color="auto"/>
              <w:right w:val="nil"/>
            </w:tcBorders>
            <w:vAlign w:val="bottom"/>
          </w:tcPr>
          <w:p w14:paraId="70AC7C92" w14:textId="77777777" w:rsidR="00847832" w:rsidRDefault="00847832" w:rsidP="003726FF">
            <w:pPr>
              <w:pStyle w:val="SL-FlLftSgl"/>
              <w:jc w:val="right"/>
              <w:rPr>
                <w:sz w:val="20"/>
                <w:vertAlign w:val="superscript"/>
              </w:rPr>
            </w:pPr>
            <w:r>
              <w:rPr>
                <w:sz w:val="20"/>
              </w:rPr>
              <w:t>1999</w:t>
            </w:r>
            <w:r>
              <w:rPr>
                <w:sz w:val="20"/>
                <w:vertAlign w:val="superscript"/>
              </w:rPr>
              <w:t>1</w:t>
            </w:r>
          </w:p>
        </w:tc>
        <w:tc>
          <w:tcPr>
            <w:tcW w:w="302" w:type="pct"/>
            <w:tcBorders>
              <w:top w:val="single" w:sz="2" w:space="0" w:color="auto"/>
              <w:left w:val="nil"/>
              <w:bottom w:val="single" w:sz="2" w:space="0" w:color="auto"/>
              <w:right w:val="nil"/>
            </w:tcBorders>
            <w:vAlign w:val="bottom"/>
          </w:tcPr>
          <w:p w14:paraId="2433EE71" w14:textId="77777777" w:rsidR="00847832" w:rsidRDefault="00847832" w:rsidP="003726FF">
            <w:pPr>
              <w:pStyle w:val="SL-FlLftSgl"/>
              <w:jc w:val="right"/>
              <w:rPr>
                <w:sz w:val="20"/>
              </w:rPr>
            </w:pPr>
            <w:r>
              <w:rPr>
                <w:sz w:val="20"/>
              </w:rPr>
              <w:t>2001</w:t>
            </w:r>
          </w:p>
        </w:tc>
        <w:tc>
          <w:tcPr>
            <w:tcW w:w="301" w:type="pct"/>
            <w:tcBorders>
              <w:top w:val="single" w:sz="2" w:space="0" w:color="auto"/>
              <w:left w:val="nil"/>
              <w:bottom w:val="single" w:sz="2" w:space="0" w:color="auto"/>
              <w:right w:val="nil"/>
            </w:tcBorders>
            <w:vAlign w:val="bottom"/>
          </w:tcPr>
          <w:p w14:paraId="774F3333" w14:textId="77777777" w:rsidR="00847832" w:rsidRDefault="00847832" w:rsidP="003726FF">
            <w:pPr>
              <w:pStyle w:val="SL-FlLftSgl"/>
              <w:jc w:val="right"/>
              <w:rPr>
                <w:sz w:val="20"/>
              </w:rPr>
            </w:pPr>
            <w:r>
              <w:rPr>
                <w:sz w:val="20"/>
              </w:rPr>
              <w:t>2003</w:t>
            </w:r>
          </w:p>
        </w:tc>
        <w:tc>
          <w:tcPr>
            <w:tcW w:w="302" w:type="pct"/>
            <w:tcBorders>
              <w:top w:val="single" w:sz="2" w:space="0" w:color="auto"/>
              <w:left w:val="nil"/>
              <w:bottom w:val="single" w:sz="2" w:space="0" w:color="auto"/>
              <w:right w:val="nil"/>
            </w:tcBorders>
            <w:shd w:val="clear" w:color="auto" w:fill="auto"/>
            <w:vAlign w:val="bottom"/>
          </w:tcPr>
          <w:p w14:paraId="346C16AD" w14:textId="77777777" w:rsidR="00847832" w:rsidRDefault="00847832" w:rsidP="003726FF">
            <w:pPr>
              <w:pStyle w:val="SL-FlLftSgl"/>
              <w:jc w:val="right"/>
              <w:rPr>
                <w:sz w:val="20"/>
              </w:rPr>
            </w:pPr>
            <w:r>
              <w:rPr>
                <w:sz w:val="20"/>
              </w:rPr>
              <w:t>2005</w:t>
            </w:r>
          </w:p>
        </w:tc>
        <w:tc>
          <w:tcPr>
            <w:tcW w:w="300" w:type="pct"/>
            <w:tcBorders>
              <w:top w:val="single" w:sz="2" w:space="0" w:color="auto"/>
              <w:left w:val="nil"/>
              <w:bottom w:val="single" w:sz="2" w:space="0" w:color="auto"/>
              <w:right w:val="nil"/>
            </w:tcBorders>
            <w:shd w:val="clear" w:color="auto" w:fill="auto"/>
            <w:vAlign w:val="bottom"/>
          </w:tcPr>
          <w:p w14:paraId="31AEBAF2" w14:textId="77777777" w:rsidR="00847832" w:rsidRDefault="00847832" w:rsidP="003726FF">
            <w:pPr>
              <w:pStyle w:val="SL-FlLftSgl"/>
              <w:jc w:val="right"/>
              <w:rPr>
                <w:sz w:val="20"/>
              </w:rPr>
            </w:pPr>
            <w:r>
              <w:rPr>
                <w:sz w:val="20"/>
              </w:rPr>
              <w:t>2007</w:t>
            </w:r>
          </w:p>
        </w:tc>
        <w:tc>
          <w:tcPr>
            <w:tcW w:w="295" w:type="pct"/>
            <w:tcBorders>
              <w:top w:val="single" w:sz="2" w:space="0" w:color="auto"/>
              <w:left w:val="nil"/>
              <w:bottom w:val="single" w:sz="2" w:space="0" w:color="auto"/>
              <w:right w:val="nil"/>
            </w:tcBorders>
          </w:tcPr>
          <w:p w14:paraId="1746B66D" w14:textId="77777777" w:rsidR="00847832" w:rsidRDefault="00847832" w:rsidP="003726FF">
            <w:pPr>
              <w:pStyle w:val="SL-FlLftSgl"/>
              <w:jc w:val="right"/>
              <w:rPr>
                <w:sz w:val="20"/>
              </w:rPr>
            </w:pPr>
            <w:r>
              <w:rPr>
                <w:sz w:val="20"/>
              </w:rPr>
              <w:t>2012</w:t>
            </w:r>
          </w:p>
        </w:tc>
      </w:tr>
      <w:tr w:rsidR="0079066E" w14:paraId="2C6A039C" w14:textId="77777777" w:rsidTr="0079066E">
        <w:trPr>
          <w:cantSplit/>
        </w:trPr>
        <w:tc>
          <w:tcPr>
            <w:tcW w:w="1991" w:type="pct"/>
            <w:tcBorders>
              <w:top w:val="single" w:sz="2" w:space="0" w:color="auto"/>
              <w:left w:val="nil"/>
              <w:bottom w:val="nil"/>
              <w:right w:val="nil"/>
            </w:tcBorders>
            <w:vAlign w:val="center"/>
          </w:tcPr>
          <w:p w14:paraId="1178546B" w14:textId="4500CA2A" w:rsidR="00847832" w:rsidRDefault="00847832" w:rsidP="0079066E">
            <w:pPr>
              <w:pStyle w:val="SL-FlLftSgl"/>
              <w:jc w:val="left"/>
              <w:rPr>
                <w:sz w:val="20"/>
              </w:rPr>
            </w:pPr>
            <w:r>
              <w:rPr>
                <w:sz w:val="20"/>
              </w:rPr>
              <w:t>Early childhood education/program participation</w:t>
            </w:r>
          </w:p>
        </w:tc>
        <w:tc>
          <w:tcPr>
            <w:tcW w:w="297" w:type="pct"/>
            <w:tcBorders>
              <w:top w:val="single" w:sz="2" w:space="0" w:color="auto"/>
              <w:left w:val="nil"/>
              <w:bottom w:val="nil"/>
              <w:right w:val="nil"/>
            </w:tcBorders>
            <w:vAlign w:val="bottom"/>
          </w:tcPr>
          <w:p w14:paraId="504B521B" w14:textId="77777777" w:rsidR="00847832" w:rsidRDefault="00847832" w:rsidP="003726FF">
            <w:pPr>
              <w:pStyle w:val="SL-FlLftSgl"/>
              <w:jc w:val="right"/>
              <w:rPr>
                <w:sz w:val="20"/>
              </w:rPr>
            </w:pPr>
            <w:r>
              <w:rPr>
                <w:sz w:val="20"/>
              </w:rPr>
              <w:t>√</w:t>
            </w:r>
          </w:p>
        </w:tc>
        <w:tc>
          <w:tcPr>
            <w:tcW w:w="295" w:type="pct"/>
            <w:tcBorders>
              <w:top w:val="single" w:sz="2" w:space="0" w:color="auto"/>
              <w:left w:val="nil"/>
              <w:bottom w:val="nil"/>
              <w:right w:val="nil"/>
            </w:tcBorders>
            <w:vAlign w:val="bottom"/>
          </w:tcPr>
          <w:p w14:paraId="7499A95A" w14:textId="77777777" w:rsidR="00847832" w:rsidRDefault="00847832" w:rsidP="003726FF">
            <w:pPr>
              <w:pStyle w:val="SL-FlLftSgl"/>
              <w:jc w:val="right"/>
              <w:rPr>
                <w:sz w:val="20"/>
              </w:rPr>
            </w:pPr>
          </w:p>
        </w:tc>
        <w:tc>
          <w:tcPr>
            <w:tcW w:w="295" w:type="pct"/>
            <w:tcBorders>
              <w:top w:val="single" w:sz="2" w:space="0" w:color="auto"/>
              <w:left w:val="nil"/>
              <w:bottom w:val="nil"/>
              <w:right w:val="nil"/>
            </w:tcBorders>
            <w:vAlign w:val="bottom"/>
          </w:tcPr>
          <w:p w14:paraId="4602CFD7" w14:textId="77777777" w:rsidR="00847832" w:rsidRDefault="00847832" w:rsidP="003726FF">
            <w:pPr>
              <w:pStyle w:val="SL-FlLftSgl"/>
              <w:jc w:val="right"/>
              <w:rPr>
                <w:sz w:val="20"/>
              </w:rPr>
            </w:pPr>
            <w:r>
              <w:rPr>
                <w:sz w:val="20"/>
              </w:rPr>
              <w:t>√</w:t>
            </w:r>
          </w:p>
        </w:tc>
        <w:tc>
          <w:tcPr>
            <w:tcW w:w="295" w:type="pct"/>
            <w:tcBorders>
              <w:top w:val="single" w:sz="2" w:space="0" w:color="auto"/>
              <w:left w:val="nil"/>
              <w:bottom w:val="nil"/>
              <w:right w:val="nil"/>
            </w:tcBorders>
            <w:vAlign w:val="bottom"/>
          </w:tcPr>
          <w:p w14:paraId="74EC4564" w14:textId="77777777" w:rsidR="00847832" w:rsidRDefault="00847832" w:rsidP="003726FF">
            <w:pPr>
              <w:pStyle w:val="SL-FlLftSgl"/>
              <w:jc w:val="right"/>
              <w:rPr>
                <w:sz w:val="20"/>
              </w:rPr>
            </w:pPr>
          </w:p>
        </w:tc>
        <w:tc>
          <w:tcPr>
            <w:tcW w:w="326" w:type="pct"/>
            <w:tcBorders>
              <w:top w:val="single" w:sz="2" w:space="0" w:color="auto"/>
              <w:left w:val="nil"/>
              <w:bottom w:val="nil"/>
              <w:right w:val="nil"/>
            </w:tcBorders>
            <w:vAlign w:val="bottom"/>
          </w:tcPr>
          <w:p w14:paraId="272F08D0" w14:textId="77777777" w:rsidR="00847832" w:rsidRDefault="00847832" w:rsidP="003726FF">
            <w:pPr>
              <w:pStyle w:val="SL-FlLftSgl"/>
              <w:jc w:val="right"/>
              <w:rPr>
                <w:sz w:val="20"/>
              </w:rPr>
            </w:pPr>
            <w:r>
              <w:rPr>
                <w:sz w:val="20"/>
              </w:rPr>
              <w:t>√</w:t>
            </w:r>
          </w:p>
        </w:tc>
        <w:tc>
          <w:tcPr>
            <w:tcW w:w="302" w:type="pct"/>
            <w:tcBorders>
              <w:top w:val="single" w:sz="2" w:space="0" w:color="auto"/>
              <w:left w:val="nil"/>
              <w:bottom w:val="nil"/>
              <w:right w:val="nil"/>
            </w:tcBorders>
            <w:vAlign w:val="bottom"/>
          </w:tcPr>
          <w:p w14:paraId="5271D43A" w14:textId="77777777" w:rsidR="00847832" w:rsidRDefault="00847832" w:rsidP="003726FF">
            <w:pPr>
              <w:pStyle w:val="SL-FlLftSgl"/>
              <w:jc w:val="right"/>
              <w:rPr>
                <w:sz w:val="20"/>
              </w:rPr>
            </w:pPr>
            <w:r>
              <w:rPr>
                <w:sz w:val="20"/>
              </w:rPr>
              <w:t>√</w:t>
            </w:r>
          </w:p>
        </w:tc>
        <w:tc>
          <w:tcPr>
            <w:tcW w:w="301" w:type="pct"/>
            <w:tcBorders>
              <w:top w:val="single" w:sz="2" w:space="0" w:color="auto"/>
              <w:left w:val="nil"/>
              <w:bottom w:val="nil"/>
              <w:right w:val="nil"/>
            </w:tcBorders>
            <w:vAlign w:val="bottom"/>
          </w:tcPr>
          <w:p w14:paraId="73E7858A" w14:textId="77777777" w:rsidR="00847832" w:rsidRDefault="00847832" w:rsidP="003726FF">
            <w:pPr>
              <w:pStyle w:val="SL-FlLftSgl"/>
              <w:jc w:val="right"/>
              <w:rPr>
                <w:sz w:val="20"/>
              </w:rPr>
            </w:pPr>
          </w:p>
        </w:tc>
        <w:tc>
          <w:tcPr>
            <w:tcW w:w="302" w:type="pct"/>
            <w:tcBorders>
              <w:top w:val="single" w:sz="2" w:space="0" w:color="auto"/>
              <w:left w:val="nil"/>
              <w:bottom w:val="nil"/>
              <w:right w:val="nil"/>
            </w:tcBorders>
            <w:shd w:val="clear" w:color="auto" w:fill="auto"/>
            <w:vAlign w:val="bottom"/>
          </w:tcPr>
          <w:p w14:paraId="13FB027C" w14:textId="77777777" w:rsidR="00847832" w:rsidRDefault="00847832" w:rsidP="003726FF">
            <w:pPr>
              <w:pStyle w:val="SL-FlLftSgl"/>
              <w:jc w:val="right"/>
              <w:rPr>
                <w:sz w:val="20"/>
              </w:rPr>
            </w:pPr>
            <w:r>
              <w:rPr>
                <w:sz w:val="20"/>
              </w:rPr>
              <w:t>√</w:t>
            </w:r>
          </w:p>
        </w:tc>
        <w:tc>
          <w:tcPr>
            <w:tcW w:w="300" w:type="pct"/>
            <w:tcBorders>
              <w:top w:val="single" w:sz="2" w:space="0" w:color="auto"/>
              <w:left w:val="nil"/>
              <w:bottom w:val="nil"/>
              <w:right w:val="nil"/>
            </w:tcBorders>
            <w:shd w:val="clear" w:color="auto" w:fill="auto"/>
            <w:vAlign w:val="bottom"/>
          </w:tcPr>
          <w:p w14:paraId="1F9B128F" w14:textId="77777777" w:rsidR="00847832" w:rsidRDefault="00847832" w:rsidP="003726FF">
            <w:pPr>
              <w:pStyle w:val="SL-FlLftSgl"/>
              <w:jc w:val="right"/>
              <w:rPr>
                <w:sz w:val="20"/>
              </w:rPr>
            </w:pPr>
          </w:p>
        </w:tc>
        <w:tc>
          <w:tcPr>
            <w:tcW w:w="295" w:type="pct"/>
            <w:tcBorders>
              <w:top w:val="single" w:sz="2" w:space="0" w:color="auto"/>
              <w:left w:val="nil"/>
              <w:bottom w:val="nil"/>
              <w:right w:val="nil"/>
            </w:tcBorders>
          </w:tcPr>
          <w:p w14:paraId="463CFAB0" w14:textId="77777777" w:rsidR="00847832" w:rsidRDefault="00847832" w:rsidP="003726FF">
            <w:pPr>
              <w:pStyle w:val="SL-FlLftSgl"/>
              <w:jc w:val="right"/>
              <w:rPr>
                <w:sz w:val="20"/>
              </w:rPr>
            </w:pPr>
            <w:r>
              <w:rPr>
                <w:sz w:val="20"/>
              </w:rPr>
              <w:t>√</w:t>
            </w:r>
          </w:p>
        </w:tc>
      </w:tr>
      <w:tr w:rsidR="0079066E" w14:paraId="299D93C0" w14:textId="77777777" w:rsidTr="0079066E">
        <w:trPr>
          <w:cantSplit/>
        </w:trPr>
        <w:tc>
          <w:tcPr>
            <w:tcW w:w="1991" w:type="pct"/>
            <w:tcBorders>
              <w:top w:val="nil"/>
              <w:left w:val="nil"/>
              <w:bottom w:val="nil"/>
              <w:right w:val="nil"/>
            </w:tcBorders>
            <w:vAlign w:val="center"/>
          </w:tcPr>
          <w:p w14:paraId="7A19510F" w14:textId="77777777" w:rsidR="00847832" w:rsidRDefault="00847832" w:rsidP="003726FF">
            <w:pPr>
              <w:pStyle w:val="SL-FlLftSgl"/>
              <w:jc w:val="left"/>
              <w:rPr>
                <w:sz w:val="20"/>
              </w:rPr>
            </w:pPr>
            <w:r>
              <w:rPr>
                <w:sz w:val="20"/>
              </w:rPr>
              <w:t>Adult education</w:t>
            </w:r>
          </w:p>
        </w:tc>
        <w:tc>
          <w:tcPr>
            <w:tcW w:w="297" w:type="pct"/>
            <w:tcBorders>
              <w:top w:val="nil"/>
              <w:left w:val="nil"/>
              <w:bottom w:val="nil"/>
              <w:right w:val="nil"/>
            </w:tcBorders>
            <w:vAlign w:val="bottom"/>
          </w:tcPr>
          <w:p w14:paraId="3847A10A"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vAlign w:val="bottom"/>
          </w:tcPr>
          <w:p w14:paraId="2EF9C863"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3F8949F1"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vAlign w:val="bottom"/>
          </w:tcPr>
          <w:p w14:paraId="10E68370" w14:textId="77777777" w:rsidR="00847832" w:rsidRDefault="00847832" w:rsidP="003726FF">
            <w:pPr>
              <w:pStyle w:val="SL-FlLftSgl"/>
              <w:jc w:val="right"/>
              <w:rPr>
                <w:sz w:val="20"/>
              </w:rPr>
            </w:pPr>
          </w:p>
        </w:tc>
        <w:tc>
          <w:tcPr>
            <w:tcW w:w="326" w:type="pct"/>
            <w:tcBorders>
              <w:top w:val="nil"/>
              <w:left w:val="nil"/>
              <w:bottom w:val="nil"/>
              <w:right w:val="nil"/>
            </w:tcBorders>
            <w:vAlign w:val="bottom"/>
          </w:tcPr>
          <w:p w14:paraId="764D0DD7"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0518ED1E" w14:textId="77777777" w:rsidR="00847832" w:rsidRDefault="00847832" w:rsidP="003726FF">
            <w:pPr>
              <w:pStyle w:val="SL-FlLftSgl"/>
              <w:jc w:val="right"/>
              <w:rPr>
                <w:sz w:val="20"/>
              </w:rPr>
            </w:pPr>
            <w:r>
              <w:rPr>
                <w:sz w:val="20"/>
              </w:rPr>
              <w:t>√</w:t>
            </w:r>
          </w:p>
        </w:tc>
        <w:tc>
          <w:tcPr>
            <w:tcW w:w="301" w:type="pct"/>
            <w:tcBorders>
              <w:top w:val="nil"/>
              <w:left w:val="nil"/>
              <w:bottom w:val="nil"/>
              <w:right w:val="nil"/>
            </w:tcBorders>
            <w:vAlign w:val="bottom"/>
          </w:tcPr>
          <w:p w14:paraId="284D3CB1"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shd w:val="clear" w:color="auto" w:fill="auto"/>
            <w:vAlign w:val="bottom"/>
          </w:tcPr>
          <w:p w14:paraId="361E0CE5" w14:textId="77777777" w:rsidR="00847832" w:rsidRDefault="00847832" w:rsidP="003726FF">
            <w:pPr>
              <w:pStyle w:val="SL-FlLftSgl"/>
              <w:jc w:val="right"/>
              <w:rPr>
                <w:sz w:val="20"/>
              </w:rPr>
            </w:pPr>
            <w:r>
              <w:rPr>
                <w:sz w:val="20"/>
              </w:rPr>
              <w:t>√</w:t>
            </w:r>
          </w:p>
        </w:tc>
        <w:tc>
          <w:tcPr>
            <w:tcW w:w="300" w:type="pct"/>
            <w:tcBorders>
              <w:top w:val="nil"/>
              <w:left w:val="nil"/>
              <w:bottom w:val="nil"/>
              <w:right w:val="nil"/>
            </w:tcBorders>
            <w:shd w:val="clear" w:color="auto" w:fill="auto"/>
            <w:vAlign w:val="bottom"/>
          </w:tcPr>
          <w:p w14:paraId="39E188AE" w14:textId="77777777" w:rsidR="00847832" w:rsidRDefault="00847832" w:rsidP="003726FF">
            <w:pPr>
              <w:pStyle w:val="SL-FlLftSgl"/>
              <w:jc w:val="right"/>
              <w:rPr>
                <w:sz w:val="20"/>
                <w:highlight w:val="yellow"/>
              </w:rPr>
            </w:pPr>
          </w:p>
        </w:tc>
        <w:tc>
          <w:tcPr>
            <w:tcW w:w="295" w:type="pct"/>
            <w:tcBorders>
              <w:top w:val="nil"/>
              <w:left w:val="nil"/>
              <w:bottom w:val="nil"/>
              <w:right w:val="nil"/>
            </w:tcBorders>
          </w:tcPr>
          <w:p w14:paraId="1C454CBC" w14:textId="77777777" w:rsidR="00847832" w:rsidRDefault="00847832" w:rsidP="003726FF">
            <w:pPr>
              <w:pStyle w:val="SL-FlLftSgl"/>
              <w:jc w:val="right"/>
              <w:rPr>
                <w:sz w:val="20"/>
                <w:highlight w:val="yellow"/>
              </w:rPr>
            </w:pPr>
          </w:p>
        </w:tc>
      </w:tr>
      <w:tr w:rsidR="0079066E" w14:paraId="09AC8DA5" w14:textId="77777777" w:rsidTr="0079066E">
        <w:trPr>
          <w:cantSplit/>
        </w:trPr>
        <w:tc>
          <w:tcPr>
            <w:tcW w:w="1991" w:type="pct"/>
            <w:tcBorders>
              <w:top w:val="nil"/>
              <w:left w:val="nil"/>
              <w:bottom w:val="nil"/>
              <w:right w:val="nil"/>
            </w:tcBorders>
            <w:vAlign w:val="center"/>
          </w:tcPr>
          <w:p w14:paraId="1D3A0338" w14:textId="77777777" w:rsidR="00847832" w:rsidRDefault="00847832" w:rsidP="003726FF">
            <w:pPr>
              <w:pStyle w:val="SL-FlLftSgl"/>
              <w:jc w:val="left"/>
              <w:rPr>
                <w:sz w:val="20"/>
              </w:rPr>
            </w:pPr>
            <w:r>
              <w:rPr>
                <w:sz w:val="20"/>
              </w:rPr>
              <w:t>School readiness</w:t>
            </w:r>
          </w:p>
        </w:tc>
        <w:tc>
          <w:tcPr>
            <w:tcW w:w="297" w:type="pct"/>
            <w:tcBorders>
              <w:top w:val="nil"/>
              <w:left w:val="nil"/>
              <w:bottom w:val="nil"/>
              <w:right w:val="nil"/>
            </w:tcBorders>
            <w:vAlign w:val="bottom"/>
          </w:tcPr>
          <w:p w14:paraId="559A4659"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1A89975B"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vAlign w:val="bottom"/>
          </w:tcPr>
          <w:p w14:paraId="2B803B6D"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7174955E" w14:textId="77777777" w:rsidR="00847832" w:rsidRDefault="00847832" w:rsidP="003726FF">
            <w:pPr>
              <w:pStyle w:val="SL-FlLftSgl"/>
              <w:jc w:val="right"/>
              <w:rPr>
                <w:sz w:val="20"/>
              </w:rPr>
            </w:pPr>
          </w:p>
        </w:tc>
        <w:tc>
          <w:tcPr>
            <w:tcW w:w="326" w:type="pct"/>
            <w:tcBorders>
              <w:top w:val="nil"/>
              <w:left w:val="nil"/>
              <w:bottom w:val="nil"/>
              <w:right w:val="nil"/>
            </w:tcBorders>
            <w:vAlign w:val="bottom"/>
          </w:tcPr>
          <w:p w14:paraId="20933003"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49A5961E" w14:textId="77777777" w:rsidR="00847832" w:rsidRDefault="00847832" w:rsidP="003726FF">
            <w:pPr>
              <w:pStyle w:val="SL-FlLftSgl"/>
              <w:jc w:val="right"/>
              <w:rPr>
                <w:sz w:val="20"/>
              </w:rPr>
            </w:pPr>
          </w:p>
        </w:tc>
        <w:tc>
          <w:tcPr>
            <w:tcW w:w="301" w:type="pct"/>
            <w:tcBorders>
              <w:top w:val="nil"/>
              <w:left w:val="nil"/>
              <w:bottom w:val="nil"/>
              <w:right w:val="nil"/>
            </w:tcBorders>
            <w:vAlign w:val="bottom"/>
          </w:tcPr>
          <w:p w14:paraId="707CCB1F" w14:textId="77777777" w:rsidR="00847832" w:rsidRDefault="00847832" w:rsidP="003726FF">
            <w:pPr>
              <w:pStyle w:val="SL-FlLftSgl"/>
              <w:jc w:val="right"/>
              <w:rPr>
                <w:sz w:val="20"/>
              </w:rPr>
            </w:pPr>
          </w:p>
        </w:tc>
        <w:tc>
          <w:tcPr>
            <w:tcW w:w="302" w:type="pct"/>
            <w:tcBorders>
              <w:top w:val="nil"/>
              <w:left w:val="nil"/>
              <w:bottom w:val="nil"/>
              <w:right w:val="nil"/>
            </w:tcBorders>
            <w:shd w:val="clear" w:color="auto" w:fill="auto"/>
            <w:vAlign w:val="bottom"/>
          </w:tcPr>
          <w:p w14:paraId="7E895660" w14:textId="77777777" w:rsidR="00847832" w:rsidRDefault="00847832" w:rsidP="003726FF">
            <w:pPr>
              <w:pStyle w:val="SL-FlLftSgl"/>
              <w:jc w:val="right"/>
              <w:rPr>
                <w:sz w:val="20"/>
              </w:rPr>
            </w:pPr>
          </w:p>
        </w:tc>
        <w:tc>
          <w:tcPr>
            <w:tcW w:w="300" w:type="pct"/>
            <w:tcBorders>
              <w:top w:val="nil"/>
              <w:left w:val="nil"/>
              <w:bottom w:val="nil"/>
              <w:right w:val="nil"/>
            </w:tcBorders>
            <w:shd w:val="clear" w:color="auto" w:fill="auto"/>
            <w:vAlign w:val="bottom"/>
          </w:tcPr>
          <w:p w14:paraId="75C3934A"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tcPr>
          <w:p w14:paraId="6AF665CE" w14:textId="77777777" w:rsidR="00847832" w:rsidRDefault="00847832" w:rsidP="003726FF">
            <w:pPr>
              <w:pStyle w:val="SL-FlLftSgl"/>
              <w:jc w:val="right"/>
              <w:rPr>
                <w:sz w:val="20"/>
              </w:rPr>
            </w:pPr>
          </w:p>
        </w:tc>
      </w:tr>
      <w:tr w:rsidR="0079066E" w14:paraId="68935202" w14:textId="77777777" w:rsidTr="0079066E">
        <w:trPr>
          <w:cantSplit/>
        </w:trPr>
        <w:tc>
          <w:tcPr>
            <w:tcW w:w="1991" w:type="pct"/>
            <w:tcBorders>
              <w:top w:val="nil"/>
              <w:left w:val="nil"/>
              <w:bottom w:val="nil"/>
              <w:right w:val="nil"/>
            </w:tcBorders>
            <w:vAlign w:val="center"/>
          </w:tcPr>
          <w:p w14:paraId="3BC2A585" w14:textId="77777777" w:rsidR="00847832" w:rsidRDefault="00847832" w:rsidP="003726FF">
            <w:pPr>
              <w:pStyle w:val="SL-FlLftSgl"/>
              <w:jc w:val="left"/>
              <w:rPr>
                <w:sz w:val="20"/>
              </w:rPr>
            </w:pPr>
            <w:r>
              <w:rPr>
                <w:sz w:val="20"/>
              </w:rPr>
              <w:t>School safety and discipline</w:t>
            </w:r>
          </w:p>
        </w:tc>
        <w:tc>
          <w:tcPr>
            <w:tcW w:w="297" w:type="pct"/>
            <w:tcBorders>
              <w:top w:val="nil"/>
              <w:left w:val="nil"/>
              <w:bottom w:val="nil"/>
              <w:right w:val="nil"/>
            </w:tcBorders>
            <w:vAlign w:val="bottom"/>
          </w:tcPr>
          <w:p w14:paraId="3554AA19"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0C0E3F33"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vAlign w:val="bottom"/>
          </w:tcPr>
          <w:p w14:paraId="199B5142"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7689209F" w14:textId="77777777" w:rsidR="00847832" w:rsidRDefault="00847832" w:rsidP="003726FF">
            <w:pPr>
              <w:pStyle w:val="SL-FlLftSgl"/>
              <w:jc w:val="right"/>
              <w:rPr>
                <w:sz w:val="20"/>
              </w:rPr>
            </w:pPr>
          </w:p>
        </w:tc>
        <w:tc>
          <w:tcPr>
            <w:tcW w:w="326" w:type="pct"/>
            <w:tcBorders>
              <w:top w:val="nil"/>
              <w:left w:val="nil"/>
              <w:bottom w:val="nil"/>
              <w:right w:val="nil"/>
            </w:tcBorders>
            <w:vAlign w:val="bottom"/>
          </w:tcPr>
          <w:p w14:paraId="05B57731" w14:textId="77777777" w:rsidR="00847832" w:rsidRDefault="00847832" w:rsidP="003726FF">
            <w:pPr>
              <w:pStyle w:val="SL-FlLftSgl"/>
              <w:jc w:val="right"/>
              <w:rPr>
                <w:sz w:val="20"/>
              </w:rPr>
            </w:pPr>
          </w:p>
        </w:tc>
        <w:tc>
          <w:tcPr>
            <w:tcW w:w="302" w:type="pct"/>
            <w:tcBorders>
              <w:top w:val="nil"/>
              <w:left w:val="nil"/>
              <w:bottom w:val="nil"/>
              <w:right w:val="nil"/>
            </w:tcBorders>
            <w:vAlign w:val="bottom"/>
          </w:tcPr>
          <w:p w14:paraId="1DAA36D8" w14:textId="77777777" w:rsidR="00847832" w:rsidRDefault="00847832" w:rsidP="003726FF">
            <w:pPr>
              <w:pStyle w:val="SL-FlLftSgl"/>
              <w:jc w:val="right"/>
              <w:rPr>
                <w:sz w:val="20"/>
              </w:rPr>
            </w:pPr>
          </w:p>
        </w:tc>
        <w:tc>
          <w:tcPr>
            <w:tcW w:w="301" w:type="pct"/>
            <w:tcBorders>
              <w:top w:val="nil"/>
              <w:left w:val="nil"/>
              <w:bottom w:val="nil"/>
              <w:right w:val="nil"/>
            </w:tcBorders>
            <w:vAlign w:val="bottom"/>
          </w:tcPr>
          <w:p w14:paraId="2606BE1C" w14:textId="77777777" w:rsidR="00847832" w:rsidRDefault="00847832" w:rsidP="003726FF">
            <w:pPr>
              <w:pStyle w:val="SL-FlLftSgl"/>
              <w:jc w:val="right"/>
              <w:rPr>
                <w:sz w:val="20"/>
              </w:rPr>
            </w:pPr>
          </w:p>
        </w:tc>
        <w:tc>
          <w:tcPr>
            <w:tcW w:w="302" w:type="pct"/>
            <w:tcBorders>
              <w:top w:val="nil"/>
              <w:left w:val="nil"/>
              <w:bottom w:val="nil"/>
              <w:right w:val="nil"/>
            </w:tcBorders>
            <w:shd w:val="clear" w:color="auto" w:fill="auto"/>
            <w:vAlign w:val="bottom"/>
          </w:tcPr>
          <w:p w14:paraId="6BB7F024" w14:textId="77777777" w:rsidR="00847832" w:rsidRDefault="00847832" w:rsidP="003726FF">
            <w:pPr>
              <w:pStyle w:val="SL-FlLftSgl"/>
              <w:jc w:val="right"/>
              <w:rPr>
                <w:sz w:val="20"/>
              </w:rPr>
            </w:pPr>
          </w:p>
        </w:tc>
        <w:tc>
          <w:tcPr>
            <w:tcW w:w="300" w:type="pct"/>
            <w:tcBorders>
              <w:top w:val="nil"/>
              <w:left w:val="nil"/>
              <w:bottom w:val="nil"/>
              <w:right w:val="nil"/>
            </w:tcBorders>
            <w:shd w:val="clear" w:color="auto" w:fill="auto"/>
            <w:vAlign w:val="bottom"/>
          </w:tcPr>
          <w:p w14:paraId="0A848938" w14:textId="77777777" w:rsidR="00847832" w:rsidRDefault="00847832" w:rsidP="003726FF">
            <w:pPr>
              <w:pStyle w:val="SL-FlLftSgl"/>
              <w:jc w:val="right"/>
              <w:rPr>
                <w:sz w:val="20"/>
              </w:rPr>
            </w:pPr>
          </w:p>
        </w:tc>
        <w:tc>
          <w:tcPr>
            <w:tcW w:w="295" w:type="pct"/>
            <w:tcBorders>
              <w:top w:val="nil"/>
              <w:left w:val="nil"/>
              <w:bottom w:val="nil"/>
              <w:right w:val="nil"/>
            </w:tcBorders>
          </w:tcPr>
          <w:p w14:paraId="1990F1A7" w14:textId="77777777" w:rsidR="00847832" w:rsidRDefault="00847832" w:rsidP="003726FF">
            <w:pPr>
              <w:pStyle w:val="SL-FlLftSgl"/>
              <w:jc w:val="right"/>
              <w:rPr>
                <w:sz w:val="20"/>
              </w:rPr>
            </w:pPr>
          </w:p>
        </w:tc>
      </w:tr>
      <w:tr w:rsidR="0079066E" w14:paraId="252E3291" w14:textId="77777777" w:rsidTr="0079066E">
        <w:trPr>
          <w:cantSplit/>
        </w:trPr>
        <w:tc>
          <w:tcPr>
            <w:tcW w:w="1991" w:type="pct"/>
            <w:tcBorders>
              <w:top w:val="nil"/>
              <w:left w:val="nil"/>
              <w:bottom w:val="nil"/>
              <w:right w:val="nil"/>
            </w:tcBorders>
            <w:vAlign w:val="center"/>
          </w:tcPr>
          <w:p w14:paraId="707AB411" w14:textId="31DB4C09" w:rsidR="00847832" w:rsidRDefault="00847832" w:rsidP="0079066E">
            <w:pPr>
              <w:pStyle w:val="SL-FlLftSgl"/>
              <w:jc w:val="left"/>
              <w:rPr>
                <w:sz w:val="20"/>
              </w:rPr>
            </w:pPr>
            <w:r>
              <w:rPr>
                <w:sz w:val="20"/>
              </w:rPr>
              <w:t>Parent and family involvement</w:t>
            </w:r>
            <w:r w:rsidR="0079066E">
              <w:rPr>
                <w:sz w:val="20"/>
              </w:rPr>
              <w:t xml:space="preserve"> </w:t>
            </w:r>
            <w:r>
              <w:rPr>
                <w:sz w:val="20"/>
              </w:rPr>
              <w:t>in education</w:t>
            </w:r>
          </w:p>
        </w:tc>
        <w:tc>
          <w:tcPr>
            <w:tcW w:w="297" w:type="pct"/>
            <w:tcBorders>
              <w:top w:val="nil"/>
              <w:left w:val="nil"/>
              <w:bottom w:val="nil"/>
              <w:right w:val="nil"/>
            </w:tcBorders>
            <w:vAlign w:val="bottom"/>
          </w:tcPr>
          <w:p w14:paraId="2E5AF4BA"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726B437B"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1808C391"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23434B26" w14:textId="77777777" w:rsidR="00847832" w:rsidRDefault="00847832" w:rsidP="003726FF">
            <w:pPr>
              <w:pStyle w:val="SL-FlLftSgl"/>
              <w:jc w:val="right"/>
              <w:rPr>
                <w:sz w:val="20"/>
              </w:rPr>
            </w:pPr>
            <w:r>
              <w:rPr>
                <w:sz w:val="20"/>
              </w:rPr>
              <w:t>√</w:t>
            </w:r>
          </w:p>
        </w:tc>
        <w:tc>
          <w:tcPr>
            <w:tcW w:w="326" w:type="pct"/>
            <w:tcBorders>
              <w:top w:val="nil"/>
              <w:left w:val="nil"/>
              <w:bottom w:val="nil"/>
              <w:right w:val="nil"/>
            </w:tcBorders>
            <w:vAlign w:val="bottom"/>
          </w:tcPr>
          <w:p w14:paraId="67A6B07E"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00CDBAC1" w14:textId="77777777" w:rsidR="00847832" w:rsidRDefault="00847832" w:rsidP="003726FF">
            <w:pPr>
              <w:pStyle w:val="SL-FlLftSgl"/>
              <w:jc w:val="right"/>
              <w:rPr>
                <w:sz w:val="20"/>
              </w:rPr>
            </w:pPr>
          </w:p>
        </w:tc>
        <w:tc>
          <w:tcPr>
            <w:tcW w:w="301" w:type="pct"/>
            <w:tcBorders>
              <w:top w:val="nil"/>
              <w:left w:val="nil"/>
              <w:bottom w:val="nil"/>
              <w:right w:val="nil"/>
            </w:tcBorders>
            <w:vAlign w:val="bottom"/>
          </w:tcPr>
          <w:p w14:paraId="6F821D95"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shd w:val="clear" w:color="auto" w:fill="auto"/>
            <w:vAlign w:val="bottom"/>
          </w:tcPr>
          <w:p w14:paraId="6DB5C20E" w14:textId="77777777" w:rsidR="00847832" w:rsidRDefault="00847832" w:rsidP="003726FF">
            <w:pPr>
              <w:pStyle w:val="SL-FlLftSgl"/>
              <w:jc w:val="right"/>
              <w:rPr>
                <w:sz w:val="20"/>
              </w:rPr>
            </w:pPr>
          </w:p>
        </w:tc>
        <w:tc>
          <w:tcPr>
            <w:tcW w:w="300" w:type="pct"/>
            <w:tcBorders>
              <w:top w:val="nil"/>
              <w:left w:val="nil"/>
              <w:bottom w:val="nil"/>
              <w:right w:val="nil"/>
            </w:tcBorders>
            <w:shd w:val="clear" w:color="auto" w:fill="auto"/>
            <w:vAlign w:val="bottom"/>
          </w:tcPr>
          <w:p w14:paraId="70E29216"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tcPr>
          <w:p w14:paraId="304A15AC" w14:textId="77777777" w:rsidR="00847832" w:rsidRDefault="00847832" w:rsidP="003726FF">
            <w:pPr>
              <w:pStyle w:val="SL-FlLftSgl"/>
              <w:jc w:val="right"/>
              <w:rPr>
                <w:sz w:val="20"/>
              </w:rPr>
            </w:pPr>
            <w:r>
              <w:rPr>
                <w:sz w:val="20"/>
              </w:rPr>
              <w:t>√</w:t>
            </w:r>
          </w:p>
        </w:tc>
      </w:tr>
      <w:tr w:rsidR="0079066E" w14:paraId="76A068B2" w14:textId="77777777" w:rsidTr="0079066E">
        <w:trPr>
          <w:cantSplit/>
        </w:trPr>
        <w:tc>
          <w:tcPr>
            <w:tcW w:w="1991" w:type="pct"/>
            <w:tcBorders>
              <w:top w:val="nil"/>
              <w:left w:val="nil"/>
              <w:bottom w:val="nil"/>
              <w:right w:val="nil"/>
            </w:tcBorders>
            <w:vAlign w:val="center"/>
          </w:tcPr>
          <w:p w14:paraId="7856984C" w14:textId="77777777" w:rsidR="00847832" w:rsidRDefault="00847832" w:rsidP="003726FF">
            <w:pPr>
              <w:pStyle w:val="SL-FlLftSgl"/>
              <w:jc w:val="left"/>
              <w:rPr>
                <w:sz w:val="20"/>
              </w:rPr>
            </w:pPr>
            <w:r>
              <w:rPr>
                <w:sz w:val="20"/>
              </w:rPr>
              <w:t>Homeschooling</w:t>
            </w:r>
          </w:p>
        </w:tc>
        <w:tc>
          <w:tcPr>
            <w:tcW w:w="297" w:type="pct"/>
            <w:tcBorders>
              <w:top w:val="nil"/>
              <w:left w:val="nil"/>
              <w:bottom w:val="nil"/>
              <w:right w:val="nil"/>
            </w:tcBorders>
            <w:vAlign w:val="bottom"/>
          </w:tcPr>
          <w:p w14:paraId="2D1DA195"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64CCA246"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197A4CC5"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03DFE648" w14:textId="77777777" w:rsidR="00847832" w:rsidRDefault="00847832" w:rsidP="003726FF">
            <w:pPr>
              <w:pStyle w:val="SL-FlLftSgl"/>
              <w:jc w:val="right"/>
              <w:rPr>
                <w:sz w:val="20"/>
              </w:rPr>
            </w:pPr>
          </w:p>
        </w:tc>
        <w:tc>
          <w:tcPr>
            <w:tcW w:w="326" w:type="pct"/>
            <w:tcBorders>
              <w:top w:val="nil"/>
              <w:left w:val="nil"/>
              <w:bottom w:val="nil"/>
              <w:right w:val="nil"/>
            </w:tcBorders>
            <w:vAlign w:val="bottom"/>
          </w:tcPr>
          <w:p w14:paraId="3F91FAEC"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5E54145D" w14:textId="77777777" w:rsidR="00847832" w:rsidRDefault="00847832" w:rsidP="003726FF">
            <w:pPr>
              <w:pStyle w:val="SL-FlLftSgl"/>
              <w:jc w:val="right"/>
              <w:rPr>
                <w:sz w:val="20"/>
              </w:rPr>
            </w:pPr>
          </w:p>
        </w:tc>
        <w:tc>
          <w:tcPr>
            <w:tcW w:w="301" w:type="pct"/>
            <w:tcBorders>
              <w:top w:val="nil"/>
              <w:left w:val="nil"/>
              <w:bottom w:val="nil"/>
              <w:right w:val="nil"/>
            </w:tcBorders>
            <w:vAlign w:val="bottom"/>
          </w:tcPr>
          <w:p w14:paraId="5A9E0B73"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shd w:val="clear" w:color="auto" w:fill="auto"/>
            <w:vAlign w:val="bottom"/>
          </w:tcPr>
          <w:p w14:paraId="7C2A288B" w14:textId="77777777" w:rsidR="00847832" w:rsidRDefault="00847832" w:rsidP="003726FF">
            <w:pPr>
              <w:pStyle w:val="SL-FlLftSgl"/>
              <w:jc w:val="right"/>
              <w:rPr>
                <w:sz w:val="20"/>
              </w:rPr>
            </w:pPr>
          </w:p>
        </w:tc>
        <w:tc>
          <w:tcPr>
            <w:tcW w:w="300" w:type="pct"/>
            <w:tcBorders>
              <w:top w:val="nil"/>
              <w:left w:val="nil"/>
              <w:bottom w:val="nil"/>
              <w:right w:val="nil"/>
            </w:tcBorders>
            <w:shd w:val="clear" w:color="auto" w:fill="auto"/>
            <w:vAlign w:val="bottom"/>
          </w:tcPr>
          <w:p w14:paraId="786260AB" w14:textId="77777777" w:rsidR="00847832" w:rsidRDefault="00847832" w:rsidP="003726FF">
            <w:pPr>
              <w:pStyle w:val="SL-FlLftSgl"/>
              <w:jc w:val="right"/>
              <w:rPr>
                <w:sz w:val="20"/>
              </w:rPr>
            </w:pPr>
            <w:r>
              <w:rPr>
                <w:sz w:val="20"/>
              </w:rPr>
              <w:t>√</w:t>
            </w:r>
          </w:p>
        </w:tc>
        <w:tc>
          <w:tcPr>
            <w:tcW w:w="295" w:type="pct"/>
            <w:tcBorders>
              <w:top w:val="nil"/>
              <w:left w:val="nil"/>
              <w:bottom w:val="nil"/>
              <w:right w:val="nil"/>
            </w:tcBorders>
          </w:tcPr>
          <w:p w14:paraId="712369D8" w14:textId="77777777" w:rsidR="00847832" w:rsidRDefault="00847832" w:rsidP="003726FF">
            <w:pPr>
              <w:pStyle w:val="SL-FlLftSgl"/>
              <w:jc w:val="right"/>
              <w:rPr>
                <w:sz w:val="20"/>
              </w:rPr>
            </w:pPr>
            <w:r>
              <w:rPr>
                <w:sz w:val="20"/>
              </w:rPr>
              <w:t>√</w:t>
            </w:r>
          </w:p>
        </w:tc>
      </w:tr>
      <w:tr w:rsidR="0079066E" w14:paraId="2D38A3B7" w14:textId="77777777" w:rsidTr="0079066E">
        <w:trPr>
          <w:cantSplit/>
        </w:trPr>
        <w:tc>
          <w:tcPr>
            <w:tcW w:w="1991" w:type="pct"/>
            <w:tcBorders>
              <w:top w:val="nil"/>
              <w:left w:val="nil"/>
              <w:bottom w:val="nil"/>
              <w:right w:val="nil"/>
            </w:tcBorders>
            <w:vAlign w:val="center"/>
          </w:tcPr>
          <w:p w14:paraId="02DD5DCB" w14:textId="77777777" w:rsidR="00847832" w:rsidRDefault="00847832" w:rsidP="003726FF">
            <w:pPr>
              <w:pStyle w:val="SL-FlLftSgl"/>
              <w:jc w:val="left"/>
              <w:rPr>
                <w:sz w:val="20"/>
              </w:rPr>
            </w:pPr>
            <w:r>
              <w:rPr>
                <w:sz w:val="20"/>
              </w:rPr>
              <w:t>Civic involvement</w:t>
            </w:r>
          </w:p>
        </w:tc>
        <w:tc>
          <w:tcPr>
            <w:tcW w:w="297" w:type="pct"/>
            <w:tcBorders>
              <w:top w:val="nil"/>
              <w:left w:val="nil"/>
              <w:bottom w:val="nil"/>
              <w:right w:val="nil"/>
            </w:tcBorders>
            <w:vAlign w:val="bottom"/>
          </w:tcPr>
          <w:p w14:paraId="0163E23B"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6FEAAEBA"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193DF660"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79217B3E" w14:textId="77777777" w:rsidR="00847832" w:rsidRDefault="00847832" w:rsidP="003726FF">
            <w:pPr>
              <w:pStyle w:val="SL-FlLftSgl"/>
              <w:jc w:val="right"/>
              <w:rPr>
                <w:sz w:val="20"/>
              </w:rPr>
            </w:pPr>
            <w:r>
              <w:rPr>
                <w:sz w:val="20"/>
              </w:rPr>
              <w:t>√</w:t>
            </w:r>
          </w:p>
        </w:tc>
        <w:tc>
          <w:tcPr>
            <w:tcW w:w="326" w:type="pct"/>
            <w:tcBorders>
              <w:top w:val="nil"/>
              <w:left w:val="nil"/>
              <w:bottom w:val="nil"/>
              <w:right w:val="nil"/>
            </w:tcBorders>
            <w:vAlign w:val="bottom"/>
          </w:tcPr>
          <w:p w14:paraId="1481E679"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5673677A" w14:textId="77777777" w:rsidR="00847832" w:rsidRDefault="00847832" w:rsidP="003726FF">
            <w:pPr>
              <w:pStyle w:val="SL-FlLftSgl"/>
              <w:jc w:val="right"/>
              <w:rPr>
                <w:sz w:val="20"/>
              </w:rPr>
            </w:pPr>
          </w:p>
        </w:tc>
        <w:tc>
          <w:tcPr>
            <w:tcW w:w="301" w:type="pct"/>
            <w:tcBorders>
              <w:top w:val="nil"/>
              <w:left w:val="nil"/>
              <w:bottom w:val="nil"/>
              <w:right w:val="nil"/>
            </w:tcBorders>
            <w:vAlign w:val="bottom"/>
          </w:tcPr>
          <w:p w14:paraId="2455A404" w14:textId="77777777" w:rsidR="00847832" w:rsidRDefault="00847832" w:rsidP="003726FF">
            <w:pPr>
              <w:pStyle w:val="SL-FlLftSgl"/>
              <w:jc w:val="right"/>
              <w:rPr>
                <w:sz w:val="20"/>
              </w:rPr>
            </w:pPr>
          </w:p>
        </w:tc>
        <w:tc>
          <w:tcPr>
            <w:tcW w:w="302" w:type="pct"/>
            <w:tcBorders>
              <w:top w:val="nil"/>
              <w:left w:val="nil"/>
              <w:bottom w:val="nil"/>
              <w:right w:val="nil"/>
            </w:tcBorders>
            <w:shd w:val="clear" w:color="auto" w:fill="auto"/>
            <w:vAlign w:val="bottom"/>
          </w:tcPr>
          <w:p w14:paraId="0481E820" w14:textId="77777777" w:rsidR="00847832" w:rsidRDefault="00847832" w:rsidP="003726FF">
            <w:pPr>
              <w:pStyle w:val="SL-FlLftSgl"/>
              <w:jc w:val="right"/>
              <w:rPr>
                <w:sz w:val="20"/>
              </w:rPr>
            </w:pPr>
          </w:p>
        </w:tc>
        <w:tc>
          <w:tcPr>
            <w:tcW w:w="300" w:type="pct"/>
            <w:tcBorders>
              <w:top w:val="nil"/>
              <w:left w:val="nil"/>
              <w:bottom w:val="nil"/>
              <w:right w:val="nil"/>
            </w:tcBorders>
            <w:shd w:val="clear" w:color="auto" w:fill="auto"/>
            <w:vAlign w:val="bottom"/>
          </w:tcPr>
          <w:p w14:paraId="06B2CFB9" w14:textId="77777777" w:rsidR="00847832" w:rsidRDefault="00847832" w:rsidP="003726FF">
            <w:pPr>
              <w:pStyle w:val="SL-FlLftSgl"/>
              <w:jc w:val="right"/>
              <w:rPr>
                <w:sz w:val="20"/>
              </w:rPr>
            </w:pPr>
          </w:p>
        </w:tc>
        <w:tc>
          <w:tcPr>
            <w:tcW w:w="295" w:type="pct"/>
            <w:tcBorders>
              <w:top w:val="nil"/>
              <w:left w:val="nil"/>
              <w:bottom w:val="nil"/>
              <w:right w:val="nil"/>
            </w:tcBorders>
          </w:tcPr>
          <w:p w14:paraId="14D7933F" w14:textId="77777777" w:rsidR="00847832" w:rsidRDefault="00847832" w:rsidP="003726FF">
            <w:pPr>
              <w:pStyle w:val="SL-FlLftSgl"/>
              <w:jc w:val="right"/>
              <w:rPr>
                <w:sz w:val="20"/>
              </w:rPr>
            </w:pPr>
          </w:p>
        </w:tc>
      </w:tr>
      <w:tr w:rsidR="0079066E" w14:paraId="7FCA6477" w14:textId="77777777" w:rsidTr="0079066E">
        <w:trPr>
          <w:cantSplit/>
        </w:trPr>
        <w:tc>
          <w:tcPr>
            <w:tcW w:w="1991" w:type="pct"/>
            <w:tcBorders>
              <w:top w:val="nil"/>
              <w:left w:val="nil"/>
              <w:bottom w:val="nil"/>
              <w:right w:val="nil"/>
            </w:tcBorders>
            <w:vAlign w:val="center"/>
          </w:tcPr>
          <w:p w14:paraId="70ED766C" w14:textId="130C525E" w:rsidR="00847832" w:rsidRDefault="00847832" w:rsidP="0079066E">
            <w:pPr>
              <w:pStyle w:val="SL-FlLftSgl"/>
              <w:jc w:val="left"/>
              <w:rPr>
                <w:sz w:val="20"/>
              </w:rPr>
            </w:pPr>
            <w:r>
              <w:rPr>
                <w:sz w:val="20"/>
              </w:rPr>
              <w:t>After-school programs and activities</w:t>
            </w:r>
          </w:p>
        </w:tc>
        <w:tc>
          <w:tcPr>
            <w:tcW w:w="297" w:type="pct"/>
            <w:tcBorders>
              <w:top w:val="nil"/>
              <w:left w:val="nil"/>
              <w:bottom w:val="nil"/>
              <w:right w:val="nil"/>
            </w:tcBorders>
            <w:vAlign w:val="bottom"/>
          </w:tcPr>
          <w:p w14:paraId="60E5105B"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4EB16E51" w14:textId="77777777" w:rsidR="00847832" w:rsidRDefault="00847832" w:rsidP="003726FF">
            <w:pPr>
              <w:pStyle w:val="SL-FlLftSgl"/>
              <w:jc w:val="right"/>
              <w:rPr>
                <w:sz w:val="20"/>
              </w:rPr>
            </w:pPr>
          </w:p>
        </w:tc>
        <w:tc>
          <w:tcPr>
            <w:tcW w:w="295" w:type="pct"/>
            <w:tcBorders>
              <w:top w:val="nil"/>
              <w:left w:val="nil"/>
              <w:bottom w:val="nil"/>
              <w:right w:val="nil"/>
            </w:tcBorders>
            <w:vAlign w:val="bottom"/>
          </w:tcPr>
          <w:p w14:paraId="07E1EB8D" w14:textId="77777777" w:rsidR="00847832" w:rsidRDefault="00847832" w:rsidP="003726FF">
            <w:pPr>
              <w:pStyle w:val="SL-FlLftSgl"/>
              <w:jc w:val="right"/>
              <w:rPr>
                <w:sz w:val="20"/>
              </w:rPr>
            </w:pPr>
            <w:r>
              <w:rPr>
                <w:sz w:val="20"/>
              </w:rPr>
              <w:t>√</w:t>
            </w:r>
            <w:r>
              <w:rPr>
                <w:rStyle w:val="FootnoteReference"/>
                <w:spacing w:val="-2"/>
                <w:sz w:val="20"/>
              </w:rPr>
              <w:t>2</w:t>
            </w:r>
          </w:p>
        </w:tc>
        <w:tc>
          <w:tcPr>
            <w:tcW w:w="295" w:type="pct"/>
            <w:tcBorders>
              <w:top w:val="nil"/>
              <w:left w:val="nil"/>
              <w:bottom w:val="nil"/>
              <w:right w:val="nil"/>
            </w:tcBorders>
            <w:vAlign w:val="bottom"/>
          </w:tcPr>
          <w:p w14:paraId="011636B3" w14:textId="77777777" w:rsidR="00847832" w:rsidRDefault="00847832" w:rsidP="003726FF">
            <w:pPr>
              <w:pStyle w:val="SL-FlLftSgl"/>
              <w:jc w:val="right"/>
              <w:rPr>
                <w:sz w:val="20"/>
              </w:rPr>
            </w:pPr>
          </w:p>
        </w:tc>
        <w:tc>
          <w:tcPr>
            <w:tcW w:w="326" w:type="pct"/>
            <w:tcBorders>
              <w:top w:val="nil"/>
              <w:left w:val="nil"/>
              <w:bottom w:val="nil"/>
              <w:right w:val="nil"/>
            </w:tcBorders>
            <w:vAlign w:val="bottom"/>
          </w:tcPr>
          <w:p w14:paraId="4C3D2687" w14:textId="77777777" w:rsidR="00847832" w:rsidRDefault="00847832" w:rsidP="003726FF">
            <w:pPr>
              <w:pStyle w:val="SL-FlLftSgl"/>
              <w:jc w:val="right"/>
              <w:rPr>
                <w:sz w:val="20"/>
              </w:rPr>
            </w:pPr>
            <w:r>
              <w:rPr>
                <w:sz w:val="20"/>
              </w:rPr>
              <w:t>√</w:t>
            </w:r>
          </w:p>
        </w:tc>
        <w:tc>
          <w:tcPr>
            <w:tcW w:w="302" w:type="pct"/>
            <w:tcBorders>
              <w:top w:val="nil"/>
              <w:left w:val="nil"/>
              <w:bottom w:val="nil"/>
              <w:right w:val="nil"/>
            </w:tcBorders>
            <w:vAlign w:val="bottom"/>
          </w:tcPr>
          <w:p w14:paraId="60FBD70B" w14:textId="77777777" w:rsidR="00847832" w:rsidRDefault="00847832" w:rsidP="003726FF">
            <w:pPr>
              <w:pStyle w:val="SL-FlLftSgl"/>
              <w:jc w:val="right"/>
              <w:rPr>
                <w:sz w:val="20"/>
              </w:rPr>
            </w:pPr>
            <w:r>
              <w:rPr>
                <w:sz w:val="20"/>
              </w:rPr>
              <w:t>√</w:t>
            </w:r>
            <w:r>
              <w:rPr>
                <w:sz w:val="20"/>
                <w:vertAlign w:val="superscript"/>
              </w:rPr>
              <w:t>3</w:t>
            </w:r>
          </w:p>
        </w:tc>
        <w:tc>
          <w:tcPr>
            <w:tcW w:w="301" w:type="pct"/>
            <w:tcBorders>
              <w:top w:val="nil"/>
              <w:left w:val="nil"/>
              <w:bottom w:val="nil"/>
              <w:right w:val="nil"/>
            </w:tcBorders>
            <w:vAlign w:val="bottom"/>
          </w:tcPr>
          <w:p w14:paraId="3875A9AC" w14:textId="77777777" w:rsidR="00847832" w:rsidRDefault="00847832" w:rsidP="003726FF">
            <w:pPr>
              <w:pStyle w:val="SL-FlLftSgl"/>
              <w:jc w:val="right"/>
              <w:rPr>
                <w:sz w:val="20"/>
              </w:rPr>
            </w:pPr>
          </w:p>
        </w:tc>
        <w:tc>
          <w:tcPr>
            <w:tcW w:w="302" w:type="pct"/>
            <w:tcBorders>
              <w:top w:val="nil"/>
              <w:left w:val="nil"/>
              <w:bottom w:val="nil"/>
              <w:right w:val="nil"/>
            </w:tcBorders>
            <w:shd w:val="clear" w:color="auto" w:fill="auto"/>
            <w:vAlign w:val="bottom"/>
          </w:tcPr>
          <w:p w14:paraId="14FAFBCF" w14:textId="77777777" w:rsidR="00847832" w:rsidRDefault="00847832" w:rsidP="003726FF">
            <w:pPr>
              <w:pStyle w:val="SL-FlLftSgl"/>
              <w:jc w:val="right"/>
              <w:rPr>
                <w:sz w:val="20"/>
              </w:rPr>
            </w:pPr>
            <w:r>
              <w:rPr>
                <w:sz w:val="20"/>
              </w:rPr>
              <w:t>√</w:t>
            </w:r>
          </w:p>
        </w:tc>
        <w:tc>
          <w:tcPr>
            <w:tcW w:w="300" w:type="pct"/>
            <w:tcBorders>
              <w:top w:val="nil"/>
              <w:left w:val="nil"/>
              <w:bottom w:val="nil"/>
              <w:right w:val="nil"/>
            </w:tcBorders>
            <w:shd w:val="clear" w:color="auto" w:fill="auto"/>
            <w:vAlign w:val="bottom"/>
          </w:tcPr>
          <w:p w14:paraId="7B9B033F" w14:textId="77777777" w:rsidR="00847832" w:rsidRDefault="00847832" w:rsidP="003726FF">
            <w:pPr>
              <w:pStyle w:val="SL-FlLftSgl"/>
              <w:jc w:val="right"/>
              <w:rPr>
                <w:sz w:val="20"/>
              </w:rPr>
            </w:pPr>
          </w:p>
        </w:tc>
        <w:tc>
          <w:tcPr>
            <w:tcW w:w="295" w:type="pct"/>
            <w:tcBorders>
              <w:top w:val="nil"/>
              <w:left w:val="nil"/>
              <w:bottom w:val="nil"/>
              <w:right w:val="nil"/>
            </w:tcBorders>
          </w:tcPr>
          <w:p w14:paraId="04D879EE" w14:textId="77777777" w:rsidR="00847832" w:rsidRDefault="00847832" w:rsidP="003726FF">
            <w:pPr>
              <w:pStyle w:val="SL-FlLftSgl"/>
              <w:jc w:val="right"/>
              <w:rPr>
                <w:sz w:val="20"/>
              </w:rPr>
            </w:pPr>
          </w:p>
        </w:tc>
      </w:tr>
      <w:tr w:rsidR="0079066E" w14:paraId="3931B1AB" w14:textId="77777777" w:rsidTr="0079066E">
        <w:trPr>
          <w:cantSplit/>
        </w:trPr>
        <w:tc>
          <w:tcPr>
            <w:tcW w:w="1991" w:type="pct"/>
            <w:tcBorders>
              <w:top w:val="nil"/>
              <w:left w:val="nil"/>
              <w:bottom w:val="single" w:sz="4" w:space="0" w:color="auto"/>
              <w:right w:val="nil"/>
            </w:tcBorders>
            <w:vAlign w:val="center"/>
          </w:tcPr>
          <w:p w14:paraId="127D349A" w14:textId="77777777" w:rsidR="00847832" w:rsidRDefault="00847832" w:rsidP="003726FF">
            <w:pPr>
              <w:pStyle w:val="SL-FlLftSgl"/>
              <w:jc w:val="left"/>
              <w:rPr>
                <w:sz w:val="20"/>
              </w:rPr>
            </w:pPr>
            <w:r>
              <w:rPr>
                <w:sz w:val="20"/>
              </w:rPr>
              <w:t>Household library use</w:t>
            </w:r>
          </w:p>
        </w:tc>
        <w:tc>
          <w:tcPr>
            <w:tcW w:w="297" w:type="pct"/>
            <w:tcBorders>
              <w:top w:val="nil"/>
              <w:left w:val="nil"/>
              <w:bottom w:val="single" w:sz="4" w:space="0" w:color="auto"/>
              <w:right w:val="nil"/>
            </w:tcBorders>
            <w:vAlign w:val="bottom"/>
          </w:tcPr>
          <w:p w14:paraId="6857A5B9" w14:textId="77777777" w:rsidR="00847832" w:rsidRDefault="00847832" w:rsidP="003726FF">
            <w:pPr>
              <w:pStyle w:val="SL-FlLftSgl"/>
              <w:jc w:val="right"/>
              <w:rPr>
                <w:sz w:val="20"/>
              </w:rPr>
            </w:pPr>
          </w:p>
        </w:tc>
        <w:tc>
          <w:tcPr>
            <w:tcW w:w="295" w:type="pct"/>
            <w:tcBorders>
              <w:top w:val="nil"/>
              <w:left w:val="nil"/>
              <w:bottom w:val="single" w:sz="4" w:space="0" w:color="auto"/>
              <w:right w:val="nil"/>
            </w:tcBorders>
            <w:vAlign w:val="bottom"/>
          </w:tcPr>
          <w:p w14:paraId="057DA9BD" w14:textId="77777777" w:rsidR="00847832" w:rsidRDefault="00847832" w:rsidP="003726FF">
            <w:pPr>
              <w:pStyle w:val="SL-FlLftSgl"/>
              <w:jc w:val="right"/>
              <w:rPr>
                <w:sz w:val="20"/>
              </w:rPr>
            </w:pPr>
          </w:p>
        </w:tc>
        <w:tc>
          <w:tcPr>
            <w:tcW w:w="295" w:type="pct"/>
            <w:tcBorders>
              <w:top w:val="nil"/>
              <w:left w:val="nil"/>
              <w:bottom w:val="single" w:sz="4" w:space="0" w:color="auto"/>
              <w:right w:val="nil"/>
            </w:tcBorders>
            <w:vAlign w:val="bottom"/>
          </w:tcPr>
          <w:p w14:paraId="40E570FB" w14:textId="77777777" w:rsidR="00847832" w:rsidRDefault="00847832" w:rsidP="003726FF">
            <w:pPr>
              <w:pStyle w:val="SL-FlLftSgl"/>
              <w:jc w:val="right"/>
              <w:rPr>
                <w:sz w:val="20"/>
              </w:rPr>
            </w:pPr>
          </w:p>
        </w:tc>
        <w:tc>
          <w:tcPr>
            <w:tcW w:w="295" w:type="pct"/>
            <w:tcBorders>
              <w:top w:val="nil"/>
              <w:left w:val="nil"/>
              <w:bottom w:val="single" w:sz="4" w:space="0" w:color="auto"/>
              <w:right w:val="nil"/>
            </w:tcBorders>
            <w:vAlign w:val="bottom"/>
          </w:tcPr>
          <w:p w14:paraId="3D2C254D" w14:textId="77777777" w:rsidR="00847832" w:rsidRDefault="00847832" w:rsidP="003726FF">
            <w:pPr>
              <w:pStyle w:val="SL-FlLftSgl"/>
              <w:jc w:val="right"/>
              <w:rPr>
                <w:sz w:val="20"/>
              </w:rPr>
            </w:pPr>
            <w:r>
              <w:rPr>
                <w:sz w:val="20"/>
              </w:rPr>
              <w:t>√</w:t>
            </w:r>
          </w:p>
        </w:tc>
        <w:tc>
          <w:tcPr>
            <w:tcW w:w="326" w:type="pct"/>
            <w:tcBorders>
              <w:top w:val="nil"/>
              <w:left w:val="nil"/>
              <w:bottom w:val="single" w:sz="4" w:space="0" w:color="auto"/>
              <w:right w:val="nil"/>
            </w:tcBorders>
            <w:vAlign w:val="bottom"/>
          </w:tcPr>
          <w:p w14:paraId="619FC5D3" w14:textId="77777777" w:rsidR="00847832" w:rsidRDefault="00847832" w:rsidP="003726FF">
            <w:pPr>
              <w:pStyle w:val="SL-FlLftSgl"/>
              <w:jc w:val="right"/>
              <w:rPr>
                <w:sz w:val="20"/>
              </w:rPr>
            </w:pPr>
          </w:p>
        </w:tc>
        <w:tc>
          <w:tcPr>
            <w:tcW w:w="302" w:type="pct"/>
            <w:tcBorders>
              <w:top w:val="nil"/>
              <w:left w:val="nil"/>
              <w:bottom w:val="single" w:sz="4" w:space="0" w:color="auto"/>
              <w:right w:val="nil"/>
            </w:tcBorders>
            <w:vAlign w:val="bottom"/>
          </w:tcPr>
          <w:p w14:paraId="49751B19" w14:textId="77777777" w:rsidR="00847832" w:rsidRDefault="00847832" w:rsidP="003726FF">
            <w:pPr>
              <w:pStyle w:val="SL-FlLftSgl"/>
              <w:jc w:val="right"/>
              <w:rPr>
                <w:sz w:val="20"/>
              </w:rPr>
            </w:pPr>
          </w:p>
        </w:tc>
        <w:tc>
          <w:tcPr>
            <w:tcW w:w="301" w:type="pct"/>
            <w:tcBorders>
              <w:top w:val="nil"/>
              <w:left w:val="nil"/>
              <w:bottom w:val="single" w:sz="4" w:space="0" w:color="auto"/>
              <w:right w:val="nil"/>
            </w:tcBorders>
            <w:vAlign w:val="bottom"/>
          </w:tcPr>
          <w:p w14:paraId="2C9D7A0E" w14:textId="77777777" w:rsidR="00847832" w:rsidRDefault="00847832" w:rsidP="003726FF">
            <w:pPr>
              <w:pStyle w:val="SL-FlLftSgl"/>
              <w:jc w:val="right"/>
              <w:rPr>
                <w:sz w:val="20"/>
              </w:rPr>
            </w:pPr>
          </w:p>
        </w:tc>
        <w:tc>
          <w:tcPr>
            <w:tcW w:w="302" w:type="pct"/>
            <w:tcBorders>
              <w:top w:val="nil"/>
              <w:left w:val="nil"/>
              <w:bottom w:val="single" w:sz="4" w:space="0" w:color="auto"/>
              <w:right w:val="nil"/>
            </w:tcBorders>
            <w:shd w:val="clear" w:color="auto" w:fill="auto"/>
            <w:vAlign w:val="bottom"/>
          </w:tcPr>
          <w:p w14:paraId="30603B1C" w14:textId="77777777" w:rsidR="00847832" w:rsidRDefault="00847832" w:rsidP="003726FF">
            <w:pPr>
              <w:pStyle w:val="SL-FlLftSgl"/>
              <w:jc w:val="right"/>
              <w:rPr>
                <w:sz w:val="20"/>
              </w:rPr>
            </w:pPr>
          </w:p>
        </w:tc>
        <w:tc>
          <w:tcPr>
            <w:tcW w:w="300" w:type="pct"/>
            <w:tcBorders>
              <w:top w:val="nil"/>
              <w:left w:val="nil"/>
              <w:bottom w:val="single" w:sz="4" w:space="0" w:color="auto"/>
              <w:right w:val="nil"/>
            </w:tcBorders>
            <w:shd w:val="clear" w:color="auto" w:fill="auto"/>
            <w:vAlign w:val="bottom"/>
          </w:tcPr>
          <w:p w14:paraId="76C87AB5" w14:textId="77777777" w:rsidR="00847832" w:rsidRDefault="00847832" w:rsidP="003726FF">
            <w:pPr>
              <w:pStyle w:val="SL-FlLftSgl"/>
              <w:jc w:val="right"/>
              <w:rPr>
                <w:sz w:val="20"/>
              </w:rPr>
            </w:pPr>
          </w:p>
        </w:tc>
        <w:tc>
          <w:tcPr>
            <w:tcW w:w="295" w:type="pct"/>
            <w:tcBorders>
              <w:top w:val="nil"/>
              <w:left w:val="nil"/>
              <w:bottom w:val="single" w:sz="4" w:space="0" w:color="auto"/>
              <w:right w:val="nil"/>
            </w:tcBorders>
          </w:tcPr>
          <w:p w14:paraId="04187448" w14:textId="77777777" w:rsidR="00847832" w:rsidRDefault="00847832" w:rsidP="003726FF">
            <w:pPr>
              <w:pStyle w:val="SL-FlLftSgl"/>
              <w:jc w:val="right"/>
              <w:rPr>
                <w:sz w:val="20"/>
              </w:rPr>
            </w:pPr>
          </w:p>
        </w:tc>
      </w:tr>
    </w:tbl>
    <w:p w14:paraId="4279B9D9" w14:textId="77777777" w:rsidR="00847832" w:rsidRDefault="00847832" w:rsidP="00847832">
      <w:pPr>
        <w:pStyle w:val="FootnoteText"/>
        <w:spacing w:line="240" w:lineRule="auto"/>
        <w:jc w:val="left"/>
        <w:rPr>
          <w:sz w:val="18"/>
          <w:szCs w:val="18"/>
        </w:rPr>
      </w:pPr>
      <w:r w:rsidRPr="00474007">
        <w:rPr>
          <w:sz w:val="18"/>
          <w:szCs w:val="18"/>
          <w:vertAlign w:val="superscript"/>
        </w:rPr>
        <w:t>1</w:t>
      </w:r>
      <w:r w:rsidRPr="00474007">
        <w:rPr>
          <w:sz w:val="18"/>
          <w:szCs w:val="18"/>
        </w:rPr>
        <w:t xml:space="preserve"> The NHES:1999 was a special end-of-decade administration that measured key indicators from the surveys fielded during the 1990s.</w:t>
      </w:r>
    </w:p>
    <w:p w14:paraId="52DB93AC" w14:textId="77777777" w:rsidR="00847832" w:rsidRPr="00474007" w:rsidRDefault="00847832" w:rsidP="00847832">
      <w:pPr>
        <w:pStyle w:val="FootnoteText"/>
        <w:spacing w:line="240" w:lineRule="auto"/>
        <w:jc w:val="left"/>
        <w:rPr>
          <w:sz w:val="18"/>
          <w:szCs w:val="18"/>
        </w:rPr>
      </w:pPr>
      <w:r w:rsidRPr="00474007">
        <w:rPr>
          <w:sz w:val="18"/>
          <w:szCs w:val="18"/>
          <w:vertAlign w:val="superscript"/>
        </w:rPr>
        <w:t>2</w:t>
      </w:r>
      <w:r w:rsidRPr="00474007">
        <w:rPr>
          <w:sz w:val="18"/>
          <w:szCs w:val="18"/>
        </w:rPr>
        <w:t xml:space="preserve"> The After-School Programs and Activities Survey of the NHES:1995 only asked about children in first through third grades.</w:t>
      </w:r>
    </w:p>
    <w:p w14:paraId="4CBCFF28" w14:textId="77777777" w:rsidR="00847832" w:rsidRPr="00474007" w:rsidRDefault="00847832" w:rsidP="00847832">
      <w:pPr>
        <w:pStyle w:val="FootnoteText"/>
        <w:spacing w:line="240" w:lineRule="auto"/>
        <w:jc w:val="left"/>
        <w:rPr>
          <w:sz w:val="18"/>
          <w:szCs w:val="18"/>
        </w:rPr>
      </w:pPr>
      <w:r w:rsidRPr="00474007">
        <w:rPr>
          <w:sz w:val="18"/>
          <w:szCs w:val="18"/>
          <w:vertAlign w:val="superscript"/>
        </w:rPr>
        <w:t>3</w:t>
      </w:r>
      <w:r w:rsidRPr="00474007">
        <w:rPr>
          <w:sz w:val="18"/>
          <w:szCs w:val="18"/>
        </w:rPr>
        <w:t xml:space="preserve"> The After-School Programs and Activities Survey of the NHES:2001 also included items on before-school programs.</w:t>
      </w:r>
    </w:p>
    <w:p w14:paraId="401B8913" w14:textId="255A2235" w:rsidR="0079066E" w:rsidRDefault="00847832" w:rsidP="0079066E">
      <w:pPr>
        <w:pStyle w:val="FootnoteText"/>
        <w:spacing w:line="240" w:lineRule="auto"/>
        <w:jc w:val="left"/>
        <w:rPr>
          <w:b/>
          <w:i/>
        </w:rPr>
      </w:pPr>
      <w:r w:rsidRPr="00474007">
        <w:rPr>
          <w:sz w:val="18"/>
          <w:szCs w:val="18"/>
        </w:rPr>
        <w:t>SOURCE: U.S. Department of Education, National Center for Education Statistics, National Household Education Surveys Program (NHES), 1991–2012.</w:t>
      </w:r>
      <w:r w:rsidR="0079066E">
        <w:rPr>
          <w:b/>
          <w:i/>
        </w:rPr>
        <w:br w:type="page"/>
      </w:r>
    </w:p>
    <w:p w14:paraId="09821220" w14:textId="52B6535E" w:rsidR="00847832" w:rsidRPr="0003482D" w:rsidRDefault="00847832" w:rsidP="00646A5F">
      <w:pPr>
        <w:pStyle w:val="N2-2ndBullet"/>
        <w:numPr>
          <w:ilvl w:val="0"/>
          <w:numId w:val="0"/>
        </w:numPr>
        <w:tabs>
          <w:tab w:val="clear" w:pos="1728"/>
        </w:tabs>
        <w:spacing w:after="120" w:line="240" w:lineRule="auto"/>
        <w:ind w:left="720"/>
        <w:jc w:val="left"/>
        <w:rPr>
          <w:b/>
          <w:i/>
        </w:rPr>
      </w:pPr>
      <w:r w:rsidRPr="0003482D">
        <w:rPr>
          <w:b/>
          <w:i/>
        </w:rPr>
        <w:lastRenderedPageBreak/>
        <w:t>The Parent and Family Involvement in Education Survey</w:t>
      </w:r>
      <w:r w:rsidR="00480574">
        <w:rPr>
          <w:b/>
          <w:i/>
        </w:rPr>
        <w:t>s</w:t>
      </w:r>
      <w:r w:rsidRPr="0003482D">
        <w:rPr>
          <w:b/>
          <w:i/>
        </w:rPr>
        <w:t xml:space="preserve"> (PFI)</w:t>
      </w:r>
    </w:p>
    <w:p w14:paraId="5DFDFB3D" w14:textId="346E6942" w:rsidR="00847832" w:rsidRDefault="00847832" w:rsidP="00646A5F">
      <w:pPr>
        <w:pStyle w:val="N2-2ndBullet"/>
        <w:numPr>
          <w:ilvl w:val="0"/>
          <w:numId w:val="0"/>
        </w:numPr>
        <w:tabs>
          <w:tab w:val="clear" w:pos="1728"/>
        </w:tabs>
        <w:spacing w:after="120" w:line="240" w:lineRule="auto"/>
        <w:jc w:val="left"/>
      </w:pPr>
      <w:r>
        <w:t>The PFI</w:t>
      </w:r>
      <w:r w:rsidRPr="00540585">
        <w:rPr>
          <w:b/>
        </w:rPr>
        <w:t xml:space="preserve">, </w:t>
      </w:r>
      <w:r w:rsidRPr="00540585">
        <w:t xml:space="preserve">previously conducted in 1996, 2003, </w:t>
      </w:r>
      <w:r>
        <w:t xml:space="preserve">2007, </w:t>
      </w:r>
      <w:r w:rsidRPr="00540585">
        <w:t>and</w:t>
      </w:r>
      <w:r>
        <w:t xml:space="preserve"> </w:t>
      </w:r>
      <w:r w:rsidRPr="00540585">
        <w:t>20</w:t>
      </w:r>
      <w:r>
        <w:t>12</w:t>
      </w:r>
      <w:r w:rsidRPr="00540585">
        <w:t>, surveys families of children and youth enrolled in kindergarten through 12</w:t>
      </w:r>
      <w:r w:rsidRPr="00426BC6">
        <w:rPr>
          <w:vertAlign w:val="superscript"/>
        </w:rPr>
        <w:t>th</w:t>
      </w:r>
      <w:r>
        <w:t xml:space="preserve"> </w:t>
      </w:r>
      <w:r w:rsidRPr="00540585">
        <w:t xml:space="preserve">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w:t>
      </w:r>
      <w:r>
        <w:t xml:space="preserve">both </w:t>
      </w:r>
      <w:r w:rsidRPr="00540585">
        <w:t>enrolled and homeschool version</w:t>
      </w:r>
      <w:r>
        <w:t>s</w:t>
      </w:r>
      <w:r w:rsidRPr="00540585">
        <w:t xml:space="preserve"> of the PFI que</w:t>
      </w:r>
      <w:r>
        <w:t xml:space="preserve">stionnaire were created for self </w:t>
      </w:r>
      <w:r w:rsidRPr="00540585">
        <w:t xml:space="preserve">administration. </w:t>
      </w:r>
      <w:r>
        <w:t>This submission includes both PFI-E and PFI-H instruments.</w:t>
      </w:r>
    </w:p>
    <w:p w14:paraId="739C340A" w14:textId="77777777" w:rsidR="00847832" w:rsidRPr="0003482D" w:rsidRDefault="00847832" w:rsidP="00646A5F">
      <w:pPr>
        <w:pStyle w:val="N2-2ndBullet"/>
        <w:numPr>
          <w:ilvl w:val="0"/>
          <w:numId w:val="0"/>
        </w:numPr>
        <w:tabs>
          <w:tab w:val="clear" w:pos="1728"/>
        </w:tabs>
        <w:spacing w:after="120" w:line="240" w:lineRule="auto"/>
        <w:ind w:left="720"/>
        <w:jc w:val="left"/>
        <w:rPr>
          <w:b/>
          <w:i/>
        </w:rPr>
      </w:pPr>
      <w:r w:rsidRPr="0003482D">
        <w:rPr>
          <w:b/>
          <w:i/>
        </w:rPr>
        <w:t>The Early Childhood Program Participation Survey (ECPP)</w:t>
      </w:r>
    </w:p>
    <w:p w14:paraId="4A855E84" w14:textId="77777777" w:rsidR="00847832" w:rsidRDefault="00847832" w:rsidP="00646A5F">
      <w:pPr>
        <w:pStyle w:val="N2-2ndBullet"/>
        <w:numPr>
          <w:ilvl w:val="0"/>
          <w:numId w:val="0"/>
        </w:numPr>
        <w:tabs>
          <w:tab w:val="clear" w:pos="1728"/>
        </w:tabs>
        <w:spacing w:after="120" w:line="240" w:lineRule="auto"/>
        <w:jc w:val="left"/>
      </w:pPr>
      <w:r>
        <w:t>The ECPP</w:t>
      </w:r>
      <w:r>
        <w:rPr>
          <w:b/>
        </w:rPr>
        <w:t>,</w:t>
      </w:r>
      <w:r>
        <w:t xml:space="preserve"> previously conducted in 1991, 1995, 2001, 2005, and 2012,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7987C398" w14:textId="77777777" w:rsidR="00847832" w:rsidRPr="00DF23A6" w:rsidRDefault="00847832" w:rsidP="00646A5F">
      <w:pPr>
        <w:pStyle w:val="N2-2ndBullet"/>
        <w:numPr>
          <w:ilvl w:val="0"/>
          <w:numId w:val="0"/>
        </w:numPr>
        <w:tabs>
          <w:tab w:val="clear" w:pos="1728"/>
        </w:tabs>
        <w:spacing w:after="120" w:line="240" w:lineRule="auto"/>
        <w:ind w:left="720"/>
        <w:jc w:val="left"/>
        <w:rPr>
          <w:b/>
          <w:i/>
        </w:rPr>
      </w:pPr>
      <w:r w:rsidRPr="00DF23A6">
        <w:rPr>
          <w:b/>
          <w:i/>
        </w:rPr>
        <w:t>The Adult Training and Education Survey (ATES)</w:t>
      </w:r>
    </w:p>
    <w:p w14:paraId="68678FA8" w14:textId="6D897052" w:rsidR="00847832" w:rsidRDefault="00847832" w:rsidP="00646A5F">
      <w:pPr>
        <w:pStyle w:val="N2-2ndBullet"/>
        <w:numPr>
          <w:ilvl w:val="0"/>
          <w:numId w:val="0"/>
        </w:numPr>
        <w:tabs>
          <w:tab w:val="clear" w:pos="1728"/>
        </w:tabs>
        <w:spacing w:after="120" w:line="240" w:lineRule="auto"/>
        <w:jc w:val="left"/>
      </w:pPr>
      <w:r>
        <w:t xml:space="preserve">ATES </w:t>
      </w:r>
      <w:r w:rsidRPr="006C3411">
        <w:t xml:space="preserve">provides means to investigate issues related to </w:t>
      </w:r>
      <w:r w:rsidR="0012275E">
        <w:t>adults’ education, training, and credentials</w:t>
      </w:r>
      <w:r w:rsidRPr="006C3411">
        <w:t xml:space="preserve"> that cannot be adequately studied through the Center’s institution-based data collection efforts. It targets non-institutionalized adults in the United States ages 16 to 65 not enrolled at grade 12 or below. The </w:t>
      </w:r>
      <w:r>
        <w:t>ATES</w:t>
      </w:r>
      <w:r w:rsidRPr="006C3411">
        <w:t xml:space="preserve"> will collect information on educational attainment, prevalence and characteristics of certifications and licenses and their holders, prevalence and characteristics of educational certificates and certificate holders, </w:t>
      </w:r>
      <w:r>
        <w:t>and completion and key characteristics of work experience programs such as apprenticeships and internships.</w:t>
      </w:r>
      <w:r w:rsidRPr="006C3411">
        <w:t xml:space="preserve"> It will also collect detailed employment and background information.</w:t>
      </w:r>
    </w:p>
    <w:p w14:paraId="6703D1B0" w14:textId="77777777" w:rsidR="00847832" w:rsidRDefault="00847832" w:rsidP="00646A5F">
      <w:pPr>
        <w:pStyle w:val="Heading1"/>
        <w:spacing w:after="120" w:line="240" w:lineRule="auto"/>
        <w:ind w:left="720" w:firstLine="0"/>
        <w:jc w:val="left"/>
      </w:pPr>
      <w:r>
        <w:t>NHES:2016 Experiments</w:t>
      </w:r>
    </w:p>
    <w:p w14:paraId="1890481F" w14:textId="77777777" w:rsidR="00847832" w:rsidRDefault="00847832" w:rsidP="00646A5F">
      <w:pPr>
        <w:pStyle w:val="N2-2ndBullet"/>
        <w:numPr>
          <w:ilvl w:val="0"/>
          <w:numId w:val="0"/>
        </w:numPr>
        <w:tabs>
          <w:tab w:val="clear" w:pos="1728"/>
        </w:tabs>
        <w:spacing w:after="120" w:line="240" w:lineRule="auto"/>
        <w:ind w:left="720"/>
        <w:jc w:val="left"/>
        <w:rPr>
          <w:b/>
          <w:i/>
        </w:rPr>
      </w:pPr>
      <w:r>
        <w:rPr>
          <w:b/>
          <w:i/>
        </w:rPr>
        <w:t>Web Experiment</w:t>
      </w:r>
    </w:p>
    <w:p w14:paraId="37D6D1C3" w14:textId="77777777" w:rsidR="00105381" w:rsidRDefault="00847832" w:rsidP="0027103E">
      <w:pPr>
        <w:pStyle w:val="N2-2ndBullet"/>
        <w:numPr>
          <w:ilvl w:val="0"/>
          <w:numId w:val="0"/>
        </w:numPr>
        <w:tabs>
          <w:tab w:val="clear" w:pos="1728"/>
        </w:tabs>
        <w:spacing w:after="120" w:line="240" w:lineRule="auto"/>
        <w:jc w:val="left"/>
      </w:pPr>
      <w:r>
        <w:t>NCES is planning an experiment as part of NHES:2016 to evaluate response rates for a subsample of respondents requested to complete the screener and topical instruments over the internet. The web instruments are being developed using the paper and pencil versions submitted for clearance herein</w:t>
      </w:r>
      <w:r w:rsidR="00C76469">
        <w:t>, with a few differences described in Appendix 2.</w:t>
      </w:r>
      <w:r>
        <w:t xml:space="preserve"> This experiment will also test </w:t>
      </w:r>
      <w:r w:rsidR="001C31EC">
        <w:t>real-time</w:t>
      </w:r>
      <w:r>
        <w:t xml:space="preserve"> sampling between the screener and the topical stages of data collection. The functionality of the web interface will permit immediate sampling of a household member for a topical survey, and if the screener respondent is the sampled adult respondent or the most knowledgeable adult about the sampled child respondent, the web instrument will allow him or her to continue immediately to the topical survey. </w:t>
      </w:r>
      <w:r w:rsidR="00387899">
        <w:t xml:space="preserve">The benefit of immediate sampling is that it will create the potential for respondents to complete the screener and topical surveys in one sitting rather than being contacted on two separate occasions to complete the survey; this should increase topical response rates while reducing cost and burden. </w:t>
      </w:r>
      <w:r>
        <w:t xml:space="preserve">At any stage during the web experiment, respondents will be able to call the Census Bureau to receive a paper and pencil version of the survey. In addition, beginning at the point of the third </w:t>
      </w:r>
      <w:r w:rsidR="008825E9">
        <w:t xml:space="preserve">nonresponse </w:t>
      </w:r>
      <w:r>
        <w:t xml:space="preserve">follow up mailing for both the screener and the topical surveys, sampled web </w:t>
      </w:r>
      <w:r w:rsidR="00BA1793">
        <w:t>households that have not yet responded</w:t>
      </w:r>
      <w:r>
        <w:t xml:space="preserve"> will automatically receive a paper and pencil version of the survey and continue with paper and pencil follow-up thereafter.</w:t>
      </w:r>
    </w:p>
    <w:p w14:paraId="4F47E1EC" w14:textId="03E9B524" w:rsidR="009B533B" w:rsidRDefault="009B533B" w:rsidP="0027103E">
      <w:pPr>
        <w:pStyle w:val="P1-StandPara"/>
        <w:spacing w:after="120" w:line="240" w:lineRule="auto"/>
        <w:ind w:firstLine="0"/>
        <w:jc w:val="left"/>
      </w:pPr>
      <w:r>
        <w:t>From the original sample of 206,000 households, 35,000 will be allocated to the web experiment. The experiment is being designed to measure 1) overall web screener and web topical response rates, 2) demographic characteristics of web respondents versus pencil and paper respondents in the web sample, 3) the number and type of respondents who try to answer the survey on a smart phone, 4) the number of breakoffs at the screener and topical stages, and 5) the number of screener respondents with a sampled child in their household who indicated that they are not the most knowledgeable about the care and education of the sampled child.</w:t>
      </w:r>
      <w:r w:rsidR="00C76469">
        <w:t xml:space="preserve"> A random half of the web respondents will be asked for an email address for nonresponse followup to evaluate </w:t>
      </w:r>
      <w:r w:rsidR="0027324C">
        <w:t>whether that request leads to breakoffs.</w:t>
      </w:r>
      <w:r>
        <w:t xml:space="preserve"> With 80 percent power and a significance level of 0.05, the treatment group size of 35,000 will allow a minimum detectible difference in screener response rates between the web treatment group and the paper treatment group of </w:t>
      </w:r>
      <w:r>
        <w:lastRenderedPageBreak/>
        <w:t>approximately 1 percentage point. At the topical level, response rate differences of 3.5 percentage points or greater will be detectible.</w:t>
      </w:r>
    </w:p>
    <w:p w14:paraId="74F5DFB7" w14:textId="77777777" w:rsidR="00847832" w:rsidRDefault="00847832" w:rsidP="00646A5F">
      <w:pPr>
        <w:pStyle w:val="N2-2ndBullet"/>
        <w:numPr>
          <w:ilvl w:val="0"/>
          <w:numId w:val="0"/>
        </w:numPr>
        <w:tabs>
          <w:tab w:val="clear" w:pos="1728"/>
        </w:tabs>
        <w:spacing w:after="120" w:line="240" w:lineRule="auto"/>
        <w:ind w:left="720"/>
        <w:jc w:val="left"/>
        <w:rPr>
          <w:b/>
          <w:i/>
        </w:rPr>
      </w:pPr>
      <w:r>
        <w:rPr>
          <w:b/>
          <w:i/>
        </w:rPr>
        <w:t>Targeted Incentive Experiment</w:t>
      </w:r>
    </w:p>
    <w:p w14:paraId="21C998FA" w14:textId="1E7D7D1E" w:rsidR="00105381" w:rsidRDefault="009B533B" w:rsidP="007B0F3F">
      <w:pPr>
        <w:pStyle w:val="P1-StandPara"/>
        <w:spacing w:after="120" w:line="240" w:lineRule="auto"/>
        <w:ind w:firstLine="0"/>
        <w:jc w:val="left"/>
      </w:pPr>
      <w:r>
        <w:t xml:space="preserve">Preliminary analysis of an experiment in the NHES-FS comparing no incentive to a $5 incentive suggests that there are certain types of households for which the incentive had a relatively limited impact on response rates. This means that NCES can potentially reduce operational costs without introducing bias by targeting specific households with a smaller incentive. </w:t>
      </w:r>
      <w:r w:rsidR="00387899">
        <w:t>On the other end of the spectrum, there are certain households that are less likely to respond. The Total Survey Error</w:t>
      </w:r>
      <w:r w:rsidR="00DA161F">
        <w:rPr>
          <w:rStyle w:val="FootnoteReference"/>
        </w:rPr>
        <w:footnoteReference w:id="1"/>
      </w:r>
      <w:r w:rsidR="00387899">
        <w:t xml:space="preserve"> paradigm developed by Paul Biemer indicates that nonresponse bias should be reduced to enhance the quality of resulting survey estimates; therefore, NCES could potentially increase the quality of survey estimates by </w:t>
      </w:r>
      <w:r w:rsidR="0016423A">
        <w:t>encouraging</w:t>
      </w:r>
      <w:r w:rsidR="00387899">
        <w:t xml:space="preserve"> sampled </w:t>
      </w:r>
      <w:r w:rsidR="0016423A">
        <w:t xml:space="preserve">households who </w:t>
      </w:r>
      <w:r w:rsidR="0087135D">
        <w:t xml:space="preserve">may </w:t>
      </w:r>
      <w:r w:rsidR="0016423A">
        <w:t>not otherwise do so to respond</w:t>
      </w:r>
      <w:r w:rsidR="00387899">
        <w:t xml:space="preserve"> by offering a larger ince</w:t>
      </w:r>
      <w:r w:rsidR="0056167C">
        <w:t>n</w:t>
      </w:r>
      <w:r w:rsidR="00387899">
        <w:t xml:space="preserve">tive amount. </w:t>
      </w:r>
      <w:r>
        <w:t xml:space="preserve">For NHES:2016, NCES plans to create a response propensity model using data from the NHES-FS, the address-based sample frame, and Census data to identify suitable households to target with a smaller </w:t>
      </w:r>
      <w:r w:rsidR="0056167C">
        <w:t xml:space="preserve">or larger </w:t>
      </w:r>
      <w:r>
        <w:t>incentive.</w:t>
      </w:r>
      <w:r w:rsidR="005C7916">
        <w:t xml:space="preserve"> The plans for the targeted incentive experiment are described </w:t>
      </w:r>
      <w:r w:rsidR="007B0F3F">
        <w:t>in section A.9 of this document</w:t>
      </w:r>
      <w:r w:rsidR="005C7916">
        <w:t xml:space="preserve">. </w:t>
      </w:r>
    </w:p>
    <w:p w14:paraId="005B1AC8" w14:textId="2C7BBB35" w:rsidR="00404B2D" w:rsidRDefault="00404B2D" w:rsidP="00D33164">
      <w:pPr>
        <w:pStyle w:val="N2-2ndBullet"/>
        <w:numPr>
          <w:ilvl w:val="0"/>
          <w:numId w:val="0"/>
        </w:numPr>
        <w:tabs>
          <w:tab w:val="clear" w:pos="1728"/>
        </w:tabs>
        <w:spacing w:after="120" w:line="240" w:lineRule="auto"/>
        <w:ind w:firstLine="720"/>
        <w:jc w:val="left"/>
        <w:rPr>
          <w:b/>
          <w:i/>
        </w:rPr>
      </w:pPr>
      <w:r>
        <w:rPr>
          <w:b/>
          <w:i/>
        </w:rPr>
        <w:t>Seeded Sample of Certificate Holders</w:t>
      </w:r>
    </w:p>
    <w:p w14:paraId="3BF9D19A" w14:textId="14A9C7D5" w:rsidR="00404B2D" w:rsidRDefault="00346C51" w:rsidP="007B0F3F">
      <w:pPr>
        <w:pStyle w:val="P1-StandPara"/>
        <w:spacing w:after="120" w:line="240" w:lineRule="auto"/>
        <w:ind w:firstLine="0"/>
        <w:jc w:val="left"/>
      </w:pPr>
      <w:r w:rsidRPr="00BD768F">
        <w:t>As part of its ongoing effort to evaluate new survey measures of non-degree credentials, t</w:t>
      </w:r>
      <w:r w:rsidR="00404B2D" w:rsidRPr="00BD768F">
        <w:t xml:space="preserve">he NHES:2016 </w:t>
      </w:r>
      <w:r w:rsidRPr="00BD768F">
        <w:t>wil</w:t>
      </w:r>
      <w:r w:rsidR="00404B2D" w:rsidRPr="00BD768F">
        <w:t>l include a</w:t>
      </w:r>
      <w:r w:rsidRPr="00BD768F">
        <w:t xml:space="preserve"> seeded sample of 1,000 known holders of educational certificates. This experiment will follow the model successfully used in the ATES Pilot Study of 2010, NATES</w:t>
      </w:r>
      <w:r w:rsidR="00BD768F">
        <w:t>:</w:t>
      </w:r>
      <w:r w:rsidRPr="00BD768F">
        <w:t>2013, and NHES:FS of including a small opportunity sample of credential holders to help evaluate the characteristics of “true” credentials</w:t>
      </w:r>
      <w:r w:rsidR="00BD768F" w:rsidRPr="00BD768F">
        <w:t xml:space="preserve"> and to assess the extent of false negative responses to the main certificate survey item. Th</w:t>
      </w:r>
      <w:r w:rsidR="00BD768F">
        <w:t>ese cases will only receive the ATES topical survey—not the screener—and are not included in the main national sample of 206,000 screener cases for operations, weighting, or analysis.</w:t>
      </w:r>
    </w:p>
    <w:p w14:paraId="340AD66D" w14:textId="77777777" w:rsidR="008478A9" w:rsidRPr="006310B9" w:rsidRDefault="008478A9" w:rsidP="00646A5F">
      <w:pPr>
        <w:pStyle w:val="Heading1"/>
        <w:spacing w:after="120" w:line="240" w:lineRule="auto"/>
        <w:ind w:left="0" w:firstLine="0"/>
        <w:jc w:val="left"/>
      </w:pPr>
      <w:bookmarkStart w:id="7" w:name="_Toc61176379"/>
      <w:bookmarkStart w:id="8" w:name="_Toc222888888"/>
      <w:r>
        <w:t>A.3</w:t>
      </w:r>
      <w:r>
        <w:tab/>
      </w:r>
      <w:r w:rsidRPr="006310B9">
        <w:t>Use of Improved Information Technology</w:t>
      </w:r>
      <w:bookmarkEnd w:id="7"/>
      <w:bookmarkEnd w:id="8"/>
    </w:p>
    <w:p w14:paraId="21B5B8A3" w14:textId="77777777" w:rsidR="007A29A2" w:rsidRDefault="009D24B9" w:rsidP="00646A5F">
      <w:pPr>
        <w:pStyle w:val="P1-StandPara"/>
        <w:spacing w:after="120" w:line="240" w:lineRule="auto"/>
        <w:ind w:firstLine="0"/>
        <w:jc w:val="left"/>
      </w:pPr>
      <w:r>
        <w:t xml:space="preserve">The paper and pencil instruments in the </w:t>
      </w:r>
      <w:r w:rsidR="006747C5">
        <w:t>NHES:2016</w:t>
      </w:r>
      <w:r w:rsidR="00401083" w:rsidRPr="006310B9">
        <w:t xml:space="preserve"> </w:t>
      </w:r>
      <w:r w:rsidR="00DF65D7" w:rsidRPr="006310B9">
        <w:t xml:space="preserve">will be </w:t>
      </w:r>
      <w:r w:rsidR="00A45612" w:rsidRPr="006310B9">
        <w:t>collected</w:t>
      </w:r>
      <w:r w:rsidR="00DF65D7" w:rsidRPr="006310B9">
        <w:t xml:space="preserve"> for NCES by the </w:t>
      </w:r>
      <w:r>
        <w:t xml:space="preserve">Census </w:t>
      </w:r>
      <w:r w:rsidR="00DF65D7" w:rsidRPr="006310B9">
        <w:t xml:space="preserve">Bureau using </w:t>
      </w:r>
      <w:r>
        <w:t>three</w:t>
      </w:r>
      <w:r w:rsidR="00DF65D7" w:rsidRPr="006310B9">
        <w:t xml:space="preserve"> complementary survey systems - (1) Amgraf One Form Plus, (2) Docuprint</w:t>
      </w:r>
      <w:r w:rsidR="008C3E6E" w:rsidRPr="006310B9">
        <w:t>,</w:t>
      </w:r>
      <w:r w:rsidR="00DF65D7" w:rsidRPr="006310B9">
        <w:t xml:space="preserve"> and (3) integrated Computer Assisted Data Entry (iCADE)</w:t>
      </w:r>
      <w:r w:rsidR="00A45612" w:rsidRPr="006310B9">
        <w:t xml:space="preserve">, chosen for </w:t>
      </w:r>
      <w:r w:rsidR="00DF65D7" w:rsidRPr="006310B9">
        <w:t>the</w:t>
      </w:r>
      <w:r w:rsidR="00A45612" w:rsidRPr="006310B9">
        <w:t>ir</w:t>
      </w:r>
      <w:r w:rsidR="00DF65D7" w:rsidRPr="006310B9">
        <w:t xml:space="preserve"> efficiency and accuracy </w:t>
      </w:r>
      <w:r w:rsidR="00A45612" w:rsidRPr="006310B9">
        <w:t>in</w:t>
      </w:r>
      <w:r w:rsidR="00DF65D7" w:rsidRPr="006310B9">
        <w:t xml:space="preserve"> the data collection process.</w:t>
      </w:r>
    </w:p>
    <w:p w14:paraId="67B4D8C0" w14:textId="79E12C34" w:rsidR="007A29A2" w:rsidRDefault="0002065D" w:rsidP="00646A5F">
      <w:pPr>
        <w:pStyle w:val="P1-StandPara"/>
        <w:numPr>
          <w:ilvl w:val="0"/>
          <w:numId w:val="2"/>
        </w:numPr>
        <w:spacing w:after="120" w:line="240" w:lineRule="auto"/>
        <w:ind w:left="450" w:hanging="270"/>
        <w:jc w:val="left"/>
      </w:pPr>
      <w:r w:rsidRPr="006310B9">
        <w:rPr>
          <w:b/>
        </w:rPr>
        <w:t>Forms Design.</w:t>
      </w:r>
      <w:r w:rsidR="00DF65D7" w:rsidRPr="006310B9">
        <w:t xml:space="preserve"> Questionnaires will be crea</w:t>
      </w:r>
      <w:r w:rsidR="00CB781E" w:rsidRPr="006310B9">
        <w:t xml:space="preserve">ted using Amgraf One Form Plus. </w:t>
      </w:r>
      <w:r w:rsidR="00DF65D7" w:rsidRPr="006310B9">
        <w:t>Completed hardcopy forms can be processed by iCADE to capture responses through optical mark recognition (OMR) and keying from image (KFI). Questionnaires will be printed, trimmed</w:t>
      </w:r>
      <w:r w:rsidR="009B38E0" w:rsidRPr="006310B9">
        <w:t>,</w:t>
      </w:r>
      <w:r w:rsidR="00DF65D7" w:rsidRPr="006310B9">
        <w:t xml:space="preserve"> and stitched through an in</w:t>
      </w:r>
      <w:r w:rsidR="0084005F" w:rsidRPr="006310B9">
        <w:t>-</w:t>
      </w:r>
      <w:r w:rsidR="00DF65D7" w:rsidRPr="006310B9">
        <w:t>house print on</w:t>
      </w:r>
      <w:r w:rsidR="0084005F" w:rsidRPr="006310B9">
        <w:t>-</w:t>
      </w:r>
      <w:r w:rsidR="00DF65D7" w:rsidRPr="006310B9">
        <w:t xml:space="preserve">demand process </w:t>
      </w:r>
      <w:r w:rsidR="00A15024" w:rsidRPr="006310B9">
        <w:t xml:space="preserve">using a Docuprint system </w:t>
      </w:r>
      <w:r w:rsidR="00DF65D7" w:rsidRPr="006310B9">
        <w:t>which allows personalization</w:t>
      </w:r>
      <w:r w:rsidR="0056167C">
        <w:t xml:space="preserve"> of some survey items</w:t>
      </w:r>
      <w:r w:rsidR="00DF65D7" w:rsidRPr="006310B9">
        <w:t xml:space="preserve">. The data from the questionnaires will be captured by the iCADE technology/software, which automatically extracts all check box entries (OMR) and captures and displays an image of all other entries </w:t>
      </w:r>
      <w:r w:rsidR="008624B7" w:rsidRPr="006310B9">
        <w:t xml:space="preserve">to an operator </w:t>
      </w:r>
      <w:r w:rsidR="00DF65D7" w:rsidRPr="006310B9">
        <w:t>for KFI.</w:t>
      </w:r>
    </w:p>
    <w:p w14:paraId="400125A4" w14:textId="77777777" w:rsidR="007A29A2" w:rsidRDefault="0002065D" w:rsidP="00646A5F">
      <w:pPr>
        <w:pStyle w:val="P1-StandPara"/>
        <w:numPr>
          <w:ilvl w:val="0"/>
          <w:numId w:val="2"/>
        </w:numPr>
        <w:spacing w:after="120" w:line="240" w:lineRule="auto"/>
        <w:ind w:left="450" w:hanging="270"/>
        <w:jc w:val="left"/>
      </w:pPr>
      <w:r w:rsidRPr="006310B9">
        <w:rPr>
          <w:b/>
        </w:rPr>
        <w:t>Image Preprocessing.</w:t>
      </w:r>
      <w:r w:rsidR="00DF65D7" w:rsidRPr="006310B9">
        <w:t xml:space="preserve"> iCADE applies image preprocessing to the forms in their image format in order to correct any skewing at the time of scanning</w:t>
      </w:r>
      <w:r w:rsidR="008624B7" w:rsidRPr="006310B9">
        <w:t>,</w:t>
      </w:r>
      <w:r w:rsidR="00DF65D7" w:rsidRPr="006310B9">
        <w:t xml:space="preserve"> and the iCADE software performs registration to align the individual questionnaire page template with the appropriate scanned image</w:t>
      </w:r>
      <w:r w:rsidR="006814A7" w:rsidRPr="006310B9">
        <w:t xml:space="preserve">. </w:t>
      </w:r>
      <w:r w:rsidR="00DF65D7" w:rsidRPr="006310B9">
        <w:t>The scanner despeckles the image to remove unwanted pixels.</w:t>
      </w:r>
    </w:p>
    <w:p w14:paraId="36DBC5EB" w14:textId="77777777" w:rsidR="007A29A2" w:rsidRDefault="0002065D" w:rsidP="00646A5F">
      <w:pPr>
        <w:pStyle w:val="P1-StandPara"/>
        <w:numPr>
          <w:ilvl w:val="0"/>
          <w:numId w:val="2"/>
        </w:numPr>
        <w:spacing w:after="120" w:line="240" w:lineRule="auto"/>
        <w:ind w:left="450" w:hanging="270"/>
        <w:jc w:val="left"/>
      </w:pPr>
      <w:r w:rsidRPr="006310B9">
        <w:rPr>
          <w:b/>
        </w:rPr>
        <w:t>Data Capture.</w:t>
      </w:r>
      <w:r w:rsidR="00DF65D7" w:rsidRPr="006310B9">
        <w:t xml:space="preserve"> iCADE reads the form image files, checks the presence of data, processes all check box fields through OMR</w:t>
      </w:r>
      <w:r w:rsidR="009B38E0" w:rsidRPr="006310B9">
        <w:t>,</w:t>
      </w:r>
      <w:r w:rsidR="00DF65D7" w:rsidRPr="006310B9">
        <w:t xml:space="preserve"> and presents </w:t>
      </w:r>
      <w:r w:rsidR="008624B7" w:rsidRPr="006310B9">
        <w:t xml:space="preserve">an image of the handwritten fields </w:t>
      </w:r>
      <w:r w:rsidR="00DF65D7" w:rsidRPr="006310B9">
        <w:t>to an operator for KFI.</w:t>
      </w:r>
    </w:p>
    <w:p w14:paraId="6C40A117" w14:textId="77777777" w:rsidR="007A29A2" w:rsidRDefault="0002065D" w:rsidP="00646A5F">
      <w:pPr>
        <w:pStyle w:val="P1-StandPara"/>
        <w:numPr>
          <w:ilvl w:val="0"/>
          <w:numId w:val="2"/>
        </w:numPr>
        <w:spacing w:after="120" w:line="240" w:lineRule="auto"/>
        <w:ind w:left="450" w:hanging="270"/>
        <w:jc w:val="left"/>
      </w:pPr>
      <w:r w:rsidRPr="006310B9">
        <w:rPr>
          <w:b/>
        </w:rPr>
        <w:t>Verification.</w:t>
      </w:r>
      <w:r w:rsidR="00DF65D7" w:rsidRPr="006310B9">
        <w:t xml:space="preserve"> Extracted KFI data are subject to 100% field validation according to project specifications</w:t>
      </w:r>
      <w:r w:rsidR="001511AF" w:rsidRPr="006310B9">
        <w:t xml:space="preserve">. </w:t>
      </w:r>
      <w:r w:rsidR="00DF65D7" w:rsidRPr="006310B9">
        <w:t xml:space="preserve">If a data value violates validation rules, the </w:t>
      </w:r>
      <w:r w:rsidR="009B38E0" w:rsidRPr="006310B9">
        <w:t>value</w:t>
      </w:r>
      <w:r w:rsidR="00DF65D7" w:rsidRPr="006310B9">
        <w:t xml:space="preserve"> is flagged for review by verifiers who interactively review the images and the corresponding extracted data, and resolve validation errors.</w:t>
      </w:r>
    </w:p>
    <w:p w14:paraId="30D1EA1A" w14:textId="77777777" w:rsidR="007A29A2" w:rsidRDefault="0002065D" w:rsidP="00646A5F">
      <w:pPr>
        <w:pStyle w:val="N2-2ndBullet"/>
        <w:numPr>
          <w:ilvl w:val="0"/>
          <w:numId w:val="2"/>
        </w:numPr>
        <w:tabs>
          <w:tab w:val="clear" w:pos="1728"/>
        </w:tabs>
        <w:spacing w:after="120" w:line="240" w:lineRule="auto"/>
        <w:ind w:left="450" w:hanging="270"/>
        <w:jc w:val="left"/>
      </w:pPr>
      <w:r w:rsidRPr="006310B9">
        <w:rPr>
          <w:b/>
        </w:rPr>
        <w:t>Archiving.</w:t>
      </w:r>
      <w:r w:rsidR="00DF65D7" w:rsidRPr="006310B9">
        <w:t xml:space="preserve"> Images will be scanned and archived to magnetic storage located on a secured server in case they are needed later. This eliminates the need to save paper copies of the completed questionnaires.</w:t>
      </w:r>
    </w:p>
    <w:p w14:paraId="0EC81A16" w14:textId="4E69BFD3" w:rsidR="009D24B9" w:rsidRPr="006310B9" w:rsidRDefault="00BF1F91" w:rsidP="00646A5F">
      <w:pPr>
        <w:pStyle w:val="N2-2ndBullet"/>
        <w:numPr>
          <w:ilvl w:val="0"/>
          <w:numId w:val="0"/>
        </w:numPr>
        <w:tabs>
          <w:tab w:val="clear" w:pos="1728"/>
        </w:tabs>
        <w:spacing w:after="120" w:line="240" w:lineRule="auto"/>
        <w:jc w:val="left"/>
      </w:pPr>
      <w:r>
        <w:t>T</w:t>
      </w:r>
      <w:r w:rsidR="009D24B9">
        <w:t xml:space="preserve">he NHES:2016 web experiment described </w:t>
      </w:r>
      <w:r w:rsidR="0056167C">
        <w:t xml:space="preserve">in section A.2 </w:t>
      </w:r>
      <w:r w:rsidR="009D24B9">
        <w:t xml:space="preserve">will be conducted to determine whether respondents access and respond to a web-based screener instrument followed by a web-based topical survey. The web-based instruments are designed to minimize respondent burden by eliminating the cumbersome skip patterns required in the pencil and paper instruments. The instruments will be securely hosted on the NCES server and regular updates on incomplete cases will be </w:t>
      </w:r>
      <w:r w:rsidR="007D3036">
        <w:t xml:space="preserve">securely </w:t>
      </w:r>
      <w:r w:rsidR="009D24B9">
        <w:t>transmitted to the Census Bureau for nonresponse follow up.</w:t>
      </w:r>
    </w:p>
    <w:p w14:paraId="243140DF" w14:textId="77777777" w:rsidR="008478A9" w:rsidRDefault="008478A9" w:rsidP="00646A5F">
      <w:pPr>
        <w:pStyle w:val="Heading1"/>
        <w:spacing w:after="120" w:line="240" w:lineRule="auto"/>
        <w:ind w:left="0" w:firstLine="0"/>
        <w:jc w:val="left"/>
      </w:pPr>
      <w:bookmarkStart w:id="9" w:name="_Toc61176380"/>
      <w:bookmarkStart w:id="10" w:name="_Toc222888889"/>
      <w:r>
        <w:lastRenderedPageBreak/>
        <w:t>A.4</w:t>
      </w:r>
      <w:r>
        <w:tab/>
        <w:t>Efforts to Identify Duplication</w:t>
      </w:r>
      <w:bookmarkEnd w:id="9"/>
      <w:bookmarkEnd w:id="10"/>
    </w:p>
    <w:p w14:paraId="51843A68" w14:textId="77777777" w:rsidR="007A29A2" w:rsidRDefault="00F3219E" w:rsidP="00646A5F">
      <w:pPr>
        <w:pStyle w:val="P1-StandPara"/>
        <w:spacing w:after="120" w:line="240" w:lineRule="auto"/>
        <w:ind w:firstLine="0"/>
        <w:jc w:val="left"/>
      </w:pPr>
      <w:r>
        <w:rPr>
          <w:b/>
        </w:rPr>
        <w:t>PFI and ECPP</w:t>
      </w:r>
    </w:p>
    <w:p w14:paraId="0D3B3585" w14:textId="54B34375" w:rsidR="00F3219E" w:rsidRDefault="00F3219E" w:rsidP="00646A5F">
      <w:pPr>
        <w:pStyle w:val="P1-StandPara"/>
        <w:spacing w:after="120" w:line="240" w:lineRule="auto"/>
        <w:ind w:firstLine="0"/>
        <w:jc w:val="left"/>
      </w:pPr>
      <w:r w:rsidRPr="00F3219E">
        <w:rPr>
          <w:b/>
        </w:rPr>
        <w:t>Population:</w:t>
      </w:r>
      <w:r>
        <w:t xml:space="preserve"> Most other surveys do not address the topics covered in NHES for the populations of interest. For example, the Head Start Family and Child Experiences Survey (FACES) focuses on children in Head Start, whereas all children who have not yet started kindergarten are of interest in the ECPP Survey. Likewise, the National Survey of Early </w:t>
      </w:r>
      <w:r w:rsidR="00401083">
        <w:t xml:space="preserve">Care and </w:t>
      </w:r>
      <w:r>
        <w:t>Education (NSECE) focuses primarily on low income children and their program participation. The National Survey of Parents of Public School Students and Survey of Family and School Partnerships in Public Schools focus on parents of children in public schools</w:t>
      </w:r>
      <w:r w:rsidR="002B4160">
        <w:t>. T</w:t>
      </w:r>
      <w:r>
        <w:t>hose whose children attend private schools or are homeschooled are not represented. Some studies, such as the 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 and the Early Childhood Longitudinal Study-Kindergarten Class of 2010-11 (ECLS-K:2011)</w:t>
      </w:r>
      <w:r>
        <w:t xml:space="preserve">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12AAAF2B" w14:textId="77777777" w:rsidR="007A29A2" w:rsidRDefault="00F3219E" w:rsidP="00646A5F">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w:t>
      </w:r>
    </w:p>
    <w:p w14:paraId="501C9F93" w14:textId="63F59D82" w:rsidR="00F3219E" w:rsidRDefault="00F3219E" w:rsidP="00646A5F">
      <w:pPr>
        <w:pStyle w:val="P1-StandPara"/>
        <w:spacing w:after="120" w:line="240" w:lineRule="auto"/>
        <w:ind w:firstLine="0"/>
        <w:jc w:val="left"/>
      </w:pPr>
      <w:r w:rsidRPr="00F3219E">
        <w:rPr>
          <w:b/>
        </w:rPr>
        <w:t>Current Estimates and Measuring Change Over Time.</w:t>
      </w:r>
      <w:r>
        <w:t xml:space="preserve"> Many of the extant surveys follow one cohort or periodic cohorts (e.g., the </w:t>
      </w:r>
      <w:r w:rsidR="002B4160">
        <w:t>ECLS-K</w:t>
      </w:r>
      <w:r>
        <w:t>, Head Start FACES, NSECE)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the NHES.</w:t>
      </w:r>
    </w:p>
    <w:p w14:paraId="41914F5B" w14:textId="77777777" w:rsidR="00694BD9" w:rsidRDefault="00694BD9" w:rsidP="00646A5F">
      <w:pPr>
        <w:pStyle w:val="P1-StandPara"/>
        <w:spacing w:after="120" w:line="240" w:lineRule="auto"/>
        <w:ind w:firstLine="0"/>
        <w:jc w:val="left"/>
      </w:pPr>
      <w:r>
        <w:rPr>
          <w:b/>
        </w:rPr>
        <w:t>ATES</w:t>
      </w:r>
    </w:p>
    <w:p w14:paraId="066B753B" w14:textId="77777777" w:rsidR="007A29A2" w:rsidRDefault="00694BD9" w:rsidP="00646A5F">
      <w:pPr>
        <w:pStyle w:val="P1-StandPara"/>
        <w:spacing w:after="120" w:line="240" w:lineRule="auto"/>
        <w:ind w:firstLine="0"/>
        <w:jc w:val="left"/>
      </w:pPr>
      <w:r w:rsidRPr="00784C50">
        <w:t>Senior policy officials in the Departments of Education</w:t>
      </w:r>
      <w:r>
        <w:t>, Commerce,</w:t>
      </w:r>
      <w:r w:rsidRPr="00784C50">
        <w:t xml:space="preserve"> and Labor, foundations including the Gates Foundation and Lumina, and research organizations such as the Georgetown Center for Education and the Workforce have recognized that there is a lack of valid statistical information on prevalence of industry-recognized certifications and education certificates and </w:t>
      </w:r>
      <w:r w:rsidR="00BF1F91">
        <w:t xml:space="preserve">have </w:t>
      </w:r>
      <w:r w:rsidRPr="00784C50">
        <w:t>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 from which NCES developed a bank of existing survey items on certifications (completed 11/2009) and education certificates (completed 1/2010). This research found no surveys that adequately capture</w:t>
      </w:r>
      <w:r>
        <w:t>d</w:t>
      </w:r>
      <w:r w:rsidRPr="00784C50">
        <w:t xml:space="preserve"> comprehensive data on </w:t>
      </w:r>
      <w:r>
        <w:t xml:space="preserve">the extent to which </w:t>
      </w:r>
      <w:r w:rsidRPr="00784C50">
        <w:t>adult</w:t>
      </w:r>
      <w:r>
        <w:t>s participate in</w:t>
      </w:r>
      <w:r w:rsidRPr="00784C50">
        <w:t xml:space="preserve"> training</w:t>
      </w:r>
      <w:r>
        <w:t xml:space="preserve"> or non-Title IV credit bearing </w:t>
      </w:r>
      <w:r w:rsidRPr="00784C50">
        <w:t>education</w:t>
      </w:r>
      <w:r>
        <w:t xml:space="preserve"> and attain non-degree credentials</w:t>
      </w:r>
      <w:r w:rsidRPr="00784C50">
        <w:t>.</w:t>
      </w:r>
    </w:p>
    <w:p w14:paraId="4E5F808C" w14:textId="700134E6" w:rsidR="008478A9" w:rsidRDefault="00F3219E" w:rsidP="00646A5F">
      <w:pPr>
        <w:pStyle w:val="P1-StandPara"/>
        <w:spacing w:after="120" w:line="240" w:lineRule="auto"/>
        <w:ind w:firstLine="0"/>
        <w:jc w:val="left"/>
      </w:pPr>
      <w:r>
        <w:t xml:space="preserve">Due to these limitations in extant studies and the </w:t>
      </w:r>
      <w:r w:rsidR="002B4160">
        <w:t>household based sampling of</w:t>
      </w:r>
      <w:r>
        <w:t xml:space="preserve"> NHES, NCES plans to conduct the </w:t>
      </w:r>
      <w:r w:rsidR="00694BD9">
        <w:t>PFI</w:t>
      </w:r>
      <w:r w:rsidR="006B71FB">
        <w:t>-E, PFI-H</w:t>
      </w:r>
      <w:r w:rsidR="00694BD9">
        <w:t>, ECPP, and ATES s</w:t>
      </w:r>
      <w:r>
        <w:t>urveys under the NHES p</w:t>
      </w:r>
      <w:r w:rsidRPr="00BA32FA">
        <w:t>rogram</w:t>
      </w:r>
      <w:r w:rsidRPr="001674C6">
        <w:t xml:space="preserve">. </w:t>
      </w:r>
      <w:r w:rsidRPr="00BE2D4B">
        <w:t xml:space="preserve">Appendix </w:t>
      </w:r>
      <w:r w:rsidR="00BE2D4B" w:rsidRPr="00BE2D4B">
        <w:t>3</w:t>
      </w:r>
      <w:r w:rsidR="00941D40" w:rsidRPr="00BE2D4B">
        <w:t xml:space="preserve"> </w:t>
      </w:r>
      <w:r w:rsidRPr="00BE2D4B">
        <w:t>cont</w:t>
      </w:r>
      <w:r w:rsidRPr="00BA32FA">
        <w:t>ains a review of other surveys</w:t>
      </w:r>
      <w:r w:rsidR="002604AD" w:rsidRPr="00BA32FA">
        <w:t xml:space="preserve"> </w:t>
      </w:r>
      <w:r w:rsidR="004A03E2">
        <w:t>t</w:t>
      </w:r>
      <w:r w:rsidRPr="00BA32FA">
        <w:t>hat cover topics similar to those in the NHES child</w:t>
      </w:r>
      <w:r w:rsidR="005124D8" w:rsidRPr="00BA32FA">
        <w:t xml:space="preserve"> </w:t>
      </w:r>
      <w:r w:rsidRPr="00BA32FA">
        <w:t>surveys. The review shows that there is little overlap between the NHES and these other surveys.</w:t>
      </w:r>
      <w:r w:rsidR="00D80EAA">
        <w:t xml:space="preserve"> Although GEMEnA’s work has resulted in the addition of survey items</w:t>
      </w:r>
      <w:r w:rsidR="006D5C5B">
        <w:t xml:space="preserve"> on certifications and licenses</w:t>
      </w:r>
      <w:r w:rsidR="00D80EAA">
        <w:t xml:space="preserve"> to</w:t>
      </w:r>
      <w:r w:rsidR="006D5C5B">
        <w:t xml:space="preserve"> the Current Population Survey and other federal surveys, ATES is the only one that</w:t>
      </w:r>
      <w:r w:rsidR="0004267F">
        <w:t xml:space="preserve"> collect</w:t>
      </w:r>
      <w:r w:rsidR="006D5C5B">
        <w:t>s</w:t>
      </w:r>
      <w:r w:rsidR="0004267F">
        <w:t xml:space="preserve"> </w:t>
      </w:r>
      <w:r w:rsidR="00D80EAA">
        <w:t xml:space="preserve">detailed </w:t>
      </w:r>
      <w:r w:rsidR="0004267F">
        <w:t>information on the attainment of non-degree credentials</w:t>
      </w:r>
      <w:r w:rsidR="00D80EAA">
        <w:t xml:space="preserve"> from the general U</w:t>
      </w:r>
      <w:r w:rsidR="002B4160">
        <w:t>.</w:t>
      </w:r>
      <w:r w:rsidR="00D80EAA">
        <w:t>S</w:t>
      </w:r>
      <w:r w:rsidR="002B4160">
        <w:t>.</w:t>
      </w:r>
      <w:r w:rsidR="00D80EAA">
        <w:t xml:space="preserve"> adult pop</w:t>
      </w:r>
      <w:r w:rsidR="00FE44AA">
        <w:t>u</w:t>
      </w:r>
      <w:r w:rsidR="00D80EAA">
        <w:t>lation</w:t>
      </w:r>
      <w:r w:rsidR="0004267F">
        <w:t>.</w:t>
      </w:r>
    </w:p>
    <w:p w14:paraId="29A419DA" w14:textId="77777777" w:rsidR="00893A70" w:rsidRPr="00893A70" w:rsidRDefault="00893A70" w:rsidP="00646A5F">
      <w:pPr>
        <w:pStyle w:val="Heading1"/>
        <w:spacing w:after="120" w:line="240" w:lineRule="auto"/>
        <w:ind w:left="0" w:firstLine="0"/>
        <w:jc w:val="left"/>
      </w:pPr>
      <w:bookmarkStart w:id="11" w:name="_Toc61176384"/>
      <w:bookmarkStart w:id="12" w:name="_Toc222888893"/>
      <w:r w:rsidRPr="00893A70">
        <w:t>A.5</w:t>
      </w:r>
      <w:r w:rsidRPr="00893A70">
        <w:tab/>
        <w:t>Collection of Data from Small Businesses</w:t>
      </w:r>
    </w:p>
    <w:p w14:paraId="1780770C" w14:textId="77777777" w:rsidR="00893A70" w:rsidRPr="00893A70" w:rsidRDefault="00893A70" w:rsidP="00646A5F">
      <w:pPr>
        <w:pStyle w:val="P1-StandPara"/>
        <w:spacing w:after="120" w:line="240" w:lineRule="auto"/>
        <w:ind w:firstLine="0"/>
        <w:jc w:val="left"/>
      </w:pPr>
      <w:r w:rsidRPr="00893A70">
        <w:t>Not applicable.</w:t>
      </w:r>
    </w:p>
    <w:p w14:paraId="213BF716" w14:textId="77777777" w:rsidR="00893A70" w:rsidRPr="00893A70" w:rsidRDefault="00893A70" w:rsidP="00646A5F">
      <w:pPr>
        <w:pStyle w:val="Heading1"/>
        <w:spacing w:after="120" w:line="240" w:lineRule="auto"/>
        <w:ind w:left="0" w:firstLine="0"/>
        <w:jc w:val="left"/>
      </w:pPr>
      <w:bookmarkStart w:id="13" w:name="_Toc61176382"/>
      <w:bookmarkStart w:id="14" w:name="_Toc222888891"/>
      <w:r w:rsidRPr="00893A70">
        <w:lastRenderedPageBreak/>
        <w:t>A.6</w:t>
      </w:r>
      <w:r w:rsidRPr="00893A70">
        <w:tab/>
        <w:t>Consequences of Less Frequent Data Collection</w:t>
      </w:r>
      <w:bookmarkEnd w:id="13"/>
      <w:bookmarkEnd w:id="14"/>
    </w:p>
    <w:p w14:paraId="1482CDBA" w14:textId="3159730A" w:rsidR="00893A70" w:rsidRPr="00893A70" w:rsidRDefault="00893A70" w:rsidP="00646A5F">
      <w:pPr>
        <w:pStyle w:val="P1-StandPara"/>
        <w:spacing w:after="120" w:line="240" w:lineRule="auto"/>
        <w:ind w:firstLine="0"/>
        <w:jc w:val="left"/>
      </w:pPr>
      <w:r w:rsidRPr="000772D4">
        <w:t xml:space="preserve">This request is for clearance of the </w:t>
      </w:r>
      <w:r w:rsidR="006747C5" w:rsidRPr="000772D4">
        <w:t>NHES:2016</w:t>
      </w:r>
      <w:r w:rsidRPr="000772D4">
        <w:t xml:space="preserve">. Topics covered in </w:t>
      </w:r>
      <w:r w:rsidR="00BB4AE3" w:rsidRPr="000772D4">
        <w:t xml:space="preserve">the </w:t>
      </w:r>
      <w:r w:rsidR="009A59DC" w:rsidRPr="000772D4">
        <w:t>child</w:t>
      </w:r>
      <w:r w:rsidR="00BB4AE3" w:rsidRPr="000772D4">
        <w:t>-focused survey</w:t>
      </w:r>
      <w:r w:rsidR="00876ACC">
        <w:t>s</w:t>
      </w:r>
      <w:r w:rsidR="00BB4AE3" w:rsidRPr="000772D4">
        <w:t xml:space="preserve"> proposed f</w:t>
      </w:r>
      <w:r w:rsidR="009A59DC" w:rsidRPr="000772D4">
        <w:t xml:space="preserve">or </w:t>
      </w:r>
      <w:r w:rsidRPr="000772D4">
        <w:t xml:space="preserve">this collection have been addressed in previous NHES administrations; repeating the surveys </w:t>
      </w:r>
      <w:r w:rsidR="004F0A32" w:rsidRPr="000772D4">
        <w:t>on a regular basis</w:t>
      </w:r>
      <w:r w:rsidR="009A59DC" w:rsidRPr="000772D4">
        <w:t xml:space="preserve"> </w:t>
      </w:r>
      <w:r w:rsidRPr="000772D4">
        <w:t>allows for analysis of trends over time.</w:t>
      </w:r>
      <w:r w:rsidR="00BB4AE3" w:rsidRPr="000772D4">
        <w:t xml:space="preserve"> In the past, NHES has been administered on a biennial cycle. The last full NHES study was conducted in 2012. Rather than conduct a full scale NHES in 2014, NCES decided to field the NHES Feasibility Study to evaluate the procedures needed to incorporate an adult-focused </w:t>
      </w:r>
      <w:r w:rsidR="00876ACC">
        <w:t>survey</w:t>
      </w:r>
      <w:r w:rsidR="00BB4AE3" w:rsidRPr="000772D4">
        <w:t xml:space="preserve"> into the mail survey mode. Due to funding constraints</w:t>
      </w:r>
      <w:r w:rsidR="00876ACC">
        <w:t xml:space="preserve"> and in order to allow for developmental testing between cycles</w:t>
      </w:r>
      <w:r w:rsidR="00BB4AE3" w:rsidRPr="000772D4">
        <w:t>, NCES move</w:t>
      </w:r>
      <w:r w:rsidR="00D43088">
        <w:t>d</w:t>
      </w:r>
      <w:r w:rsidR="00BB4AE3" w:rsidRPr="000772D4">
        <w:t xml:space="preserve"> to a triennial NHES survey administration</w:t>
      </w:r>
      <w:r w:rsidR="00D43088">
        <w:t>. T</w:t>
      </w:r>
      <w:r w:rsidR="00BB4AE3" w:rsidRPr="000772D4">
        <w:t xml:space="preserve">he next full scale NHES is projected to take place in 2019. </w:t>
      </w:r>
      <w:r w:rsidR="000772D4" w:rsidRPr="000772D4">
        <w:t xml:space="preserve">NCES believes that this is the maximum periodicity that will allow NHES to </w:t>
      </w:r>
      <w:r w:rsidR="00BB4AE3" w:rsidRPr="000772D4">
        <w:t>maintain its purpose of tracking changes in key education estimates over time</w:t>
      </w:r>
      <w:r w:rsidR="000772D4">
        <w:t>.</w:t>
      </w:r>
    </w:p>
    <w:p w14:paraId="7EED240D" w14:textId="487C4A32" w:rsidR="00893A70" w:rsidRPr="00893A70" w:rsidRDefault="00893A70" w:rsidP="00646A5F">
      <w:pPr>
        <w:pStyle w:val="Heading1"/>
        <w:spacing w:after="120" w:line="240" w:lineRule="auto"/>
        <w:ind w:left="0" w:firstLine="0"/>
        <w:jc w:val="left"/>
      </w:pPr>
      <w:bookmarkStart w:id="15" w:name="_Toc61176383"/>
      <w:bookmarkStart w:id="16" w:name="_Toc222888892"/>
      <w:r w:rsidRPr="00893A70">
        <w:t>A.7</w:t>
      </w:r>
      <w:r w:rsidRPr="00893A70">
        <w:tab/>
        <w:t>Special Circumstances</w:t>
      </w:r>
      <w:bookmarkEnd w:id="15"/>
      <w:bookmarkEnd w:id="16"/>
      <w:r w:rsidR="005826D3">
        <w:t xml:space="preserve"> of Data Collection</w:t>
      </w:r>
    </w:p>
    <w:p w14:paraId="6A8D087F" w14:textId="53B820BC" w:rsidR="00893A70" w:rsidRPr="00893A70" w:rsidRDefault="00893A70" w:rsidP="00646A5F">
      <w:pPr>
        <w:pStyle w:val="P1-StandPara"/>
        <w:spacing w:after="120" w:line="240" w:lineRule="auto"/>
        <w:ind w:firstLine="0"/>
        <w:jc w:val="left"/>
      </w:pPr>
      <w:r w:rsidRPr="00893A70">
        <w:t>None of the special circumstances listed in the instructions for completing the supporting statement apply to</w:t>
      </w:r>
      <w:r w:rsidR="007A29A2">
        <w:t xml:space="preserve"> </w:t>
      </w:r>
      <w:r w:rsidR="006747C5">
        <w:t>NHES:2016</w:t>
      </w:r>
      <w:r w:rsidRPr="00893A70">
        <w:t>.</w:t>
      </w:r>
    </w:p>
    <w:p w14:paraId="0659A938" w14:textId="6A7198BF" w:rsidR="008478A9" w:rsidRDefault="008478A9" w:rsidP="00646A5F">
      <w:pPr>
        <w:pStyle w:val="Heading1"/>
        <w:spacing w:after="120" w:line="240" w:lineRule="auto"/>
        <w:ind w:left="0" w:firstLine="0"/>
        <w:jc w:val="left"/>
      </w:pPr>
      <w:r>
        <w:t>A.</w:t>
      </w:r>
      <w:r w:rsidR="00893A70">
        <w:t>8</w:t>
      </w:r>
      <w:r>
        <w:tab/>
        <w:t>Consultations Outside the Agency</w:t>
      </w:r>
      <w:bookmarkEnd w:id="11"/>
      <w:bookmarkEnd w:id="12"/>
    </w:p>
    <w:p w14:paraId="38BD8CDB" w14:textId="77777777" w:rsidR="008478A9" w:rsidRDefault="008478A9" w:rsidP="00646A5F">
      <w:pPr>
        <w:pStyle w:val="P1-StandPara"/>
        <w:spacing w:after="120" w:line="240" w:lineRule="auto"/>
        <w:ind w:firstLine="0"/>
        <w:jc w:val="left"/>
      </w:pPr>
      <w:r w:rsidRPr="00694BD9">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14:paraId="5AD17A49" w14:textId="77777777" w:rsidR="005A6D53" w:rsidRPr="005A6D53" w:rsidRDefault="005A6D53" w:rsidP="00A864C8">
      <w:pPr>
        <w:pStyle w:val="SU-FlLftUndln"/>
        <w:spacing w:line="240" w:lineRule="auto"/>
        <w:rPr>
          <w:b/>
          <w:sz w:val="14"/>
          <w:szCs w:val="14"/>
        </w:rPr>
      </w:pPr>
    </w:p>
    <w:p w14:paraId="314D1C5C" w14:textId="77777777" w:rsidR="008478A9" w:rsidRDefault="008478A9" w:rsidP="00A864C8">
      <w:pPr>
        <w:pStyle w:val="SU-FlLftUndln"/>
        <w:spacing w:line="240" w:lineRule="auto"/>
        <w:rPr>
          <w:b/>
        </w:rPr>
      </w:pPr>
      <w:r w:rsidRPr="00CD7323">
        <w:rPr>
          <w:b/>
        </w:rPr>
        <w:t>Technical Review Panel Participants</w:t>
      </w:r>
      <w:r>
        <w:rPr>
          <w:b/>
        </w:rPr>
        <w:t xml:space="preserve"> and Their Affiliation at the Time of TRP Recruitment</w:t>
      </w:r>
    </w:p>
    <w:p w14:paraId="7645C717" w14:textId="77777777" w:rsidR="008478A9" w:rsidRPr="005A6D53" w:rsidRDefault="008478A9" w:rsidP="00A864C8">
      <w:pPr>
        <w:pStyle w:val="SU-FlLftUndln"/>
        <w:spacing w:line="240" w:lineRule="auto"/>
        <w:rPr>
          <w:b/>
          <w:sz w:val="14"/>
          <w:szCs w:val="14"/>
        </w:rPr>
      </w:pPr>
    </w:p>
    <w:p w14:paraId="6DF3BD1B" w14:textId="77777777" w:rsidR="008C3E6E" w:rsidRDefault="008C3E6E" w:rsidP="00A864C8">
      <w:pPr>
        <w:pStyle w:val="SL-FlLftSgl"/>
        <w:keepNext/>
        <w:keepLines/>
        <w:spacing w:line="240" w:lineRule="auto"/>
        <w:jc w:val="left"/>
        <w:rPr>
          <w:b/>
        </w:rPr>
        <w:sectPr w:rsidR="008C3E6E" w:rsidSect="0079066E">
          <w:pgSz w:w="12240" w:h="15840" w:code="1"/>
          <w:pgMar w:top="1008" w:right="1008" w:bottom="864" w:left="1008" w:header="432" w:footer="432" w:gutter="0"/>
          <w:pgNumType w:start="1"/>
          <w:cols w:space="720"/>
          <w:docGrid w:linePitch="360"/>
        </w:sectPr>
      </w:pPr>
    </w:p>
    <w:p w14:paraId="3AAAA979" w14:textId="77777777" w:rsidR="008478A9" w:rsidRPr="004E21C6" w:rsidRDefault="008478A9" w:rsidP="004E21C6">
      <w:pPr>
        <w:pStyle w:val="SL-FlLftSgl"/>
        <w:keepNext/>
        <w:keepLines/>
        <w:spacing w:line="240" w:lineRule="auto"/>
        <w:jc w:val="left"/>
        <w:rPr>
          <w:b/>
          <w:sz w:val="20"/>
        </w:rPr>
      </w:pPr>
      <w:r w:rsidRPr="004E21C6">
        <w:rPr>
          <w:b/>
          <w:sz w:val="20"/>
        </w:rPr>
        <w:lastRenderedPageBreak/>
        <w:t>Nancy Bates</w:t>
      </w:r>
    </w:p>
    <w:p w14:paraId="4DE8AAB5" w14:textId="77777777" w:rsidR="007A29A2" w:rsidRPr="004E21C6" w:rsidRDefault="008478A9" w:rsidP="004E21C6">
      <w:pPr>
        <w:pStyle w:val="SL-FlLftSgl"/>
        <w:keepNext/>
        <w:keepLines/>
        <w:spacing w:line="240" w:lineRule="auto"/>
        <w:jc w:val="left"/>
        <w:rPr>
          <w:sz w:val="20"/>
        </w:rPr>
      </w:pPr>
      <w:r w:rsidRPr="004E21C6">
        <w:rPr>
          <w:sz w:val="20"/>
        </w:rPr>
        <w:t>U.S. Census Bureau</w:t>
      </w:r>
    </w:p>
    <w:p w14:paraId="33640FF0" w14:textId="637D02FE" w:rsidR="008478A9" w:rsidRPr="004E21C6" w:rsidRDefault="008478A9" w:rsidP="004E21C6">
      <w:pPr>
        <w:pStyle w:val="SL-FlLftSgl"/>
        <w:keepNext/>
        <w:keepLines/>
        <w:spacing w:line="240" w:lineRule="auto"/>
        <w:jc w:val="left"/>
        <w:rPr>
          <w:sz w:val="20"/>
        </w:rPr>
      </w:pPr>
      <w:r w:rsidRPr="004E21C6">
        <w:rPr>
          <w:sz w:val="20"/>
        </w:rPr>
        <w:t>649 A. St. N.E.</w:t>
      </w:r>
    </w:p>
    <w:p w14:paraId="20C44753" w14:textId="77777777" w:rsidR="008478A9" w:rsidRPr="004E21C6" w:rsidRDefault="008478A9" w:rsidP="004E21C6">
      <w:pPr>
        <w:pStyle w:val="SL-FlLftSgl"/>
        <w:keepNext/>
        <w:keepLines/>
        <w:spacing w:line="240" w:lineRule="auto"/>
        <w:jc w:val="left"/>
        <w:rPr>
          <w:sz w:val="20"/>
        </w:rPr>
      </w:pPr>
      <w:r w:rsidRPr="004E21C6">
        <w:rPr>
          <w:sz w:val="20"/>
        </w:rPr>
        <w:t>Washington, DC 20002</w:t>
      </w:r>
    </w:p>
    <w:p w14:paraId="4E7A548F" w14:textId="77777777" w:rsidR="008478A9" w:rsidRPr="004E21C6" w:rsidRDefault="008478A9" w:rsidP="004E21C6">
      <w:pPr>
        <w:pStyle w:val="SL-FlLftSgl"/>
        <w:spacing w:line="240" w:lineRule="auto"/>
        <w:jc w:val="left"/>
        <w:rPr>
          <w:sz w:val="20"/>
        </w:rPr>
      </w:pPr>
      <w:r w:rsidRPr="004E21C6">
        <w:rPr>
          <w:sz w:val="20"/>
        </w:rPr>
        <w:t xml:space="preserve">E-mail: </w:t>
      </w:r>
      <w:hyperlink r:id="rId15" w:history="1">
        <w:r w:rsidRPr="004E21C6">
          <w:rPr>
            <w:rStyle w:val="Hyperlink"/>
            <w:sz w:val="20"/>
          </w:rPr>
          <w:t>nancy.a.bates@census.gov</w:t>
        </w:r>
      </w:hyperlink>
    </w:p>
    <w:p w14:paraId="460AD0A9" w14:textId="77777777" w:rsidR="005A6D53" w:rsidRPr="004E21C6" w:rsidRDefault="005A6D53" w:rsidP="004E21C6">
      <w:pPr>
        <w:pStyle w:val="SU-FlLftUndln"/>
        <w:spacing w:line="240" w:lineRule="auto"/>
        <w:rPr>
          <w:b/>
          <w:sz w:val="12"/>
          <w:szCs w:val="12"/>
        </w:rPr>
      </w:pPr>
    </w:p>
    <w:p w14:paraId="2D7E3706" w14:textId="77777777" w:rsidR="007A29A2" w:rsidRPr="004E21C6" w:rsidRDefault="008478A9" w:rsidP="004E21C6">
      <w:pPr>
        <w:pStyle w:val="SL-FlLftSgl"/>
        <w:keepNext/>
        <w:keepLines/>
        <w:spacing w:line="240" w:lineRule="auto"/>
        <w:jc w:val="left"/>
        <w:rPr>
          <w:b/>
          <w:sz w:val="20"/>
        </w:rPr>
      </w:pPr>
      <w:r w:rsidRPr="004E21C6">
        <w:rPr>
          <w:b/>
          <w:sz w:val="20"/>
        </w:rPr>
        <w:t>Paul Beatty</w:t>
      </w:r>
    </w:p>
    <w:p w14:paraId="4A59935E" w14:textId="71E9B2D3" w:rsidR="008478A9" w:rsidRPr="004E21C6" w:rsidRDefault="008478A9" w:rsidP="004E21C6">
      <w:pPr>
        <w:pStyle w:val="SL-FlLftSgl"/>
        <w:keepNext/>
        <w:keepLines/>
        <w:spacing w:line="240" w:lineRule="auto"/>
        <w:jc w:val="left"/>
        <w:rPr>
          <w:sz w:val="20"/>
        </w:rPr>
      </w:pPr>
      <w:r w:rsidRPr="004E21C6">
        <w:rPr>
          <w:sz w:val="20"/>
        </w:rPr>
        <w:t>National Center for Health Statistics</w:t>
      </w:r>
    </w:p>
    <w:p w14:paraId="697763B9" w14:textId="77777777" w:rsidR="008478A9" w:rsidRPr="004E21C6" w:rsidRDefault="008478A9" w:rsidP="004E21C6">
      <w:pPr>
        <w:pStyle w:val="SL-FlLftSgl"/>
        <w:keepNext/>
        <w:keepLines/>
        <w:spacing w:line="240" w:lineRule="auto"/>
        <w:jc w:val="left"/>
        <w:rPr>
          <w:sz w:val="20"/>
        </w:rPr>
      </w:pPr>
      <w:r w:rsidRPr="004E21C6">
        <w:rPr>
          <w:sz w:val="20"/>
        </w:rPr>
        <w:t>Division of Health Care Statistics</w:t>
      </w:r>
    </w:p>
    <w:p w14:paraId="66B6DDB7" w14:textId="77777777" w:rsidR="007A29A2" w:rsidRPr="004E21C6" w:rsidRDefault="008478A9" w:rsidP="004E21C6">
      <w:pPr>
        <w:pStyle w:val="SL-FlLftSgl"/>
        <w:keepNext/>
        <w:keepLines/>
        <w:spacing w:line="240" w:lineRule="auto"/>
        <w:jc w:val="left"/>
        <w:rPr>
          <w:sz w:val="20"/>
        </w:rPr>
      </w:pPr>
      <w:r w:rsidRPr="004E21C6">
        <w:rPr>
          <w:sz w:val="20"/>
        </w:rPr>
        <w:t>3311 Toledo Road,</w:t>
      </w:r>
    </w:p>
    <w:p w14:paraId="5245F3EE" w14:textId="5E11AA15" w:rsidR="008478A9" w:rsidRPr="004E21C6" w:rsidRDefault="008478A9" w:rsidP="004E21C6">
      <w:pPr>
        <w:pStyle w:val="SL-FlLftSgl"/>
        <w:keepNext/>
        <w:keepLines/>
        <w:spacing w:line="240" w:lineRule="auto"/>
        <w:jc w:val="left"/>
        <w:rPr>
          <w:sz w:val="20"/>
        </w:rPr>
      </w:pPr>
      <w:r w:rsidRPr="004E21C6">
        <w:rPr>
          <w:sz w:val="20"/>
        </w:rPr>
        <w:t>Hyattsville, MD 20782</w:t>
      </w:r>
    </w:p>
    <w:p w14:paraId="3BB122FA" w14:textId="77777777" w:rsidR="008478A9" w:rsidRPr="004E21C6" w:rsidRDefault="008478A9" w:rsidP="004E21C6">
      <w:pPr>
        <w:pStyle w:val="SL-FlLftSgl"/>
        <w:spacing w:line="240" w:lineRule="auto"/>
        <w:jc w:val="left"/>
        <w:rPr>
          <w:sz w:val="20"/>
        </w:rPr>
      </w:pPr>
      <w:r w:rsidRPr="004E21C6">
        <w:rPr>
          <w:sz w:val="20"/>
        </w:rPr>
        <w:t xml:space="preserve">E-mail: </w:t>
      </w:r>
      <w:hyperlink r:id="rId16" w:history="1">
        <w:r w:rsidRPr="004E21C6">
          <w:rPr>
            <w:rStyle w:val="Hyperlink"/>
            <w:sz w:val="20"/>
          </w:rPr>
          <w:t>pbeatty@cdc.gov</w:t>
        </w:r>
      </w:hyperlink>
    </w:p>
    <w:p w14:paraId="1597B753" w14:textId="77777777" w:rsidR="005A6D53" w:rsidRPr="004E21C6" w:rsidRDefault="005A6D53" w:rsidP="004E21C6">
      <w:pPr>
        <w:pStyle w:val="SU-FlLftUndln"/>
        <w:spacing w:line="240" w:lineRule="auto"/>
        <w:rPr>
          <w:b/>
          <w:sz w:val="12"/>
          <w:szCs w:val="12"/>
        </w:rPr>
      </w:pPr>
    </w:p>
    <w:p w14:paraId="7860B135" w14:textId="77777777" w:rsidR="008478A9" w:rsidRPr="004E21C6" w:rsidRDefault="008478A9" w:rsidP="004E21C6">
      <w:pPr>
        <w:pStyle w:val="SL-FlLftSgl"/>
        <w:keepNext/>
        <w:keepLines/>
        <w:spacing w:line="240" w:lineRule="auto"/>
        <w:jc w:val="left"/>
        <w:rPr>
          <w:b/>
          <w:sz w:val="20"/>
        </w:rPr>
      </w:pPr>
      <w:r w:rsidRPr="004E21C6">
        <w:rPr>
          <w:b/>
          <w:sz w:val="20"/>
        </w:rPr>
        <w:t>Johnny Blair</w:t>
      </w:r>
    </w:p>
    <w:p w14:paraId="307B3817" w14:textId="77777777" w:rsidR="008478A9" w:rsidRPr="004E21C6" w:rsidRDefault="008478A9" w:rsidP="004E21C6">
      <w:pPr>
        <w:pStyle w:val="SL-FlLftSgl"/>
        <w:keepNext/>
        <w:keepLines/>
        <w:spacing w:line="240" w:lineRule="auto"/>
        <w:jc w:val="left"/>
        <w:rPr>
          <w:sz w:val="20"/>
        </w:rPr>
      </w:pPr>
      <w:r w:rsidRPr="004E21C6">
        <w:rPr>
          <w:sz w:val="20"/>
        </w:rPr>
        <w:t>Survey Sampling and Methodology</w:t>
      </w:r>
    </w:p>
    <w:p w14:paraId="02238B53" w14:textId="77777777" w:rsidR="008478A9" w:rsidRPr="004E21C6" w:rsidRDefault="008478A9" w:rsidP="004E21C6">
      <w:pPr>
        <w:pStyle w:val="SL-FlLftSgl"/>
        <w:keepNext/>
        <w:keepLines/>
        <w:spacing w:line="240" w:lineRule="auto"/>
        <w:jc w:val="left"/>
        <w:rPr>
          <w:sz w:val="20"/>
        </w:rPr>
      </w:pPr>
      <w:r w:rsidRPr="004E21C6">
        <w:rPr>
          <w:sz w:val="20"/>
        </w:rPr>
        <w:t>Abt Associates Inc.</w:t>
      </w:r>
    </w:p>
    <w:p w14:paraId="28A48EC6" w14:textId="77777777" w:rsidR="008478A9" w:rsidRPr="004E21C6" w:rsidRDefault="008478A9" w:rsidP="004E21C6">
      <w:pPr>
        <w:pStyle w:val="SL-FlLftSgl"/>
        <w:keepNext/>
        <w:keepLines/>
        <w:spacing w:line="240" w:lineRule="auto"/>
        <w:jc w:val="left"/>
        <w:rPr>
          <w:sz w:val="20"/>
        </w:rPr>
      </w:pPr>
      <w:r w:rsidRPr="004E21C6">
        <w:rPr>
          <w:sz w:val="20"/>
        </w:rPr>
        <w:t>4550 Montgomery Avenue</w:t>
      </w:r>
    </w:p>
    <w:p w14:paraId="4C060E6F" w14:textId="77777777" w:rsidR="008478A9" w:rsidRPr="004E21C6" w:rsidRDefault="008478A9" w:rsidP="004E21C6">
      <w:pPr>
        <w:pStyle w:val="SL-FlLftSgl"/>
        <w:keepNext/>
        <w:keepLines/>
        <w:spacing w:line="240" w:lineRule="auto"/>
        <w:jc w:val="left"/>
        <w:rPr>
          <w:sz w:val="20"/>
        </w:rPr>
      </w:pPr>
      <w:r w:rsidRPr="004E21C6">
        <w:rPr>
          <w:sz w:val="20"/>
        </w:rPr>
        <w:t>Bethesda, MD 20814-3343</w:t>
      </w:r>
    </w:p>
    <w:p w14:paraId="7098A34E" w14:textId="77777777" w:rsidR="008478A9" w:rsidRPr="004E21C6" w:rsidRDefault="008478A9" w:rsidP="004E21C6">
      <w:pPr>
        <w:pStyle w:val="SL-FlLftSgl"/>
        <w:spacing w:line="240" w:lineRule="auto"/>
        <w:jc w:val="left"/>
        <w:rPr>
          <w:sz w:val="20"/>
        </w:rPr>
      </w:pPr>
      <w:r w:rsidRPr="004E21C6">
        <w:rPr>
          <w:sz w:val="20"/>
        </w:rPr>
        <w:t xml:space="preserve">E-mail: </w:t>
      </w:r>
      <w:hyperlink r:id="rId17" w:history="1">
        <w:r w:rsidRPr="004E21C6">
          <w:rPr>
            <w:rStyle w:val="Hyperlink"/>
            <w:sz w:val="20"/>
          </w:rPr>
          <w:t>Johnny_Blair@AbtAssoc.com</w:t>
        </w:r>
      </w:hyperlink>
    </w:p>
    <w:p w14:paraId="2ABDE6CA" w14:textId="77777777" w:rsidR="005A6D53" w:rsidRPr="004E21C6" w:rsidRDefault="005A6D53" w:rsidP="004E21C6">
      <w:pPr>
        <w:pStyle w:val="SU-FlLftUndln"/>
        <w:spacing w:line="240" w:lineRule="auto"/>
        <w:rPr>
          <w:b/>
          <w:sz w:val="12"/>
          <w:szCs w:val="12"/>
        </w:rPr>
      </w:pPr>
    </w:p>
    <w:p w14:paraId="524BAC2C" w14:textId="77777777" w:rsidR="008478A9" w:rsidRPr="004E21C6" w:rsidRDefault="008478A9" w:rsidP="004E21C6">
      <w:pPr>
        <w:pStyle w:val="SL-FlLftSgl"/>
        <w:keepNext/>
        <w:keepLines/>
        <w:spacing w:line="240" w:lineRule="auto"/>
        <w:jc w:val="left"/>
        <w:rPr>
          <w:b/>
          <w:sz w:val="20"/>
        </w:rPr>
      </w:pPr>
      <w:r w:rsidRPr="004E21C6">
        <w:rPr>
          <w:b/>
          <w:sz w:val="20"/>
        </w:rPr>
        <w:t>Stephen Blumberg</w:t>
      </w:r>
    </w:p>
    <w:p w14:paraId="3C18F731" w14:textId="77777777" w:rsidR="008478A9" w:rsidRPr="004E21C6" w:rsidRDefault="008478A9" w:rsidP="004E21C6">
      <w:pPr>
        <w:pStyle w:val="SL-FlLftSgl"/>
        <w:keepNext/>
        <w:keepLines/>
        <w:spacing w:line="240" w:lineRule="auto"/>
        <w:jc w:val="left"/>
        <w:rPr>
          <w:sz w:val="20"/>
        </w:rPr>
      </w:pPr>
      <w:r w:rsidRPr="004E21C6">
        <w:rPr>
          <w:sz w:val="20"/>
        </w:rPr>
        <w:t>National Center for Health Statistics</w:t>
      </w:r>
    </w:p>
    <w:p w14:paraId="24CFD929" w14:textId="77777777" w:rsidR="008478A9" w:rsidRPr="004E21C6" w:rsidRDefault="008478A9" w:rsidP="004E21C6">
      <w:pPr>
        <w:pStyle w:val="SL-FlLftSgl"/>
        <w:keepNext/>
        <w:keepLines/>
        <w:spacing w:line="240" w:lineRule="auto"/>
        <w:jc w:val="left"/>
        <w:rPr>
          <w:sz w:val="20"/>
        </w:rPr>
      </w:pPr>
      <w:r w:rsidRPr="004E21C6">
        <w:rPr>
          <w:sz w:val="20"/>
        </w:rPr>
        <w:t>3311 Toledo Road</w:t>
      </w:r>
    </w:p>
    <w:p w14:paraId="54CAC2E0" w14:textId="77777777" w:rsidR="008478A9" w:rsidRPr="004E21C6" w:rsidRDefault="008478A9" w:rsidP="004E21C6">
      <w:pPr>
        <w:pStyle w:val="SL-FlLftSgl"/>
        <w:keepNext/>
        <w:keepLines/>
        <w:spacing w:line="240" w:lineRule="auto"/>
        <w:jc w:val="left"/>
        <w:rPr>
          <w:sz w:val="20"/>
          <w:lang w:val="fr-FR"/>
        </w:rPr>
      </w:pPr>
      <w:r w:rsidRPr="004E21C6">
        <w:rPr>
          <w:sz w:val="20"/>
          <w:lang w:val="fr-FR"/>
        </w:rPr>
        <w:t>Hyattsville, MD 20782</w:t>
      </w:r>
    </w:p>
    <w:p w14:paraId="60C78615" w14:textId="77777777" w:rsidR="008478A9" w:rsidRPr="004E21C6" w:rsidRDefault="008478A9" w:rsidP="004E21C6">
      <w:pPr>
        <w:pStyle w:val="SL-FlLftSgl"/>
        <w:spacing w:line="240" w:lineRule="auto"/>
        <w:jc w:val="left"/>
        <w:rPr>
          <w:sz w:val="20"/>
          <w:lang w:val="fr-FR"/>
        </w:rPr>
      </w:pPr>
      <w:r w:rsidRPr="004E21C6">
        <w:rPr>
          <w:sz w:val="20"/>
          <w:lang w:val="fr-FR"/>
        </w:rPr>
        <w:t xml:space="preserve">E-mail: </w:t>
      </w:r>
      <w:hyperlink r:id="rId18" w:history="1">
        <w:r w:rsidRPr="004E21C6">
          <w:rPr>
            <w:rStyle w:val="Hyperlink"/>
            <w:sz w:val="20"/>
            <w:lang w:val="fr-FR"/>
          </w:rPr>
          <w:t>stephen.blumberg@cdc.hhs.gov</w:t>
        </w:r>
      </w:hyperlink>
    </w:p>
    <w:p w14:paraId="616FC0A6" w14:textId="77777777" w:rsidR="005A6D53" w:rsidRPr="004E21C6" w:rsidRDefault="005A6D53" w:rsidP="004E21C6">
      <w:pPr>
        <w:pStyle w:val="SU-FlLftUndln"/>
        <w:spacing w:line="240" w:lineRule="auto"/>
        <w:rPr>
          <w:b/>
          <w:sz w:val="12"/>
          <w:szCs w:val="12"/>
        </w:rPr>
      </w:pPr>
    </w:p>
    <w:p w14:paraId="173E90A0" w14:textId="77777777" w:rsidR="008478A9" w:rsidRPr="004E21C6" w:rsidRDefault="008478A9" w:rsidP="004E21C6">
      <w:pPr>
        <w:pStyle w:val="SL-FlLftSgl"/>
        <w:keepNext/>
        <w:keepLines/>
        <w:spacing w:line="240" w:lineRule="auto"/>
        <w:jc w:val="left"/>
        <w:rPr>
          <w:b/>
          <w:sz w:val="20"/>
        </w:rPr>
      </w:pPr>
      <w:r w:rsidRPr="004E21C6">
        <w:rPr>
          <w:b/>
          <w:sz w:val="20"/>
        </w:rPr>
        <w:t>Mick Couper</w:t>
      </w:r>
    </w:p>
    <w:p w14:paraId="563F0851" w14:textId="77777777" w:rsidR="008478A9" w:rsidRPr="004E21C6" w:rsidRDefault="008478A9" w:rsidP="004E21C6">
      <w:pPr>
        <w:pStyle w:val="SL-FlLftSgl"/>
        <w:keepNext/>
        <w:keepLines/>
        <w:spacing w:line="240" w:lineRule="auto"/>
        <w:jc w:val="left"/>
        <w:rPr>
          <w:sz w:val="20"/>
        </w:rPr>
      </w:pPr>
      <w:r w:rsidRPr="004E21C6">
        <w:rPr>
          <w:sz w:val="20"/>
        </w:rPr>
        <w:t>Survey Research Center</w:t>
      </w:r>
    </w:p>
    <w:p w14:paraId="4B2EDC20" w14:textId="77777777" w:rsidR="008478A9" w:rsidRPr="004E21C6" w:rsidRDefault="008478A9" w:rsidP="004E21C6">
      <w:pPr>
        <w:pStyle w:val="SL-FlLftSgl"/>
        <w:keepNext/>
        <w:keepLines/>
        <w:spacing w:line="240" w:lineRule="auto"/>
        <w:jc w:val="left"/>
        <w:rPr>
          <w:sz w:val="20"/>
        </w:rPr>
      </w:pPr>
      <w:r w:rsidRPr="004E21C6">
        <w:rPr>
          <w:sz w:val="20"/>
        </w:rPr>
        <w:t>University of Michigan</w:t>
      </w:r>
    </w:p>
    <w:p w14:paraId="5FBF8327" w14:textId="77777777" w:rsidR="008478A9" w:rsidRPr="004E21C6" w:rsidRDefault="008478A9" w:rsidP="004E21C6">
      <w:pPr>
        <w:pStyle w:val="SL-FlLftSgl"/>
        <w:keepNext/>
        <w:keepLines/>
        <w:spacing w:line="240" w:lineRule="auto"/>
        <w:jc w:val="left"/>
        <w:rPr>
          <w:sz w:val="20"/>
        </w:rPr>
      </w:pPr>
      <w:r w:rsidRPr="004E21C6">
        <w:rPr>
          <w:sz w:val="20"/>
        </w:rPr>
        <w:t>ISR, 426 Thompson Street</w:t>
      </w:r>
    </w:p>
    <w:p w14:paraId="51174C9A" w14:textId="77777777" w:rsidR="008478A9" w:rsidRPr="004E21C6" w:rsidRDefault="008478A9" w:rsidP="004E21C6">
      <w:pPr>
        <w:pStyle w:val="SL-FlLftSgl"/>
        <w:keepNext/>
        <w:keepLines/>
        <w:spacing w:line="240" w:lineRule="auto"/>
        <w:jc w:val="left"/>
        <w:rPr>
          <w:sz w:val="20"/>
          <w:lang w:val="es-ES"/>
        </w:rPr>
      </w:pPr>
      <w:r w:rsidRPr="004E21C6">
        <w:rPr>
          <w:sz w:val="20"/>
          <w:lang w:val="es-ES"/>
        </w:rPr>
        <w:t>Ann Arbor, MI 48104</w:t>
      </w:r>
    </w:p>
    <w:p w14:paraId="61B53432" w14:textId="77777777" w:rsidR="008478A9" w:rsidRPr="004E21C6" w:rsidRDefault="008478A9" w:rsidP="004E21C6">
      <w:pPr>
        <w:pStyle w:val="SL-FlLftSgl"/>
        <w:spacing w:line="240" w:lineRule="auto"/>
        <w:jc w:val="left"/>
        <w:rPr>
          <w:sz w:val="20"/>
          <w:lang w:val="es-ES"/>
        </w:rPr>
      </w:pPr>
      <w:r w:rsidRPr="004E21C6">
        <w:rPr>
          <w:sz w:val="20"/>
          <w:lang w:val="es-ES"/>
        </w:rPr>
        <w:t xml:space="preserve">E-mail: </w:t>
      </w:r>
      <w:hyperlink r:id="rId19" w:history="1">
        <w:r w:rsidRPr="004E21C6">
          <w:rPr>
            <w:rStyle w:val="Hyperlink"/>
            <w:sz w:val="20"/>
            <w:lang w:val="es-ES"/>
          </w:rPr>
          <w:t>mcouper@umich.edu</w:t>
        </w:r>
      </w:hyperlink>
    </w:p>
    <w:p w14:paraId="7FA0425E" w14:textId="77777777" w:rsidR="005A6D53" w:rsidRPr="004E21C6" w:rsidRDefault="005A6D53" w:rsidP="004E21C6">
      <w:pPr>
        <w:pStyle w:val="SU-FlLftUndln"/>
        <w:spacing w:line="240" w:lineRule="auto"/>
        <w:rPr>
          <w:b/>
          <w:sz w:val="12"/>
          <w:szCs w:val="12"/>
        </w:rPr>
      </w:pPr>
    </w:p>
    <w:p w14:paraId="421F190B" w14:textId="77777777" w:rsidR="008478A9" w:rsidRPr="004E21C6" w:rsidRDefault="008478A9" w:rsidP="004E21C6">
      <w:pPr>
        <w:pStyle w:val="SL-FlLftSgl"/>
        <w:keepNext/>
        <w:keepLines/>
        <w:spacing w:line="240" w:lineRule="auto"/>
        <w:jc w:val="left"/>
        <w:rPr>
          <w:b/>
          <w:sz w:val="20"/>
        </w:rPr>
      </w:pPr>
      <w:r w:rsidRPr="004E21C6">
        <w:rPr>
          <w:b/>
          <w:sz w:val="20"/>
        </w:rPr>
        <w:t>Don Dillman</w:t>
      </w:r>
    </w:p>
    <w:p w14:paraId="3E108F71" w14:textId="77777777" w:rsidR="008478A9" w:rsidRPr="004E21C6" w:rsidRDefault="008478A9" w:rsidP="004E21C6">
      <w:pPr>
        <w:pStyle w:val="SL-FlLftSgl"/>
        <w:keepNext/>
        <w:keepLines/>
        <w:spacing w:line="240" w:lineRule="auto"/>
        <w:jc w:val="left"/>
        <w:rPr>
          <w:sz w:val="20"/>
        </w:rPr>
      </w:pPr>
      <w:r w:rsidRPr="004E21C6">
        <w:rPr>
          <w:sz w:val="20"/>
        </w:rPr>
        <w:t>Social and Economic Sciences Research Center, Professor</w:t>
      </w:r>
    </w:p>
    <w:p w14:paraId="7E61FCDE" w14:textId="77777777" w:rsidR="007A29A2" w:rsidRPr="004E21C6" w:rsidRDefault="008478A9" w:rsidP="004E21C6">
      <w:pPr>
        <w:pStyle w:val="SL-FlLftSgl"/>
        <w:keepNext/>
        <w:keepLines/>
        <w:spacing w:line="240" w:lineRule="auto"/>
        <w:jc w:val="left"/>
        <w:rPr>
          <w:sz w:val="20"/>
        </w:rPr>
      </w:pPr>
      <w:r w:rsidRPr="004E21C6">
        <w:rPr>
          <w:sz w:val="20"/>
        </w:rPr>
        <w:t>Washington State University</w:t>
      </w:r>
    </w:p>
    <w:p w14:paraId="713CB3DA" w14:textId="77777777" w:rsidR="007A29A2" w:rsidRPr="004E21C6" w:rsidRDefault="008478A9" w:rsidP="004E21C6">
      <w:pPr>
        <w:pStyle w:val="SL-FlLftSgl"/>
        <w:keepNext/>
        <w:keepLines/>
        <w:spacing w:line="240" w:lineRule="auto"/>
        <w:jc w:val="left"/>
        <w:rPr>
          <w:sz w:val="20"/>
        </w:rPr>
      </w:pPr>
      <w:r w:rsidRPr="004E21C6">
        <w:rPr>
          <w:sz w:val="20"/>
        </w:rPr>
        <w:t>133 Wilson Hall</w:t>
      </w:r>
    </w:p>
    <w:p w14:paraId="47B2C52E" w14:textId="102EDF64" w:rsidR="008478A9" w:rsidRPr="004E21C6" w:rsidRDefault="008478A9" w:rsidP="004E21C6">
      <w:pPr>
        <w:pStyle w:val="SL-FlLftSgl"/>
        <w:keepNext/>
        <w:keepLines/>
        <w:spacing w:line="240" w:lineRule="auto"/>
        <w:jc w:val="left"/>
        <w:rPr>
          <w:sz w:val="20"/>
        </w:rPr>
      </w:pPr>
      <w:r w:rsidRPr="004E21C6">
        <w:rPr>
          <w:sz w:val="20"/>
        </w:rPr>
        <w:t>Pullman, WA 99164-4014</w:t>
      </w:r>
    </w:p>
    <w:p w14:paraId="22B415DC" w14:textId="77777777" w:rsidR="008478A9" w:rsidRPr="004E21C6" w:rsidRDefault="008478A9" w:rsidP="004E21C6">
      <w:pPr>
        <w:pStyle w:val="SL-FlLftSgl"/>
        <w:spacing w:line="240" w:lineRule="auto"/>
        <w:jc w:val="left"/>
        <w:rPr>
          <w:sz w:val="20"/>
        </w:rPr>
      </w:pPr>
      <w:r w:rsidRPr="004E21C6">
        <w:rPr>
          <w:sz w:val="20"/>
        </w:rPr>
        <w:t xml:space="preserve">E-mail: </w:t>
      </w:r>
      <w:hyperlink r:id="rId20" w:history="1">
        <w:r w:rsidRPr="004E21C6">
          <w:rPr>
            <w:rStyle w:val="Hyperlink"/>
            <w:sz w:val="20"/>
          </w:rPr>
          <w:t>dillman@wsu.edu</w:t>
        </w:r>
      </w:hyperlink>
    </w:p>
    <w:p w14:paraId="71B76605" w14:textId="77777777" w:rsidR="005A6D53" w:rsidRPr="004E21C6" w:rsidRDefault="005A6D53" w:rsidP="004E21C6">
      <w:pPr>
        <w:pStyle w:val="SU-FlLftUndln"/>
        <w:spacing w:line="240" w:lineRule="auto"/>
        <w:rPr>
          <w:b/>
          <w:sz w:val="12"/>
          <w:szCs w:val="12"/>
        </w:rPr>
      </w:pPr>
    </w:p>
    <w:p w14:paraId="23D1CA80" w14:textId="77777777" w:rsidR="008478A9" w:rsidRPr="004E21C6" w:rsidRDefault="008478A9" w:rsidP="004E21C6">
      <w:pPr>
        <w:pStyle w:val="SL-FlLftSgl"/>
        <w:keepNext/>
        <w:keepLines/>
        <w:spacing w:line="240" w:lineRule="auto"/>
        <w:jc w:val="left"/>
        <w:rPr>
          <w:b/>
          <w:sz w:val="20"/>
        </w:rPr>
      </w:pPr>
      <w:r w:rsidRPr="004E21C6">
        <w:rPr>
          <w:b/>
          <w:sz w:val="20"/>
        </w:rPr>
        <w:t>Robert Groves</w:t>
      </w:r>
    </w:p>
    <w:p w14:paraId="42524D91" w14:textId="77777777" w:rsidR="008478A9" w:rsidRPr="004E21C6" w:rsidRDefault="008478A9" w:rsidP="004E21C6">
      <w:pPr>
        <w:pStyle w:val="SL-FlLftSgl"/>
        <w:keepNext/>
        <w:keepLines/>
        <w:spacing w:line="240" w:lineRule="auto"/>
        <w:jc w:val="left"/>
        <w:rPr>
          <w:sz w:val="20"/>
        </w:rPr>
      </w:pPr>
      <w:r w:rsidRPr="004E21C6">
        <w:rPr>
          <w:sz w:val="20"/>
        </w:rPr>
        <w:t>Survey Research Center, Institute for Social Research</w:t>
      </w:r>
    </w:p>
    <w:p w14:paraId="6A768EF0" w14:textId="77777777" w:rsidR="008478A9" w:rsidRPr="004E21C6" w:rsidRDefault="008478A9" w:rsidP="004E21C6">
      <w:pPr>
        <w:pStyle w:val="SL-FlLftSgl"/>
        <w:keepNext/>
        <w:keepLines/>
        <w:spacing w:line="240" w:lineRule="auto"/>
        <w:jc w:val="left"/>
        <w:rPr>
          <w:sz w:val="20"/>
        </w:rPr>
      </w:pPr>
      <w:r w:rsidRPr="004E21C6">
        <w:rPr>
          <w:sz w:val="20"/>
        </w:rPr>
        <w:t>University of Michigan</w:t>
      </w:r>
    </w:p>
    <w:p w14:paraId="6156702B" w14:textId="77777777" w:rsidR="008478A9" w:rsidRPr="004E21C6" w:rsidRDefault="008478A9" w:rsidP="004E21C6">
      <w:pPr>
        <w:pStyle w:val="SL-FlLftSgl"/>
        <w:keepNext/>
        <w:keepLines/>
        <w:spacing w:line="240" w:lineRule="auto"/>
        <w:jc w:val="left"/>
        <w:rPr>
          <w:sz w:val="20"/>
        </w:rPr>
      </w:pPr>
      <w:r w:rsidRPr="004E21C6">
        <w:rPr>
          <w:sz w:val="20"/>
        </w:rPr>
        <w:t>426 Thompson Street</w:t>
      </w:r>
    </w:p>
    <w:p w14:paraId="4C19F970" w14:textId="77777777" w:rsidR="008478A9" w:rsidRPr="004E21C6" w:rsidRDefault="008478A9" w:rsidP="004E21C6">
      <w:pPr>
        <w:pStyle w:val="SL-FlLftSgl"/>
        <w:keepNext/>
        <w:keepLines/>
        <w:spacing w:line="240" w:lineRule="auto"/>
        <w:jc w:val="left"/>
        <w:rPr>
          <w:sz w:val="20"/>
        </w:rPr>
      </w:pPr>
      <w:r w:rsidRPr="004E21C6">
        <w:rPr>
          <w:sz w:val="20"/>
        </w:rPr>
        <w:t>Ann Arbor, MI 48106-1248</w:t>
      </w:r>
    </w:p>
    <w:p w14:paraId="0E7DEF7A" w14:textId="77777777" w:rsidR="008478A9" w:rsidRPr="004E21C6" w:rsidRDefault="008478A9" w:rsidP="004E21C6">
      <w:pPr>
        <w:pStyle w:val="SL-FlLftSgl"/>
        <w:spacing w:line="240" w:lineRule="auto"/>
        <w:jc w:val="left"/>
        <w:rPr>
          <w:sz w:val="20"/>
        </w:rPr>
      </w:pPr>
      <w:r w:rsidRPr="004E21C6">
        <w:rPr>
          <w:sz w:val="20"/>
        </w:rPr>
        <w:t xml:space="preserve">E-mail: </w:t>
      </w:r>
      <w:hyperlink r:id="rId21" w:history="1">
        <w:r w:rsidRPr="004E21C6">
          <w:rPr>
            <w:rStyle w:val="Hyperlink"/>
            <w:sz w:val="20"/>
          </w:rPr>
          <w:t>bgroves@isr.umich.edu</w:t>
        </w:r>
      </w:hyperlink>
    </w:p>
    <w:p w14:paraId="1058DF6F" w14:textId="77777777" w:rsidR="005A6D53" w:rsidRPr="004E21C6" w:rsidRDefault="005A6D53" w:rsidP="004E21C6">
      <w:pPr>
        <w:pStyle w:val="SU-FlLftUndln"/>
        <w:spacing w:line="240" w:lineRule="auto"/>
        <w:rPr>
          <w:b/>
          <w:sz w:val="12"/>
          <w:szCs w:val="12"/>
        </w:rPr>
      </w:pPr>
    </w:p>
    <w:p w14:paraId="3C805D12" w14:textId="77777777" w:rsidR="008478A9" w:rsidRPr="004E21C6" w:rsidRDefault="008478A9" w:rsidP="004E21C6">
      <w:pPr>
        <w:pStyle w:val="SL-FlLftSgl"/>
        <w:keepNext/>
        <w:keepLines/>
        <w:spacing w:line="240" w:lineRule="auto"/>
        <w:jc w:val="left"/>
        <w:rPr>
          <w:b/>
          <w:sz w:val="20"/>
        </w:rPr>
      </w:pPr>
      <w:r w:rsidRPr="004E21C6">
        <w:rPr>
          <w:b/>
          <w:sz w:val="20"/>
        </w:rPr>
        <w:t>Scott Keeter</w:t>
      </w:r>
    </w:p>
    <w:p w14:paraId="040AD117" w14:textId="77777777" w:rsidR="007A29A2" w:rsidRPr="004E21C6" w:rsidRDefault="008478A9" w:rsidP="004E21C6">
      <w:pPr>
        <w:pStyle w:val="SL-FlLftSgl"/>
        <w:keepNext/>
        <w:keepLines/>
        <w:spacing w:line="240" w:lineRule="auto"/>
        <w:jc w:val="left"/>
        <w:rPr>
          <w:bCs/>
          <w:sz w:val="20"/>
        </w:rPr>
      </w:pPr>
      <w:r w:rsidRPr="004E21C6">
        <w:rPr>
          <w:bCs/>
          <w:sz w:val="20"/>
        </w:rPr>
        <w:t>Pew Research Center</w:t>
      </w:r>
    </w:p>
    <w:p w14:paraId="67CA3299" w14:textId="40CC98B3" w:rsidR="008478A9" w:rsidRPr="004E21C6" w:rsidRDefault="008478A9" w:rsidP="004E21C6">
      <w:pPr>
        <w:pStyle w:val="SL-FlLftSgl"/>
        <w:keepNext/>
        <w:keepLines/>
        <w:spacing w:line="240" w:lineRule="auto"/>
        <w:jc w:val="left"/>
        <w:rPr>
          <w:bCs/>
          <w:sz w:val="20"/>
        </w:rPr>
      </w:pPr>
      <w:r w:rsidRPr="004E21C6">
        <w:rPr>
          <w:bCs/>
          <w:sz w:val="20"/>
        </w:rPr>
        <w:t>1615 L. St. NW. Suite 700</w:t>
      </w:r>
    </w:p>
    <w:p w14:paraId="5303FB29" w14:textId="77777777" w:rsidR="008478A9" w:rsidRPr="004E21C6" w:rsidRDefault="008478A9" w:rsidP="004E21C6">
      <w:pPr>
        <w:pStyle w:val="SL-FlLftSgl"/>
        <w:keepNext/>
        <w:keepLines/>
        <w:spacing w:line="240" w:lineRule="auto"/>
        <w:jc w:val="left"/>
        <w:rPr>
          <w:bCs/>
          <w:sz w:val="20"/>
        </w:rPr>
      </w:pPr>
      <w:r w:rsidRPr="004E21C6">
        <w:rPr>
          <w:bCs/>
          <w:sz w:val="20"/>
        </w:rPr>
        <w:t>Washington, DC 20036</w:t>
      </w:r>
    </w:p>
    <w:p w14:paraId="287F9C75" w14:textId="77777777" w:rsidR="008478A9" w:rsidRPr="004E21C6" w:rsidRDefault="008478A9" w:rsidP="004E21C6">
      <w:pPr>
        <w:pStyle w:val="SL-FlLftSgl"/>
        <w:spacing w:line="240" w:lineRule="auto"/>
        <w:jc w:val="left"/>
        <w:rPr>
          <w:bCs/>
          <w:sz w:val="20"/>
        </w:rPr>
      </w:pPr>
      <w:r w:rsidRPr="004E21C6">
        <w:rPr>
          <w:bCs/>
          <w:sz w:val="20"/>
        </w:rPr>
        <w:t xml:space="preserve">E-mail: </w:t>
      </w:r>
      <w:hyperlink r:id="rId22" w:history="1">
        <w:r w:rsidRPr="004E21C6">
          <w:rPr>
            <w:rStyle w:val="Hyperlink"/>
            <w:bCs/>
            <w:sz w:val="20"/>
          </w:rPr>
          <w:t>skeeter@pewresearch.org</w:t>
        </w:r>
      </w:hyperlink>
    </w:p>
    <w:p w14:paraId="42A20D12" w14:textId="77777777" w:rsidR="005A6D53" w:rsidRPr="004E21C6" w:rsidRDefault="005A6D53" w:rsidP="004E21C6">
      <w:pPr>
        <w:pStyle w:val="SU-FlLftUndln"/>
        <w:spacing w:line="240" w:lineRule="auto"/>
        <w:rPr>
          <w:b/>
          <w:sz w:val="12"/>
          <w:szCs w:val="12"/>
        </w:rPr>
      </w:pPr>
    </w:p>
    <w:p w14:paraId="5DDC39D6" w14:textId="77777777" w:rsidR="008478A9" w:rsidRPr="004E21C6" w:rsidRDefault="008478A9" w:rsidP="004E21C6">
      <w:pPr>
        <w:pStyle w:val="SL-FlLftSgl"/>
        <w:keepNext/>
        <w:keepLines/>
        <w:spacing w:line="240" w:lineRule="auto"/>
        <w:jc w:val="left"/>
        <w:rPr>
          <w:b/>
          <w:sz w:val="20"/>
        </w:rPr>
      </w:pPr>
      <w:r w:rsidRPr="004E21C6">
        <w:rPr>
          <w:b/>
          <w:sz w:val="20"/>
        </w:rPr>
        <w:t>Kristen Olsen</w:t>
      </w:r>
    </w:p>
    <w:p w14:paraId="64A3BFD3" w14:textId="77777777" w:rsidR="008478A9" w:rsidRPr="004E21C6" w:rsidRDefault="008478A9" w:rsidP="004E21C6">
      <w:pPr>
        <w:pStyle w:val="SL-FlLftSgl"/>
        <w:keepNext/>
        <w:keepLines/>
        <w:spacing w:line="240" w:lineRule="auto"/>
        <w:jc w:val="left"/>
        <w:rPr>
          <w:sz w:val="20"/>
        </w:rPr>
      </w:pPr>
      <w:r w:rsidRPr="004E21C6">
        <w:rPr>
          <w:sz w:val="20"/>
        </w:rPr>
        <w:t>Survey Research and Methodology</w:t>
      </w:r>
    </w:p>
    <w:p w14:paraId="7902EFDE" w14:textId="77777777" w:rsidR="008478A9" w:rsidRPr="004E21C6" w:rsidRDefault="008478A9" w:rsidP="004E21C6">
      <w:pPr>
        <w:pStyle w:val="SL-FlLftSgl"/>
        <w:keepNext/>
        <w:keepLines/>
        <w:spacing w:line="240" w:lineRule="auto"/>
        <w:jc w:val="left"/>
        <w:rPr>
          <w:sz w:val="20"/>
        </w:rPr>
      </w:pPr>
      <w:r w:rsidRPr="004E21C6">
        <w:rPr>
          <w:sz w:val="20"/>
        </w:rPr>
        <w:t>University of Nebraska-Lincoln</w:t>
      </w:r>
    </w:p>
    <w:p w14:paraId="00B91F46" w14:textId="77777777" w:rsidR="008478A9" w:rsidRPr="004E21C6" w:rsidRDefault="008478A9" w:rsidP="004E21C6">
      <w:pPr>
        <w:pStyle w:val="SL-FlLftSgl"/>
        <w:keepNext/>
        <w:keepLines/>
        <w:spacing w:line="240" w:lineRule="auto"/>
        <w:jc w:val="left"/>
        <w:rPr>
          <w:sz w:val="20"/>
        </w:rPr>
      </w:pPr>
      <w:r w:rsidRPr="004E21C6">
        <w:rPr>
          <w:sz w:val="20"/>
        </w:rPr>
        <w:t>201 N. 13th St.</w:t>
      </w:r>
    </w:p>
    <w:p w14:paraId="58F16B36" w14:textId="77777777" w:rsidR="008478A9" w:rsidRPr="004E21C6" w:rsidRDefault="008478A9" w:rsidP="004E21C6">
      <w:pPr>
        <w:pStyle w:val="SL-FlLftSgl"/>
        <w:keepNext/>
        <w:keepLines/>
        <w:spacing w:line="240" w:lineRule="auto"/>
        <w:jc w:val="left"/>
        <w:rPr>
          <w:color w:val="333333"/>
          <w:sz w:val="20"/>
        </w:rPr>
      </w:pPr>
      <w:r w:rsidRPr="004E21C6">
        <w:rPr>
          <w:sz w:val="20"/>
        </w:rPr>
        <w:t>Lincoln, NE 68588-0241</w:t>
      </w:r>
    </w:p>
    <w:p w14:paraId="782AE62D" w14:textId="77777777" w:rsidR="008478A9" w:rsidRPr="004E21C6" w:rsidRDefault="008478A9" w:rsidP="004E21C6">
      <w:pPr>
        <w:pStyle w:val="SL-FlLftSgl"/>
        <w:spacing w:line="240" w:lineRule="auto"/>
        <w:jc w:val="left"/>
        <w:rPr>
          <w:sz w:val="20"/>
          <w:lang w:val="fr-FR"/>
        </w:rPr>
      </w:pPr>
      <w:r w:rsidRPr="004E21C6">
        <w:rPr>
          <w:color w:val="333333"/>
          <w:sz w:val="20"/>
          <w:lang w:val="fr-FR"/>
        </w:rPr>
        <w:t xml:space="preserve">E-mail: </w:t>
      </w:r>
      <w:hyperlink r:id="rId23" w:history="1">
        <w:r w:rsidRPr="004E21C6">
          <w:rPr>
            <w:rStyle w:val="Hyperlink"/>
            <w:sz w:val="20"/>
            <w:lang w:val="fr-FR"/>
          </w:rPr>
          <w:t>kolson5@unl.edu</w:t>
        </w:r>
      </w:hyperlink>
    </w:p>
    <w:p w14:paraId="20CD33D3" w14:textId="77777777" w:rsidR="005A6D53" w:rsidRPr="004E21C6" w:rsidRDefault="005A6D53" w:rsidP="004E21C6">
      <w:pPr>
        <w:pStyle w:val="SU-FlLftUndln"/>
        <w:spacing w:line="240" w:lineRule="auto"/>
        <w:rPr>
          <w:b/>
          <w:sz w:val="12"/>
          <w:szCs w:val="12"/>
        </w:rPr>
      </w:pPr>
    </w:p>
    <w:p w14:paraId="7B49F9A5" w14:textId="77777777" w:rsidR="008478A9" w:rsidRPr="004E21C6" w:rsidRDefault="008478A9" w:rsidP="004E21C6">
      <w:pPr>
        <w:pStyle w:val="SL-FlLftSgl"/>
        <w:keepNext/>
        <w:keepLines/>
        <w:spacing w:line="240" w:lineRule="auto"/>
        <w:jc w:val="left"/>
        <w:rPr>
          <w:b/>
          <w:sz w:val="20"/>
          <w:lang w:val="fr-FR"/>
        </w:rPr>
      </w:pPr>
      <w:r w:rsidRPr="004E21C6">
        <w:rPr>
          <w:b/>
          <w:sz w:val="20"/>
          <w:lang w:val="fr-FR"/>
        </w:rPr>
        <w:t>Roger Tourangeau</w:t>
      </w:r>
    </w:p>
    <w:p w14:paraId="5FFB2088" w14:textId="77777777" w:rsidR="008478A9" w:rsidRPr="004E21C6" w:rsidRDefault="008478A9" w:rsidP="004E21C6">
      <w:pPr>
        <w:pStyle w:val="SL-FlLftSgl"/>
        <w:keepNext/>
        <w:keepLines/>
        <w:spacing w:line="240" w:lineRule="auto"/>
        <w:jc w:val="left"/>
        <w:rPr>
          <w:sz w:val="20"/>
        </w:rPr>
      </w:pPr>
      <w:r w:rsidRPr="004E21C6">
        <w:rPr>
          <w:sz w:val="20"/>
        </w:rPr>
        <w:t>Joint Program in Survey Methodology</w:t>
      </w:r>
    </w:p>
    <w:p w14:paraId="6C5EF20B" w14:textId="77777777" w:rsidR="007A29A2" w:rsidRPr="004E21C6" w:rsidRDefault="008478A9" w:rsidP="004E21C6">
      <w:pPr>
        <w:pStyle w:val="SL-FlLftSgl"/>
        <w:keepNext/>
        <w:keepLines/>
        <w:spacing w:line="240" w:lineRule="auto"/>
        <w:jc w:val="left"/>
        <w:rPr>
          <w:sz w:val="20"/>
        </w:rPr>
      </w:pPr>
      <w:r w:rsidRPr="004E21C6">
        <w:rPr>
          <w:sz w:val="20"/>
        </w:rPr>
        <w:t>University of Maryland</w:t>
      </w:r>
    </w:p>
    <w:p w14:paraId="09D33940" w14:textId="2E040C77" w:rsidR="008478A9" w:rsidRPr="004E21C6" w:rsidRDefault="008478A9" w:rsidP="004E21C6">
      <w:pPr>
        <w:pStyle w:val="SL-FlLftSgl"/>
        <w:keepNext/>
        <w:keepLines/>
        <w:spacing w:line="240" w:lineRule="auto"/>
        <w:jc w:val="left"/>
        <w:rPr>
          <w:sz w:val="20"/>
        </w:rPr>
      </w:pPr>
      <w:r w:rsidRPr="004E21C6">
        <w:rPr>
          <w:sz w:val="20"/>
        </w:rPr>
        <w:t>1218 LeFrak Hall, University of Maryland</w:t>
      </w:r>
    </w:p>
    <w:p w14:paraId="0747F7CA" w14:textId="77777777" w:rsidR="008478A9" w:rsidRPr="004E21C6" w:rsidRDefault="008478A9" w:rsidP="004E21C6">
      <w:pPr>
        <w:pStyle w:val="SL-FlLftSgl"/>
        <w:keepNext/>
        <w:keepLines/>
        <w:spacing w:line="240" w:lineRule="auto"/>
        <w:jc w:val="left"/>
        <w:rPr>
          <w:sz w:val="20"/>
        </w:rPr>
      </w:pPr>
      <w:r w:rsidRPr="004E21C6">
        <w:rPr>
          <w:sz w:val="20"/>
        </w:rPr>
        <w:t>College Park, MD 20742</w:t>
      </w:r>
    </w:p>
    <w:p w14:paraId="79C6CF80" w14:textId="77777777" w:rsidR="008478A9" w:rsidRPr="004E21C6" w:rsidRDefault="008478A9" w:rsidP="004E21C6">
      <w:pPr>
        <w:pStyle w:val="SL-FlLftSgl"/>
        <w:spacing w:line="240" w:lineRule="auto"/>
        <w:jc w:val="left"/>
        <w:rPr>
          <w:sz w:val="20"/>
        </w:rPr>
      </w:pPr>
      <w:r w:rsidRPr="004E21C6">
        <w:rPr>
          <w:sz w:val="20"/>
        </w:rPr>
        <w:t xml:space="preserve">E-mail: </w:t>
      </w:r>
      <w:hyperlink r:id="rId24" w:history="1">
        <w:r w:rsidRPr="004E21C6">
          <w:rPr>
            <w:rStyle w:val="Hyperlink"/>
            <w:sz w:val="20"/>
          </w:rPr>
          <w:t>RTourango@survey.umd.edu</w:t>
        </w:r>
      </w:hyperlink>
    </w:p>
    <w:p w14:paraId="5B1354D0" w14:textId="77777777" w:rsidR="005A6D53" w:rsidRPr="004E21C6" w:rsidRDefault="005A6D53" w:rsidP="004E21C6">
      <w:pPr>
        <w:pStyle w:val="SU-FlLftUndln"/>
        <w:spacing w:line="240" w:lineRule="auto"/>
        <w:rPr>
          <w:b/>
          <w:sz w:val="12"/>
          <w:szCs w:val="12"/>
        </w:rPr>
      </w:pPr>
    </w:p>
    <w:p w14:paraId="0FA99E62" w14:textId="77777777" w:rsidR="008478A9" w:rsidRPr="004E21C6" w:rsidRDefault="008478A9" w:rsidP="004E21C6">
      <w:pPr>
        <w:pStyle w:val="SL-FlLftSgl"/>
        <w:keepNext/>
        <w:keepLines/>
        <w:spacing w:line="240" w:lineRule="auto"/>
        <w:jc w:val="left"/>
        <w:rPr>
          <w:b/>
          <w:sz w:val="20"/>
        </w:rPr>
      </w:pPr>
      <w:r w:rsidRPr="004E21C6">
        <w:rPr>
          <w:b/>
          <w:sz w:val="20"/>
        </w:rPr>
        <w:t>Gordon Willis</w:t>
      </w:r>
    </w:p>
    <w:p w14:paraId="792DE1E0" w14:textId="77777777" w:rsidR="008478A9" w:rsidRPr="004E21C6" w:rsidRDefault="008478A9" w:rsidP="004E21C6">
      <w:pPr>
        <w:pStyle w:val="SL-FlLftSgl"/>
        <w:keepNext/>
        <w:keepLines/>
        <w:spacing w:line="240" w:lineRule="auto"/>
        <w:jc w:val="left"/>
        <w:rPr>
          <w:sz w:val="20"/>
        </w:rPr>
      </w:pPr>
      <w:r w:rsidRPr="004E21C6">
        <w:rPr>
          <w:sz w:val="20"/>
        </w:rPr>
        <w:t>Division of Cancer Control / Population Sciences</w:t>
      </w:r>
    </w:p>
    <w:p w14:paraId="703F4B21" w14:textId="77777777" w:rsidR="008478A9" w:rsidRPr="004E21C6" w:rsidRDefault="008478A9" w:rsidP="004E21C6">
      <w:pPr>
        <w:pStyle w:val="SL-FlLftSgl"/>
        <w:keepNext/>
        <w:keepLines/>
        <w:spacing w:line="240" w:lineRule="auto"/>
        <w:jc w:val="left"/>
        <w:rPr>
          <w:sz w:val="20"/>
        </w:rPr>
      </w:pPr>
      <w:r w:rsidRPr="004E21C6">
        <w:rPr>
          <w:sz w:val="20"/>
        </w:rPr>
        <w:t>National Cancer Institute</w:t>
      </w:r>
    </w:p>
    <w:p w14:paraId="47321B76" w14:textId="77777777" w:rsidR="008478A9" w:rsidRPr="004E21C6" w:rsidRDefault="008478A9" w:rsidP="004E21C6">
      <w:pPr>
        <w:pStyle w:val="SL-FlLftSgl"/>
        <w:keepNext/>
        <w:keepLines/>
        <w:spacing w:line="240" w:lineRule="auto"/>
        <w:jc w:val="left"/>
        <w:rPr>
          <w:sz w:val="20"/>
        </w:rPr>
      </w:pPr>
      <w:r w:rsidRPr="004E21C6">
        <w:rPr>
          <w:sz w:val="20"/>
        </w:rPr>
        <w:lastRenderedPageBreak/>
        <w:t>6130 Executive Blvd, MSC 7344, EPN 4005</w:t>
      </w:r>
    </w:p>
    <w:p w14:paraId="68545C0D" w14:textId="77777777" w:rsidR="008478A9" w:rsidRPr="004E21C6" w:rsidRDefault="008478A9" w:rsidP="004E21C6">
      <w:pPr>
        <w:pStyle w:val="SL-FlLftSgl"/>
        <w:keepNext/>
        <w:keepLines/>
        <w:spacing w:line="240" w:lineRule="auto"/>
        <w:jc w:val="left"/>
        <w:rPr>
          <w:sz w:val="20"/>
        </w:rPr>
      </w:pPr>
      <w:r w:rsidRPr="004E21C6">
        <w:rPr>
          <w:sz w:val="20"/>
        </w:rPr>
        <w:t>Bethesda, MD 20892-7344</w:t>
      </w:r>
    </w:p>
    <w:p w14:paraId="79CD08A4" w14:textId="77777777" w:rsidR="008478A9" w:rsidRPr="004E21C6" w:rsidRDefault="008478A9" w:rsidP="004E21C6">
      <w:pPr>
        <w:pStyle w:val="SL-FlLftSgl"/>
        <w:spacing w:line="240" w:lineRule="auto"/>
        <w:jc w:val="left"/>
        <w:rPr>
          <w:sz w:val="20"/>
        </w:rPr>
      </w:pPr>
      <w:r w:rsidRPr="004E21C6">
        <w:rPr>
          <w:sz w:val="20"/>
        </w:rPr>
        <w:t xml:space="preserve">E-mail: </w:t>
      </w:r>
      <w:hyperlink r:id="rId25" w:history="1">
        <w:r w:rsidRPr="004E21C6">
          <w:rPr>
            <w:rStyle w:val="Hyperlink"/>
            <w:sz w:val="20"/>
          </w:rPr>
          <w:t>willisg@mail.nih.gov</w:t>
        </w:r>
      </w:hyperlink>
    </w:p>
    <w:p w14:paraId="49D185E5" w14:textId="77777777" w:rsidR="008C3E6E" w:rsidRDefault="008C3E6E" w:rsidP="00A864C8">
      <w:pPr>
        <w:pStyle w:val="P1-StandPara"/>
        <w:spacing w:line="240" w:lineRule="auto"/>
        <w:jc w:val="left"/>
        <w:sectPr w:rsidR="008C3E6E" w:rsidSect="00474007">
          <w:type w:val="continuous"/>
          <w:pgSz w:w="12240" w:h="15840"/>
          <w:pgMar w:top="1008" w:right="1008" w:bottom="1008" w:left="1008" w:header="720" w:footer="576" w:gutter="0"/>
          <w:cols w:num="2" w:space="720"/>
          <w:docGrid w:linePitch="360"/>
        </w:sectPr>
      </w:pPr>
    </w:p>
    <w:p w14:paraId="060A8806" w14:textId="77777777" w:rsidR="008478A9" w:rsidRDefault="008478A9" w:rsidP="00A864C8">
      <w:pPr>
        <w:spacing w:line="240" w:lineRule="auto"/>
        <w:jc w:val="left"/>
      </w:pPr>
      <w:bookmarkStart w:id="17" w:name="_Toc61176385"/>
    </w:p>
    <w:p w14:paraId="5D10FBE2" w14:textId="77777777" w:rsidR="00F3219E" w:rsidRDefault="00F3219E" w:rsidP="00A864C8">
      <w:pPr>
        <w:spacing w:line="240" w:lineRule="auto"/>
        <w:jc w:val="left"/>
      </w:pPr>
    </w:p>
    <w:p w14:paraId="4F920833" w14:textId="77777777" w:rsidR="000C6BCB" w:rsidRDefault="000C6BCB" w:rsidP="00A864C8">
      <w:pPr>
        <w:spacing w:line="240" w:lineRule="auto"/>
        <w:jc w:val="left"/>
        <w:sectPr w:rsidR="000C6BCB" w:rsidSect="000C6BCB">
          <w:type w:val="continuous"/>
          <w:pgSz w:w="12240" w:h="15840"/>
          <w:pgMar w:top="1008" w:right="1008" w:bottom="1008" w:left="1008" w:header="720" w:footer="576" w:gutter="0"/>
          <w:pgNumType w:start="1"/>
          <w:cols w:num="2" w:space="720"/>
          <w:titlePg/>
          <w:docGrid w:linePitch="360"/>
        </w:sectPr>
      </w:pPr>
    </w:p>
    <w:p w14:paraId="54306086" w14:textId="23346312" w:rsidR="007A29A2" w:rsidRDefault="00F3219E" w:rsidP="00A864C8">
      <w:pPr>
        <w:pStyle w:val="P1-StandPara"/>
        <w:spacing w:line="240" w:lineRule="auto"/>
        <w:ind w:firstLine="0"/>
        <w:jc w:val="left"/>
      </w:pPr>
      <w:r>
        <w:lastRenderedPageBreak/>
        <w:t xml:space="preserve">The content of the </w:t>
      </w:r>
      <w:r w:rsidR="006747C5">
        <w:t>NHES:2016</w:t>
      </w:r>
      <w:r w:rsidR="001C31EC">
        <w:t xml:space="preserve"> child-focused</w:t>
      </w:r>
      <w:r>
        <w:t xml:space="preserve"> topical surveys repeats the content developed for the NHES:2012 administration and prior NHES administrations. As a result, the PFI and ECPP surveys reflect the cumulative input of many experts in the field and past NHES Technical Review Panels. In order t</w:t>
      </w:r>
      <w:r w:rsidR="006B71FB">
        <w:t>o ensure that the ECPP and PFI s</w:t>
      </w:r>
      <w:r>
        <w:t>urveys address important issues in the topical areas of interest and incorporate important emerging issues, the design phase of the 2012 study included consultations with experts in the substantive areas addressed in the surveys. These experts included persons in government agencies, academe, and research organizations.</w:t>
      </w:r>
    </w:p>
    <w:p w14:paraId="3D807971" w14:textId="11786E69" w:rsidR="00F3219E" w:rsidRDefault="00F3219E" w:rsidP="00A864C8">
      <w:pPr>
        <w:pStyle w:val="P1-StandPara"/>
        <w:spacing w:line="240" w:lineRule="auto"/>
        <w:jc w:val="left"/>
      </w:pPr>
    </w:p>
    <w:p w14:paraId="04BFBDBE" w14:textId="77777777" w:rsidR="00F3219E" w:rsidRPr="00D97038" w:rsidRDefault="00F3219E" w:rsidP="00A864C8">
      <w:pPr>
        <w:pStyle w:val="SU-FlLftUndln"/>
        <w:spacing w:line="240" w:lineRule="auto"/>
        <w:rPr>
          <w:b/>
        </w:rPr>
      </w:pPr>
      <w:r w:rsidRPr="00D97038">
        <w:rPr>
          <w:b/>
        </w:rPr>
        <w:t>Substantive Experts: ECPP</w:t>
      </w:r>
      <w:r>
        <w:rPr>
          <w:b/>
        </w:rPr>
        <w:t xml:space="preserve"> and Their Affiliation at the Time of TRP Recruitment</w:t>
      </w:r>
    </w:p>
    <w:p w14:paraId="4ADEE5C2" w14:textId="77777777" w:rsidR="00F3219E" w:rsidRPr="00D97038" w:rsidRDefault="00F3219E" w:rsidP="00A864C8">
      <w:pPr>
        <w:pStyle w:val="SU-FlLftUndln"/>
        <w:spacing w:line="240" w:lineRule="auto"/>
        <w:rPr>
          <w:b/>
        </w:rPr>
      </w:pPr>
    </w:p>
    <w:p w14:paraId="0650822C" w14:textId="77777777" w:rsidR="00A30BF1" w:rsidRDefault="00A30BF1" w:rsidP="00A864C8">
      <w:pPr>
        <w:pStyle w:val="SL-FlLftSgl"/>
        <w:keepNext/>
        <w:keepLines/>
        <w:spacing w:line="240" w:lineRule="auto"/>
        <w:jc w:val="left"/>
        <w:rPr>
          <w:b/>
          <w:sz w:val="20"/>
        </w:rPr>
        <w:sectPr w:rsidR="00A30BF1" w:rsidSect="00075AA8">
          <w:type w:val="continuous"/>
          <w:pgSz w:w="12240" w:h="15840"/>
          <w:pgMar w:top="1008" w:right="1008" w:bottom="1008" w:left="1008" w:header="720" w:footer="576" w:gutter="0"/>
          <w:pgNumType w:start="10"/>
          <w:cols w:space="720"/>
          <w:titlePg/>
          <w:docGrid w:linePitch="360"/>
        </w:sectPr>
      </w:pPr>
    </w:p>
    <w:p w14:paraId="6421251B" w14:textId="233A1551" w:rsidR="00F3219E" w:rsidRPr="00A30BF1" w:rsidRDefault="00F3219E" w:rsidP="00A864C8">
      <w:pPr>
        <w:pStyle w:val="SL-FlLftSgl"/>
        <w:keepNext/>
        <w:keepLines/>
        <w:spacing w:line="240" w:lineRule="auto"/>
        <w:jc w:val="left"/>
        <w:rPr>
          <w:sz w:val="20"/>
        </w:rPr>
      </w:pPr>
      <w:r w:rsidRPr="00A30BF1">
        <w:rPr>
          <w:b/>
          <w:sz w:val="20"/>
        </w:rPr>
        <w:lastRenderedPageBreak/>
        <w:t>Jerry West - Mathematica</w:t>
      </w:r>
    </w:p>
    <w:p w14:paraId="669970A5" w14:textId="77777777" w:rsidR="00F3219E" w:rsidRPr="00A30BF1" w:rsidRDefault="00F3219E" w:rsidP="00A864C8">
      <w:pPr>
        <w:pStyle w:val="SL-FlLftSgl"/>
        <w:keepNext/>
        <w:keepLines/>
        <w:spacing w:line="240" w:lineRule="auto"/>
        <w:jc w:val="left"/>
        <w:rPr>
          <w:sz w:val="20"/>
        </w:rPr>
      </w:pPr>
      <w:r w:rsidRPr="00A30BF1">
        <w:rPr>
          <w:sz w:val="20"/>
        </w:rPr>
        <w:t>Mathematica Policy Research, Inc.</w:t>
      </w:r>
    </w:p>
    <w:p w14:paraId="2783631A"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600 Maryland Ave., SW, Suite 550</w:t>
      </w:r>
    </w:p>
    <w:p w14:paraId="767DAB44"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Washington, DC 20024-2512</w:t>
      </w:r>
    </w:p>
    <w:p w14:paraId="4924C356" w14:textId="77777777" w:rsidR="00F3219E" w:rsidRPr="00A30BF1" w:rsidRDefault="00F3219E" w:rsidP="00A864C8">
      <w:pPr>
        <w:pStyle w:val="SL-FlLftSgl"/>
        <w:spacing w:line="240" w:lineRule="auto"/>
        <w:jc w:val="left"/>
        <w:rPr>
          <w:color w:val="000000"/>
          <w:sz w:val="20"/>
        </w:rPr>
      </w:pPr>
      <w:r w:rsidRPr="00A30BF1">
        <w:rPr>
          <w:sz w:val="20"/>
        </w:rPr>
        <w:t xml:space="preserve">E-mail: </w:t>
      </w:r>
      <w:hyperlink r:id="rId26" w:history="1">
        <w:r w:rsidRPr="00A30BF1">
          <w:rPr>
            <w:rStyle w:val="Hyperlink"/>
            <w:sz w:val="20"/>
          </w:rPr>
          <w:t>jwest@mathematica-mpr.com</w:t>
        </w:r>
      </w:hyperlink>
    </w:p>
    <w:p w14:paraId="2266A518" w14:textId="77777777" w:rsidR="00F3219E" w:rsidRPr="00A864C8" w:rsidRDefault="00F3219E" w:rsidP="00A864C8">
      <w:pPr>
        <w:pStyle w:val="SL-FlLftSgl"/>
        <w:spacing w:line="240" w:lineRule="auto"/>
        <w:jc w:val="left"/>
        <w:rPr>
          <w:b/>
          <w:sz w:val="12"/>
          <w:szCs w:val="12"/>
        </w:rPr>
      </w:pPr>
    </w:p>
    <w:p w14:paraId="56D83DF1" w14:textId="77777777" w:rsidR="00F3219E" w:rsidRPr="00A30BF1" w:rsidRDefault="00F3219E" w:rsidP="00A864C8">
      <w:pPr>
        <w:pStyle w:val="SL-FlLftSgl"/>
        <w:keepNext/>
        <w:keepLines/>
        <w:spacing w:line="240" w:lineRule="auto"/>
        <w:jc w:val="left"/>
        <w:rPr>
          <w:sz w:val="20"/>
        </w:rPr>
      </w:pPr>
      <w:r w:rsidRPr="00A30BF1">
        <w:rPr>
          <w:b/>
          <w:sz w:val="20"/>
        </w:rPr>
        <w:t>Ann Collins – Abt Assoc. Cambridge, MA</w:t>
      </w:r>
    </w:p>
    <w:p w14:paraId="40CD378B" w14:textId="77777777" w:rsidR="00F3219E" w:rsidRPr="00A30BF1" w:rsidRDefault="00F3219E" w:rsidP="00A864C8">
      <w:pPr>
        <w:pStyle w:val="SL-FlLftSgl"/>
        <w:keepNext/>
        <w:keepLines/>
        <w:spacing w:line="240" w:lineRule="auto"/>
        <w:jc w:val="left"/>
        <w:rPr>
          <w:sz w:val="20"/>
        </w:rPr>
      </w:pPr>
      <w:r w:rsidRPr="00A30BF1">
        <w:rPr>
          <w:sz w:val="20"/>
        </w:rPr>
        <w:t>Abt Associates Inc.</w:t>
      </w:r>
    </w:p>
    <w:p w14:paraId="1BD8A60A" w14:textId="77777777" w:rsidR="00F3219E" w:rsidRPr="00A30BF1" w:rsidRDefault="00F3219E" w:rsidP="00A864C8">
      <w:pPr>
        <w:pStyle w:val="SL-FlLftSgl"/>
        <w:keepNext/>
        <w:keepLines/>
        <w:spacing w:line="240" w:lineRule="auto"/>
        <w:jc w:val="left"/>
        <w:rPr>
          <w:sz w:val="20"/>
        </w:rPr>
      </w:pPr>
      <w:r w:rsidRPr="00A30BF1">
        <w:rPr>
          <w:sz w:val="20"/>
        </w:rPr>
        <w:t>55 Wheeler Street</w:t>
      </w:r>
    </w:p>
    <w:p w14:paraId="4CC79926" w14:textId="77777777" w:rsidR="007A29A2" w:rsidRDefault="00F3219E" w:rsidP="00A864C8">
      <w:pPr>
        <w:pStyle w:val="SL-FlLftSgl"/>
        <w:keepNext/>
        <w:keepLines/>
        <w:spacing w:line="240" w:lineRule="auto"/>
        <w:jc w:val="left"/>
        <w:rPr>
          <w:sz w:val="20"/>
        </w:rPr>
      </w:pPr>
      <w:r w:rsidRPr="00A30BF1">
        <w:rPr>
          <w:sz w:val="20"/>
        </w:rPr>
        <w:t>Cambridge, MA 02138-1168</w:t>
      </w:r>
    </w:p>
    <w:p w14:paraId="2E77F15C" w14:textId="5EF3DF3A" w:rsidR="00F3219E" w:rsidRPr="00A30BF1" w:rsidRDefault="00F3219E" w:rsidP="00A864C8">
      <w:pPr>
        <w:pStyle w:val="SL-FlLftSgl"/>
        <w:spacing w:line="240" w:lineRule="auto"/>
        <w:jc w:val="left"/>
        <w:rPr>
          <w:sz w:val="20"/>
        </w:rPr>
      </w:pPr>
      <w:r w:rsidRPr="00A30BF1">
        <w:rPr>
          <w:sz w:val="20"/>
        </w:rPr>
        <w:t xml:space="preserve">E-mail: </w:t>
      </w:r>
      <w:hyperlink r:id="rId27" w:history="1">
        <w:r w:rsidRPr="00A30BF1">
          <w:rPr>
            <w:rStyle w:val="Hyperlink"/>
            <w:sz w:val="20"/>
          </w:rPr>
          <w:t>Ann_Collins@abtassociates.com</w:t>
        </w:r>
      </w:hyperlink>
    </w:p>
    <w:p w14:paraId="4A7323AC" w14:textId="77777777" w:rsidR="00F3219E" w:rsidRPr="00A864C8" w:rsidRDefault="00F3219E" w:rsidP="00A864C8">
      <w:pPr>
        <w:pStyle w:val="SL-FlLftSgl"/>
        <w:spacing w:line="240" w:lineRule="auto"/>
        <w:jc w:val="left"/>
        <w:rPr>
          <w:sz w:val="12"/>
          <w:szCs w:val="12"/>
        </w:rPr>
      </w:pPr>
    </w:p>
    <w:p w14:paraId="3E2C61BD" w14:textId="77777777" w:rsidR="00F3219E" w:rsidRPr="00A30BF1" w:rsidRDefault="00F3219E" w:rsidP="00A864C8">
      <w:pPr>
        <w:pStyle w:val="SL-FlLftSgl"/>
        <w:keepNext/>
        <w:keepLines/>
        <w:spacing w:line="240" w:lineRule="auto"/>
        <w:jc w:val="left"/>
        <w:rPr>
          <w:sz w:val="20"/>
        </w:rPr>
      </w:pPr>
      <w:r w:rsidRPr="00A30BF1">
        <w:rPr>
          <w:b/>
          <w:sz w:val="20"/>
        </w:rPr>
        <w:t>Ron Haskins – Brookings Institution and Casey Foundation</w:t>
      </w:r>
    </w:p>
    <w:p w14:paraId="47AE6AD9" w14:textId="77777777" w:rsidR="00F3219E" w:rsidRPr="00A30BF1" w:rsidRDefault="00F3219E" w:rsidP="00A864C8">
      <w:pPr>
        <w:pStyle w:val="SL-FlLftSgl"/>
        <w:keepNext/>
        <w:keepLines/>
        <w:spacing w:line="240" w:lineRule="auto"/>
        <w:jc w:val="left"/>
        <w:rPr>
          <w:sz w:val="20"/>
        </w:rPr>
      </w:pPr>
      <w:r w:rsidRPr="00A30BF1">
        <w:rPr>
          <w:sz w:val="20"/>
        </w:rPr>
        <w:t>The Brookings Institution</w:t>
      </w:r>
    </w:p>
    <w:p w14:paraId="0945E2D9" w14:textId="77777777" w:rsidR="00F3219E" w:rsidRPr="00A30BF1" w:rsidRDefault="00F3219E" w:rsidP="00A864C8">
      <w:pPr>
        <w:pStyle w:val="SL-FlLftSgl"/>
        <w:keepNext/>
        <w:keepLines/>
        <w:spacing w:line="240" w:lineRule="auto"/>
        <w:jc w:val="left"/>
        <w:rPr>
          <w:sz w:val="20"/>
        </w:rPr>
      </w:pPr>
      <w:r w:rsidRPr="00A30BF1">
        <w:rPr>
          <w:sz w:val="20"/>
        </w:rPr>
        <w:t>1775 Massachusetts Ave., NW</w:t>
      </w:r>
    </w:p>
    <w:p w14:paraId="591C5468" w14:textId="77777777" w:rsidR="00F3219E" w:rsidRPr="00A30BF1" w:rsidRDefault="00F3219E" w:rsidP="00A864C8">
      <w:pPr>
        <w:pStyle w:val="SL-FlLftSgl"/>
        <w:keepNext/>
        <w:keepLines/>
        <w:spacing w:line="240" w:lineRule="auto"/>
        <w:jc w:val="left"/>
        <w:rPr>
          <w:sz w:val="20"/>
        </w:rPr>
      </w:pPr>
      <w:r w:rsidRPr="00A30BF1">
        <w:rPr>
          <w:sz w:val="20"/>
        </w:rPr>
        <w:t>Washington, DC 20036</w:t>
      </w:r>
    </w:p>
    <w:p w14:paraId="397A14D7" w14:textId="77777777" w:rsidR="00F3219E" w:rsidRPr="00A30BF1" w:rsidRDefault="00F3219E" w:rsidP="00A864C8">
      <w:pPr>
        <w:pStyle w:val="SL-FlLftSgl"/>
        <w:spacing w:line="240" w:lineRule="auto"/>
        <w:jc w:val="left"/>
        <w:rPr>
          <w:sz w:val="20"/>
        </w:rPr>
      </w:pPr>
      <w:r w:rsidRPr="00A30BF1">
        <w:rPr>
          <w:sz w:val="20"/>
        </w:rPr>
        <w:t xml:space="preserve">E-mail: </w:t>
      </w:r>
      <w:hyperlink r:id="rId28" w:history="1">
        <w:r w:rsidRPr="00A30BF1">
          <w:rPr>
            <w:rStyle w:val="Hyperlink"/>
            <w:sz w:val="20"/>
          </w:rPr>
          <w:t>rhaskins@brookings.edu</w:t>
        </w:r>
      </w:hyperlink>
    </w:p>
    <w:p w14:paraId="1B7E54D3" w14:textId="77777777" w:rsidR="00F3219E" w:rsidRPr="00A864C8" w:rsidRDefault="00F3219E" w:rsidP="00A864C8">
      <w:pPr>
        <w:pStyle w:val="SL-FlLftSgl"/>
        <w:spacing w:line="240" w:lineRule="auto"/>
        <w:jc w:val="left"/>
        <w:rPr>
          <w:sz w:val="12"/>
          <w:szCs w:val="12"/>
        </w:rPr>
      </w:pPr>
    </w:p>
    <w:p w14:paraId="5888D886" w14:textId="77777777" w:rsidR="00F3219E" w:rsidRPr="00A30BF1" w:rsidRDefault="00F3219E" w:rsidP="00A864C8">
      <w:pPr>
        <w:pStyle w:val="SL-FlLftSgl"/>
        <w:keepNext/>
        <w:keepLines/>
        <w:spacing w:line="240" w:lineRule="auto"/>
        <w:jc w:val="left"/>
        <w:rPr>
          <w:sz w:val="20"/>
        </w:rPr>
      </w:pPr>
      <w:r w:rsidRPr="00A30BF1">
        <w:rPr>
          <w:b/>
          <w:sz w:val="20"/>
        </w:rPr>
        <w:lastRenderedPageBreak/>
        <w:t>Ivelisse Martinez-Beck – HHS Division of Child and Family Development</w:t>
      </w:r>
    </w:p>
    <w:p w14:paraId="14E77D86"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Administration for Children and Families</w:t>
      </w:r>
    </w:p>
    <w:p w14:paraId="0FC7464A"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370 L’Enfant Promenade, S.W.</w:t>
      </w:r>
    </w:p>
    <w:p w14:paraId="6AE038BB" w14:textId="77777777" w:rsidR="00F3219E" w:rsidRPr="00A30BF1" w:rsidRDefault="00F3219E" w:rsidP="00A864C8">
      <w:pPr>
        <w:pStyle w:val="SL-FlLftSgl"/>
        <w:keepNext/>
        <w:keepLines/>
        <w:spacing w:line="240" w:lineRule="auto"/>
        <w:jc w:val="left"/>
        <w:rPr>
          <w:sz w:val="20"/>
        </w:rPr>
      </w:pPr>
      <w:r w:rsidRPr="00A30BF1">
        <w:rPr>
          <w:sz w:val="20"/>
        </w:rPr>
        <w:t>7th Floor West, Room 7A011</w:t>
      </w:r>
    </w:p>
    <w:p w14:paraId="36ED5273" w14:textId="77777777" w:rsidR="00F3219E" w:rsidRPr="00A30BF1" w:rsidRDefault="00F3219E" w:rsidP="00A864C8">
      <w:pPr>
        <w:pStyle w:val="SL-FlLftSgl"/>
        <w:keepNext/>
        <w:keepLines/>
        <w:spacing w:line="240" w:lineRule="auto"/>
        <w:jc w:val="left"/>
        <w:rPr>
          <w:sz w:val="20"/>
        </w:rPr>
      </w:pPr>
      <w:r w:rsidRPr="00A30BF1">
        <w:rPr>
          <w:sz w:val="20"/>
        </w:rPr>
        <w:t>Washington, D.C. 20447</w:t>
      </w:r>
    </w:p>
    <w:p w14:paraId="6CEAA647" w14:textId="77777777" w:rsidR="00F3219E" w:rsidRPr="00A30BF1" w:rsidRDefault="00F3219E" w:rsidP="00A864C8">
      <w:pPr>
        <w:pStyle w:val="SL-FlLftSgl"/>
        <w:spacing w:line="240" w:lineRule="auto"/>
        <w:jc w:val="left"/>
        <w:rPr>
          <w:color w:val="000080"/>
          <w:sz w:val="20"/>
        </w:rPr>
      </w:pPr>
      <w:r w:rsidRPr="00A30BF1">
        <w:rPr>
          <w:sz w:val="20"/>
        </w:rPr>
        <w:t xml:space="preserve">E-mail: </w:t>
      </w:r>
      <w:hyperlink r:id="rId29" w:tooltip="mailto:ivelisse.martinezbeck@acf.hhs.gov" w:history="1">
        <w:r w:rsidRPr="00A30BF1">
          <w:rPr>
            <w:rStyle w:val="Hyperlink"/>
            <w:sz w:val="20"/>
          </w:rPr>
          <w:t>ivelisse.martinezbeck@acf.hhs.gov</w:t>
        </w:r>
      </w:hyperlink>
    </w:p>
    <w:p w14:paraId="00F9F48C" w14:textId="77777777" w:rsidR="00F3219E" w:rsidRPr="00A864C8" w:rsidRDefault="00F3219E" w:rsidP="00A864C8">
      <w:pPr>
        <w:pStyle w:val="SL-FlLftSgl"/>
        <w:spacing w:line="240" w:lineRule="auto"/>
        <w:jc w:val="left"/>
        <w:rPr>
          <w:sz w:val="12"/>
          <w:szCs w:val="12"/>
        </w:rPr>
      </w:pPr>
    </w:p>
    <w:p w14:paraId="102750FD" w14:textId="77777777" w:rsidR="00F3219E" w:rsidRPr="00A30BF1" w:rsidRDefault="00F3219E" w:rsidP="00A864C8">
      <w:pPr>
        <w:pStyle w:val="SL-FlLftSgl"/>
        <w:keepNext/>
        <w:keepLines/>
        <w:spacing w:line="240" w:lineRule="auto"/>
        <w:jc w:val="left"/>
        <w:rPr>
          <w:b/>
          <w:sz w:val="20"/>
        </w:rPr>
      </w:pPr>
      <w:r w:rsidRPr="00A30BF1">
        <w:rPr>
          <w:b/>
          <w:sz w:val="20"/>
        </w:rPr>
        <w:t>Lynda Laughlin – Census</w:t>
      </w:r>
    </w:p>
    <w:p w14:paraId="4F5AC13E" w14:textId="77777777" w:rsidR="00F3219E" w:rsidRPr="00A30BF1" w:rsidRDefault="00F3219E" w:rsidP="00A864C8">
      <w:pPr>
        <w:pStyle w:val="SL-FlLftSgl"/>
        <w:keepNext/>
        <w:keepLines/>
        <w:spacing w:line="240" w:lineRule="auto"/>
        <w:jc w:val="left"/>
        <w:rPr>
          <w:sz w:val="20"/>
        </w:rPr>
      </w:pPr>
      <w:r w:rsidRPr="00A30BF1">
        <w:rPr>
          <w:sz w:val="20"/>
        </w:rPr>
        <w:t>U.S. Census Bureau</w:t>
      </w:r>
    </w:p>
    <w:p w14:paraId="67B449DD" w14:textId="77777777" w:rsidR="00F3219E" w:rsidRPr="00A30BF1" w:rsidRDefault="00F3219E" w:rsidP="00A864C8">
      <w:pPr>
        <w:pStyle w:val="SL-FlLftSgl"/>
        <w:keepNext/>
        <w:keepLines/>
        <w:spacing w:line="240" w:lineRule="auto"/>
        <w:jc w:val="left"/>
        <w:rPr>
          <w:sz w:val="20"/>
        </w:rPr>
      </w:pPr>
      <w:r w:rsidRPr="00A30BF1">
        <w:rPr>
          <w:sz w:val="20"/>
        </w:rPr>
        <w:t>4600 Silver Hill Road</w:t>
      </w:r>
    </w:p>
    <w:p w14:paraId="0A829FD2" w14:textId="77777777" w:rsidR="00F3219E" w:rsidRPr="00A30BF1" w:rsidRDefault="00F3219E" w:rsidP="00A864C8">
      <w:pPr>
        <w:pStyle w:val="SL-FlLftSgl"/>
        <w:keepNext/>
        <w:keepLines/>
        <w:spacing w:line="240" w:lineRule="auto"/>
        <w:jc w:val="left"/>
        <w:rPr>
          <w:sz w:val="20"/>
        </w:rPr>
      </w:pPr>
      <w:r w:rsidRPr="00A30BF1">
        <w:rPr>
          <w:sz w:val="20"/>
        </w:rPr>
        <w:t>Suitland, MD 20746</w:t>
      </w:r>
    </w:p>
    <w:p w14:paraId="2F8FE744" w14:textId="77777777" w:rsidR="00A30BF1" w:rsidRDefault="00F3219E" w:rsidP="00A864C8">
      <w:pPr>
        <w:pStyle w:val="SL-FlLftSgl"/>
        <w:spacing w:line="240" w:lineRule="auto"/>
        <w:jc w:val="left"/>
        <w:rPr>
          <w:rStyle w:val="Hyperlink"/>
          <w:sz w:val="20"/>
        </w:rPr>
        <w:sectPr w:rsidR="00A30BF1" w:rsidSect="00474007">
          <w:type w:val="continuous"/>
          <w:pgSz w:w="12240" w:h="15840"/>
          <w:pgMar w:top="1008" w:right="1008" w:bottom="1008" w:left="1008" w:header="720" w:footer="576" w:gutter="0"/>
          <w:pgNumType w:start="0"/>
          <w:cols w:num="2" w:space="720"/>
          <w:docGrid w:linePitch="360"/>
        </w:sectPr>
      </w:pPr>
      <w:r w:rsidRPr="00A30BF1">
        <w:rPr>
          <w:sz w:val="20"/>
        </w:rPr>
        <w:t xml:space="preserve">E-mail: </w:t>
      </w:r>
      <w:hyperlink r:id="rId30" w:history="1">
        <w:r w:rsidRPr="00A30BF1">
          <w:rPr>
            <w:rStyle w:val="Hyperlink"/>
            <w:sz w:val="20"/>
          </w:rPr>
          <w:t>lynda.l.laughlin@census.gov</w:t>
        </w:r>
      </w:hyperlink>
    </w:p>
    <w:p w14:paraId="30A8ADA9" w14:textId="77777777" w:rsidR="001171EA" w:rsidRDefault="001171EA" w:rsidP="00A864C8">
      <w:pPr>
        <w:pStyle w:val="SU-FlLftUndln"/>
        <w:spacing w:line="240" w:lineRule="auto"/>
        <w:rPr>
          <w:b/>
        </w:rPr>
      </w:pPr>
    </w:p>
    <w:p w14:paraId="6619D9AA" w14:textId="77777777" w:rsidR="00F3219E" w:rsidRPr="00360D14" w:rsidRDefault="00F3219E" w:rsidP="00A864C8">
      <w:pPr>
        <w:pStyle w:val="SU-FlLftUndln"/>
        <w:spacing w:line="240" w:lineRule="auto"/>
        <w:rPr>
          <w:b/>
        </w:rPr>
      </w:pPr>
      <w:r w:rsidRPr="00360D14">
        <w:rPr>
          <w:b/>
        </w:rPr>
        <w:t>Substantive Experts: PFI</w:t>
      </w:r>
      <w:r>
        <w:rPr>
          <w:b/>
        </w:rPr>
        <w:t xml:space="preserve"> and Their Affiliation at the Time of TRP Recruitment</w:t>
      </w:r>
    </w:p>
    <w:p w14:paraId="08C04D51" w14:textId="77777777" w:rsidR="00F3219E" w:rsidRPr="00360D14" w:rsidRDefault="00F3219E" w:rsidP="00A864C8">
      <w:pPr>
        <w:pStyle w:val="SU-FlLftUndln"/>
        <w:spacing w:line="240" w:lineRule="auto"/>
        <w:rPr>
          <w:b/>
        </w:rPr>
      </w:pPr>
    </w:p>
    <w:p w14:paraId="7DD70F00" w14:textId="77777777" w:rsidR="00A30BF1" w:rsidRDefault="00A30BF1" w:rsidP="00A864C8">
      <w:pPr>
        <w:pStyle w:val="SL-FlLftSgl"/>
        <w:keepNext/>
        <w:keepLines/>
        <w:spacing w:line="240" w:lineRule="auto"/>
        <w:jc w:val="left"/>
        <w:rPr>
          <w:b/>
          <w:sz w:val="20"/>
        </w:rPr>
        <w:sectPr w:rsidR="00A30BF1" w:rsidSect="00401083">
          <w:type w:val="continuous"/>
          <w:pgSz w:w="12240" w:h="15840"/>
          <w:pgMar w:top="1008" w:right="1008" w:bottom="1008" w:left="1008" w:header="720" w:footer="576" w:gutter="0"/>
          <w:pgNumType w:start="11"/>
          <w:cols w:space="720"/>
          <w:titlePg/>
          <w:docGrid w:linePitch="360"/>
        </w:sectPr>
      </w:pPr>
    </w:p>
    <w:p w14:paraId="5462C7E2" w14:textId="516DD6D2" w:rsidR="00F3219E" w:rsidRPr="00A30BF1" w:rsidRDefault="00F3219E" w:rsidP="00A864C8">
      <w:pPr>
        <w:pStyle w:val="SL-FlLftSgl"/>
        <w:keepNext/>
        <w:keepLines/>
        <w:spacing w:line="240" w:lineRule="auto"/>
        <w:jc w:val="left"/>
        <w:rPr>
          <w:b/>
          <w:sz w:val="20"/>
        </w:rPr>
      </w:pPr>
      <w:r w:rsidRPr="00A30BF1">
        <w:rPr>
          <w:b/>
          <w:sz w:val="20"/>
        </w:rPr>
        <w:lastRenderedPageBreak/>
        <w:t>Richard Brandon – Univ. of Washington</w:t>
      </w:r>
    </w:p>
    <w:p w14:paraId="6C9B106D"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Human Services Policy Center, Evans School of Public Affairs</w:t>
      </w:r>
    </w:p>
    <w:p w14:paraId="13D211F2"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University of Washington</w:t>
      </w:r>
    </w:p>
    <w:p w14:paraId="7D073D90"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1107 NE 45</w:t>
      </w:r>
      <w:r w:rsidRPr="00A30BF1">
        <w:rPr>
          <w:sz w:val="20"/>
        </w:rPr>
        <w:t>th</w:t>
      </w:r>
      <w:r w:rsidRPr="00A30BF1">
        <w:rPr>
          <w:color w:val="000000"/>
          <w:sz w:val="20"/>
        </w:rPr>
        <w:t xml:space="preserve"> St.</w:t>
      </w:r>
    </w:p>
    <w:p w14:paraId="19D1B68D"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Seattle, WA 98105</w:t>
      </w:r>
    </w:p>
    <w:p w14:paraId="5E5A156C" w14:textId="77777777" w:rsidR="00F3219E" w:rsidRPr="00A30BF1" w:rsidRDefault="00F3219E" w:rsidP="00A864C8">
      <w:pPr>
        <w:pStyle w:val="SL-FlLftSgl"/>
        <w:spacing w:line="240" w:lineRule="auto"/>
        <w:jc w:val="left"/>
        <w:rPr>
          <w:color w:val="000000"/>
          <w:sz w:val="20"/>
        </w:rPr>
      </w:pPr>
      <w:r w:rsidRPr="00A30BF1">
        <w:rPr>
          <w:sz w:val="20"/>
        </w:rPr>
        <w:t xml:space="preserve">E-mail: </w:t>
      </w:r>
      <w:hyperlink r:id="rId31" w:history="1">
        <w:r w:rsidRPr="00A30BF1">
          <w:rPr>
            <w:rStyle w:val="Hyperlink"/>
            <w:sz w:val="20"/>
          </w:rPr>
          <w:t>brandon@u.washington.edu</w:t>
        </w:r>
      </w:hyperlink>
    </w:p>
    <w:p w14:paraId="40F4C01A" w14:textId="77777777" w:rsidR="00F3219E" w:rsidRPr="00A864C8" w:rsidRDefault="00F3219E" w:rsidP="00A864C8">
      <w:pPr>
        <w:pStyle w:val="SL-FlLftSgl"/>
        <w:spacing w:line="240" w:lineRule="auto"/>
        <w:jc w:val="left"/>
        <w:rPr>
          <w:sz w:val="12"/>
          <w:szCs w:val="12"/>
        </w:rPr>
      </w:pPr>
    </w:p>
    <w:p w14:paraId="087A868E" w14:textId="77777777" w:rsidR="00F3219E" w:rsidRPr="00A30BF1" w:rsidRDefault="00F3219E" w:rsidP="00A864C8">
      <w:pPr>
        <w:pStyle w:val="SL-FlLftSgl"/>
        <w:keepNext/>
        <w:keepLines/>
        <w:spacing w:line="240" w:lineRule="auto"/>
        <w:jc w:val="left"/>
        <w:rPr>
          <w:b/>
          <w:sz w:val="20"/>
        </w:rPr>
      </w:pPr>
      <w:r w:rsidRPr="00A30BF1">
        <w:rPr>
          <w:b/>
          <w:sz w:val="20"/>
        </w:rPr>
        <w:t>Annette Lareau – Univ. of Pennsylvania</w:t>
      </w:r>
    </w:p>
    <w:p w14:paraId="7D610969" w14:textId="77777777" w:rsidR="007A29A2" w:rsidRDefault="00F3219E" w:rsidP="00A864C8">
      <w:pPr>
        <w:pStyle w:val="SL-FlLftSgl"/>
        <w:keepNext/>
        <w:keepLines/>
        <w:spacing w:line="240" w:lineRule="auto"/>
        <w:jc w:val="left"/>
        <w:rPr>
          <w:color w:val="000000"/>
          <w:sz w:val="20"/>
        </w:rPr>
      </w:pPr>
      <w:r w:rsidRPr="00A30BF1">
        <w:rPr>
          <w:color w:val="000000"/>
          <w:sz w:val="20"/>
        </w:rPr>
        <w:t>Department of Sociology</w:t>
      </w:r>
    </w:p>
    <w:p w14:paraId="05361A46" w14:textId="77777777" w:rsidR="007A29A2" w:rsidRDefault="00F3219E" w:rsidP="00A864C8">
      <w:pPr>
        <w:pStyle w:val="SL-FlLftSgl"/>
        <w:keepNext/>
        <w:keepLines/>
        <w:spacing w:line="240" w:lineRule="auto"/>
        <w:jc w:val="left"/>
        <w:rPr>
          <w:color w:val="000000"/>
          <w:sz w:val="20"/>
        </w:rPr>
      </w:pPr>
      <w:r w:rsidRPr="00A30BF1">
        <w:rPr>
          <w:color w:val="000000"/>
          <w:sz w:val="20"/>
        </w:rPr>
        <w:t>University of Pennsylvania</w:t>
      </w:r>
    </w:p>
    <w:p w14:paraId="52D2CB2B" w14:textId="77777777" w:rsidR="007A29A2" w:rsidRDefault="00F3219E" w:rsidP="00A864C8">
      <w:pPr>
        <w:pStyle w:val="SL-FlLftSgl"/>
        <w:keepNext/>
        <w:keepLines/>
        <w:spacing w:line="240" w:lineRule="auto"/>
        <w:jc w:val="left"/>
        <w:rPr>
          <w:color w:val="000000"/>
          <w:sz w:val="20"/>
        </w:rPr>
      </w:pPr>
      <w:r w:rsidRPr="00A30BF1">
        <w:rPr>
          <w:color w:val="000000"/>
          <w:sz w:val="20"/>
        </w:rPr>
        <w:t>McNeil Hall</w:t>
      </w:r>
    </w:p>
    <w:p w14:paraId="3E1E3317" w14:textId="079AA5AE" w:rsidR="00F3219E" w:rsidRPr="00A30BF1" w:rsidRDefault="00F3219E" w:rsidP="00A864C8">
      <w:pPr>
        <w:pStyle w:val="SL-FlLftSgl"/>
        <w:keepNext/>
        <w:keepLines/>
        <w:spacing w:line="240" w:lineRule="auto"/>
        <w:jc w:val="left"/>
        <w:rPr>
          <w:color w:val="000000"/>
          <w:sz w:val="20"/>
        </w:rPr>
      </w:pPr>
      <w:r w:rsidRPr="00A30BF1">
        <w:rPr>
          <w:color w:val="000000"/>
          <w:sz w:val="20"/>
        </w:rPr>
        <w:t>Philadelphia, PA 19104</w:t>
      </w:r>
    </w:p>
    <w:p w14:paraId="76FE955B" w14:textId="77777777" w:rsidR="00F3219E" w:rsidRPr="00A30BF1" w:rsidRDefault="00F3219E" w:rsidP="00A864C8">
      <w:pPr>
        <w:pStyle w:val="SL-FlLftSgl"/>
        <w:spacing w:line="240" w:lineRule="auto"/>
        <w:jc w:val="left"/>
        <w:rPr>
          <w:sz w:val="20"/>
          <w:lang w:val="fr-FR"/>
        </w:rPr>
      </w:pPr>
      <w:r w:rsidRPr="00A30BF1">
        <w:rPr>
          <w:sz w:val="20"/>
        </w:rPr>
        <w:t xml:space="preserve">E-mail: </w:t>
      </w:r>
      <w:hyperlink r:id="rId32" w:history="1">
        <w:r w:rsidRPr="00A30BF1">
          <w:rPr>
            <w:rStyle w:val="Hyperlink"/>
            <w:iCs/>
            <w:sz w:val="20"/>
            <w:lang w:val="fr-FR"/>
          </w:rPr>
          <w:t>alareau@sas.upenn.edu</w:t>
        </w:r>
      </w:hyperlink>
    </w:p>
    <w:p w14:paraId="1FB4AAF0" w14:textId="77777777" w:rsidR="00F3219E" w:rsidRPr="00A864C8" w:rsidRDefault="00F3219E" w:rsidP="00A864C8">
      <w:pPr>
        <w:pStyle w:val="SL-FlLftSgl"/>
        <w:spacing w:line="240" w:lineRule="auto"/>
        <w:jc w:val="left"/>
        <w:rPr>
          <w:sz w:val="12"/>
          <w:szCs w:val="12"/>
          <w:lang w:val="fr-FR"/>
        </w:rPr>
      </w:pPr>
    </w:p>
    <w:p w14:paraId="710E7BCC" w14:textId="77777777" w:rsidR="00F3219E" w:rsidRPr="00A30BF1" w:rsidRDefault="00F3219E" w:rsidP="00A864C8">
      <w:pPr>
        <w:pStyle w:val="SL-FlLftSgl"/>
        <w:keepNext/>
        <w:keepLines/>
        <w:spacing w:line="240" w:lineRule="auto"/>
        <w:jc w:val="left"/>
        <w:rPr>
          <w:b/>
          <w:sz w:val="20"/>
        </w:rPr>
      </w:pPr>
      <w:r w:rsidRPr="00A30BF1">
        <w:rPr>
          <w:b/>
          <w:sz w:val="20"/>
          <w:lang w:val="fr-FR"/>
        </w:rPr>
        <w:t>Joyce Epstein</w:t>
      </w:r>
      <w:r w:rsidRPr="00A30BF1">
        <w:rPr>
          <w:b/>
          <w:sz w:val="20"/>
        </w:rPr>
        <w:t xml:space="preserve"> – The Johns Hopkins University</w:t>
      </w:r>
    </w:p>
    <w:p w14:paraId="53B02D4E" w14:textId="77777777" w:rsidR="00F3219E" w:rsidRPr="00A30BF1" w:rsidRDefault="00F3219E" w:rsidP="00A864C8">
      <w:pPr>
        <w:pStyle w:val="SL-FlLftSgl"/>
        <w:keepNext/>
        <w:keepLines/>
        <w:spacing w:line="240" w:lineRule="auto"/>
        <w:jc w:val="left"/>
        <w:rPr>
          <w:sz w:val="20"/>
        </w:rPr>
      </w:pPr>
      <w:r w:rsidRPr="00A30BF1">
        <w:rPr>
          <w:sz w:val="20"/>
        </w:rPr>
        <w:t>Center for Social Organization of Schools</w:t>
      </w:r>
    </w:p>
    <w:p w14:paraId="28C6EE44" w14:textId="77777777" w:rsidR="00F3219E" w:rsidRPr="00A30BF1" w:rsidRDefault="00F3219E" w:rsidP="00A864C8">
      <w:pPr>
        <w:pStyle w:val="SL-FlLftSgl"/>
        <w:keepNext/>
        <w:keepLines/>
        <w:spacing w:line="240" w:lineRule="auto"/>
        <w:jc w:val="left"/>
        <w:rPr>
          <w:sz w:val="20"/>
        </w:rPr>
      </w:pPr>
      <w:r w:rsidRPr="00A30BF1">
        <w:rPr>
          <w:sz w:val="20"/>
        </w:rPr>
        <w:t>3003 N. Charles St., Suite 200</w:t>
      </w:r>
    </w:p>
    <w:p w14:paraId="72AF73E0" w14:textId="77777777" w:rsidR="00F3219E" w:rsidRPr="00A30BF1" w:rsidRDefault="00F3219E" w:rsidP="00A864C8">
      <w:pPr>
        <w:pStyle w:val="SL-FlLftSgl"/>
        <w:keepNext/>
        <w:keepLines/>
        <w:spacing w:line="240" w:lineRule="auto"/>
        <w:jc w:val="left"/>
        <w:rPr>
          <w:sz w:val="20"/>
        </w:rPr>
      </w:pPr>
      <w:r w:rsidRPr="00A30BF1">
        <w:rPr>
          <w:sz w:val="20"/>
        </w:rPr>
        <w:t>Baltimore, MD 21218</w:t>
      </w:r>
    </w:p>
    <w:p w14:paraId="45C03190" w14:textId="77777777" w:rsidR="00F3219E" w:rsidRPr="00A30BF1" w:rsidRDefault="00F3219E" w:rsidP="00A864C8">
      <w:pPr>
        <w:pStyle w:val="SL-FlLftSgl"/>
        <w:spacing w:line="240" w:lineRule="auto"/>
        <w:jc w:val="left"/>
        <w:rPr>
          <w:sz w:val="20"/>
        </w:rPr>
      </w:pPr>
      <w:r w:rsidRPr="00A30BF1">
        <w:rPr>
          <w:sz w:val="20"/>
        </w:rPr>
        <w:t xml:space="preserve">E-mail: </w:t>
      </w:r>
      <w:hyperlink r:id="rId33" w:history="1">
        <w:r w:rsidRPr="00A30BF1">
          <w:rPr>
            <w:rStyle w:val="Hyperlink"/>
            <w:rFonts w:cs="TimesNewRoman"/>
            <w:sz w:val="20"/>
          </w:rPr>
          <w:t>jepstein@csos.jhu.edu</w:t>
        </w:r>
      </w:hyperlink>
    </w:p>
    <w:p w14:paraId="793A43EA" w14:textId="77777777" w:rsidR="00F3219E" w:rsidRPr="00A30BF1" w:rsidRDefault="00F3219E" w:rsidP="00A864C8">
      <w:pPr>
        <w:pStyle w:val="SL-FlLftSgl"/>
        <w:spacing w:line="240" w:lineRule="auto"/>
        <w:jc w:val="left"/>
        <w:rPr>
          <w:sz w:val="20"/>
        </w:rPr>
      </w:pPr>
    </w:p>
    <w:p w14:paraId="4B4C69B5" w14:textId="77777777" w:rsidR="00F3219E" w:rsidRPr="00A30BF1" w:rsidRDefault="00F3219E" w:rsidP="00A864C8">
      <w:pPr>
        <w:pStyle w:val="SL-FlLftSgl"/>
        <w:keepNext/>
        <w:keepLines/>
        <w:spacing w:line="240" w:lineRule="auto"/>
        <w:jc w:val="left"/>
        <w:rPr>
          <w:sz w:val="20"/>
        </w:rPr>
      </w:pPr>
      <w:r w:rsidRPr="00A30BF1">
        <w:rPr>
          <w:b/>
          <w:sz w:val="20"/>
        </w:rPr>
        <w:t>Lawrence Aber - NYU</w:t>
      </w:r>
    </w:p>
    <w:p w14:paraId="4D802EC7" w14:textId="77777777" w:rsidR="00F3219E" w:rsidRPr="00A30BF1" w:rsidRDefault="00F3219E" w:rsidP="00A864C8">
      <w:pPr>
        <w:pStyle w:val="SL-FlLftSgl"/>
        <w:keepNext/>
        <w:keepLines/>
        <w:spacing w:line="240" w:lineRule="auto"/>
        <w:jc w:val="left"/>
        <w:rPr>
          <w:sz w:val="20"/>
        </w:rPr>
      </w:pPr>
      <w:r w:rsidRPr="00A30BF1">
        <w:rPr>
          <w:sz w:val="20"/>
        </w:rPr>
        <w:t>Steinhardt School of Culture, Education, and Human Development</w:t>
      </w:r>
    </w:p>
    <w:p w14:paraId="498F62F5" w14:textId="77777777" w:rsidR="00F3219E" w:rsidRPr="00A30BF1" w:rsidRDefault="00F3219E" w:rsidP="00A864C8">
      <w:pPr>
        <w:pStyle w:val="SL-FlLftSgl"/>
        <w:keepNext/>
        <w:keepLines/>
        <w:spacing w:line="240" w:lineRule="auto"/>
        <w:jc w:val="left"/>
        <w:rPr>
          <w:sz w:val="20"/>
        </w:rPr>
      </w:pPr>
      <w:r w:rsidRPr="00A30BF1">
        <w:rPr>
          <w:sz w:val="20"/>
        </w:rPr>
        <w:t>New York University</w:t>
      </w:r>
    </w:p>
    <w:p w14:paraId="1CD4229A" w14:textId="77777777" w:rsidR="00F3219E" w:rsidRPr="00A30BF1" w:rsidRDefault="00F3219E" w:rsidP="00A864C8">
      <w:pPr>
        <w:pStyle w:val="SL-FlLftSgl"/>
        <w:keepNext/>
        <w:keepLines/>
        <w:spacing w:line="240" w:lineRule="auto"/>
        <w:jc w:val="left"/>
        <w:rPr>
          <w:sz w:val="20"/>
        </w:rPr>
      </w:pPr>
      <w:r w:rsidRPr="00A30BF1">
        <w:rPr>
          <w:sz w:val="20"/>
        </w:rPr>
        <w:t>82 Washington Square East</w:t>
      </w:r>
    </w:p>
    <w:p w14:paraId="1140405F" w14:textId="77777777" w:rsidR="00F3219E" w:rsidRPr="00A30BF1" w:rsidRDefault="00F3219E" w:rsidP="00A864C8">
      <w:pPr>
        <w:pStyle w:val="SL-FlLftSgl"/>
        <w:keepNext/>
        <w:keepLines/>
        <w:spacing w:line="240" w:lineRule="auto"/>
        <w:jc w:val="left"/>
        <w:rPr>
          <w:sz w:val="20"/>
        </w:rPr>
      </w:pPr>
      <w:r w:rsidRPr="00A30BF1">
        <w:rPr>
          <w:sz w:val="20"/>
        </w:rPr>
        <w:t>New York, NY 10003</w:t>
      </w:r>
    </w:p>
    <w:p w14:paraId="22175F80" w14:textId="77777777" w:rsidR="00A30BF1" w:rsidRDefault="00F3219E" w:rsidP="00A864C8">
      <w:pPr>
        <w:pStyle w:val="SL-FlLftSgl"/>
        <w:spacing w:line="240" w:lineRule="auto"/>
        <w:jc w:val="left"/>
        <w:rPr>
          <w:rStyle w:val="Hyperlink"/>
          <w:sz w:val="20"/>
        </w:rPr>
        <w:sectPr w:rsidR="00A30BF1" w:rsidSect="00474007">
          <w:type w:val="continuous"/>
          <w:pgSz w:w="12240" w:h="15840"/>
          <w:pgMar w:top="1008" w:right="1008" w:bottom="1008" w:left="1008" w:header="720" w:footer="576" w:gutter="0"/>
          <w:pgNumType w:start="10"/>
          <w:cols w:num="2" w:space="720"/>
          <w:docGrid w:linePitch="360"/>
        </w:sectPr>
      </w:pPr>
      <w:r w:rsidRPr="00A30BF1">
        <w:rPr>
          <w:sz w:val="20"/>
        </w:rPr>
        <w:t xml:space="preserve">E-mail: </w:t>
      </w:r>
      <w:hyperlink r:id="rId34" w:history="1">
        <w:r w:rsidRPr="00A30BF1">
          <w:rPr>
            <w:rStyle w:val="Hyperlink"/>
            <w:sz w:val="20"/>
          </w:rPr>
          <w:t>lawrence.aber@nyu.edu</w:t>
        </w:r>
      </w:hyperlink>
    </w:p>
    <w:p w14:paraId="34ABA674" w14:textId="77777777" w:rsidR="00F3219E" w:rsidRDefault="00F3219E" w:rsidP="00A864C8">
      <w:pPr>
        <w:pStyle w:val="P1-StandPara"/>
        <w:spacing w:line="240" w:lineRule="auto"/>
        <w:ind w:firstLine="720"/>
        <w:jc w:val="left"/>
      </w:pPr>
    </w:p>
    <w:p w14:paraId="381D7F44" w14:textId="7FCC7975" w:rsidR="008478A9" w:rsidRPr="00F3219E" w:rsidRDefault="00F3219E" w:rsidP="00A864C8">
      <w:pPr>
        <w:pStyle w:val="P1-StandPara"/>
        <w:spacing w:line="240" w:lineRule="auto"/>
        <w:ind w:firstLine="0"/>
        <w:jc w:val="left"/>
      </w:pPr>
      <w:r w:rsidRPr="00F3219E">
        <w:t xml:space="preserve">As noted above, the </w:t>
      </w:r>
      <w:r w:rsidR="00746491">
        <w:t>ATES</w:t>
      </w:r>
      <w:r w:rsidR="005124D8">
        <w:t xml:space="preserve"> </w:t>
      </w:r>
      <w:r w:rsidR="006D5C5B">
        <w:t xml:space="preserve">is a </w:t>
      </w:r>
      <w:r w:rsidR="005124D8">
        <w:t xml:space="preserve">product </w:t>
      </w:r>
      <w:r w:rsidRPr="00F3219E">
        <w:t>of ongoing work guided by GEMEnA, which has met monthly since October 2009 and consists of senior staff from the Bureau of the Census, the Bureau of Labor Statistics, the Council of Economic Advisors, the National Center for Education Statistics, the National Center for Science and Engineering Statistics, the Office of Statistical and Science Policy (OMB), and the Office of the Under Secretary of Education.</w:t>
      </w:r>
      <w:r w:rsidR="005124D8">
        <w:t xml:space="preserve"> In addition, GEMEnA established an Expert Panel of substantive experts in the fields of workforce education, economic development, and non-degree credentials that met in November of 2012</w:t>
      </w:r>
      <w:r w:rsidR="00694BD9">
        <w:t xml:space="preserve"> and</w:t>
      </w:r>
      <w:r w:rsidR="005124D8">
        <w:t xml:space="preserve"> March</w:t>
      </w:r>
      <w:r w:rsidR="00694BD9">
        <w:t xml:space="preserve"> and December </w:t>
      </w:r>
      <w:r w:rsidR="005124D8">
        <w:t>of 2014</w:t>
      </w:r>
      <w:r w:rsidR="007A29A2">
        <w:t xml:space="preserve"> </w:t>
      </w:r>
      <w:r w:rsidR="005124D8">
        <w:t xml:space="preserve">to provide input </w:t>
      </w:r>
      <w:r w:rsidR="00BF1F91">
        <w:t xml:space="preserve">on </w:t>
      </w:r>
      <w:r w:rsidR="00BE3A5F">
        <w:t>ATES</w:t>
      </w:r>
      <w:r w:rsidR="00BF1F91">
        <w:t xml:space="preserve"> </w:t>
      </w:r>
      <w:r w:rsidR="005124D8">
        <w:t>content.</w:t>
      </w:r>
    </w:p>
    <w:p w14:paraId="5EA82659" w14:textId="77777777" w:rsidR="001F689D" w:rsidRDefault="001F689D" w:rsidP="00A864C8">
      <w:pPr>
        <w:pStyle w:val="P1-StandPara"/>
        <w:spacing w:line="240" w:lineRule="auto"/>
        <w:ind w:firstLine="0"/>
        <w:jc w:val="left"/>
        <w:rPr>
          <w:sz w:val="24"/>
          <w:szCs w:val="24"/>
        </w:rPr>
      </w:pPr>
      <w:bookmarkStart w:id="18" w:name="_Toc222888894"/>
    </w:p>
    <w:p w14:paraId="73D40B95" w14:textId="77777777" w:rsidR="001F689D" w:rsidRPr="00D97038" w:rsidRDefault="001F689D" w:rsidP="00A864C8">
      <w:pPr>
        <w:pStyle w:val="SU-FlLftUndln"/>
        <w:spacing w:after="120" w:line="240" w:lineRule="auto"/>
        <w:rPr>
          <w:b/>
        </w:rPr>
      </w:pPr>
      <w:r w:rsidRPr="00D97038">
        <w:rPr>
          <w:b/>
        </w:rPr>
        <w:lastRenderedPageBreak/>
        <w:t>S</w:t>
      </w:r>
      <w:r w:rsidR="005124D8">
        <w:rPr>
          <w:b/>
        </w:rPr>
        <w:t>urvey and Methodology</w:t>
      </w:r>
      <w:r w:rsidRPr="00D97038">
        <w:rPr>
          <w:b/>
        </w:rPr>
        <w:t xml:space="preserve"> Experts: </w:t>
      </w:r>
      <w:r w:rsidR="00535616">
        <w:rPr>
          <w:b/>
        </w:rPr>
        <w:t>GEMEnA Member Agency Representatives</w:t>
      </w:r>
    </w:p>
    <w:p w14:paraId="28CD3882" w14:textId="77777777" w:rsidR="00BC4EA9" w:rsidRDefault="00BC4EA9" w:rsidP="00A864C8">
      <w:pPr>
        <w:spacing w:line="240" w:lineRule="auto"/>
        <w:ind w:left="270"/>
        <w:jc w:val="left"/>
        <w:rPr>
          <w:b/>
          <w:sz w:val="24"/>
          <w:szCs w:val="24"/>
        </w:rPr>
        <w:sectPr w:rsidR="00BC4EA9" w:rsidSect="003A79C3">
          <w:type w:val="continuous"/>
          <w:pgSz w:w="12240" w:h="15840"/>
          <w:pgMar w:top="1008" w:right="1008" w:bottom="1008" w:left="1008" w:header="720" w:footer="576" w:gutter="0"/>
          <w:pgNumType w:start="8"/>
          <w:cols w:space="720"/>
          <w:titlePg/>
          <w:docGrid w:linePitch="360"/>
        </w:sectPr>
      </w:pPr>
    </w:p>
    <w:p w14:paraId="148686A1" w14:textId="0843B138" w:rsidR="001F689D" w:rsidRPr="00DA71EB" w:rsidRDefault="00746872" w:rsidP="00A864C8">
      <w:pPr>
        <w:spacing w:line="240" w:lineRule="auto"/>
        <w:jc w:val="left"/>
        <w:rPr>
          <w:b/>
          <w:sz w:val="20"/>
        </w:rPr>
      </w:pPr>
      <w:r w:rsidRPr="00A30BF1">
        <w:rPr>
          <w:b/>
          <w:sz w:val="20"/>
        </w:rPr>
        <w:lastRenderedPageBreak/>
        <w:t>Census Bureau</w:t>
      </w:r>
    </w:p>
    <w:p w14:paraId="6AB741A2" w14:textId="6BBD6E5F" w:rsidR="007A29A2" w:rsidRDefault="00A351DA" w:rsidP="00A864C8">
      <w:pPr>
        <w:spacing w:line="240" w:lineRule="auto"/>
        <w:jc w:val="left"/>
        <w:rPr>
          <w:sz w:val="20"/>
        </w:rPr>
      </w:pPr>
      <w:r>
        <w:rPr>
          <w:sz w:val="20"/>
        </w:rPr>
        <w:t>Kurt Bauman</w:t>
      </w:r>
    </w:p>
    <w:p w14:paraId="5D40253A" w14:textId="00E0FF83" w:rsidR="00A351DA" w:rsidRDefault="00A351DA" w:rsidP="00A864C8">
      <w:pPr>
        <w:spacing w:line="240" w:lineRule="auto"/>
        <w:jc w:val="left"/>
        <w:rPr>
          <w:sz w:val="20"/>
        </w:rPr>
      </w:pPr>
      <w:r>
        <w:rPr>
          <w:sz w:val="20"/>
        </w:rPr>
        <w:t>James Spletzer</w:t>
      </w:r>
    </w:p>
    <w:p w14:paraId="57FBAC32" w14:textId="7BC90AFB" w:rsidR="001F689D" w:rsidRPr="004E21C6" w:rsidRDefault="001F689D" w:rsidP="00A864C8">
      <w:pPr>
        <w:spacing w:line="240" w:lineRule="auto"/>
        <w:jc w:val="left"/>
        <w:rPr>
          <w:sz w:val="12"/>
          <w:szCs w:val="12"/>
        </w:rPr>
      </w:pPr>
    </w:p>
    <w:p w14:paraId="6D09CD8F" w14:textId="77777777" w:rsidR="001F689D" w:rsidRPr="00A30BF1" w:rsidRDefault="00746872" w:rsidP="00A864C8">
      <w:pPr>
        <w:spacing w:line="240" w:lineRule="auto"/>
        <w:jc w:val="left"/>
        <w:rPr>
          <w:b/>
          <w:sz w:val="20"/>
        </w:rPr>
      </w:pPr>
      <w:r w:rsidRPr="00A30BF1">
        <w:rPr>
          <w:b/>
          <w:sz w:val="20"/>
        </w:rPr>
        <w:t>Bureau of Labor Statistics</w:t>
      </w:r>
    </w:p>
    <w:p w14:paraId="2C1FC729" w14:textId="77777777" w:rsidR="001F689D" w:rsidRPr="00A30BF1" w:rsidRDefault="00746872" w:rsidP="00A864C8">
      <w:pPr>
        <w:spacing w:line="240" w:lineRule="auto"/>
        <w:jc w:val="left"/>
        <w:rPr>
          <w:sz w:val="20"/>
        </w:rPr>
      </w:pPr>
      <w:r w:rsidRPr="00A30BF1">
        <w:rPr>
          <w:sz w:val="20"/>
        </w:rPr>
        <w:t>Dori Allard</w:t>
      </w:r>
    </w:p>
    <w:p w14:paraId="0FA1B133" w14:textId="77777777" w:rsidR="007A29A2" w:rsidRDefault="00746872" w:rsidP="00A864C8">
      <w:pPr>
        <w:spacing w:line="240" w:lineRule="auto"/>
        <w:jc w:val="left"/>
        <w:rPr>
          <w:sz w:val="20"/>
        </w:rPr>
      </w:pPr>
      <w:r w:rsidRPr="00A30BF1">
        <w:rPr>
          <w:sz w:val="20"/>
        </w:rPr>
        <w:t>Harley Frazis</w:t>
      </w:r>
    </w:p>
    <w:p w14:paraId="522F362E" w14:textId="135DC6D6" w:rsidR="001F689D" w:rsidRPr="004E21C6" w:rsidRDefault="001F689D" w:rsidP="00A864C8">
      <w:pPr>
        <w:spacing w:line="240" w:lineRule="auto"/>
        <w:jc w:val="left"/>
        <w:rPr>
          <w:sz w:val="12"/>
          <w:szCs w:val="12"/>
        </w:rPr>
      </w:pPr>
    </w:p>
    <w:p w14:paraId="783E70C7" w14:textId="77777777" w:rsidR="001F689D" w:rsidRPr="00A30BF1" w:rsidRDefault="00746872" w:rsidP="00A864C8">
      <w:pPr>
        <w:spacing w:line="240" w:lineRule="auto"/>
        <w:jc w:val="left"/>
        <w:rPr>
          <w:b/>
          <w:sz w:val="20"/>
        </w:rPr>
      </w:pPr>
      <w:r w:rsidRPr="00A30BF1">
        <w:rPr>
          <w:b/>
          <w:sz w:val="20"/>
        </w:rPr>
        <w:t>National Center for Science and Engineering Statistics</w:t>
      </w:r>
    </w:p>
    <w:p w14:paraId="0E797BFB" w14:textId="77777777" w:rsidR="001F689D" w:rsidRPr="00A30BF1" w:rsidRDefault="00746872" w:rsidP="00A864C8">
      <w:pPr>
        <w:spacing w:line="240" w:lineRule="auto"/>
        <w:jc w:val="left"/>
        <w:rPr>
          <w:sz w:val="20"/>
        </w:rPr>
      </w:pPr>
      <w:r w:rsidRPr="00A30BF1">
        <w:rPr>
          <w:sz w:val="20"/>
        </w:rPr>
        <w:t>Dan Foley</w:t>
      </w:r>
    </w:p>
    <w:p w14:paraId="6595FF0F" w14:textId="77777777" w:rsidR="001F689D" w:rsidRPr="00A30BF1" w:rsidRDefault="00746872" w:rsidP="00A864C8">
      <w:pPr>
        <w:spacing w:line="240" w:lineRule="auto"/>
        <w:jc w:val="left"/>
        <w:rPr>
          <w:sz w:val="20"/>
        </w:rPr>
      </w:pPr>
      <w:r w:rsidRPr="00A30BF1">
        <w:rPr>
          <w:sz w:val="20"/>
        </w:rPr>
        <w:t>John Finamore</w:t>
      </w:r>
    </w:p>
    <w:p w14:paraId="4666C91A" w14:textId="77777777" w:rsidR="00690679" w:rsidRPr="004E21C6" w:rsidRDefault="00690679" w:rsidP="00A864C8">
      <w:pPr>
        <w:spacing w:line="240" w:lineRule="auto"/>
        <w:jc w:val="left"/>
        <w:rPr>
          <w:sz w:val="12"/>
          <w:szCs w:val="12"/>
        </w:rPr>
      </w:pPr>
    </w:p>
    <w:p w14:paraId="703DBE70" w14:textId="77777777" w:rsidR="00690679" w:rsidRPr="00A30BF1" w:rsidRDefault="00690679" w:rsidP="00A864C8">
      <w:pPr>
        <w:spacing w:line="240" w:lineRule="auto"/>
        <w:jc w:val="left"/>
        <w:rPr>
          <w:b/>
          <w:sz w:val="20"/>
        </w:rPr>
      </w:pPr>
      <w:r w:rsidRPr="00A30BF1">
        <w:rPr>
          <w:b/>
          <w:sz w:val="20"/>
        </w:rPr>
        <w:t>Council of Economic Advisors</w:t>
      </w:r>
    </w:p>
    <w:p w14:paraId="0BBFC048" w14:textId="4ABA4459" w:rsidR="00690679" w:rsidRPr="00A30BF1" w:rsidRDefault="00A351DA" w:rsidP="00A864C8">
      <w:pPr>
        <w:spacing w:line="240" w:lineRule="auto"/>
        <w:jc w:val="left"/>
        <w:rPr>
          <w:sz w:val="20"/>
        </w:rPr>
      </w:pPr>
      <w:r>
        <w:rPr>
          <w:sz w:val="20"/>
        </w:rPr>
        <w:t>Jordan Matsudairas</w:t>
      </w:r>
    </w:p>
    <w:p w14:paraId="56404BB8" w14:textId="77777777" w:rsidR="001F689D" w:rsidRPr="004E21C6" w:rsidRDefault="001F689D" w:rsidP="00A864C8">
      <w:pPr>
        <w:spacing w:line="240" w:lineRule="auto"/>
        <w:ind w:left="274"/>
        <w:jc w:val="left"/>
        <w:rPr>
          <w:sz w:val="12"/>
          <w:szCs w:val="12"/>
        </w:rPr>
      </w:pPr>
    </w:p>
    <w:p w14:paraId="7BA5A935" w14:textId="44BE678A" w:rsidR="00835F96" w:rsidRPr="00A864C8" w:rsidRDefault="00835F96" w:rsidP="00A864C8">
      <w:pPr>
        <w:spacing w:line="240" w:lineRule="auto"/>
        <w:jc w:val="left"/>
        <w:rPr>
          <w:b/>
          <w:sz w:val="6"/>
          <w:szCs w:val="6"/>
        </w:rPr>
      </w:pPr>
    </w:p>
    <w:p w14:paraId="72E11EB8" w14:textId="77777777" w:rsidR="00A864C8" w:rsidRDefault="00A864C8" w:rsidP="00A864C8">
      <w:pPr>
        <w:spacing w:line="240" w:lineRule="auto"/>
        <w:jc w:val="left"/>
        <w:rPr>
          <w:sz w:val="20"/>
        </w:rPr>
      </w:pPr>
      <w:r w:rsidRPr="00A30BF1">
        <w:rPr>
          <w:b/>
          <w:sz w:val="20"/>
        </w:rPr>
        <w:t>OMB Office of Statistical and Science Policy</w:t>
      </w:r>
    </w:p>
    <w:p w14:paraId="1D594E84" w14:textId="41646D35" w:rsidR="005124D8" w:rsidRPr="00A30BF1" w:rsidRDefault="00746872" w:rsidP="00A864C8">
      <w:pPr>
        <w:spacing w:line="240" w:lineRule="auto"/>
        <w:jc w:val="left"/>
        <w:rPr>
          <w:sz w:val="20"/>
        </w:rPr>
      </w:pPr>
      <w:r w:rsidRPr="00A30BF1">
        <w:rPr>
          <w:sz w:val="20"/>
        </w:rPr>
        <w:lastRenderedPageBreak/>
        <w:t>Shelly Martinez</w:t>
      </w:r>
    </w:p>
    <w:p w14:paraId="0625E5F7" w14:textId="77777777" w:rsidR="001F689D" w:rsidRPr="004E21C6" w:rsidRDefault="001F689D" w:rsidP="00A864C8">
      <w:pPr>
        <w:spacing w:line="240" w:lineRule="auto"/>
        <w:jc w:val="left"/>
        <w:rPr>
          <w:sz w:val="12"/>
          <w:szCs w:val="12"/>
        </w:rPr>
      </w:pPr>
    </w:p>
    <w:p w14:paraId="76F3D732" w14:textId="77777777" w:rsidR="001F689D" w:rsidRPr="00A30BF1" w:rsidRDefault="00746872" w:rsidP="00A864C8">
      <w:pPr>
        <w:pStyle w:val="P1-StandPara"/>
        <w:spacing w:line="240" w:lineRule="auto"/>
        <w:ind w:firstLine="0"/>
        <w:jc w:val="left"/>
        <w:rPr>
          <w:b/>
          <w:sz w:val="20"/>
        </w:rPr>
      </w:pPr>
      <w:r w:rsidRPr="00A30BF1">
        <w:rPr>
          <w:b/>
          <w:sz w:val="20"/>
        </w:rPr>
        <w:t>Department of Education – Office of the Under Secretary</w:t>
      </w:r>
    </w:p>
    <w:p w14:paraId="03938849" w14:textId="77777777" w:rsidR="001F689D" w:rsidRPr="00A30BF1" w:rsidRDefault="00746872" w:rsidP="00A864C8">
      <w:pPr>
        <w:spacing w:line="240" w:lineRule="auto"/>
        <w:jc w:val="left"/>
        <w:rPr>
          <w:sz w:val="20"/>
        </w:rPr>
      </w:pPr>
      <w:r w:rsidRPr="00A30BF1">
        <w:rPr>
          <w:sz w:val="20"/>
        </w:rPr>
        <w:t>Jon O’Bergh</w:t>
      </w:r>
    </w:p>
    <w:p w14:paraId="4DE01A62" w14:textId="77777777" w:rsidR="001F689D" w:rsidRPr="004E21C6" w:rsidRDefault="001F689D" w:rsidP="00A864C8">
      <w:pPr>
        <w:spacing w:line="240" w:lineRule="auto"/>
        <w:jc w:val="left"/>
        <w:rPr>
          <w:sz w:val="12"/>
          <w:szCs w:val="12"/>
        </w:rPr>
      </w:pPr>
    </w:p>
    <w:p w14:paraId="0E403C9F" w14:textId="77777777" w:rsidR="002D72A5" w:rsidRDefault="002D72A5" w:rsidP="00A864C8">
      <w:pPr>
        <w:spacing w:line="240" w:lineRule="auto"/>
        <w:jc w:val="left"/>
        <w:rPr>
          <w:b/>
          <w:sz w:val="20"/>
        </w:rPr>
      </w:pPr>
    </w:p>
    <w:p w14:paraId="51625256" w14:textId="77777777" w:rsidR="002D72A5" w:rsidRDefault="002D72A5" w:rsidP="00A864C8">
      <w:pPr>
        <w:spacing w:line="240" w:lineRule="auto"/>
        <w:jc w:val="left"/>
        <w:rPr>
          <w:b/>
          <w:sz w:val="20"/>
        </w:rPr>
      </w:pPr>
    </w:p>
    <w:p w14:paraId="2960EE7B" w14:textId="77777777" w:rsidR="001F689D" w:rsidRPr="00A30BF1" w:rsidRDefault="00746872" w:rsidP="00A864C8">
      <w:pPr>
        <w:spacing w:line="240" w:lineRule="auto"/>
        <w:jc w:val="left"/>
        <w:rPr>
          <w:b/>
          <w:sz w:val="20"/>
        </w:rPr>
      </w:pPr>
      <w:r w:rsidRPr="00A30BF1">
        <w:rPr>
          <w:b/>
          <w:sz w:val="20"/>
        </w:rPr>
        <w:t>National Center for Education Statistics</w:t>
      </w:r>
    </w:p>
    <w:p w14:paraId="06A9A61A" w14:textId="77777777" w:rsidR="001F689D" w:rsidRPr="00A30BF1" w:rsidRDefault="00746872" w:rsidP="00A864C8">
      <w:pPr>
        <w:spacing w:line="240" w:lineRule="auto"/>
        <w:jc w:val="left"/>
        <w:rPr>
          <w:sz w:val="20"/>
        </w:rPr>
      </w:pPr>
      <w:r w:rsidRPr="00A30BF1">
        <w:rPr>
          <w:sz w:val="20"/>
        </w:rPr>
        <w:t>Sharon Boivin</w:t>
      </w:r>
    </w:p>
    <w:p w14:paraId="2A7570CC" w14:textId="77777777" w:rsidR="007A29A2" w:rsidRDefault="00746872" w:rsidP="00A864C8">
      <w:pPr>
        <w:spacing w:line="240" w:lineRule="auto"/>
        <w:jc w:val="left"/>
        <w:rPr>
          <w:sz w:val="20"/>
        </w:rPr>
      </w:pPr>
      <w:r w:rsidRPr="00A30BF1">
        <w:rPr>
          <w:sz w:val="20"/>
        </w:rPr>
        <w:t>Lisa Hudson</w:t>
      </w:r>
    </w:p>
    <w:p w14:paraId="391339BB" w14:textId="4917A082" w:rsidR="001F689D" w:rsidRPr="00A30BF1" w:rsidRDefault="00746872" w:rsidP="00A864C8">
      <w:pPr>
        <w:spacing w:line="240" w:lineRule="auto"/>
        <w:jc w:val="left"/>
        <w:rPr>
          <w:sz w:val="20"/>
        </w:rPr>
      </w:pPr>
      <w:r w:rsidRPr="00A30BF1">
        <w:rPr>
          <w:sz w:val="20"/>
        </w:rPr>
        <w:t>Kashka Kubzdela</w:t>
      </w:r>
    </w:p>
    <w:p w14:paraId="319A821E" w14:textId="78D4E54E" w:rsidR="001F689D" w:rsidRPr="00A30BF1" w:rsidRDefault="00746872" w:rsidP="00A864C8">
      <w:pPr>
        <w:spacing w:line="240" w:lineRule="auto"/>
        <w:jc w:val="left"/>
        <w:rPr>
          <w:sz w:val="20"/>
        </w:rPr>
      </w:pPr>
      <w:r w:rsidRPr="00A30BF1">
        <w:rPr>
          <w:sz w:val="20"/>
        </w:rPr>
        <w:t xml:space="preserve">Sarah </w:t>
      </w:r>
      <w:r w:rsidR="002D0ADE">
        <w:rPr>
          <w:sz w:val="20"/>
        </w:rPr>
        <w:t>Grad</w:t>
      </w:r>
      <w:r w:rsidR="002D0ADE" w:rsidRPr="00A30BF1">
        <w:rPr>
          <w:sz w:val="20"/>
        </w:rPr>
        <w:t>y</w:t>
      </w:r>
    </w:p>
    <w:p w14:paraId="4464D0FB" w14:textId="23965966" w:rsidR="00BC4EA9" w:rsidRDefault="00746872" w:rsidP="00A864C8">
      <w:pPr>
        <w:spacing w:line="240" w:lineRule="auto"/>
        <w:jc w:val="left"/>
        <w:rPr>
          <w:sz w:val="20"/>
        </w:rPr>
      </w:pPr>
      <w:r w:rsidRPr="00A30BF1">
        <w:rPr>
          <w:sz w:val="20"/>
        </w:rPr>
        <w:t>Andy Zukerberg</w:t>
      </w:r>
    </w:p>
    <w:p w14:paraId="47D61B9C" w14:textId="77777777" w:rsidR="00BC4EA9" w:rsidRPr="00BC4EA9" w:rsidRDefault="00BC4EA9" w:rsidP="00A864C8">
      <w:pPr>
        <w:spacing w:line="240" w:lineRule="auto"/>
        <w:jc w:val="left"/>
        <w:rPr>
          <w:sz w:val="20"/>
        </w:rPr>
        <w:sectPr w:rsidR="00BC4EA9" w:rsidRPr="00BC4EA9" w:rsidSect="00075AA8">
          <w:type w:val="continuous"/>
          <w:pgSz w:w="12240" w:h="15840"/>
          <w:pgMar w:top="1008" w:right="1008" w:bottom="1008" w:left="1008" w:header="720" w:footer="576" w:gutter="0"/>
          <w:cols w:num="2" w:space="720"/>
          <w:titlePg/>
          <w:docGrid w:linePitch="360"/>
        </w:sectPr>
      </w:pPr>
    </w:p>
    <w:p w14:paraId="453E9E00" w14:textId="77777777" w:rsidR="002D72A5" w:rsidRDefault="002D72A5" w:rsidP="00A864C8">
      <w:pPr>
        <w:pStyle w:val="SU-FlLftUndln"/>
        <w:spacing w:after="120" w:line="240" w:lineRule="auto"/>
        <w:rPr>
          <w:b/>
        </w:rPr>
      </w:pPr>
    </w:p>
    <w:p w14:paraId="500EAD13" w14:textId="77777777" w:rsidR="005124D8" w:rsidRPr="00D97038" w:rsidRDefault="005124D8" w:rsidP="00A864C8">
      <w:pPr>
        <w:pStyle w:val="SU-FlLftUndln"/>
        <w:spacing w:after="120" w:line="240" w:lineRule="auto"/>
        <w:rPr>
          <w:b/>
        </w:rPr>
      </w:pPr>
      <w:r w:rsidRPr="00D97038">
        <w:rPr>
          <w:b/>
        </w:rPr>
        <w:t>S</w:t>
      </w:r>
      <w:r>
        <w:rPr>
          <w:b/>
        </w:rPr>
        <w:t>ubstantive</w:t>
      </w:r>
      <w:r w:rsidRPr="00D97038">
        <w:rPr>
          <w:b/>
        </w:rPr>
        <w:t xml:space="preserve"> Experts: </w:t>
      </w:r>
      <w:r>
        <w:rPr>
          <w:b/>
        </w:rPr>
        <w:t>GEMEnA Expert Panel Members</w:t>
      </w:r>
    </w:p>
    <w:p w14:paraId="5E129F73" w14:textId="77777777" w:rsidR="005124D8" w:rsidRDefault="005124D8" w:rsidP="00A864C8">
      <w:pPr>
        <w:spacing w:line="240" w:lineRule="auto"/>
        <w:ind w:left="270"/>
        <w:jc w:val="left"/>
        <w:rPr>
          <w:b/>
          <w:sz w:val="24"/>
          <w:szCs w:val="24"/>
        </w:rPr>
        <w:sectPr w:rsidR="005124D8" w:rsidSect="000C6BCB">
          <w:type w:val="continuous"/>
          <w:pgSz w:w="12240" w:h="15840"/>
          <w:pgMar w:top="1008" w:right="1008" w:bottom="1008" w:left="1008" w:header="720" w:footer="576" w:gutter="0"/>
          <w:pgNumType w:start="9"/>
          <w:cols w:space="720"/>
          <w:titlePg/>
          <w:docGrid w:linePitch="360"/>
        </w:sectPr>
      </w:pPr>
    </w:p>
    <w:p w14:paraId="51F0D5B2" w14:textId="77777777" w:rsidR="00A864C8" w:rsidRPr="00A30BF1" w:rsidRDefault="00A864C8" w:rsidP="00A864C8">
      <w:pPr>
        <w:shd w:val="clear" w:color="auto" w:fill="FFFFFF"/>
        <w:spacing w:after="120" w:line="240" w:lineRule="auto"/>
        <w:jc w:val="left"/>
        <w:rPr>
          <w:color w:val="000000"/>
          <w:sz w:val="20"/>
        </w:rPr>
      </w:pPr>
      <w:r w:rsidRPr="00A30BF1">
        <w:rPr>
          <w:b/>
          <w:color w:val="000000"/>
          <w:sz w:val="20"/>
        </w:rPr>
        <w:lastRenderedPageBreak/>
        <w:t>Jim Van Erden</w:t>
      </w:r>
      <w:r w:rsidRPr="00A30BF1">
        <w:rPr>
          <w:color w:val="000000"/>
          <w:sz w:val="20"/>
        </w:rPr>
        <w:br/>
        <w:t>Senior Policy Advisor</w:t>
      </w:r>
      <w:r w:rsidRPr="00A30BF1">
        <w:rPr>
          <w:color w:val="000000"/>
          <w:sz w:val="20"/>
        </w:rPr>
        <w:br/>
        <w:t>National Association of State Workforce Agencies/</w:t>
      </w:r>
      <w:r w:rsidRPr="00A30BF1">
        <w:rPr>
          <w:color w:val="000000"/>
          <w:sz w:val="20"/>
        </w:rPr>
        <w:br/>
        <w:t>Information Technology Support Center</w:t>
      </w:r>
      <w:r w:rsidRPr="00A30BF1">
        <w:rPr>
          <w:color w:val="000000"/>
          <w:sz w:val="20"/>
        </w:rPr>
        <w:br/>
        <w:t>Washington, DC</w:t>
      </w:r>
    </w:p>
    <w:p w14:paraId="0B7BDEB0"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Evelyn Ganzglass</w:t>
      </w:r>
      <w:r w:rsidRPr="00A30BF1">
        <w:rPr>
          <w:color w:val="000000"/>
          <w:sz w:val="20"/>
        </w:rPr>
        <w:br/>
        <w:t>Director of Workforce Development</w:t>
      </w:r>
      <w:r w:rsidRPr="00A30BF1">
        <w:rPr>
          <w:color w:val="000000"/>
          <w:sz w:val="20"/>
        </w:rPr>
        <w:br/>
        <w:t>CLASP</w:t>
      </w:r>
      <w:r w:rsidRPr="00A30BF1">
        <w:rPr>
          <w:color w:val="000000"/>
          <w:sz w:val="20"/>
        </w:rPr>
        <w:br/>
        <w:t>Washington, DC</w:t>
      </w:r>
    </w:p>
    <w:p w14:paraId="2A1ACC99"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Parminder Jassal</w:t>
      </w:r>
      <w:r w:rsidRPr="00A30BF1">
        <w:rPr>
          <w:color w:val="000000"/>
          <w:sz w:val="20"/>
        </w:rPr>
        <w:br/>
        <w:t>Executive Director</w:t>
      </w:r>
      <w:r w:rsidRPr="00A30BF1">
        <w:rPr>
          <w:color w:val="000000"/>
          <w:sz w:val="20"/>
        </w:rPr>
        <w:br/>
        <w:t>ACT Foundation</w:t>
      </w:r>
      <w:r w:rsidRPr="00A30BF1">
        <w:rPr>
          <w:color w:val="000000"/>
          <w:sz w:val="20"/>
        </w:rPr>
        <w:br/>
        <w:t>Austin, TX</w:t>
      </w:r>
    </w:p>
    <w:p w14:paraId="6127C812"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Morris Kleiner</w:t>
      </w:r>
      <w:r w:rsidRPr="00A30BF1">
        <w:rPr>
          <w:color w:val="000000"/>
          <w:sz w:val="20"/>
        </w:rPr>
        <w:br/>
        <w:t>Professor and Director of Graduate Studies</w:t>
      </w:r>
      <w:r w:rsidRPr="00A30BF1">
        <w:rPr>
          <w:color w:val="000000"/>
          <w:sz w:val="20"/>
        </w:rPr>
        <w:br/>
        <w:t>Humphrey School of Public Affairs</w:t>
      </w:r>
      <w:r w:rsidRPr="00A30BF1">
        <w:rPr>
          <w:color w:val="000000"/>
          <w:sz w:val="20"/>
        </w:rPr>
        <w:br/>
        <w:t>University of Minnesota</w:t>
      </w:r>
      <w:r w:rsidRPr="00A30BF1">
        <w:rPr>
          <w:color w:val="000000"/>
          <w:sz w:val="20"/>
        </w:rPr>
        <w:br/>
        <w:t>Minneapolis, MN</w:t>
      </w:r>
    </w:p>
    <w:p w14:paraId="4E33471C"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James Parker</w:t>
      </w:r>
      <w:r w:rsidRPr="00A30BF1">
        <w:rPr>
          <w:color w:val="000000"/>
          <w:sz w:val="20"/>
        </w:rPr>
        <w:br/>
        <w:t>Senior Research and Policy Associate</w:t>
      </w:r>
      <w:r w:rsidRPr="00A30BF1">
        <w:rPr>
          <w:color w:val="000000"/>
          <w:sz w:val="20"/>
        </w:rPr>
        <w:br/>
        <w:t>Council for Advancement of Adult Literacy</w:t>
      </w:r>
      <w:r w:rsidRPr="00A30BF1">
        <w:rPr>
          <w:color w:val="000000"/>
          <w:sz w:val="20"/>
        </w:rPr>
        <w:br/>
        <w:t>New York City, NY</w:t>
      </w:r>
    </w:p>
    <w:p w14:paraId="203BDE95"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Kent Phillippe</w:t>
      </w:r>
      <w:r w:rsidRPr="00A30BF1">
        <w:rPr>
          <w:color w:val="000000"/>
          <w:sz w:val="20"/>
        </w:rPr>
        <w:br/>
        <w:t>Associate Vice President, </w:t>
      </w:r>
      <w:r w:rsidRPr="00A30BF1">
        <w:rPr>
          <w:color w:val="000000"/>
          <w:sz w:val="20"/>
        </w:rPr>
        <w:br/>
        <w:t>Research and Student Success</w:t>
      </w:r>
      <w:r w:rsidRPr="00A30BF1">
        <w:rPr>
          <w:color w:val="000000"/>
          <w:sz w:val="20"/>
        </w:rPr>
        <w:br/>
        <w:t>American Association of Community Colleges</w:t>
      </w:r>
      <w:r w:rsidRPr="00A30BF1">
        <w:rPr>
          <w:color w:val="000000"/>
          <w:sz w:val="20"/>
        </w:rPr>
        <w:br/>
        <w:t>Washington, DC</w:t>
      </w:r>
    </w:p>
    <w:p w14:paraId="4BA38D3D" w14:textId="77777777" w:rsidR="005658D2" w:rsidRDefault="005658D2" w:rsidP="00A864C8">
      <w:pPr>
        <w:shd w:val="clear" w:color="auto" w:fill="FFFFFF"/>
        <w:spacing w:after="120" w:line="240" w:lineRule="auto"/>
        <w:jc w:val="left"/>
        <w:rPr>
          <w:b/>
          <w:color w:val="000000"/>
          <w:sz w:val="20"/>
        </w:rPr>
      </w:pPr>
    </w:p>
    <w:p w14:paraId="33D6B2B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lastRenderedPageBreak/>
        <w:t>Kenneth Poole</w:t>
      </w:r>
      <w:r w:rsidRPr="00A30BF1">
        <w:rPr>
          <w:color w:val="000000"/>
          <w:sz w:val="20"/>
        </w:rPr>
        <w:br/>
        <w:t>CEO/President</w:t>
      </w:r>
      <w:r w:rsidRPr="00A30BF1">
        <w:rPr>
          <w:color w:val="000000"/>
          <w:sz w:val="20"/>
        </w:rPr>
        <w:br/>
        <w:t>Center for Regional Economic Competitiveness</w:t>
      </w:r>
      <w:r w:rsidRPr="00A30BF1">
        <w:rPr>
          <w:color w:val="000000"/>
          <w:sz w:val="20"/>
        </w:rPr>
        <w:br/>
        <w:t>Arlington, VA</w:t>
      </w:r>
    </w:p>
    <w:p w14:paraId="5FE76B2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Andrew Reamer</w:t>
      </w:r>
      <w:r w:rsidRPr="00A30BF1">
        <w:rPr>
          <w:color w:val="000000"/>
          <w:sz w:val="20"/>
        </w:rPr>
        <w:br/>
        <w:t>Research Professor</w:t>
      </w:r>
      <w:r w:rsidRPr="00A30BF1">
        <w:rPr>
          <w:color w:val="000000"/>
          <w:sz w:val="20"/>
        </w:rPr>
        <w:br/>
        <w:t>George Washington Institute of Public Policy</w:t>
      </w:r>
      <w:r w:rsidRPr="00A30BF1">
        <w:rPr>
          <w:color w:val="000000"/>
          <w:sz w:val="20"/>
        </w:rPr>
        <w:br/>
        <w:t>George Washington University</w:t>
      </w:r>
      <w:r w:rsidRPr="00A30BF1">
        <w:rPr>
          <w:color w:val="000000"/>
          <w:sz w:val="20"/>
        </w:rPr>
        <w:br/>
        <w:t>Washington, DC</w:t>
      </w:r>
    </w:p>
    <w:p w14:paraId="4C06056A" w14:textId="63482216" w:rsidR="005124D8" w:rsidRPr="00A30BF1" w:rsidRDefault="00746872" w:rsidP="00A864C8">
      <w:pPr>
        <w:shd w:val="clear" w:color="auto" w:fill="FFFFFF"/>
        <w:spacing w:after="120" w:line="240" w:lineRule="auto"/>
        <w:jc w:val="left"/>
        <w:rPr>
          <w:color w:val="000000"/>
          <w:sz w:val="20"/>
        </w:rPr>
      </w:pPr>
      <w:r w:rsidRPr="00A30BF1">
        <w:rPr>
          <w:b/>
          <w:color w:val="000000"/>
          <w:sz w:val="20"/>
        </w:rPr>
        <w:t>Jesse Rothstein</w:t>
      </w:r>
      <w:r w:rsidRPr="00A30BF1">
        <w:rPr>
          <w:color w:val="000000"/>
          <w:sz w:val="20"/>
        </w:rPr>
        <w:br/>
        <w:t>Associate Professor of Public Policy and Economics</w:t>
      </w:r>
      <w:r w:rsidRPr="00A30BF1">
        <w:rPr>
          <w:color w:val="000000"/>
          <w:sz w:val="20"/>
        </w:rPr>
        <w:br/>
        <w:t>Richard &amp; Rhoda Goldman School of Public Policy</w:t>
      </w:r>
      <w:r w:rsidRPr="00A30BF1">
        <w:rPr>
          <w:color w:val="000000"/>
          <w:sz w:val="20"/>
        </w:rPr>
        <w:br/>
        <w:t>University of California, Berkeley</w:t>
      </w:r>
      <w:r w:rsidRPr="00A30BF1">
        <w:rPr>
          <w:color w:val="000000"/>
          <w:sz w:val="20"/>
        </w:rPr>
        <w:br/>
        <w:t>Berkeley, CA</w:t>
      </w:r>
    </w:p>
    <w:p w14:paraId="1E0A9C56"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Jeff Strohl</w:t>
      </w:r>
      <w:r w:rsidRPr="00A30BF1">
        <w:rPr>
          <w:color w:val="000000"/>
          <w:sz w:val="20"/>
        </w:rPr>
        <w:br/>
        <w:t>Director of Research</w:t>
      </w:r>
      <w:r w:rsidRPr="00A30BF1">
        <w:rPr>
          <w:color w:val="000000"/>
          <w:sz w:val="20"/>
        </w:rPr>
        <w:br/>
        <w:t>Center on Education and the Workforce</w:t>
      </w:r>
      <w:r w:rsidRPr="00A30BF1">
        <w:rPr>
          <w:color w:val="000000"/>
          <w:sz w:val="20"/>
        </w:rPr>
        <w:br/>
        <w:t>Georgetown Public Policy Institute</w:t>
      </w:r>
      <w:r w:rsidRPr="00A30BF1">
        <w:rPr>
          <w:color w:val="000000"/>
          <w:sz w:val="20"/>
        </w:rPr>
        <w:br/>
        <w:t>Georgetown University</w:t>
      </w:r>
      <w:r w:rsidRPr="00A30BF1">
        <w:rPr>
          <w:color w:val="000000"/>
          <w:sz w:val="20"/>
        </w:rPr>
        <w:br/>
        <w:t>Washington, DC</w:t>
      </w:r>
    </w:p>
    <w:p w14:paraId="0FE1F6E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Michelle Van Noy</w:t>
      </w:r>
      <w:r w:rsidRPr="00A30BF1">
        <w:rPr>
          <w:color w:val="000000"/>
          <w:sz w:val="20"/>
        </w:rPr>
        <w:br/>
        <w:t>Researcher</w:t>
      </w:r>
      <w:r w:rsidRPr="00A30BF1">
        <w:rPr>
          <w:color w:val="000000"/>
          <w:sz w:val="20"/>
        </w:rPr>
        <w:br/>
        <w:t>Heldrich Center for Workforce Development</w:t>
      </w:r>
      <w:r w:rsidRPr="00A30BF1">
        <w:rPr>
          <w:color w:val="000000"/>
          <w:sz w:val="20"/>
        </w:rPr>
        <w:br/>
        <w:t>Rutgers, The State University of New Jersey</w:t>
      </w:r>
      <w:r w:rsidRPr="00A30BF1">
        <w:rPr>
          <w:color w:val="000000"/>
          <w:sz w:val="20"/>
        </w:rPr>
        <w:br/>
        <w:t>New Brunswick, NJ</w:t>
      </w:r>
    </w:p>
    <w:p w14:paraId="6AC92EE4"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Holly Zanville</w:t>
      </w:r>
      <w:r w:rsidRPr="00A30BF1">
        <w:rPr>
          <w:color w:val="000000"/>
          <w:sz w:val="20"/>
        </w:rPr>
        <w:br/>
        <w:t>Senior Research Officer</w:t>
      </w:r>
      <w:r w:rsidRPr="00A30BF1">
        <w:rPr>
          <w:color w:val="000000"/>
          <w:sz w:val="20"/>
        </w:rPr>
        <w:br/>
        <w:t>Lumina Foundation</w:t>
      </w:r>
      <w:r w:rsidRPr="00A30BF1">
        <w:rPr>
          <w:color w:val="000000"/>
          <w:sz w:val="20"/>
        </w:rPr>
        <w:br/>
        <w:t>Indianapolis, IN</w:t>
      </w:r>
    </w:p>
    <w:p w14:paraId="4318C528" w14:textId="77777777" w:rsidR="005124D8" w:rsidRDefault="005124D8" w:rsidP="00A864C8">
      <w:pPr>
        <w:spacing w:line="240" w:lineRule="auto"/>
        <w:jc w:val="left"/>
        <w:rPr>
          <w:b/>
        </w:rPr>
        <w:sectPr w:rsidR="005124D8" w:rsidSect="00474007">
          <w:type w:val="continuous"/>
          <w:pgSz w:w="12240" w:h="15840"/>
          <w:pgMar w:top="1008" w:right="1008" w:bottom="1008" w:left="1008" w:header="720" w:footer="576" w:gutter="0"/>
          <w:pgNumType w:start="11"/>
          <w:cols w:num="2" w:space="720"/>
          <w:docGrid w:linePitch="360"/>
        </w:sectPr>
      </w:pPr>
    </w:p>
    <w:p w14:paraId="0EA5E768" w14:textId="77777777" w:rsidR="00E034C7" w:rsidRPr="007B0F3F" w:rsidRDefault="00E034C7" w:rsidP="007B0F3F">
      <w:pPr>
        <w:pStyle w:val="Heading1"/>
        <w:spacing w:after="0" w:line="240" w:lineRule="auto"/>
        <w:ind w:left="0" w:firstLine="0"/>
        <w:jc w:val="left"/>
        <w:rPr>
          <w:sz w:val="6"/>
          <w:szCs w:val="6"/>
        </w:rPr>
      </w:pPr>
    </w:p>
    <w:p w14:paraId="1271BF39" w14:textId="1C0FD4F1" w:rsidR="008478A9" w:rsidRDefault="008478A9" w:rsidP="00646A5F">
      <w:pPr>
        <w:pStyle w:val="Heading1"/>
        <w:spacing w:after="120" w:line="240" w:lineRule="auto"/>
        <w:ind w:left="0" w:firstLine="0"/>
        <w:jc w:val="left"/>
      </w:pPr>
      <w:r>
        <w:t>A.</w:t>
      </w:r>
      <w:r w:rsidR="00893A70">
        <w:t>9</w:t>
      </w:r>
      <w:r>
        <w:tab/>
        <w:t>Payments to Respondents</w:t>
      </w:r>
      <w:bookmarkEnd w:id="17"/>
      <w:bookmarkEnd w:id="18"/>
    </w:p>
    <w:p w14:paraId="60001E4D" w14:textId="77777777" w:rsidR="006A6E92" w:rsidRDefault="006A6E92" w:rsidP="00646A5F">
      <w:pPr>
        <w:pStyle w:val="P1-StandPara"/>
        <w:spacing w:after="120" w:line="240" w:lineRule="auto"/>
        <w:ind w:firstLine="0"/>
        <w:jc w:val="left"/>
      </w:pPr>
      <w:r>
        <w:rPr>
          <w:i/>
        </w:rPr>
        <w:t xml:space="preserve">Screener incentives. </w:t>
      </w:r>
      <w:r w:rsidR="008478A9">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w:t>
      </w:r>
      <w:r w:rsidR="003917AA">
        <w:t xml:space="preserve">The NHES:2011 Field Test included an incentive experiment at the screener level testing the effect of </w:t>
      </w:r>
      <w:r w:rsidR="002B27EB">
        <w:t>including a</w:t>
      </w:r>
      <w:r w:rsidR="003917AA">
        <w:t xml:space="preserve"> $2 cash incentive on response rates compared to a $5 cash incentive</w:t>
      </w:r>
      <w:r w:rsidR="002B27EB">
        <w:t xml:space="preserve"> in the initial screener mailing</w:t>
      </w:r>
      <w:r w:rsidR="003917AA">
        <w:t xml:space="preserve">. The $5 screener was associated with </w:t>
      </w:r>
      <w:r w:rsidR="002B27EB">
        <w:t>higher response rates than the $2 incentive, so the $5 incentive was used in the NHES:2012</w:t>
      </w:r>
      <w:r w:rsidR="00401B03">
        <w:t>.</w:t>
      </w:r>
      <w:r w:rsidR="005124D8">
        <w:t xml:space="preserve"> </w:t>
      </w:r>
      <w:r w:rsidR="00DA71EB">
        <w:lastRenderedPageBreak/>
        <w:t>R</w:t>
      </w:r>
      <w:r w:rsidR="00401083">
        <w:t>esults from the NHES-FS</w:t>
      </w:r>
      <w:r w:rsidR="00165D21">
        <w:t xml:space="preserve"> </w:t>
      </w:r>
      <w:r w:rsidR="00401083">
        <w:t xml:space="preserve">indicate that the </w:t>
      </w:r>
      <w:r w:rsidR="00401083" w:rsidRPr="0054737D">
        <w:t>$5 incentive is associated with higher response rates than no incentive. We will continue with this approach in</w:t>
      </w:r>
      <w:r w:rsidR="00401083" w:rsidRPr="00AB5148">
        <w:t xml:space="preserve"> </w:t>
      </w:r>
      <w:r w:rsidR="006747C5">
        <w:t>NHES:2016</w:t>
      </w:r>
      <w:r w:rsidR="00401083" w:rsidRPr="00AB5148">
        <w:t xml:space="preserve"> and use a $5 cash incentive in the first screener questionnaire mailing</w:t>
      </w:r>
      <w:r w:rsidR="009B533B">
        <w:t>, except for households allocated to the treatment groups for the incentive experiment</w:t>
      </w:r>
      <w:r w:rsidR="0004153F">
        <w:t xml:space="preserve"> (described in detail below</w:t>
      </w:r>
      <w:r w:rsidR="007928C1">
        <w:t xml:space="preserve"> and in section A-2 above</w:t>
      </w:r>
      <w:r w:rsidR="0004153F">
        <w:t>)</w:t>
      </w:r>
      <w:r w:rsidR="009B533B" w:rsidRPr="00AB5148">
        <w:t>.</w:t>
      </w:r>
    </w:p>
    <w:p w14:paraId="277E8B7A" w14:textId="69F4A25D" w:rsidR="008478A9" w:rsidRDefault="006A6E92" w:rsidP="00646A5F">
      <w:pPr>
        <w:pStyle w:val="P1-StandPara"/>
        <w:spacing w:after="120" w:line="240" w:lineRule="auto"/>
        <w:ind w:firstLine="0"/>
        <w:jc w:val="left"/>
      </w:pPr>
      <w:r>
        <w:rPr>
          <w:i/>
        </w:rPr>
        <w:t xml:space="preserve">Topical incentives. </w:t>
      </w:r>
      <w:r w:rsidR="002B27EB">
        <w:t>The 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the NHES.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rsidR="002B27EB">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rsidR="002B27EB">
        <w:t>ould</w:t>
      </w:r>
      <w:r w:rsidR="00401B03">
        <w:t xml:space="preserve"> benefit significantly by providing later screener respondents with a larger topical incentive. T</w:t>
      </w:r>
      <w:r w:rsidR="00FB4532">
        <w:t xml:space="preserve">o confirm this finding, </w:t>
      </w:r>
      <w:r w:rsidR="00BE3A5F">
        <w:t>NCES</w:t>
      </w:r>
      <w:r w:rsidR="00FB4532">
        <w:t xml:space="preserve"> </w:t>
      </w:r>
      <w:r w:rsidR="00401B03">
        <w:t>subsample</w:t>
      </w:r>
      <w:r w:rsidR="002B27EB">
        <w:t>d</w:t>
      </w:r>
      <w:r w:rsidR="00401B03">
        <w:t xml:space="preserve"> late screener respondents (those responding to the 3</w:t>
      </w:r>
      <w:r w:rsidR="00401B03" w:rsidRPr="00DB068E">
        <w:rPr>
          <w:vertAlign w:val="superscript"/>
        </w:rPr>
        <w:t>rd</w:t>
      </w:r>
      <w:r w:rsidR="00DB068E">
        <w:t xml:space="preserve"> </w:t>
      </w:r>
      <w:r w:rsidR="00401B03">
        <w:t>or 4</w:t>
      </w:r>
      <w:r w:rsidR="00401B03" w:rsidRPr="00DB068E">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rsidR="002B27EB">
        <w:t xml:space="preserve"> The results from the NHES:2012</w:t>
      </w:r>
      <w:r w:rsidR="00421D6E">
        <w:t xml:space="preserve"> </w:t>
      </w:r>
      <w:r w:rsidR="00FB4532">
        <w:t>indicate that among later screener responders, the $15 incentive was associated with higher response rates compared to the $5 incentiv</w:t>
      </w:r>
      <w:r w:rsidR="00FB4532" w:rsidRPr="003839FD">
        <w:t xml:space="preserve">e. Based on these findings, </w:t>
      </w:r>
      <w:r w:rsidR="00BE3A5F">
        <w:t>the same strategy is planned for</w:t>
      </w:r>
      <w:r w:rsidR="00E21EC6">
        <w:t xml:space="preserve"> </w:t>
      </w:r>
      <w:r w:rsidR="006747C5">
        <w:t>NHES:2016</w:t>
      </w:r>
      <w:r w:rsidR="00F42625">
        <w:t>. NCES will</w:t>
      </w:r>
      <w:r w:rsidR="00FB4532" w:rsidRPr="003839FD">
        <w:t xml:space="preserve"> send a $5 cash incentive in the initial topical mailing to cases that respond to the first or second screener mailing and a $15 cash incentive</w:t>
      </w:r>
      <w:r w:rsidR="00AE4BFC" w:rsidRPr="003839FD">
        <w:t xml:space="preserve"> in the initial topical mailing to any cases that respond later than three days after the third screener mailing.</w:t>
      </w:r>
    </w:p>
    <w:p w14:paraId="42B4C693" w14:textId="5BA1297A" w:rsidR="00DE2EEF" w:rsidRDefault="006A6E92" w:rsidP="006B71FB">
      <w:pPr>
        <w:pStyle w:val="P1-StandPara"/>
        <w:spacing w:after="120" w:line="240" w:lineRule="auto"/>
        <w:ind w:firstLine="0"/>
        <w:jc w:val="left"/>
      </w:pPr>
      <w:r>
        <w:rPr>
          <w:i/>
        </w:rPr>
        <w:t xml:space="preserve">Targeted incentive experiment incentives. </w:t>
      </w:r>
      <w:r w:rsidR="00694BD9">
        <w:t xml:space="preserve">As described </w:t>
      </w:r>
      <w:r w:rsidR="007928C1">
        <w:t>in section A-2</w:t>
      </w:r>
      <w:r w:rsidR="00694BD9">
        <w:t>, the NHES:2016 will also include a targeted incentive experiment de</w:t>
      </w:r>
      <w:r w:rsidR="00E4697F">
        <w:t xml:space="preserve">signed to examine the effectiveness of leveraging auxiliary frame data to </w:t>
      </w:r>
      <w:r w:rsidR="00984558">
        <w:t xml:space="preserve">target lower screener incentives to households expected to be most likely to respond regardless of incentive amount, and higher screener incentives to households expected to be less likely to respond. </w:t>
      </w:r>
      <w:r w:rsidR="009E1CEB">
        <w:t xml:space="preserve">The </w:t>
      </w:r>
      <w:r w:rsidR="001D5E48">
        <w:t>plan for the screener incentive experiment</w:t>
      </w:r>
      <w:r w:rsidR="009E1CEB">
        <w:t xml:space="preserve"> is described below. </w:t>
      </w:r>
    </w:p>
    <w:p w14:paraId="26E7202C" w14:textId="41163ADF" w:rsidR="00364B48" w:rsidRDefault="009E2CB9" w:rsidP="00DE2EEF">
      <w:pPr>
        <w:pStyle w:val="P1-StandPara"/>
        <w:spacing w:after="120" w:line="240" w:lineRule="auto"/>
        <w:ind w:firstLine="0"/>
        <w:jc w:val="left"/>
      </w:pPr>
      <w:r>
        <w:t>The allocation to the targeted incentive experiment totals 45,000 households</w:t>
      </w:r>
      <w:r w:rsidR="009A2826">
        <w:t xml:space="preserve">, of which 35,000 will be randomly selected for the </w:t>
      </w:r>
      <w:r w:rsidR="00604B00">
        <w:t>“mod</w:t>
      </w:r>
      <w:r>
        <w:t>eled incentive treatment group”</w:t>
      </w:r>
      <w:r w:rsidR="00DE2EEF">
        <w:t xml:space="preserve"> </w:t>
      </w:r>
      <w:r w:rsidR="009A2826">
        <w:t>and 10,000 will be randomly selected for the “$2-only treatment group.” R</w:t>
      </w:r>
      <w:r w:rsidR="00DE2EEF">
        <w:t xml:space="preserve">espondents </w:t>
      </w:r>
      <w:r w:rsidR="00001E7E">
        <w:t xml:space="preserve">in the </w:t>
      </w:r>
      <w:r w:rsidR="009A2826">
        <w:t xml:space="preserve">modeled incentive treatment group </w:t>
      </w:r>
      <w:r w:rsidR="00DE2EEF">
        <w:t xml:space="preserve">will be placed in one of </w:t>
      </w:r>
      <w:r w:rsidR="00367164">
        <w:t>four</w:t>
      </w:r>
      <w:r w:rsidR="00DE2EEF">
        <w:t xml:space="preserve"> treatments, depending on the predicted response propensity attributed to that </w:t>
      </w:r>
      <w:r w:rsidR="001749FA">
        <w:t>address</w:t>
      </w:r>
      <w:r w:rsidR="00DE2EEF">
        <w:t xml:space="preserve">. </w:t>
      </w:r>
      <w:r w:rsidR="007928C1">
        <w:t>To predict response propensity for sample members, a</w:t>
      </w:r>
      <w:r w:rsidR="001749FA">
        <w:t xml:space="preserve"> </w:t>
      </w:r>
      <w:r w:rsidR="00FE25EE">
        <w:t>logistic regression</w:t>
      </w:r>
      <w:r w:rsidR="004743C7">
        <w:t xml:space="preserve"> model </w:t>
      </w:r>
      <w:r w:rsidR="00367164">
        <w:t>was</w:t>
      </w:r>
      <w:r w:rsidR="004743C7">
        <w:t xml:space="preserve"> </w:t>
      </w:r>
      <w:r w:rsidR="00C3756C">
        <w:t>estimated using</w:t>
      </w:r>
      <w:r w:rsidR="004743C7">
        <w:t xml:space="preserve"> the 2014 NHES</w:t>
      </w:r>
      <w:r w:rsidR="00BC3BC0">
        <w:t>-FS</w:t>
      </w:r>
      <w:r w:rsidR="004743C7">
        <w:t xml:space="preserve"> screener </w:t>
      </w:r>
      <w:r w:rsidR="00F72E5F">
        <w:t>sample</w:t>
      </w:r>
      <w:r w:rsidR="004743C7">
        <w:t xml:space="preserve">, with </w:t>
      </w:r>
      <w:r w:rsidR="001F2021">
        <w:t>each</w:t>
      </w:r>
      <w:r w:rsidR="005A0287">
        <w:t xml:space="preserve"> household’s </w:t>
      </w:r>
      <w:r w:rsidR="00800FDE">
        <w:t xml:space="preserve">final </w:t>
      </w:r>
      <w:r w:rsidR="00652E7A">
        <w:t xml:space="preserve">screener </w:t>
      </w:r>
      <w:r w:rsidR="005A0287">
        <w:t xml:space="preserve">response status (respondent or nonrespondent) as the dependent variable and a set of demographic characteristics (obtained from </w:t>
      </w:r>
      <w:r w:rsidR="002B7168">
        <w:t xml:space="preserve">block group- or tract-level Census data and </w:t>
      </w:r>
      <w:r w:rsidR="005A0287">
        <w:t>commercially available auxiliary data appended to the frame</w:t>
      </w:r>
      <w:r>
        <w:t xml:space="preserve"> such as race/ethnicity makeup of Census block group or tract, age makeup of Census block group or tract, whether or not the address has a phone number match, and the Census Bureau’s value for a “low response score” for the address’s block group or tract</w:t>
      </w:r>
      <w:r w:rsidR="005A0287">
        <w:t>)</w:t>
      </w:r>
      <w:r w:rsidR="002B7168">
        <w:t xml:space="preserve"> as the independent variables. </w:t>
      </w:r>
      <w:r w:rsidR="007D5F12">
        <w:t>The resulting</w:t>
      </w:r>
      <w:r w:rsidR="00C3756C">
        <w:t xml:space="preserve"> model </w:t>
      </w:r>
      <w:r w:rsidR="009045A9">
        <w:t xml:space="preserve">coefficients </w:t>
      </w:r>
      <w:r w:rsidR="00C3756C">
        <w:t xml:space="preserve">will be applied to </w:t>
      </w:r>
      <w:r w:rsidR="00A5090A">
        <w:t>the NHES:2016 cases assigned to the modeled incentive group</w:t>
      </w:r>
      <w:r w:rsidR="003A665F">
        <w:t xml:space="preserve">, generating a </w:t>
      </w:r>
      <w:r w:rsidR="00A65167">
        <w:t>predicted response propensity for each address</w:t>
      </w:r>
      <w:r w:rsidR="007D5F12">
        <w:t xml:space="preserve">. </w:t>
      </w:r>
      <w:r w:rsidR="00AD6FB2">
        <w:t>Households in the modeled incentive group will be sorted</w:t>
      </w:r>
      <w:r w:rsidR="00D82B02">
        <w:t xml:space="preserve"> by their predicted response propensities and divided</w:t>
      </w:r>
      <w:r w:rsidR="00AD6FB2">
        <w:t xml:space="preserve"> into </w:t>
      </w:r>
      <w:r w:rsidR="00367164">
        <w:t>four</w:t>
      </w:r>
      <w:r w:rsidR="00AD6FB2">
        <w:t xml:space="preserve"> strata:</w:t>
      </w:r>
    </w:p>
    <w:p w14:paraId="6C9B768D" w14:textId="77777777" w:rsidR="00364B48" w:rsidRDefault="00AD6FB2" w:rsidP="00364B48">
      <w:pPr>
        <w:pStyle w:val="P1-StandPara"/>
        <w:numPr>
          <w:ilvl w:val="0"/>
          <w:numId w:val="8"/>
        </w:numPr>
        <w:spacing w:after="120" w:line="240" w:lineRule="auto"/>
        <w:jc w:val="left"/>
      </w:pPr>
      <w:r>
        <w:t xml:space="preserve">a </w:t>
      </w:r>
      <w:r w:rsidR="00670792">
        <w:t xml:space="preserve">very </w:t>
      </w:r>
      <w:r>
        <w:t>high-propensity stratum (those whose predicted re</w:t>
      </w:r>
      <w:r w:rsidR="00364B48">
        <w:t>sponse propensity is above the 9</w:t>
      </w:r>
      <w:r>
        <w:t>5</w:t>
      </w:r>
      <w:r w:rsidRPr="009A4F5B">
        <w:rPr>
          <w:vertAlign w:val="superscript"/>
        </w:rPr>
        <w:t>th</w:t>
      </w:r>
      <w:r>
        <w:t xml:space="preserve"> percentile</w:t>
      </w:r>
      <w:r w:rsidR="00364B48">
        <w:t>—having response rates above 90 percent</w:t>
      </w:r>
      <w:r>
        <w:t xml:space="preserve">), </w:t>
      </w:r>
    </w:p>
    <w:p w14:paraId="1CCD9366" w14:textId="77777777" w:rsidR="00364B48" w:rsidRDefault="00AD6FB2" w:rsidP="00364B48">
      <w:pPr>
        <w:pStyle w:val="P1-StandPara"/>
        <w:numPr>
          <w:ilvl w:val="0"/>
          <w:numId w:val="8"/>
        </w:numPr>
        <w:spacing w:after="120" w:line="240" w:lineRule="auto"/>
        <w:jc w:val="left"/>
      </w:pPr>
      <w:r>
        <w:t xml:space="preserve">a </w:t>
      </w:r>
      <w:r w:rsidR="00364B48">
        <w:t>high-propensity stratum (those whose predicted response propensity is between the 75</w:t>
      </w:r>
      <w:r w:rsidR="00364B48" w:rsidRPr="00364B48">
        <w:rPr>
          <w:vertAlign w:val="superscript"/>
        </w:rPr>
        <w:t>th</w:t>
      </w:r>
      <w:r w:rsidR="00364B48">
        <w:t xml:space="preserve"> and 95</w:t>
      </w:r>
      <w:r w:rsidR="00364B48" w:rsidRPr="00364B48">
        <w:rPr>
          <w:vertAlign w:val="superscript"/>
        </w:rPr>
        <w:t>th</w:t>
      </w:r>
      <w:r w:rsidR="00364B48">
        <w:t xml:space="preserve"> percentile—having response rates between 80 and 90 percent), </w:t>
      </w:r>
    </w:p>
    <w:p w14:paraId="38530A70" w14:textId="77777777" w:rsidR="00364B48" w:rsidRDefault="00364B48" w:rsidP="00364B48">
      <w:pPr>
        <w:pStyle w:val="P1-StandPara"/>
        <w:numPr>
          <w:ilvl w:val="0"/>
          <w:numId w:val="8"/>
        </w:numPr>
        <w:spacing w:after="120" w:line="240" w:lineRule="auto"/>
        <w:jc w:val="left"/>
      </w:pPr>
      <w:r>
        <w:t xml:space="preserve">a </w:t>
      </w:r>
      <w:r w:rsidR="00AD6FB2">
        <w:t>medium-propensity stratum (those whose predicted resp</w:t>
      </w:r>
      <w:r>
        <w:t>onse propensity is between the 1</w:t>
      </w:r>
      <w:r w:rsidR="00AD6FB2">
        <w:t>5</w:t>
      </w:r>
      <w:r w:rsidR="00AD6FB2" w:rsidRPr="009A4F5B">
        <w:rPr>
          <w:vertAlign w:val="superscript"/>
        </w:rPr>
        <w:t>th</w:t>
      </w:r>
      <w:r>
        <w:t xml:space="preserve"> and 74</w:t>
      </w:r>
      <w:r w:rsidR="00AD6FB2" w:rsidRPr="009A4F5B">
        <w:rPr>
          <w:vertAlign w:val="superscript"/>
        </w:rPr>
        <w:t>th</w:t>
      </w:r>
      <w:r w:rsidR="00AD6FB2">
        <w:t xml:space="preserve"> percentiles</w:t>
      </w:r>
      <w:r>
        <w:t>—having response rates approximately equal to the overall NHES-FS screener response rate of 69 percent</w:t>
      </w:r>
      <w:r w:rsidR="00AD6FB2">
        <w:t xml:space="preserve">), </w:t>
      </w:r>
    </w:p>
    <w:p w14:paraId="1DBDAE0A" w14:textId="77777777" w:rsidR="00364B48" w:rsidRDefault="00AD6FB2" w:rsidP="00364B48">
      <w:pPr>
        <w:pStyle w:val="P1-StandPara"/>
        <w:numPr>
          <w:ilvl w:val="0"/>
          <w:numId w:val="8"/>
        </w:numPr>
        <w:spacing w:after="120" w:line="240" w:lineRule="auto"/>
        <w:jc w:val="left"/>
      </w:pPr>
      <w:r>
        <w:t>and a low-propensity stratum (those whose predicted re</w:t>
      </w:r>
      <w:r w:rsidR="00364B48">
        <w:t>sponse propensity is below the 1</w:t>
      </w:r>
      <w:r>
        <w:t>5</w:t>
      </w:r>
      <w:r w:rsidRPr="009A4F5B">
        <w:rPr>
          <w:vertAlign w:val="superscript"/>
        </w:rPr>
        <w:t>th</w:t>
      </w:r>
      <w:r>
        <w:t xml:space="preserve"> percentile</w:t>
      </w:r>
      <w:r w:rsidR="00364B48">
        <w:t>—having response rates below 50 percent</w:t>
      </w:r>
      <w:r>
        <w:t xml:space="preserve">). </w:t>
      </w:r>
    </w:p>
    <w:p w14:paraId="1CC2975D" w14:textId="070F00FD" w:rsidR="009E2CB9" w:rsidRDefault="00DE2EEF" w:rsidP="00364B48">
      <w:pPr>
        <w:pStyle w:val="P1-StandPara"/>
        <w:spacing w:after="120" w:line="240" w:lineRule="auto"/>
        <w:ind w:firstLine="0"/>
        <w:jc w:val="left"/>
      </w:pPr>
      <w:r>
        <w:t xml:space="preserve">Households </w:t>
      </w:r>
      <w:r w:rsidR="005A10F9">
        <w:t xml:space="preserve">in the </w:t>
      </w:r>
      <w:r w:rsidR="00364B48">
        <w:t xml:space="preserve">very </w:t>
      </w:r>
      <w:r w:rsidR="005A10F9">
        <w:t xml:space="preserve">high-propensity stratum </w:t>
      </w:r>
      <w:r>
        <w:t xml:space="preserve">will receive </w:t>
      </w:r>
      <w:r w:rsidR="00364B48">
        <w:t>$0 with the NHES screener. Households in the high-propensity stratum will receive a $2</w:t>
      </w:r>
      <w:r w:rsidR="004B709F">
        <w:t xml:space="preserve"> screener incentive</w:t>
      </w:r>
      <w:r>
        <w:t xml:space="preserve">, and households </w:t>
      </w:r>
      <w:r w:rsidR="005A10F9">
        <w:t xml:space="preserve">in the low-propensity stratum </w:t>
      </w:r>
      <w:r w:rsidR="00364B48">
        <w:t>will receive $10</w:t>
      </w:r>
      <w:r>
        <w:t xml:space="preserve">. </w:t>
      </w:r>
      <w:r w:rsidR="00F46AAE">
        <w:t xml:space="preserve">The remaining households in </w:t>
      </w:r>
      <w:r w:rsidR="008E0C18">
        <w:t>the modeled incentive group (</w:t>
      </w:r>
      <w:r w:rsidR="00F46AAE">
        <w:t>the medium-propensity stratum</w:t>
      </w:r>
      <w:r w:rsidR="008E0C18">
        <w:t>)</w:t>
      </w:r>
      <w:r>
        <w:t xml:space="preserve"> will receive the same $5 screener incentive as the main NHES sample. The treatment group will be compared to the control group in the main NHES sample (which will receive the standard $5</w:t>
      </w:r>
      <w:r w:rsidR="00652A65">
        <w:t xml:space="preserve"> screener</w:t>
      </w:r>
      <w:r>
        <w:t xml:space="preserve"> incentive) on the following dimensions: screener response rate (overall and by key subgroups); topical response rate; cost per unit (incentive + mailing costs only); demographic characteristics (from both frame and topical data); responses to key survey items; differences </w:t>
      </w:r>
      <w:r>
        <w:lastRenderedPageBreak/>
        <w:t>between respondents and nonrespondents in frame indicators used to target the incentives; and resp</w:t>
      </w:r>
      <w:r w:rsidR="001638C9">
        <w:t>onse quality among respondents.</w:t>
      </w:r>
    </w:p>
    <w:p w14:paraId="42856272" w14:textId="047EC305" w:rsidR="00581E30" w:rsidRDefault="009A2826" w:rsidP="009A2826">
      <w:pPr>
        <w:jc w:val="left"/>
      </w:pPr>
      <w:r>
        <w:t>Though we had initially p</w:t>
      </w:r>
      <w:r w:rsidR="00364B48">
        <w:t xml:space="preserve">lanned to send $7 to the quarter of households with the lowest response propensity, we refined the threshold to only the lowest 15 percent. </w:t>
      </w:r>
      <w:r>
        <w:t>O</w:t>
      </w:r>
      <w:r w:rsidR="00364B48">
        <w:t>utside experts on incentive</w:t>
      </w:r>
      <w:r>
        <w:t>s</w:t>
      </w:r>
      <w:r w:rsidR="00364B48">
        <w:t xml:space="preserve">, including Dr. Paul Lavrakas, have advised us that $7 </w:t>
      </w:r>
      <w:r w:rsidR="00BE17EF">
        <w:t>is not likely to have a</w:t>
      </w:r>
      <w:r w:rsidR="00364B48">
        <w:t xml:space="preserve"> different effect on respondents than $5. </w:t>
      </w:r>
    </w:p>
    <w:p w14:paraId="3A8F7CC0" w14:textId="77777777" w:rsidR="00581E30" w:rsidRDefault="00581E30" w:rsidP="009A2826">
      <w:pPr>
        <w:jc w:val="left"/>
      </w:pPr>
    </w:p>
    <w:p w14:paraId="1F84C3CC" w14:textId="1DACF606" w:rsidR="00364B48" w:rsidRDefault="00364B48" w:rsidP="009A2826">
      <w:pPr>
        <w:jc w:val="left"/>
      </w:pPr>
      <w:r>
        <w:t xml:space="preserve">To truly test the success of increased incentives on response among low response propensity households, we plan to test $10 in this group. </w:t>
      </w:r>
      <w:r w:rsidR="009A2826">
        <w:t>Ten dollars</w:t>
      </w:r>
      <w:r>
        <w:t xml:space="preserve"> was chosen because </w:t>
      </w:r>
      <w:r w:rsidR="00A97E65">
        <w:t>it</w:t>
      </w:r>
      <w:r>
        <w:t xml:space="preserve"> is </w:t>
      </w:r>
      <w:r w:rsidR="00A97E65">
        <w:t xml:space="preserve">currently </w:t>
      </w:r>
      <w:r>
        <w:t xml:space="preserve">the maximum amount </w:t>
      </w:r>
      <w:r w:rsidR="009A2826">
        <w:t>feasible to pay</w:t>
      </w:r>
      <w:r>
        <w:t xml:space="preserve"> an NHES screener respondent. Therefore, the results of this experiment will allow us to determine whether or not a larger incentive will entice these households to respond. If we find that these households do not respond at increased rates to $10 compared to $5, we will seek alternative contact procedures or other alternative survey design features to attract these respondents in future NHES administrations, knowing that increased incentives are not successful. With an incentive amount below the maximum we would be willing to pay, we would not ultimately know if a larger amount would have been sufficiently successful to increase response, rather than having to explore more costly contact procedures</w:t>
      </w:r>
      <w:r w:rsidR="00A97E65">
        <w:t>,</w:t>
      </w:r>
      <w:r>
        <w:t xml:space="preserve"> such as in-person data collection to attract the low response propensity cases.</w:t>
      </w:r>
    </w:p>
    <w:p w14:paraId="2DB19603" w14:textId="77777777" w:rsidR="00581E30" w:rsidRDefault="00581E30" w:rsidP="009A2826">
      <w:pPr>
        <w:jc w:val="left"/>
      </w:pPr>
    </w:p>
    <w:p w14:paraId="43581D8F" w14:textId="495D5485" w:rsidR="00364B48" w:rsidRDefault="00364B48" w:rsidP="009A2826">
      <w:pPr>
        <w:jc w:val="left"/>
      </w:pPr>
      <w:r>
        <w:t>We also believe that testing $10 with the lowest response propensity group is important be</w:t>
      </w:r>
      <w:r w:rsidR="00A97E65">
        <w:t xml:space="preserve">cause this group </w:t>
      </w:r>
      <w:r>
        <w:t>contains a higher proportion of households with children. Almost 39 percent of households in the lowest response propensity group are predicted to have a child eligible for either the NHES Early Childhood Program Participation survey or the Parent and Family Involvement in Education survey. This is a higher proportion of child survey eligibility than exists in any other response propensity group, and is also higher than the eligibility rate for the total NHES:FS sample of 30.7 percent. See Table 1 below for details.</w:t>
      </w:r>
    </w:p>
    <w:p w14:paraId="10D4B6C7" w14:textId="77777777" w:rsidR="00581E30" w:rsidRDefault="00581E30" w:rsidP="00364B48"/>
    <w:tbl>
      <w:tblPr>
        <w:tblW w:w="5000" w:type="pct"/>
        <w:jc w:val="center"/>
        <w:tblLook w:val="04A0" w:firstRow="1" w:lastRow="0" w:firstColumn="1" w:lastColumn="0" w:noHBand="0" w:noVBand="1"/>
      </w:tblPr>
      <w:tblGrid>
        <w:gridCol w:w="3355"/>
        <w:gridCol w:w="2061"/>
        <w:gridCol w:w="2552"/>
        <w:gridCol w:w="2472"/>
      </w:tblGrid>
      <w:tr w:rsidR="00364B48" w14:paraId="1E9B1D3A" w14:textId="77777777" w:rsidTr="00581E30">
        <w:trPr>
          <w:trHeight w:val="600"/>
          <w:jc w:val="center"/>
        </w:trPr>
        <w:tc>
          <w:tcPr>
            <w:tcW w:w="5000" w:type="pct"/>
            <w:gridSpan w:val="4"/>
            <w:tcBorders>
              <w:bottom w:val="single" w:sz="18" w:space="0" w:color="auto"/>
            </w:tcBorders>
            <w:vAlign w:val="center"/>
            <w:hideMark/>
          </w:tcPr>
          <w:p w14:paraId="2672D67C" w14:textId="77777777" w:rsidR="00364B48" w:rsidRDefault="00364B48" w:rsidP="004B4AEC">
            <w:pPr>
              <w:spacing w:line="240" w:lineRule="auto"/>
              <w:jc w:val="left"/>
              <w:rPr>
                <w:b/>
                <w:bCs/>
                <w:color w:val="000000"/>
              </w:rPr>
            </w:pPr>
            <w:r>
              <w:rPr>
                <w:b/>
                <w:bCs/>
                <w:color w:val="000000"/>
              </w:rPr>
              <w:t>Table 1. NHES child survey eligibility rates by predicted household response propensity score thresholds, incentive groups, and NHES Feasibility Study:2014 response rates</w:t>
            </w:r>
          </w:p>
        </w:tc>
      </w:tr>
      <w:tr w:rsidR="00364B48" w:rsidRPr="00605A53" w14:paraId="31C897B6" w14:textId="77777777" w:rsidTr="00581E30">
        <w:trPr>
          <w:trHeight w:val="318"/>
          <w:jc w:val="center"/>
        </w:trPr>
        <w:tc>
          <w:tcPr>
            <w:tcW w:w="1607" w:type="pct"/>
            <w:tcBorders>
              <w:top w:val="single" w:sz="18" w:space="0" w:color="auto"/>
              <w:bottom w:val="single" w:sz="12" w:space="0" w:color="auto"/>
            </w:tcBorders>
            <w:vAlign w:val="center"/>
            <w:hideMark/>
          </w:tcPr>
          <w:p w14:paraId="3FBD0D2B" w14:textId="77777777" w:rsidR="00364B48" w:rsidRDefault="00364B48" w:rsidP="009A2826">
            <w:pPr>
              <w:spacing w:line="240" w:lineRule="auto"/>
              <w:jc w:val="center"/>
              <w:rPr>
                <w:bCs/>
                <w:color w:val="000000"/>
                <w:sz w:val="20"/>
              </w:rPr>
            </w:pPr>
            <w:r>
              <w:rPr>
                <w:bCs/>
                <w:color w:val="000000"/>
                <w:sz w:val="20"/>
              </w:rPr>
              <w:t>Predicted response propensity</w:t>
            </w:r>
          </w:p>
        </w:tc>
        <w:tc>
          <w:tcPr>
            <w:tcW w:w="987" w:type="pct"/>
            <w:tcBorders>
              <w:top w:val="single" w:sz="18" w:space="0" w:color="auto"/>
              <w:bottom w:val="single" w:sz="12" w:space="0" w:color="auto"/>
            </w:tcBorders>
            <w:noWrap/>
            <w:vAlign w:val="center"/>
            <w:hideMark/>
          </w:tcPr>
          <w:p w14:paraId="52AEEEF4" w14:textId="77777777" w:rsidR="00364B48" w:rsidRDefault="00364B48" w:rsidP="009A2826">
            <w:pPr>
              <w:spacing w:line="240" w:lineRule="auto"/>
              <w:jc w:val="center"/>
              <w:rPr>
                <w:bCs/>
                <w:color w:val="000000"/>
                <w:sz w:val="20"/>
              </w:rPr>
            </w:pPr>
            <w:r>
              <w:rPr>
                <w:bCs/>
                <w:color w:val="000000"/>
                <w:sz w:val="20"/>
              </w:rPr>
              <w:t>Incentive amount</w:t>
            </w:r>
          </w:p>
        </w:tc>
        <w:tc>
          <w:tcPr>
            <w:tcW w:w="1222" w:type="pct"/>
            <w:tcBorders>
              <w:top w:val="single" w:sz="18" w:space="0" w:color="auto"/>
              <w:bottom w:val="single" w:sz="12" w:space="0" w:color="auto"/>
            </w:tcBorders>
            <w:vAlign w:val="center"/>
            <w:hideMark/>
          </w:tcPr>
          <w:p w14:paraId="1C11F9A8" w14:textId="77777777" w:rsidR="00364B48" w:rsidRDefault="00364B48" w:rsidP="009A2826">
            <w:pPr>
              <w:spacing w:line="240" w:lineRule="auto"/>
              <w:jc w:val="center"/>
              <w:rPr>
                <w:bCs/>
                <w:color w:val="000000"/>
                <w:sz w:val="20"/>
              </w:rPr>
            </w:pPr>
            <w:r>
              <w:rPr>
                <w:bCs/>
                <w:color w:val="000000"/>
                <w:sz w:val="20"/>
              </w:rPr>
              <w:t>NHES child survey eligibility rate</w:t>
            </w:r>
          </w:p>
        </w:tc>
        <w:tc>
          <w:tcPr>
            <w:tcW w:w="1184" w:type="pct"/>
            <w:tcBorders>
              <w:top w:val="single" w:sz="18" w:space="0" w:color="auto"/>
              <w:bottom w:val="single" w:sz="12" w:space="0" w:color="auto"/>
            </w:tcBorders>
          </w:tcPr>
          <w:p w14:paraId="78A374E6" w14:textId="77777777" w:rsidR="00364B48" w:rsidRDefault="00364B48" w:rsidP="009A2826">
            <w:pPr>
              <w:spacing w:line="240" w:lineRule="auto"/>
              <w:jc w:val="center"/>
              <w:rPr>
                <w:bCs/>
                <w:color w:val="000000"/>
                <w:sz w:val="20"/>
              </w:rPr>
            </w:pPr>
            <w:r>
              <w:rPr>
                <w:bCs/>
                <w:color w:val="000000"/>
                <w:sz w:val="20"/>
              </w:rPr>
              <w:t>NHES:FS screener response rates</w:t>
            </w:r>
          </w:p>
        </w:tc>
      </w:tr>
      <w:tr w:rsidR="00364B48" w14:paraId="27615A07" w14:textId="77777777" w:rsidTr="00581E30">
        <w:trPr>
          <w:trHeight w:val="315"/>
          <w:jc w:val="center"/>
        </w:trPr>
        <w:tc>
          <w:tcPr>
            <w:tcW w:w="1607" w:type="pct"/>
            <w:tcBorders>
              <w:top w:val="single" w:sz="12" w:space="0" w:color="auto"/>
            </w:tcBorders>
            <w:vAlign w:val="center"/>
          </w:tcPr>
          <w:p w14:paraId="7770FA34" w14:textId="77777777" w:rsidR="00364B48" w:rsidRDefault="00364B48" w:rsidP="009A2826">
            <w:pPr>
              <w:spacing w:line="240" w:lineRule="auto"/>
              <w:rPr>
                <w:color w:val="000000"/>
                <w:sz w:val="20"/>
              </w:rPr>
            </w:pPr>
            <w:r>
              <w:rPr>
                <w:color w:val="000000"/>
                <w:sz w:val="20"/>
              </w:rPr>
              <w:t>Total across all households</w:t>
            </w:r>
          </w:p>
        </w:tc>
        <w:tc>
          <w:tcPr>
            <w:tcW w:w="987" w:type="pct"/>
            <w:tcBorders>
              <w:top w:val="single" w:sz="12" w:space="0" w:color="auto"/>
            </w:tcBorders>
            <w:noWrap/>
            <w:vAlign w:val="center"/>
          </w:tcPr>
          <w:p w14:paraId="443B9BF8" w14:textId="77777777" w:rsidR="00364B48" w:rsidRDefault="00364B48" w:rsidP="009A2826">
            <w:pPr>
              <w:spacing w:line="240" w:lineRule="auto"/>
              <w:jc w:val="right"/>
              <w:rPr>
                <w:color w:val="000000"/>
                <w:sz w:val="20"/>
              </w:rPr>
            </w:pPr>
          </w:p>
        </w:tc>
        <w:tc>
          <w:tcPr>
            <w:tcW w:w="1222" w:type="pct"/>
            <w:tcBorders>
              <w:top w:val="single" w:sz="12" w:space="0" w:color="auto"/>
            </w:tcBorders>
            <w:vAlign w:val="center"/>
          </w:tcPr>
          <w:p w14:paraId="3DDB5555" w14:textId="77777777" w:rsidR="00364B48" w:rsidRDefault="00364B48" w:rsidP="009A2826">
            <w:pPr>
              <w:spacing w:line="240" w:lineRule="auto"/>
              <w:jc w:val="right"/>
              <w:rPr>
                <w:color w:val="000000"/>
                <w:sz w:val="20"/>
              </w:rPr>
            </w:pPr>
            <w:r>
              <w:rPr>
                <w:color w:val="000000"/>
                <w:sz w:val="20"/>
              </w:rPr>
              <w:t>30.7</w:t>
            </w:r>
          </w:p>
        </w:tc>
        <w:tc>
          <w:tcPr>
            <w:tcW w:w="1184" w:type="pct"/>
            <w:tcBorders>
              <w:top w:val="single" w:sz="12" w:space="0" w:color="auto"/>
            </w:tcBorders>
          </w:tcPr>
          <w:p w14:paraId="2265685C" w14:textId="77777777" w:rsidR="00364B48" w:rsidRDefault="00364B48" w:rsidP="009A2826">
            <w:pPr>
              <w:spacing w:line="240" w:lineRule="auto"/>
              <w:jc w:val="right"/>
              <w:rPr>
                <w:color w:val="000000"/>
                <w:sz w:val="20"/>
              </w:rPr>
            </w:pPr>
            <w:r>
              <w:rPr>
                <w:color w:val="000000"/>
                <w:sz w:val="20"/>
              </w:rPr>
              <w:t>68.7</w:t>
            </w:r>
          </w:p>
        </w:tc>
      </w:tr>
      <w:tr w:rsidR="00364B48" w14:paraId="68A44C0F" w14:textId="77777777" w:rsidTr="00581E30">
        <w:trPr>
          <w:trHeight w:val="315"/>
          <w:jc w:val="center"/>
        </w:trPr>
        <w:tc>
          <w:tcPr>
            <w:tcW w:w="1607" w:type="pct"/>
            <w:vAlign w:val="center"/>
            <w:hideMark/>
          </w:tcPr>
          <w:p w14:paraId="5CC798C1" w14:textId="77777777" w:rsidR="00364B48" w:rsidRDefault="00364B48" w:rsidP="009A2826">
            <w:pPr>
              <w:spacing w:line="240" w:lineRule="auto"/>
              <w:rPr>
                <w:color w:val="000000"/>
                <w:sz w:val="20"/>
              </w:rPr>
            </w:pPr>
            <w:r>
              <w:rPr>
                <w:color w:val="000000"/>
                <w:sz w:val="20"/>
              </w:rPr>
              <w:t>Very high (above 95th percentile)</w:t>
            </w:r>
          </w:p>
        </w:tc>
        <w:tc>
          <w:tcPr>
            <w:tcW w:w="987" w:type="pct"/>
            <w:noWrap/>
            <w:vAlign w:val="center"/>
            <w:hideMark/>
          </w:tcPr>
          <w:p w14:paraId="703C18A0" w14:textId="77777777" w:rsidR="00364B48" w:rsidRDefault="00364B48" w:rsidP="009A2826">
            <w:pPr>
              <w:spacing w:line="240" w:lineRule="auto"/>
              <w:jc w:val="right"/>
              <w:rPr>
                <w:color w:val="000000"/>
                <w:sz w:val="20"/>
              </w:rPr>
            </w:pPr>
            <w:r>
              <w:rPr>
                <w:color w:val="000000"/>
                <w:sz w:val="20"/>
              </w:rPr>
              <w:t>$0 (1,750)</w:t>
            </w:r>
          </w:p>
        </w:tc>
        <w:tc>
          <w:tcPr>
            <w:tcW w:w="1222" w:type="pct"/>
            <w:vAlign w:val="center"/>
            <w:hideMark/>
          </w:tcPr>
          <w:p w14:paraId="34A74E44" w14:textId="56D118C0" w:rsidR="00364B48" w:rsidRDefault="00364B48" w:rsidP="00581E30">
            <w:pPr>
              <w:spacing w:line="240" w:lineRule="auto"/>
              <w:jc w:val="right"/>
              <w:rPr>
                <w:color w:val="000000"/>
                <w:sz w:val="20"/>
              </w:rPr>
            </w:pPr>
            <w:r>
              <w:rPr>
                <w:color w:val="000000"/>
                <w:sz w:val="20"/>
              </w:rPr>
              <w:t>5.9</w:t>
            </w:r>
          </w:p>
        </w:tc>
        <w:tc>
          <w:tcPr>
            <w:tcW w:w="1184" w:type="pct"/>
          </w:tcPr>
          <w:p w14:paraId="11724A97" w14:textId="77777777" w:rsidR="00364B48" w:rsidRDefault="00364B48" w:rsidP="009A2826">
            <w:pPr>
              <w:spacing w:line="240" w:lineRule="auto"/>
              <w:jc w:val="right"/>
              <w:rPr>
                <w:color w:val="000000"/>
                <w:sz w:val="20"/>
              </w:rPr>
            </w:pPr>
            <w:r>
              <w:rPr>
                <w:color w:val="000000"/>
                <w:sz w:val="20"/>
              </w:rPr>
              <w:t>91.5</w:t>
            </w:r>
          </w:p>
        </w:tc>
      </w:tr>
      <w:tr w:rsidR="00364B48" w14:paraId="5F58F0DC" w14:textId="77777777" w:rsidTr="00581E30">
        <w:trPr>
          <w:trHeight w:val="300"/>
          <w:jc w:val="center"/>
        </w:trPr>
        <w:tc>
          <w:tcPr>
            <w:tcW w:w="1607" w:type="pct"/>
            <w:vAlign w:val="center"/>
            <w:hideMark/>
          </w:tcPr>
          <w:p w14:paraId="0206C70D" w14:textId="77777777" w:rsidR="00364B48" w:rsidRDefault="00364B48" w:rsidP="009A2826">
            <w:pPr>
              <w:spacing w:line="240" w:lineRule="auto"/>
              <w:rPr>
                <w:color w:val="000000"/>
                <w:sz w:val="20"/>
              </w:rPr>
            </w:pPr>
            <w:r>
              <w:rPr>
                <w:color w:val="000000"/>
                <w:sz w:val="20"/>
              </w:rPr>
              <w:t>High (75th to 95th percentile)</w:t>
            </w:r>
          </w:p>
        </w:tc>
        <w:tc>
          <w:tcPr>
            <w:tcW w:w="987" w:type="pct"/>
            <w:noWrap/>
            <w:vAlign w:val="center"/>
            <w:hideMark/>
          </w:tcPr>
          <w:p w14:paraId="590EEAE7" w14:textId="77777777" w:rsidR="00364B48" w:rsidRDefault="00364B48" w:rsidP="009A2826">
            <w:pPr>
              <w:spacing w:line="240" w:lineRule="auto"/>
              <w:jc w:val="right"/>
              <w:rPr>
                <w:color w:val="000000"/>
                <w:sz w:val="20"/>
              </w:rPr>
            </w:pPr>
            <w:r>
              <w:rPr>
                <w:color w:val="000000"/>
                <w:sz w:val="20"/>
              </w:rPr>
              <w:t>$2 (7,000)</w:t>
            </w:r>
          </w:p>
        </w:tc>
        <w:tc>
          <w:tcPr>
            <w:tcW w:w="1222" w:type="pct"/>
            <w:vAlign w:val="center"/>
            <w:hideMark/>
          </w:tcPr>
          <w:p w14:paraId="2C568E11" w14:textId="7CE2EA8A" w:rsidR="00364B48" w:rsidRDefault="00581E30" w:rsidP="009A2826">
            <w:pPr>
              <w:spacing w:line="240" w:lineRule="auto"/>
              <w:jc w:val="right"/>
              <w:rPr>
                <w:color w:val="000000"/>
                <w:sz w:val="20"/>
              </w:rPr>
            </w:pPr>
            <w:r>
              <w:rPr>
                <w:color w:val="000000"/>
                <w:sz w:val="20"/>
              </w:rPr>
              <w:t>19.3</w:t>
            </w:r>
          </w:p>
        </w:tc>
        <w:tc>
          <w:tcPr>
            <w:tcW w:w="1184" w:type="pct"/>
          </w:tcPr>
          <w:p w14:paraId="0F94ED1B" w14:textId="77777777" w:rsidR="00364B48" w:rsidRDefault="00364B48" w:rsidP="009A2826">
            <w:pPr>
              <w:spacing w:line="240" w:lineRule="auto"/>
              <w:jc w:val="right"/>
              <w:rPr>
                <w:color w:val="000000"/>
                <w:sz w:val="20"/>
              </w:rPr>
            </w:pPr>
            <w:r>
              <w:rPr>
                <w:color w:val="000000"/>
                <w:sz w:val="20"/>
              </w:rPr>
              <w:t>83.8</w:t>
            </w:r>
          </w:p>
        </w:tc>
      </w:tr>
      <w:tr w:rsidR="00364B48" w14:paraId="1D5BEFCB" w14:textId="77777777" w:rsidTr="00581E30">
        <w:trPr>
          <w:trHeight w:val="300"/>
          <w:jc w:val="center"/>
        </w:trPr>
        <w:tc>
          <w:tcPr>
            <w:tcW w:w="1607" w:type="pct"/>
            <w:vAlign w:val="center"/>
          </w:tcPr>
          <w:p w14:paraId="721D0FC5" w14:textId="77777777" w:rsidR="00364B48" w:rsidRDefault="00364B48" w:rsidP="009A2826">
            <w:pPr>
              <w:spacing w:line="240" w:lineRule="auto"/>
              <w:rPr>
                <w:color w:val="000000"/>
                <w:sz w:val="20"/>
              </w:rPr>
            </w:pPr>
            <w:r>
              <w:rPr>
                <w:color w:val="000000"/>
                <w:sz w:val="20"/>
              </w:rPr>
              <w:t>Medium (15</w:t>
            </w:r>
            <w:r w:rsidRPr="00E55586">
              <w:rPr>
                <w:color w:val="000000"/>
                <w:sz w:val="20"/>
              </w:rPr>
              <w:t>th</w:t>
            </w:r>
            <w:r>
              <w:rPr>
                <w:color w:val="000000"/>
                <w:sz w:val="20"/>
              </w:rPr>
              <w:t xml:space="preserve"> to 74</w:t>
            </w:r>
            <w:r w:rsidRPr="00E55586">
              <w:rPr>
                <w:color w:val="000000"/>
                <w:sz w:val="20"/>
              </w:rPr>
              <w:t>th</w:t>
            </w:r>
            <w:r>
              <w:rPr>
                <w:color w:val="000000"/>
                <w:sz w:val="20"/>
              </w:rPr>
              <w:t xml:space="preserve"> percentile)</w:t>
            </w:r>
          </w:p>
        </w:tc>
        <w:tc>
          <w:tcPr>
            <w:tcW w:w="987" w:type="pct"/>
            <w:noWrap/>
            <w:vAlign w:val="center"/>
          </w:tcPr>
          <w:p w14:paraId="5FF2EF53" w14:textId="77777777" w:rsidR="00364B48" w:rsidRDefault="00364B48" w:rsidP="009A2826">
            <w:pPr>
              <w:spacing w:line="240" w:lineRule="auto"/>
              <w:jc w:val="right"/>
              <w:rPr>
                <w:color w:val="000000"/>
                <w:sz w:val="20"/>
              </w:rPr>
            </w:pPr>
            <w:r>
              <w:rPr>
                <w:color w:val="000000"/>
                <w:sz w:val="20"/>
              </w:rPr>
              <w:t>$5 (21,000)</w:t>
            </w:r>
          </w:p>
        </w:tc>
        <w:tc>
          <w:tcPr>
            <w:tcW w:w="1222" w:type="pct"/>
            <w:vAlign w:val="center"/>
          </w:tcPr>
          <w:p w14:paraId="05D43F9D" w14:textId="2EAF5C89" w:rsidR="00364B48" w:rsidRDefault="00581E30" w:rsidP="00581E30">
            <w:pPr>
              <w:spacing w:line="240" w:lineRule="auto"/>
              <w:jc w:val="right"/>
              <w:rPr>
                <w:color w:val="000000"/>
                <w:sz w:val="20"/>
              </w:rPr>
            </w:pPr>
            <w:r>
              <w:rPr>
                <w:color w:val="000000"/>
                <w:sz w:val="20"/>
              </w:rPr>
              <w:t>36.3</w:t>
            </w:r>
          </w:p>
        </w:tc>
        <w:tc>
          <w:tcPr>
            <w:tcW w:w="1184" w:type="pct"/>
          </w:tcPr>
          <w:p w14:paraId="3A991233" w14:textId="77777777" w:rsidR="00364B48" w:rsidRDefault="00364B48" w:rsidP="009A2826">
            <w:pPr>
              <w:spacing w:line="240" w:lineRule="auto"/>
              <w:jc w:val="right"/>
              <w:rPr>
                <w:color w:val="000000"/>
                <w:sz w:val="20"/>
              </w:rPr>
            </w:pPr>
            <w:r>
              <w:rPr>
                <w:color w:val="000000"/>
                <w:sz w:val="20"/>
              </w:rPr>
              <w:t>66.2</w:t>
            </w:r>
          </w:p>
        </w:tc>
      </w:tr>
      <w:tr w:rsidR="00364B48" w14:paraId="5AD96C9B" w14:textId="77777777" w:rsidTr="00581E30">
        <w:trPr>
          <w:trHeight w:val="300"/>
          <w:jc w:val="center"/>
        </w:trPr>
        <w:tc>
          <w:tcPr>
            <w:tcW w:w="1607" w:type="pct"/>
            <w:tcBorders>
              <w:bottom w:val="single" w:sz="18" w:space="0" w:color="auto"/>
            </w:tcBorders>
            <w:vAlign w:val="center"/>
            <w:hideMark/>
          </w:tcPr>
          <w:p w14:paraId="6B0AFA3D" w14:textId="77777777" w:rsidR="00364B48" w:rsidRDefault="00364B48" w:rsidP="009A2826">
            <w:pPr>
              <w:spacing w:line="240" w:lineRule="auto"/>
              <w:rPr>
                <w:color w:val="000000"/>
                <w:sz w:val="20"/>
              </w:rPr>
            </w:pPr>
            <w:r>
              <w:rPr>
                <w:color w:val="000000"/>
                <w:sz w:val="20"/>
              </w:rPr>
              <w:t>Low (below 15th percentile)</w:t>
            </w:r>
          </w:p>
        </w:tc>
        <w:tc>
          <w:tcPr>
            <w:tcW w:w="987" w:type="pct"/>
            <w:tcBorders>
              <w:bottom w:val="single" w:sz="18" w:space="0" w:color="auto"/>
            </w:tcBorders>
            <w:noWrap/>
            <w:vAlign w:val="center"/>
            <w:hideMark/>
          </w:tcPr>
          <w:p w14:paraId="1F2ED88B" w14:textId="77777777" w:rsidR="00364B48" w:rsidRDefault="00364B48" w:rsidP="009A2826">
            <w:pPr>
              <w:spacing w:line="240" w:lineRule="auto"/>
              <w:jc w:val="right"/>
              <w:rPr>
                <w:color w:val="000000"/>
                <w:sz w:val="20"/>
              </w:rPr>
            </w:pPr>
            <w:r>
              <w:rPr>
                <w:color w:val="000000"/>
                <w:sz w:val="20"/>
              </w:rPr>
              <w:t>$10 (5,250)</w:t>
            </w:r>
          </w:p>
        </w:tc>
        <w:tc>
          <w:tcPr>
            <w:tcW w:w="1222" w:type="pct"/>
            <w:tcBorders>
              <w:bottom w:val="single" w:sz="18" w:space="0" w:color="auto"/>
            </w:tcBorders>
            <w:vAlign w:val="center"/>
            <w:hideMark/>
          </w:tcPr>
          <w:p w14:paraId="63361300" w14:textId="61157DB9" w:rsidR="00364B48" w:rsidRDefault="00581E30" w:rsidP="009A2826">
            <w:pPr>
              <w:spacing w:line="240" w:lineRule="auto"/>
              <w:jc w:val="right"/>
              <w:rPr>
                <w:color w:val="000000"/>
                <w:sz w:val="20"/>
              </w:rPr>
            </w:pPr>
            <w:r>
              <w:rPr>
                <w:color w:val="000000"/>
                <w:sz w:val="20"/>
              </w:rPr>
              <w:t>38.9</w:t>
            </w:r>
          </w:p>
        </w:tc>
        <w:tc>
          <w:tcPr>
            <w:tcW w:w="1184" w:type="pct"/>
            <w:tcBorders>
              <w:bottom w:val="single" w:sz="18" w:space="0" w:color="auto"/>
            </w:tcBorders>
          </w:tcPr>
          <w:p w14:paraId="2C83E448" w14:textId="77777777" w:rsidR="00364B48" w:rsidRDefault="00364B48" w:rsidP="009A2826">
            <w:pPr>
              <w:spacing w:line="240" w:lineRule="auto"/>
              <w:jc w:val="right"/>
              <w:rPr>
                <w:color w:val="000000"/>
                <w:sz w:val="20"/>
              </w:rPr>
            </w:pPr>
            <w:r>
              <w:rPr>
                <w:color w:val="000000"/>
                <w:sz w:val="20"/>
              </w:rPr>
              <w:t>45.8</w:t>
            </w:r>
          </w:p>
        </w:tc>
      </w:tr>
      <w:tr w:rsidR="00364B48" w14:paraId="409D27B5" w14:textId="77777777" w:rsidTr="00581E30">
        <w:trPr>
          <w:trHeight w:val="507"/>
          <w:jc w:val="center"/>
        </w:trPr>
        <w:tc>
          <w:tcPr>
            <w:tcW w:w="5000" w:type="pct"/>
            <w:gridSpan w:val="4"/>
            <w:tcBorders>
              <w:top w:val="single" w:sz="18" w:space="0" w:color="auto"/>
            </w:tcBorders>
            <w:vAlign w:val="bottom"/>
            <w:hideMark/>
          </w:tcPr>
          <w:p w14:paraId="622856F7" w14:textId="77777777" w:rsidR="00364B48" w:rsidRDefault="00364B48" w:rsidP="009A2826">
            <w:pPr>
              <w:spacing w:line="240" w:lineRule="auto"/>
              <w:rPr>
                <w:color w:val="000000"/>
                <w:sz w:val="20"/>
              </w:rPr>
            </w:pPr>
            <w:r>
              <w:rPr>
                <w:color w:val="000000"/>
                <w:sz w:val="20"/>
              </w:rPr>
              <w:t>NOTE: Numbers in parentheses show the count of screener households assigned to receive each incentive amount. Child survey eligibility rate</w:t>
            </w:r>
            <w:r w:rsidRPr="00D74EAD">
              <w:rPr>
                <w:color w:val="000000"/>
                <w:sz w:val="20"/>
              </w:rPr>
              <w:t xml:space="preserve"> proportions are estimated using the </w:t>
            </w:r>
            <w:r>
              <w:rPr>
                <w:color w:val="000000"/>
                <w:sz w:val="20"/>
              </w:rPr>
              <w:t xml:space="preserve">NHES:FS </w:t>
            </w:r>
            <w:r w:rsidRPr="00D74EAD">
              <w:rPr>
                <w:color w:val="000000"/>
                <w:sz w:val="20"/>
              </w:rPr>
              <w:t>nonresponse-adjusted screener weights, and all differences between the groups are statistically significant with p&lt;.01.</w:t>
            </w:r>
          </w:p>
        </w:tc>
      </w:tr>
    </w:tbl>
    <w:p w14:paraId="00051FBA" w14:textId="77777777" w:rsidR="00364B48" w:rsidRDefault="00364B48" w:rsidP="00364B48">
      <w:pPr>
        <w:pStyle w:val="P1-StandPara"/>
        <w:spacing w:after="120" w:line="240" w:lineRule="auto"/>
        <w:ind w:firstLine="0"/>
        <w:jc w:val="left"/>
      </w:pPr>
    </w:p>
    <w:p w14:paraId="1236284D" w14:textId="7DEBDCCA" w:rsidR="00DE2EEF" w:rsidRDefault="00DE2EEF" w:rsidP="00DE2EEF">
      <w:pPr>
        <w:pStyle w:val="P1-StandPara"/>
        <w:spacing w:after="120" w:line="240" w:lineRule="auto"/>
        <w:ind w:firstLine="0"/>
        <w:jc w:val="left"/>
      </w:pPr>
      <w:r>
        <w:t xml:space="preserve">In addition to the subsample assigned to the </w:t>
      </w:r>
      <w:r w:rsidR="009E2CB9">
        <w:t>modeled incentive treatment group</w:t>
      </w:r>
      <w:r>
        <w:t xml:space="preserve">, a subsample of 10,000 households </w:t>
      </w:r>
      <w:r w:rsidR="00620676">
        <w:t xml:space="preserve">(referred to as the “$2-only treatment group”) </w:t>
      </w:r>
      <w:r>
        <w:t>will be assigned to automatically receive $2. This will allow response rates under the targeted incentive structure to be compared to those under both a uniform $5 structure and a uniform $2 structure. It will also allow more detailed analysis of the sensitivity of different types of households to the incentive amount in order to determine whether the targeted incentive approach could be further refined in future administrations.</w:t>
      </w:r>
      <w:r w:rsidR="0056167C">
        <w:t xml:space="preserve"> We hypothesize that the data will show that we could use a $2 incentive for </w:t>
      </w:r>
      <w:r w:rsidR="00D91F86">
        <w:t xml:space="preserve">a larger proportion of the household sample </w:t>
      </w:r>
      <w:r w:rsidR="0056167C">
        <w:t>in future NHES administrations.</w:t>
      </w:r>
    </w:p>
    <w:p w14:paraId="7F535EA1" w14:textId="3352658F" w:rsidR="000D07CA" w:rsidRDefault="0028658F" w:rsidP="008001C2">
      <w:pPr>
        <w:pStyle w:val="P1-StandPara"/>
        <w:spacing w:after="120" w:line="240" w:lineRule="auto"/>
        <w:ind w:firstLine="0"/>
        <w:jc w:val="left"/>
      </w:pPr>
      <w:r w:rsidRPr="0028658F">
        <w:t xml:space="preserve">The incentive experiment will take place at the screener level only. However, households that receive $10 at the screener stage will also receive a $10 topical incentive (unless they return a screener at the third mailing wave or after, in which case they will receive a $15 topical incentive, as was done successfully in the NHES:2012 to boost topical response among late-screener respondents). </w:t>
      </w:r>
      <w:r>
        <w:t>Table 2</w:t>
      </w:r>
      <w:r w:rsidR="00604B00">
        <w:t xml:space="preserve"> summarizes the incentive structure and sample size for each control and treatment group in the targeted incentive experiment</w:t>
      </w:r>
      <w:r w:rsidR="000D07CA">
        <w:t>.</w:t>
      </w:r>
    </w:p>
    <w:p w14:paraId="04353F8E" w14:textId="77777777" w:rsidR="008001C2" w:rsidRDefault="008001C2">
      <w:r>
        <w:br w:type="page"/>
      </w:r>
    </w:p>
    <w:tbl>
      <w:tblPr>
        <w:tblW w:w="4586" w:type="pct"/>
        <w:jc w:val="center"/>
        <w:tblLook w:val="04A0" w:firstRow="1" w:lastRow="0" w:firstColumn="1" w:lastColumn="0" w:noHBand="0" w:noVBand="1"/>
      </w:tblPr>
      <w:tblGrid>
        <w:gridCol w:w="3597"/>
        <w:gridCol w:w="2059"/>
        <w:gridCol w:w="1691"/>
        <w:gridCol w:w="2229"/>
      </w:tblGrid>
      <w:tr w:rsidR="000D07CA" w14:paraId="35D0DA3A" w14:textId="77777777" w:rsidTr="000D07CA">
        <w:trPr>
          <w:trHeight w:val="600"/>
          <w:jc w:val="center"/>
        </w:trPr>
        <w:tc>
          <w:tcPr>
            <w:tcW w:w="5000" w:type="pct"/>
            <w:gridSpan w:val="4"/>
            <w:tcBorders>
              <w:top w:val="nil"/>
              <w:left w:val="nil"/>
              <w:bottom w:val="single" w:sz="24" w:space="0" w:color="auto"/>
              <w:right w:val="nil"/>
            </w:tcBorders>
            <w:vAlign w:val="center"/>
            <w:hideMark/>
          </w:tcPr>
          <w:p w14:paraId="1A5479C9" w14:textId="21B8EE4D" w:rsidR="000D07CA" w:rsidRDefault="000D07CA" w:rsidP="008001C2">
            <w:pPr>
              <w:spacing w:line="240" w:lineRule="auto"/>
              <w:rPr>
                <w:b/>
                <w:bCs/>
                <w:color w:val="000000"/>
              </w:rPr>
            </w:pPr>
            <w:r>
              <w:rPr>
                <w:b/>
                <w:bCs/>
                <w:color w:val="000000"/>
              </w:rPr>
              <w:lastRenderedPageBreak/>
              <w:t xml:space="preserve">Table 2. </w:t>
            </w:r>
            <w:r w:rsidR="008001C2">
              <w:rPr>
                <w:b/>
                <w:bCs/>
                <w:color w:val="000000"/>
              </w:rPr>
              <w:t>I</w:t>
            </w:r>
            <w:r>
              <w:rPr>
                <w:b/>
                <w:bCs/>
                <w:color w:val="000000"/>
              </w:rPr>
              <w:t>ncentive amounts and paper screener sample sizes for targeted incentive experiment control and treatment groups: NHES:2016 Full Scale Data Collection</w:t>
            </w:r>
          </w:p>
        </w:tc>
      </w:tr>
      <w:tr w:rsidR="000D07CA" w14:paraId="194FABC6" w14:textId="77777777" w:rsidTr="000D07CA">
        <w:trPr>
          <w:trHeight w:val="246"/>
          <w:jc w:val="center"/>
        </w:trPr>
        <w:tc>
          <w:tcPr>
            <w:tcW w:w="1878" w:type="pct"/>
            <w:vMerge w:val="restart"/>
            <w:tcBorders>
              <w:top w:val="single" w:sz="24" w:space="0" w:color="auto"/>
              <w:left w:val="nil"/>
              <w:bottom w:val="single" w:sz="18" w:space="0" w:color="auto"/>
              <w:right w:val="nil"/>
            </w:tcBorders>
            <w:vAlign w:val="bottom"/>
            <w:hideMark/>
          </w:tcPr>
          <w:p w14:paraId="2850C47B" w14:textId="77777777" w:rsidR="000D07CA" w:rsidRDefault="000D07CA" w:rsidP="009A2826">
            <w:pPr>
              <w:spacing w:line="240" w:lineRule="auto"/>
              <w:rPr>
                <w:bCs/>
                <w:color w:val="000000"/>
                <w:sz w:val="20"/>
              </w:rPr>
            </w:pPr>
            <w:r>
              <w:rPr>
                <w:bCs/>
                <w:color w:val="000000"/>
                <w:sz w:val="20"/>
              </w:rPr>
              <w:t>Predicted response propensity</w:t>
            </w:r>
          </w:p>
        </w:tc>
        <w:tc>
          <w:tcPr>
            <w:tcW w:w="3122" w:type="pct"/>
            <w:gridSpan w:val="3"/>
            <w:tcBorders>
              <w:top w:val="single" w:sz="24" w:space="0" w:color="auto"/>
              <w:left w:val="nil"/>
              <w:bottom w:val="single" w:sz="8" w:space="0" w:color="auto"/>
              <w:right w:val="nil"/>
            </w:tcBorders>
            <w:noWrap/>
            <w:vAlign w:val="center"/>
            <w:hideMark/>
          </w:tcPr>
          <w:p w14:paraId="3D8E5B41" w14:textId="77777777" w:rsidR="000D07CA" w:rsidRDefault="000D07CA" w:rsidP="009A2826">
            <w:pPr>
              <w:spacing w:line="240" w:lineRule="auto"/>
              <w:jc w:val="center"/>
              <w:rPr>
                <w:bCs/>
                <w:color w:val="000000"/>
                <w:sz w:val="20"/>
              </w:rPr>
            </w:pPr>
            <w:r>
              <w:rPr>
                <w:bCs/>
                <w:color w:val="000000"/>
                <w:sz w:val="20"/>
              </w:rPr>
              <w:t>Group</w:t>
            </w:r>
          </w:p>
        </w:tc>
      </w:tr>
      <w:tr w:rsidR="000D07CA" w14:paraId="68DDD48A" w14:textId="77777777" w:rsidTr="000D07CA">
        <w:trPr>
          <w:trHeight w:val="315"/>
          <w:jc w:val="center"/>
        </w:trPr>
        <w:tc>
          <w:tcPr>
            <w:tcW w:w="0" w:type="auto"/>
            <w:vMerge/>
            <w:tcBorders>
              <w:top w:val="single" w:sz="24" w:space="0" w:color="auto"/>
              <w:left w:val="nil"/>
              <w:bottom w:val="single" w:sz="18" w:space="0" w:color="auto"/>
              <w:right w:val="nil"/>
            </w:tcBorders>
            <w:vAlign w:val="center"/>
            <w:hideMark/>
          </w:tcPr>
          <w:p w14:paraId="207D98A2" w14:textId="77777777" w:rsidR="000D07CA" w:rsidRDefault="000D07CA" w:rsidP="009A2826">
            <w:pPr>
              <w:spacing w:line="240" w:lineRule="auto"/>
              <w:rPr>
                <w:bCs/>
                <w:color w:val="000000"/>
                <w:sz w:val="20"/>
              </w:rPr>
            </w:pPr>
          </w:p>
        </w:tc>
        <w:tc>
          <w:tcPr>
            <w:tcW w:w="1075" w:type="pct"/>
            <w:tcBorders>
              <w:top w:val="nil"/>
              <w:left w:val="nil"/>
              <w:bottom w:val="single" w:sz="18" w:space="0" w:color="auto"/>
              <w:right w:val="nil"/>
            </w:tcBorders>
            <w:noWrap/>
            <w:vAlign w:val="center"/>
            <w:hideMark/>
          </w:tcPr>
          <w:p w14:paraId="0D554031" w14:textId="77777777" w:rsidR="000D07CA" w:rsidRDefault="000D07CA" w:rsidP="009A2826">
            <w:pPr>
              <w:spacing w:line="240" w:lineRule="auto"/>
              <w:rPr>
                <w:bCs/>
                <w:color w:val="000000"/>
                <w:sz w:val="20"/>
              </w:rPr>
            </w:pPr>
            <w:r>
              <w:rPr>
                <w:bCs/>
                <w:color w:val="000000"/>
                <w:sz w:val="20"/>
              </w:rPr>
              <w:t xml:space="preserve">$5-only control group/ </w:t>
            </w:r>
          </w:p>
          <w:p w14:paraId="1A8C5A44" w14:textId="77777777" w:rsidR="000D07CA" w:rsidRDefault="000D07CA" w:rsidP="009A2826">
            <w:pPr>
              <w:spacing w:line="240" w:lineRule="auto"/>
              <w:rPr>
                <w:bCs/>
                <w:color w:val="000000"/>
                <w:sz w:val="20"/>
              </w:rPr>
            </w:pPr>
            <w:r>
              <w:rPr>
                <w:bCs/>
                <w:color w:val="000000"/>
                <w:sz w:val="20"/>
              </w:rPr>
              <w:t>main collection</w:t>
            </w:r>
          </w:p>
        </w:tc>
        <w:tc>
          <w:tcPr>
            <w:tcW w:w="883" w:type="pct"/>
            <w:tcBorders>
              <w:top w:val="single" w:sz="8" w:space="0" w:color="auto"/>
              <w:left w:val="nil"/>
              <w:bottom w:val="single" w:sz="18" w:space="0" w:color="auto"/>
              <w:right w:val="nil"/>
            </w:tcBorders>
            <w:vAlign w:val="center"/>
            <w:hideMark/>
          </w:tcPr>
          <w:p w14:paraId="156F9A9A" w14:textId="77777777" w:rsidR="000D07CA" w:rsidRDefault="000D07CA" w:rsidP="009A2826">
            <w:pPr>
              <w:spacing w:line="240" w:lineRule="auto"/>
              <w:rPr>
                <w:bCs/>
                <w:color w:val="000000"/>
                <w:sz w:val="20"/>
              </w:rPr>
            </w:pPr>
            <w:r>
              <w:rPr>
                <w:bCs/>
                <w:color w:val="000000"/>
                <w:sz w:val="20"/>
              </w:rPr>
              <w:t>Modeled incentive treatment group</w:t>
            </w:r>
          </w:p>
        </w:tc>
        <w:tc>
          <w:tcPr>
            <w:tcW w:w="1164" w:type="pct"/>
            <w:tcBorders>
              <w:top w:val="single" w:sz="8" w:space="0" w:color="auto"/>
              <w:left w:val="nil"/>
              <w:bottom w:val="single" w:sz="18" w:space="0" w:color="auto"/>
              <w:right w:val="nil"/>
            </w:tcBorders>
            <w:noWrap/>
            <w:vAlign w:val="center"/>
            <w:hideMark/>
          </w:tcPr>
          <w:p w14:paraId="758ACCC0" w14:textId="77777777" w:rsidR="000D07CA" w:rsidRDefault="000D07CA" w:rsidP="009A2826">
            <w:pPr>
              <w:spacing w:line="240" w:lineRule="auto"/>
              <w:rPr>
                <w:bCs/>
                <w:color w:val="000000"/>
                <w:sz w:val="20"/>
              </w:rPr>
            </w:pPr>
            <w:r>
              <w:rPr>
                <w:bCs/>
                <w:color w:val="000000"/>
                <w:sz w:val="20"/>
              </w:rPr>
              <w:t>$2-only treatment group</w:t>
            </w:r>
          </w:p>
        </w:tc>
      </w:tr>
      <w:tr w:rsidR="000D07CA" w14:paraId="4D0C8BA4" w14:textId="77777777" w:rsidTr="000D07CA">
        <w:trPr>
          <w:trHeight w:val="315"/>
          <w:jc w:val="center"/>
        </w:trPr>
        <w:tc>
          <w:tcPr>
            <w:tcW w:w="1878" w:type="pct"/>
            <w:tcBorders>
              <w:top w:val="single" w:sz="18" w:space="0" w:color="auto"/>
              <w:left w:val="nil"/>
              <w:bottom w:val="nil"/>
              <w:right w:val="nil"/>
            </w:tcBorders>
            <w:vAlign w:val="center"/>
            <w:hideMark/>
          </w:tcPr>
          <w:p w14:paraId="212F9677" w14:textId="77777777" w:rsidR="000D07CA" w:rsidRDefault="000D07CA" w:rsidP="009A2826">
            <w:pPr>
              <w:spacing w:line="240" w:lineRule="auto"/>
              <w:rPr>
                <w:color w:val="000000"/>
                <w:sz w:val="20"/>
              </w:rPr>
            </w:pPr>
            <w:r>
              <w:rPr>
                <w:color w:val="000000"/>
                <w:sz w:val="20"/>
              </w:rPr>
              <w:t>Very high (above 95th percentile)</w:t>
            </w:r>
          </w:p>
        </w:tc>
        <w:tc>
          <w:tcPr>
            <w:tcW w:w="1075" w:type="pct"/>
            <w:tcBorders>
              <w:top w:val="single" w:sz="18" w:space="0" w:color="auto"/>
              <w:left w:val="nil"/>
              <w:bottom w:val="nil"/>
              <w:right w:val="nil"/>
            </w:tcBorders>
            <w:noWrap/>
            <w:vAlign w:val="center"/>
            <w:hideMark/>
          </w:tcPr>
          <w:p w14:paraId="39AC0F06" w14:textId="77777777" w:rsidR="000D07CA" w:rsidRDefault="000D07CA" w:rsidP="009A2826">
            <w:pPr>
              <w:spacing w:line="240" w:lineRule="auto"/>
              <w:jc w:val="right"/>
              <w:rPr>
                <w:color w:val="000000"/>
                <w:sz w:val="20"/>
              </w:rPr>
            </w:pPr>
            <w:r>
              <w:rPr>
                <w:color w:val="000000"/>
                <w:sz w:val="20"/>
              </w:rPr>
              <w:t>$5 (6,300)</w:t>
            </w:r>
          </w:p>
        </w:tc>
        <w:tc>
          <w:tcPr>
            <w:tcW w:w="883" w:type="pct"/>
            <w:tcBorders>
              <w:top w:val="single" w:sz="18" w:space="0" w:color="auto"/>
              <w:left w:val="nil"/>
              <w:bottom w:val="nil"/>
              <w:right w:val="nil"/>
            </w:tcBorders>
            <w:vAlign w:val="center"/>
            <w:hideMark/>
          </w:tcPr>
          <w:p w14:paraId="18C93113" w14:textId="77777777" w:rsidR="000D07CA" w:rsidRDefault="000D07CA" w:rsidP="009A2826">
            <w:pPr>
              <w:spacing w:line="240" w:lineRule="auto"/>
              <w:jc w:val="right"/>
              <w:rPr>
                <w:color w:val="000000"/>
                <w:sz w:val="20"/>
              </w:rPr>
            </w:pPr>
            <w:r>
              <w:rPr>
                <w:color w:val="000000"/>
                <w:sz w:val="20"/>
              </w:rPr>
              <w:t>$0 (1,750)</w:t>
            </w:r>
          </w:p>
        </w:tc>
        <w:tc>
          <w:tcPr>
            <w:tcW w:w="1164" w:type="pct"/>
            <w:tcBorders>
              <w:top w:val="single" w:sz="18" w:space="0" w:color="auto"/>
              <w:left w:val="nil"/>
              <w:bottom w:val="nil"/>
              <w:right w:val="nil"/>
            </w:tcBorders>
            <w:vAlign w:val="center"/>
            <w:hideMark/>
          </w:tcPr>
          <w:p w14:paraId="796C5BD9" w14:textId="77777777" w:rsidR="000D07CA" w:rsidRDefault="000D07CA" w:rsidP="009A2826">
            <w:pPr>
              <w:spacing w:line="240" w:lineRule="auto"/>
              <w:jc w:val="right"/>
              <w:rPr>
                <w:color w:val="000000"/>
                <w:sz w:val="20"/>
              </w:rPr>
            </w:pPr>
            <w:r>
              <w:rPr>
                <w:color w:val="000000"/>
                <w:sz w:val="20"/>
              </w:rPr>
              <w:t>$2 (500)</w:t>
            </w:r>
          </w:p>
        </w:tc>
      </w:tr>
      <w:tr w:rsidR="000D07CA" w14:paraId="2FBC0F0E" w14:textId="77777777" w:rsidTr="000D07CA">
        <w:trPr>
          <w:trHeight w:val="300"/>
          <w:jc w:val="center"/>
        </w:trPr>
        <w:tc>
          <w:tcPr>
            <w:tcW w:w="1878" w:type="pct"/>
            <w:vAlign w:val="center"/>
            <w:hideMark/>
          </w:tcPr>
          <w:p w14:paraId="7555FD7F" w14:textId="77777777" w:rsidR="000D07CA" w:rsidRDefault="000D07CA" w:rsidP="009A2826">
            <w:pPr>
              <w:spacing w:line="240" w:lineRule="auto"/>
              <w:rPr>
                <w:color w:val="000000"/>
                <w:sz w:val="20"/>
              </w:rPr>
            </w:pPr>
            <w:r>
              <w:rPr>
                <w:color w:val="000000"/>
                <w:sz w:val="20"/>
              </w:rPr>
              <w:t>High (75th to 95th percentile)</w:t>
            </w:r>
          </w:p>
        </w:tc>
        <w:tc>
          <w:tcPr>
            <w:tcW w:w="1075" w:type="pct"/>
            <w:noWrap/>
            <w:vAlign w:val="center"/>
            <w:hideMark/>
          </w:tcPr>
          <w:p w14:paraId="7EEAF90E" w14:textId="77777777" w:rsidR="000D07CA" w:rsidRDefault="000D07CA" w:rsidP="009A2826">
            <w:pPr>
              <w:spacing w:line="240" w:lineRule="auto"/>
              <w:jc w:val="right"/>
              <w:rPr>
                <w:color w:val="000000"/>
                <w:sz w:val="20"/>
              </w:rPr>
            </w:pPr>
            <w:r>
              <w:rPr>
                <w:color w:val="000000"/>
                <w:sz w:val="20"/>
              </w:rPr>
              <w:t>$5 (25,200)</w:t>
            </w:r>
          </w:p>
        </w:tc>
        <w:tc>
          <w:tcPr>
            <w:tcW w:w="883" w:type="pct"/>
            <w:vAlign w:val="center"/>
            <w:hideMark/>
          </w:tcPr>
          <w:p w14:paraId="17617AF6" w14:textId="77777777" w:rsidR="000D07CA" w:rsidRDefault="000D07CA" w:rsidP="009A2826">
            <w:pPr>
              <w:spacing w:line="240" w:lineRule="auto"/>
              <w:jc w:val="right"/>
              <w:rPr>
                <w:color w:val="000000"/>
                <w:sz w:val="20"/>
              </w:rPr>
            </w:pPr>
            <w:r>
              <w:rPr>
                <w:color w:val="000000"/>
                <w:sz w:val="20"/>
              </w:rPr>
              <w:t>$2 (7,000)</w:t>
            </w:r>
          </w:p>
        </w:tc>
        <w:tc>
          <w:tcPr>
            <w:tcW w:w="1164" w:type="pct"/>
            <w:vAlign w:val="center"/>
            <w:hideMark/>
          </w:tcPr>
          <w:p w14:paraId="11B6E000" w14:textId="77777777" w:rsidR="000D07CA" w:rsidRDefault="000D07CA" w:rsidP="009A2826">
            <w:pPr>
              <w:spacing w:line="240" w:lineRule="auto"/>
              <w:jc w:val="right"/>
              <w:rPr>
                <w:color w:val="000000"/>
                <w:sz w:val="20"/>
              </w:rPr>
            </w:pPr>
            <w:r>
              <w:rPr>
                <w:color w:val="000000"/>
                <w:sz w:val="20"/>
              </w:rPr>
              <w:t>$2 (2,000)</w:t>
            </w:r>
          </w:p>
        </w:tc>
      </w:tr>
      <w:tr w:rsidR="000D07CA" w14:paraId="34222979" w14:textId="77777777" w:rsidTr="000D07CA">
        <w:trPr>
          <w:trHeight w:val="300"/>
          <w:jc w:val="center"/>
        </w:trPr>
        <w:tc>
          <w:tcPr>
            <w:tcW w:w="1878" w:type="pct"/>
            <w:vAlign w:val="center"/>
          </w:tcPr>
          <w:p w14:paraId="5C9A689F" w14:textId="77777777" w:rsidR="000D07CA" w:rsidRDefault="000D07CA" w:rsidP="009A2826">
            <w:pPr>
              <w:spacing w:line="240" w:lineRule="auto"/>
              <w:rPr>
                <w:color w:val="000000"/>
                <w:sz w:val="20"/>
              </w:rPr>
            </w:pPr>
            <w:r>
              <w:rPr>
                <w:color w:val="000000"/>
                <w:sz w:val="20"/>
              </w:rPr>
              <w:t>Medium (15</w:t>
            </w:r>
            <w:r w:rsidRPr="00E55586">
              <w:rPr>
                <w:color w:val="000000"/>
                <w:sz w:val="20"/>
              </w:rPr>
              <w:t>th</w:t>
            </w:r>
            <w:r>
              <w:rPr>
                <w:color w:val="000000"/>
                <w:sz w:val="20"/>
              </w:rPr>
              <w:t xml:space="preserve"> to 74</w:t>
            </w:r>
            <w:r w:rsidRPr="00E55586">
              <w:rPr>
                <w:color w:val="000000"/>
                <w:sz w:val="20"/>
              </w:rPr>
              <w:t>th</w:t>
            </w:r>
            <w:r>
              <w:rPr>
                <w:color w:val="000000"/>
                <w:sz w:val="20"/>
              </w:rPr>
              <w:t xml:space="preserve"> percentile)</w:t>
            </w:r>
          </w:p>
        </w:tc>
        <w:tc>
          <w:tcPr>
            <w:tcW w:w="1075" w:type="pct"/>
            <w:noWrap/>
            <w:vAlign w:val="center"/>
          </w:tcPr>
          <w:p w14:paraId="2AAC821E" w14:textId="77777777" w:rsidR="000D07CA" w:rsidRDefault="000D07CA" w:rsidP="009A2826">
            <w:pPr>
              <w:spacing w:line="240" w:lineRule="auto"/>
              <w:jc w:val="right"/>
              <w:rPr>
                <w:color w:val="000000"/>
                <w:sz w:val="20"/>
              </w:rPr>
            </w:pPr>
            <w:r>
              <w:rPr>
                <w:color w:val="000000"/>
                <w:sz w:val="20"/>
              </w:rPr>
              <w:t>$5(75,600)</w:t>
            </w:r>
          </w:p>
        </w:tc>
        <w:tc>
          <w:tcPr>
            <w:tcW w:w="883" w:type="pct"/>
            <w:vAlign w:val="center"/>
          </w:tcPr>
          <w:p w14:paraId="37087105" w14:textId="77777777" w:rsidR="000D07CA" w:rsidRDefault="000D07CA" w:rsidP="009A2826">
            <w:pPr>
              <w:spacing w:line="240" w:lineRule="auto"/>
              <w:jc w:val="right"/>
              <w:rPr>
                <w:color w:val="000000"/>
                <w:sz w:val="20"/>
              </w:rPr>
            </w:pPr>
            <w:r>
              <w:rPr>
                <w:color w:val="000000"/>
                <w:sz w:val="20"/>
              </w:rPr>
              <w:t>$5 (21,000)</w:t>
            </w:r>
          </w:p>
        </w:tc>
        <w:tc>
          <w:tcPr>
            <w:tcW w:w="1164" w:type="pct"/>
            <w:vAlign w:val="center"/>
          </w:tcPr>
          <w:p w14:paraId="59E4A887" w14:textId="77777777" w:rsidR="000D07CA" w:rsidRDefault="000D07CA" w:rsidP="009A2826">
            <w:pPr>
              <w:spacing w:line="240" w:lineRule="auto"/>
              <w:jc w:val="right"/>
              <w:rPr>
                <w:color w:val="000000"/>
                <w:sz w:val="20"/>
              </w:rPr>
            </w:pPr>
            <w:r>
              <w:rPr>
                <w:color w:val="000000"/>
                <w:sz w:val="20"/>
              </w:rPr>
              <w:t>$2(6,000)</w:t>
            </w:r>
          </w:p>
        </w:tc>
      </w:tr>
      <w:tr w:rsidR="000D07CA" w14:paraId="34DE9284" w14:textId="77777777" w:rsidTr="000D07CA">
        <w:trPr>
          <w:trHeight w:val="300"/>
          <w:jc w:val="center"/>
        </w:trPr>
        <w:tc>
          <w:tcPr>
            <w:tcW w:w="1878" w:type="pct"/>
            <w:tcBorders>
              <w:top w:val="nil"/>
              <w:left w:val="nil"/>
              <w:bottom w:val="single" w:sz="24" w:space="0" w:color="auto"/>
              <w:right w:val="nil"/>
            </w:tcBorders>
            <w:vAlign w:val="center"/>
            <w:hideMark/>
          </w:tcPr>
          <w:p w14:paraId="1D9DC60D" w14:textId="77777777" w:rsidR="000D07CA" w:rsidRDefault="000D07CA" w:rsidP="009A2826">
            <w:pPr>
              <w:spacing w:line="240" w:lineRule="auto"/>
              <w:rPr>
                <w:color w:val="000000"/>
                <w:sz w:val="20"/>
              </w:rPr>
            </w:pPr>
            <w:r>
              <w:rPr>
                <w:color w:val="000000"/>
                <w:sz w:val="20"/>
              </w:rPr>
              <w:t>Low (below 15th percentile)</w:t>
            </w:r>
          </w:p>
        </w:tc>
        <w:tc>
          <w:tcPr>
            <w:tcW w:w="1075" w:type="pct"/>
            <w:tcBorders>
              <w:top w:val="nil"/>
              <w:left w:val="nil"/>
              <w:bottom w:val="single" w:sz="24" w:space="0" w:color="auto"/>
              <w:right w:val="nil"/>
            </w:tcBorders>
            <w:noWrap/>
            <w:vAlign w:val="center"/>
            <w:hideMark/>
          </w:tcPr>
          <w:p w14:paraId="48C391F3" w14:textId="77777777" w:rsidR="000D07CA" w:rsidRDefault="000D07CA" w:rsidP="009A2826">
            <w:pPr>
              <w:spacing w:line="240" w:lineRule="auto"/>
              <w:jc w:val="right"/>
              <w:rPr>
                <w:color w:val="000000"/>
                <w:sz w:val="20"/>
              </w:rPr>
            </w:pPr>
            <w:r>
              <w:rPr>
                <w:color w:val="000000"/>
                <w:sz w:val="20"/>
              </w:rPr>
              <w:t>$5 (18,900)</w:t>
            </w:r>
          </w:p>
        </w:tc>
        <w:tc>
          <w:tcPr>
            <w:tcW w:w="883" w:type="pct"/>
            <w:tcBorders>
              <w:top w:val="nil"/>
              <w:left w:val="nil"/>
              <w:bottom w:val="single" w:sz="24" w:space="0" w:color="auto"/>
              <w:right w:val="nil"/>
            </w:tcBorders>
            <w:vAlign w:val="center"/>
            <w:hideMark/>
          </w:tcPr>
          <w:p w14:paraId="11C2FE15" w14:textId="77777777" w:rsidR="000D07CA" w:rsidRDefault="000D07CA" w:rsidP="009A2826">
            <w:pPr>
              <w:spacing w:line="240" w:lineRule="auto"/>
              <w:jc w:val="right"/>
              <w:rPr>
                <w:color w:val="000000"/>
                <w:sz w:val="20"/>
              </w:rPr>
            </w:pPr>
            <w:r>
              <w:rPr>
                <w:color w:val="000000"/>
                <w:sz w:val="20"/>
              </w:rPr>
              <w:t>$10 (5,250)</w:t>
            </w:r>
          </w:p>
        </w:tc>
        <w:tc>
          <w:tcPr>
            <w:tcW w:w="1164" w:type="pct"/>
            <w:tcBorders>
              <w:top w:val="nil"/>
              <w:left w:val="nil"/>
              <w:bottom w:val="single" w:sz="24" w:space="0" w:color="auto"/>
              <w:right w:val="nil"/>
            </w:tcBorders>
            <w:vAlign w:val="center"/>
            <w:hideMark/>
          </w:tcPr>
          <w:p w14:paraId="009A2733" w14:textId="77777777" w:rsidR="000D07CA" w:rsidRDefault="000D07CA" w:rsidP="009A2826">
            <w:pPr>
              <w:spacing w:line="240" w:lineRule="auto"/>
              <w:jc w:val="right"/>
              <w:rPr>
                <w:color w:val="000000"/>
                <w:sz w:val="20"/>
              </w:rPr>
            </w:pPr>
            <w:r>
              <w:rPr>
                <w:color w:val="000000"/>
                <w:sz w:val="20"/>
              </w:rPr>
              <w:t>$2 (1,500)</w:t>
            </w:r>
          </w:p>
        </w:tc>
      </w:tr>
      <w:tr w:rsidR="000D07CA" w14:paraId="0CEFD088" w14:textId="77777777" w:rsidTr="000D07CA">
        <w:trPr>
          <w:trHeight w:val="507"/>
          <w:jc w:val="center"/>
        </w:trPr>
        <w:tc>
          <w:tcPr>
            <w:tcW w:w="5000" w:type="pct"/>
            <w:gridSpan w:val="4"/>
            <w:tcBorders>
              <w:top w:val="single" w:sz="24" w:space="0" w:color="auto"/>
              <w:left w:val="nil"/>
              <w:bottom w:val="nil"/>
              <w:right w:val="nil"/>
            </w:tcBorders>
            <w:vAlign w:val="bottom"/>
            <w:hideMark/>
          </w:tcPr>
          <w:p w14:paraId="59A79444" w14:textId="77777777" w:rsidR="000D07CA" w:rsidRDefault="000D07CA" w:rsidP="009A2826">
            <w:pPr>
              <w:spacing w:line="240" w:lineRule="auto"/>
              <w:rPr>
                <w:color w:val="000000"/>
                <w:sz w:val="20"/>
              </w:rPr>
            </w:pPr>
            <w:r>
              <w:rPr>
                <w:color w:val="000000"/>
                <w:sz w:val="20"/>
              </w:rPr>
              <w:t>NOTE: Numbers in parentheses show the count of screener households assigned to receive each incentive amount. Counts exclude web screener cases. All 35,000 web screener cases will receive the $5 incentive.</w:t>
            </w:r>
          </w:p>
        </w:tc>
      </w:tr>
    </w:tbl>
    <w:p w14:paraId="3793042E" w14:textId="77777777" w:rsidR="00604B00" w:rsidRDefault="00604B00" w:rsidP="00604B00">
      <w:pPr>
        <w:pStyle w:val="P1-StandPara"/>
        <w:spacing w:line="240" w:lineRule="auto"/>
        <w:ind w:firstLine="0"/>
        <w:jc w:val="left"/>
      </w:pPr>
    </w:p>
    <w:p w14:paraId="35F08E0C" w14:textId="31A5921F" w:rsidR="00105381" w:rsidRDefault="00604B00" w:rsidP="005D1550">
      <w:pPr>
        <w:pStyle w:val="P1-StandPara"/>
        <w:spacing w:after="120" w:line="240" w:lineRule="auto"/>
        <w:ind w:firstLine="0"/>
        <w:jc w:val="left"/>
      </w:pPr>
      <w:r>
        <w:t xml:space="preserve">Screener and topical response rates within the modeled incentive treatment group will be compared to those within the $5-only control group and the $2-only treatment group. In addition, key characteristics of respondents will be compared between the groups to determine the possible effect of the modeled incentive approach on unit nonresponse bias. </w:t>
      </w:r>
      <w:r w:rsidRPr="00DC7B9F">
        <w:t xml:space="preserve">At the screener level, the treatment group allocations will allow a response rate difference of about 1 percentage point or greater between the </w:t>
      </w:r>
      <w:r w:rsidR="00DC7B9F">
        <w:t xml:space="preserve">entire 35,000 sample member </w:t>
      </w:r>
      <w:r w:rsidRPr="00DC7B9F">
        <w:t xml:space="preserve">modeled incentive </w:t>
      </w:r>
      <w:r w:rsidR="00DC7B9F">
        <w:t xml:space="preserve">group </w:t>
      </w:r>
      <w:r w:rsidRPr="00DC7B9F">
        <w:t xml:space="preserve">and </w:t>
      </w:r>
      <w:r w:rsidR="00DC7B9F">
        <w:t>the main non-experimental NHES sample of 126,000.</w:t>
      </w:r>
      <w:r w:rsidRPr="00DC7B9F">
        <w:t xml:space="preserve"> </w:t>
      </w:r>
      <w:r w:rsidR="00DC7B9F">
        <w:t xml:space="preserve"> The experimental sample will allow</w:t>
      </w:r>
      <w:r w:rsidRPr="00DC7B9F">
        <w:t xml:space="preserve"> about 2.5 percentage points or greater between the </w:t>
      </w:r>
      <w:r w:rsidR="00DC7B9F">
        <w:t xml:space="preserve">entire </w:t>
      </w:r>
      <w:r w:rsidRPr="00DC7B9F">
        <w:t>modeled incentive</w:t>
      </w:r>
      <w:r w:rsidR="00DC7B9F">
        <w:t xml:space="preserve"> group</w:t>
      </w:r>
      <w:r w:rsidRPr="00DC7B9F">
        <w:t xml:space="preserve"> and </w:t>
      </w:r>
      <w:r w:rsidR="00DC7B9F">
        <w:t xml:space="preserve">the random </w:t>
      </w:r>
      <w:r w:rsidRPr="00DC7B9F">
        <w:t>$2-only</w:t>
      </w:r>
      <w:r w:rsidR="00DC7B9F">
        <w:t xml:space="preserve"> group</w:t>
      </w:r>
      <w:r w:rsidRPr="00DC7B9F">
        <w:t xml:space="preserve"> to be statistically detected with 80 percent probability. At the topical level, the detectible response rate difference will be approximately 2.5 percentage points between the modeled incentive </w:t>
      </w:r>
      <w:r w:rsidR="00DC7B9F">
        <w:t xml:space="preserve">group </w:t>
      </w:r>
      <w:r w:rsidRPr="00DC7B9F">
        <w:t xml:space="preserve">and </w:t>
      </w:r>
      <w:r w:rsidR="00DC7B9F">
        <w:t>main non-experimental NHES sample</w:t>
      </w:r>
      <w:r w:rsidRPr="00DC7B9F">
        <w:t xml:space="preserve">, and approximately 5 percentage points between the modeled incentive </w:t>
      </w:r>
      <w:r w:rsidR="00DC7B9F">
        <w:t xml:space="preserve">group </w:t>
      </w:r>
      <w:r w:rsidRPr="00DC7B9F">
        <w:t xml:space="preserve">and </w:t>
      </w:r>
      <w:r w:rsidR="00DC7B9F">
        <w:t>the random $2-only group</w:t>
      </w:r>
      <w:r w:rsidR="00F42625" w:rsidRPr="00DC7B9F">
        <w:t>.</w:t>
      </w:r>
    </w:p>
    <w:p w14:paraId="61B07E92" w14:textId="5D6D199B" w:rsidR="008B6969" w:rsidRDefault="009E2CB9" w:rsidP="005D1550">
      <w:pPr>
        <w:pStyle w:val="P1-StandPara"/>
        <w:spacing w:after="120" w:line="240" w:lineRule="auto"/>
        <w:ind w:firstLine="0"/>
        <w:jc w:val="left"/>
      </w:pPr>
      <w:r>
        <w:rPr>
          <w:i/>
        </w:rPr>
        <w:t xml:space="preserve">Web experiment incentives. </w:t>
      </w:r>
      <w:r w:rsidR="008B6969">
        <w:t xml:space="preserve">Only households that are </w:t>
      </w:r>
      <w:r w:rsidR="008B6969" w:rsidRPr="009E2CB9">
        <w:rPr>
          <w:i/>
        </w:rPr>
        <w:t>not</w:t>
      </w:r>
      <w:r w:rsidR="008B6969">
        <w:t xml:space="preserve"> selected for the web experiment will be eligible for the targeted incentive experiment; all households selected for the web experiment will receive the standard $5 screener incentive. Web experiment cases will </w:t>
      </w:r>
      <w:r w:rsidR="0077770B">
        <w:t xml:space="preserve">also </w:t>
      </w:r>
      <w:r w:rsidR="008B6969">
        <w:t>be comparable to the main collection for topical incentives</w:t>
      </w:r>
      <w:r w:rsidR="008B6969">
        <w:rPr>
          <w:rStyle w:val="FootnoteReference"/>
        </w:rPr>
        <w:footnoteReference w:id="2"/>
      </w:r>
      <w:r w:rsidR="008B6969">
        <w:t xml:space="preserve"> with the exception that web experiment respondents who complete the screener </w:t>
      </w:r>
      <w:r w:rsidR="008B6969" w:rsidRPr="00035E6A">
        <w:rPr>
          <w:b/>
        </w:rPr>
        <w:t>and</w:t>
      </w:r>
      <w:r w:rsidR="008B6969">
        <w:t xml:space="preserve"> topical without a break-off or change in sampled household member will not receive a topical incentive.</w:t>
      </w:r>
    </w:p>
    <w:p w14:paraId="3668CA96" w14:textId="4DFE758D" w:rsidR="008478A9" w:rsidRDefault="008478A9" w:rsidP="00646A5F">
      <w:pPr>
        <w:pStyle w:val="Heading1"/>
        <w:spacing w:after="120" w:line="240" w:lineRule="auto"/>
        <w:ind w:left="0" w:firstLine="0"/>
        <w:jc w:val="left"/>
      </w:pPr>
      <w:bookmarkStart w:id="19" w:name="_Toc61176386"/>
      <w:bookmarkStart w:id="20" w:name="_Toc222888895"/>
      <w:r>
        <w:t>A.</w:t>
      </w:r>
      <w:r w:rsidR="00893A70">
        <w:t>10</w:t>
      </w:r>
      <w:r>
        <w:tab/>
        <w:t>Assurance of Confidentiality</w:t>
      </w:r>
      <w:bookmarkEnd w:id="19"/>
      <w:bookmarkEnd w:id="20"/>
    </w:p>
    <w:p w14:paraId="3A0F1687" w14:textId="77777777" w:rsidR="007A29A2" w:rsidRDefault="008478A9" w:rsidP="00646A5F">
      <w:pPr>
        <w:pStyle w:val="P1-StandPara"/>
        <w:spacing w:after="120" w:line="240" w:lineRule="auto"/>
        <w:ind w:firstLine="0"/>
        <w:jc w:val="left"/>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p>
    <w:p w14:paraId="5982A0A3" w14:textId="77777777" w:rsidR="008478A9" w:rsidRDefault="008478A9" w:rsidP="00646A5F">
      <w:pPr>
        <w:pStyle w:val="P1-StandPara"/>
        <w:spacing w:after="120" w:line="240" w:lineRule="auto"/>
        <w:ind w:firstLine="0"/>
        <w:jc w:val="left"/>
      </w:pPr>
      <w:r>
        <w:t>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14:paraId="1B515901" w14:textId="6AFFE485" w:rsidR="008478A9" w:rsidRDefault="008478A9" w:rsidP="00646A5F">
      <w:pPr>
        <w:pStyle w:val="Heading1"/>
        <w:spacing w:after="120" w:line="240" w:lineRule="auto"/>
        <w:ind w:left="0" w:firstLine="0"/>
        <w:jc w:val="left"/>
      </w:pPr>
      <w:r>
        <w:t>A.</w:t>
      </w:r>
      <w:r w:rsidR="00893A70">
        <w:t>11</w:t>
      </w:r>
      <w:r>
        <w:tab/>
        <w:t>Sensitive Questions</w:t>
      </w:r>
    </w:p>
    <w:p w14:paraId="1AD03D14" w14:textId="77777777" w:rsidR="008478A9" w:rsidRDefault="008478A9" w:rsidP="00646A5F">
      <w:pPr>
        <w:pStyle w:val="P1-StandPara"/>
        <w:spacing w:after="120" w:line="240" w:lineRule="auto"/>
        <w:ind w:firstLine="0"/>
        <w:jc w:val="left"/>
      </w:pPr>
      <w:r>
        <w:t xml:space="preserve">The NHES is a voluntary survey, and no persons are required to respond to </w:t>
      </w:r>
      <w:r w:rsidR="000113F6">
        <w:t>it</w:t>
      </w:r>
      <w:r>
        <w:t xml:space="preserve">. In addition, respondents may decline to answer any question in the survey. Respondents are informed of the voluntary nature of the survey in the cover letter that accompanies the questionnaire, as well as on the actual questionnaire. </w:t>
      </w:r>
      <w:r w:rsidR="001E62CC">
        <w:t>At the same time, s</w:t>
      </w:r>
      <w:r>
        <w:t>ome items in the surveys may be considered sensitive by some respondents:</w:t>
      </w:r>
    </w:p>
    <w:p w14:paraId="1389A5E9" w14:textId="46FA4387" w:rsidR="00155557" w:rsidRDefault="00746491" w:rsidP="00646A5F">
      <w:pPr>
        <w:pStyle w:val="P1-StandPara"/>
        <w:spacing w:after="120" w:line="240" w:lineRule="auto"/>
        <w:ind w:firstLine="0"/>
        <w:jc w:val="left"/>
      </w:pPr>
      <w:r>
        <w:rPr>
          <w:b/>
        </w:rPr>
        <w:t>ATES</w:t>
      </w:r>
      <w:r w:rsidR="0004232F" w:rsidRPr="003D304D">
        <w:rPr>
          <w:b/>
        </w:rPr>
        <w:t>:</w:t>
      </w:r>
      <w:r w:rsidR="00DE3BEF">
        <w:rPr>
          <w:b/>
        </w:rPr>
        <w:t xml:space="preserve"> </w:t>
      </w:r>
      <w:r w:rsidR="00DE3BEF" w:rsidRPr="00A3174E">
        <w:t xml:space="preserve">The </w:t>
      </w:r>
      <w:r>
        <w:t>ATES</w:t>
      </w:r>
      <w:r w:rsidR="00DE3BEF" w:rsidRPr="00A3174E">
        <w:t xml:space="preserve"> </w:t>
      </w:r>
      <w:r w:rsidR="00DA71EB">
        <w:t xml:space="preserve">includes an experiment asking about </w:t>
      </w:r>
      <w:r w:rsidR="00E43639">
        <w:t>earnings</w:t>
      </w:r>
      <w:r w:rsidR="00DA71EB">
        <w:t>. This information</w:t>
      </w:r>
      <w:r w:rsidR="00155557">
        <w:t xml:space="preserve"> may be considered sensitive:</w:t>
      </w:r>
    </w:p>
    <w:p w14:paraId="52651996" w14:textId="1DFF0B14" w:rsidR="00DA71EB" w:rsidRDefault="00DE3BEF" w:rsidP="00646A5F">
      <w:pPr>
        <w:pStyle w:val="P1-StandPara"/>
        <w:numPr>
          <w:ilvl w:val="0"/>
          <w:numId w:val="3"/>
        </w:numPr>
        <w:spacing w:after="120" w:line="240" w:lineRule="auto"/>
        <w:ind w:left="540" w:hanging="270"/>
        <w:jc w:val="left"/>
      </w:pPr>
      <w:r w:rsidRPr="00A3174E">
        <w:t xml:space="preserve">Personal </w:t>
      </w:r>
      <w:r w:rsidR="00A3174E">
        <w:t>earnings</w:t>
      </w:r>
      <w:r w:rsidR="00A3174E" w:rsidRPr="00A3174E">
        <w:t xml:space="preserve"> in the past year</w:t>
      </w:r>
      <w:r w:rsidR="00DA71EB">
        <w:t xml:space="preserve"> (categorical)</w:t>
      </w:r>
    </w:p>
    <w:p w14:paraId="03216FB1" w14:textId="44DBD9FA" w:rsidR="007A29A2" w:rsidRDefault="00535616" w:rsidP="00646A5F">
      <w:pPr>
        <w:pStyle w:val="N2-2ndBullet"/>
        <w:numPr>
          <w:ilvl w:val="0"/>
          <w:numId w:val="0"/>
        </w:numPr>
        <w:tabs>
          <w:tab w:val="clear" w:pos="1728"/>
          <w:tab w:val="left" w:pos="513"/>
        </w:tabs>
        <w:spacing w:after="120" w:line="240" w:lineRule="auto"/>
        <w:ind w:left="513"/>
        <w:jc w:val="left"/>
      </w:pPr>
      <w:r>
        <w:t>A m</w:t>
      </w:r>
      <w:r w:rsidR="00DE3BEF" w:rsidRPr="00DE3BEF">
        <w:t xml:space="preserve">easure of </w:t>
      </w:r>
      <w:r w:rsidR="00E43639">
        <w:t>earnings</w:t>
      </w:r>
      <w:r w:rsidR="00DE3BEF" w:rsidRPr="00DE3BEF">
        <w:t xml:space="preserve"> </w:t>
      </w:r>
      <w:r>
        <w:t>is</w:t>
      </w:r>
      <w:r w:rsidR="00DE3BEF" w:rsidRPr="00DE3BEF">
        <w:t xml:space="preserve"> important because education</w:t>
      </w:r>
      <w:r w:rsidR="000A6C23">
        <w:t>al</w:t>
      </w:r>
      <w:r w:rsidR="00DE3BEF" w:rsidRPr="00DE3BEF">
        <w:t xml:space="preserve"> attainment is statistically associated with </w:t>
      </w:r>
      <w:r w:rsidR="00E43639">
        <w:t>earnings</w:t>
      </w:r>
      <w:r w:rsidR="00082920">
        <w:t>,</w:t>
      </w:r>
      <w:r w:rsidR="00DE3BEF" w:rsidRPr="00DE3BEF">
        <w:t xml:space="preserve"> and the empirical properties of the survey measures may differ for people with different </w:t>
      </w:r>
      <w:r w:rsidR="00E43639">
        <w:t>earnings</w:t>
      </w:r>
      <w:r w:rsidR="00DE3BEF" w:rsidRPr="00DE3BEF">
        <w:t xml:space="preserve"> levels.</w:t>
      </w:r>
      <w:r w:rsidR="00A3174E">
        <w:t xml:space="preserve"> </w:t>
      </w:r>
      <w:r w:rsidR="004826DC">
        <w:t xml:space="preserve">The </w:t>
      </w:r>
      <w:r w:rsidR="004826DC">
        <w:lastRenderedPageBreak/>
        <w:t xml:space="preserve">American Community Survey </w:t>
      </w:r>
      <w:r w:rsidR="00863F1F">
        <w:t xml:space="preserve">(ACS) </w:t>
      </w:r>
      <w:r w:rsidR="004826DC">
        <w:t xml:space="preserve">was the source for most of the </w:t>
      </w:r>
      <w:r w:rsidR="00746491">
        <w:t>ATES</w:t>
      </w:r>
      <w:r w:rsidR="00DA71EB">
        <w:t xml:space="preserve"> </w:t>
      </w:r>
      <w:r w:rsidR="00C03924" w:rsidRPr="000145F6">
        <w:t>employment and background</w:t>
      </w:r>
      <w:r w:rsidR="004826DC" w:rsidRPr="000145F6">
        <w:t xml:space="preserve"> items.</w:t>
      </w:r>
      <w:r w:rsidR="00A9755C" w:rsidRPr="000145F6">
        <w:t xml:space="preserve"> </w:t>
      </w:r>
      <w:r w:rsidR="00A3174E" w:rsidRPr="000145F6">
        <w:t xml:space="preserve">Item response rates for </w:t>
      </w:r>
      <w:r w:rsidR="00E43639" w:rsidRPr="000145F6">
        <w:t>earnings</w:t>
      </w:r>
      <w:r w:rsidR="00A3174E" w:rsidRPr="000145F6">
        <w:t xml:space="preserve"> questions were </w:t>
      </w:r>
      <w:r w:rsidR="00D459B1" w:rsidRPr="000145F6">
        <w:t>reasonably high</w:t>
      </w:r>
      <w:r w:rsidR="00A3174E" w:rsidRPr="000145F6">
        <w:t xml:space="preserve"> in the </w:t>
      </w:r>
      <w:r w:rsidR="002817EA" w:rsidRPr="000145F6">
        <w:t>2014</w:t>
      </w:r>
      <w:r w:rsidR="00A3174E" w:rsidRPr="000145F6">
        <w:t xml:space="preserve"> </w:t>
      </w:r>
      <w:r w:rsidR="002817EA" w:rsidRPr="000145F6">
        <w:t>NHES Feasibility Study</w:t>
      </w:r>
      <w:r w:rsidR="00A3174E" w:rsidRPr="000145F6">
        <w:t>.</w:t>
      </w:r>
      <w:r w:rsidR="00A3174E" w:rsidRPr="002817EA">
        <w:t xml:space="preserve"> The item response rate for personal earnings was </w:t>
      </w:r>
      <w:r w:rsidR="001E7612" w:rsidRPr="002817EA">
        <w:t>96.4</w:t>
      </w:r>
      <w:r w:rsidR="00876969" w:rsidRPr="002817EA">
        <w:t xml:space="preserve"> percent</w:t>
      </w:r>
      <w:r w:rsidR="00A3174E" w:rsidRPr="002817EA">
        <w:t>.</w:t>
      </w:r>
    </w:p>
    <w:p w14:paraId="201E5CFE" w14:textId="77777777" w:rsidR="007A29A2" w:rsidRDefault="00E21EC6" w:rsidP="00646A5F">
      <w:pPr>
        <w:pStyle w:val="P1-StandPara"/>
        <w:spacing w:after="120" w:line="240" w:lineRule="auto"/>
        <w:ind w:firstLine="0"/>
        <w:jc w:val="left"/>
      </w:pPr>
      <w:r>
        <w:rPr>
          <w:b/>
        </w:rPr>
        <w:t>PFI and ECPP</w:t>
      </w:r>
      <w:r w:rsidR="000113F6">
        <w:rPr>
          <w:b/>
        </w:rPr>
        <w:t>:</w:t>
      </w:r>
      <w:r w:rsidR="00A9755C">
        <w:rPr>
          <w:b/>
        </w:rPr>
        <w:t xml:space="preserve"> </w:t>
      </w:r>
      <w:r w:rsidR="008478A9">
        <w:t>Child development and education experts consider economic disadvantage and children’s disabilities to be important factors in children’s school experiences and their</w:t>
      </w:r>
      <w:r w:rsidR="0004232F">
        <w:t xml:space="preserve"> activities outside of school</w:t>
      </w:r>
      <w:r w:rsidR="008478A9">
        <w:t xml:space="preserve">. As a result, the </w:t>
      </w:r>
      <w:r>
        <w:t>child</w:t>
      </w:r>
      <w:r w:rsidR="0098139D">
        <w:t xml:space="preserve"> survey</w:t>
      </w:r>
      <w:r>
        <w:t>s</w:t>
      </w:r>
      <w:r w:rsidR="008478A9">
        <w:t xml:space="preserve"> contain measures of these characteristics, including:</w:t>
      </w:r>
    </w:p>
    <w:p w14:paraId="02395DBB" w14:textId="77777777" w:rsidR="00082920" w:rsidRDefault="00082920" w:rsidP="00646A5F">
      <w:pPr>
        <w:pStyle w:val="P1-StandPara"/>
        <w:numPr>
          <w:ilvl w:val="0"/>
          <w:numId w:val="3"/>
        </w:numPr>
        <w:spacing w:after="60" w:line="240" w:lineRule="auto"/>
        <w:ind w:left="548" w:hanging="274"/>
        <w:jc w:val="left"/>
      </w:pPr>
      <w:r>
        <w:t>Household income;</w:t>
      </w:r>
    </w:p>
    <w:p w14:paraId="6DCD78F7" w14:textId="77777777" w:rsidR="00082920" w:rsidRDefault="00082920" w:rsidP="00646A5F">
      <w:pPr>
        <w:pStyle w:val="P1-StandPara"/>
        <w:numPr>
          <w:ilvl w:val="0"/>
          <w:numId w:val="3"/>
        </w:numPr>
        <w:spacing w:after="60" w:line="240" w:lineRule="auto"/>
        <w:ind w:left="548" w:hanging="274"/>
        <w:jc w:val="left"/>
      </w:pPr>
      <w:r>
        <w:t>Receipt of public assistance in the form of Temporary Assistance to Needy Families (TANF), food stamps, and the Women, Infants, and Children program (WIC); and</w:t>
      </w:r>
    </w:p>
    <w:p w14:paraId="7EA6981C" w14:textId="77777777" w:rsidR="00082920" w:rsidRDefault="00082920" w:rsidP="00646A5F">
      <w:pPr>
        <w:pStyle w:val="P1-StandPara"/>
        <w:numPr>
          <w:ilvl w:val="0"/>
          <w:numId w:val="3"/>
        </w:numPr>
        <w:spacing w:after="120" w:line="240" w:lineRule="auto"/>
        <w:ind w:left="540" w:hanging="270"/>
        <w:jc w:val="left"/>
      </w:pPr>
      <w:r>
        <w:t>Children’s disability conditions.</w:t>
      </w:r>
    </w:p>
    <w:p w14:paraId="5583AE58" w14:textId="4CCA1973" w:rsidR="008478A9" w:rsidRDefault="008478A9" w:rsidP="00646A5F">
      <w:pPr>
        <w:pStyle w:val="P1-StandPara"/>
        <w:spacing w:after="120" w:line="240" w:lineRule="auto"/>
        <w:ind w:firstLine="0"/>
        <w:jc w:val="left"/>
      </w:pPr>
      <w:r>
        <w:t xml:space="preserve">Measures of household income and government assistance are important because </w:t>
      </w:r>
      <w:r w:rsidR="0004232F">
        <w:t xml:space="preserve">access to </w:t>
      </w:r>
      <w:r w:rsidR="00F210D4">
        <w:t>early childhood</w:t>
      </w:r>
      <w:r w:rsidR="0004232F">
        <w:t xml:space="preserve"> programs by children at</w:t>
      </w:r>
      <w:r w:rsidR="00F210D4">
        <w:t>-</w:t>
      </w:r>
      <w:r w:rsidR="0004232F">
        <w:t xml:space="preserve">risk and </w:t>
      </w:r>
      <w:r w:rsidR="00F210D4">
        <w:t xml:space="preserve">the education involvement of families of </w:t>
      </w:r>
      <w:r w:rsidR="0004232F">
        <w:t>children from different socioeconomic backgrounds is</w:t>
      </w:r>
      <w:r>
        <w:t xml:space="preserve"> of interest to policymakers, child development specialists, and educators. These items are important </w:t>
      </w:r>
      <w:r w:rsidR="000A6C23">
        <w:t>in</w:t>
      </w:r>
      <w:r>
        <w:t xml:space="preserve"> identifying children at</w:t>
      </w:r>
      <w:r w:rsidR="00A0178E">
        <w:t xml:space="preserve"> </w:t>
      </w:r>
      <w:r>
        <w:t xml:space="preserve">risk and have been administered successfully in previous NHES studies. Respondents are also asked the age at which they first became a parent. This may be sensitive </w:t>
      </w:r>
      <w:r w:rsidR="001E1690">
        <w:t>for parents in some situations.</w:t>
      </w:r>
    </w:p>
    <w:p w14:paraId="4E3A08CC" w14:textId="1437FAB2" w:rsidR="007A29A2" w:rsidRDefault="008478A9" w:rsidP="00646A5F">
      <w:pPr>
        <w:pStyle w:val="P1-StandPara"/>
        <w:spacing w:after="120" w:line="240" w:lineRule="auto"/>
        <w:ind w:firstLine="0"/>
        <w:jc w:val="left"/>
      </w:pPr>
      <w:r w:rsidRPr="00F103AC">
        <w:t xml:space="preserve">The </w:t>
      </w:r>
      <w:r w:rsidR="0098139D" w:rsidRPr="00F103AC">
        <w:t>2012</w:t>
      </w:r>
      <w:r w:rsidRPr="00F103AC">
        <w:t xml:space="preserve"> response rates for these items were very high. For total household income,</w:t>
      </w:r>
      <w:r w:rsidR="0004232F" w:rsidRPr="00F103AC">
        <w:t xml:space="preserve"> </w:t>
      </w:r>
      <w:r w:rsidRPr="00F103AC">
        <w:t>the</w:t>
      </w:r>
      <w:r w:rsidR="0004232F" w:rsidRPr="00F103AC">
        <w:t xml:space="preserve"> 2012 PFI survey had an item response rate of 95.4 percent.</w:t>
      </w:r>
      <w:r w:rsidRPr="00F103AC">
        <w:t xml:space="preserve"> </w:t>
      </w:r>
      <w:r w:rsidR="00F3623F" w:rsidRPr="00F103AC">
        <w:t xml:space="preserve">Item response rates </w:t>
      </w:r>
      <w:r w:rsidRPr="00F103AC">
        <w:t xml:space="preserve">for receipt of public assistance were also high: for Temporary Assistance to Needy Families, </w:t>
      </w:r>
      <w:r w:rsidR="00EE6DDB" w:rsidRPr="00F103AC">
        <w:t>97.9</w:t>
      </w:r>
      <w:r w:rsidRPr="00F103AC">
        <w:t xml:space="preserve"> percent; for the Women, Infants, and Children Program, </w:t>
      </w:r>
      <w:r w:rsidR="0004232F" w:rsidRPr="00F103AC">
        <w:t xml:space="preserve">97.7 </w:t>
      </w:r>
      <w:r w:rsidRPr="00F103AC">
        <w:t xml:space="preserve">percent; and for Food Stamps, </w:t>
      </w:r>
      <w:r w:rsidR="0004232F" w:rsidRPr="00F103AC">
        <w:t xml:space="preserve">98.4 </w:t>
      </w:r>
      <w:r w:rsidRPr="00F103AC">
        <w:t xml:space="preserve">percent. </w:t>
      </w:r>
      <w:r w:rsidR="00EE6DDB" w:rsidRPr="00F103AC">
        <w:t>In the 2012 mail survey, it is not possible to examine item missing data for child disability because of the multiple response list format of the question</w:t>
      </w:r>
      <w:r w:rsidRPr="00F103AC">
        <w:t xml:space="preserve">. </w:t>
      </w:r>
      <w:r w:rsidR="00C0235C" w:rsidRPr="00F103AC">
        <w:t xml:space="preserve">Missing data may indicate either unreported data or that the child does not have a disability. </w:t>
      </w:r>
      <w:r w:rsidR="00EE6DDB" w:rsidRPr="00F103AC">
        <w:t xml:space="preserve">However, </w:t>
      </w:r>
      <w:r w:rsidR="00C0235C" w:rsidRPr="00F103AC">
        <w:t>in prior NHES collections</w:t>
      </w:r>
      <w:r w:rsidR="00EE6DDB" w:rsidRPr="00F103AC">
        <w:t xml:space="preserve">, response </w:t>
      </w:r>
      <w:r w:rsidR="00C0235C" w:rsidRPr="00F103AC">
        <w:t>to this item was high</w:t>
      </w:r>
      <w:r w:rsidR="00374159" w:rsidRPr="00F103AC">
        <w:t>:</w:t>
      </w:r>
      <w:r w:rsidR="00C0235C" w:rsidRPr="00F103AC">
        <w:t xml:space="preserve"> in the 2007 PFI the item response rates were over 99 percent.</w:t>
      </w:r>
      <w:r w:rsidR="00EE6DDB" w:rsidRPr="00F103AC">
        <w:t xml:space="preserve"> </w:t>
      </w:r>
      <w:r w:rsidRPr="00F103AC">
        <w:t>In the 20</w:t>
      </w:r>
      <w:r w:rsidR="0004232F" w:rsidRPr="00F103AC">
        <w:t>12 PFI</w:t>
      </w:r>
      <w:r w:rsidRPr="00F103AC">
        <w:t xml:space="preserve">, the item response rate for age at which </w:t>
      </w:r>
      <w:r w:rsidR="00EE6DDB" w:rsidRPr="00F103AC">
        <w:t xml:space="preserve">the child’s parent </w:t>
      </w:r>
      <w:r w:rsidRPr="00F103AC">
        <w:t xml:space="preserve">first became a parent to any child was </w:t>
      </w:r>
      <w:r w:rsidR="00EE6DDB" w:rsidRPr="00F103AC">
        <w:t>96</w:t>
      </w:r>
      <w:r w:rsidRPr="00F103AC">
        <w:t>.</w:t>
      </w:r>
      <w:r w:rsidR="00EE6DDB" w:rsidRPr="00F103AC">
        <w:t>2 for the first parent reported and 96.0 for the second parent reported.</w:t>
      </w:r>
    </w:p>
    <w:p w14:paraId="7C7C8142" w14:textId="77777777" w:rsidR="00E21EC6" w:rsidRDefault="00E21EC6" w:rsidP="00646A5F">
      <w:pPr>
        <w:pStyle w:val="P1-StandPara"/>
        <w:spacing w:after="120" w:line="240" w:lineRule="auto"/>
        <w:ind w:firstLine="0"/>
        <w:jc w:val="left"/>
      </w:pPr>
      <w:r>
        <w:rPr>
          <w:b/>
        </w:rPr>
        <w:t>ECPP Survey:</w:t>
      </w:r>
      <w:r>
        <w:t xml:space="preserve"> In addition to the items above, the ECPP survey also includes questions about assistance to pay for child care. This measure is important to understand families’ and children’s access to early childhood programs.</w:t>
      </w:r>
    </w:p>
    <w:p w14:paraId="40A3BEB3" w14:textId="77777777" w:rsidR="00E21EC6" w:rsidRDefault="00E21EC6" w:rsidP="00646A5F">
      <w:pPr>
        <w:pStyle w:val="P1-StandPara"/>
        <w:keepNext/>
        <w:keepLines/>
        <w:spacing w:after="120" w:line="240" w:lineRule="auto"/>
        <w:ind w:firstLine="0"/>
        <w:jc w:val="left"/>
      </w:pPr>
      <w:r>
        <w:rPr>
          <w:b/>
        </w:rPr>
        <w:t>PFI Survey:</w:t>
      </w:r>
      <w:r>
        <w:t xml:space="preserve"> The PFI survey includes items concerning children’s school performance and difficulties in school. Among these are:</w:t>
      </w:r>
    </w:p>
    <w:p w14:paraId="42DE95D8" w14:textId="232F80C9" w:rsidR="00E21EC6" w:rsidRDefault="00E21EC6" w:rsidP="00646A5F">
      <w:pPr>
        <w:pStyle w:val="N2-2ndBullet"/>
        <w:tabs>
          <w:tab w:val="clear" w:pos="1728"/>
          <w:tab w:val="left" w:pos="360"/>
        </w:tabs>
        <w:spacing w:after="120" w:line="240" w:lineRule="auto"/>
        <w:ind w:left="360" w:hanging="288"/>
        <w:contextualSpacing/>
        <w:jc w:val="left"/>
      </w:pPr>
      <w:r>
        <w:t xml:space="preserve">Children’s school performance and difficulties, including school grades, </w:t>
      </w:r>
      <w:r w:rsidR="002D0ADE">
        <w:t xml:space="preserve">grade retention, </w:t>
      </w:r>
      <w:r>
        <w:t>suspensions, and expulsions; and</w:t>
      </w:r>
    </w:p>
    <w:p w14:paraId="70276452" w14:textId="77777777" w:rsidR="00E21EC6" w:rsidRDefault="00E21EC6" w:rsidP="00646A5F">
      <w:pPr>
        <w:pStyle w:val="N2-2ndBullet"/>
        <w:tabs>
          <w:tab w:val="clear" w:pos="1728"/>
          <w:tab w:val="left" w:pos="360"/>
        </w:tabs>
        <w:spacing w:after="120" w:line="240" w:lineRule="auto"/>
        <w:ind w:left="360" w:hanging="288"/>
        <w:contextualSpacing/>
        <w:jc w:val="left"/>
      </w:pPr>
      <w:r>
        <w:t>Identification of children’s schools.</w:t>
      </w:r>
    </w:p>
    <w:p w14:paraId="32408A5C" w14:textId="77777777" w:rsidR="008478A9" w:rsidRDefault="008478A9" w:rsidP="00646A5F">
      <w:pPr>
        <w:pStyle w:val="P1-StandPara"/>
        <w:spacing w:after="120" w:line="240" w:lineRule="auto"/>
        <w:ind w:firstLine="0"/>
        <w:jc w:val="left"/>
      </w:pPr>
      <w:r>
        <w:t xml:space="preserve">Items concerning school performance and difficulty are important to the </w:t>
      </w:r>
      <w:r w:rsidR="00E21EC6">
        <w:t>PFI</w:t>
      </w:r>
      <w:r w:rsidR="006E65F3">
        <w:t xml:space="preserve"> s</w:t>
      </w:r>
      <w:r>
        <w:t xml:space="preserve">urvey as correlates of </w:t>
      </w:r>
      <w:r w:rsidR="00E21EC6">
        <w:t>parent and family involvement in children’s education</w:t>
      </w:r>
      <w:r w:rsidR="006E65F3">
        <w:t>.</w:t>
      </w:r>
      <w:r>
        <w:t xml:space="preserve"> </w:t>
      </w:r>
      <w:r w:rsidR="006E65F3">
        <w:t xml:space="preserve">These items were asked in the NHES:2012 PFI and item response rates for these items </w:t>
      </w:r>
      <w:r w:rsidR="006814A7">
        <w:t>were</w:t>
      </w:r>
      <w:r w:rsidR="006E65F3">
        <w:t xml:space="preserve"> high</w:t>
      </w:r>
      <w:r w:rsidR="006E65F3" w:rsidRPr="00250F9A">
        <w:t>:</w:t>
      </w:r>
      <w:r w:rsidRPr="00250F9A">
        <w:t xml:space="preserve"> </w:t>
      </w:r>
      <w:r w:rsidR="009B1997" w:rsidRPr="00250F9A">
        <w:t>99</w:t>
      </w:r>
      <w:r w:rsidRPr="00250F9A">
        <w:t>.</w:t>
      </w:r>
      <w:r w:rsidR="009B1997" w:rsidRPr="00250F9A">
        <w:t xml:space="preserve">0 </w:t>
      </w:r>
      <w:r w:rsidRPr="00250F9A">
        <w:t xml:space="preserve">percent for children’s grades, </w:t>
      </w:r>
      <w:r w:rsidR="009B1997" w:rsidRPr="00250F9A">
        <w:t>97</w:t>
      </w:r>
      <w:r w:rsidRPr="00250F9A">
        <w:t>.</w:t>
      </w:r>
      <w:r w:rsidR="009B1997" w:rsidRPr="00250F9A">
        <w:t xml:space="preserve">6 </w:t>
      </w:r>
      <w:r w:rsidRPr="00250F9A">
        <w:t xml:space="preserve">percent for out-of-school suspension, and </w:t>
      </w:r>
      <w:r w:rsidR="009B1997" w:rsidRPr="00250F9A">
        <w:t>97</w:t>
      </w:r>
      <w:r w:rsidRPr="00250F9A">
        <w:t>.</w:t>
      </w:r>
      <w:r w:rsidR="009B1997" w:rsidRPr="00250F9A">
        <w:t xml:space="preserve">5 </w:t>
      </w:r>
      <w:r w:rsidRPr="00250F9A">
        <w:t>percent for expulsion.</w:t>
      </w:r>
    </w:p>
    <w:p w14:paraId="79A99FD1" w14:textId="0654AA39" w:rsidR="008478A9" w:rsidRDefault="008478A9" w:rsidP="00646A5F">
      <w:pPr>
        <w:pStyle w:val="P1-StandPara"/>
        <w:spacing w:after="120" w:line="240" w:lineRule="auto"/>
        <w:ind w:firstLine="0"/>
        <w:jc w:val="left"/>
      </w:pPr>
      <w:r>
        <w:t xml:space="preserve">Another element of the surveys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was </w:t>
      </w:r>
      <w:r w:rsidR="00D459B1">
        <w:t>97.0</w:t>
      </w:r>
      <w:r w:rsidRPr="00A70C4F">
        <w:t> percent</w:t>
      </w:r>
      <w:r w:rsidR="009B150C">
        <w:t xml:space="preserve"> in </w:t>
      </w:r>
      <w:r w:rsidR="00374159">
        <w:t>NHES:</w:t>
      </w:r>
      <w:r w:rsidR="009B150C">
        <w:t>2012</w:t>
      </w:r>
      <w:r>
        <w:t>.</w:t>
      </w:r>
    </w:p>
    <w:p w14:paraId="701662AA" w14:textId="63810743" w:rsidR="008478A9" w:rsidRDefault="008478A9" w:rsidP="00646A5F">
      <w:pPr>
        <w:pStyle w:val="Heading1"/>
        <w:spacing w:after="120" w:line="240" w:lineRule="auto"/>
        <w:ind w:left="0" w:firstLine="0"/>
        <w:jc w:val="left"/>
      </w:pPr>
      <w:bookmarkStart w:id="21" w:name="_Toc61176388"/>
      <w:bookmarkStart w:id="22" w:name="_Toc222888897"/>
      <w:r>
        <w:t>A.</w:t>
      </w:r>
      <w:r w:rsidR="00893A70">
        <w:t>12</w:t>
      </w:r>
      <w:r>
        <w:tab/>
        <w:t>Estimated Response Burden</w:t>
      </w:r>
      <w:bookmarkEnd w:id="21"/>
      <w:bookmarkEnd w:id="22"/>
    </w:p>
    <w:p w14:paraId="0747F47A" w14:textId="290679BC" w:rsidR="003864A6" w:rsidRDefault="003864A6" w:rsidP="003864A6">
      <w:pPr>
        <w:pStyle w:val="P1-StandPara"/>
        <w:spacing w:after="120" w:line="240" w:lineRule="auto"/>
        <w:ind w:firstLine="0"/>
        <w:jc w:val="left"/>
      </w:pPr>
      <w:r w:rsidRPr="003F69DF">
        <w:t xml:space="preserve">The NHES:2016 will screen </w:t>
      </w:r>
      <w:r>
        <w:t>206,000</w:t>
      </w:r>
      <w:r w:rsidRPr="003F69DF">
        <w:t xml:space="preserve"> households</w:t>
      </w:r>
      <w:r>
        <w:t>. A</w:t>
      </w:r>
      <w:r w:rsidRPr="003F69DF">
        <w:t xml:space="preserve">n expected screener response rate of </w:t>
      </w:r>
      <w:r>
        <w:t>approximately 64.0</w:t>
      </w:r>
      <w:r w:rsidR="006C4493">
        <w:t>21</w:t>
      </w:r>
      <w:r w:rsidRPr="003F69DF">
        <w:t xml:space="preserve"> percent and an address ineligibility</w:t>
      </w:r>
      <w:r w:rsidRPr="003F69DF">
        <w:rPr>
          <w:rStyle w:val="FootnoteReference"/>
        </w:rPr>
        <w:footnoteReference w:id="3"/>
      </w:r>
      <w:r w:rsidRPr="003F69DF">
        <w:t xml:space="preserve"> rate of </w:t>
      </w:r>
      <w:r>
        <w:t>approximately 9.</w:t>
      </w:r>
      <w:r w:rsidR="006C4493">
        <w:t>375</w:t>
      </w:r>
      <w:r w:rsidRPr="003F69DF">
        <w:t xml:space="preserve"> percent are assumed, bringing the total number of expected screeners to </w:t>
      </w:r>
      <w:r>
        <w:t>119,520</w:t>
      </w:r>
      <w:r w:rsidRPr="003F69DF">
        <w:t>.</w:t>
      </w:r>
      <w:r>
        <w:rPr>
          <w:rStyle w:val="FootnoteReference"/>
        </w:rPr>
        <w:footnoteReference w:id="4"/>
      </w:r>
      <w:r w:rsidRPr="003F69DF">
        <w:t xml:space="preserve"> From these completed screeners, it is expected that approximately </w:t>
      </w:r>
      <w:r>
        <w:t>47.4</w:t>
      </w:r>
      <w:r w:rsidR="00E1470B">
        <w:t>11</w:t>
      </w:r>
      <w:r w:rsidRPr="003F69DF">
        <w:t xml:space="preserve"> percent </w:t>
      </w:r>
      <w:r w:rsidRPr="003F69DF">
        <w:lastRenderedPageBreak/>
        <w:t xml:space="preserve">or </w:t>
      </w:r>
      <w:r>
        <w:rPr>
          <w:color w:val="000000"/>
          <w:szCs w:val="22"/>
        </w:rPr>
        <w:t>56,666</w:t>
      </w:r>
      <w:r w:rsidRPr="003F69DF">
        <w:rPr>
          <w:color w:val="000000"/>
          <w:szCs w:val="22"/>
        </w:rPr>
        <w:t xml:space="preserve"> households will contain</w:t>
      </w:r>
      <w:r w:rsidRPr="003F69DF">
        <w:t xml:space="preserve"> an eligible adult but no eligible children; approximately </w:t>
      </w:r>
      <w:r>
        <w:t>30.4</w:t>
      </w:r>
      <w:r w:rsidRPr="003F69DF">
        <w:t xml:space="preserve"> percent or </w:t>
      </w:r>
      <w:r>
        <w:rPr>
          <w:color w:val="000000"/>
          <w:szCs w:val="22"/>
        </w:rPr>
        <w:t>36,333</w:t>
      </w:r>
      <w:r w:rsidRPr="003F69DF">
        <w:rPr>
          <w:color w:val="000000"/>
          <w:szCs w:val="22"/>
        </w:rPr>
        <w:t xml:space="preserve"> households </w:t>
      </w:r>
      <w:r w:rsidRPr="003F69DF">
        <w:t xml:space="preserve">will contain an eligible adult and an eligible child; and approximately </w:t>
      </w:r>
      <w:r w:rsidR="005276DE">
        <w:t>1.2</w:t>
      </w:r>
      <w:r w:rsidR="00E9018A">
        <w:t>5</w:t>
      </w:r>
      <w:r w:rsidRPr="003F69DF">
        <w:t xml:space="preserve"> percent or </w:t>
      </w:r>
      <w:r>
        <w:rPr>
          <w:color w:val="000000"/>
          <w:szCs w:val="22"/>
        </w:rPr>
        <w:t>1,494</w:t>
      </w:r>
      <w:r w:rsidRPr="003F69DF">
        <w:rPr>
          <w:color w:val="000000"/>
          <w:szCs w:val="22"/>
        </w:rPr>
        <w:t xml:space="preserve"> </w:t>
      </w:r>
      <w:r w:rsidRPr="003F69DF">
        <w:t>households will contain an eligible child but no eligible adults (for example, children who live with grandparents above age 65)</w:t>
      </w:r>
      <w:r w:rsidRPr="003F69DF">
        <w:rPr>
          <w:rStyle w:val="FootnoteReference"/>
        </w:rPr>
        <w:footnoteReference w:id="5"/>
      </w:r>
      <w:r w:rsidRPr="003F69DF">
        <w:t>.</w:t>
      </w:r>
      <w:r>
        <w:t xml:space="preserve"> </w:t>
      </w:r>
      <w:r w:rsidR="009E1CEB">
        <w:t xml:space="preserve">The seeded sample will not receive a screener questionnaire and is in addition to the screener sample of 206,000 households. </w:t>
      </w:r>
      <w:r>
        <w:t>A detailed description of the planned sampling design is provided in this submission in Supporting Statement Part B.</w:t>
      </w:r>
    </w:p>
    <w:p w14:paraId="6F370CD0" w14:textId="4BD0DBC7" w:rsidR="0027103E" w:rsidRDefault="00CC40D7" w:rsidP="00C6150C">
      <w:pPr>
        <w:spacing w:line="240" w:lineRule="auto"/>
        <w:jc w:val="left"/>
      </w:pPr>
      <w:r w:rsidRPr="00306779">
        <w:t>The response burden per instrument and the tota</w:t>
      </w:r>
      <w:r w:rsidR="00D047AD" w:rsidRPr="00306779">
        <w:t>l response burden are shown in T</w:t>
      </w:r>
      <w:r w:rsidRPr="00306779">
        <w:t xml:space="preserve">able </w:t>
      </w:r>
      <w:r w:rsidR="006054D6">
        <w:t>3</w:t>
      </w:r>
      <w:r w:rsidRPr="00306779">
        <w:t xml:space="preserve">. The administration times for the screener, </w:t>
      </w:r>
      <w:r w:rsidR="000A6C23" w:rsidRPr="00306779">
        <w:t>adult questionnaires</w:t>
      </w:r>
      <w:r w:rsidRPr="00306779">
        <w:t xml:space="preserve">, and </w:t>
      </w:r>
      <w:r w:rsidR="00F969A5" w:rsidRPr="00306779">
        <w:t>child</w:t>
      </w:r>
      <w:r w:rsidRPr="00306779">
        <w:t xml:space="preserve"> questionnaires are based on practice administrations</w:t>
      </w:r>
      <w:r w:rsidR="00C03924" w:rsidRPr="00306779">
        <w:t xml:space="preserve"> and past experience</w:t>
      </w:r>
      <w:r w:rsidRPr="00306779">
        <w:t>.</w:t>
      </w:r>
      <w:r w:rsidR="001E62CC" w:rsidRPr="00306779">
        <w:t xml:space="preserve"> </w:t>
      </w:r>
      <w:r w:rsidRPr="00306779">
        <w:t>The expected number of respondents and number of responses are based on the expected numbers of completed surveys of each type, discussed in section B.1.</w:t>
      </w:r>
      <w:r w:rsidR="00A54D78" w:rsidRPr="00306779">
        <w:t>3</w:t>
      </w:r>
      <w:r w:rsidRPr="0053743D">
        <w:t xml:space="preserve">. </w:t>
      </w:r>
      <w:r w:rsidR="003864A6" w:rsidRPr="0053743D">
        <w:t>The hourly rate of $2</w:t>
      </w:r>
      <w:r w:rsidR="0053743D" w:rsidRPr="0053743D">
        <w:t>2.65</w:t>
      </w:r>
      <w:r w:rsidR="003864A6" w:rsidRPr="0053743D">
        <w:t xml:space="preserve"> </w:t>
      </w:r>
      <w:r w:rsidR="0053743D">
        <w:t xml:space="preserve">is based on the </w:t>
      </w:r>
      <w:r w:rsidR="003B3682" w:rsidRPr="0053743D">
        <w:t>average for</w:t>
      </w:r>
      <w:r w:rsidR="0053743D">
        <w:t xml:space="preserve"> </w:t>
      </w:r>
      <w:r w:rsidR="003B3682" w:rsidRPr="0053743D">
        <w:t xml:space="preserve">all </w:t>
      </w:r>
      <w:r w:rsidR="00ED42B9">
        <w:t xml:space="preserve">civilian </w:t>
      </w:r>
      <w:r w:rsidR="003864A6" w:rsidRPr="0053743D">
        <w:t xml:space="preserve">workers from the </w:t>
      </w:r>
      <w:r w:rsidR="0053743D" w:rsidRPr="0053743D">
        <w:t>December 2014</w:t>
      </w:r>
      <w:r w:rsidR="003864A6" w:rsidRPr="0053743D">
        <w:t xml:space="preserve"> National Compensation Survey (</w:t>
      </w:r>
      <w:hyperlink r:id="rId35" w:history="1">
        <w:r w:rsidR="003864A6" w:rsidRPr="0053743D">
          <w:rPr>
            <w:sz w:val="20"/>
          </w:rPr>
          <w:t>http://www.bls.gov/news.release/ecec.t02.htm</w:t>
        </w:r>
      </w:hyperlink>
      <w:r w:rsidR="003864A6" w:rsidRPr="0053743D">
        <w:t xml:space="preserve">). For the NHES:2016, a total of </w:t>
      </w:r>
      <w:r w:rsidR="00F309A6" w:rsidRPr="0053743D">
        <w:t>32,029</w:t>
      </w:r>
      <w:r w:rsidR="003864A6" w:rsidRPr="0053743D">
        <w:t xml:space="preserve"> burden hours are anticipated, resulting in a burden cost to respondents of approximately $</w:t>
      </w:r>
      <w:r w:rsidR="0053743D" w:rsidRPr="0053743D">
        <w:t>725,457</w:t>
      </w:r>
      <w:r w:rsidR="003864A6" w:rsidRPr="0053743D">
        <w:t>.</w:t>
      </w:r>
      <w:bookmarkStart w:id="23" w:name="_Toc418057945"/>
      <w:bookmarkStart w:id="24" w:name="_Toc61176389"/>
      <w:bookmarkStart w:id="25" w:name="_Toc222888898"/>
      <w:bookmarkStart w:id="26" w:name="_Toc418057946"/>
    </w:p>
    <w:p w14:paraId="3AACFFB3" w14:textId="77777777" w:rsidR="003864A6" w:rsidRPr="00306779" w:rsidRDefault="003864A6" w:rsidP="00A30BF1">
      <w:pPr>
        <w:spacing w:line="240" w:lineRule="auto"/>
        <w:rPr>
          <w:rFonts w:ascii="Calibri" w:hAnsi="Calibri"/>
          <w:color w:val="1F497D"/>
        </w:rPr>
      </w:pPr>
    </w:p>
    <w:tbl>
      <w:tblPr>
        <w:tblW w:w="9954" w:type="dxa"/>
        <w:tblInd w:w="93" w:type="dxa"/>
        <w:tblLook w:val="04A0" w:firstRow="1" w:lastRow="0" w:firstColumn="1" w:lastColumn="0" w:noHBand="0" w:noVBand="1"/>
      </w:tblPr>
      <w:tblGrid>
        <w:gridCol w:w="3640"/>
        <w:gridCol w:w="1016"/>
        <w:gridCol w:w="1000"/>
        <w:gridCol w:w="1150"/>
        <w:gridCol w:w="1172"/>
        <w:gridCol w:w="1016"/>
        <w:gridCol w:w="960"/>
      </w:tblGrid>
      <w:tr w:rsidR="006730F3" w:rsidRPr="006730F3" w14:paraId="7B2B79A1" w14:textId="77777777" w:rsidTr="00C6150C">
        <w:trPr>
          <w:trHeight w:val="315"/>
        </w:trPr>
        <w:tc>
          <w:tcPr>
            <w:tcW w:w="9954" w:type="dxa"/>
            <w:gridSpan w:val="7"/>
            <w:tcBorders>
              <w:top w:val="nil"/>
              <w:left w:val="nil"/>
              <w:bottom w:val="single" w:sz="12" w:space="0" w:color="auto"/>
              <w:right w:val="nil"/>
            </w:tcBorders>
            <w:shd w:val="clear" w:color="auto" w:fill="auto"/>
            <w:noWrap/>
            <w:vAlign w:val="bottom"/>
            <w:hideMark/>
          </w:tcPr>
          <w:p w14:paraId="50201DFE" w14:textId="6DAB4EAD" w:rsidR="006730F3" w:rsidRPr="006730F3" w:rsidRDefault="006730F3" w:rsidP="006054D6">
            <w:pPr>
              <w:spacing w:line="240" w:lineRule="auto"/>
              <w:jc w:val="left"/>
              <w:rPr>
                <w:rFonts w:ascii="Calibri" w:hAnsi="Calibri" w:cs="Calibri"/>
                <w:b/>
                <w:bCs/>
                <w:color w:val="000000"/>
                <w:szCs w:val="22"/>
              </w:rPr>
            </w:pPr>
            <w:r w:rsidRPr="006730F3">
              <w:rPr>
                <w:rFonts w:ascii="Calibri" w:hAnsi="Calibri" w:cs="Calibri"/>
                <w:b/>
                <w:bCs/>
                <w:color w:val="000000"/>
                <w:szCs w:val="22"/>
              </w:rPr>
              <w:t xml:space="preserve">Table </w:t>
            </w:r>
            <w:r w:rsidR="006054D6">
              <w:rPr>
                <w:rFonts w:ascii="Calibri" w:hAnsi="Calibri" w:cs="Calibri"/>
                <w:b/>
                <w:bCs/>
                <w:color w:val="000000"/>
                <w:szCs w:val="22"/>
              </w:rPr>
              <w:t>3</w:t>
            </w:r>
            <w:r w:rsidRPr="006730F3">
              <w:rPr>
                <w:rFonts w:ascii="Calibri" w:hAnsi="Calibri" w:cs="Calibri"/>
                <w:b/>
                <w:bCs/>
                <w:color w:val="000000"/>
                <w:szCs w:val="22"/>
              </w:rPr>
              <w:t>. Estimated response burden for NHES:2016</w:t>
            </w:r>
          </w:p>
        </w:tc>
      </w:tr>
      <w:tr w:rsidR="006730F3" w:rsidRPr="006730F3" w14:paraId="5BAC9683" w14:textId="77777777" w:rsidTr="00C6150C">
        <w:trPr>
          <w:trHeight w:val="795"/>
        </w:trPr>
        <w:tc>
          <w:tcPr>
            <w:tcW w:w="3640" w:type="dxa"/>
            <w:tcBorders>
              <w:top w:val="nil"/>
              <w:left w:val="nil"/>
              <w:bottom w:val="single" w:sz="12" w:space="0" w:color="auto"/>
              <w:right w:val="nil"/>
            </w:tcBorders>
            <w:shd w:val="clear" w:color="auto" w:fill="auto"/>
            <w:vAlign w:val="center"/>
            <w:hideMark/>
          </w:tcPr>
          <w:p w14:paraId="4DE605F5" w14:textId="77777777" w:rsidR="006730F3" w:rsidRPr="006730F3" w:rsidRDefault="006730F3" w:rsidP="006730F3">
            <w:pPr>
              <w:spacing w:line="240" w:lineRule="auto"/>
              <w:jc w:val="left"/>
              <w:rPr>
                <w:color w:val="000000"/>
                <w:sz w:val="20"/>
              </w:rPr>
            </w:pPr>
            <w:r w:rsidRPr="006730F3">
              <w:rPr>
                <w:color w:val="000000"/>
                <w:sz w:val="20"/>
              </w:rPr>
              <w:t>Interview forms</w:t>
            </w:r>
          </w:p>
        </w:tc>
        <w:tc>
          <w:tcPr>
            <w:tcW w:w="1016" w:type="dxa"/>
            <w:tcBorders>
              <w:top w:val="nil"/>
              <w:left w:val="nil"/>
              <w:bottom w:val="single" w:sz="12" w:space="0" w:color="auto"/>
              <w:right w:val="nil"/>
            </w:tcBorders>
            <w:shd w:val="clear" w:color="auto" w:fill="auto"/>
            <w:vAlign w:val="center"/>
            <w:hideMark/>
          </w:tcPr>
          <w:p w14:paraId="0C7F5436" w14:textId="77777777" w:rsidR="006730F3" w:rsidRPr="006730F3" w:rsidRDefault="006730F3" w:rsidP="006730F3">
            <w:pPr>
              <w:spacing w:line="240" w:lineRule="auto"/>
              <w:jc w:val="right"/>
              <w:rPr>
                <w:color w:val="000000"/>
                <w:sz w:val="20"/>
              </w:rPr>
            </w:pPr>
            <w:r w:rsidRPr="006730F3">
              <w:rPr>
                <w:color w:val="000000"/>
                <w:sz w:val="20"/>
              </w:rPr>
              <w:t>Estimated time (minutes)</w:t>
            </w:r>
          </w:p>
        </w:tc>
        <w:tc>
          <w:tcPr>
            <w:tcW w:w="1000" w:type="dxa"/>
            <w:tcBorders>
              <w:top w:val="nil"/>
              <w:left w:val="nil"/>
              <w:bottom w:val="single" w:sz="12" w:space="0" w:color="auto"/>
              <w:right w:val="nil"/>
            </w:tcBorders>
            <w:shd w:val="clear" w:color="auto" w:fill="auto"/>
            <w:vAlign w:val="center"/>
            <w:hideMark/>
          </w:tcPr>
          <w:p w14:paraId="0BCE44AE" w14:textId="77777777" w:rsidR="006730F3" w:rsidRPr="006730F3" w:rsidRDefault="006730F3" w:rsidP="006730F3">
            <w:pPr>
              <w:spacing w:line="240" w:lineRule="auto"/>
              <w:jc w:val="right"/>
              <w:rPr>
                <w:color w:val="000000"/>
                <w:sz w:val="20"/>
              </w:rPr>
            </w:pPr>
            <w:r w:rsidRPr="006730F3">
              <w:rPr>
                <w:color w:val="000000"/>
                <w:sz w:val="20"/>
              </w:rPr>
              <w:t>Number sampled</w:t>
            </w:r>
          </w:p>
        </w:tc>
        <w:tc>
          <w:tcPr>
            <w:tcW w:w="1150" w:type="dxa"/>
            <w:tcBorders>
              <w:top w:val="nil"/>
              <w:left w:val="nil"/>
              <w:bottom w:val="single" w:sz="12" w:space="0" w:color="auto"/>
              <w:right w:val="nil"/>
            </w:tcBorders>
            <w:shd w:val="clear" w:color="auto" w:fill="auto"/>
            <w:vAlign w:val="center"/>
            <w:hideMark/>
          </w:tcPr>
          <w:p w14:paraId="032D8F5F" w14:textId="77777777" w:rsidR="006730F3" w:rsidRPr="006730F3" w:rsidRDefault="006730F3" w:rsidP="006730F3">
            <w:pPr>
              <w:spacing w:line="240" w:lineRule="auto"/>
              <w:jc w:val="right"/>
              <w:rPr>
                <w:color w:val="000000"/>
                <w:sz w:val="20"/>
              </w:rPr>
            </w:pPr>
            <w:r w:rsidRPr="006730F3">
              <w:rPr>
                <w:color w:val="000000"/>
                <w:sz w:val="20"/>
              </w:rPr>
              <w:t>Anticipated Response Rate</w:t>
            </w:r>
          </w:p>
        </w:tc>
        <w:tc>
          <w:tcPr>
            <w:tcW w:w="1172" w:type="dxa"/>
            <w:tcBorders>
              <w:top w:val="nil"/>
              <w:left w:val="nil"/>
              <w:bottom w:val="single" w:sz="12" w:space="0" w:color="auto"/>
              <w:right w:val="nil"/>
            </w:tcBorders>
            <w:shd w:val="clear" w:color="auto" w:fill="auto"/>
            <w:vAlign w:val="center"/>
            <w:hideMark/>
          </w:tcPr>
          <w:p w14:paraId="05E1DFEB" w14:textId="77777777" w:rsidR="006730F3" w:rsidRPr="006730F3" w:rsidRDefault="006730F3" w:rsidP="006730F3">
            <w:pPr>
              <w:spacing w:line="240" w:lineRule="auto"/>
              <w:jc w:val="right"/>
              <w:rPr>
                <w:color w:val="000000"/>
                <w:sz w:val="20"/>
              </w:rPr>
            </w:pPr>
            <w:r w:rsidRPr="006730F3">
              <w:rPr>
                <w:color w:val="000000"/>
                <w:sz w:val="20"/>
              </w:rPr>
              <w:t>Estimated Number of respondents</w:t>
            </w:r>
          </w:p>
        </w:tc>
        <w:tc>
          <w:tcPr>
            <w:tcW w:w="1016" w:type="dxa"/>
            <w:tcBorders>
              <w:top w:val="nil"/>
              <w:left w:val="nil"/>
              <w:bottom w:val="single" w:sz="12" w:space="0" w:color="auto"/>
              <w:right w:val="nil"/>
            </w:tcBorders>
            <w:shd w:val="clear" w:color="auto" w:fill="auto"/>
            <w:vAlign w:val="center"/>
            <w:hideMark/>
          </w:tcPr>
          <w:p w14:paraId="4557FAE3" w14:textId="77777777" w:rsidR="006730F3" w:rsidRPr="006730F3" w:rsidRDefault="006730F3" w:rsidP="006730F3">
            <w:pPr>
              <w:spacing w:line="240" w:lineRule="auto"/>
              <w:jc w:val="right"/>
              <w:rPr>
                <w:color w:val="000000"/>
                <w:sz w:val="20"/>
              </w:rPr>
            </w:pPr>
            <w:r w:rsidRPr="006730F3">
              <w:rPr>
                <w:color w:val="000000"/>
                <w:sz w:val="20"/>
              </w:rPr>
              <w:t>Estimated Number of responses</w:t>
            </w:r>
          </w:p>
        </w:tc>
        <w:tc>
          <w:tcPr>
            <w:tcW w:w="960" w:type="dxa"/>
            <w:tcBorders>
              <w:top w:val="nil"/>
              <w:left w:val="nil"/>
              <w:bottom w:val="single" w:sz="12" w:space="0" w:color="auto"/>
              <w:right w:val="nil"/>
            </w:tcBorders>
            <w:shd w:val="clear" w:color="auto" w:fill="auto"/>
            <w:vAlign w:val="center"/>
            <w:hideMark/>
          </w:tcPr>
          <w:p w14:paraId="5B40AFFE" w14:textId="77777777" w:rsidR="006730F3" w:rsidRPr="006730F3" w:rsidRDefault="006730F3" w:rsidP="006730F3">
            <w:pPr>
              <w:spacing w:line="240" w:lineRule="auto"/>
              <w:jc w:val="right"/>
              <w:rPr>
                <w:color w:val="000000"/>
                <w:sz w:val="20"/>
              </w:rPr>
            </w:pPr>
            <w:r w:rsidRPr="006730F3">
              <w:rPr>
                <w:color w:val="000000"/>
                <w:sz w:val="20"/>
              </w:rPr>
              <w:t>Total time (hours)</w:t>
            </w:r>
          </w:p>
        </w:tc>
      </w:tr>
      <w:tr w:rsidR="006730F3" w:rsidRPr="006730F3" w14:paraId="642F3920" w14:textId="77777777" w:rsidTr="00C6150C">
        <w:trPr>
          <w:trHeight w:val="315"/>
        </w:trPr>
        <w:tc>
          <w:tcPr>
            <w:tcW w:w="3640" w:type="dxa"/>
            <w:tcBorders>
              <w:top w:val="nil"/>
              <w:left w:val="nil"/>
              <w:bottom w:val="nil"/>
              <w:right w:val="nil"/>
            </w:tcBorders>
            <w:shd w:val="clear" w:color="auto" w:fill="auto"/>
            <w:vAlign w:val="center"/>
            <w:hideMark/>
          </w:tcPr>
          <w:p w14:paraId="0717075F" w14:textId="77777777" w:rsidR="006730F3" w:rsidRPr="006730F3" w:rsidRDefault="006730F3" w:rsidP="006730F3">
            <w:pPr>
              <w:spacing w:line="240" w:lineRule="auto"/>
              <w:rPr>
                <w:color w:val="000000"/>
                <w:sz w:val="20"/>
              </w:rPr>
            </w:pPr>
            <w:r w:rsidRPr="006730F3">
              <w:rPr>
                <w:color w:val="000000"/>
                <w:sz w:val="20"/>
              </w:rPr>
              <w:t xml:space="preserve">Screener </w:t>
            </w:r>
          </w:p>
        </w:tc>
        <w:tc>
          <w:tcPr>
            <w:tcW w:w="1016" w:type="dxa"/>
            <w:tcBorders>
              <w:top w:val="nil"/>
              <w:left w:val="nil"/>
              <w:bottom w:val="nil"/>
              <w:right w:val="nil"/>
            </w:tcBorders>
            <w:shd w:val="clear" w:color="auto" w:fill="auto"/>
            <w:vAlign w:val="center"/>
            <w:hideMark/>
          </w:tcPr>
          <w:p w14:paraId="19826A95" w14:textId="77777777" w:rsidR="006730F3" w:rsidRPr="006730F3" w:rsidRDefault="006730F3" w:rsidP="006730F3">
            <w:pPr>
              <w:spacing w:line="240" w:lineRule="auto"/>
              <w:jc w:val="right"/>
              <w:rPr>
                <w:color w:val="000000"/>
                <w:sz w:val="20"/>
              </w:rPr>
            </w:pPr>
            <w:r w:rsidRPr="006730F3">
              <w:rPr>
                <w:color w:val="000000"/>
                <w:sz w:val="20"/>
              </w:rPr>
              <w:t>8</w:t>
            </w:r>
          </w:p>
        </w:tc>
        <w:tc>
          <w:tcPr>
            <w:tcW w:w="1000" w:type="dxa"/>
            <w:tcBorders>
              <w:top w:val="nil"/>
              <w:left w:val="nil"/>
              <w:bottom w:val="nil"/>
              <w:right w:val="nil"/>
            </w:tcBorders>
            <w:shd w:val="clear" w:color="auto" w:fill="auto"/>
            <w:vAlign w:val="center"/>
            <w:hideMark/>
          </w:tcPr>
          <w:p w14:paraId="3B3F89E8" w14:textId="77777777" w:rsidR="006730F3" w:rsidRPr="006730F3" w:rsidRDefault="006730F3" w:rsidP="006730F3">
            <w:pPr>
              <w:spacing w:line="240" w:lineRule="auto"/>
              <w:jc w:val="right"/>
              <w:rPr>
                <w:color w:val="000000"/>
                <w:sz w:val="20"/>
              </w:rPr>
            </w:pPr>
            <w:r w:rsidRPr="006730F3">
              <w:rPr>
                <w:color w:val="000000"/>
                <w:sz w:val="20"/>
              </w:rPr>
              <w:t>206,000*</w:t>
            </w:r>
          </w:p>
        </w:tc>
        <w:tc>
          <w:tcPr>
            <w:tcW w:w="1150" w:type="dxa"/>
            <w:tcBorders>
              <w:top w:val="nil"/>
              <w:left w:val="nil"/>
              <w:bottom w:val="nil"/>
              <w:right w:val="nil"/>
            </w:tcBorders>
            <w:shd w:val="clear" w:color="auto" w:fill="auto"/>
            <w:vAlign w:val="center"/>
            <w:hideMark/>
          </w:tcPr>
          <w:p w14:paraId="0F9A5077" w14:textId="77777777" w:rsidR="006730F3" w:rsidRPr="006730F3" w:rsidRDefault="006730F3" w:rsidP="006730F3">
            <w:pPr>
              <w:spacing w:line="240" w:lineRule="auto"/>
              <w:jc w:val="right"/>
              <w:rPr>
                <w:color w:val="000000"/>
                <w:sz w:val="20"/>
              </w:rPr>
            </w:pPr>
            <w:r w:rsidRPr="006730F3">
              <w:rPr>
                <w:color w:val="000000"/>
                <w:sz w:val="20"/>
              </w:rPr>
              <w:t>64.021%</w:t>
            </w:r>
          </w:p>
        </w:tc>
        <w:tc>
          <w:tcPr>
            <w:tcW w:w="1172" w:type="dxa"/>
            <w:tcBorders>
              <w:top w:val="nil"/>
              <w:left w:val="nil"/>
              <w:bottom w:val="nil"/>
              <w:right w:val="nil"/>
            </w:tcBorders>
            <w:shd w:val="clear" w:color="auto" w:fill="auto"/>
            <w:vAlign w:val="center"/>
            <w:hideMark/>
          </w:tcPr>
          <w:p w14:paraId="2E0DAE23" w14:textId="77777777" w:rsidR="006730F3" w:rsidRPr="006730F3" w:rsidRDefault="006730F3" w:rsidP="006730F3">
            <w:pPr>
              <w:spacing w:line="240" w:lineRule="auto"/>
              <w:jc w:val="right"/>
              <w:rPr>
                <w:color w:val="000000"/>
                <w:sz w:val="20"/>
              </w:rPr>
            </w:pPr>
            <w:r w:rsidRPr="006730F3">
              <w:rPr>
                <w:color w:val="000000"/>
                <w:sz w:val="20"/>
              </w:rPr>
              <w:t>119,520</w:t>
            </w:r>
          </w:p>
        </w:tc>
        <w:tc>
          <w:tcPr>
            <w:tcW w:w="1016" w:type="dxa"/>
            <w:tcBorders>
              <w:top w:val="nil"/>
              <w:left w:val="nil"/>
              <w:bottom w:val="nil"/>
              <w:right w:val="nil"/>
            </w:tcBorders>
            <w:shd w:val="clear" w:color="auto" w:fill="auto"/>
            <w:vAlign w:val="center"/>
            <w:hideMark/>
          </w:tcPr>
          <w:p w14:paraId="5DDE4470" w14:textId="77777777" w:rsidR="006730F3" w:rsidRPr="006730F3" w:rsidRDefault="006730F3" w:rsidP="006730F3">
            <w:pPr>
              <w:spacing w:line="240" w:lineRule="auto"/>
              <w:jc w:val="right"/>
              <w:rPr>
                <w:color w:val="000000"/>
                <w:sz w:val="20"/>
              </w:rPr>
            </w:pPr>
            <w:r w:rsidRPr="006730F3">
              <w:rPr>
                <w:color w:val="000000"/>
                <w:sz w:val="20"/>
              </w:rPr>
              <w:t>119,520</w:t>
            </w:r>
          </w:p>
        </w:tc>
        <w:tc>
          <w:tcPr>
            <w:tcW w:w="960" w:type="dxa"/>
            <w:tcBorders>
              <w:top w:val="nil"/>
              <w:left w:val="nil"/>
              <w:bottom w:val="nil"/>
              <w:right w:val="nil"/>
            </w:tcBorders>
            <w:shd w:val="clear" w:color="auto" w:fill="auto"/>
            <w:vAlign w:val="center"/>
            <w:hideMark/>
          </w:tcPr>
          <w:p w14:paraId="32F460B8" w14:textId="77777777" w:rsidR="006730F3" w:rsidRPr="006730F3" w:rsidRDefault="006730F3" w:rsidP="006730F3">
            <w:pPr>
              <w:spacing w:line="240" w:lineRule="auto"/>
              <w:jc w:val="right"/>
              <w:rPr>
                <w:color w:val="000000"/>
                <w:sz w:val="20"/>
              </w:rPr>
            </w:pPr>
            <w:r w:rsidRPr="006730F3">
              <w:rPr>
                <w:color w:val="000000"/>
                <w:sz w:val="20"/>
              </w:rPr>
              <w:t>15,936</w:t>
            </w:r>
          </w:p>
        </w:tc>
      </w:tr>
      <w:tr w:rsidR="006730F3" w:rsidRPr="006730F3" w14:paraId="4E80A3AE" w14:textId="77777777" w:rsidTr="00C6150C">
        <w:trPr>
          <w:trHeight w:val="300"/>
        </w:trPr>
        <w:tc>
          <w:tcPr>
            <w:tcW w:w="3640" w:type="dxa"/>
            <w:tcBorders>
              <w:top w:val="nil"/>
              <w:left w:val="nil"/>
              <w:bottom w:val="nil"/>
              <w:right w:val="nil"/>
            </w:tcBorders>
            <w:shd w:val="clear" w:color="auto" w:fill="auto"/>
            <w:vAlign w:val="center"/>
            <w:hideMark/>
          </w:tcPr>
          <w:p w14:paraId="02AF6901" w14:textId="77777777" w:rsidR="006730F3" w:rsidRPr="006730F3" w:rsidRDefault="006730F3" w:rsidP="006730F3">
            <w:pPr>
              <w:spacing w:line="240" w:lineRule="auto"/>
              <w:rPr>
                <w:color w:val="000000"/>
                <w:sz w:val="20"/>
              </w:rPr>
            </w:pPr>
            <w:r w:rsidRPr="006730F3">
              <w:rPr>
                <w:color w:val="000000"/>
                <w:sz w:val="20"/>
              </w:rPr>
              <w:t>ATES questionnaire - national sample</w:t>
            </w:r>
          </w:p>
        </w:tc>
        <w:tc>
          <w:tcPr>
            <w:tcW w:w="1016" w:type="dxa"/>
            <w:tcBorders>
              <w:top w:val="nil"/>
              <w:left w:val="nil"/>
              <w:bottom w:val="nil"/>
              <w:right w:val="nil"/>
            </w:tcBorders>
            <w:shd w:val="clear" w:color="auto" w:fill="auto"/>
            <w:vAlign w:val="center"/>
            <w:hideMark/>
          </w:tcPr>
          <w:p w14:paraId="1E5BFFD1" w14:textId="77777777" w:rsidR="006730F3" w:rsidRPr="006730F3" w:rsidRDefault="006730F3" w:rsidP="006730F3">
            <w:pPr>
              <w:spacing w:line="240" w:lineRule="auto"/>
              <w:jc w:val="right"/>
              <w:rPr>
                <w:color w:val="000000"/>
                <w:sz w:val="20"/>
              </w:rPr>
            </w:pPr>
            <w:r w:rsidRPr="006730F3">
              <w:rPr>
                <w:color w:val="000000"/>
                <w:sz w:val="20"/>
              </w:rPr>
              <w:t>10</w:t>
            </w:r>
          </w:p>
        </w:tc>
        <w:tc>
          <w:tcPr>
            <w:tcW w:w="1000" w:type="dxa"/>
            <w:tcBorders>
              <w:top w:val="nil"/>
              <w:left w:val="nil"/>
              <w:bottom w:val="nil"/>
              <w:right w:val="nil"/>
            </w:tcBorders>
            <w:shd w:val="clear" w:color="auto" w:fill="auto"/>
            <w:vAlign w:val="center"/>
            <w:hideMark/>
          </w:tcPr>
          <w:p w14:paraId="4A71AE19" w14:textId="77777777" w:rsidR="006730F3" w:rsidRPr="006730F3" w:rsidRDefault="006730F3" w:rsidP="006730F3">
            <w:pPr>
              <w:spacing w:line="240" w:lineRule="auto"/>
              <w:jc w:val="right"/>
              <w:rPr>
                <w:color w:val="000000"/>
                <w:sz w:val="20"/>
              </w:rPr>
            </w:pPr>
            <w:r w:rsidRPr="006730F3">
              <w:rPr>
                <w:color w:val="000000"/>
                <w:sz w:val="20"/>
              </w:rPr>
              <w:t>63,855</w:t>
            </w:r>
          </w:p>
        </w:tc>
        <w:tc>
          <w:tcPr>
            <w:tcW w:w="1150" w:type="dxa"/>
            <w:tcBorders>
              <w:top w:val="nil"/>
              <w:left w:val="nil"/>
              <w:bottom w:val="nil"/>
              <w:right w:val="nil"/>
            </w:tcBorders>
            <w:shd w:val="clear" w:color="auto" w:fill="auto"/>
            <w:vAlign w:val="center"/>
            <w:hideMark/>
          </w:tcPr>
          <w:p w14:paraId="0630D645" w14:textId="77777777" w:rsidR="006730F3" w:rsidRPr="006730F3" w:rsidRDefault="006730F3" w:rsidP="006730F3">
            <w:pPr>
              <w:spacing w:line="240" w:lineRule="auto"/>
              <w:jc w:val="right"/>
              <w:rPr>
                <w:color w:val="000000"/>
                <w:sz w:val="20"/>
              </w:rPr>
            </w:pPr>
            <w:r w:rsidRPr="006730F3">
              <w:rPr>
                <w:color w:val="000000"/>
                <w:sz w:val="20"/>
              </w:rPr>
              <w:t>74.245%</w:t>
            </w:r>
          </w:p>
        </w:tc>
        <w:tc>
          <w:tcPr>
            <w:tcW w:w="1172" w:type="dxa"/>
            <w:tcBorders>
              <w:top w:val="nil"/>
              <w:left w:val="nil"/>
              <w:bottom w:val="nil"/>
              <w:right w:val="nil"/>
            </w:tcBorders>
            <w:shd w:val="clear" w:color="auto" w:fill="auto"/>
            <w:vAlign w:val="center"/>
            <w:hideMark/>
          </w:tcPr>
          <w:p w14:paraId="1A98B8BC" w14:textId="77777777" w:rsidR="006730F3" w:rsidRPr="006730F3" w:rsidRDefault="006730F3" w:rsidP="006730F3">
            <w:pPr>
              <w:spacing w:line="240" w:lineRule="auto"/>
              <w:jc w:val="right"/>
              <w:rPr>
                <w:color w:val="000000"/>
                <w:sz w:val="20"/>
              </w:rPr>
            </w:pPr>
            <w:r w:rsidRPr="006730F3">
              <w:rPr>
                <w:color w:val="000000"/>
                <w:sz w:val="20"/>
              </w:rPr>
              <w:t>47,409</w:t>
            </w:r>
          </w:p>
        </w:tc>
        <w:tc>
          <w:tcPr>
            <w:tcW w:w="1016" w:type="dxa"/>
            <w:tcBorders>
              <w:top w:val="nil"/>
              <w:left w:val="nil"/>
              <w:bottom w:val="nil"/>
              <w:right w:val="nil"/>
            </w:tcBorders>
            <w:shd w:val="clear" w:color="auto" w:fill="auto"/>
            <w:vAlign w:val="center"/>
            <w:hideMark/>
          </w:tcPr>
          <w:p w14:paraId="6FF3C974" w14:textId="77777777" w:rsidR="006730F3" w:rsidRPr="006730F3" w:rsidRDefault="006730F3" w:rsidP="006730F3">
            <w:pPr>
              <w:spacing w:line="240" w:lineRule="auto"/>
              <w:jc w:val="right"/>
              <w:rPr>
                <w:color w:val="000000"/>
                <w:sz w:val="20"/>
              </w:rPr>
            </w:pPr>
            <w:r w:rsidRPr="006730F3">
              <w:rPr>
                <w:color w:val="000000"/>
                <w:sz w:val="20"/>
              </w:rPr>
              <w:t>47,409</w:t>
            </w:r>
          </w:p>
        </w:tc>
        <w:tc>
          <w:tcPr>
            <w:tcW w:w="960" w:type="dxa"/>
            <w:tcBorders>
              <w:top w:val="nil"/>
              <w:left w:val="nil"/>
              <w:bottom w:val="nil"/>
              <w:right w:val="nil"/>
            </w:tcBorders>
            <w:shd w:val="clear" w:color="auto" w:fill="auto"/>
            <w:vAlign w:val="center"/>
            <w:hideMark/>
          </w:tcPr>
          <w:p w14:paraId="76845A14" w14:textId="77777777" w:rsidR="006730F3" w:rsidRPr="006730F3" w:rsidRDefault="006730F3" w:rsidP="006730F3">
            <w:pPr>
              <w:spacing w:line="240" w:lineRule="auto"/>
              <w:jc w:val="right"/>
              <w:rPr>
                <w:color w:val="000000"/>
                <w:sz w:val="20"/>
              </w:rPr>
            </w:pPr>
            <w:r w:rsidRPr="006730F3">
              <w:rPr>
                <w:color w:val="000000"/>
                <w:sz w:val="20"/>
              </w:rPr>
              <w:t>7,902</w:t>
            </w:r>
          </w:p>
        </w:tc>
      </w:tr>
      <w:tr w:rsidR="006730F3" w:rsidRPr="006730F3" w14:paraId="6C5AFA88" w14:textId="77777777" w:rsidTr="00C6150C">
        <w:trPr>
          <w:trHeight w:val="300"/>
        </w:trPr>
        <w:tc>
          <w:tcPr>
            <w:tcW w:w="3640" w:type="dxa"/>
            <w:tcBorders>
              <w:top w:val="nil"/>
              <w:left w:val="nil"/>
              <w:bottom w:val="nil"/>
              <w:right w:val="nil"/>
            </w:tcBorders>
            <w:shd w:val="clear" w:color="auto" w:fill="auto"/>
            <w:vAlign w:val="center"/>
            <w:hideMark/>
          </w:tcPr>
          <w:p w14:paraId="38143223" w14:textId="77777777" w:rsidR="006730F3" w:rsidRPr="006730F3" w:rsidRDefault="006730F3" w:rsidP="006730F3">
            <w:pPr>
              <w:spacing w:line="240" w:lineRule="auto"/>
              <w:rPr>
                <w:color w:val="000000"/>
                <w:sz w:val="20"/>
              </w:rPr>
            </w:pPr>
            <w:r w:rsidRPr="006730F3">
              <w:rPr>
                <w:color w:val="000000"/>
                <w:sz w:val="20"/>
              </w:rPr>
              <w:t>ATES questionnaire - seeded sample</w:t>
            </w:r>
          </w:p>
        </w:tc>
        <w:tc>
          <w:tcPr>
            <w:tcW w:w="1016" w:type="dxa"/>
            <w:tcBorders>
              <w:top w:val="nil"/>
              <w:left w:val="nil"/>
              <w:bottom w:val="nil"/>
              <w:right w:val="nil"/>
            </w:tcBorders>
            <w:shd w:val="clear" w:color="auto" w:fill="auto"/>
            <w:vAlign w:val="center"/>
            <w:hideMark/>
          </w:tcPr>
          <w:p w14:paraId="79D44014" w14:textId="77777777" w:rsidR="006730F3" w:rsidRPr="006730F3" w:rsidRDefault="006730F3" w:rsidP="006730F3">
            <w:pPr>
              <w:spacing w:line="240" w:lineRule="auto"/>
              <w:jc w:val="right"/>
              <w:rPr>
                <w:color w:val="000000"/>
                <w:sz w:val="20"/>
              </w:rPr>
            </w:pPr>
            <w:r w:rsidRPr="006730F3">
              <w:rPr>
                <w:color w:val="000000"/>
                <w:sz w:val="20"/>
              </w:rPr>
              <w:t>10</w:t>
            </w:r>
          </w:p>
        </w:tc>
        <w:tc>
          <w:tcPr>
            <w:tcW w:w="1000" w:type="dxa"/>
            <w:tcBorders>
              <w:top w:val="nil"/>
              <w:left w:val="nil"/>
              <w:bottom w:val="nil"/>
              <w:right w:val="nil"/>
            </w:tcBorders>
            <w:shd w:val="clear" w:color="auto" w:fill="auto"/>
            <w:vAlign w:val="center"/>
            <w:hideMark/>
          </w:tcPr>
          <w:p w14:paraId="5EAB3786" w14:textId="77777777" w:rsidR="006730F3" w:rsidRPr="006730F3" w:rsidRDefault="006730F3" w:rsidP="006730F3">
            <w:pPr>
              <w:spacing w:line="240" w:lineRule="auto"/>
              <w:jc w:val="right"/>
              <w:rPr>
                <w:color w:val="000000"/>
                <w:sz w:val="20"/>
              </w:rPr>
            </w:pPr>
            <w:r w:rsidRPr="006730F3">
              <w:rPr>
                <w:color w:val="000000"/>
                <w:sz w:val="20"/>
              </w:rPr>
              <w:t>1,000</w:t>
            </w:r>
          </w:p>
        </w:tc>
        <w:tc>
          <w:tcPr>
            <w:tcW w:w="1150" w:type="dxa"/>
            <w:tcBorders>
              <w:top w:val="nil"/>
              <w:left w:val="nil"/>
              <w:bottom w:val="nil"/>
              <w:right w:val="nil"/>
            </w:tcBorders>
            <w:shd w:val="clear" w:color="auto" w:fill="auto"/>
            <w:vAlign w:val="center"/>
            <w:hideMark/>
          </w:tcPr>
          <w:p w14:paraId="697DFE0C" w14:textId="77777777" w:rsidR="006730F3" w:rsidRPr="006730F3" w:rsidRDefault="006730F3" w:rsidP="006730F3">
            <w:pPr>
              <w:spacing w:line="240" w:lineRule="auto"/>
              <w:jc w:val="right"/>
              <w:rPr>
                <w:color w:val="000000"/>
                <w:sz w:val="20"/>
              </w:rPr>
            </w:pPr>
            <w:r w:rsidRPr="006730F3">
              <w:rPr>
                <w:color w:val="000000"/>
                <w:sz w:val="20"/>
              </w:rPr>
              <w:t>60.000%</w:t>
            </w:r>
          </w:p>
        </w:tc>
        <w:tc>
          <w:tcPr>
            <w:tcW w:w="1172" w:type="dxa"/>
            <w:tcBorders>
              <w:top w:val="nil"/>
              <w:left w:val="nil"/>
              <w:bottom w:val="nil"/>
              <w:right w:val="nil"/>
            </w:tcBorders>
            <w:shd w:val="clear" w:color="auto" w:fill="auto"/>
            <w:vAlign w:val="center"/>
            <w:hideMark/>
          </w:tcPr>
          <w:p w14:paraId="2188018E" w14:textId="77777777" w:rsidR="006730F3" w:rsidRPr="006730F3" w:rsidRDefault="006730F3" w:rsidP="006730F3">
            <w:pPr>
              <w:spacing w:line="240" w:lineRule="auto"/>
              <w:jc w:val="right"/>
              <w:rPr>
                <w:color w:val="000000"/>
                <w:sz w:val="20"/>
              </w:rPr>
            </w:pPr>
            <w:r w:rsidRPr="006730F3">
              <w:rPr>
                <w:color w:val="000000"/>
                <w:sz w:val="20"/>
              </w:rPr>
              <w:t>600</w:t>
            </w:r>
          </w:p>
        </w:tc>
        <w:tc>
          <w:tcPr>
            <w:tcW w:w="1016" w:type="dxa"/>
            <w:tcBorders>
              <w:top w:val="nil"/>
              <w:left w:val="nil"/>
              <w:bottom w:val="nil"/>
              <w:right w:val="nil"/>
            </w:tcBorders>
            <w:shd w:val="clear" w:color="auto" w:fill="auto"/>
            <w:vAlign w:val="center"/>
            <w:hideMark/>
          </w:tcPr>
          <w:p w14:paraId="79B06D57" w14:textId="77777777" w:rsidR="006730F3" w:rsidRPr="006730F3" w:rsidRDefault="006730F3" w:rsidP="006730F3">
            <w:pPr>
              <w:spacing w:line="240" w:lineRule="auto"/>
              <w:jc w:val="right"/>
              <w:rPr>
                <w:color w:val="000000"/>
                <w:sz w:val="20"/>
              </w:rPr>
            </w:pPr>
            <w:r w:rsidRPr="006730F3">
              <w:rPr>
                <w:color w:val="000000"/>
                <w:sz w:val="20"/>
              </w:rPr>
              <w:t>600</w:t>
            </w:r>
          </w:p>
        </w:tc>
        <w:tc>
          <w:tcPr>
            <w:tcW w:w="960" w:type="dxa"/>
            <w:tcBorders>
              <w:top w:val="nil"/>
              <w:left w:val="nil"/>
              <w:bottom w:val="nil"/>
              <w:right w:val="nil"/>
            </w:tcBorders>
            <w:shd w:val="clear" w:color="auto" w:fill="auto"/>
            <w:vAlign w:val="center"/>
            <w:hideMark/>
          </w:tcPr>
          <w:p w14:paraId="005F8AC3" w14:textId="77777777" w:rsidR="006730F3" w:rsidRPr="006730F3" w:rsidRDefault="006730F3" w:rsidP="006730F3">
            <w:pPr>
              <w:spacing w:line="240" w:lineRule="auto"/>
              <w:jc w:val="right"/>
              <w:rPr>
                <w:color w:val="000000"/>
                <w:sz w:val="20"/>
              </w:rPr>
            </w:pPr>
            <w:r w:rsidRPr="006730F3">
              <w:rPr>
                <w:color w:val="000000"/>
                <w:sz w:val="20"/>
              </w:rPr>
              <w:t>100</w:t>
            </w:r>
          </w:p>
        </w:tc>
      </w:tr>
      <w:tr w:rsidR="006730F3" w:rsidRPr="006730F3" w14:paraId="28B5834E" w14:textId="77777777" w:rsidTr="00C6150C">
        <w:trPr>
          <w:trHeight w:val="300"/>
        </w:trPr>
        <w:tc>
          <w:tcPr>
            <w:tcW w:w="3640" w:type="dxa"/>
            <w:tcBorders>
              <w:top w:val="nil"/>
              <w:left w:val="nil"/>
              <w:bottom w:val="nil"/>
              <w:right w:val="nil"/>
            </w:tcBorders>
            <w:shd w:val="clear" w:color="auto" w:fill="auto"/>
            <w:vAlign w:val="center"/>
            <w:hideMark/>
          </w:tcPr>
          <w:p w14:paraId="794A2D3D" w14:textId="77777777" w:rsidR="006730F3" w:rsidRPr="006730F3" w:rsidRDefault="006730F3" w:rsidP="006730F3">
            <w:pPr>
              <w:spacing w:line="240" w:lineRule="auto"/>
              <w:rPr>
                <w:color w:val="000000"/>
                <w:sz w:val="20"/>
              </w:rPr>
            </w:pPr>
            <w:r w:rsidRPr="006730F3">
              <w:rPr>
                <w:color w:val="000000"/>
                <w:sz w:val="20"/>
              </w:rPr>
              <w:t xml:space="preserve">ECPP questionnaire </w:t>
            </w:r>
          </w:p>
        </w:tc>
        <w:tc>
          <w:tcPr>
            <w:tcW w:w="1016" w:type="dxa"/>
            <w:tcBorders>
              <w:top w:val="nil"/>
              <w:left w:val="nil"/>
              <w:bottom w:val="nil"/>
              <w:right w:val="nil"/>
            </w:tcBorders>
            <w:shd w:val="clear" w:color="auto" w:fill="auto"/>
            <w:vAlign w:val="center"/>
            <w:hideMark/>
          </w:tcPr>
          <w:p w14:paraId="2DB672B9" w14:textId="77777777" w:rsidR="006730F3" w:rsidRPr="006730F3" w:rsidRDefault="006730F3" w:rsidP="006730F3">
            <w:pPr>
              <w:spacing w:line="240" w:lineRule="auto"/>
              <w:jc w:val="right"/>
              <w:rPr>
                <w:color w:val="000000"/>
                <w:sz w:val="20"/>
              </w:rPr>
            </w:pPr>
            <w:r w:rsidRPr="006730F3">
              <w:rPr>
                <w:color w:val="000000"/>
                <w:sz w:val="20"/>
              </w:rPr>
              <w:t>20</w:t>
            </w:r>
          </w:p>
        </w:tc>
        <w:tc>
          <w:tcPr>
            <w:tcW w:w="1000" w:type="dxa"/>
            <w:tcBorders>
              <w:top w:val="nil"/>
              <w:left w:val="nil"/>
              <w:bottom w:val="nil"/>
              <w:right w:val="nil"/>
            </w:tcBorders>
            <w:shd w:val="clear" w:color="auto" w:fill="auto"/>
            <w:vAlign w:val="center"/>
            <w:hideMark/>
          </w:tcPr>
          <w:p w14:paraId="4B5BFCE5" w14:textId="77777777" w:rsidR="006730F3" w:rsidRPr="006730F3" w:rsidRDefault="006730F3" w:rsidP="006730F3">
            <w:pPr>
              <w:spacing w:line="240" w:lineRule="auto"/>
              <w:jc w:val="right"/>
              <w:rPr>
                <w:color w:val="000000"/>
                <w:sz w:val="20"/>
              </w:rPr>
            </w:pPr>
            <w:r w:rsidRPr="006730F3">
              <w:rPr>
                <w:color w:val="000000"/>
                <w:sz w:val="20"/>
              </w:rPr>
              <w:t>9,540</w:t>
            </w:r>
          </w:p>
        </w:tc>
        <w:tc>
          <w:tcPr>
            <w:tcW w:w="1150" w:type="dxa"/>
            <w:tcBorders>
              <w:top w:val="nil"/>
              <w:left w:val="nil"/>
              <w:bottom w:val="nil"/>
              <w:right w:val="nil"/>
            </w:tcBorders>
            <w:shd w:val="clear" w:color="auto" w:fill="auto"/>
            <w:vAlign w:val="center"/>
            <w:hideMark/>
          </w:tcPr>
          <w:p w14:paraId="2301C74B" w14:textId="77777777" w:rsidR="006730F3" w:rsidRPr="006730F3" w:rsidRDefault="006730F3" w:rsidP="006730F3">
            <w:pPr>
              <w:spacing w:line="240" w:lineRule="auto"/>
              <w:jc w:val="right"/>
              <w:rPr>
                <w:color w:val="000000"/>
                <w:sz w:val="20"/>
              </w:rPr>
            </w:pPr>
            <w:r w:rsidRPr="006730F3">
              <w:rPr>
                <w:color w:val="000000"/>
                <w:sz w:val="20"/>
              </w:rPr>
              <w:t>79.245%</w:t>
            </w:r>
          </w:p>
        </w:tc>
        <w:tc>
          <w:tcPr>
            <w:tcW w:w="1172" w:type="dxa"/>
            <w:tcBorders>
              <w:top w:val="nil"/>
              <w:left w:val="nil"/>
              <w:bottom w:val="nil"/>
              <w:right w:val="nil"/>
            </w:tcBorders>
            <w:shd w:val="clear" w:color="auto" w:fill="auto"/>
            <w:vAlign w:val="center"/>
            <w:hideMark/>
          </w:tcPr>
          <w:p w14:paraId="16474384" w14:textId="77777777" w:rsidR="006730F3" w:rsidRPr="006730F3" w:rsidRDefault="006730F3" w:rsidP="006730F3">
            <w:pPr>
              <w:spacing w:line="240" w:lineRule="auto"/>
              <w:jc w:val="right"/>
              <w:rPr>
                <w:color w:val="000000"/>
                <w:sz w:val="20"/>
              </w:rPr>
            </w:pPr>
            <w:r w:rsidRPr="006730F3">
              <w:rPr>
                <w:color w:val="000000"/>
                <w:sz w:val="20"/>
              </w:rPr>
              <w:t>7,560</w:t>
            </w:r>
          </w:p>
        </w:tc>
        <w:tc>
          <w:tcPr>
            <w:tcW w:w="1016" w:type="dxa"/>
            <w:tcBorders>
              <w:top w:val="nil"/>
              <w:left w:val="nil"/>
              <w:bottom w:val="nil"/>
              <w:right w:val="nil"/>
            </w:tcBorders>
            <w:shd w:val="clear" w:color="auto" w:fill="auto"/>
            <w:vAlign w:val="center"/>
            <w:hideMark/>
          </w:tcPr>
          <w:p w14:paraId="46F5EC6E" w14:textId="77777777" w:rsidR="006730F3" w:rsidRPr="006730F3" w:rsidRDefault="006730F3" w:rsidP="006730F3">
            <w:pPr>
              <w:spacing w:line="240" w:lineRule="auto"/>
              <w:jc w:val="right"/>
              <w:rPr>
                <w:color w:val="000000"/>
                <w:sz w:val="20"/>
              </w:rPr>
            </w:pPr>
            <w:r w:rsidRPr="006730F3">
              <w:rPr>
                <w:color w:val="000000"/>
                <w:sz w:val="20"/>
              </w:rPr>
              <w:t>7,560</w:t>
            </w:r>
          </w:p>
        </w:tc>
        <w:tc>
          <w:tcPr>
            <w:tcW w:w="960" w:type="dxa"/>
            <w:tcBorders>
              <w:top w:val="nil"/>
              <w:left w:val="nil"/>
              <w:bottom w:val="nil"/>
              <w:right w:val="nil"/>
            </w:tcBorders>
            <w:shd w:val="clear" w:color="auto" w:fill="auto"/>
            <w:vAlign w:val="center"/>
            <w:hideMark/>
          </w:tcPr>
          <w:p w14:paraId="637C0AC1" w14:textId="77777777" w:rsidR="006730F3" w:rsidRPr="006730F3" w:rsidRDefault="006730F3" w:rsidP="006730F3">
            <w:pPr>
              <w:spacing w:line="240" w:lineRule="auto"/>
              <w:jc w:val="right"/>
              <w:rPr>
                <w:color w:val="000000"/>
                <w:sz w:val="20"/>
              </w:rPr>
            </w:pPr>
            <w:r w:rsidRPr="006730F3">
              <w:rPr>
                <w:color w:val="000000"/>
                <w:sz w:val="20"/>
              </w:rPr>
              <w:t>2,520</w:t>
            </w:r>
          </w:p>
        </w:tc>
      </w:tr>
      <w:tr w:rsidR="006730F3" w:rsidRPr="006730F3" w14:paraId="041EA92A" w14:textId="77777777" w:rsidTr="00C6150C">
        <w:trPr>
          <w:trHeight w:val="300"/>
        </w:trPr>
        <w:tc>
          <w:tcPr>
            <w:tcW w:w="3640" w:type="dxa"/>
            <w:tcBorders>
              <w:top w:val="nil"/>
              <w:left w:val="nil"/>
              <w:bottom w:val="nil"/>
              <w:right w:val="nil"/>
            </w:tcBorders>
            <w:shd w:val="clear" w:color="auto" w:fill="auto"/>
            <w:vAlign w:val="center"/>
            <w:hideMark/>
          </w:tcPr>
          <w:p w14:paraId="567AFE1C" w14:textId="77777777" w:rsidR="006730F3" w:rsidRPr="006730F3" w:rsidRDefault="006730F3" w:rsidP="006730F3">
            <w:pPr>
              <w:spacing w:line="240" w:lineRule="auto"/>
              <w:rPr>
                <w:color w:val="000000"/>
                <w:sz w:val="20"/>
              </w:rPr>
            </w:pPr>
            <w:r w:rsidRPr="006730F3">
              <w:rPr>
                <w:color w:val="000000"/>
                <w:sz w:val="20"/>
              </w:rPr>
              <w:t>PFI-Enrolled questionnaire</w:t>
            </w:r>
          </w:p>
        </w:tc>
        <w:tc>
          <w:tcPr>
            <w:tcW w:w="1016" w:type="dxa"/>
            <w:tcBorders>
              <w:top w:val="nil"/>
              <w:left w:val="nil"/>
              <w:bottom w:val="nil"/>
              <w:right w:val="nil"/>
            </w:tcBorders>
            <w:shd w:val="clear" w:color="auto" w:fill="auto"/>
            <w:vAlign w:val="center"/>
            <w:hideMark/>
          </w:tcPr>
          <w:p w14:paraId="4773498B" w14:textId="77777777" w:rsidR="006730F3" w:rsidRPr="006730F3" w:rsidRDefault="006730F3" w:rsidP="006730F3">
            <w:pPr>
              <w:spacing w:line="240" w:lineRule="auto"/>
              <w:jc w:val="right"/>
              <w:rPr>
                <w:color w:val="000000"/>
                <w:sz w:val="20"/>
              </w:rPr>
            </w:pPr>
            <w:r w:rsidRPr="006730F3">
              <w:rPr>
                <w:color w:val="000000"/>
                <w:sz w:val="20"/>
              </w:rPr>
              <w:t>20</w:t>
            </w:r>
          </w:p>
        </w:tc>
        <w:tc>
          <w:tcPr>
            <w:tcW w:w="1000" w:type="dxa"/>
            <w:tcBorders>
              <w:top w:val="nil"/>
              <w:left w:val="nil"/>
              <w:bottom w:val="nil"/>
              <w:right w:val="nil"/>
            </w:tcBorders>
            <w:shd w:val="clear" w:color="auto" w:fill="auto"/>
            <w:vAlign w:val="center"/>
            <w:hideMark/>
          </w:tcPr>
          <w:p w14:paraId="2CD93D61" w14:textId="77777777" w:rsidR="006730F3" w:rsidRPr="006730F3" w:rsidRDefault="006730F3" w:rsidP="006730F3">
            <w:pPr>
              <w:spacing w:line="240" w:lineRule="auto"/>
              <w:jc w:val="right"/>
              <w:rPr>
                <w:color w:val="000000"/>
                <w:sz w:val="20"/>
              </w:rPr>
            </w:pPr>
            <w:r w:rsidRPr="006730F3">
              <w:rPr>
                <w:color w:val="000000"/>
                <w:sz w:val="20"/>
              </w:rPr>
              <w:t>20,224</w:t>
            </w:r>
          </w:p>
        </w:tc>
        <w:tc>
          <w:tcPr>
            <w:tcW w:w="1150" w:type="dxa"/>
            <w:tcBorders>
              <w:top w:val="nil"/>
              <w:left w:val="nil"/>
              <w:bottom w:val="nil"/>
              <w:right w:val="nil"/>
            </w:tcBorders>
            <w:shd w:val="clear" w:color="auto" w:fill="auto"/>
            <w:vAlign w:val="center"/>
            <w:hideMark/>
          </w:tcPr>
          <w:p w14:paraId="25146A96" w14:textId="77777777" w:rsidR="006730F3" w:rsidRPr="006730F3" w:rsidRDefault="006730F3" w:rsidP="006730F3">
            <w:pPr>
              <w:spacing w:line="240" w:lineRule="auto"/>
              <w:jc w:val="right"/>
              <w:rPr>
                <w:color w:val="000000"/>
                <w:sz w:val="20"/>
              </w:rPr>
            </w:pPr>
            <w:r w:rsidRPr="006730F3">
              <w:rPr>
                <w:color w:val="000000"/>
                <w:sz w:val="20"/>
              </w:rPr>
              <w:t>79.242%</w:t>
            </w:r>
          </w:p>
        </w:tc>
        <w:tc>
          <w:tcPr>
            <w:tcW w:w="1172" w:type="dxa"/>
            <w:tcBorders>
              <w:top w:val="nil"/>
              <w:left w:val="nil"/>
              <w:bottom w:val="nil"/>
              <w:right w:val="nil"/>
            </w:tcBorders>
            <w:shd w:val="clear" w:color="auto" w:fill="auto"/>
            <w:vAlign w:val="center"/>
            <w:hideMark/>
          </w:tcPr>
          <w:p w14:paraId="1B49C6C0" w14:textId="77777777" w:rsidR="006730F3" w:rsidRPr="006730F3" w:rsidRDefault="006730F3" w:rsidP="006730F3">
            <w:pPr>
              <w:spacing w:line="240" w:lineRule="auto"/>
              <w:jc w:val="right"/>
              <w:rPr>
                <w:color w:val="000000"/>
                <w:sz w:val="20"/>
              </w:rPr>
            </w:pPr>
            <w:r w:rsidRPr="006730F3">
              <w:rPr>
                <w:color w:val="000000"/>
                <w:sz w:val="20"/>
              </w:rPr>
              <w:t>16,026</w:t>
            </w:r>
          </w:p>
        </w:tc>
        <w:tc>
          <w:tcPr>
            <w:tcW w:w="1016" w:type="dxa"/>
            <w:tcBorders>
              <w:top w:val="nil"/>
              <w:left w:val="nil"/>
              <w:bottom w:val="nil"/>
              <w:right w:val="nil"/>
            </w:tcBorders>
            <w:shd w:val="clear" w:color="auto" w:fill="auto"/>
            <w:vAlign w:val="center"/>
            <w:hideMark/>
          </w:tcPr>
          <w:p w14:paraId="785A6773" w14:textId="77777777" w:rsidR="006730F3" w:rsidRPr="006730F3" w:rsidRDefault="006730F3" w:rsidP="006730F3">
            <w:pPr>
              <w:spacing w:line="240" w:lineRule="auto"/>
              <w:jc w:val="right"/>
              <w:rPr>
                <w:color w:val="000000"/>
                <w:sz w:val="20"/>
              </w:rPr>
            </w:pPr>
            <w:r w:rsidRPr="006730F3">
              <w:rPr>
                <w:color w:val="000000"/>
                <w:sz w:val="20"/>
              </w:rPr>
              <w:t>16,026</w:t>
            </w:r>
          </w:p>
        </w:tc>
        <w:tc>
          <w:tcPr>
            <w:tcW w:w="960" w:type="dxa"/>
            <w:tcBorders>
              <w:top w:val="nil"/>
              <w:left w:val="nil"/>
              <w:bottom w:val="nil"/>
              <w:right w:val="nil"/>
            </w:tcBorders>
            <w:shd w:val="clear" w:color="auto" w:fill="auto"/>
            <w:vAlign w:val="center"/>
            <w:hideMark/>
          </w:tcPr>
          <w:p w14:paraId="3F3F8D5B" w14:textId="77777777" w:rsidR="006730F3" w:rsidRPr="006730F3" w:rsidRDefault="006730F3" w:rsidP="006730F3">
            <w:pPr>
              <w:spacing w:line="240" w:lineRule="auto"/>
              <w:jc w:val="right"/>
              <w:rPr>
                <w:color w:val="000000"/>
                <w:sz w:val="20"/>
              </w:rPr>
            </w:pPr>
            <w:r w:rsidRPr="006730F3">
              <w:rPr>
                <w:color w:val="000000"/>
                <w:sz w:val="20"/>
              </w:rPr>
              <w:t>5,342</w:t>
            </w:r>
          </w:p>
        </w:tc>
      </w:tr>
      <w:tr w:rsidR="006730F3" w:rsidRPr="006730F3" w14:paraId="5B66F0A5" w14:textId="77777777" w:rsidTr="00C6150C">
        <w:trPr>
          <w:trHeight w:val="315"/>
        </w:trPr>
        <w:tc>
          <w:tcPr>
            <w:tcW w:w="3640" w:type="dxa"/>
            <w:tcBorders>
              <w:top w:val="nil"/>
              <w:left w:val="nil"/>
              <w:bottom w:val="single" w:sz="8" w:space="0" w:color="auto"/>
              <w:right w:val="nil"/>
            </w:tcBorders>
            <w:shd w:val="clear" w:color="auto" w:fill="auto"/>
            <w:vAlign w:val="center"/>
            <w:hideMark/>
          </w:tcPr>
          <w:p w14:paraId="274C6037" w14:textId="77777777" w:rsidR="006730F3" w:rsidRPr="006730F3" w:rsidRDefault="006730F3" w:rsidP="006730F3">
            <w:pPr>
              <w:spacing w:line="240" w:lineRule="auto"/>
              <w:rPr>
                <w:color w:val="000000"/>
                <w:sz w:val="20"/>
              </w:rPr>
            </w:pPr>
            <w:r w:rsidRPr="006730F3">
              <w:rPr>
                <w:color w:val="000000"/>
                <w:sz w:val="20"/>
              </w:rPr>
              <w:t>PFI-Homeschooled questionnaire</w:t>
            </w:r>
          </w:p>
        </w:tc>
        <w:tc>
          <w:tcPr>
            <w:tcW w:w="1016" w:type="dxa"/>
            <w:tcBorders>
              <w:top w:val="nil"/>
              <w:left w:val="nil"/>
              <w:bottom w:val="single" w:sz="8" w:space="0" w:color="auto"/>
              <w:right w:val="nil"/>
            </w:tcBorders>
            <w:shd w:val="clear" w:color="auto" w:fill="auto"/>
            <w:vAlign w:val="center"/>
            <w:hideMark/>
          </w:tcPr>
          <w:p w14:paraId="3813DB0C" w14:textId="77777777" w:rsidR="006730F3" w:rsidRPr="006730F3" w:rsidRDefault="006730F3" w:rsidP="006730F3">
            <w:pPr>
              <w:spacing w:line="240" w:lineRule="auto"/>
              <w:jc w:val="right"/>
              <w:rPr>
                <w:color w:val="000000"/>
                <w:sz w:val="20"/>
              </w:rPr>
            </w:pPr>
            <w:r w:rsidRPr="006730F3">
              <w:rPr>
                <w:color w:val="000000"/>
                <w:sz w:val="20"/>
              </w:rPr>
              <w:t>20</w:t>
            </w:r>
          </w:p>
        </w:tc>
        <w:tc>
          <w:tcPr>
            <w:tcW w:w="1000" w:type="dxa"/>
            <w:tcBorders>
              <w:top w:val="nil"/>
              <w:left w:val="nil"/>
              <w:bottom w:val="single" w:sz="8" w:space="0" w:color="auto"/>
              <w:right w:val="nil"/>
            </w:tcBorders>
            <w:shd w:val="clear" w:color="auto" w:fill="auto"/>
            <w:vAlign w:val="center"/>
            <w:hideMark/>
          </w:tcPr>
          <w:p w14:paraId="6CC7369F" w14:textId="77777777" w:rsidR="006730F3" w:rsidRPr="006730F3" w:rsidRDefault="006730F3" w:rsidP="006730F3">
            <w:pPr>
              <w:spacing w:line="240" w:lineRule="auto"/>
              <w:jc w:val="right"/>
              <w:rPr>
                <w:color w:val="000000"/>
                <w:sz w:val="20"/>
              </w:rPr>
            </w:pPr>
            <w:r w:rsidRPr="006730F3">
              <w:rPr>
                <w:color w:val="000000"/>
                <w:sz w:val="20"/>
              </w:rPr>
              <w:t>869</w:t>
            </w:r>
          </w:p>
        </w:tc>
        <w:tc>
          <w:tcPr>
            <w:tcW w:w="1150" w:type="dxa"/>
            <w:tcBorders>
              <w:top w:val="nil"/>
              <w:left w:val="nil"/>
              <w:bottom w:val="single" w:sz="8" w:space="0" w:color="auto"/>
              <w:right w:val="nil"/>
            </w:tcBorders>
            <w:shd w:val="clear" w:color="auto" w:fill="auto"/>
            <w:vAlign w:val="center"/>
            <w:hideMark/>
          </w:tcPr>
          <w:p w14:paraId="318754BE" w14:textId="77777777" w:rsidR="006730F3" w:rsidRPr="006730F3" w:rsidRDefault="006730F3" w:rsidP="006730F3">
            <w:pPr>
              <w:spacing w:line="240" w:lineRule="auto"/>
              <w:jc w:val="right"/>
              <w:rPr>
                <w:color w:val="000000"/>
                <w:sz w:val="20"/>
              </w:rPr>
            </w:pPr>
            <w:r w:rsidRPr="006730F3">
              <w:rPr>
                <w:color w:val="000000"/>
                <w:sz w:val="20"/>
              </w:rPr>
              <w:t>79.171%</w:t>
            </w:r>
          </w:p>
        </w:tc>
        <w:tc>
          <w:tcPr>
            <w:tcW w:w="1172" w:type="dxa"/>
            <w:tcBorders>
              <w:top w:val="nil"/>
              <w:left w:val="nil"/>
              <w:bottom w:val="single" w:sz="8" w:space="0" w:color="auto"/>
              <w:right w:val="nil"/>
            </w:tcBorders>
            <w:shd w:val="clear" w:color="auto" w:fill="auto"/>
            <w:vAlign w:val="center"/>
            <w:hideMark/>
          </w:tcPr>
          <w:p w14:paraId="2FCAD4EA" w14:textId="77777777" w:rsidR="006730F3" w:rsidRPr="006730F3" w:rsidRDefault="006730F3" w:rsidP="006730F3">
            <w:pPr>
              <w:spacing w:line="240" w:lineRule="auto"/>
              <w:jc w:val="right"/>
              <w:rPr>
                <w:color w:val="000000"/>
                <w:sz w:val="20"/>
              </w:rPr>
            </w:pPr>
            <w:r w:rsidRPr="006730F3">
              <w:rPr>
                <w:color w:val="000000"/>
                <w:sz w:val="20"/>
              </w:rPr>
              <w:t>688</w:t>
            </w:r>
          </w:p>
        </w:tc>
        <w:tc>
          <w:tcPr>
            <w:tcW w:w="1016" w:type="dxa"/>
            <w:tcBorders>
              <w:top w:val="nil"/>
              <w:left w:val="nil"/>
              <w:bottom w:val="single" w:sz="8" w:space="0" w:color="auto"/>
              <w:right w:val="nil"/>
            </w:tcBorders>
            <w:shd w:val="clear" w:color="auto" w:fill="auto"/>
            <w:vAlign w:val="center"/>
            <w:hideMark/>
          </w:tcPr>
          <w:p w14:paraId="1356F153" w14:textId="77777777" w:rsidR="006730F3" w:rsidRPr="006730F3" w:rsidRDefault="006730F3" w:rsidP="006730F3">
            <w:pPr>
              <w:spacing w:line="240" w:lineRule="auto"/>
              <w:jc w:val="right"/>
              <w:rPr>
                <w:color w:val="000000"/>
                <w:sz w:val="20"/>
              </w:rPr>
            </w:pPr>
            <w:r w:rsidRPr="006730F3">
              <w:rPr>
                <w:color w:val="000000"/>
                <w:sz w:val="20"/>
              </w:rPr>
              <w:t>688</w:t>
            </w:r>
          </w:p>
        </w:tc>
        <w:tc>
          <w:tcPr>
            <w:tcW w:w="960" w:type="dxa"/>
            <w:tcBorders>
              <w:top w:val="nil"/>
              <w:left w:val="nil"/>
              <w:bottom w:val="single" w:sz="8" w:space="0" w:color="auto"/>
              <w:right w:val="nil"/>
            </w:tcBorders>
            <w:shd w:val="clear" w:color="auto" w:fill="auto"/>
            <w:vAlign w:val="center"/>
            <w:hideMark/>
          </w:tcPr>
          <w:p w14:paraId="0974A83D" w14:textId="77777777" w:rsidR="006730F3" w:rsidRPr="006730F3" w:rsidRDefault="006730F3" w:rsidP="006730F3">
            <w:pPr>
              <w:spacing w:line="240" w:lineRule="auto"/>
              <w:jc w:val="right"/>
              <w:rPr>
                <w:color w:val="000000"/>
                <w:sz w:val="20"/>
              </w:rPr>
            </w:pPr>
            <w:r w:rsidRPr="006730F3">
              <w:rPr>
                <w:color w:val="000000"/>
                <w:sz w:val="20"/>
              </w:rPr>
              <w:t>229</w:t>
            </w:r>
          </w:p>
        </w:tc>
      </w:tr>
      <w:tr w:rsidR="006730F3" w:rsidRPr="006730F3" w14:paraId="34C95294" w14:textId="77777777" w:rsidTr="00C6150C">
        <w:trPr>
          <w:trHeight w:val="315"/>
        </w:trPr>
        <w:tc>
          <w:tcPr>
            <w:tcW w:w="3640" w:type="dxa"/>
            <w:tcBorders>
              <w:top w:val="nil"/>
              <w:left w:val="nil"/>
              <w:bottom w:val="single" w:sz="8" w:space="0" w:color="auto"/>
              <w:right w:val="nil"/>
            </w:tcBorders>
            <w:shd w:val="clear" w:color="auto" w:fill="auto"/>
            <w:vAlign w:val="center"/>
            <w:hideMark/>
          </w:tcPr>
          <w:p w14:paraId="51499F2F" w14:textId="77777777" w:rsidR="006730F3" w:rsidRPr="006730F3" w:rsidRDefault="006730F3" w:rsidP="006730F3">
            <w:pPr>
              <w:spacing w:line="240" w:lineRule="auto"/>
              <w:rPr>
                <w:b/>
                <w:bCs/>
                <w:color w:val="000000"/>
                <w:sz w:val="20"/>
              </w:rPr>
            </w:pPr>
            <w:r w:rsidRPr="006730F3">
              <w:rPr>
                <w:b/>
                <w:bCs/>
                <w:color w:val="000000"/>
                <w:sz w:val="20"/>
              </w:rPr>
              <w:t>Study Total</w:t>
            </w:r>
          </w:p>
        </w:tc>
        <w:tc>
          <w:tcPr>
            <w:tcW w:w="1016" w:type="dxa"/>
            <w:tcBorders>
              <w:top w:val="nil"/>
              <w:left w:val="nil"/>
              <w:bottom w:val="single" w:sz="8" w:space="0" w:color="auto"/>
              <w:right w:val="nil"/>
            </w:tcBorders>
            <w:shd w:val="clear" w:color="auto" w:fill="auto"/>
            <w:vAlign w:val="center"/>
            <w:hideMark/>
          </w:tcPr>
          <w:p w14:paraId="106CAA17" w14:textId="77777777" w:rsidR="006730F3" w:rsidRPr="006730F3" w:rsidRDefault="006730F3" w:rsidP="006730F3">
            <w:pPr>
              <w:spacing w:line="240" w:lineRule="auto"/>
              <w:jc w:val="right"/>
              <w:rPr>
                <w:b/>
                <w:bCs/>
                <w:color w:val="000000"/>
                <w:sz w:val="20"/>
              </w:rPr>
            </w:pPr>
            <w:r w:rsidRPr="006730F3">
              <w:rPr>
                <w:b/>
                <w:bCs/>
                <w:color w:val="000000"/>
                <w:sz w:val="20"/>
              </w:rPr>
              <w:t> </w:t>
            </w:r>
          </w:p>
        </w:tc>
        <w:tc>
          <w:tcPr>
            <w:tcW w:w="1000" w:type="dxa"/>
            <w:tcBorders>
              <w:top w:val="nil"/>
              <w:left w:val="nil"/>
              <w:bottom w:val="single" w:sz="8" w:space="0" w:color="auto"/>
              <w:right w:val="nil"/>
            </w:tcBorders>
            <w:shd w:val="clear" w:color="auto" w:fill="auto"/>
            <w:vAlign w:val="center"/>
            <w:hideMark/>
          </w:tcPr>
          <w:p w14:paraId="33C5E9EE" w14:textId="77777777" w:rsidR="006730F3" w:rsidRPr="006730F3" w:rsidRDefault="006730F3" w:rsidP="006730F3">
            <w:pPr>
              <w:spacing w:line="240" w:lineRule="auto"/>
              <w:jc w:val="left"/>
              <w:rPr>
                <w:color w:val="000000"/>
                <w:sz w:val="20"/>
              </w:rPr>
            </w:pPr>
            <w:r w:rsidRPr="006730F3">
              <w:rPr>
                <w:color w:val="000000"/>
                <w:sz w:val="20"/>
              </w:rPr>
              <w:t> </w:t>
            </w:r>
          </w:p>
        </w:tc>
        <w:tc>
          <w:tcPr>
            <w:tcW w:w="1150" w:type="dxa"/>
            <w:tcBorders>
              <w:top w:val="nil"/>
              <w:left w:val="nil"/>
              <w:bottom w:val="single" w:sz="8" w:space="0" w:color="auto"/>
              <w:right w:val="nil"/>
            </w:tcBorders>
            <w:shd w:val="clear" w:color="auto" w:fill="auto"/>
            <w:vAlign w:val="center"/>
            <w:hideMark/>
          </w:tcPr>
          <w:p w14:paraId="4AAC246E" w14:textId="77777777" w:rsidR="006730F3" w:rsidRPr="006730F3" w:rsidRDefault="006730F3" w:rsidP="006730F3">
            <w:pPr>
              <w:spacing w:line="240" w:lineRule="auto"/>
              <w:jc w:val="right"/>
              <w:rPr>
                <w:b/>
                <w:bCs/>
                <w:color w:val="000000"/>
                <w:sz w:val="20"/>
              </w:rPr>
            </w:pPr>
            <w:r w:rsidRPr="006730F3">
              <w:rPr>
                <w:b/>
                <w:bCs/>
                <w:color w:val="000000"/>
                <w:sz w:val="20"/>
              </w:rPr>
              <w:t> </w:t>
            </w:r>
          </w:p>
        </w:tc>
        <w:tc>
          <w:tcPr>
            <w:tcW w:w="1172" w:type="dxa"/>
            <w:tcBorders>
              <w:top w:val="nil"/>
              <w:left w:val="nil"/>
              <w:bottom w:val="single" w:sz="8" w:space="0" w:color="auto"/>
              <w:right w:val="nil"/>
            </w:tcBorders>
            <w:shd w:val="clear" w:color="auto" w:fill="auto"/>
            <w:vAlign w:val="center"/>
            <w:hideMark/>
          </w:tcPr>
          <w:p w14:paraId="48FE690D" w14:textId="77777777" w:rsidR="006730F3" w:rsidRPr="006730F3" w:rsidRDefault="006730F3" w:rsidP="006730F3">
            <w:pPr>
              <w:spacing w:line="240" w:lineRule="auto"/>
              <w:jc w:val="right"/>
              <w:rPr>
                <w:b/>
                <w:bCs/>
                <w:color w:val="000000"/>
                <w:sz w:val="20"/>
              </w:rPr>
            </w:pPr>
            <w:r w:rsidRPr="006730F3">
              <w:rPr>
                <w:b/>
                <w:bCs/>
                <w:color w:val="000000"/>
                <w:sz w:val="20"/>
              </w:rPr>
              <w:t>191,803</w:t>
            </w:r>
          </w:p>
        </w:tc>
        <w:tc>
          <w:tcPr>
            <w:tcW w:w="1016" w:type="dxa"/>
            <w:tcBorders>
              <w:top w:val="nil"/>
              <w:left w:val="nil"/>
              <w:bottom w:val="single" w:sz="8" w:space="0" w:color="auto"/>
              <w:right w:val="nil"/>
            </w:tcBorders>
            <w:shd w:val="clear" w:color="auto" w:fill="auto"/>
            <w:vAlign w:val="center"/>
            <w:hideMark/>
          </w:tcPr>
          <w:p w14:paraId="6310F070" w14:textId="77777777" w:rsidR="006730F3" w:rsidRPr="006730F3" w:rsidRDefault="006730F3" w:rsidP="006730F3">
            <w:pPr>
              <w:spacing w:line="240" w:lineRule="auto"/>
              <w:jc w:val="right"/>
              <w:rPr>
                <w:b/>
                <w:bCs/>
                <w:color w:val="000000"/>
                <w:sz w:val="20"/>
              </w:rPr>
            </w:pPr>
            <w:r w:rsidRPr="006730F3">
              <w:rPr>
                <w:b/>
                <w:bCs/>
                <w:color w:val="000000"/>
                <w:sz w:val="20"/>
              </w:rPr>
              <w:t>191,803</w:t>
            </w:r>
          </w:p>
        </w:tc>
        <w:tc>
          <w:tcPr>
            <w:tcW w:w="960" w:type="dxa"/>
            <w:tcBorders>
              <w:top w:val="nil"/>
              <w:left w:val="nil"/>
              <w:bottom w:val="single" w:sz="8" w:space="0" w:color="auto"/>
              <w:right w:val="nil"/>
            </w:tcBorders>
            <w:shd w:val="clear" w:color="auto" w:fill="auto"/>
            <w:vAlign w:val="center"/>
            <w:hideMark/>
          </w:tcPr>
          <w:p w14:paraId="1BE4D4ED" w14:textId="77777777" w:rsidR="006730F3" w:rsidRPr="006730F3" w:rsidRDefault="006730F3" w:rsidP="006730F3">
            <w:pPr>
              <w:spacing w:line="240" w:lineRule="auto"/>
              <w:jc w:val="right"/>
              <w:rPr>
                <w:b/>
                <w:bCs/>
                <w:color w:val="000000"/>
                <w:sz w:val="20"/>
              </w:rPr>
            </w:pPr>
            <w:r w:rsidRPr="006730F3">
              <w:rPr>
                <w:b/>
                <w:bCs/>
                <w:color w:val="000000"/>
                <w:sz w:val="20"/>
              </w:rPr>
              <w:t>32,029</w:t>
            </w:r>
          </w:p>
        </w:tc>
      </w:tr>
      <w:tr w:rsidR="006730F3" w:rsidRPr="00AB1F7B" w14:paraId="68EDD6B9" w14:textId="77777777" w:rsidTr="00C6150C">
        <w:trPr>
          <w:trHeight w:val="525"/>
        </w:trPr>
        <w:tc>
          <w:tcPr>
            <w:tcW w:w="9954" w:type="dxa"/>
            <w:gridSpan w:val="7"/>
            <w:tcBorders>
              <w:top w:val="single" w:sz="8" w:space="0" w:color="auto"/>
              <w:left w:val="nil"/>
              <w:bottom w:val="nil"/>
              <w:right w:val="nil"/>
            </w:tcBorders>
            <w:shd w:val="clear" w:color="auto" w:fill="auto"/>
            <w:vAlign w:val="center"/>
            <w:hideMark/>
          </w:tcPr>
          <w:p w14:paraId="2A71C05F" w14:textId="77777777" w:rsidR="006730F3" w:rsidRPr="00AB1F7B" w:rsidRDefault="006730F3" w:rsidP="006730F3">
            <w:pPr>
              <w:spacing w:line="240" w:lineRule="auto"/>
              <w:jc w:val="left"/>
              <w:rPr>
                <w:color w:val="000000"/>
                <w:sz w:val="18"/>
                <w:szCs w:val="18"/>
              </w:rPr>
            </w:pPr>
            <w:r w:rsidRPr="00AB1F7B">
              <w:rPr>
                <w:color w:val="000000"/>
                <w:sz w:val="18"/>
                <w:szCs w:val="18"/>
              </w:rPr>
              <w:t>* Approximately 9.375% of addresses will be returned by USPS as invalid, reducing the final sample size to 186,688 addresses. Calculations of number of screener respondents are based on 186,688 addresses rather than 206,000.</w:t>
            </w:r>
          </w:p>
        </w:tc>
      </w:tr>
      <w:tr w:rsidR="006730F3" w:rsidRPr="00AB1F7B" w14:paraId="26585CFE" w14:textId="77777777" w:rsidTr="00C6150C">
        <w:trPr>
          <w:trHeight w:val="648"/>
        </w:trPr>
        <w:tc>
          <w:tcPr>
            <w:tcW w:w="9954" w:type="dxa"/>
            <w:gridSpan w:val="7"/>
            <w:tcBorders>
              <w:top w:val="nil"/>
              <w:left w:val="nil"/>
              <w:bottom w:val="nil"/>
              <w:right w:val="nil"/>
            </w:tcBorders>
            <w:shd w:val="clear" w:color="auto" w:fill="auto"/>
            <w:vAlign w:val="bottom"/>
            <w:hideMark/>
          </w:tcPr>
          <w:p w14:paraId="07536BB9" w14:textId="0C06615F" w:rsidR="006730F3" w:rsidRPr="00AB1F7B" w:rsidRDefault="00813845" w:rsidP="006730F3">
            <w:pPr>
              <w:spacing w:line="240" w:lineRule="auto"/>
              <w:jc w:val="left"/>
              <w:rPr>
                <w:color w:val="000000"/>
                <w:sz w:val="18"/>
                <w:szCs w:val="18"/>
              </w:rPr>
            </w:pPr>
            <w:r w:rsidRPr="00AB1F7B">
              <w:rPr>
                <w:color w:val="000000"/>
                <w:sz w:val="18"/>
                <w:szCs w:val="18"/>
              </w:rPr>
              <w:t>NOTE: Eligibility and response rates for the national sample are estimated based on NHES:2012 and the 2014 NHES Feasibility Study (NHES-FS), and represent rounded weighted averages of the rates expected within each experimental treatment group. The response rate for the ATES seeded sample is approximated based on the response rate to the NHES-FS seeded sample. Details may not sum to totals due to rounding.</w:t>
            </w:r>
          </w:p>
        </w:tc>
      </w:tr>
    </w:tbl>
    <w:p w14:paraId="1973DAAC" w14:textId="77777777" w:rsidR="006730F3" w:rsidRDefault="006730F3" w:rsidP="00646A5F">
      <w:pPr>
        <w:pStyle w:val="Heading1"/>
        <w:spacing w:after="120" w:line="240" w:lineRule="auto"/>
        <w:ind w:left="0" w:firstLine="0"/>
      </w:pPr>
    </w:p>
    <w:p w14:paraId="27A79F12" w14:textId="77777777" w:rsidR="007A29A2" w:rsidRPr="00306779" w:rsidRDefault="008478A9" w:rsidP="00646A5F">
      <w:pPr>
        <w:pStyle w:val="Heading1"/>
        <w:spacing w:after="120" w:line="240" w:lineRule="auto"/>
        <w:ind w:left="0" w:firstLine="0"/>
      </w:pPr>
      <w:r w:rsidRPr="00306779">
        <w:t>A.</w:t>
      </w:r>
      <w:r w:rsidR="0068462A" w:rsidRPr="00306779">
        <w:t>1</w:t>
      </w:r>
      <w:r w:rsidR="00893A70" w:rsidRPr="00306779">
        <w:t>3</w:t>
      </w:r>
      <w:r w:rsidRPr="00306779">
        <w:tab/>
        <w:t>Cost to Respondents</w:t>
      </w:r>
      <w:bookmarkEnd w:id="23"/>
      <w:bookmarkEnd w:id="24"/>
      <w:bookmarkEnd w:id="25"/>
    </w:p>
    <w:p w14:paraId="412F1D6E" w14:textId="01FC0391" w:rsidR="007A29A2" w:rsidRPr="00306779" w:rsidRDefault="00D6049C" w:rsidP="00646A5F">
      <w:pPr>
        <w:pStyle w:val="P1-StandPara"/>
        <w:spacing w:after="120" w:line="240" w:lineRule="auto"/>
        <w:ind w:firstLine="0"/>
      </w:pPr>
      <w:r w:rsidRPr="00306779">
        <w:t xml:space="preserve">There are also no recordkeeping requirements associated with NHES, and </w:t>
      </w:r>
      <w:r w:rsidR="00F80165" w:rsidRPr="00306779">
        <w:t>no costs to respondents</w:t>
      </w:r>
      <w:r w:rsidR="008478A9" w:rsidRPr="00306779">
        <w:t xml:space="preserve"> beyond</w:t>
      </w:r>
      <w:r w:rsidR="009B4E1C" w:rsidRPr="00306779">
        <w:t xml:space="preserve"> </w:t>
      </w:r>
      <w:r w:rsidRPr="00306779">
        <w:t>the</w:t>
      </w:r>
      <w:r w:rsidR="009B4E1C" w:rsidRPr="00306779">
        <w:t xml:space="preserve"> </w:t>
      </w:r>
      <w:r w:rsidR="00F80165" w:rsidRPr="00306779">
        <w:t xml:space="preserve">time </w:t>
      </w:r>
      <w:r w:rsidRPr="00306779">
        <w:t>to</w:t>
      </w:r>
      <w:r w:rsidR="00F80165" w:rsidRPr="00306779">
        <w:t xml:space="preserve"> participat</w:t>
      </w:r>
      <w:r w:rsidRPr="00306779">
        <w:t>e</w:t>
      </w:r>
      <w:r w:rsidR="00F80165" w:rsidRPr="00306779">
        <w:t xml:space="preserve"> </w:t>
      </w:r>
      <w:r w:rsidR="009B4E1C" w:rsidRPr="00306779">
        <w:t xml:space="preserve">presented in </w:t>
      </w:r>
      <w:r w:rsidRPr="00306779">
        <w:t xml:space="preserve">table </w:t>
      </w:r>
      <w:r w:rsidR="006054D6">
        <w:t>3</w:t>
      </w:r>
      <w:bookmarkStart w:id="27" w:name="_GoBack"/>
      <w:bookmarkEnd w:id="27"/>
      <w:r w:rsidRPr="00306779">
        <w:t xml:space="preserve"> above.</w:t>
      </w:r>
    </w:p>
    <w:p w14:paraId="508C15A7" w14:textId="617B152D" w:rsidR="008478A9" w:rsidRPr="00306779" w:rsidRDefault="008478A9" w:rsidP="00646A5F">
      <w:pPr>
        <w:pStyle w:val="Heading1"/>
        <w:spacing w:after="120" w:line="240" w:lineRule="auto"/>
        <w:ind w:left="0" w:firstLine="0"/>
      </w:pPr>
      <w:bookmarkStart w:id="28" w:name="_Toc61176390"/>
      <w:bookmarkStart w:id="29" w:name="_Toc222888899"/>
      <w:r w:rsidRPr="00306779">
        <w:t>A.</w:t>
      </w:r>
      <w:r w:rsidR="0068462A" w:rsidRPr="00306779">
        <w:t>1</w:t>
      </w:r>
      <w:r w:rsidR="00893A70" w:rsidRPr="00306779">
        <w:t>4</w:t>
      </w:r>
      <w:r w:rsidRPr="00306779">
        <w:tab/>
        <w:t>Cost to the Federal Government</w:t>
      </w:r>
      <w:bookmarkEnd w:id="28"/>
      <w:bookmarkEnd w:id="29"/>
    </w:p>
    <w:p w14:paraId="14C9F4AD" w14:textId="20914C44" w:rsidR="000132F4" w:rsidRPr="00306779" w:rsidRDefault="008478A9" w:rsidP="00646A5F">
      <w:pPr>
        <w:pStyle w:val="P1-StandPara"/>
        <w:spacing w:after="120" w:line="240" w:lineRule="auto"/>
        <w:ind w:firstLine="0"/>
      </w:pPr>
      <w:r w:rsidRPr="00306779">
        <w:t xml:space="preserve">The total cost of </w:t>
      </w:r>
      <w:r w:rsidR="006747C5" w:rsidRPr="00306779">
        <w:t>NHES:2016</w:t>
      </w:r>
      <w:r w:rsidR="00F969A5" w:rsidRPr="00306779">
        <w:t xml:space="preserve"> </w:t>
      </w:r>
      <w:r w:rsidRPr="00306779">
        <w:t xml:space="preserve">to the </w:t>
      </w:r>
      <w:r w:rsidR="00A10EA4" w:rsidRPr="00306779">
        <w:t xml:space="preserve">federal </w:t>
      </w:r>
      <w:r w:rsidRPr="00306779">
        <w:t>government is appr</w:t>
      </w:r>
      <w:r w:rsidRPr="006B3690">
        <w:t xml:space="preserve">oximately </w:t>
      </w:r>
      <w:r w:rsidR="00165D21" w:rsidRPr="006B3690">
        <w:t>$</w:t>
      </w:r>
      <w:r w:rsidR="00474007" w:rsidRPr="006B3690">
        <w:t>11.8</w:t>
      </w:r>
      <w:r w:rsidR="00CC25CF" w:rsidRPr="006B3690">
        <w:t xml:space="preserve"> million </w:t>
      </w:r>
      <w:r w:rsidRPr="006B3690">
        <w:t>o</w:t>
      </w:r>
      <w:r w:rsidRPr="00306779">
        <w:t xml:space="preserve">ver a period of 20 months. This includes all direct and indirect costs of the design, data collection, analysis, reporting phases of the study, </w:t>
      </w:r>
      <w:r w:rsidR="004B6AA9" w:rsidRPr="00306779">
        <w:t>and</w:t>
      </w:r>
      <w:r w:rsidRPr="00306779">
        <w:t xml:space="preserve"> </w:t>
      </w:r>
      <w:r w:rsidR="004B6AA9" w:rsidRPr="00306779">
        <w:t xml:space="preserve">creation </w:t>
      </w:r>
      <w:r w:rsidRPr="00306779">
        <w:t>of data sets.</w:t>
      </w:r>
    </w:p>
    <w:p w14:paraId="398E351E" w14:textId="77777777" w:rsidR="00893A70" w:rsidRPr="00893A70" w:rsidRDefault="00893A70" w:rsidP="00646A5F">
      <w:pPr>
        <w:pStyle w:val="Heading1"/>
        <w:spacing w:after="120" w:line="240" w:lineRule="auto"/>
        <w:ind w:left="0" w:firstLine="0"/>
      </w:pPr>
      <w:bookmarkStart w:id="30" w:name="_Toc418057947"/>
      <w:bookmarkStart w:id="31" w:name="_Toc61176391"/>
      <w:bookmarkStart w:id="32" w:name="_Toc222888900"/>
      <w:bookmarkStart w:id="33" w:name="_Toc418057948"/>
      <w:bookmarkStart w:id="34" w:name="_Toc61176392"/>
      <w:bookmarkStart w:id="35" w:name="_Toc222888901"/>
      <w:bookmarkEnd w:id="26"/>
      <w:r w:rsidRPr="00306779">
        <w:t>A.15</w:t>
      </w:r>
      <w:r w:rsidRPr="00306779">
        <w:tab/>
        <w:t>Reasons</w:t>
      </w:r>
      <w:r w:rsidRPr="00893A70">
        <w:t xml:space="preserve"> for Program Changes</w:t>
      </w:r>
      <w:bookmarkEnd w:id="30"/>
      <w:bookmarkEnd w:id="31"/>
      <w:bookmarkEnd w:id="32"/>
    </w:p>
    <w:p w14:paraId="1F98A308" w14:textId="6AD357D8" w:rsidR="00893A70" w:rsidRPr="00893A70" w:rsidRDefault="00CC77CC" w:rsidP="00646A5F">
      <w:pPr>
        <w:pStyle w:val="P1-StandPara"/>
        <w:spacing w:after="120" w:line="240" w:lineRule="auto"/>
        <w:ind w:firstLine="0"/>
      </w:pPr>
      <w:r w:rsidRPr="00CC77CC">
        <w:t xml:space="preserve">This is a </w:t>
      </w:r>
      <w:r w:rsidR="0097077B">
        <w:t>revision</w:t>
      </w:r>
      <w:r w:rsidRPr="00CC77CC">
        <w:t xml:space="preserve"> of the NHES collection. The </w:t>
      </w:r>
      <w:r w:rsidR="0097077B">
        <w:t>de</w:t>
      </w:r>
      <w:r w:rsidRPr="00CC77CC">
        <w:t xml:space="preserve">crease in the </w:t>
      </w:r>
      <w:r w:rsidR="0097077B">
        <w:t xml:space="preserve">estimated </w:t>
      </w:r>
      <w:r w:rsidRPr="00CC77CC">
        <w:t xml:space="preserve">respondent burden as compared to </w:t>
      </w:r>
      <w:r w:rsidR="00CD3AE0">
        <w:t xml:space="preserve">that approved for </w:t>
      </w:r>
      <w:r w:rsidRPr="00CC77CC">
        <w:t>NHES:201</w:t>
      </w:r>
      <w:r w:rsidR="0097077B">
        <w:t>5</w:t>
      </w:r>
      <w:r w:rsidR="00CD3AE0">
        <w:t xml:space="preserve"> results from</w:t>
      </w:r>
      <w:r w:rsidR="00693772">
        <w:t xml:space="preserve"> NHES:201</w:t>
      </w:r>
      <w:r w:rsidR="00CD3AE0">
        <w:t>5 having been planned to</w:t>
      </w:r>
      <w:r w:rsidRPr="00CC77CC">
        <w:t xml:space="preserve"> include</w:t>
      </w:r>
      <w:r w:rsidR="00CD3AE0">
        <w:t xml:space="preserve"> </w:t>
      </w:r>
      <w:r w:rsidR="0059377E">
        <w:t xml:space="preserve">five </w:t>
      </w:r>
      <w:r w:rsidR="0059377E" w:rsidRPr="00CC77CC">
        <w:t>topical surveys (PFI</w:t>
      </w:r>
      <w:r w:rsidR="0059377E">
        <w:t>-Enrolled,</w:t>
      </w:r>
      <w:r w:rsidR="0059377E" w:rsidRPr="00CC77CC">
        <w:t xml:space="preserve"> </w:t>
      </w:r>
      <w:r w:rsidR="0059377E">
        <w:t xml:space="preserve">PFI-Homeschooled, </w:t>
      </w:r>
      <w:r w:rsidR="0059377E" w:rsidRPr="00CC77CC">
        <w:t>ECPP</w:t>
      </w:r>
      <w:r w:rsidR="0059377E">
        <w:t>, CWS, and TWS</w:t>
      </w:r>
      <w:r w:rsidR="0059377E" w:rsidRPr="00CC77CC">
        <w:t xml:space="preserve">), while the NHES:2016 will include </w:t>
      </w:r>
      <w:r w:rsidR="0059377E">
        <w:t>four</w:t>
      </w:r>
      <w:r w:rsidR="0059377E" w:rsidRPr="00CC77CC">
        <w:t xml:space="preserve"> topical surveys (PFI</w:t>
      </w:r>
      <w:r w:rsidR="0059377E">
        <w:t>-Enrolled</w:t>
      </w:r>
      <w:r w:rsidR="0059377E" w:rsidRPr="00CC77CC">
        <w:t xml:space="preserve">, </w:t>
      </w:r>
      <w:r w:rsidR="0059377E">
        <w:t xml:space="preserve">PFI-Homeschooled, </w:t>
      </w:r>
      <w:r w:rsidR="0059377E" w:rsidRPr="00CC77CC">
        <w:t>ECPP, and ATES).</w:t>
      </w:r>
      <w:r w:rsidR="0059377E">
        <w:t xml:space="preserve"> </w:t>
      </w:r>
      <w:r w:rsidR="00CD3AE0">
        <w:t xml:space="preserve">The initially planned </w:t>
      </w:r>
      <w:r w:rsidR="00CD3AE0" w:rsidRPr="00CD3AE0">
        <w:t xml:space="preserve">Credentials for Work Survey (CWS) and </w:t>
      </w:r>
      <w:r w:rsidR="00CD3AE0">
        <w:t>the</w:t>
      </w:r>
      <w:r w:rsidR="00CD3AE0" w:rsidRPr="00CD3AE0">
        <w:t xml:space="preserve"> pilot Training for Work Survey (TWS)</w:t>
      </w:r>
      <w:r w:rsidR="00CD3AE0">
        <w:t>, have been combined for NHES:2016 into one, more time efficient ATES instrument.</w:t>
      </w:r>
    </w:p>
    <w:p w14:paraId="7A16DE9F" w14:textId="218EA70A" w:rsidR="008478A9" w:rsidRDefault="008478A9" w:rsidP="00646A5F">
      <w:pPr>
        <w:pStyle w:val="Heading1"/>
        <w:spacing w:after="120" w:line="240" w:lineRule="auto"/>
        <w:ind w:left="0" w:firstLine="0"/>
      </w:pPr>
      <w:r>
        <w:lastRenderedPageBreak/>
        <w:t>A.</w:t>
      </w:r>
      <w:r w:rsidR="0068462A">
        <w:t>1</w:t>
      </w:r>
      <w:r w:rsidR="003F0912">
        <w:t>6</w:t>
      </w:r>
      <w:r>
        <w:tab/>
      </w:r>
      <w:bookmarkEnd w:id="33"/>
      <w:bookmarkEnd w:id="34"/>
      <w:r>
        <w:t>Publication Plans and Project Schedule</w:t>
      </w:r>
      <w:bookmarkEnd w:id="35"/>
    </w:p>
    <w:p w14:paraId="5A676AAD" w14:textId="33F32354" w:rsidR="00912670" w:rsidRDefault="00F11FB6" w:rsidP="00646A5F">
      <w:pPr>
        <w:pStyle w:val="P1-StandPara"/>
        <w:spacing w:after="120" w:line="240" w:lineRule="auto"/>
        <w:ind w:firstLine="0"/>
        <w:jc w:val="left"/>
      </w:pPr>
      <w:r>
        <w:t xml:space="preserve">Exhibit </w:t>
      </w:r>
      <w:r w:rsidR="009E1F52">
        <w:t>2</w:t>
      </w:r>
      <w:r>
        <w:t xml:space="preserve"> presents the schedule of project activities for </w:t>
      </w:r>
      <w:r w:rsidR="006747C5">
        <w:t>NHES:2016</w:t>
      </w:r>
      <w:r>
        <w:t xml:space="preserve">. </w:t>
      </w:r>
      <w:r w:rsidR="00E22A31">
        <w:t>Based on the results of</w:t>
      </w:r>
      <w:r w:rsidR="00912670">
        <w:t xml:space="preserve"> </w:t>
      </w:r>
      <w:r w:rsidR="006747C5">
        <w:t>NHES:2016</w:t>
      </w:r>
      <w:r w:rsidR="00E22A31">
        <w:t xml:space="preserve">, </w:t>
      </w:r>
      <w:r w:rsidR="00912670">
        <w:t>datasets, statistics, and reports</w:t>
      </w:r>
      <w:r w:rsidR="00E22A31">
        <w:t xml:space="preserve"> will be produced</w:t>
      </w:r>
      <w:r w:rsidR="00912670">
        <w:t xml:space="preserve">. The following are the planned outcomes of the </w:t>
      </w:r>
      <w:r w:rsidR="006747C5">
        <w:t>NHES:2016</w:t>
      </w:r>
      <w:r w:rsidR="00912670">
        <w:t>:</w:t>
      </w:r>
    </w:p>
    <w:p w14:paraId="4C7464DC" w14:textId="17B7B985" w:rsidR="00912670" w:rsidRDefault="00912670" w:rsidP="00646A5F">
      <w:pPr>
        <w:pStyle w:val="N2-2ndBullet"/>
        <w:tabs>
          <w:tab w:val="clear" w:pos="1728"/>
          <w:tab w:val="left" w:pos="360"/>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website;</w:t>
      </w:r>
    </w:p>
    <w:p w14:paraId="5381DCB9" w14:textId="37FD900F" w:rsidR="001D0127" w:rsidRDefault="001D0127" w:rsidP="00646A5F">
      <w:pPr>
        <w:pStyle w:val="N2-2ndBullet"/>
        <w:tabs>
          <w:tab w:val="clear" w:pos="1728"/>
          <w:tab w:val="left" w:pos="360"/>
        </w:tabs>
        <w:spacing w:after="120" w:line="240" w:lineRule="auto"/>
        <w:ind w:left="360" w:hanging="288"/>
        <w:contextualSpacing/>
        <w:jc w:val="left"/>
      </w:pPr>
      <w:r>
        <w:t>A fully documented restricted-use data set that will be available for restricted-use data license holders only;</w:t>
      </w:r>
    </w:p>
    <w:p w14:paraId="284E28FC" w14:textId="7E54ECAB" w:rsidR="00912670" w:rsidRDefault="00912670" w:rsidP="00646A5F">
      <w:pPr>
        <w:pStyle w:val="N2-2ndBullet"/>
        <w:tabs>
          <w:tab w:val="clear" w:pos="1728"/>
          <w:tab w:val="left" w:pos="360"/>
        </w:tabs>
        <w:spacing w:after="120" w:line="240" w:lineRule="auto"/>
        <w:ind w:left="360" w:hanging="288"/>
        <w:contextualSpacing/>
        <w:jc w:val="left"/>
      </w:pPr>
      <w:r>
        <w:t>A codebook with weighted and unweighted frequencies of all variables</w:t>
      </w:r>
      <w:r w:rsidR="00F11FB6">
        <w:t>; and</w:t>
      </w:r>
    </w:p>
    <w:p w14:paraId="2E61F347" w14:textId="660080C5" w:rsidR="00912670" w:rsidRDefault="00912670" w:rsidP="00646A5F">
      <w:pPr>
        <w:pStyle w:val="N2-2ndBullet"/>
        <w:tabs>
          <w:tab w:val="clear" w:pos="1728"/>
          <w:tab w:val="left" w:pos="360"/>
        </w:tabs>
        <w:spacing w:after="120" w:line="240" w:lineRule="auto"/>
        <w:ind w:left="360" w:hanging="288"/>
        <w:contextualSpacing/>
        <w:jc w:val="left"/>
      </w:pPr>
      <w:r>
        <w:t>First Look Reports that highlight key findings from</w:t>
      </w:r>
      <w:r w:rsidR="00F11FB6">
        <w:t xml:space="preserve"> the study.</w:t>
      </w:r>
    </w:p>
    <w:p w14:paraId="48F42EBF" w14:textId="48E133E2" w:rsidR="00912670" w:rsidRDefault="008478A9" w:rsidP="00A864C8">
      <w:pPr>
        <w:pStyle w:val="TT-TableTitle"/>
        <w:keepNext/>
        <w:keepLines/>
        <w:spacing w:line="240" w:lineRule="auto"/>
      </w:pPr>
      <w:r>
        <w:t xml:space="preserve">Exhibit </w:t>
      </w:r>
      <w:r w:rsidR="009E1F52">
        <w:t>2</w:t>
      </w:r>
      <w:r>
        <w:t>.</w:t>
      </w:r>
      <w:r>
        <w:t> </w:t>
      </w:r>
      <w:r>
        <w:t> </w:t>
      </w:r>
      <w:r w:rsidR="006747C5">
        <w:t>NHES:2016</w:t>
      </w:r>
      <w:r w:rsidR="001D2F07">
        <w:t xml:space="preserve"> </w:t>
      </w:r>
      <w:r>
        <w:t>schedule of major activities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220"/>
      </w:tblGrid>
      <w:tr w:rsidR="008478A9" w:rsidRPr="00AC68E3" w14:paraId="35CCE446" w14:textId="77777777" w:rsidTr="00A43D8E">
        <w:trPr>
          <w:cantSplit/>
          <w:jc w:val="center"/>
        </w:trPr>
        <w:tc>
          <w:tcPr>
            <w:tcW w:w="2500" w:type="pct"/>
          </w:tcPr>
          <w:p w14:paraId="5AB232BF" w14:textId="77777777" w:rsidR="008478A9" w:rsidRPr="00AC68E3" w:rsidRDefault="008478A9" w:rsidP="00A30BF1">
            <w:pPr>
              <w:pStyle w:val="SL-FlLftSgl"/>
              <w:keepNext/>
              <w:keepLines/>
              <w:spacing w:line="240" w:lineRule="auto"/>
              <w:jc w:val="center"/>
              <w:rPr>
                <w:b/>
                <w:szCs w:val="22"/>
              </w:rPr>
            </w:pPr>
            <w:r w:rsidRPr="00AC68E3">
              <w:rPr>
                <w:b/>
              </w:rPr>
              <w:t>Task</w:t>
            </w:r>
          </w:p>
        </w:tc>
        <w:tc>
          <w:tcPr>
            <w:tcW w:w="2500" w:type="pct"/>
          </w:tcPr>
          <w:p w14:paraId="0151AFAB" w14:textId="77777777" w:rsidR="008478A9" w:rsidRPr="00AC68E3" w:rsidRDefault="008478A9" w:rsidP="00A30BF1">
            <w:pPr>
              <w:pStyle w:val="SL-FlLftSgl"/>
              <w:keepNext/>
              <w:keepLines/>
              <w:spacing w:line="240" w:lineRule="auto"/>
              <w:jc w:val="center"/>
              <w:rPr>
                <w:b/>
                <w:szCs w:val="22"/>
              </w:rPr>
            </w:pPr>
            <w:r w:rsidRPr="00AC68E3">
              <w:rPr>
                <w:b/>
              </w:rPr>
              <w:t>Date of Scheduled Conduct/Completion</w:t>
            </w:r>
          </w:p>
        </w:tc>
      </w:tr>
      <w:tr w:rsidR="00525528" w14:paraId="4EEA5A84" w14:textId="77777777" w:rsidTr="00A43D8E">
        <w:trPr>
          <w:cantSplit/>
          <w:jc w:val="center"/>
        </w:trPr>
        <w:tc>
          <w:tcPr>
            <w:tcW w:w="2500" w:type="pct"/>
          </w:tcPr>
          <w:p w14:paraId="105E3144" w14:textId="77777777" w:rsidR="00525528" w:rsidRDefault="00525528" w:rsidP="00A43D8E">
            <w:pPr>
              <w:pStyle w:val="SL-FlLftSgl"/>
              <w:keepNext/>
              <w:keepLines/>
              <w:spacing w:line="240" w:lineRule="auto"/>
              <w:ind w:left="180"/>
            </w:pPr>
            <w:r>
              <w:t>Survey Instruments Formatting and Printing</w:t>
            </w:r>
          </w:p>
        </w:tc>
        <w:tc>
          <w:tcPr>
            <w:tcW w:w="2500" w:type="pct"/>
          </w:tcPr>
          <w:p w14:paraId="0894C8DC" w14:textId="208AE352" w:rsidR="00525528" w:rsidRPr="00D047AD" w:rsidRDefault="00A80324" w:rsidP="00A43D8E">
            <w:pPr>
              <w:pStyle w:val="SL-FlLftSgl"/>
              <w:keepNext/>
              <w:keepLines/>
              <w:spacing w:line="240" w:lineRule="auto"/>
              <w:ind w:left="180"/>
            </w:pPr>
            <w:r w:rsidRPr="00D047AD">
              <w:t>November</w:t>
            </w:r>
            <w:r w:rsidR="00525528" w:rsidRPr="00D047AD">
              <w:t>-December, 201</w:t>
            </w:r>
            <w:r w:rsidR="007157C5" w:rsidRPr="00D047AD">
              <w:t>5</w:t>
            </w:r>
          </w:p>
        </w:tc>
      </w:tr>
      <w:tr w:rsidR="007C4588" w14:paraId="304C4FDB" w14:textId="77777777" w:rsidTr="00A43D8E">
        <w:trPr>
          <w:cantSplit/>
          <w:jc w:val="center"/>
        </w:trPr>
        <w:tc>
          <w:tcPr>
            <w:tcW w:w="2500" w:type="pct"/>
          </w:tcPr>
          <w:p w14:paraId="0F9F5572" w14:textId="77777777" w:rsidR="007C4588" w:rsidRDefault="007C4588" w:rsidP="00A43D8E">
            <w:pPr>
              <w:pStyle w:val="SL-FlLftSgl"/>
              <w:keepNext/>
              <w:keepLines/>
              <w:spacing w:line="240" w:lineRule="auto"/>
              <w:ind w:left="180"/>
            </w:pPr>
            <w:r>
              <w:t>Data Collection Begins (advance letter mailing)</w:t>
            </w:r>
          </w:p>
        </w:tc>
        <w:tc>
          <w:tcPr>
            <w:tcW w:w="2500" w:type="pct"/>
          </w:tcPr>
          <w:p w14:paraId="6E9DA192" w14:textId="1C2E2872" w:rsidR="007C4588" w:rsidRPr="00D047AD" w:rsidRDefault="0024034A" w:rsidP="00A43D8E">
            <w:pPr>
              <w:pStyle w:val="SL-FlLftSgl"/>
              <w:keepNext/>
              <w:keepLines/>
              <w:spacing w:line="240" w:lineRule="auto"/>
              <w:ind w:left="180"/>
            </w:pPr>
            <w:r w:rsidRPr="00D047AD">
              <w:t xml:space="preserve">January </w:t>
            </w:r>
            <w:r w:rsidR="00A0537E" w:rsidRPr="00D047AD">
              <w:t>2</w:t>
            </w:r>
            <w:r w:rsidRPr="00D047AD">
              <w:t>, 201</w:t>
            </w:r>
            <w:r w:rsidR="007157C5" w:rsidRPr="00D047AD">
              <w:t>6</w:t>
            </w:r>
          </w:p>
        </w:tc>
      </w:tr>
      <w:tr w:rsidR="007C4588" w14:paraId="7B6FC5EB" w14:textId="77777777" w:rsidTr="00A43D8E">
        <w:trPr>
          <w:cantSplit/>
          <w:jc w:val="center"/>
        </w:trPr>
        <w:tc>
          <w:tcPr>
            <w:tcW w:w="2500" w:type="pct"/>
          </w:tcPr>
          <w:p w14:paraId="7AA05B19" w14:textId="77777777" w:rsidR="007C4588" w:rsidRDefault="007C4588" w:rsidP="00A43D8E">
            <w:pPr>
              <w:pStyle w:val="SL-FlLftSgl"/>
              <w:keepNext/>
              <w:keepLines/>
              <w:spacing w:line="240" w:lineRule="auto"/>
              <w:ind w:left="180"/>
              <w:rPr>
                <w:szCs w:val="22"/>
              </w:rPr>
            </w:pPr>
            <w:r>
              <w:t xml:space="preserve">Data Collection Ends </w:t>
            </w:r>
          </w:p>
        </w:tc>
        <w:tc>
          <w:tcPr>
            <w:tcW w:w="2500" w:type="pct"/>
          </w:tcPr>
          <w:p w14:paraId="74D3C66A" w14:textId="70869DAE" w:rsidR="007C4588" w:rsidRPr="00D047AD" w:rsidRDefault="007C4588" w:rsidP="00A43D8E">
            <w:pPr>
              <w:pStyle w:val="SL-FlLftSgl"/>
              <w:keepNext/>
              <w:keepLines/>
              <w:spacing w:line="240" w:lineRule="auto"/>
              <w:ind w:left="180"/>
              <w:rPr>
                <w:szCs w:val="22"/>
              </w:rPr>
            </w:pPr>
            <w:r w:rsidRPr="00D047AD">
              <w:t xml:space="preserve">August </w:t>
            </w:r>
            <w:r w:rsidR="00912670" w:rsidRPr="00D047AD">
              <w:t>31</w:t>
            </w:r>
            <w:r w:rsidRPr="00D047AD">
              <w:t>, 201</w:t>
            </w:r>
            <w:r w:rsidR="007157C5" w:rsidRPr="00D047AD">
              <w:t>6</w:t>
            </w:r>
          </w:p>
        </w:tc>
      </w:tr>
      <w:tr w:rsidR="00912670" w14:paraId="3BC8ABB8" w14:textId="77777777" w:rsidTr="00A43D8E">
        <w:trPr>
          <w:cantSplit/>
          <w:jc w:val="center"/>
        </w:trPr>
        <w:tc>
          <w:tcPr>
            <w:tcW w:w="2500" w:type="pct"/>
            <w:tcBorders>
              <w:top w:val="single" w:sz="4" w:space="0" w:color="auto"/>
              <w:left w:val="single" w:sz="4" w:space="0" w:color="auto"/>
              <w:bottom w:val="single" w:sz="4" w:space="0" w:color="auto"/>
              <w:right w:val="single" w:sz="4" w:space="0" w:color="auto"/>
            </w:tcBorders>
          </w:tcPr>
          <w:p w14:paraId="0A08BA7E" w14:textId="77777777" w:rsidR="00912670" w:rsidDel="007C4588" w:rsidRDefault="00912670" w:rsidP="00A43D8E">
            <w:pPr>
              <w:pStyle w:val="SL-FlLftSgl"/>
              <w:keepNext/>
              <w:keepLines/>
              <w:spacing w:line="240" w:lineRule="auto"/>
              <w:ind w:left="180"/>
            </w:pPr>
            <w:r>
              <w:t>Public</w:t>
            </w:r>
            <w:r w:rsidR="00A80324">
              <w:t>-</w:t>
            </w:r>
            <w:r>
              <w:t>use data files released</w:t>
            </w:r>
          </w:p>
        </w:tc>
        <w:tc>
          <w:tcPr>
            <w:tcW w:w="2500" w:type="pct"/>
            <w:tcBorders>
              <w:top w:val="single" w:sz="4" w:space="0" w:color="auto"/>
              <w:left w:val="single" w:sz="4" w:space="0" w:color="auto"/>
              <w:bottom w:val="single" w:sz="4" w:space="0" w:color="auto"/>
              <w:right w:val="single" w:sz="4" w:space="0" w:color="auto"/>
            </w:tcBorders>
          </w:tcPr>
          <w:p w14:paraId="0BE71977" w14:textId="24505988" w:rsidR="00912670" w:rsidRPr="00D047AD" w:rsidDel="007C4588" w:rsidRDefault="00165D21" w:rsidP="00A43D8E">
            <w:pPr>
              <w:pStyle w:val="SL-FlLftSgl"/>
              <w:keepNext/>
              <w:keepLines/>
              <w:spacing w:line="240" w:lineRule="auto"/>
              <w:ind w:left="180"/>
            </w:pPr>
            <w:r w:rsidRPr="00D047AD">
              <w:t>August 31</w:t>
            </w:r>
            <w:r w:rsidR="00912670" w:rsidRPr="00D047AD">
              <w:t>, 201</w:t>
            </w:r>
            <w:r w:rsidR="007157C5" w:rsidRPr="00D047AD">
              <w:t>7</w:t>
            </w:r>
          </w:p>
        </w:tc>
      </w:tr>
      <w:tr w:rsidR="00912670" w14:paraId="1D3B4E0E" w14:textId="77777777" w:rsidTr="00A43D8E">
        <w:trPr>
          <w:cantSplit/>
          <w:jc w:val="center"/>
        </w:trPr>
        <w:tc>
          <w:tcPr>
            <w:tcW w:w="2500" w:type="pct"/>
            <w:tcBorders>
              <w:top w:val="single" w:sz="4" w:space="0" w:color="auto"/>
              <w:left w:val="single" w:sz="4" w:space="0" w:color="auto"/>
              <w:bottom w:val="single" w:sz="4" w:space="0" w:color="auto"/>
              <w:right w:val="single" w:sz="4" w:space="0" w:color="auto"/>
            </w:tcBorders>
          </w:tcPr>
          <w:p w14:paraId="1C70823F" w14:textId="77777777" w:rsidR="00912670" w:rsidDel="007C4588" w:rsidRDefault="00912670" w:rsidP="00A43D8E">
            <w:pPr>
              <w:pStyle w:val="SL-FlLftSgl"/>
              <w:keepNext/>
              <w:keepLines/>
              <w:spacing w:line="240" w:lineRule="auto"/>
              <w:ind w:left="180"/>
            </w:pPr>
            <w:r>
              <w:t>Restricted</w:t>
            </w:r>
            <w:r w:rsidR="00A80324">
              <w:t>-</w:t>
            </w:r>
            <w:r>
              <w:t>use data files released</w:t>
            </w:r>
          </w:p>
        </w:tc>
        <w:tc>
          <w:tcPr>
            <w:tcW w:w="2500" w:type="pct"/>
            <w:tcBorders>
              <w:top w:val="single" w:sz="4" w:space="0" w:color="auto"/>
              <w:left w:val="single" w:sz="4" w:space="0" w:color="auto"/>
              <w:bottom w:val="single" w:sz="4" w:space="0" w:color="auto"/>
              <w:right w:val="single" w:sz="4" w:space="0" w:color="auto"/>
            </w:tcBorders>
          </w:tcPr>
          <w:p w14:paraId="23415A8B" w14:textId="1E542DFA" w:rsidR="00912670" w:rsidRPr="00D047AD" w:rsidDel="007C4588" w:rsidRDefault="00165D21" w:rsidP="007157C5">
            <w:pPr>
              <w:pStyle w:val="SL-FlLftSgl"/>
              <w:keepNext/>
              <w:keepLines/>
              <w:spacing w:line="240" w:lineRule="auto"/>
              <w:ind w:left="180"/>
            </w:pPr>
            <w:r w:rsidRPr="00D047AD">
              <w:t>September 30</w:t>
            </w:r>
            <w:r w:rsidR="00912670" w:rsidRPr="00D047AD">
              <w:t>, 201</w:t>
            </w:r>
            <w:r w:rsidR="007157C5" w:rsidRPr="00D047AD">
              <w:t>7</w:t>
            </w:r>
          </w:p>
        </w:tc>
      </w:tr>
    </w:tbl>
    <w:p w14:paraId="072E3479" w14:textId="77777777" w:rsidR="008478A9" w:rsidRDefault="008478A9" w:rsidP="00A30BF1">
      <w:pPr>
        <w:pStyle w:val="P1-StandPara"/>
        <w:spacing w:line="240" w:lineRule="auto"/>
      </w:pPr>
    </w:p>
    <w:p w14:paraId="129FC114" w14:textId="4F8D5908" w:rsidR="008478A9" w:rsidRDefault="008478A9" w:rsidP="00646A5F">
      <w:pPr>
        <w:pStyle w:val="Heading1"/>
        <w:spacing w:after="120" w:line="240" w:lineRule="auto"/>
        <w:ind w:left="0" w:firstLine="0"/>
      </w:pPr>
      <w:bookmarkStart w:id="36" w:name="_Toc61176393"/>
      <w:bookmarkStart w:id="37" w:name="_Toc222888902"/>
      <w:r>
        <w:t>A.</w:t>
      </w:r>
      <w:r w:rsidR="0068462A">
        <w:t>1</w:t>
      </w:r>
      <w:r w:rsidR="003F0912">
        <w:t>7</w:t>
      </w:r>
      <w:r>
        <w:tab/>
        <w:t xml:space="preserve">Approval </w:t>
      </w:r>
      <w:r w:rsidR="00C6157E">
        <w:t>to</w:t>
      </w:r>
      <w:r>
        <w:t xml:space="preserve"> Not Display the Expiration Date for OMB Approval</w:t>
      </w:r>
      <w:bookmarkEnd w:id="36"/>
      <w:bookmarkEnd w:id="37"/>
    </w:p>
    <w:p w14:paraId="6825F829" w14:textId="77777777" w:rsidR="007A29A2" w:rsidRDefault="008478A9" w:rsidP="00646A5F">
      <w:pPr>
        <w:pStyle w:val="P1-StandPara"/>
        <w:spacing w:after="120" w:line="240" w:lineRule="auto"/>
        <w:ind w:firstLine="0"/>
      </w:pPr>
      <w:r w:rsidRPr="007810C8">
        <w:t xml:space="preserve">The OMB authorization number and expiration date will be displayed on the </w:t>
      </w:r>
      <w:r w:rsidRPr="0010290A">
        <w:t>questionnaire</w:t>
      </w:r>
      <w:r w:rsidR="00275D66">
        <w:t>s and web screener</w:t>
      </w:r>
      <w:r w:rsidRPr="0010290A">
        <w:t>.</w:t>
      </w:r>
    </w:p>
    <w:p w14:paraId="570F8773" w14:textId="3CDE2C82" w:rsidR="008478A9" w:rsidRDefault="008478A9" w:rsidP="00646A5F">
      <w:pPr>
        <w:pStyle w:val="Heading1"/>
        <w:spacing w:after="120" w:line="240" w:lineRule="auto"/>
        <w:ind w:left="0" w:firstLine="0"/>
      </w:pPr>
      <w:bookmarkStart w:id="38" w:name="_Toc61176394"/>
      <w:bookmarkStart w:id="39" w:name="_Toc222888903"/>
      <w:r>
        <w:t>A.</w:t>
      </w:r>
      <w:r w:rsidR="00A0537E">
        <w:t>1</w:t>
      </w:r>
      <w:r w:rsidR="003F0912">
        <w:t>8</w:t>
      </w:r>
      <w:r>
        <w:tab/>
        <w:t>Exceptions to the Certification Statement</w:t>
      </w:r>
      <w:bookmarkEnd w:id="38"/>
      <w:bookmarkEnd w:id="39"/>
    </w:p>
    <w:p w14:paraId="1905E3D8" w14:textId="3309F3F9" w:rsidR="008478A9" w:rsidRDefault="008478A9" w:rsidP="00646A5F">
      <w:pPr>
        <w:pStyle w:val="P1-StandPara"/>
        <w:spacing w:after="120" w:line="240" w:lineRule="auto"/>
        <w:ind w:firstLine="0"/>
      </w:pPr>
      <w:r>
        <w:t>There are no exceptions to the certification statement.</w:t>
      </w:r>
      <w:bookmarkStart w:id="40" w:name="_Toc438438089"/>
      <w:bookmarkStart w:id="41" w:name="_Toc438438090"/>
      <w:bookmarkEnd w:id="40"/>
      <w:bookmarkEnd w:id="41"/>
    </w:p>
    <w:sectPr w:rsidR="008478A9" w:rsidSect="003A79C3">
      <w:type w:val="continuous"/>
      <w:pgSz w:w="12240" w:h="15840"/>
      <w:pgMar w:top="1008" w:right="1008" w:bottom="1008" w:left="1008" w:header="720" w:footer="576"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8C46D" w14:textId="77777777" w:rsidR="00A97E65" w:rsidRDefault="00A97E65">
      <w:r>
        <w:separator/>
      </w:r>
    </w:p>
    <w:p w14:paraId="336481C9" w14:textId="77777777" w:rsidR="00A97E65" w:rsidRDefault="00A97E65"/>
  </w:endnote>
  <w:endnote w:type="continuationSeparator" w:id="0">
    <w:p w14:paraId="2305D588" w14:textId="77777777" w:rsidR="00A97E65" w:rsidRDefault="00A97E65">
      <w:r>
        <w:continuationSeparator/>
      </w:r>
    </w:p>
    <w:p w14:paraId="31DD8EE9" w14:textId="77777777" w:rsidR="00A97E65" w:rsidRDefault="00A97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A87E" w14:textId="77777777" w:rsidR="00A97E65" w:rsidRDefault="00A97E65" w:rsidP="007C3889">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3787"/>
      <w:docPartObj>
        <w:docPartGallery w:val="Page Numbers (Bottom of Page)"/>
        <w:docPartUnique/>
      </w:docPartObj>
    </w:sdtPr>
    <w:sdtEndPr>
      <w:rPr>
        <w:noProof/>
      </w:rPr>
    </w:sdtEndPr>
    <w:sdtContent>
      <w:p w14:paraId="22A8A3B3" w14:textId="11A195CC" w:rsidR="00A97E65" w:rsidRDefault="00A97E65" w:rsidP="0052333F">
        <w:pPr>
          <w:pStyle w:val="Footer"/>
          <w:tabs>
            <w:tab w:val="left" w:pos="4905"/>
            <w:tab w:val="center" w:pos="5112"/>
          </w:tabs>
          <w:spacing w:line="240" w:lineRule="auto"/>
          <w:jc w:val="center"/>
        </w:pPr>
        <w:r>
          <w:fldChar w:fldCharType="begin"/>
        </w:r>
        <w:r>
          <w:instrText xml:space="preserve"> PAGE   \* MERGEFORMAT </w:instrText>
        </w:r>
        <w:r>
          <w:fldChar w:fldCharType="separate"/>
        </w:r>
        <w:r w:rsidR="006054D6">
          <w:rPr>
            <w:noProof/>
          </w:rPr>
          <w:t>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6D82A" w14:textId="467C8D2D" w:rsidR="00A97E65" w:rsidRDefault="00A97E65">
    <w:pPr>
      <w:pStyle w:val="Footer"/>
      <w:jc w:val="center"/>
    </w:pPr>
  </w:p>
  <w:p w14:paraId="2B1BC428" w14:textId="1D9BE0AA" w:rsidR="00A97E65" w:rsidRDefault="00A97E65" w:rsidP="002F5FBD">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B2DA7" w14:textId="77777777" w:rsidR="00A97E65" w:rsidRDefault="00A97E65">
      <w:r>
        <w:separator/>
      </w:r>
    </w:p>
  </w:footnote>
  <w:footnote w:type="continuationSeparator" w:id="0">
    <w:p w14:paraId="27BB4967" w14:textId="77777777" w:rsidR="00A97E65" w:rsidRDefault="00A97E65">
      <w:r>
        <w:continuationSeparator/>
      </w:r>
    </w:p>
    <w:p w14:paraId="56FBB049" w14:textId="77777777" w:rsidR="00A97E65" w:rsidRDefault="00A97E65"/>
  </w:footnote>
  <w:footnote w:id="1">
    <w:p w14:paraId="2A118856" w14:textId="67955D63" w:rsidR="00A97E65" w:rsidRDefault="00A97E65" w:rsidP="0087135D">
      <w:pPr>
        <w:pStyle w:val="FootnoteText"/>
        <w:spacing w:after="60" w:line="240" w:lineRule="auto"/>
      </w:pPr>
      <w:r w:rsidRPr="00DA161F">
        <w:footnoteRef/>
      </w:r>
      <w:r>
        <w:t xml:space="preserve"> </w:t>
      </w:r>
      <w:r w:rsidRPr="00DA161F">
        <w:t>Biemer, P. (2010). Total Survey Error: Design, Implementation, and Evaluation. Public Opinion Quarterly, 74 (5): 817-848.</w:t>
      </w:r>
    </w:p>
  </w:footnote>
  <w:footnote w:id="2">
    <w:p w14:paraId="22CFD497" w14:textId="77777777" w:rsidR="00A97E65" w:rsidRDefault="00A97E65" w:rsidP="005E0013">
      <w:pPr>
        <w:pStyle w:val="FootnoteText"/>
        <w:spacing w:after="60" w:line="240" w:lineRule="auto"/>
      </w:pPr>
      <w:r>
        <w:rPr>
          <w:rStyle w:val="FootnoteReference"/>
        </w:rPr>
        <w:footnoteRef/>
      </w:r>
      <w:r>
        <w:t xml:space="preserve"> Web experiment cases will receive the standard $5 or $15 topical incentive depending on which mailing of the letter prompted their web response.</w:t>
      </w:r>
    </w:p>
  </w:footnote>
  <w:footnote w:id="3">
    <w:p w14:paraId="6E7AA171" w14:textId="77777777" w:rsidR="00A97E65" w:rsidRDefault="00A97E65" w:rsidP="00B703A9">
      <w:pPr>
        <w:pStyle w:val="FootnoteText"/>
        <w:spacing w:after="60" w:line="240" w:lineRule="auto"/>
        <w:jc w:val="left"/>
      </w:pPr>
      <w:r w:rsidRPr="00835F96">
        <w:rPr>
          <w:sz w:val="18"/>
          <w:szCs w:val="18"/>
          <w:vertAlign w:val="superscript"/>
        </w:rPr>
        <w:footnoteRef/>
      </w:r>
      <w:r w:rsidRPr="00835F96">
        <w:rPr>
          <w:sz w:val="18"/>
          <w:szCs w:val="18"/>
        </w:rPr>
        <w:t xml:space="preserve"> Ineligible addresses are those that are undeliverable. </w:t>
      </w:r>
      <w:r>
        <w:rPr>
          <w:sz w:val="18"/>
          <w:szCs w:val="18"/>
        </w:rPr>
        <w:t>Screener mailings for an address where one or more mailings are returned as a postmaster return (PMR) and no mailings are returned complete or refused will lead to an address being coded as ineligible.</w:t>
      </w:r>
    </w:p>
  </w:footnote>
  <w:footnote w:id="4">
    <w:p w14:paraId="719063EF" w14:textId="77777777" w:rsidR="00A97E65" w:rsidRPr="000E1E54" w:rsidRDefault="00A97E65" w:rsidP="00B703A9">
      <w:pPr>
        <w:pStyle w:val="FootnoteText"/>
        <w:spacing w:after="60" w:line="240" w:lineRule="auto"/>
        <w:rPr>
          <w:sz w:val="18"/>
          <w:szCs w:val="18"/>
        </w:rPr>
      </w:pPr>
      <w:r w:rsidRPr="000E1E54">
        <w:rPr>
          <w:rStyle w:val="FootnoteReference"/>
          <w:sz w:val="18"/>
          <w:szCs w:val="18"/>
        </w:rPr>
        <w:footnoteRef/>
      </w:r>
      <w:r w:rsidRPr="000E1E54">
        <w:rPr>
          <w:sz w:val="18"/>
          <w:szCs w:val="18"/>
        </w:rPr>
        <w:t xml:space="preserve"> Address eligibility and response rates are estimated based on the 2014 NHES Feasibility Study (NHES-FS), and are calculated to account for expected differential response rates within sampling strata and experimental treatment groups.</w:t>
      </w:r>
    </w:p>
  </w:footnote>
  <w:footnote w:id="5">
    <w:p w14:paraId="4B56B9A4" w14:textId="77777777" w:rsidR="00A97E65" w:rsidRPr="00924905" w:rsidRDefault="00A97E65" w:rsidP="00B703A9">
      <w:pPr>
        <w:pStyle w:val="FootnoteText"/>
        <w:spacing w:after="60" w:line="240" w:lineRule="auto"/>
        <w:jc w:val="left"/>
        <w:rPr>
          <w:sz w:val="18"/>
          <w:szCs w:val="18"/>
        </w:rPr>
      </w:pPr>
      <w:r w:rsidRPr="00924905">
        <w:rPr>
          <w:rStyle w:val="FootnoteReference"/>
          <w:sz w:val="18"/>
          <w:szCs w:val="18"/>
        </w:rPr>
        <w:footnoteRef/>
      </w:r>
      <w:r w:rsidRPr="00924905">
        <w:rPr>
          <w:sz w:val="18"/>
          <w:szCs w:val="18"/>
        </w:rPr>
        <w:t xml:space="preserve"> </w:t>
      </w:r>
      <w:r w:rsidRPr="008D2409">
        <w:rPr>
          <w:sz w:val="18"/>
          <w:szCs w:val="18"/>
        </w:rPr>
        <w:t xml:space="preserve">Percentages based on </w:t>
      </w:r>
      <w:r>
        <w:rPr>
          <w:sz w:val="18"/>
          <w:szCs w:val="18"/>
        </w:rPr>
        <w:t>estimates from the 2014 NHES Feasibility Study (NHES-FS) screener.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679D" w14:textId="77777777" w:rsidR="00A97E65" w:rsidRDefault="00A97E65" w:rsidP="00C26B8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71F76BF4"/>
    <w:multiLevelType w:val="hybridMultilevel"/>
    <w:tmpl w:val="745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7E"/>
    <w:rsid w:val="00001E9A"/>
    <w:rsid w:val="00003002"/>
    <w:rsid w:val="00006062"/>
    <w:rsid w:val="000113F6"/>
    <w:rsid w:val="000118DA"/>
    <w:rsid w:val="00011979"/>
    <w:rsid w:val="000132F4"/>
    <w:rsid w:val="000145F6"/>
    <w:rsid w:val="00016376"/>
    <w:rsid w:val="0001797F"/>
    <w:rsid w:val="00017BA6"/>
    <w:rsid w:val="000201F4"/>
    <w:rsid w:val="00020553"/>
    <w:rsid w:val="00020628"/>
    <w:rsid w:val="0002065D"/>
    <w:rsid w:val="00020771"/>
    <w:rsid w:val="00023C3C"/>
    <w:rsid w:val="00023D67"/>
    <w:rsid w:val="00023D6A"/>
    <w:rsid w:val="0002470A"/>
    <w:rsid w:val="00024BEC"/>
    <w:rsid w:val="00025369"/>
    <w:rsid w:val="0002784C"/>
    <w:rsid w:val="00027991"/>
    <w:rsid w:val="00030DE2"/>
    <w:rsid w:val="0003109C"/>
    <w:rsid w:val="00031ACC"/>
    <w:rsid w:val="0003482D"/>
    <w:rsid w:val="0003594A"/>
    <w:rsid w:val="000368AF"/>
    <w:rsid w:val="000379B3"/>
    <w:rsid w:val="00037A83"/>
    <w:rsid w:val="00037B5F"/>
    <w:rsid w:val="000400AE"/>
    <w:rsid w:val="0004153F"/>
    <w:rsid w:val="0004232F"/>
    <w:rsid w:val="0004267F"/>
    <w:rsid w:val="00043D90"/>
    <w:rsid w:val="00046849"/>
    <w:rsid w:val="000537BF"/>
    <w:rsid w:val="00053CE3"/>
    <w:rsid w:val="000550D8"/>
    <w:rsid w:val="000554E7"/>
    <w:rsid w:val="00056044"/>
    <w:rsid w:val="0005707A"/>
    <w:rsid w:val="00062B20"/>
    <w:rsid w:val="000632E2"/>
    <w:rsid w:val="00063F6D"/>
    <w:rsid w:val="0006422A"/>
    <w:rsid w:val="0006457E"/>
    <w:rsid w:val="00066080"/>
    <w:rsid w:val="000667B7"/>
    <w:rsid w:val="0007143D"/>
    <w:rsid w:val="00074A6E"/>
    <w:rsid w:val="00075002"/>
    <w:rsid w:val="0007587C"/>
    <w:rsid w:val="00075A0C"/>
    <w:rsid w:val="00075AA8"/>
    <w:rsid w:val="00076F67"/>
    <w:rsid w:val="000772D4"/>
    <w:rsid w:val="00082920"/>
    <w:rsid w:val="0008703C"/>
    <w:rsid w:val="00087E07"/>
    <w:rsid w:val="000902B6"/>
    <w:rsid w:val="00091B70"/>
    <w:rsid w:val="00092299"/>
    <w:rsid w:val="00093544"/>
    <w:rsid w:val="0009615D"/>
    <w:rsid w:val="000A00D4"/>
    <w:rsid w:val="000A0344"/>
    <w:rsid w:val="000A1D16"/>
    <w:rsid w:val="000A2AE0"/>
    <w:rsid w:val="000A3B6C"/>
    <w:rsid w:val="000A4D63"/>
    <w:rsid w:val="000A6763"/>
    <w:rsid w:val="000A6C23"/>
    <w:rsid w:val="000A6C9F"/>
    <w:rsid w:val="000A6E24"/>
    <w:rsid w:val="000A73D1"/>
    <w:rsid w:val="000B413E"/>
    <w:rsid w:val="000B76F2"/>
    <w:rsid w:val="000C145E"/>
    <w:rsid w:val="000C332B"/>
    <w:rsid w:val="000C4D59"/>
    <w:rsid w:val="000C51E0"/>
    <w:rsid w:val="000C6BCB"/>
    <w:rsid w:val="000C6C21"/>
    <w:rsid w:val="000D07CA"/>
    <w:rsid w:val="000D0AA1"/>
    <w:rsid w:val="000D189D"/>
    <w:rsid w:val="000D27AA"/>
    <w:rsid w:val="000D2D4C"/>
    <w:rsid w:val="000D2F73"/>
    <w:rsid w:val="000D48B3"/>
    <w:rsid w:val="000E19B9"/>
    <w:rsid w:val="000E23B7"/>
    <w:rsid w:val="000E449E"/>
    <w:rsid w:val="000E541E"/>
    <w:rsid w:val="000E6761"/>
    <w:rsid w:val="000E7539"/>
    <w:rsid w:val="000E7839"/>
    <w:rsid w:val="000F04AC"/>
    <w:rsid w:val="000F1041"/>
    <w:rsid w:val="000F1556"/>
    <w:rsid w:val="000F3015"/>
    <w:rsid w:val="000F34EB"/>
    <w:rsid w:val="000F44A7"/>
    <w:rsid w:val="0010051E"/>
    <w:rsid w:val="001017DD"/>
    <w:rsid w:val="0010290A"/>
    <w:rsid w:val="00104381"/>
    <w:rsid w:val="00104F37"/>
    <w:rsid w:val="00105381"/>
    <w:rsid w:val="0010542F"/>
    <w:rsid w:val="00106019"/>
    <w:rsid w:val="00106459"/>
    <w:rsid w:val="0010679E"/>
    <w:rsid w:val="00110223"/>
    <w:rsid w:val="001139D6"/>
    <w:rsid w:val="001140DE"/>
    <w:rsid w:val="00115ACC"/>
    <w:rsid w:val="00116AE7"/>
    <w:rsid w:val="001171EA"/>
    <w:rsid w:val="00121511"/>
    <w:rsid w:val="001219A1"/>
    <w:rsid w:val="00121B19"/>
    <w:rsid w:val="0012275E"/>
    <w:rsid w:val="00123384"/>
    <w:rsid w:val="00123697"/>
    <w:rsid w:val="00123A47"/>
    <w:rsid w:val="00125534"/>
    <w:rsid w:val="00127520"/>
    <w:rsid w:val="0013161F"/>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027"/>
    <w:rsid w:val="00156907"/>
    <w:rsid w:val="0015751C"/>
    <w:rsid w:val="0016158B"/>
    <w:rsid w:val="0016160F"/>
    <w:rsid w:val="00162380"/>
    <w:rsid w:val="00163558"/>
    <w:rsid w:val="001638C9"/>
    <w:rsid w:val="0016395B"/>
    <w:rsid w:val="001639E8"/>
    <w:rsid w:val="0016423A"/>
    <w:rsid w:val="00165D21"/>
    <w:rsid w:val="001674C6"/>
    <w:rsid w:val="00170863"/>
    <w:rsid w:val="00170ECE"/>
    <w:rsid w:val="00172A7D"/>
    <w:rsid w:val="00173B08"/>
    <w:rsid w:val="00174716"/>
    <w:rsid w:val="001749FA"/>
    <w:rsid w:val="00174C32"/>
    <w:rsid w:val="00180F7C"/>
    <w:rsid w:val="0018473A"/>
    <w:rsid w:val="0018618E"/>
    <w:rsid w:val="001861C5"/>
    <w:rsid w:val="001917C1"/>
    <w:rsid w:val="00191A51"/>
    <w:rsid w:val="00194566"/>
    <w:rsid w:val="0019684E"/>
    <w:rsid w:val="00197215"/>
    <w:rsid w:val="001A4F12"/>
    <w:rsid w:val="001A568F"/>
    <w:rsid w:val="001A65EE"/>
    <w:rsid w:val="001A6E86"/>
    <w:rsid w:val="001A7798"/>
    <w:rsid w:val="001B36A6"/>
    <w:rsid w:val="001B6476"/>
    <w:rsid w:val="001B6AF6"/>
    <w:rsid w:val="001B7897"/>
    <w:rsid w:val="001C042E"/>
    <w:rsid w:val="001C31EC"/>
    <w:rsid w:val="001C382B"/>
    <w:rsid w:val="001C65F6"/>
    <w:rsid w:val="001C69E4"/>
    <w:rsid w:val="001D0127"/>
    <w:rsid w:val="001D1AC5"/>
    <w:rsid w:val="001D2F07"/>
    <w:rsid w:val="001D31DD"/>
    <w:rsid w:val="001D52EC"/>
    <w:rsid w:val="001D55D6"/>
    <w:rsid w:val="001D5E48"/>
    <w:rsid w:val="001D7AAB"/>
    <w:rsid w:val="001E08F7"/>
    <w:rsid w:val="001E13FB"/>
    <w:rsid w:val="001E1690"/>
    <w:rsid w:val="001E2736"/>
    <w:rsid w:val="001E32BC"/>
    <w:rsid w:val="001E4E74"/>
    <w:rsid w:val="001E62CC"/>
    <w:rsid w:val="001E7612"/>
    <w:rsid w:val="001F1D11"/>
    <w:rsid w:val="001F2021"/>
    <w:rsid w:val="001F2B9C"/>
    <w:rsid w:val="001F50B1"/>
    <w:rsid w:val="001F5434"/>
    <w:rsid w:val="001F55F8"/>
    <w:rsid w:val="001F5ACB"/>
    <w:rsid w:val="001F5F01"/>
    <w:rsid w:val="001F6474"/>
    <w:rsid w:val="001F689D"/>
    <w:rsid w:val="001F7DFF"/>
    <w:rsid w:val="0020033A"/>
    <w:rsid w:val="00200FDB"/>
    <w:rsid w:val="002012F1"/>
    <w:rsid w:val="00204658"/>
    <w:rsid w:val="00211103"/>
    <w:rsid w:val="00212754"/>
    <w:rsid w:val="00213289"/>
    <w:rsid w:val="00214AB6"/>
    <w:rsid w:val="002159D8"/>
    <w:rsid w:val="00216390"/>
    <w:rsid w:val="00221A9A"/>
    <w:rsid w:val="00222BF4"/>
    <w:rsid w:val="002238F2"/>
    <w:rsid w:val="00224091"/>
    <w:rsid w:val="00233139"/>
    <w:rsid w:val="002339A0"/>
    <w:rsid w:val="00233D46"/>
    <w:rsid w:val="00235535"/>
    <w:rsid w:val="0024034A"/>
    <w:rsid w:val="00240CBA"/>
    <w:rsid w:val="0024486E"/>
    <w:rsid w:val="002454FD"/>
    <w:rsid w:val="00247E25"/>
    <w:rsid w:val="00250C06"/>
    <w:rsid w:val="00250F9A"/>
    <w:rsid w:val="0025130B"/>
    <w:rsid w:val="00251BDA"/>
    <w:rsid w:val="00252261"/>
    <w:rsid w:val="00253B9B"/>
    <w:rsid w:val="00254734"/>
    <w:rsid w:val="00255BC3"/>
    <w:rsid w:val="00255D5D"/>
    <w:rsid w:val="00257CB1"/>
    <w:rsid w:val="002604AD"/>
    <w:rsid w:val="002615FC"/>
    <w:rsid w:val="0026329B"/>
    <w:rsid w:val="00264706"/>
    <w:rsid w:val="0026489C"/>
    <w:rsid w:val="0027103E"/>
    <w:rsid w:val="00272D70"/>
    <w:rsid w:val="0027324C"/>
    <w:rsid w:val="00275D66"/>
    <w:rsid w:val="0027785D"/>
    <w:rsid w:val="00280113"/>
    <w:rsid w:val="00280547"/>
    <w:rsid w:val="00281245"/>
    <w:rsid w:val="002815EC"/>
    <w:rsid w:val="002816C5"/>
    <w:rsid w:val="002817EA"/>
    <w:rsid w:val="00282C5B"/>
    <w:rsid w:val="00282F2F"/>
    <w:rsid w:val="002833B5"/>
    <w:rsid w:val="00284F58"/>
    <w:rsid w:val="0028658F"/>
    <w:rsid w:val="00286B44"/>
    <w:rsid w:val="002902F4"/>
    <w:rsid w:val="0029139F"/>
    <w:rsid w:val="00291860"/>
    <w:rsid w:val="002922BD"/>
    <w:rsid w:val="0029322B"/>
    <w:rsid w:val="0029337A"/>
    <w:rsid w:val="00294111"/>
    <w:rsid w:val="0029589F"/>
    <w:rsid w:val="00295FF1"/>
    <w:rsid w:val="002A17E1"/>
    <w:rsid w:val="002A288B"/>
    <w:rsid w:val="002A433B"/>
    <w:rsid w:val="002A4DB5"/>
    <w:rsid w:val="002A5164"/>
    <w:rsid w:val="002A62E0"/>
    <w:rsid w:val="002A6AFE"/>
    <w:rsid w:val="002A6F51"/>
    <w:rsid w:val="002A7CCF"/>
    <w:rsid w:val="002B10CF"/>
    <w:rsid w:val="002B1175"/>
    <w:rsid w:val="002B27EB"/>
    <w:rsid w:val="002B4110"/>
    <w:rsid w:val="002B4160"/>
    <w:rsid w:val="002B5F98"/>
    <w:rsid w:val="002B7168"/>
    <w:rsid w:val="002C05C1"/>
    <w:rsid w:val="002C1AFC"/>
    <w:rsid w:val="002C33C4"/>
    <w:rsid w:val="002C7201"/>
    <w:rsid w:val="002C7545"/>
    <w:rsid w:val="002D0ADE"/>
    <w:rsid w:val="002D0E22"/>
    <w:rsid w:val="002D14FA"/>
    <w:rsid w:val="002D20FE"/>
    <w:rsid w:val="002D2899"/>
    <w:rsid w:val="002D29D1"/>
    <w:rsid w:val="002D2B40"/>
    <w:rsid w:val="002D3205"/>
    <w:rsid w:val="002D3B05"/>
    <w:rsid w:val="002D68AD"/>
    <w:rsid w:val="002D6F89"/>
    <w:rsid w:val="002D72A5"/>
    <w:rsid w:val="002E158E"/>
    <w:rsid w:val="002E2361"/>
    <w:rsid w:val="002E278A"/>
    <w:rsid w:val="002E3212"/>
    <w:rsid w:val="002E343C"/>
    <w:rsid w:val="002E675F"/>
    <w:rsid w:val="002E7143"/>
    <w:rsid w:val="002E7C6B"/>
    <w:rsid w:val="002F19AC"/>
    <w:rsid w:val="002F2221"/>
    <w:rsid w:val="002F2B0A"/>
    <w:rsid w:val="002F2D3A"/>
    <w:rsid w:val="002F2DAA"/>
    <w:rsid w:val="002F3120"/>
    <w:rsid w:val="002F4ACA"/>
    <w:rsid w:val="002F5FBD"/>
    <w:rsid w:val="002F7CDF"/>
    <w:rsid w:val="00300626"/>
    <w:rsid w:val="00301082"/>
    <w:rsid w:val="00301E6B"/>
    <w:rsid w:val="00302FC2"/>
    <w:rsid w:val="00304E4E"/>
    <w:rsid w:val="00305132"/>
    <w:rsid w:val="00306779"/>
    <w:rsid w:val="00306930"/>
    <w:rsid w:val="0030733D"/>
    <w:rsid w:val="003077F8"/>
    <w:rsid w:val="00310950"/>
    <w:rsid w:val="003114DE"/>
    <w:rsid w:val="00315D3C"/>
    <w:rsid w:val="00315DDF"/>
    <w:rsid w:val="00316FDF"/>
    <w:rsid w:val="003209C4"/>
    <w:rsid w:val="00321121"/>
    <w:rsid w:val="00322067"/>
    <w:rsid w:val="003230F5"/>
    <w:rsid w:val="00324B17"/>
    <w:rsid w:val="003268B3"/>
    <w:rsid w:val="00327DD0"/>
    <w:rsid w:val="00330211"/>
    <w:rsid w:val="00333113"/>
    <w:rsid w:val="0033339F"/>
    <w:rsid w:val="003342C7"/>
    <w:rsid w:val="003400F0"/>
    <w:rsid w:val="00340C9D"/>
    <w:rsid w:val="0034204C"/>
    <w:rsid w:val="00344F1F"/>
    <w:rsid w:val="00346C51"/>
    <w:rsid w:val="00346CE4"/>
    <w:rsid w:val="00347EEA"/>
    <w:rsid w:val="00347F1C"/>
    <w:rsid w:val="003503AD"/>
    <w:rsid w:val="00350884"/>
    <w:rsid w:val="00351112"/>
    <w:rsid w:val="00352E3A"/>
    <w:rsid w:val="00352FC9"/>
    <w:rsid w:val="003540EE"/>
    <w:rsid w:val="00356E37"/>
    <w:rsid w:val="003571BF"/>
    <w:rsid w:val="00357574"/>
    <w:rsid w:val="00360D14"/>
    <w:rsid w:val="00362B70"/>
    <w:rsid w:val="0036326A"/>
    <w:rsid w:val="00364B48"/>
    <w:rsid w:val="003664D4"/>
    <w:rsid w:val="00366A50"/>
    <w:rsid w:val="00367164"/>
    <w:rsid w:val="0037053F"/>
    <w:rsid w:val="003726FF"/>
    <w:rsid w:val="00372D89"/>
    <w:rsid w:val="00374159"/>
    <w:rsid w:val="00375E47"/>
    <w:rsid w:val="0038275E"/>
    <w:rsid w:val="003839FD"/>
    <w:rsid w:val="00384379"/>
    <w:rsid w:val="00384B51"/>
    <w:rsid w:val="003852E0"/>
    <w:rsid w:val="003862C5"/>
    <w:rsid w:val="003864A6"/>
    <w:rsid w:val="0038752A"/>
    <w:rsid w:val="00387899"/>
    <w:rsid w:val="00390180"/>
    <w:rsid w:val="00390ABB"/>
    <w:rsid w:val="003917AA"/>
    <w:rsid w:val="0039228D"/>
    <w:rsid w:val="003924CC"/>
    <w:rsid w:val="00394091"/>
    <w:rsid w:val="00394CE1"/>
    <w:rsid w:val="00396B2D"/>
    <w:rsid w:val="003A11DF"/>
    <w:rsid w:val="003A2F59"/>
    <w:rsid w:val="003A4E44"/>
    <w:rsid w:val="003A601B"/>
    <w:rsid w:val="003A665F"/>
    <w:rsid w:val="003A6DF3"/>
    <w:rsid w:val="003A72FA"/>
    <w:rsid w:val="003A79C3"/>
    <w:rsid w:val="003B0E98"/>
    <w:rsid w:val="003B12A9"/>
    <w:rsid w:val="003B1632"/>
    <w:rsid w:val="003B175F"/>
    <w:rsid w:val="003B1786"/>
    <w:rsid w:val="003B317D"/>
    <w:rsid w:val="003B35D7"/>
    <w:rsid w:val="003B3682"/>
    <w:rsid w:val="003B5AB8"/>
    <w:rsid w:val="003C088C"/>
    <w:rsid w:val="003C0C29"/>
    <w:rsid w:val="003C2518"/>
    <w:rsid w:val="003C2889"/>
    <w:rsid w:val="003C4A1A"/>
    <w:rsid w:val="003C4AF0"/>
    <w:rsid w:val="003C7781"/>
    <w:rsid w:val="003D0AAB"/>
    <w:rsid w:val="003D1182"/>
    <w:rsid w:val="003D19D1"/>
    <w:rsid w:val="003D304D"/>
    <w:rsid w:val="003D3096"/>
    <w:rsid w:val="003D428A"/>
    <w:rsid w:val="003D5143"/>
    <w:rsid w:val="003D59C4"/>
    <w:rsid w:val="003D6ED6"/>
    <w:rsid w:val="003E18C2"/>
    <w:rsid w:val="003E20D9"/>
    <w:rsid w:val="003E502F"/>
    <w:rsid w:val="003F01AD"/>
    <w:rsid w:val="003F06D3"/>
    <w:rsid w:val="003F06FE"/>
    <w:rsid w:val="003F0912"/>
    <w:rsid w:val="003F1469"/>
    <w:rsid w:val="003F26BA"/>
    <w:rsid w:val="003F286E"/>
    <w:rsid w:val="003F4DDA"/>
    <w:rsid w:val="003F5708"/>
    <w:rsid w:val="003F69DF"/>
    <w:rsid w:val="00401083"/>
    <w:rsid w:val="00401B03"/>
    <w:rsid w:val="00403909"/>
    <w:rsid w:val="00403D26"/>
    <w:rsid w:val="00404B2D"/>
    <w:rsid w:val="00404E76"/>
    <w:rsid w:val="00406577"/>
    <w:rsid w:val="00406908"/>
    <w:rsid w:val="00410786"/>
    <w:rsid w:val="00410C5D"/>
    <w:rsid w:val="00413037"/>
    <w:rsid w:val="00413577"/>
    <w:rsid w:val="004143AA"/>
    <w:rsid w:val="004158AD"/>
    <w:rsid w:val="00420F82"/>
    <w:rsid w:val="004216F2"/>
    <w:rsid w:val="00421A5D"/>
    <w:rsid w:val="00421D6E"/>
    <w:rsid w:val="004247B7"/>
    <w:rsid w:val="004250AF"/>
    <w:rsid w:val="0042589F"/>
    <w:rsid w:val="00425A25"/>
    <w:rsid w:val="00425BBE"/>
    <w:rsid w:val="00426073"/>
    <w:rsid w:val="00426BC6"/>
    <w:rsid w:val="00430D2F"/>
    <w:rsid w:val="0043408D"/>
    <w:rsid w:val="00435F38"/>
    <w:rsid w:val="0043777F"/>
    <w:rsid w:val="00437885"/>
    <w:rsid w:val="00442459"/>
    <w:rsid w:val="004438DC"/>
    <w:rsid w:val="0044639C"/>
    <w:rsid w:val="004469F5"/>
    <w:rsid w:val="00447514"/>
    <w:rsid w:val="00447A49"/>
    <w:rsid w:val="00450BE4"/>
    <w:rsid w:val="004513B9"/>
    <w:rsid w:val="004534A9"/>
    <w:rsid w:val="004539D4"/>
    <w:rsid w:val="004602E4"/>
    <w:rsid w:val="0046052A"/>
    <w:rsid w:val="00460F72"/>
    <w:rsid w:val="004647AD"/>
    <w:rsid w:val="004649E8"/>
    <w:rsid w:val="00466E94"/>
    <w:rsid w:val="00470A63"/>
    <w:rsid w:val="00470DC5"/>
    <w:rsid w:val="00471D48"/>
    <w:rsid w:val="0047394C"/>
    <w:rsid w:val="00474007"/>
    <w:rsid w:val="0047415B"/>
    <w:rsid w:val="004743C7"/>
    <w:rsid w:val="00474A9A"/>
    <w:rsid w:val="00475A9E"/>
    <w:rsid w:val="00475ACE"/>
    <w:rsid w:val="00475F35"/>
    <w:rsid w:val="00480574"/>
    <w:rsid w:val="00480C62"/>
    <w:rsid w:val="00482189"/>
    <w:rsid w:val="004825E1"/>
    <w:rsid w:val="004826DC"/>
    <w:rsid w:val="004862AB"/>
    <w:rsid w:val="004863D6"/>
    <w:rsid w:val="00487EBA"/>
    <w:rsid w:val="004900FF"/>
    <w:rsid w:val="0049422F"/>
    <w:rsid w:val="00494323"/>
    <w:rsid w:val="004947F1"/>
    <w:rsid w:val="00496DE6"/>
    <w:rsid w:val="00497A4F"/>
    <w:rsid w:val="004A03E2"/>
    <w:rsid w:val="004A253E"/>
    <w:rsid w:val="004A2C30"/>
    <w:rsid w:val="004A32EB"/>
    <w:rsid w:val="004A4F43"/>
    <w:rsid w:val="004A66C3"/>
    <w:rsid w:val="004A672C"/>
    <w:rsid w:val="004A77CA"/>
    <w:rsid w:val="004B30A5"/>
    <w:rsid w:val="004B37E1"/>
    <w:rsid w:val="004B4440"/>
    <w:rsid w:val="004B4AEC"/>
    <w:rsid w:val="004B6868"/>
    <w:rsid w:val="004B6AA9"/>
    <w:rsid w:val="004B709F"/>
    <w:rsid w:val="004C046A"/>
    <w:rsid w:val="004C07FD"/>
    <w:rsid w:val="004C0E15"/>
    <w:rsid w:val="004C0E24"/>
    <w:rsid w:val="004C13C8"/>
    <w:rsid w:val="004C24EB"/>
    <w:rsid w:val="004C2BA3"/>
    <w:rsid w:val="004C5B08"/>
    <w:rsid w:val="004D0C80"/>
    <w:rsid w:val="004D1234"/>
    <w:rsid w:val="004D1B43"/>
    <w:rsid w:val="004D5C32"/>
    <w:rsid w:val="004D68FD"/>
    <w:rsid w:val="004D73B8"/>
    <w:rsid w:val="004D76BF"/>
    <w:rsid w:val="004D7A77"/>
    <w:rsid w:val="004E10CC"/>
    <w:rsid w:val="004E21C3"/>
    <w:rsid w:val="004E21C6"/>
    <w:rsid w:val="004E3311"/>
    <w:rsid w:val="004E4242"/>
    <w:rsid w:val="004E6345"/>
    <w:rsid w:val="004F07D5"/>
    <w:rsid w:val="004F0A32"/>
    <w:rsid w:val="004F18E9"/>
    <w:rsid w:val="004F27B1"/>
    <w:rsid w:val="004F3F6D"/>
    <w:rsid w:val="004F45DE"/>
    <w:rsid w:val="004F4FAD"/>
    <w:rsid w:val="004F5FD4"/>
    <w:rsid w:val="004F6D89"/>
    <w:rsid w:val="004F77DD"/>
    <w:rsid w:val="004F79BD"/>
    <w:rsid w:val="00500B9C"/>
    <w:rsid w:val="00501801"/>
    <w:rsid w:val="005029BB"/>
    <w:rsid w:val="005034CF"/>
    <w:rsid w:val="00503AD5"/>
    <w:rsid w:val="00504E68"/>
    <w:rsid w:val="00505AD9"/>
    <w:rsid w:val="00507B52"/>
    <w:rsid w:val="005124D8"/>
    <w:rsid w:val="005166E5"/>
    <w:rsid w:val="00516F71"/>
    <w:rsid w:val="005170A7"/>
    <w:rsid w:val="00517B51"/>
    <w:rsid w:val="005205A0"/>
    <w:rsid w:val="00520744"/>
    <w:rsid w:val="005215DF"/>
    <w:rsid w:val="0052333F"/>
    <w:rsid w:val="00523B1A"/>
    <w:rsid w:val="00524802"/>
    <w:rsid w:val="00525528"/>
    <w:rsid w:val="005276DE"/>
    <w:rsid w:val="00527847"/>
    <w:rsid w:val="005319AC"/>
    <w:rsid w:val="00535616"/>
    <w:rsid w:val="00536BAF"/>
    <w:rsid w:val="0053743D"/>
    <w:rsid w:val="00540585"/>
    <w:rsid w:val="00541CBB"/>
    <w:rsid w:val="00542000"/>
    <w:rsid w:val="005425CF"/>
    <w:rsid w:val="00542A4F"/>
    <w:rsid w:val="00543C01"/>
    <w:rsid w:val="0054617D"/>
    <w:rsid w:val="0054673C"/>
    <w:rsid w:val="005530EA"/>
    <w:rsid w:val="005539A6"/>
    <w:rsid w:val="00553D47"/>
    <w:rsid w:val="00554379"/>
    <w:rsid w:val="005558B2"/>
    <w:rsid w:val="0055669C"/>
    <w:rsid w:val="00556815"/>
    <w:rsid w:val="00560B4F"/>
    <w:rsid w:val="0056167C"/>
    <w:rsid w:val="00561CC9"/>
    <w:rsid w:val="00561E41"/>
    <w:rsid w:val="005621EE"/>
    <w:rsid w:val="005642E1"/>
    <w:rsid w:val="005658D2"/>
    <w:rsid w:val="00570129"/>
    <w:rsid w:val="00570502"/>
    <w:rsid w:val="00570886"/>
    <w:rsid w:val="005714CB"/>
    <w:rsid w:val="00572ADC"/>
    <w:rsid w:val="00575140"/>
    <w:rsid w:val="00575738"/>
    <w:rsid w:val="00576763"/>
    <w:rsid w:val="00577B82"/>
    <w:rsid w:val="00581E30"/>
    <w:rsid w:val="0058258D"/>
    <w:rsid w:val="005826D3"/>
    <w:rsid w:val="00582768"/>
    <w:rsid w:val="0058363B"/>
    <w:rsid w:val="00583BF6"/>
    <w:rsid w:val="00585041"/>
    <w:rsid w:val="00585F6C"/>
    <w:rsid w:val="005861DC"/>
    <w:rsid w:val="00586AD9"/>
    <w:rsid w:val="005870D2"/>
    <w:rsid w:val="0059377E"/>
    <w:rsid w:val="00593DD5"/>
    <w:rsid w:val="00594144"/>
    <w:rsid w:val="00597708"/>
    <w:rsid w:val="005A0287"/>
    <w:rsid w:val="005A0E53"/>
    <w:rsid w:val="005A10F9"/>
    <w:rsid w:val="005A191E"/>
    <w:rsid w:val="005A1EAB"/>
    <w:rsid w:val="005A27E9"/>
    <w:rsid w:val="005A33B6"/>
    <w:rsid w:val="005A485E"/>
    <w:rsid w:val="005A4BAF"/>
    <w:rsid w:val="005A5DF8"/>
    <w:rsid w:val="005A6D53"/>
    <w:rsid w:val="005B0571"/>
    <w:rsid w:val="005B06B2"/>
    <w:rsid w:val="005B0A54"/>
    <w:rsid w:val="005B0D80"/>
    <w:rsid w:val="005B20EF"/>
    <w:rsid w:val="005B5549"/>
    <w:rsid w:val="005B780A"/>
    <w:rsid w:val="005C0188"/>
    <w:rsid w:val="005C0448"/>
    <w:rsid w:val="005C052B"/>
    <w:rsid w:val="005C1767"/>
    <w:rsid w:val="005C1DCE"/>
    <w:rsid w:val="005C3149"/>
    <w:rsid w:val="005C37FA"/>
    <w:rsid w:val="005C418D"/>
    <w:rsid w:val="005C49D7"/>
    <w:rsid w:val="005C6394"/>
    <w:rsid w:val="005C6544"/>
    <w:rsid w:val="005C7689"/>
    <w:rsid w:val="005C7916"/>
    <w:rsid w:val="005C7E99"/>
    <w:rsid w:val="005D0276"/>
    <w:rsid w:val="005D0474"/>
    <w:rsid w:val="005D1550"/>
    <w:rsid w:val="005D3D9B"/>
    <w:rsid w:val="005D574C"/>
    <w:rsid w:val="005D6EFB"/>
    <w:rsid w:val="005D7AB5"/>
    <w:rsid w:val="005E0013"/>
    <w:rsid w:val="005E0F2D"/>
    <w:rsid w:val="005E0FCF"/>
    <w:rsid w:val="005E17A2"/>
    <w:rsid w:val="005F01D0"/>
    <w:rsid w:val="005F05F3"/>
    <w:rsid w:val="005F0AFA"/>
    <w:rsid w:val="005F2881"/>
    <w:rsid w:val="005F64C5"/>
    <w:rsid w:val="005F66E5"/>
    <w:rsid w:val="005F7D6C"/>
    <w:rsid w:val="00601B4F"/>
    <w:rsid w:val="00603C3F"/>
    <w:rsid w:val="00604542"/>
    <w:rsid w:val="00604B00"/>
    <w:rsid w:val="00604D1A"/>
    <w:rsid w:val="006054D6"/>
    <w:rsid w:val="006068D7"/>
    <w:rsid w:val="006072AA"/>
    <w:rsid w:val="00610154"/>
    <w:rsid w:val="00610843"/>
    <w:rsid w:val="00610F37"/>
    <w:rsid w:val="00611E6D"/>
    <w:rsid w:val="00611F29"/>
    <w:rsid w:val="006148BD"/>
    <w:rsid w:val="00620676"/>
    <w:rsid w:val="00621B03"/>
    <w:rsid w:val="00624EC7"/>
    <w:rsid w:val="006257D0"/>
    <w:rsid w:val="006264B3"/>
    <w:rsid w:val="00626A5E"/>
    <w:rsid w:val="00626F0A"/>
    <w:rsid w:val="00627983"/>
    <w:rsid w:val="006302A2"/>
    <w:rsid w:val="006302B2"/>
    <w:rsid w:val="006310B9"/>
    <w:rsid w:val="0063168A"/>
    <w:rsid w:val="00632D6A"/>
    <w:rsid w:val="00633BE4"/>
    <w:rsid w:val="0063427E"/>
    <w:rsid w:val="00641B0D"/>
    <w:rsid w:val="00641CC8"/>
    <w:rsid w:val="00644167"/>
    <w:rsid w:val="00645870"/>
    <w:rsid w:val="00645B88"/>
    <w:rsid w:val="00646A5F"/>
    <w:rsid w:val="006503FB"/>
    <w:rsid w:val="00650EFD"/>
    <w:rsid w:val="006519AE"/>
    <w:rsid w:val="00652A65"/>
    <w:rsid w:val="00652DF9"/>
    <w:rsid w:val="00652E7A"/>
    <w:rsid w:val="0065386A"/>
    <w:rsid w:val="00653D39"/>
    <w:rsid w:val="006552FE"/>
    <w:rsid w:val="00656D29"/>
    <w:rsid w:val="00660F6A"/>
    <w:rsid w:val="00662653"/>
    <w:rsid w:val="006641ED"/>
    <w:rsid w:val="00664317"/>
    <w:rsid w:val="0066567C"/>
    <w:rsid w:val="006661FD"/>
    <w:rsid w:val="00667BB0"/>
    <w:rsid w:val="00670792"/>
    <w:rsid w:val="006707E8"/>
    <w:rsid w:val="006722EA"/>
    <w:rsid w:val="00672FE5"/>
    <w:rsid w:val="006730F3"/>
    <w:rsid w:val="00673498"/>
    <w:rsid w:val="006734BC"/>
    <w:rsid w:val="00673F65"/>
    <w:rsid w:val="006747C5"/>
    <w:rsid w:val="00676364"/>
    <w:rsid w:val="006800E7"/>
    <w:rsid w:val="006814A7"/>
    <w:rsid w:val="00682DDF"/>
    <w:rsid w:val="0068311B"/>
    <w:rsid w:val="006841BD"/>
    <w:rsid w:val="0068462A"/>
    <w:rsid w:val="00685FAF"/>
    <w:rsid w:val="00690679"/>
    <w:rsid w:val="0069335C"/>
    <w:rsid w:val="006933C3"/>
    <w:rsid w:val="00693772"/>
    <w:rsid w:val="006937F6"/>
    <w:rsid w:val="006946B8"/>
    <w:rsid w:val="00694BD9"/>
    <w:rsid w:val="00695FD0"/>
    <w:rsid w:val="0069629A"/>
    <w:rsid w:val="00696B67"/>
    <w:rsid w:val="006979D7"/>
    <w:rsid w:val="006A04DE"/>
    <w:rsid w:val="006A1487"/>
    <w:rsid w:val="006A2C1E"/>
    <w:rsid w:val="006A3DC6"/>
    <w:rsid w:val="006A4117"/>
    <w:rsid w:val="006A4395"/>
    <w:rsid w:val="006A4603"/>
    <w:rsid w:val="006A48E7"/>
    <w:rsid w:val="006A53BA"/>
    <w:rsid w:val="006A674E"/>
    <w:rsid w:val="006A6E92"/>
    <w:rsid w:val="006A7C58"/>
    <w:rsid w:val="006B0555"/>
    <w:rsid w:val="006B0D6A"/>
    <w:rsid w:val="006B1471"/>
    <w:rsid w:val="006B3690"/>
    <w:rsid w:val="006B37F3"/>
    <w:rsid w:val="006B3F8E"/>
    <w:rsid w:val="006B4B35"/>
    <w:rsid w:val="006B71FB"/>
    <w:rsid w:val="006C0005"/>
    <w:rsid w:val="006C1986"/>
    <w:rsid w:val="006C3411"/>
    <w:rsid w:val="006C3946"/>
    <w:rsid w:val="006C4493"/>
    <w:rsid w:val="006D0BB8"/>
    <w:rsid w:val="006D0CA1"/>
    <w:rsid w:val="006D0EF4"/>
    <w:rsid w:val="006D3619"/>
    <w:rsid w:val="006D4034"/>
    <w:rsid w:val="006D5C5B"/>
    <w:rsid w:val="006D5C9A"/>
    <w:rsid w:val="006D6233"/>
    <w:rsid w:val="006E12EE"/>
    <w:rsid w:val="006E4739"/>
    <w:rsid w:val="006E65F3"/>
    <w:rsid w:val="006F0697"/>
    <w:rsid w:val="006F08D7"/>
    <w:rsid w:val="006F227B"/>
    <w:rsid w:val="006F3D25"/>
    <w:rsid w:val="006F567F"/>
    <w:rsid w:val="006F5946"/>
    <w:rsid w:val="006F7449"/>
    <w:rsid w:val="006F7968"/>
    <w:rsid w:val="006F7FEC"/>
    <w:rsid w:val="00700A6A"/>
    <w:rsid w:val="00700AA5"/>
    <w:rsid w:val="00701130"/>
    <w:rsid w:val="00701556"/>
    <w:rsid w:val="00701E4B"/>
    <w:rsid w:val="007022C0"/>
    <w:rsid w:val="00702E4C"/>
    <w:rsid w:val="00703A79"/>
    <w:rsid w:val="0070414A"/>
    <w:rsid w:val="00706190"/>
    <w:rsid w:val="00707BF9"/>
    <w:rsid w:val="00707D30"/>
    <w:rsid w:val="007102F4"/>
    <w:rsid w:val="00711B74"/>
    <w:rsid w:val="00712884"/>
    <w:rsid w:val="0071479E"/>
    <w:rsid w:val="00714A31"/>
    <w:rsid w:val="00714E85"/>
    <w:rsid w:val="007157C5"/>
    <w:rsid w:val="00715A64"/>
    <w:rsid w:val="00720542"/>
    <w:rsid w:val="007209C0"/>
    <w:rsid w:val="00722080"/>
    <w:rsid w:val="007238F5"/>
    <w:rsid w:val="00724DBA"/>
    <w:rsid w:val="00725BB2"/>
    <w:rsid w:val="00726A50"/>
    <w:rsid w:val="00726E2F"/>
    <w:rsid w:val="00730CF8"/>
    <w:rsid w:val="007317FF"/>
    <w:rsid w:val="00731F1C"/>
    <w:rsid w:val="00732991"/>
    <w:rsid w:val="0073663C"/>
    <w:rsid w:val="007368DA"/>
    <w:rsid w:val="00740EE4"/>
    <w:rsid w:val="0074390B"/>
    <w:rsid w:val="00744C23"/>
    <w:rsid w:val="00746491"/>
    <w:rsid w:val="00746872"/>
    <w:rsid w:val="00747C71"/>
    <w:rsid w:val="00753FE5"/>
    <w:rsid w:val="007548CE"/>
    <w:rsid w:val="00754D13"/>
    <w:rsid w:val="00754F8D"/>
    <w:rsid w:val="0075571C"/>
    <w:rsid w:val="00757BF6"/>
    <w:rsid w:val="0076236B"/>
    <w:rsid w:val="00764E3E"/>
    <w:rsid w:val="00765EE4"/>
    <w:rsid w:val="00770B2B"/>
    <w:rsid w:val="00775102"/>
    <w:rsid w:val="00775228"/>
    <w:rsid w:val="00776311"/>
    <w:rsid w:val="0077770B"/>
    <w:rsid w:val="0078006E"/>
    <w:rsid w:val="0078046A"/>
    <w:rsid w:val="007809DA"/>
    <w:rsid w:val="00780B17"/>
    <w:rsid w:val="007810C8"/>
    <w:rsid w:val="0078197F"/>
    <w:rsid w:val="00783C20"/>
    <w:rsid w:val="00783CC8"/>
    <w:rsid w:val="00783DE6"/>
    <w:rsid w:val="00783F0C"/>
    <w:rsid w:val="00783F9D"/>
    <w:rsid w:val="007843B7"/>
    <w:rsid w:val="00784C50"/>
    <w:rsid w:val="00784D48"/>
    <w:rsid w:val="00785510"/>
    <w:rsid w:val="00786312"/>
    <w:rsid w:val="00787CF3"/>
    <w:rsid w:val="00787DA0"/>
    <w:rsid w:val="00790026"/>
    <w:rsid w:val="0079066E"/>
    <w:rsid w:val="007928C1"/>
    <w:rsid w:val="0079432F"/>
    <w:rsid w:val="007A29A2"/>
    <w:rsid w:val="007A52A7"/>
    <w:rsid w:val="007A6AAF"/>
    <w:rsid w:val="007A6B89"/>
    <w:rsid w:val="007A7982"/>
    <w:rsid w:val="007B009A"/>
    <w:rsid w:val="007B0F3F"/>
    <w:rsid w:val="007B1996"/>
    <w:rsid w:val="007B423D"/>
    <w:rsid w:val="007B4C3A"/>
    <w:rsid w:val="007C075C"/>
    <w:rsid w:val="007C12DA"/>
    <w:rsid w:val="007C2D9E"/>
    <w:rsid w:val="007C3889"/>
    <w:rsid w:val="007C4588"/>
    <w:rsid w:val="007C4A10"/>
    <w:rsid w:val="007C4F6E"/>
    <w:rsid w:val="007C51C3"/>
    <w:rsid w:val="007C5A9F"/>
    <w:rsid w:val="007C6C6A"/>
    <w:rsid w:val="007D0E90"/>
    <w:rsid w:val="007D1029"/>
    <w:rsid w:val="007D2140"/>
    <w:rsid w:val="007D216E"/>
    <w:rsid w:val="007D2285"/>
    <w:rsid w:val="007D257C"/>
    <w:rsid w:val="007D3036"/>
    <w:rsid w:val="007D4ACF"/>
    <w:rsid w:val="007D5F12"/>
    <w:rsid w:val="007D6B9E"/>
    <w:rsid w:val="007D7CEC"/>
    <w:rsid w:val="007E1EC8"/>
    <w:rsid w:val="007E2337"/>
    <w:rsid w:val="007E412E"/>
    <w:rsid w:val="007E569C"/>
    <w:rsid w:val="007E5FD1"/>
    <w:rsid w:val="007E768B"/>
    <w:rsid w:val="007F0EA8"/>
    <w:rsid w:val="007F15C6"/>
    <w:rsid w:val="007F20F2"/>
    <w:rsid w:val="007F36B2"/>
    <w:rsid w:val="007F654E"/>
    <w:rsid w:val="007F7BB8"/>
    <w:rsid w:val="00800003"/>
    <w:rsid w:val="008001C2"/>
    <w:rsid w:val="00800FDE"/>
    <w:rsid w:val="008018B6"/>
    <w:rsid w:val="00807159"/>
    <w:rsid w:val="00810BBA"/>
    <w:rsid w:val="00813845"/>
    <w:rsid w:val="00813D6F"/>
    <w:rsid w:val="00814126"/>
    <w:rsid w:val="0081535A"/>
    <w:rsid w:val="00815671"/>
    <w:rsid w:val="008159D2"/>
    <w:rsid w:val="00815CA5"/>
    <w:rsid w:val="00815F3A"/>
    <w:rsid w:val="00815F75"/>
    <w:rsid w:val="00817FA2"/>
    <w:rsid w:val="00821A0C"/>
    <w:rsid w:val="00822571"/>
    <w:rsid w:val="00822B38"/>
    <w:rsid w:val="008269EF"/>
    <w:rsid w:val="0083141E"/>
    <w:rsid w:val="00833B80"/>
    <w:rsid w:val="008340C2"/>
    <w:rsid w:val="008357B0"/>
    <w:rsid w:val="00835F96"/>
    <w:rsid w:val="00836E30"/>
    <w:rsid w:val="0084005F"/>
    <w:rsid w:val="008402D8"/>
    <w:rsid w:val="00843E0A"/>
    <w:rsid w:val="00847115"/>
    <w:rsid w:val="00847236"/>
    <w:rsid w:val="00847599"/>
    <w:rsid w:val="00847832"/>
    <w:rsid w:val="008478A9"/>
    <w:rsid w:val="00847A2B"/>
    <w:rsid w:val="00853D70"/>
    <w:rsid w:val="00854191"/>
    <w:rsid w:val="0085467A"/>
    <w:rsid w:val="00856A51"/>
    <w:rsid w:val="0085781F"/>
    <w:rsid w:val="008624B7"/>
    <w:rsid w:val="00863F1F"/>
    <w:rsid w:val="00864A23"/>
    <w:rsid w:val="00865716"/>
    <w:rsid w:val="00866C77"/>
    <w:rsid w:val="00866F1E"/>
    <w:rsid w:val="00867A0F"/>
    <w:rsid w:val="00867FDF"/>
    <w:rsid w:val="0087135D"/>
    <w:rsid w:val="008727E7"/>
    <w:rsid w:val="00872836"/>
    <w:rsid w:val="008731AA"/>
    <w:rsid w:val="00876969"/>
    <w:rsid w:val="00876ACC"/>
    <w:rsid w:val="00880700"/>
    <w:rsid w:val="008821C1"/>
    <w:rsid w:val="008825E9"/>
    <w:rsid w:val="008831CD"/>
    <w:rsid w:val="008832CB"/>
    <w:rsid w:val="008832F2"/>
    <w:rsid w:val="00885E0B"/>
    <w:rsid w:val="00885E5C"/>
    <w:rsid w:val="0088722C"/>
    <w:rsid w:val="00893A70"/>
    <w:rsid w:val="008A2827"/>
    <w:rsid w:val="008A294A"/>
    <w:rsid w:val="008A4D2E"/>
    <w:rsid w:val="008A5566"/>
    <w:rsid w:val="008A74F8"/>
    <w:rsid w:val="008B0DF8"/>
    <w:rsid w:val="008B1A99"/>
    <w:rsid w:val="008B259E"/>
    <w:rsid w:val="008B2D71"/>
    <w:rsid w:val="008B6969"/>
    <w:rsid w:val="008B77E1"/>
    <w:rsid w:val="008C122E"/>
    <w:rsid w:val="008C3E6E"/>
    <w:rsid w:val="008C4B8B"/>
    <w:rsid w:val="008C50FA"/>
    <w:rsid w:val="008C5E63"/>
    <w:rsid w:val="008C69B4"/>
    <w:rsid w:val="008D0B09"/>
    <w:rsid w:val="008D2409"/>
    <w:rsid w:val="008D25B0"/>
    <w:rsid w:val="008D33A4"/>
    <w:rsid w:val="008D3EBE"/>
    <w:rsid w:val="008D42B7"/>
    <w:rsid w:val="008D4BD1"/>
    <w:rsid w:val="008D4D42"/>
    <w:rsid w:val="008D5F70"/>
    <w:rsid w:val="008D7476"/>
    <w:rsid w:val="008D7EDB"/>
    <w:rsid w:val="008D7F2F"/>
    <w:rsid w:val="008E0C18"/>
    <w:rsid w:val="008E0DEF"/>
    <w:rsid w:val="008E3F94"/>
    <w:rsid w:val="008E42FC"/>
    <w:rsid w:val="008E4DFC"/>
    <w:rsid w:val="008E7635"/>
    <w:rsid w:val="008E7D9F"/>
    <w:rsid w:val="008F01C9"/>
    <w:rsid w:val="008F0D69"/>
    <w:rsid w:val="008F1442"/>
    <w:rsid w:val="008F22B1"/>
    <w:rsid w:val="008F46F7"/>
    <w:rsid w:val="008F4D54"/>
    <w:rsid w:val="008F4D88"/>
    <w:rsid w:val="008F4F25"/>
    <w:rsid w:val="008F6068"/>
    <w:rsid w:val="009003F6"/>
    <w:rsid w:val="009045A9"/>
    <w:rsid w:val="009057A1"/>
    <w:rsid w:val="009063D4"/>
    <w:rsid w:val="00910409"/>
    <w:rsid w:val="0091040C"/>
    <w:rsid w:val="0091242E"/>
    <w:rsid w:val="00912670"/>
    <w:rsid w:val="00913A2A"/>
    <w:rsid w:val="00913CCF"/>
    <w:rsid w:val="00913FB1"/>
    <w:rsid w:val="009149FB"/>
    <w:rsid w:val="00915918"/>
    <w:rsid w:val="00915F34"/>
    <w:rsid w:val="00916697"/>
    <w:rsid w:val="009171A8"/>
    <w:rsid w:val="00917DE6"/>
    <w:rsid w:val="00922E8F"/>
    <w:rsid w:val="009236A4"/>
    <w:rsid w:val="00924905"/>
    <w:rsid w:val="00931BBE"/>
    <w:rsid w:val="00933F2B"/>
    <w:rsid w:val="00934B18"/>
    <w:rsid w:val="00934FA0"/>
    <w:rsid w:val="009351FF"/>
    <w:rsid w:val="00937754"/>
    <w:rsid w:val="00941D40"/>
    <w:rsid w:val="00942FF2"/>
    <w:rsid w:val="009457B7"/>
    <w:rsid w:val="0095095B"/>
    <w:rsid w:val="00952960"/>
    <w:rsid w:val="0095320B"/>
    <w:rsid w:val="00953342"/>
    <w:rsid w:val="009562D8"/>
    <w:rsid w:val="009574F7"/>
    <w:rsid w:val="0096316D"/>
    <w:rsid w:val="0097077B"/>
    <w:rsid w:val="00970A82"/>
    <w:rsid w:val="00970BBC"/>
    <w:rsid w:val="00970FD9"/>
    <w:rsid w:val="00973549"/>
    <w:rsid w:val="00974A81"/>
    <w:rsid w:val="00975BED"/>
    <w:rsid w:val="00975D43"/>
    <w:rsid w:val="00977801"/>
    <w:rsid w:val="009808BD"/>
    <w:rsid w:val="00981097"/>
    <w:rsid w:val="0098139D"/>
    <w:rsid w:val="00982588"/>
    <w:rsid w:val="0098270C"/>
    <w:rsid w:val="00984558"/>
    <w:rsid w:val="009878B7"/>
    <w:rsid w:val="009904EC"/>
    <w:rsid w:val="00993B1A"/>
    <w:rsid w:val="009955AF"/>
    <w:rsid w:val="00996032"/>
    <w:rsid w:val="00997172"/>
    <w:rsid w:val="00997E90"/>
    <w:rsid w:val="009A02C6"/>
    <w:rsid w:val="009A16B1"/>
    <w:rsid w:val="009A1B27"/>
    <w:rsid w:val="009A2826"/>
    <w:rsid w:val="009A335D"/>
    <w:rsid w:val="009A3FF1"/>
    <w:rsid w:val="009A4F5B"/>
    <w:rsid w:val="009A59DC"/>
    <w:rsid w:val="009A5E26"/>
    <w:rsid w:val="009A6A5E"/>
    <w:rsid w:val="009B150C"/>
    <w:rsid w:val="009B179F"/>
    <w:rsid w:val="009B1997"/>
    <w:rsid w:val="009B1F55"/>
    <w:rsid w:val="009B38E0"/>
    <w:rsid w:val="009B4E1C"/>
    <w:rsid w:val="009B5056"/>
    <w:rsid w:val="009B52C0"/>
    <w:rsid w:val="009B533B"/>
    <w:rsid w:val="009B66C3"/>
    <w:rsid w:val="009C0375"/>
    <w:rsid w:val="009C1F13"/>
    <w:rsid w:val="009C4979"/>
    <w:rsid w:val="009C672B"/>
    <w:rsid w:val="009D20F8"/>
    <w:rsid w:val="009D24B9"/>
    <w:rsid w:val="009D30CC"/>
    <w:rsid w:val="009D41B3"/>
    <w:rsid w:val="009D425F"/>
    <w:rsid w:val="009E1CEB"/>
    <w:rsid w:val="009E1F52"/>
    <w:rsid w:val="009E2B66"/>
    <w:rsid w:val="009E2CB9"/>
    <w:rsid w:val="009E310A"/>
    <w:rsid w:val="009E56B5"/>
    <w:rsid w:val="009E57ED"/>
    <w:rsid w:val="009E6B85"/>
    <w:rsid w:val="009F0B50"/>
    <w:rsid w:val="009F19A8"/>
    <w:rsid w:val="009F1ADE"/>
    <w:rsid w:val="009F320A"/>
    <w:rsid w:val="009F34DB"/>
    <w:rsid w:val="009F3837"/>
    <w:rsid w:val="009F5737"/>
    <w:rsid w:val="00A008C5"/>
    <w:rsid w:val="00A00DB4"/>
    <w:rsid w:val="00A00ECB"/>
    <w:rsid w:val="00A0178E"/>
    <w:rsid w:val="00A021B4"/>
    <w:rsid w:val="00A03420"/>
    <w:rsid w:val="00A04787"/>
    <w:rsid w:val="00A0509A"/>
    <w:rsid w:val="00A0537E"/>
    <w:rsid w:val="00A06A43"/>
    <w:rsid w:val="00A07E39"/>
    <w:rsid w:val="00A07FE7"/>
    <w:rsid w:val="00A10EA4"/>
    <w:rsid w:val="00A1159D"/>
    <w:rsid w:val="00A14F33"/>
    <w:rsid w:val="00A15024"/>
    <w:rsid w:val="00A16259"/>
    <w:rsid w:val="00A1697C"/>
    <w:rsid w:val="00A169CE"/>
    <w:rsid w:val="00A23D2E"/>
    <w:rsid w:val="00A24170"/>
    <w:rsid w:val="00A30BF1"/>
    <w:rsid w:val="00A3174E"/>
    <w:rsid w:val="00A31ED7"/>
    <w:rsid w:val="00A326C8"/>
    <w:rsid w:val="00A32718"/>
    <w:rsid w:val="00A33104"/>
    <w:rsid w:val="00A351DA"/>
    <w:rsid w:val="00A35F0A"/>
    <w:rsid w:val="00A37841"/>
    <w:rsid w:val="00A43D8E"/>
    <w:rsid w:val="00A45612"/>
    <w:rsid w:val="00A4587E"/>
    <w:rsid w:val="00A45A1B"/>
    <w:rsid w:val="00A461B1"/>
    <w:rsid w:val="00A46FBF"/>
    <w:rsid w:val="00A50332"/>
    <w:rsid w:val="00A5090A"/>
    <w:rsid w:val="00A51F1D"/>
    <w:rsid w:val="00A53218"/>
    <w:rsid w:val="00A54D78"/>
    <w:rsid w:val="00A556F2"/>
    <w:rsid w:val="00A57363"/>
    <w:rsid w:val="00A57BB4"/>
    <w:rsid w:val="00A6013B"/>
    <w:rsid w:val="00A60639"/>
    <w:rsid w:val="00A61082"/>
    <w:rsid w:val="00A6139A"/>
    <w:rsid w:val="00A63AC5"/>
    <w:rsid w:val="00A64272"/>
    <w:rsid w:val="00A65167"/>
    <w:rsid w:val="00A6671A"/>
    <w:rsid w:val="00A66DFA"/>
    <w:rsid w:val="00A670E8"/>
    <w:rsid w:val="00A70297"/>
    <w:rsid w:val="00A70668"/>
    <w:rsid w:val="00A70C4F"/>
    <w:rsid w:val="00A72CC0"/>
    <w:rsid w:val="00A75CEE"/>
    <w:rsid w:val="00A76BDD"/>
    <w:rsid w:val="00A77763"/>
    <w:rsid w:val="00A80324"/>
    <w:rsid w:val="00A8060B"/>
    <w:rsid w:val="00A80A7D"/>
    <w:rsid w:val="00A83198"/>
    <w:rsid w:val="00A84748"/>
    <w:rsid w:val="00A864C8"/>
    <w:rsid w:val="00A874B2"/>
    <w:rsid w:val="00A876FF"/>
    <w:rsid w:val="00A9004E"/>
    <w:rsid w:val="00A9018A"/>
    <w:rsid w:val="00A914FC"/>
    <w:rsid w:val="00A92798"/>
    <w:rsid w:val="00A93C7D"/>
    <w:rsid w:val="00A9755C"/>
    <w:rsid w:val="00A97E65"/>
    <w:rsid w:val="00AA284C"/>
    <w:rsid w:val="00AA292B"/>
    <w:rsid w:val="00AA3751"/>
    <w:rsid w:val="00AA4021"/>
    <w:rsid w:val="00AA6837"/>
    <w:rsid w:val="00AA77CE"/>
    <w:rsid w:val="00AB1F7B"/>
    <w:rsid w:val="00AB5148"/>
    <w:rsid w:val="00AB73C6"/>
    <w:rsid w:val="00AC2EE9"/>
    <w:rsid w:val="00AC475E"/>
    <w:rsid w:val="00AC68E3"/>
    <w:rsid w:val="00AC6AF1"/>
    <w:rsid w:val="00AC768B"/>
    <w:rsid w:val="00AD00DA"/>
    <w:rsid w:val="00AD1B34"/>
    <w:rsid w:val="00AD2BFF"/>
    <w:rsid w:val="00AD2F46"/>
    <w:rsid w:val="00AD439F"/>
    <w:rsid w:val="00AD4472"/>
    <w:rsid w:val="00AD5037"/>
    <w:rsid w:val="00AD5101"/>
    <w:rsid w:val="00AD516C"/>
    <w:rsid w:val="00AD667F"/>
    <w:rsid w:val="00AD6FB2"/>
    <w:rsid w:val="00AE1BF8"/>
    <w:rsid w:val="00AE2B02"/>
    <w:rsid w:val="00AE35AE"/>
    <w:rsid w:val="00AE3D6A"/>
    <w:rsid w:val="00AE4BFC"/>
    <w:rsid w:val="00AE4D7E"/>
    <w:rsid w:val="00AE57DE"/>
    <w:rsid w:val="00AF0DEE"/>
    <w:rsid w:val="00AF1221"/>
    <w:rsid w:val="00AF3A94"/>
    <w:rsid w:val="00AF568C"/>
    <w:rsid w:val="00AF5F9A"/>
    <w:rsid w:val="00AF6D49"/>
    <w:rsid w:val="00B00FB4"/>
    <w:rsid w:val="00B01A63"/>
    <w:rsid w:val="00B01CCA"/>
    <w:rsid w:val="00B03879"/>
    <w:rsid w:val="00B04AC2"/>
    <w:rsid w:val="00B04D16"/>
    <w:rsid w:val="00B06053"/>
    <w:rsid w:val="00B06FB5"/>
    <w:rsid w:val="00B07F08"/>
    <w:rsid w:val="00B101C6"/>
    <w:rsid w:val="00B10411"/>
    <w:rsid w:val="00B10939"/>
    <w:rsid w:val="00B11301"/>
    <w:rsid w:val="00B1274A"/>
    <w:rsid w:val="00B12BF6"/>
    <w:rsid w:val="00B12E93"/>
    <w:rsid w:val="00B1433B"/>
    <w:rsid w:val="00B166D3"/>
    <w:rsid w:val="00B22776"/>
    <w:rsid w:val="00B22A8C"/>
    <w:rsid w:val="00B22ABA"/>
    <w:rsid w:val="00B231A9"/>
    <w:rsid w:val="00B23FA5"/>
    <w:rsid w:val="00B24708"/>
    <w:rsid w:val="00B25257"/>
    <w:rsid w:val="00B31308"/>
    <w:rsid w:val="00B32A03"/>
    <w:rsid w:val="00B33272"/>
    <w:rsid w:val="00B33540"/>
    <w:rsid w:val="00B33A17"/>
    <w:rsid w:val="00B34E90"/>
    <w:rsid w:val="00B35742"/>
    <w:rsid w:val="00B40735"/>
    <w:rsid w:val="00B444E3"/>
    <w:rsid w:val="00B44AF4"/>
    <w:rsid w:val="00B44B46"/>
    <w:rsid w:val="00B460A7"/>
    <w:rsid w:val="00B526D3"/>
    <w:rsid w:val="00B52A76"/>
    <w:rsid w:val="00B542AE"/>
    <w:rsid w:val="00B56992"/>
    <w:rsid w:val="00B577AE"/>
    <w:rsid w:val="00B61E9C"/>
    <w:rsid w:val="00B627AE"/>
    <w:rsid w:val="00B63B5E"/>
    <w:rsid w:val="00B67C4A"/>
    <w:rsid w:val="00B703A9"/>
    <w:rsid w:val="00B82A3B"/>
    <w:rsid w:val="00B82C0B"/>
    <w:rsid w:val="00B830BC"/>
    <w:rsid w:val="00B84649"/>
    <w:rsid w:val="00B8627C"/>
    <w:rsid w:val="00B86EA5"/>
    <w:rsid w:val="00B911E6"/>
    <w:rsid w:val="00B920F2"/>
    <w:rsid w:val="00B92657"/>
    <w:rsid w:val="00B94659"/>
    <w:rsid w:val="00B96B71"/>
    <w:rsid w:val="00B96BEF"/>
    <w:rsid w:val="00B97CB3"/>
    <w:rsid w:val="00BA025E"/>
    <w:rsid w:val="00BA1280"/>
    <w:rsid w:val="00BA1793"/>
    <w:rsid w:val="00BA1F8B"/>
    <w:rsid w:val="00BA2666"/>
    <w:rsid w:val="00BA32FA"/>
    <w:rsid w:val="00BA3B64"/>
    <w:rsid w:val="00BA4FB3"/>
    <w:rsid w:val="00BA54A3"/>
    <w:rsid w:val="00BA5FD4"/>
    <w:rsid w:val="00BA62B9"/>
    <w:rsid w:val="00BA65B7"/>
    <w:rsid w:val="00BA78DD"/>
    <w:rsid w:val="00BB1039"/>
    <w:rsid w:val="00BB397B"/>
    <w:rsid w:val="00BB412D"/>
    <w:rsid w:val="00BB4AE3"/>
    <w:rsid w:val="00BB4B5E"/>
    <w:rsid w:val="00BB61A0"/>
    <w:rsid w:val="00BB64F7"/>
    <w:rsid w:val="00BB75FA"/>
    <w:rsid w:val="00BC0417"/>
    <w:rsid w:val="00BC05CD"/>
    <w:rsid w:val="00BC1551"/>
    <w:rsid w:val="00BC28EB"/>
    <w:rsid w:val="00BC3BC0"/>
    <w:rsid w:val="00BC4837"/>
    <w:rsid w:val="00BC4EA9"/>
    <w:rsid w:val="00BC534B"/>
    <w:rsid w:val="00BD242B"/>
    <w:rsid w:val="00BD63E3"/>
    <w:rsid w:val="00BD6A98"/>
    <w:rsid w:val="00BD768F"/>
    <w:rsid w:val="00BE0D40"/>
    <w:rsid w:val="00BE17EF"/>
    <w:rsid w:val="00BE188D"/>
    <w:rsid w:val="00BE27CB"/>
    <w:rsid w:val="00BE2D4B"/>
    <w:rsid w:val="00BE3A5F"/>
    <w:rsid w:val="00BE45F3"/>
    <w:rsid w:val="00BE5D66"/>
    <w:rsid w:val="00BE6512"/>
    <w:rsid w:val="00BE6D1C"/>
    <w:rsid w:val="00BE6EBB"/>
    <w:rsid w:val="00BE6F52"/>
    <w:rsid w:val="00BF0BFB"/>
    <w:rsid w:val="00BF1F91"/>
    <w:rsid w:val="00BF6586"/>
    <w:rsid w:val="00BF7B0F"/>
    <w:rsid w:val="00BF7D2A"/>
    <w:rsid w:val="00C01DCA"/>
    <w:rsid w:val="00C0235C"/>
    <w:rsid w:val="00C03924"/>
    <w:rsid w:val="00C03961"/>
    <w:rsid w:val="00C04FFB"/>
    <w:rsid w:val="00C055E1"/>
    <w:rsid w:val="00C10DF9"/>
    <w:rsid w:val="00C12E61"/>
    <w:rsid w:val="00C1337D"/>
    <w:rsid w:val="00C135FA"/>
    <w:rsid w:val="00C16B83"/>
    <w:rsid w:val="00C16D30"/>
    <w:rsid w:val="00C16ED6"/>
    <w:rsid w:val="00C20343"/>
    <w:rsid w:val="00C2071D"/>
    <w:rsid w:val="00C21CCD"/>
    <w:rsid w:val="00C21E25"/>
    <w:rsid w:val="00C22075"/>
    <w:rsid w:val="00C22D40"/>
    <w:rsid w:val="00C253A1"/>
    <w:rsid w:val="00C26795"/>
    <w:rsid w:val="00C26815"/>
    <w:rsid w:val="00C268AC"/>
    <w:rsid w:val="00C26B8E"/>
    <w:rsid w:val="00C27979"/>
    <w:rsid w:val="00C27B9C"/>
    <w:rsid w:val="00C3054A"/>
    <w:rsid w:val="00C330E1"/>
    <w:rsid w:val="00C34832"/>
    <w:rsid w:val="00C34A04"/>
    <w:rsid w:val="00C34C7D"/>
    <w:rsid w:val="00C35FF4"/>
    <w:rsid w:val="00C36FB0"/>
    <w:rsid w:val="00C3756C"/>
    <w:rsid w:val="00C37973"/>
    <w:rsid w:val="00C37FE5"/>
    <w:rsid w:val="00C40093"/>
    <w:rsid w:val="00C41E50"/>
    <w:rsid w:val="00C41ECE"/>
    <w:rsid w:val="00C4207E"/>
    <w:rsid w:val="00C46FDB"/>
    <w:rsid w:val="00C50494"/>
    <w:rsid w:val="00C51756"/>
    <w:rsid w:val="00C5446C"/>
    <w:rsid w:val="00C5462F"/>
    <w:rsid w:val="00C5483D"/>
    <w:rsid w:val="00C56537"/>
    <w:rsid w:val="00C57396"/>
    <w:rsid w:val="00C60F81"/>
    <w:rsid w:val="00C6150C"/>
    <w:rsid w:val="00C6157E"/>
    <w:rsid w:val="00C616BD"/>
    <w:rsid w:val="00C65649"/>
    <w:rsid w:val="00C70157"/>
    <w:rsid w:val="00C70C90"/>
    <w:rsid w:val="00C71D70"/>
    <w:rsid w:val="00C734A0"/>
    <w:rsid w:val="00C73D6B"/>
    <w:rsid w:val="00C7459D"/>
    <w:rsid w:val="00C74C1A"/>
    <w:rsid w:val="00C74FE8"/>
    <w:rsid w:val="00C751DA"/>
    <w:rsid w:val="00C76469"/>
    <w:rsid w:val="00C77E81"/>
    <w:rsid w:val="00C809DC"/>
    <w:rsid w:val="00C81074"/>
    <w:rsid w:val="00C820CB"/>
    <w:rsid w:val="00C8224E"/>
    <w:rsid w:val="00C831BD"/>
    <w:rsid w:val="00C837EC"/>
    <w:rsid w:val="00C8481C"/>
    <w:rsid w:val="00C854A6"/>
    <w:rsid w:val="00C855FB"/>
    <w:rsid w:val="00C85898"/>
    <w:rsid w:val="00C91092"/>
    <w:rsid w:val="00C91A10"/>
    <w:rsid w:val="00C927DD"/>
    <w:rsid w:val="00C93C26"/>
    <w:rsid w:val="00C949A1"/>
    <w:rsid w:val="00C94A27"/>
    <w:rsid w:val="00C94ED9"/>
    <w:rsid w:val="00C96385"/>
    <w:rsid w:val="00C96D38"/>
    <w:rsid w:val="00C97583"/>
    <w:rsid w:val="00CA2794"/>
    <w:rsid w:val="00CA355C"/>
    <w:rsid w:val="00CA42E5"/>
    <w:rsid w:val="00CA461B"/>
    <w:rsid w:val="00CA6F93"/>
    <w:rsid w:val="00CB0523"/>
    <w:rsid w:val="00CB0F1E"/>
    <w:rsid w:val="00CB1419"/>
    <w:rsid w:val="00CB20D9"/>
    <w:rsid w:val="00CB2AB4"/>
    <w:rsid w:val="00CB5D9C"/>
    <w:rsid w:val="00CB75E7"/>
    <w:rsid w:val="00CB781E"/>
    <w:rsid w:val="00CC1422"/>
    <w:rsid w:val="00CC25CF"/>
    <w:rsid w:val="00CC2819"/>
    <w:rsid w:val="00CC366A"/>
    <w:rsid w:val="00CC40D7"/>
    <w:rsid w:val="00CC623D"/>
    <w:rsid w:val="00CC77CC"/>
    <w:rsid w:val="00CC794D"/>
    <w:rsid w:val="00CC7CE7"/>
    <w:rsid w:val="00CD12E9"/>
    <w:rsid w:val="00CD1C54"/>
    <w:rsid w:val="00CD326F"/>
    <w:rsid w:val="00CD3AD8"/>
    <w:rsid w:val="00CD3AE0"/>
    <w:rsid w:val="00CD5BBE"/>
    <w:rsid w:val="00CD6404"/>
    <w:rsid w:val="00CD7323"/>
    <w:rsid w:val="00CD7995"/>
    <w:rsid w:val="00CE0256"/>
    <w:rsid w:val="00CE3555"/>
    <w:rsid w:val="00CE4FA6"/>
    <w:rsid w:val="00CE731E"/>
    <w:rsid w:val="00CF084A"/>
    <w:rsid w:val="00CF124F"/>
    <w:rsid w:val="00CF1700"/>
    <w:rsid w:val="00CF31CA"/>
    <w:rsid w:val="00CF3B71"/>
    <w:rsid w:val="00CF6C2C"/>
    <w:rsid w:val="00CF7FBB"/>
    <w:rsid w:val="00D01B0F"/>
    <w:rsid w:val="00D02206"/>
    <w:rsid w:val="00D034D5"/>
    <w:rsid w:val="00D047AD"/>
    <w:rsid w:val="00D05546"/>
    <w:rsid w:val="00D05EBB"/>
    <w:rsid w:val="00D07650"/>
    <w:rsid w:val="00D10028"/>
    <w:rsid w:val="00D10CD8"/>
    <w:rsid w:val="00D10E80"/>
    <w:rsid w:val="00D143A9"/>
    <w:rsid w:val="00D162E7"/>
    <w:rsid w:val="00D1635C"/>
    <w:rsid w:val="00D1774E"/>
    <w:rsid w:val="00D17EF1"/>
    <w:rsid w:val="00D23A73"/>
    <w:rsid w:val="00D24E0E"/>
    <w:rsid w:val="00D30344"/>
    <w:rsid w:val="00D3141A"/>
    <w:rsid w:val="00D31EA9"/>
    <w:rsid w:val="00D33164"/>
    <w:rsid w:val="00D33369"/>
    <w:rsid w:val="00D33380"/>
    <w:rsid w:val="00D34428"/>
    <w:rsid w:val="00D37E5E"/>
    <w:rsid w:val="00D405A8"/>
    <w:rsid w:val="00D407BC"/>
    <w:rsid w:val="00D40FFF"/>
    <w:rsid w:val="00D43088"/>
    <w:rsid w:val="00D43F2D"/>
    <w:rsid w:val="00D44D76"/>
    <w:rsid w:val="00D459B1"/>
    <w:rsid w:val="00D47B17"/>
    <w:rsid w:val="00D51FDE"/>
    <w:rsid w:val="00D557DF"/>
    <w:rsid w:val="00D55F22"/>
    <w:rsid w:val="00D57360"/>
    <w:rsid w:val="00D6049C"/>
    <w:rsid w:val="00D60960"/>
    <w:rsid w:val="00D6245D"/>
    <w:rsid w:val="00D64637"/>
    <w:rsid w:val="00D67592"/>
    <w:rsid w:val="00D70B77"/>
    <w:rsid w:val="00D71A25"/>
    <w:rsid w:val="00D724FE"/>
    <w:rsid w:val="00D73763"/>
    <w:rsid w:val="00D73EE2"/>
    <w:rsid w:val="00D76190"/>
    <w:rsid w:val="00D768CD"/>
    <w:rsid w:val="00D80EAA"/>
    <w:rsid w:val="00D82674"/>
    <w:rsid w:val="00D82B02"/>
    <w:rsid w:val="00D85029"/>
    <w:rsid w:val="00D8507B"/>
    <w:rsid w:val="00D8591F"/>
    <w:rsid w:val="00D86F1C"/>
    <w:rsid w:val="00D87099"/>
    <w:rsid w:val="00D87E77"/>
    <w:rsid w:val="00D91CD7"/>
    <w:rsid w:val="00D91F86"/>
    <w:rsid w:val="00D92784"/>
    <w:rsid w:val="00D92AC5"/>
    <w:rsid w:val="00D93095"/>
    <w:rsid w:val="00D93E0C"/>
    <w:rsid w:val="00D9473E"/>
    <w:rsid w:val="00D97038"/>
    <w:rsid w:val="00D97D2B"/>
    <w:rsid w:val="00D97F1C"/>
    <w:rsid w:val="00DA1276"/>
    <w:rsid w:val="00DA161F"/>
    <w:rsid w:val="00DA1E2F"/>
    <w:rsid w:val="00DA1ECF"/>
    <w:rsid w:val="00DA71EB"/>
    <w:rsid w:val="00DB068E"/>
    <w:rsid w:val="00DB44B5"/>
    <w:rsid w:val="00DB4853"/>
    <w:rsid w:val="00DB5A45"/>
    <w:rsid w:val="00DB5D3A"/>
    <w:rsid w:val="00DC05A2"/>
    <w:rsid w:val="00DC0CE4"/>
    <w:rsid w:val="00DC1147"/>
    <w:rsid w:val="00DC56AA"/>
    <w:rsid w:val="00DC7B9F"/>
    <w:rsid w:val="00DD0734"/>
    <w:rsid w:val="00DD084E"/>
    <w:rsid w:val="00DD21C9"/>
    <w:rsid w:val="00DD3092"/>
    <w:rsid w:val="00DD4080"/>
    <w:rsid w:val="00DD4F23"/>
    <w:rsid w:val="00DD7613"/>
    <w:rsid w:val="00DD7717"/>
    <w:rsid w:val="00DE06B7"/>
    <w:rsid w:val="00DE1894"/>
    <w:rsid w:val="00DE2006"/>
    <w:rsid w:val="00DE216E"/>
    <w:rsid w:val="00DE2EEF"/>
    <w:rsid w:val="00DE2EF0"/>
    <w:rsid w:val="00DE3BEF"/>
    <w:rsid w:val="00DE584E"/>
    <w:rsid w:val="00DE5B0D"/>
    <w:rsid w:val="00DE65CF"/>
    <w:rsid w:val="00DE669F"/>
    <w:rsid w:val="00DF0EFC"/>
    <w:rsid w:val="00DF23A6"/>
    <w:rsid w:val="00DF2F6F"/>
    <w:rsid w:val="00DF3476"/>
    <w:rsid w:val="00DF61B2"/>
    <w:rsid w:val="00DF65D7"/>
    <w:rsid w:val="00DF660E"/>
    <w:rsid w:val="00E00BFF"/>
    <w:rsid w:val="00E034C7"/>
    <w:rsid w:val="00E04882"/>
    <w:rsid w:val="00E10776"/>
    <w:rsid w:val="00E10D06"/>
    <w:rsid w:val="00E10EFB"/>
    <w:rsid w:val="00E14215"/>
    <w:rsid w:val="00E1470B"/>
    <w:rsid w:val="00E16DF2"/>
    <w:rsid w:val="00E20108"/>
    <w:rsid w:val="00E20906"/>
    <w:rsid w:val="00E2158C"/>
    <w:rsid w:val="00E21EC6"/>
    <w:rsid w:val="00E222BF"/>
    <w:rsid w:val="00E22A31"/>
    <w:rsid w:val="00E2307F"/>
    <w:rsid w:val="00E23C8F"/>
    <w:rsid w:val="00E24688"/>
    <w:rsid w:val="00E2688E"/>
    <w:rsid w:val="00E31ADC"/>
    <w:rsid w:val="00E3481C"/>
    <w:rsid w:val="00E34927"/>
    <w:rsid w:val="00E355D9"/>
    <w:rsid w:val="00E362A6"/>
    <w:rsid w:val="00E4040B"/>
    <w:rsid w:val="00E42887"/>
    <w:rsid w:val="00E4344B"/>
    <w:rsid w:val="00E43639"/>
    <w:rsid w:val="00E4448D"/>
    <w:rsid w:val="00E45597"/>
    <w:rsid w:val="00E4697F"/>
    <w:rsid w:val="00E50028"/>
    <w:rsid w:val="00E50674"/>
    <w:rsid w:val="00E51992"/>
    <w:rsid w:val="00E52B33"/>
    <w:rsid w:val="00E53BEF"/>
    <w:rsid w:val="00E541CD"/>
    <w:rsid w:val="00E54D90"/>
    <w:rsid w:val="00E55093"/>
    <w:rsid w:val="00E5729A"/>
    <w:rsid w:val="00E574D1"/>
    <w:rsid w:val="00E60A34"/>
    <w:rsid w:val="00E61E1D"/>
    <w:rsid w:val="00E641E8"/>
    <w:rsid w:val="00E644E2"/>
    <w:rsid w:val="00E64CF5"/>
    <w:rsid w:val="00E664D9"/>
    <w:rsid w:val="00E666C8"/>
    <w:rsid w:val="00E7042E"/>
    <w:rsid w:val="00E71636"/>
    <w:rsid w:val="00E75AC9"/>
    <w:rsid w:val="00E75DF3"/>
    <w:rsid w:val="00E7615B"/>
    <w:rsid w:val="00E813ED"/>
    <w:rsid w:val="00E83CF0"/>
    <w:rsid w:val="00E87391"/>
    <w:rsid w:val="00E9018A"/>
    <w:rsid w:val="00E93680"/>
    <w:rsid w:val="00E9566F"/>
    <w:rsid w:val="00E96C49"/>
    <w:rsid w:val="00E9776F"/>
    <w:rsid w:val="00EA443A"/>
    <w:rsid w:val="00EA6FB3"/>
    <w:rsid w:val="00EA7C6E"/>
    <w:rsid w:val="00EB03A7"/>
    <w:rsid w:val="00EB4261"/>
    <w:rsid w:val="00EB586F"/>
    <w:rsid w:val="00EB6173"/>
    <w:rsid w:val="00EB66A9"/>
    <w:rsid w:val="00EB789D"/>
    <w:rsid w:val="00EC009D"/>
    <w:rsid w:val="00EC0FDD"/>
    <w:rsid w:val="00EC1934"/>
    <w:rsid w:val="00EC1F0E"/>
    <w:rsid w:val="00EC2FA1"/>
    <w:rsid w:val="00EC40E8"/>
    <w:rsid w:val="00EC66B3"/>
    <w:rsid w:val="00EC6823"/>
    <w:rsid w:val="00EC735D"/>
    <w:rsid w:val="00ED03F0"/>
    <w:rsid w:val="00ED2E86"/>
    <w:rsid w:val="00ED3A2F"/>
    <w:rsid w:val="00ED42B9"/>
    <w:rsid w:val="00ED4313"/>
    <w:rsid w:val="00ED5B21"/>
    <w:rsid w:val="00ED6EEB"/>
    <w:rsid w:val="00ED75C3"/>
    <w:rsid w:val="00EE01A0"/>
    <w:rsid w:val="00EE04E8"/>
    <w:rsid w:val="00EE4FAB"/>
    <w:rsid w:val="00EE5679"/>
    <w:rsid w:val="00EE6304"/>
    <w:rsid w:val="00EE67CC"/>
    <w:rsid w:val="00EE6835"/>
    <w:rsid w:val="00EE6DDB"/>
    <w:rsid w:val="00EE7290"/>
    <w:rsid w:val="00EE74BE"/>
    <w:rsid w:val="00EF04B5"/>
    <w:rsid w:val="00EF07EE"/>
    <w:rsid w:val="00EF1B5C"/>
    <w:rsid w:val="00EF2729"/>
    <w:rsid w:val="00EF2AE4"/>
    <w:rsid w:val="00EF3226"/>
    <w:rsid w:val="00EF46DF"/>
    <w:rsid w:val="00EF4944"/>
    <w:rsid w:val="00EF54F0"/>
    <w:rsid w:val="00EF5D68"/>
    <w:rsid w:val="00F00500"/>
    <w:rsid w:val="00F00AAF"/>
    <w:rsid w:val="00F027A0"/>
    <w:rsid w:val="00F0550D"/>
    <w:rsid w:val="00F05552"/>
    <w:rsid w:val="00F07351"/>
    <w:rsid w:val="00F07BED"/>
    <w:rsid w:val="00F07DBE"/>
    <w:rsid w:val="00F103AC"/>
    <w:rsid w:val="00F1102B"/>
    <w:rsid w:val="00F11FB6"/>
    <w:rsid w:val="00F167DD"/>
    <w:rsid w:val="00F16FFA"/>
    <w:rsid w:val="00F20708"/>
    <w:rsid w:val="00F210D4"/>
    <w:rsid w:val="00F226BD"/>
    <w:rsid w:val="00F22E49"/>
    <w:rsid w:val="00F23C27"/>
    <w:rsid w:val="00F24118"/>
    <w:rsid w:val="00F24208"/>
    <w:rsid w:val="00F26A35"/>
    <w:rsid w:val="00F27152"/>
    <w:rsid w:val="00F27639"/>
    <w:rsid w:val="00F309A6"/>
    <w:rsid w:val="00F3141C"/>
    <w:rsid w:val="00F314EE"/>
    <w:rsid w:val="00F3154E"/>
    <w:rsid w:val="00F31FFA"/>
    <w:rsid w:val="00F3219E"/>
    <w:rsid w:val="00F336DC"/>
    <w:rsid w:val="00F345E7"/>
    <w:rsid w:val="00F3623F"/>
    <w:rsid w:val="00F370B1"/>
    <w:rsid w:val="00F42625"/>
    <w:rsid w:val="00F42C5B"/>
    <w:rsid w:val="00F43957"/>
    <w:rsid w:val="00F46AAE"/>
    <w:rsid w:val="00F50A9D"/>
    <w:rsid w:val="00F51617"/>
    <w:rsid w:val="00F54E13"/>
    <w:rsid w:val="00F55F96"/>
    <w:rsid w:val="00F564D2"/>
    <w:rsid w:val="00F5774F"/>
    <w:rsid w:val="00F57C58"/>
    <w:rsid w:val="00F57D24"/>
    <w:rsid w:val="00F61954"/>
    <w:rsid w:val="00F6240B"/>
    <w:rsid w:val="00F64E8F"/>
    <w:rsid w:val="00F65A75"/>
    <w:rsid w:val="00F66F96"/>
    <w:rsid w:val="00F7077B"/>
    <w:rsid w:val="00F72695"/>
    <w:rsid w:val="00F72E5F"/>
    <w:rsid w:val="00F730A2"/>
    <w:rsid w:val="00F7552C"/>
    <w:rsid w:val="00F75D04"/>
    <w:rsid w:val="00F762C4"/>
    <w:rsid w:val="00F776CD"/>
    <w:rsid w:val="00F80165"/>
    <w:rsid w:val="00F805A7"/>
    <w:rsid w:val="00F8399D"/>
    <w:rsid w:val="00F83C64"/>
    <w:rsid w:val="00F8505E"/>
    <w:rsid w:val="00F8684D"/>
    <w:rsid w:val="00F9024E"/>
    <w:rsid w:val="00F9525E"/>
    <w:rsid w:val="00F95924"/>
    <w:rsid w:val="00F96060"/>
    <w:rsid w:val="00F969A5"/>
    <w:rsid w:val="00F97D82"/>
    <w:rsid w:val="00FA21EE"/>
    <w:rsid w:val="00FA34BB"/>
    <w:rsid w:val="00FA5ACA"/>
    <w:rsid w:val="00FA62BD"/>
    <w:rsid w:val="00FB1ADD"/>
    <w:rsid w:val="00FB2D46"/>
    <w:rsid w:val="00FB4532"/>
    <w:rsid w:val="00FB4A99"/>
    <w:rsid w:val="00FB546D"/>
    <w:rsid w:val="00FB6DE9"/>
    <w:rsid w:val="00FC17F9"/>
    <w:rsid w:val="00FC279F"/>
    <w:rsid w:val="00FC3082"/>
    <w:rsid w:val="00FC3DE9"/>
    <w:rsid w:val="00FD08A6"/>
    <w:rsid w:val="00FD11CA"/>
    <w:rsid w:val="00FD1CD4"/>
    <w:rsid w:val="00FD1E48"/>
    <w:rsid w:val="00FD2B8C"/>
    <w:rsid w:val="00FD32F3"/>
    <w:rsid w:val="00FD422F"/>
    <w:rsid w:val="00FD5F94"/>
    <w:rsid w:val="00FD79C5"/>
    <w:rsid w:val="00FE0868"/>
    <w:rsid w:val="00FE1CE9"/>
    <w:rsid w:val="00FE2530"/>
    <w:rsid w:val="00FE25EE"/>
    <w:rsid w:val="00FE44AA"/>
    <w:rsid w:val="00FE678E"/>
    <w:rsid w:val="00FE6A5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D47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 w:id="276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stephen.blumberg@cdc.hhs.gov" TargetMode="External"/><Relationship Id="rId26" Type="http://schemas.openxmlformats.org/officeDocument/2006/relationships/hyperlink" Target="mailto:jwest@mathematica-mpr.com" TargetMode="External"/><Relationship Id="rId3" Type="http://schemas.openxmlformats.org/officeDocument/2006/relationships/styles" Target="styles.xml"/><Relationship Id="rId21" Type="http://schemas.openxmlformats.org/officeDocument/2006/relationships/hyperlink" Target="mailto:bgroves@isr.umich.edu" TargetMode="External"/><Relationship Id="rId34" Type="http://schemas.openxmlformats.org/officeDocument/2006/relationships/hyperlink" Target="mailto:lawrence.aber@nyu.ed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hnny_Blair@AbtAssoc.com" TargetMode="External"/><Relationship Id="rId25" Type="http://schemas.openxmlformats.org/officeDocument/2006/relationships/hyperlink" Target="mailto:willisg@mail.nih.gov" TargetMode="External"/><Relationship Id="rId33" Type="http://schemas.openxmlformats.org/officeDocument/2006/relationships/hyperlink" Target="mailto:jepstein@csos.jhu.edu" TargetMode="External"/><Relationship Id="rId2" Type="http://schemas.openxmlformats.org/officeDocument/2006/relationships/numbering" Target="numbering.xml"/><Relationship Id="rId16" Type="http://schemas.openxmlformats.org/officeDocument/2006/relationships/hyperlink" Target="mailto:pbeatty@cdc.gov" TargetMode="External"/><Relationship Id="rId20" Type="http://schemas.openxmlformats.org/officeDocument/2006/relationships/hyperlink" Target="mailto:dillman@wsu.edu" TargetMode="External"/><Relationship Id="rId29" Type="http://schemas.openxmlformats.org/officeDocument/2006/relationships/hyperlink" Target="mailto:ivelisse.martinezbeck@acf.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RTourango@survey.umd.edu" TargetMode="External"/><Relationship Id="rId32" Type="http://schemas.openxmlformats.org/officeDocument/2006/relationships/hyperlink" Target="mailto:alareau@sas.upenn.ed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ancy.a.bates@census.gov" TargetMode="External"/><Relationship Id="rId23" Type="http://schemas.openxmlformats.org/officeDocument/2006/relationships/hyperlink" Target="mailto:kolson5@unl.edu" TargetMode="External"/><Relationship Id="rId28" Type="http://schemas.openxmlformats.org/officeDocument/2006/relationships/hyperlink" Target="mailto:rhaskins@brookings.edu"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couper@umich.edu" TargetMode="External"/><Relationship Id="rId31" Type="http://schemas.openxmlformats.org/officeDocument/2006/relationships/hyperlink" Target="mailto:brandon@u.washington.ed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nces.ed.gov/nhes" TargetMode="External"/><Relationship Id="rId22" Type="http://schemas.openxmlformats.org/officeDocument/2006/relationships/hyperlink" Target="mailto:skeeter@pewresearch.org" TargetMode="External"/><Relationship Id="rId27" Type="http://schemas.openxmlformats.org/officeDocument/2006/relationships/hyperlink" Target="mailto:Ann_Collins@abtassociates.com" TargetMode="External"/><Relationship Id="rId30" Type="http://schemas.openxmlformats.org/officeDocument/2006/relationships/hyperlink" Target="mailto:lynda.l.laughlin@census.gov" TargetMode="External"/><Relationship Id="rId35" Type="http://schemas.openxmlformats.org/officeDocument/2006/relationships/hyperlink" Target="http://www.bls.gov/news.release/ecec.t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E18D-2FAB-4411-929A-60A97C17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9231</Words>
  <Characters>52618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61726</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Kubzdela,Kashka</cp:lastModifiedBy>
  <cp:revision>8</cp:revision>
  <cp:lastPrinted>2013-09-27T13:51:00Z</cp:lastPrinted>
  <dcterms:created xsi:type="dcterms:W3CDTF">2015-07-22T19:04:00Z</dcterms:created>
  <dcterms:modified xsi:type="dcterms:W3CDTF">2015-07-23T16:19:00Z</dcterms:modified>
</cp:coreProperties>
</file>