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70137" w14:textId="2B42C2DA" w:rsidR="00017948" w:rsidRPr="00017948" w:rsidRDefault="00017948" w:rsidP="002C2FB6">
      <w:pPr>
        <w:spacing w:after="0"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150 FERC ¶ 61,031</w:t>
      </w:r>
    </w:p>
    <w:p w14:paraId="5DEFC660" w14:textId="77777777" w:rsidR="002B4D58" w:rsidRPr="004D2946" w:rsidRDefault="002B4D58" w:rsidP="002C2FB6">
      <w:pPr>
        <w:spacing w:after="0" w:line="240" w:lineRule="auto"/>
        <w:jc w:val="center"/>
        <w:rPr>
          <w:rFonts w:ascii="Times New Roman" w:hAnsi="Times New Roman" w:cs="Times New Roman"/>
          <w:sz w:val="26"/>
          <w:szCs w:val="26"/>
        </w:rPr>
      </w:pPr>
      <w:r w:rsidRPr="004D2946">
        <w:rPr>
          <w:rFonts w:ascii="Times New Roman" w:hAnsi="Times New Roman" w:cs="Times New Roman"/>
          <w:sz w:val="26"/>
          <w:szCs w:val="26"/>
        </w:rPr>
        <w:t>UNITED STATES OF AMERICA</w:t>
      </w:r>
    </w:p>
    <w:p w14:paraId="529A2A57" w14:textId="77777777" w:rsidR="002B4D58" w:rsidRPr="004D2946" w:rsidRDefault="002B4D58" w:rsidP="002C2FB6">
      <w:pPr>
        <w:spacing w:after="0" w:line="240" w:lineRule="auto"/>
        <w:jc w:val="center"/>
        <w:rPr>
          <w:rFonts w:ascii="Times New Roman" w:hAnsi="Times New Roman" w:cs="Times New Roman"/>
          <w:sz w:val="26"/>
          <w:szCs w:val="26"/>
        </w:rPr>
      </w:pPr>
      <w:r w:rsidRPr="004D2946">
        <w:rPr>
          <w:rFonts w:ascii="Times New Roman" w:hAnsi="Times New Roman" w:cs="Times New Roman"/>
          <w:sz w:val="26"/>
          <w:szCs w:val="26"/>
        </w:rPr>
        <w:t>FEDERAL ENERGY REGULATORY COMMISSION</w:t>
      </w:r>
    </w:p>
    <w:p w14:paraId="7F5737CC" w14:textId="77777777" w:rsidR="002B4D58" w:rsidRPr="004D2946" w:rsidRDefault="002B4D58" w:rsidP="002C2FB6">
      <w:pPr>
        <w:spacing w:after="0" w:line="240" w:lineRule="auto"/>
        <w:jc w:val="center"/>
        <w:rPr>
          <w:rFonts w:ascii="Times New Roman" w:hAnsi="Times New Roman" w:cs="Times New Roman"/>
          <w:sz w:val="26"/>
          <w:szCs w:val="26"/>
        </w:rPr>
      </w:pPr>
    </w:p>
    <w:p w14:paraId="50049867" w14:textId="77777777" w:rsidR="002B4D58" w:rsidRPr="004D2946" w:rsidRDefault="002B4D58" w:rsidP="002C2FB6">
      <w:pPr>
        <w:spacing w:after="0" w:line="240" w:lineRule="auto"/>
        <w:jc w:val="center"/>
        <w:rPr>
          <w:rFonts w:ascii="Times New Roman" w:hAnsi="Times New Roman" w:cs="Times New Roman"/>
          <w:sz w:val="26"/>
          <w:szCs w:val="26"/>
        </w:rPr>
      </w:pPr>
      <w:r w:rsidRPr="004D2946">
        <w:rPr>
          <w:rFonts w:ascii="Times New Roman" w:hAnsi="Times New Roman" w:cs="Times New Roman"/>
          <w:sz w:val="26"/>
          <w:szCs w:val="26"/>
        </w:rPr>
        <w:t>18 CFR Part 33</w:t>
      </w:r>
    </w:p>
    <w:p w14:paraId="5B5774AB" w14:textId="77777777" w:rsidR="002B4D58" w:rsidRPr="004D2946" w:rsidRDefault="002B4D58" w:rsidP="002C2FB6">
      <w:pPr>
        <w:spacing w:after="0" w:line="240" w:lineRule="auto"/>
        <w:jc w:val="center"/>
        <w:rPr>
          <w:rFonts w:ascii="Times New Roman" w:hAnsi="Times New Roman" w:cs="Times New Roman"/>
          <w:sz w:val="26"/>
          <w:szCs w:val="26"/>
        </w:rPr>
      </w:pPr>
    </w:p>
    <w:p w14:paraId="4523A860" w14:textId="7FE7C23D" w:rsidR="002B4D58" w:rsidRPr="004D2946" w:rsidRDefault="002B4D58" w:rsidP="002C2FB6">
      <w:pPr>
        <w:spacing w:after="0" w:line="240" w:lineRule="auto"/>
        <w:jc w:val="center"/>
        <w:rPr>
          <w:rFonts w:ascii="Times New Roman" w:hAnsi="Times New Roman" w:cs="Times New Roman"/>
          <w:sz w:val="26"/>
          <w:szCs w:val="26"/>
        </w:rPr>
      </w:pPr>
      <w:r w:rsidRPr="004D2946">
        <w:rPr>
          <w:rFonts w:ascii="Times New Roman" w:hAnsi="Times New Roman" w:cs="Times New Roman"/>
          <w:sz w:val="26"/>
          <w:szCs w:val="26"/>
        </w:rPr>
        <w:t>Docket No. PL1</w:t>
      </w:r>
      <w:r w:rsidR="005776EF">
        <w:rPr>
          <w:rFonts w:ascii="Times New Roman" w:hAnsi="Times New Roman" w:cs="Times New Roman"/>
          <w:sz w:val="26"/>
          <w:szCs w:val="26"/>
        </w:rPr>
        <w:t>5</w:t>
      </w:r>
      <w:r w:rsidRPr="004D2946">
        <w:rPr>
          <w:rFonts w:ascii="Times New Roman" w:hAnsi="Times New Roman" w:cs="Times New Roman"/>
          <w:sz w:val="26"/>
          <w:szCs w:val="26"/>
        </w:rPr>
        <w:t>-</w:t>
      </w:r>
      <w:r w:rsidR="005776EF">
        <w:rPr>
          <w:rFonts w:ascii="Times New Roman" w:hAnsi="Times New Roman" w:cs="Times New Roman"/>
          <w:sz w:val="26"/>
          <w:szCs w:val="26"/>
        </w:rPr>
        <w:t>3</w:t>
      </w:r>
      <w:r w:rsidRPr="004D2946">
        <w:rPr>
          <w:rFonts w:ascii="Times New Roman" w:hAnsi="Times New Roman" w:cs="Times New Roman"/>
          <w:sz w:val="26"/>
          <w:szCs w:val="26"/>
        </w:rPr>
        <w:t>-000</w:t>
      </w:r>
    </w:p>
    <w:p w14:paraId="03FF4611" w14:textId="77777777" w:rsidR="002B4D58" w:rsidRPr="004D2946" w:rsidRDefault="002B4D58" w:rsidP="002C2FB6">
      <w:pPr>
        <w:spacing w:after="0" w:line="240" w:lineRule="auto"/>
        <w:jc w:val="center"/>
        <w:rPr>
          <w:rFonts w:ascii="Times New Roman" w:hAnsi="Times New Roman" w:cs="Times New Roman"/>
          <w:sz w:val="26"/>
          <w:szCs w:val="26"/>
        </w:rPr>
      </w:pPr>
    </w:p>
    <w:p w14:paraId="732FAFD2" w14:textId="7394940F" w:rsidR="002B4D58" w:rsidRPr="004D2946" w:rsidRDefault="005321EC" w:rsidP="002C2FB6">
      <w:pPr>
        <w:spacing w:after="0" w:line="240" w:lineRule="auto"/>
        <w:jc w:val="center"/>
        <w:rPr>
          <w:rFonts w:ascii="Times New Roman" w:hAnsi="Times New Roman" w:cs="Times New Roman"/>
          <w:sz w:val="26"/>
          <w:szCs w:val="26"/>
        </w:rPr>
      </w:pPr>
      <w:r w:rsidRPr="0028447D">
        <w:rPr>
          <w:rFonts w:ascii="Times New Roman" w:hAnsi="Times New Roman" w:cs="Times New Roman"/>
          <w:sz w:val="26"/>
          <w:szCs w:val="26"/>
        </w:rPr>
        <w:t>Policy Statement on Hold Harmless Commitments</w:t>
      </w:r>
    </w:p>
    <w:p w14:paraId="07790D98" w14:textId="77777777" w:rsidR="002B4D58" w:rsidRPr="004D2946" w:rsidRDefault="002B4D58" w:rsidP="002C2FB6">
      <w:pPr>
        <w:spacing w:after="0" w:line="240" w:lineRule="auto"/>
        <w:jc w:val="center"/>
        <w:rPr>
          <w:rFonts w:ascii="Times New Roman" w:hAnsi="Times New Roman" w:cs="Times New Roman"/>
          <w:sz w:val="26"/>
          <w:szCs w:val="26"/>
          <w:u w:val="single"/>
        </w:rPr>
      </w:pPr>
    </w:p>
    <w:p w14:paraId="4A0B2EE6" w14:textId="07CCA075" w:rsidR="002B4D58" w:rsidRDefault="00067802" w:rsidP="006552FA">
      <w:pPr>
        <w:spacing w:after="0" w:line="240" w:lineRule="auto"/>
        <w:jc w:val="center"/>
        <w:rPr>
          <w:rFonts w:ascii="Times New Roman" w:hAnsi="Times New Roman" w:cs="Times New Roman"/>
          <w:sz w:val="26"/>
          <w:szCs w:val="26"/>
        </w:rPr>
      </w:pPr>
      <w:r w:rsidRPr="00067802">
        <w:rPr>
          <w:rFonts w:ascii="Times New Roman" w:hAnsi="Times New Roman" w:cs="Times New Roman"/>
          <w:sz w:val="26"/>
          <w:szCs w:val="26"/>
        </w:rPr>
        <w:t>(Issued January 2</w:t>
      </w:r>
      <w:r>
        <w:rPr>
          <w:rFonts w:ascii="Times New Roman" w:hAnsi="Times New Roman" w:cs="Times New Roman"/>
          <w:sz w:val="26"/>
          <w:szCs w:val="26"/>
        </w:rPr>
        <w:t>2</w:t>
      </w:r>
      <w:r w:rsidRPr="00067802">
        <w:rPr>
          <w:rFonts w:ascii="Times New Roman" w:hAnsi="Times New Roman" w:cs="Times New Roman"/>
          <w:sz w:val="26"/>
          <w:szCs w:val="26"/>
        </w:rPr>
        <w:t>, 2015)</w:t>
      </w:r>
    </w:p>
    <w:p w14:paraId="2A130D9D" w14:textId="77777777" w:rsidR="002B4D58" w:rsidRPr="002C2FB6" w:rsidRDefault="002B4D58" w:rsidP="002B4D58">
      <w:pPr>
        <w:rPr>
          <w:rFonts w:ascii="Times New Roman" w:hAnsi="Times New Roman" w:cs="Times New Roman"/>
          <w:sz w:val="26"/>
          <w:szCs w:val="26"/>
          <w:u w:val="single"/>
        </w:rPr>
      </w:pPr>
    </w:p>
    <w:p w14:paraId="37FE14A1" w14:textId="77777777" w:rsidR="002B4D58" w:rsidRPr="002C2FB6" w:rsidRDefault="002B4D58" w:rsidP="006177F0">
      <w:pPr>
        <w:spacing w:after="0" w:line="480" w:lineRule="auto"/>
        <w:rPr>
          <w:rFonts w:ascii="Times New Roman" w:hAnsi="Times New Roman" w:cs="Times New Roman"/>
          <w:sz w:val="26"/>
          <w:szCs w:val="26"/>
        </w:rPr>
      </w:pPr>
      <w:r w:rsidRPr="002C2FB6">
        <w:rPr>
          <w:rFonts w:ascii="Times New Roman" w:hAnsi="Times New Roman" w:cs="Times New Roman"/>
          <w:sz w:val="26"/>
          <w:szCs w:val="26"/>
          <w:u w:val="single"/>
        </w:rPr>
        <w:t>AGENCY</w:t>
      </w:r>
      <w:r w:rsidRPr="002C2FB6">
        <w:rPr>
          <w:rFonts w:ascii="Times New Roman" w:hAnsi="Times New Roman" w:cs="Times New Roman"/>
          <w:sz w:val="26"/>
          <w:szCs w:val="26"/>
        </w:rPr>
        <w:t>:  Federal Energy Regulatory Commission.</w:t>
      </w:r>
    </w:p>
    <w:p w14:paraId="296A411A" w14:textId="77777777" w:rsidR="002B4D58" w:rsidRPr="002C2FB6" w:rsidRDefault="002B4D58" w:rsidP="006177F0">
      <w:pPr>
        <w:spacing w:after="0" w:line="480" w:lineRule="auto"/>
        <w:rPr>
          <w:rFonts w:ascii="Times New Roman" w:hAnsi="Times New Roman" w:cs="Times New Roman"/>
          <w:sz w:val="26"/>
          <w:szCs w:val="26"/>
        </w:rPr>
      </w:pPr>
      <w:r w:rsidRPr="002C2FB6">
        <w:rPr>
          <w:rFonts w:ascii="Times New Roman" w:hAnsi="Times New Roman" w:cs="Times New Roman"/>
          <w:sz w:val="26"/>
          <w:szCs w:val="26"/>
          <w:u w:val="single"/>
        </w:rPr>
        <w:t>ACTION</w:t>
      </w:r>
      <w:r w:rsidRPr="002C2FB6">
        <w:rPr>
          <w:rFonts w:ascii="Times New Roman" w:hAnsi="Times New Roman" w:cs="Times New Roman"/>
          <w:sz w:val="26"/>
          <w:szCs w:val="26"/>
        </w:rPr>
        <w:t>:  Proposed policy statement.</w:t>
      </w:r>
    </w:p>
    <w:p w14:paraId="6C504966" w14:textId="3FB55984" w:rsidR="002B4D58" w:rsidRPr="002C2FB6" w:rsidRDefault="002B4D58" w:rsidP="00CB06E5">
      <w:pPr>
        <w:pStyle w:val="FERCparanumber"/>
        <w:numPr>
          <w:ilvl w:val="0"/>
          <w:numId w:val="0"/>
        </w:numPr>
        <w:spacing w:after="0"/>
        <w:rPr>
          <w:rFonts w:cs="Times New Roman"/>
          <w:szCs w:val="26"/>
        </w:rPr>
      </w:pPr>
      <w:r w:rsidRPr="002C2FB6">
        <w:rPr>
          <w:rFonts w:cs="Times New Roman"/>
          <w:szCs w:val="26"/>
          <w:u w:val="single"/>
        </w:rPr>
        <w:t>SUMMARY</w:t>
      </w:r>
      <w:r w:rsidRPr="002C2FB6">
        <w:rPr>
          <w:rFonts w:cs="Times New Roman"/>
          <w:szCs w:val="26"/>
        </w:rPr>
        <w:t>:  The Commission proposes, as a statement of policy, the following clarifications regarding hold harmless commitments offered by applicants as ratepayer protection mechanism</w:t>
      </w:r>
      <w:r w:rsidR="00BE6F85" w:rsidRPr="002C2FB6">
        <w:rPr>
          <w:rFonts w:cs="Times New Roman"/>
          <w:szCs w:val="26"/>
        </w:rPr>
        <w:t>s</w:t>
      </w:r>
      <w:r w:rsidRPr="002C2FB6">
        <w:rPr>
          <w:rFonts w:cs="Times New Roman"/>
          <w:szCs w:val="26"/>
        </w:rPr>
        <w:t xml:space="preserve"> to mitigate adverse effects on rates that may result from transactions</w:t>
      </w:r>
      <w:r w:rsidR="00640C40" w:rsidRPr="002C2FB6">
        <w:rPr>
          <w:rFonts w:cs="Times New Roman"/>
          <w:szCs w:val="26"/>
        </w:rPr>
        <w:t xml:space="preserve"> </w:t>
      </w:r>
      <w:r w:rsidR="00877CD8" w:rsidRPr="002C2FB6">
        <w:rPr>
          <w:rFonts w:cs="Times New Roman"/>
          <w:szCs w:val="26"/>
        </w:rPr>
        <w:t>subject to section 203 of</w:t>
      </w:r>
      <w:r w:rsidRPr="002C2FB6">
        <w:rPr>
          <w:rFonts w:cs="Times New Roman"/>
          <w:szCs w:val="26"/>
        </w:rPr>
        <w:t xml:space="preserve"> the Federal Power Act</w:t>
      </w:r>
      <w:r w:rsidR="00AC2D18" w:rsidRPr="002C2FB6">
        <w:rPr>
          <w:rFonts w:cs="Times New Roman"/>
          <w:szCs w:val="26"/>
        </w:rPr>
        <w:t xml:space="preserve"> (FPA)</w:t>
      </w:r>
      <w:r w:rsidRPr="002C2FB6">
        <w:rPr>
          <w:rFonts w:cs="Times New Roman"/>
          <w:szCs w:val="26"/>
        </w:rPr>
        <w:t>.  First, the Commission proposes to clarify the scope and definition of th</w:t>
      </w:r>
      <w:r w:rsidR="004B58CC">
        <w:rPr>
          <w:rFonts w:cs="Times New Roman"/>
          <w:szCs w:val="26"/>
        </w:rPr>
        <w:t>e</w:t>
      </w:r>
      <w:r w:rsidRPr="002C2FB6">
        <w:rPr>
          <w:rFonts w:cs="Times New Roman"/>
          <w:szCs w:val="26"/>
        </w:rPr>
        <w:t xml:space="preserve"> costs that should be subject to hold harmless </w:t>
      </w:r>
      <w:r w:rsidRPr="00F73DC1">
        <w:rPr>
          <w:rFonts w:cs="Times New Roman"/>
          <w:szCs w:val="26"/>
        </w:rPr>
        <w:t>commitments.  Second</w:t>
      </w:r>
      <w:r w:rsidRPr="00D776F8">
        <w:rPr>
          <w:rFonts w:cs="Times New Roman"/>
          <w:szCs w:val="26"/>
        </w:rPr>
        <w:t xml:space="preserve">, </w:t>
      </w:r>
      <w:r w:rsidR="002E069D" w:rsidRPr="00D776F8">
        <w:rPr>
          <w:rFonts w:cs="Times New Roman"/>
          <w:szCs w:val="26"/>
        </w:rPr>
        <w:t>the Commission proposes to clarify that</w:t>
      </w:r>
      <w:r w:rsidR="002150A4" w:rsidRPr="00D776F8">
        <w:rPr>
          <w:rFonts w:cs="Times New Roman"/>
          <w:szCs w:val="26"/>
        </w:rPr>
        <w:t xml:space="preserve"> applicants offering hold harmless commitments must implement</w:t>
      </w:r>
      <w:r w:rsidR="002E069D" w:rsidRPr="00D776F8">
        <w:rPr>
          <w:rFonts w:cs="Times New Roman"/>
          <w:szCs w:val="26"/>
        </w:rPr>
        <w:t xml:space="preserve"> controls and procedures </w:t>
      </w:r>
      <w:r w:rsidR="002150A4" w:rsidRPr="00D776F8">
        <w:rPr>
          <w:rFonts w:cs="Times New Roman"/>
          <w:szCs w:val="26"/>
        </w:rPr>
        <w:t>to track th</w:t>
      </w:r>
      <w:r w:rsidR="004B58CC" w:rsidRPr="00D776F8">
        <w:rPr>
          <w:rFonts w:cs="Times New Roman"/>
          <w:szCs w:val="26"/>
        </w:rPr>
        <w:t>e</w:t>
      </w:r>
      <w:r w:rsidR="002150A4" w:rsidRPr="00D776F8">
        <w:rPr>
          <w:rFonts w:cs="Times New Roman"/>
          <w:szCs w:val="26"/>
        </w:rPr>
        <w:t xml:space="preserve"> costs from which customers will be held </w:t>
      </w:r>
      <w:r w:rsidR="002E069D" w:rsidRPr="00D776F8">
        <w:rPr>
          <w:rFonts w:cs="Times New Roman"/>
          <w:szCs w:val="26"/>
        </w:rPr>
        <w:t>harmless</w:t>
      </w:r>
      <w:r w:rsidR="004B58CC" w:rsidRPr="00D776F8">
        <w:rPr>
          <w:rFonts w:cs="Times New Roman"/>
          <w:szCs w:val="26"/>
        </w:rPr>
        <w:t>.  The Commission also proposes to clarify</w:t>
      </w:r>
      <w:r w:rsidR="00CE4F81" w:rsidRPr="00D776F8">
        <w:rPr>
          <w:rFonts w:cs="Times New Roman"/>
          <w:szCs w:val="26"/>
        </w:rPr>
        <w:t xml:space="preserve"> </w:t>
      </w:r>
      <w:r w:rsidR="002150A4" w:rsidRPr="00D776F8">
        <w:rPr>
          <w:rFonts w:cs="Times New Roman"/>
          <w:szCs w:val="26"/>
        </w:rPr>
        <w:t xml:space="preserve">the </w:t>
      </w:r>
      <w:r w:rsidR="00CE4F81" w:rsidRPr="00D776F8">
        <w:rPr>
          <w:rFonts w:cs="Times New Roman"/>
          <w:szCs w:val="26"/>
        </w:rPr>
        <w:t xml:space="preserve">types of </w:t>
      </w:r>
      <w:r w:rsidR="002150A4" w:rsidRPr="00D776F8">
        <w:rPr>
          <w:rFonts w:cs="Times New Roman"/>
          <w:szCs w:val="26"/>
        </w:rPr>
        <w:t>controls and procedures that applicants offering hold harmless commitments must implement.</w:t>
      </w:r>
      <w:r w:rsidR="000E06E5">
        <w:rPr>
          <w:rFonts w:cs="Times New Roman"/>
          <w:szCs w:val="26"/>
        </w:rPr>
        <w:t xml:space="preserve">  Third, the Commission proposes to no longer </w:t>
      </w:r>
      <w:r w:rsidR="00D6450A">
        <w:rPr>
          <w:rFonts w:cs="Times New Roman"/>
          <w:szCs w:val="26"/>
        </w:rPr>
        <w:t>accep</w:t>
      </w:r>
      <w:r w:rsidR="00F12DEA">
        <w:rPr>
          <w:rFonts w:cs="Times New Roman"/>
          <w:szCs w:val="26"/>
        </w:rPr>
        <w:t>t</w:t>
      </w:r>
      <w:r w:rsidR="000E06E5">
        <w:rPr>
          <w:rFonts w:cs="Times New Roman"/>
          <w:szCs w:val="26"/>
        </w:rPr>
        <w:t xml:space="preserve"> hold harmless commitments</w:t>
      </w:r>
      <w:r w:rsidR="006514D4">
        <w:rPr>
          <w:rFonts w:cs="Times New Roman"/>
          <w:szCs w:val="26"/>
        </w:rPr>
        <w:t xml:space="preserve"> that are limited in duration</w:t>
      </w:r>
      <w:r w:rsidR="000E06E5">
        <w:rPr>
          <w:rFonts w:cs="Times New Roman"/>
          <w:szCs w:val="26"/>
        </w:rPr>
        <w:t>.</w:t>
      </w:r>
      <w:r w:rsidR="0041133F">
        <w:rPr>
          <w:rFonts w:cs="Times New Roman"/>
          <w:szCs w:val="26"/>
        </w:rPr>
        <w:t xml:space="preserve">  Fourth, the Commission proposes to clarify </w:t>
      </w:r>
      <w:r w:rsidR="009C0E10">
        <w:rPr>
          <w:rFonts w:cs="Times New Roman"/>
          <w:szCs w:val="26"/>
        </w:rPr>
        <w:t>that</w:t>
      </w:r>
      <w:r w:rsidR="00A22226">
        <w:rPr>
          <w:rFonts w:cs="Times New Roman"/>
          <w:szCs w:val="26"/>
        </w:rPr>
        <w:t xml:space="preserve"> </w:t>
      </w:r>
      <w:r w:rsidR="006B1122">
        <w:rPr>
          <w:rFonts w:cs="Times New Roman"/>
          <w:szCs w:val="26"/>
        </w:rPr>
        <w:t>applicants</w:t>
      </w:r>
      <w:r w:rsidR="00A22226">
        <w:rPr>
          <w:rFonts w:cs="Times New Roman"/>
          <w:szCs w:val="26"/>
        </w:rPr>
        <w:t xml:space="preserve"> </w:t>
      </w:r>
      <w:r w:rsidR="006B1122">
        <w:rPr>
          <w:rFonts w:cs="Times New Roman"/>
          <w:szCs w:val="26"/>
        </w:rPr>
        <w:t>may</w:t>
      </w:r>
      <w:r w:rsidR="00A11641">
        <w:rPr>
          <w:rFonts w:cs="Times New Roman"/>
          <w:szCs w:val="26"/>
        </w:rPr>
        <w:t xml:space="preserve"> </w:t>
      </w:r>
      <w:r w:rsidR="006B1122">
        <w:rPr>
          <w:rFonts w:cs="Times New Roman"/>
          <w:szCs w:val="26"/>
        </w:rPr>
        <w:t>demonstrate</w:t>
      </w:r>
      <w:r w:rsidR="00A11641">
        <w:rPr>
          <w:rFonts w:cs="Times New Roman"/>
          <w:szCs w:val="26"/>
        </w:rPr>
        <w:t xml:space="preserve"> that</w:t>
      </w:r>
      <w:r w:rsidR="00D65DC2">
        <w:rPr>
          <w:rFonts w:cs="Times New Roman"/>
          <w:szCs w:val="26"/>
        </w:rPr>
        <w:t xml:space="preserve">, under </w:t>
      </w:r>
      <w:r w:rsidR="00F83263">
        <w:rPr>
          <w:rFonts w:cs="Times New Roman"/>
          <w:szCs w:val="26"/>
        </w:rPr>
        <w:t>certain</w:t>
      </w:r>
      <w:r w:rsidR="00D65DC2">
        <w:rPr>
          <w:rFonts w:cs="Times New Roman"/>
          <w:szCs w:val="26"/>
        </w:rPr>
        <w:t xml:space="preserve"> circumstances, </w:t>
      </w:r>
      <w:r w:rsidR="003E169E" w:rsidRPr="003E169E">
        <w:rPr>
          <w:rFonts w:cs="Times New Roman"/>
          <w:szCs w:val="26"/>
        </w:rPr>
        <w:lastRenderedPageBreak/>
        <w:t>transaction</w:t>
      </w:r>
      <w:r w:rsidR="00DB6959">
        <w:rPr>
          <w:rFonts w:cs="Times New Roman"/>
          <w:szCs w:val="26"/>
        </w:rPr>
        <w:t>s</w:t>
      </w:r>
      <w:r w:rsidR="006B1122">
        <w:rPr>
          <w:rFonts w:cs="Times New Roman"/>
          <w:szCs w:val="26"/>
        </w:rPr>
        <w:t xml:space="preserve"> will </w:t>
      </w:r>
      <w:r w:rsidR="00A11641">
        <w:rPr>
          <w:rFonts w:cs="Times New Roman"/>
          <w:szCs w:val="26"/>
        </w:rPr>
        <w:t xml:space="preserve">not </w:t>
      </w:r>
      <w:r w:rsidR="006B1122" w:rsidRPr="003E169E">
        <w:rPr>
          <w:rFonts w:cs="Times New Roman"/>
          <w:szCs w:val="26"/>
        </w:rPr>
        <w:t>have an adverse effect on</w:t>
      </w:r>
      <w:r w:rsidR="00A11641">
        <w:rPr>
          <w:rFonts w:cs="Times New Roman"/>
          <w:szCs w:val="26"/>
        </w:rPr>
        <w:t xml:space="preserve"> rates</w:t>
      </w:r>
      <w:r w:rsidR="00F83263">
        <w:rPr>
          <w:rFonts w:cs="Times New Roman"/>
          <w:szCs w:val="26"/>
        </w:rPr>
        <w:t xml:space="preserve"> without relying on hold harmless commitments</w:t>
      </w:r>
      <w:r w:rsidR="00DE17A5">
        <w:rPr>
          <w:rFonts w:cs="Times New Roman"/>
          <w:szCs w:val="26"/>
        </w:rPr>
        <w:t xml:space="preserve"> or other ratepayer protection mechanisms</w:t>
      </w:r>
      <w:r w:rsidR="006B1122">
        <w:rPr>
          <w:rFonts w:cs="Times New Roman"/>
          <w:szCs w:val="26"/>
        </w:rPr>
        <w:t>.</w:t>
      </w:r>
      <w:r w:rsidR="00A22226">
        <w:rPr>
          <w:rFonts w:cs="Times New Roman"/>
          <w:szCs w:val="26"/>
        </w:rPr>
        <w:t xml:space="preserve"> </w:t>
      </w:r>
    </w:p>
    <w:p w14:paraId="5F1CCEC8" w14:textId="77777777" w:rsidR="002B4D58" w:rsidRPr="00067802" w:rsidRDefault="002B4D58" w:rsidP="00CB06E5">
      <w:pPr>
        <w:spacing w:line="480" w:lineRule="auto"/>
        <w:rPr>
          <w:rFonts w:ascii="Times New Roman" w:hAnsi="Times New Roman" w:cs="Times New Roman"/>
          <w:sz w:val="26"/>
          <w:szCs w:val="26"/>
        </w:rPr>
      </w:pPr>
      <w:r w:rsidRPr="002C2FB6">
        <w:rPr>
          <w:rFonts w:ascii="Times New Roman" w:hAnsi="Times New Roman" w:cs="Times New Roman"/>
          <w:sz w:val="26"/>
          <w:szCs w:val="26"/>
          <w:u w:val="single"/>
        </w:rPr>
        <w:t>DATES</w:t>
      </w:r>
      <w:r w:rsidRPr="002C2FB6">
        <w:rPr>
          <w:rFonts w:ascii="Times New Roman" w:hAnsi="Times New Roman" w:cs="Times New Roman"/>
          <w:sz w:val="26"/>
          <w:szCs w:val="26"/>
        </w:rPr>
        <w:t xml:space="preserve">:  Comments on the proposed policy statement are due within </w:t>
      </w:r>
      <w:r w:rsidRPr="00067802">
        <w:rPr>
          <w:rFonts w:ascii="Times New Roman" w:hAnsi="Times New Roman" w:cs="Times New Roman"/>
          <w:sz w:val="26"/>
          <w:szCs w:val="26"/>
        </w:rPr>
        <w:t xml:space="preserve">[Insert Date </w:t>
      </w:r>
    </w:p>
    <w:p w14:paraId="6F35AABE" w14:textId="77777777" w:rsidR="002B4D58" w:rsidRPr="002C2FB6" w:rsidRDefault="002B4D58" w:rsidP="00CB06E5">
      <w:pPr>
        <w:spacing w:line="480" w:lineRule="auto"/>
        <w:rPr>
          <w:rFonts w:ascii="Times New Roman" w:hAnsi="Times New Roman" w:cs="Times New Roman"/>
          <w:sz w:val="26"/>
          <w:szCs w:val="26"/>
        </w:rPr>
      </w:pPr>
      <w:r w:rsidRPr="00067802">
        <w:rPr>
          <w:rFonts w:ascii="Times New Roman" w:hAnsi="Times New Roman" w:cs="Times New Roman"/>
          <w:sz w:val="26"/>
          <w:szCs w:val="26"/>
        </w:rPr>
        <w:t xml:space="preserve">60 days after publication in the </w:t>
      </w:r>
      <w:r w:rsidRPr="00067802">
        <w:rPr>
          <w:rFonts w:ascii="Times New Roman" w:hAnsi="Times New Roman" w:cs="Times New Roman"/>
          <w:i/>
          <w:sz w:val="26"/>
          <w:szCs w:val="26"/>
        </w:rPr>
        <w:t>Federal Register</w:t>
      </w:r>
      <w:r w:rsidRPr="00067802">
        <w:rPr>
          <w:rFonts w:ascii="Times New Roman" w:hAnsi="Times New Roman" w:cs="Times New Roman"/>
          <w:sz w:val="26"/>
          <w:szCs w:val="26"/>
        </w:rPr>
        <w:t>]</w:t>
      </w:r>
      <w:r w:rsidRPr="002C2FB6">
        <w:rPr>
          <w:rFonts w:ascii="Times New Roman" w:hAnsi="Times New Roman" w:cs="Times New Roman"/>
          <w:sz w:val="26"/>
          <w:szCs w:val="26"/>
        </w:rPr>
        <w:t>.</w:t>
      </w:r>
    </w:p>
    <w:p w14:paraId="257B243E" w14:textId="77777777" w:rsidR="002B4D58" w:rsidRPr="002C2FB6" w:rsidRDefault="002B4D58" w:rsidP="002B4D58">
      <w:pPr>
        <w:spacing w:line="480" w:lineRule="auto"/>
        <w:rPr>
          <w:rFonts w:ascii="Times New Roman" w:hAnsi="Times New Roman" w:cs="Times New Roman"/>
          <w:sz w:val="26"/>
          <w:szCs w:val="26"/>
        </w:rPr>
      </w:pPr>
      <w:r w:rsidRPr="002C2FB6">
        <w:rPr>
          <w:rFonts w:ascii="Times New Roman" w:hAnsi="Times New Roman" w:cs="Times New Roman"/>
          <w:sz w:val="26"/>
          <w:szCs w:val="26"/>
          <w:u w:val="single"/>
        </w:rPr>
        <w:t>FOR FURTHER INFORMATION CONTACT</w:t>
      </w:r>
      <w:r w:rsidRPr="002C2FB6">
        <w:rPr>
          <w:rFonts w:ascii="Times New Roman" w:hAnsi="Times New Roman" w:cs="Times New Roman"/>
          <w:sz w:val="26"/>
          <w:szCs w:val="26"/>
        </w:rPr>
        <w:t>:</w:t>
      </w:r>
    </w:p>
    <w:p w14:paraId="002A1454"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Eric Olesh (Technical Information)</w:t>
      </w:r>
    </w:p>
    <w:p w14:paraId="695A77A9"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Office of Energy Market Regulation</w:t>
      </w:r>
    </w:p>
    <w:p w14:paraId="4EAD817C"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888 First Street, NE</w:t>
      </w:r>
    </w:p>
    <w:p w14:paraId="714D5A45" w14:textId="05548B5E" w:rsidR="002B4D58" w:rsidRPr="002C2FB6" w:rsidRDefault="002B4D58" w:rsidP="006E5E94">
      <w:pPr>
        <w:spacing w:after="0" w:line="240" w:lineRule="auto"/>
        <w:rPr>
          <w:rFonts w:ascii="Times New Roman" w:hAnsi="Times New Roman" w:cs="Times New Roman"/>
          <w:sz w:val="26"/>
          <w:szCs w:val="26"/>
          <w:lang w:val="nb-NO"/>
        </w:rPr>
      </w:pPr>
      <w:r w:rsidRPr="002C2FB6">
        <w:rPr>
          <w:rFonts w:ascii="Times New Roman" w:hAnsi="Times New Roman" w:cs="Times New Roman"/>
          <w:sz w:val="26"/>
          <w:szCs w:val="26"/>
        </w:rPr>
        <w:t xml:space="preserve">Washington, DC  </w:t>
      </w:r>
      <w:r w:rsidRPr="002C2FB6">
        <w:rPr>
          <w:rFonts w:ascii="Times New Roman" w:hAnsi="Times New Roman" w:cs="Times New Roman"/>
          <w:sz w:val="26"/>
          <w:szCs w:val="26"/>
          <w:lang w:val="nb-NO"/>
        </w:rPr>
        <w:t>20426</w:t>
      </w:r>
    </w:p>
    <w:p w14:paraId="3F8CFC4E" w14:textId="77777777" w:rsidR="002B4D58" w:rsidRPr="002C2FB6" w:rsidRDefault="002B4D58" w:rsidP="006E5E94">
      <w:pPr>
        <w:spacing w:after="0" w:line="240" w:lineRule="auto"/>
        <w:rPr>
          <w:rFonts w:ascii="Times New Roman" w:hAnsi="Times New Roman" w:cs="Times New Roman"/>
          <w:sz w:val="26"/>
          <w:szCs w:val="26"/>
          <w:lang w:val="nb-NO"/>
        </w:rPr>
      </w:pPr>
      <w:r w:rsidRPr="002C2FB6">
        <w:rPr>
          <w:rFonts w:ascii="Times New Roman" w:hAnsi="Times New Roman" w:cs="Times New Roman"/>
          <w:sz w:val="26"/>
          <w:szCs w:val="26"/>
          <w:lang w:val="nb-NO"/>
        </w:rPr>
        <w:t>(202) 502-6524</w:t>
      </w:r>
    </w:p>
    <w:p w14:paraId="1EB8241D"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eric.olesh@ferc.gov</w:t>
      </w:r>
    </w:p>
    <w:p w14:paraId="194E35F8" w14:textId="77777777" w:rsidR="002B4D58" w:rsidRPr="002C2FB6" w:rsidRDefault="002B4D58" w:rsidP="006E5E94">
      <w:pPr>
        <w:spacing w:after="0" w:line="240" w:lineRule="auto"/>
        <w:rPr>
          <w:rFonts w:ascii="Times New Roman" w:hAnsi="Times New Roman" w:cs="Times New Roman"/>
          <w:sz w:val="26"/>
          <w:szCs w:val="26"/>
          <w:lang w:val="nb-NO"/>
        </w:rPr>
      </w:pPr>
    </w:p>
    <w:p w14:paraId="68791EDE" w14:textId="77777777" w:rsidR="002B4D58" w:rsidRPr="002C2FB6" w:rsidRDefault="002B4D58" w:rsidP="006E5E94">
      <w:pPr>
        <w:spacing w:after="0" w:line="240" w:lineRule="auto"/>
        <w:rPr>
          <w:rFonts w:ascii="Times New Roman" w:hAnsi="Times New Roman" w:cs="Times New Roman"/>
          <w:sz w:val="26"/>
          <w:szCs w:val="26"/>
          <w:lang w:val="nb-NO"/>
        </w:rPr>
      </w:pPr>
      <w:r w:rsidRPr="002C2FB6">
        <w:rPr>
          <w:rFonts w:ascii="Times New Roman" w:hAnsi="Times New Roman" w:cs="Times New Roman"/>
          <w:sz w:val="26"/>
          <w:szCs w:val="26"/>
          <w:lang w:val="nb-NO"/>
        </w:rPr>
        <w:t>Adam Batenhorst (Legal Information)</w:t>
      </w:r>
    </w:p>
    <w:p w14:paraId="09A21832"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Office of the General Counsel</w:t>
      </w:r>
    </w:p>
    <w:p w14:paraId="2A86FF12"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888 First Street, NE</w:t>
      </w:r>
    </w:p>
    <w:p w14:paraId="17F42544" w14:textId="3A90EC80" w:rsidR="002B4D58" w:rsidRPr="002C2FB6" w:rsidRDefault="002B4D58" w:rsidP="006E5E94">
      <w:pPr>
        <w:keepNext/>
        <w:keepLines/>
        <w:spacing w:after="0" w:line="240" w:lineRule="auto"/>
        <w:rPr>
          <w:rFonts w:ascii="Times New Roman" w:hAnsi="Times New Roman" w:cs="Times New Roman"/>
          <w:sz w:val="26"/>
          <w:szCs w:val="26"/>
        </w:rPr>
      </w:pPr>
      <w:r w:rsidRPr="002C2FB6">
        <w:rPr>
          <w:rFonts w:ascii="Times New Roman" w:hAnsi="Times New Roman" w:cs="Times New Roman"/>
          <w:sz w:val="26"/>
          <w:szCs w:val="26"/>
        </w:rPr>
        <w:t>Washington, DC  20426</w:t>
      </w:r>
    </w:p>
    <w:p w14:paraId="0C465F5F" w14:textId="77777777" w:rsidR="002B4D58" w:rsidRPr="002C2FB6" w:rsidRDefault="002B4D58" w:rsidP="006E5E94">
      <w:pPr>
        <w:keepNext/>
        <w:keepLines/>
        <w:spacing w:after="0" w:line="240" w:lineRule="auto"/>
        <w:rPr>
          <w:rFonts w:ascii="Times New Roman" w:hAnsi="Times New Roman" w:cs="Times New Roman"/>
          <w:sz w:val="26"/>
          <w:szCs w:val="26"/>
        </w:rPr>
      </w:pPr>
      <w:r w:rsidRPr="002C2FB6">
        <w:rPr>
          <w:rFonts w:ascii="Times New Roman" w:hAnsi="Times New Roman" w:cs="Times New Roman"/>
          <w:sz w:val="26"/>
          <w:szCs w:val="26"/>
        </w:rPr>
        <w:t>(202) 502-6150</w:t>
      </w:r>
    </w:p>
    <w:p w14:paraId="02C585CC"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adam.batenhorst@ferc.gov</w:t>
      </w:r>
    </w:p>
    <w:p w14:paraId="6EAAA51E" w14:textId="77777777" w:rsidR="002B4D58" w:rsidRPr="002C2FB6" w:rsidRDefault="002B4D58" w:rsidP="006E5E94">
      <w:pPr>
        <w:spacing w:after="0" w:line="240" w:lineRule="auto"/>
        <w:rPr>
          <w:rFonts w:ascii="Times New Roman" w:hAnsi="Times New Roman" w:cs="Times New Roman"/>
          <w:sz w:val="26"/>
          <w:szCs w:val="26"/>
        </w:rPr>
      </w:pPr>
    </w:p>
    <w:p w14:paraId="238D7114" w14:textId="77777777" w:rsidR="002B4D58" w:rsidRPr="002C2FB6" w:rsidRDefault="002B4D58" w:rsidP="006E5E94">
      <w:pPr>
        <w:spacing w:after="0" w:line="240" w:lineRule="auto"/>
        <w:rPr>
          <w:rFonts w:ascii="Times New Roman" w:hAnsi="Times New Roman" w:cs="Times New Roman"/>
          <w:sz w:val="26"/>
          <w:szCs w:val="26"/>
          <w:lang w:val="nb-NO"/>
        </w:rPr>
      </w:pPr>
      <w:r w:rsidRPr="002C2FB6">
        <w:rPr>
          <w:rFonts w:ascii="Times New Roman" w:hAnsi="Times New Roman" w:cs="Times New Roman"/>
          <w:sz w:val="26"/>
          <w:szCs w:val="26"/>
          <w:lang w:val="nb-NO"/>
        </w:rPr>
        <w:t>Olga Anguelova (Accounting Information)</w:t>
      </w:r>
    </w:p>
    <w:p w14:paraId="0437DC5E"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Office of Enforcement</w:t>
      </w:r>
    </w:p>
    <w:p w14:paraId="6E0DBC4A"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888 First Street, NE</w:t>
      </w:r>
    </w:p>
    <w:p w14:paraId="1FFD614A" w14:textId="421ACFFF" w:rsidR="002B4D58" w:rsidRPr="002C2FB6" w:rsidRDefault="002B4D58" w:rsidP="006E5E94">
      <w:pPr>
        <w:keepNext/>
        <w:keepLines/>
        <w:spacing w:after="0" w:line="240" w:lineRule="auto"/>
        <w:rPr>
          <w:rFonts w:ascii="Times New Roman" w:hAnsi="Times New Roman" w:cs="Times New Roman"/>
          <w:sz w:val="26"/>
          <w:szCs w:val="26"/>
        </w:rPr>
      </w:pPr>
      <w:r w:rsidRPr="002C2FB6">
        <w:rPr>
          <w:rFonts w:ascii="Times New Roman" w:hAnsi="Times New Roman" w:cs="Times New Roman"/>
          <w:sz w:val="26"/>
          <w:szCs w:val="26"/>
        </w:rPr>
        <w:t>Washington, DC  20426</w:t>
      </w:r>
    </w:p>
    <w:p w14:paraId="568A17D7" w14:textId="77777777" w:rsidR="002B4D58" w:rsidRPr="002C2FB6" w:rsidRDefault="002B4D58" w:rsidP="006E5E94">
      <w:pPr>
        <w:keepNext/>
        <w:keepLines/>
        <w:spacing w:after="0" w:line="240" w:lineRule="auto"/>
        <w:rPr>
          <w:rFonts w:ascii="Times New Roman" w:hAnsi="Times New Roman" w:cs="Times New Roman"/>
          <w:sz w:val="26"/>
          <w:szCs w:val="26"/>
        </w:rPr>
      </w:pPr>
      <w:r w:rsidRPr="002C2FB6">
        <w:rPr>
          <w:rFonts w:ascii="Times New Roman" w:hAnsi="Times New Roman" w:cs="Times New Roman"/>
          <w:sz w:val="26"/>
          <w:szCs w:val="26"/>
        </w:rPr>
        <w:t>(202) 502-8098</w:t>
      </w:r>
    </w:p>
    <w:p w14:paraId="0AC189A5" w14:textId="77777777"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olga.anguelova@ferc.gov</w:t>
      </w:r>
    </w:p>
    <w:p w14:paraId="3DCA400E" w14:textId="77777777" w:rsidR="002B4D58" w:rsidRPr="002C2FB6" w:rsidRDefault="002B4D58" w:rsidP="002B4D58">
      <w:pPr>
        <w:rPr>
          <w:rFonts w:ascii="Times New Roman" w:hAnsi="Times New Roman" w:cs="Times New Roman"/>
          <w:sz w:val="26"/>
          <w:szCs w:val="26"/>
        </w:rPr>
      </w:pPr>
    </w:p>
    <w:p w14:paraId="3BB369FD" w14:textId="77777777" w:rsidR="002B4D58" w:rsidRPr="002C2FB6" w:rsidRDefault="002B4D58" w:rsidP="002B4D58">
      <w:pPr>
        <w:rPr>
          <w:rFonts w:ascii="Times New Roman" w:hAnsi="Times New Roman" w:cs="Times New Roman"/>
          <w:sz w:val="26"/>
          <w:szCs w:val="26"/>
        </w:rPr>
      </w:pPr>
      <w:r w:rsidRPr="002C2FB6">
        <w:rPr>
          <w:rFonts w:ascii="Times New Roman" w:hAnsi="Times New Roman" w:cs="Times New Roman"/>
          <w:sz w:val="26"/>
          <w:szCs w:val="26"/>
          <w:u w:val="single"/>
        </w:rPr>
        <w:t>SUPPLEMENTARY INFORMATION</w:t>
      </w:r>
      <w:r w:rsidRPr="002C2FB6">
        <w:rPr>
          <w:rFonts w:ascii="Times New Roman" w:hAnsi="Times New Roman" w:cs="Times New Roman"/>
          <w:sz w:val="26"/>
          <w:szCs w:val="26"/>
        </w:rPr>
        <w:t>:</w:t>
      </w:r>
    </w:p>
    <w:p w14:paraId="6CF5D497" w14:textId="77777777" w:rsidR="002B4D58" w:rsidRPr="002C2FB6" w:rsidRDefault="002B4D58" w:rsidP="002B4D58">
      <w:pPr>
        <w:rPr>
          <w:rFonts w:ascii="Times New Roman" w:hAnsi="Times New Roman" w:cs="Times New Roman"/>
          <w:sz w:val="26"/>
          <w:szCs w:val="26"/>
        </w:rPr>
      </w:pPr>
    </w:p>
    <w:p w14:paraId="2DE9A236" w14:textId="77777777" w:rsidR="002B4D58" w:rsidRPr="002C2FB6" w:rsidRDefault="002B4D58" w:rsidP="002B4D58">
      <w:pPr>
        <w:rPr>
          <w:rFonts w:ascii="Times New Roman" w:hAnsi="Times New Roman" w:cs="Times New Roman"/>
          <w:sz w:val="26"/>
          <w:szCs w:val="26"/>
        </w:rPr>
        <w:sectPr w:rsidR="002B4D58" w:rsidRPr="002C2FB6" w:rsidSect="00017948">
          <w:headerReference w:type="even" r:id="rId11"/>
          <w:headerReference w:type="default" r:id="rId12"/>
          <w:footerReference w:type="default" r:id="rId13"/>
          <w:headerReference w:type="first" r:id="rId14"/>
          <w:pgSz w:w="12240" w:h="15840" w:code="1"/>
          <w:pgMar w:top="1415" w:right="1440" w:bottom="1440" w:left="1440" w:header="630" w:footer="720" w:gutter="0"/>
          <w:pgNumType w:fmt="numberInDash" w:start="1"/>
          <w:cols w:space="720"/>
          <w:titlePg/>
          <w:docGrid w:linePitch="360"/>
        </w:sectPr>
      </w:pPr>
    </w:p>
    <w:p w14:paraId="3B39FAB0" w14:textId="0D7958A6" w:rsidR="00017948" w:rsidRPr="00017948" w:rsidRDefault="000179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150 FERC ¶ 61,031</w:t>
      </w:r>
    </w:p>
    <w:p w14:paraId="73E360AC" w14:textId="77777777" w:rsidR="002B4D58" w:rsidRPr="002C2FB6" w:rsidRDefault="002B4D58">
      <w:pPr>
        <w:spacing w:after="0" w:line="240" w:lineRule="auto"/>
        <w:jc w:val="center"/>
        <w:rPr>
          <w:rFonts w:ascii="Times New Roman" w:hAnsi="Times New Roman" w:cs="Times New Roman"/>
          <w:sz w:val="26"/>
          <w:szCs w:val="26"/>
        </w:rPr>
      </w:pPr>
      <w:r w:rsidRPr="002C2FB6">
        <w:rPr>
          <w:rFonts w:ascii="Times New Roman" w:hAnsi="Times New Roman" w:cs="Times New Roman"/>
          <w:sz w:val="26"/>
          <w:szCs w:val="26"/>
        </w:rPr>
        <w:t>UNITED STATES OF AMERICA</w:t>
      </w:r>
    </w:p>
    <w:p w14:paraId="7500AF13" w14:textId="77777777" w:rsidR="002B4D58" w:rsidRPr="002C2FB6" w:rsidRDefault="002B4D58" w:rsidP="006E5E94">
      <w:pPr>
        <w:spacing w:after="0" w:line="240" w:lineRule="auto"/>
        <w:jc w:val="center"/>
        <w:rPr>
          <w:rFonts w:ascii="Times New Roman" w:hAnsi="Times New Roman" w:cs="Times New Roman"/>
          <w:sz w:val="26"/>
          <w:szCs w:val="26"/>
        </w:rPr>
      </w:pPr>
      <w:r w:rsidRPr="002C2FB6">
        <w:rPr>
          <w:rFonts w:ascii="Times New Roman" w:hAnsi="Times New Roman" w:cs="Times New Roman"/>
          <w:sz w:val="26"/>
          <w:szCs w:val="26"/>
        </w:rPr>
        <w:t>FEDERAL ENERGY REGULATORY COMMISSION</w:t>
      </w:r>
    </w:p>
    <w:p w14:paraId="36497133" w14:textId="77777777" w:rsidR="002B4D58" w:rsidRPr="002C2FB6" w:rsidRDefault="002B4D58" w:rsidP="006E5E94">
      <w:pPr>
        <w:spacing w:after="0" w:line="240" w:lineRule="auto"/>
        <w:rPr>
          <w:rFonts w:ascii="Times New Roman" w:hAnsi="Times New Roman" w:cs="Times New Roman"/>
          <w:sz w:val="26"/>
          <w:szCs w:val="26"/>
        </w:rPr>
      </w:pPr>
    </w:p>
    <w:p w14:paraId="3A8890C3" w14:textId="77777777" w:rsidR="002B4D58" w:rsidRPr="002C2FB6" w:rsidRDefault="002B4D58" w:rsidP="006E5E94">
      <w:pPr>
        <w:spacing w:after="0" w:line="240" w:lineRule="auto"/>
        <w:rPr>
          <w:rFonts w:ascii="Times New Roman" w:hAnsi="Times New Roman" w:cs="Times New Roman"/>
          <w:sz w:val="26"/>
          <w:szCs w:val="26"/>
        </w:rPr>
      </w:pPr>
    </w:p>
    <w:p w14:paraId="24265D83" w14:textId="491C7E38" w:rsidR="002B4D58" w:rsidRPr="00067802" w:rsidRDefault="00067802" w:rsidP="00067802">
      <w:pPr>
        <w:spacing w:after="0" w:line="240" w:lineRule="auto"/>
        <w:rPr>
          <w:rFonts w:ascii="Times New Roman" w:hAnsi="Times New Roman" w:cs="Times New Roman"/>
          <w:sz w:val="26"/>
          <w:szCs w:val="26"/>
        </w:rPr>
      </w:pPr>
      <w:r w:rsidRPr="00067802">
        <w:rPr>
          <w:rFonts w:ascii="Times New Roman" w:hAnsi="Times New Roman" w:cs="Times New Roman"/>
          <w:sz w:val="26"/>
          <w:szCs w:val="26"/>
        </w:rPr>
        <w:t>Before Commissioners:  Cheryl A. LaFleur, Chairman;</w:t>
      </w:r>
    </w:p>
    <w:p w14:paraId="6522FDA9" w14:textId="288C8C4A" w:rsidR="00067802" w:rsidRPr="00067802" w:rsidRDefault="00067802" w:rsidP="00067802">
      <w:pPr>
        <w:spacing w:after="0" w:line="240" w:lineRule="auto"/>
        <w:rPr>
          <w:rFonts w:ascii="Times New Roman" w:hAnsi="Times New Roman" w:cs="Times New Roman"/>
          <w:sz w:val="26"/>
          <w:szCs w:val="26"/>
        </w:rPr>
      </w:pPr>
      <w:r w:rsidRPr="00067802">
        <w:rPr>
          <w:rFonts w:ascii="Times New Roman" w:hAnsi="Times New Roman" w:cs="Times New Roman"/>
          <w:sz w:val="26"/>
          <w:szCs w:val="26"/>
        </w:rPr>
        <w:t xml:space="preserve">                                        Philip D. Moeller, Tony Clark,</w:t>
      </w:r>
    </w:p>
    <w:p w14:paraId="32EEC6E1" w14:textId="0D5070F8" w:rsidR="00067802" w:rsidRPr="002C2FB6" w:rsidRDefault="00067802" w:rsidP="00067802">
      <w:pPr>
        <w:spacing w:after="0" w:line="240" w:lineRule="auto"/>
        <w:rPr>
          <w:rFonts w:ascii="Times New Roman" w:hAnsi="Times New Roman" w:cs="Times New Roman"/>
          <w:sz w:val="26"/>
          <w:szCs w:val="26"/>
        </w:rPr>
      </w:pPr>
      <w:r w:rsidRPr="00067802">
        <w:rPr>
          <w:rFonts w:ascii="Times New Roman" w:hAnsi="Times New Roman" w:cs="Times New Roman"/>
          <w:sz w:val="26"/>
          <w:szCs w:val="26"/>
        </w:rPr>
        <w:t xml:space="preserve">                                        Norman C. Bay, and Colette D. Honorable.</w:t>
      </w:r>
    </w:p>
    <w:p w14:paraId="6EDE27CE" w14:textId="77777777" w:rsidR="002B4D58" w:rsidRPr="002C2FB6" w:rsidRDefault="002B4D58" w:rsidP="006E5E94">
      <w:pPr>
        <w:spacing w:after="0" w:line="240" w:lineRule="auto"/>
        <w:ind w:left="1440" w:hanging="1440"/>
        <w:rPr>
          <w:rFonts w:ascii="Times New Roman" w:hAnsi="Times New Roman" w:cs="Times New Roman"/>
          <w:sz w:val="26"/>
          <w:szCs w:val="26"/>
        </w:rPr>
      </w:pPr>
    </w:p>
    <w:tbl>
      <w:tblPr>
        <w:tblW w:w="0" w:type="auto"/>
        <w:tblLook w:val="01E0" w:firstRow="1" w:lastRow="1" w:firstColumn="1" w:lastColumn="1" w:noHBand="0" w:noVBand="0"/>
      </w:tblPr>
      <w:tblGrid>
        <w:gridCol w:w="6088"/>
        <w:gridCol w:w="1560"/>
        <w:gridCol w:w="1928"/>
      </w:tblGrid>
      <w:tr w:rsidR="002B4D58" w:rsidRPr="002C2FB6" w14:paraId="23505BFD" w14:textId="77777777" w:rsidTr="008C1135">
        <w:tc>
          <w:tcPr>
            <w:tcW w:w="6088" w:type="dxa"/>
            <w:shd w:val="clear" w:color="auto" w:fill="auto"/>
          </w:tcPr>
          <w:p w14:paraId="5BA9F309" w14:textId="43FA84F6" w:rsidR="002B4D58" w:rsidRPr="002C2FB6" w:rsidRDefault="00B41370" w:rsidP="006E5E94">
            <w:pPr>
              <w:spacing w:after="0" w:line="240" w:lineRule="auto"/>
              <w:rPr>
                <w:rFonts w:ascii="Times New Roman" w:hAnsi="Times New Roman" w:cs="Times New Roman"/>
                <w:sz w:val="26"/>
                <w:szCs w:val="26"/>
              </w:rPr>
            </w:pPr>
            <w:r>
              <w:rPr>
                <w:rFonts w:ascii="Times New Roman" w:hAnsi="Times New Roman" w:cs="Times New Roman"/>
                <w:sz w:val="26"/>
                <w:szCs w:val="26"/>
              </w:rPr>
              <w:t>Policy Statement on Hold Harmless Commitments</w:t>
            </w:r>
          </w:p>
          <w:p w14:paraId="21DD7B03" w14:textId="77777777" w:rsidR="002B4D58" w:rsidRPr="002C2FB6" w:rsidRDefault="002B4D58" w:rsidP="006E5E94">
            <w:pPr>
              <w:spacing w:after="0" w:line="240" w:lineRule="auto"/>
              <w:rPr>
                <w:rFonts w:ascii="Times New Roman" w:hAnsi="Times New Roman" w:cs="Times New Roman"/>
                <w:sz w:val="26"/>
                <w:szCs w:val="26"/>
              </w:rPr>
            </w:pPr>
          </w:p>
        </w:tc>
        <w:tc>
          <w:tcPr>
            <w:tcW w:w="1560" w:type="dxa"/>
            <w:shd w:val="clear" w:color="auto" w:fill="auto"/>
          </w:tcPr>
          <w:p w14:paraId="48C4D44B" w14:textId="757175E9" w:rsidR="002B4D58" w:rsidRPr="002C2FB6" w:rsidRDefault="00067802" w:rsidP="006E5E9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2B4D58" w:rsidRPr="002C2FB6">
              <w:rPr>
                <w:rFonts w:ascii="Times New Roman" w:hAnsi="Times New Roman" w:cs="Times New Roman"/>
                <w:sz w:val="26"/>
                <w:szCs w:val="26"/>
              </w:rPr>
              <w:t>Docket No.</w:t>
            </w:r>
          </w:p>
        </w:tc>
        <w:tc>
          <w:tcPr>
            <w:tcW w:w="1928" w:type="dxa"/>
            <w:shd w:val="clear" w:color="auto" w:fill="auto"/>
          </w:tcPr>
          <w:p w14:paraId="42110F8C" w14:textId="26010753" w:rsidR="002B4D58" w:rsidRPr="002C2FB6" w:rsidRDefault="002B4D58" w:rsidP="006E5E94">
            <w:pPr>
              <w:spacing w:after="0" w:line="240" w:lineRule="auto"/>
              <w:rPr>
                <w:rFonts w:ascii="Times New Roman" w:hAnsi="Times New Roman" w:cs="Times New Roman"/>
                <w:sz w:val="26"/>
                <w:szCs w:val="26"/>
              </w:rPr>
            </w:pPr>
            <w:r w:rsidRPr="002C2FB6">
              <w:rPr>
                <w:rFonts w:ascii="Times New Roman" w:hAnsi="Times New Roman" w:cs="Times New Roman"/>
                <w:sz w:val="26"/>
                <w:szCs w:val="26"/>
              </w:rPr>
              <w:t>PL1</w:t>
            </w:r>
            <w:r w:rsidR="00B41370">
              <w:rPr>
                <w:rFonts w:ascii="Times New Roman" w:hAnsi="Times New Roman" w:cs="Times New Roman"/>
                <w:sz w:val="26"/>
                <w:szCs w:val="26"/>
              </w:rPr>
              <w:t>5</w:t>
            </w:r>
            <w:r w:rsidRPr="002C2FB6">
              <w:rPr>
                <w:rFonts w:ascii="Times New Roman" w:hAnsi="Times New Roman" w:cs="Times New Roman"/>
                <w:sz w:val="26"/>
                <w:szCs w:val="26"/>
              </w:rPr>
              <w:t>-</w:t>
            </w:r>
            <w:r w:rsidR="00B41370">
              <w:rPr>
                <w:rFonts w:ascii="Times New Roman" w:hAnsi="Times New Roman" w:cs="Times New Roman"/>
                <w:sz w:val="26"/>
                <w:szCs w:val="26"/>
              </w:rPr>
              <w:t>3</w:t>
            </w:r>
            <w:r w:rsidRPr="002C2FB6">
              <w:rPr>
                <w:rFonts w:ascii="Times New Roman" w:hAnsi="Times New Roman" w:cs="Times New Roman"/>
                <w:sz w:val="26"/>
                <w:szCs w:val="26"/>
              </w:rPr>
              <w:t>-000</w:t>
            </w:r>
          </w:p>
          <w:p w14:paraId="238E4095" w14:textId="77777777" w:rsidR="002B4D58" w:rsidRPr="002C2FB6" w:rsidRDefault="002B4D58" w:rsidP="006E5E94">
            <w:pPr>
              <w:spacing w:after="0" w:line="240" w:lineRule="auto"/>
              <w:rPr>
                <w:rFonts w:ascii="Times New Roman" w:hAnsi="Times New Roman" w:cs="Times New Roman"/>
                <w:sz w:val="26"/>
                <w:szCs w:val="26"/>
              </w:rPr>
            </w:pPr>
          </w:p>
        </w:tc>
      </w:tr>
    </w:tbl>
    <w:p w14:paraId="5CE5B3CD" w14:textId="77777777" w:rsidR="002B4D58" w:rsidRPr="002C2FB6" w:rsidRDefault="002B4D58" w:rsidP="006E5E94">
      <w:pPr>
        <w:spacing w:after="0" w:line="240" w:lineRule="auto"/>
        <w:rPr>
          <w:rFonts w:ascii="Times New Roman" w:hAnsi="Times New Roman" w:cs="Times New Roman"/>
          <w:sz w:val="26"/>
          <w:szCs w:val="26"/>
        </w:rPr>
      </w:pPr>
    </w:p>
    <w:p w14:paraId="732FB6D5" w14:textId="77777777" w:rsidR="002B4D58" w:rsidRPr="002C2FB6" w:rsidRDefault="002B4D58" w:rsidP="006E5E94">
      <w:pPr>
        <w:spacing w:after="0" w:line="240" w:lineRule="auto"/>
        <w:jc w:val="center"/>
        <w:rPr>
          <w:rFonts w:ascii="Times New Roman" w:hAnsi="Times New Roman" w:cs="Times New Roman"/>
          <w:sz w:val="26"/>
          <w:szCs w:val="26"/>
        </w:rPr>
      </w:pPr>
      <w:r w:rsidRPr="002C2FB6">
        <w:rPr>
          <w:rFonts w:ascii="Times New Roman" w:hAnsi="Times New Roman" w:cs="Times New Roman"/>
          <w:sz w:val="26"/>
          <w:szCs w:val="26"/>
        </w:rPr>
        <w:t>PROPOSED POLICY STATEMENT</w:t>
      </w:r>
    </w:p>
    <w:p w14:paraId="0885F0C9" w14:textId="77777777" w:rsidR="002B4D58" w:rsidRPr="002C2FB6" w:rsidRDefault="002B4D58" w:rsidP="006E5E94">
      <w:pPr>
        <w:spacing w:after="0" w:line="240" w:lineRule="auto"/>
        <w:jc w:val="center"/>
        <w:rPr>
          <w:rFonts w:ascii="Times New Roman" w:hAnsi="Times New Roman" w:cs="Times New Roman"/>
          <w:sz w:val="26"/>
          <w:szCs w:val="26"/>
        </w:rPr>
      </w:pPr>
    </w:p>
    <w:p w14:paraId="1572F59C" w14:textId="39AE7955" w:rsidR="002B4D58" w:rsidRDefault="00067802" w:rsidP="00067802">
      <w:pPr>
        <w:spacing w:after="0" w:line="240" w:lineRule="auto"/>
        <w:jc w:val="center"/>
        <w:rPr>
          <w:rFonts w:ascii="Times New Roman" w:hAnsi="Times New Roman" w:cs="Times New Roman"/>
          <w:sz w:val="26"/>
          <w:szCs w:val="26"/>
        </w:rPr>
      </w:pPr>
      <w:r w:rsidRPr="00067802">
        <w:rPr>
          <w:rFonts w:ascii="Times New Roman" w:hAnsi="Times New Roman" w:cs="Times New Roman"/>
          <w:sz w:val="26"/>
          <w:szCs w:val="26"/>
        </w:rPr>
        <w:t>(Issued January 2</w:t>
      </w:r>
      <w:r>
        <w:rPr>
          <w:rFonts w:ascii="Times New Roman" w:hAnsi="Times New Roman" w:cs="Times New Roman"/>
          <w:sz w:val="26"/>
          <w:szCs w:val="26"/>
        </w:rPr>
        <w:t>2,</w:t>
      </w:r>
      <w:r w:rsidRPr="00067802">
        <w:rPr>
          <w:rFonts w:ascii="Times New Roman" w:hAnsi="Times New Roman" w:cs="Times New Roman"/>
          <w:sz w:val="26"/>
          <w:szCs w:val="26"/>
        </w:rPr>
        <w:t xml:space="preserve"> 2015)</w:t>
      </w:r>
    </w:p>
    <w:p w14:paraId="76452A0D" w14:textId="77777777" w:rsidR="002B4D58" w:rsidRPr="002C2FB6" w:rsidRDefault="002B4D58" w:rsidP="002B4D58">
      <w:pPr>
        <w:rPr>
          <w:rFonts w:ascii="Times New Roman" w:hAnsi="Times New Roman" w:cs="Times New Roman"/>
          <w:sz w:val="26"/>
          <w:szCs w:val="26"/>
        </w:rPr>
      </w:pPr>
    </w:p>
    <w:p w14:paraId="566B2065" w14:textId="13D4A05B" w:rsidR="002B4D58" w:rsidRPr="002C2FB6" w:rsidRDefault="00D0459B" w:rsidP="003E169E">
      <w:pPr>
        <w:pStyle w:val="FERCparanumber"/>
      </w:pPr>
      <w:r>
        <w:t>We</w:t>
      </w:r>
      <w:r w:rsidR="002B4D58" w:rsidRPr="002C2FB6">
        <w:t xml:space="preserve"> propose, as a statement of policy, the following clarifications regarding hold harmless commitments offered by applicants as ratepayer protection mechanism</w:t>
      </w:r>
      <w:r w:rsidR="00BE6F85" w:rsidRPr="002C2FB6">
        <w:t>s</w:t>
      </w:r>
      <w:r w:rsidR="002B4D58" w:rsidRPr="002C2FB6">
        <w:t xml:space="preserve"> to mitigate adverse effects on rates that may result from transactions </w:t>
      </w:r>
      <w:r w:rsidR="00877CD8" w:rsidRPr="002C2FB6">
        <w:t>that are subject to</w:t>
      </w:r>
      <w:r w:rsidR="002B4D58" w:rsidRPr="002C2FB6">
        <w:t xml:space="preserve"> section 203 </w:t>
      </w:r>
      <w:r w:rsidR="00EA0E22" w:rsidRPr="002C2FB6">
        <w:t xml:space="preserve">of </w:t>
      </w:r>
      <w:r w:rsidR="002B4D58" w:rsidRPr="002C2FB6">
        <w:t>the Federal Power Act (FPA).</w:t>
      </w:r>
      <w:r w:rsidR="002B4D58" w:rsidRPr="002C2FB6">
        <w:rPr>
          <w:rStyle w:val="FootnoteReference"/>
        </w:rPr>
        <w:footnoteReference w:id="2"/>
      </w:r>
      <w:r w:rsidR="002B4D58" w:rsidRPr="002C2FB6">
        <w:t xml:space="preserve">  First, </w:t>
      </w:r>
      <w:r>
        <w:t>we</w:t>
      </w:r>
      <w:r w:rsidR="002B4D58" w:rsidRPr="002C2FB6">
        <w:t xml:space="preserve"> propose to clarify the scope and definition of </w:t>
      </w:r>
      <w:r w:rsidR="004B58CC">
        <w:t>the</w:t>
      </w:r>
      <w:r w:rsidR="002B4D58" w:rsidRPr="002C2FB6">
        <w:t xml:space="preserve"> costs </w:t>
      </w:r>
      <w:r w:rsidR="002B4D58" w:rsidRPr="00F73DC1">
        <w:t>that should be subject to hold harmless commitments.  Second</w:t>
      </w:r>
      <w:r w:rsidR="00456B66" w:rsidRPr="00F73DC1">
        <w:t>,</w:t>
      </w:r>
      <w:r w:rsidR="00456B66" w:rsidRPr="00D776F8">
        <w:t xml:space="preserve"> </w:t>
      </w:r>
      <w:r w:rsidRPr="006E5E94">
        <w:t>we</w:t>
      </w:r>
      <w:r w:rsidR="00456B66" w:rsidRPr="00D776F8">
        <w:t xml:space="preserve"> </w:t>
      </w:r>
      <w:r w:rsidR="006953A3" w:rsidRPr="00D776F8">
        <w:t xml:space="preserve">propose to </w:t>
      </w:r>
      <w:r w:rsidR="00883B5C" w:rsidRPr="006458CE">
        <w:t xml:space="preserve">clarify </w:t>
      </w:r>
      <w:r w:rsidR="002150A4" w:rsidRPr="006458CE">
        <w:t>that applicants offering hold harmless commitments must implement controls and procedures to track the costs from which customers will be held harmless</w:t>
      </w:r>
      <w:r w:rsidR="004B58CC" w:rsidRPr="006E5E94">
        <w:t xml:space="preserve">.  </w:t>
      </w:r>
      <w:r w:rsidRPr="006E5E94">
        <w:t>We</w:t>
      </w:r>
      <w:r w:rsidR="004B58CC" w:rsidRPr="006E5E94">
        <w:t xml:space="preserve"> also propose</w:t>
      </w:r>
      <w:r w:rsidR="00CE4F81" w:rsidRPr="00D776F8">
        <w:t xml:space="preserve"> </w:t>
      </w:r>
      <w:r w:rsidR="006458CE" w:rsidRPr="006E5E94">
        <w:t>to clarify</w:t>
      </w:r>
      <w:r w:rsidR="00EB715B" w:rsidRPr="006E5E94">
        <w:t xml:space="preserve"> </w:t>
      </w:r>
      <w:r w:rsidR="002150A4" w:rsidRPr="00D776F8">
        <w:t xml:space="preserve">the </w:t>
      </w:r>
      <w:r w:rsidR="00CE4F81" w:rsidRPr="00D776F8">
        <w:t xml:space="preserve">types of </w:t>
      </w:r>
      <w:r w:rsidR="002150A4" w:rsidRPr="00D776F8">
        <w:t>controls and procedures that applicants offering hold harmless commitments must implement</w:t>
      </w:r>
      <w:r w:rsidR="006E5E94">
        <w:t>.</w:t>
      </w:r>
      <w:r w:rsidR="000E06E5">
        <w:t xml:space="preserve">  </w:t>
      </w:r>
      <w:r w:rsidR="00DB33B2">
        <w:t xml:space="preserve">Third, </w:t>
      </w:r>
      <w:r w:rsidR="00B04CE4">
        <w:t>we propose</w:t>
      </w:r>
      <w:r w:rsidR="00DB33B2">
        <w:t xml:space="preserve"> to no longer </w:t>
      </w:r>
      <w:r w:rsidR="009B22E5">
        <w:t>accept</w:t>
      </w:r>
      <w:r w:rsidR="00DB33B2">
        <w:t xml:space="preserve"> hold harmless commitments</w:t>
      </w:r>
      <w:r w:rsidR="009B22E5">
        <w:t xml:space="preserve"> that are limited in duration</w:t>
      </w:r>
      <w:r w:rsidR="00DB33B2">
        <w:t>.</w:t>
      </w:r>
      <w:r w:rsidR="004A1E40">
        <w:t xml:space="preserve"> </w:t>
      </w:r>
      <w:r w:rsidR="00DB33B2" w:rsidDel="00DB33B2">
        <w:t xml:space="preserve"> </w:t>
      </w:r>
      <w:r w:rsidR="0055418D">
        <w:rPr>
          <w:rFonts w:cs="Times New Roman"/>
          <w:szCs w:val="26"/>
        </w:rPr>
        <w:t xml:space="preserve">Fourth, </w:t>
      </w:r>
      <w:r w:rsidR="00F83263">
        <w:rPr>
          <w:rFonts w:cs="Times New Roman"/>
          <w:szCs w:val="26"/>
        </w:rPr>
        <w:t>we</w:t>
      </w:r>
      <w:r w:rsidR="0055418D">
        <w:rPr>
          <w:rFonts w:cs="Times New Roman"/>
          <w:szCs w:val="26"/>
        </w:rPr>
        <w:t xml:space="preserve"> propose to clarify that applicants may demonstrate that</w:t>
      </w:r>
      <w:r w:rsidR="00D65DC2">
        <w:rPr>
          <w:rFonts w:cs="Times New Roman"/>
          <w:szCs w:val="26"/>
        </w:rPr>
        <w:t>, under</w:t>
      </w:r>
      <w:r w:rsidR="0055418D">
        <w:rPr>
          <w:rFonts w:cs="Times New Roman"/>
          <w:szCs w:val="26"/>
        </w:rPr>
        <w:t xml:space="preserve"> </w:t>
      </w:r>
      <w:r w:rsidR="00F83263">
        <w:rPr>
          <w:rFonts w:cs="Times New Roman"/>
          <w:szCs w:val="26"/>
        </w:rPr>
        <w:t>certain</w:t>
      </w:r>
      <w:r w:rsidR="00D65DC2">
        <w:rPr>
          <w:rFonts w:cs="Times New Roman"/>
          <w:szCs w:val="26"/>
        </w:rPr>
        <w:t xml:space="preserve"> circumstances, </w:t>
      </w:r>
      <w:r w:rsidR="0055418D" w:rsidRPr="003E169E">
        <w:rPr>
          <w:rFonts w:cs="Times New Roman"/>
          <w:szCs w:val="26"/>
        </w:rPr>
        <w:t>transaction</w:t>
      </w:r>
      <w:r w:rsidR="0055418D">
        <w:rPr>
          <w:rFonts w:cs="Times New Roman"/>
          <w:szCs w:val="26"/>
        </w:rPr>
        <w:t xml:space="preserve">s will not </w:t>
      </w:r>
      <w:r w:rsidR="0055418D" w:rsidRPr="003E169E">
        <w:rPr>
          <w:rFonts w:cs="Times New Roman"/>
          <w:szCs w:val="26"/>
        </w:rPr>
        <w:t xml:space="preserve">have </w:t>
      </w:r>
      <w:r w:rsidR="0055418D" w:rsidRPr="003E169E">
        <w:rPr>
          <w:rFonts w:cs="Times New Roman"/>
          <w:szCs w:val="26"/>
        </w:rPr>
        <w:lastRenderedPageBreak/>
        <w:t>an adverse effect on</w:t>
      </w:r>
      <w:r w:rsidR="0055418D">
        <w:rPr>
          <w:rFonts w:cs="Times New Roman"/>
          <w:szCs w:val="26"/>
        </w:rPr>
        <w:t xml:space="preserve"> rates </w:t>
      </w:r>
      <w:r w:rsidR="00F83263">
        <w:rPr>
          <w:rFonts w:cs="Times New Roman"/>
          <w:szCs w:val="26"/>
        </w:rPr>
        <w:t>without relying on hold harmless commitments</w:t>
      </w:r>
      <w:r w:rsidR="00DE17A5">
        <w:rPr>
          <w:rFonts w:cs="Times New Roman"/>
          <w:szCs w:val="26"/>
        </w:rPr>
        <w:t xml:space="preserve"> or other ratepayer protection mechanisms</w:t>
      </w:r>
      <w:r w:rsidR="00F83263">
        <w:rPr>
          <w:rFonts w:cs="Times New Roman"/>
          <w:szCs w:val="26"/>
        </w:rPr>
        <w:t>.</w:t>
      </w:r>
    </w:p>
    <w:p w14:paraId="66C69D47" w14:textId="77777777" w:rsidR="002B4D58" w:rsidRPr="002C2FB6" w:rsidRDefault="002B4D58" w:rsidP="00573873">
      <w:pPr>
        <w:pStyle w:val="Heading1"/>
        <w:spacing w:before="0"/>
        <w:rPr>
          <w:rFonts w:cs="Times New Roman"/>
          <w:szCs w:val="26"/>
        </w:rPr>
      </w:pPr>
      <w:r w:rsidRPr="002C2FB6">
        <w:rPr>
          <w:rFonts w:cs="Times New Roman"/>
          <w:szCs w:val="26"/>
        </w:rPr>
        <w:t>Background</w:t>
      </w:r>
    </w:p>
    <w:p w14:paraId="6C8C9DC8" w14:textId="77777777" w:rsidR="002B4D58" w:rsidRPr="002C2FB6" w:rsidRDefault="002B4D58" w:rsidP="00AA1D60">
      <w:pPr>
        <w:pStyle w:val="Heading2"/>
        <w:ind w:left="1440" w:hanging="720"/>
        <w:rPr>
          <w:rFonts w:cs="Times New Roman"/>
          <w:szCs w:val="26"/>
        </w:rPr>
      </w:pPr>
      <w:r w:rsidRPr="002C2FB6">
        <w:rPr>
          <w:rFonts w:cs="Times New Roman"/>
          <w:szCs w:val="26"/>
        </w:rPr>
        <w:t xml:space="preserve">The Commission’s Analysis of Proposed Transactions </w:t>
      </w:r>
      <w:r w:rsidR="00216635" w:rsidRPr="002C2FB6">
        <w:rPr>
          <w:rFonts w:cs="Times New Roman"/>
          <w:szCs w:val="26"/>
        </w:rPr>
        <w:t>U</w:t>
      </w:r>
      <w:r w:rsidRPr="002C2FB6">
        <w:rPr>
          <w:rFonts w:cs="Times New Roman"/>
          <w:szCs w:val="26"/>
        </w:rPr>
        <w:t>nder FPA Section 203</w:t>
      </w:r>
    </w:p>
    <w:p w14:paraId="698DFE8F" w14:textId="5115382E" w:rsidR="002B4D58" w:rsidRPr="002C2FB6" w:rsidRDefault="002B4D58" w:rsidP="002B4D58">
      <w:pPr>
        <w:pStyle w:val="FERCparanumber"/>
        <w:autoSpaceDE w:val="0"/>
        <w:autoSpaceDN w:val="0"/>
        <w:adjustRightInd w:val="0"/>
        <w:spacing w:after="0"/>
        <w:rPr>
          <w:rFonts w:cs="Times New Roman"/>
          <w:szCs w:val="26"/>
        </w:rPr>
      </w:pPr>
      <w:r w:rsidRPr="002C2FB6">
        <w:rPr>
          <w:rFonts w:cs="Times New Roman"/>
          <w:szCs w:val="26"/>
        </w:rPr>
        <w:t>FPA section 203(a)(4) requires the Commission to approve a transaction if it determines that the transaction will be consistent with the public interest.</w:t>
      </w:r>
      <w:r w:rsidRPr="002C2FB6">
        <w:rPr>
          <w:rStyle w:val="FootnoteReference"/>
        </w:rPr>
        <w:footnoteReference w:id="3"/>
      </w:r>
      <w:r w:rsidRPr="002C2FB6">
        <w:rPr>
          <w:rFonts w:cs="Times New Roman"/>
          <w:szCs w:val="26"/>
        </w:rPr>
        <w:t xml:space="preserve">  The Commission</w:t>
      </w:r>
      <w:r w:rsidR="00CF417D">
        <w:rPr>
          <w:rFonts w:cs="Times New Roman"/>
          <w:szCs w:val="26"/>
        </w:rPr>
        <w:t xml:space="preserve"> has stated that it</w:t>
      </w:r>
      <w:r w:rsidRPr="002C2FB6">
        <w:rPr>
          <w:rFonts w:cs="Times New Roman"/>
          <w:szCs w:val="26"/>
        </w:rPr>
        <w:t>s analysis of whether a transaction will be consistent with the public interest generally involves consideration of three factors:  (1) the effect on competition; (2) the effect on rates; and (3) the effect on regulation.</w:t>
      </w:r>
      <w:r w:rsidRPr="002C2FB6">
        <w:rPr>
          <w:rStyle w:val="FootnoteReference"/>
        </w:rPr>
        <w:footnoteReference w:id="4"/>
      </w:r>
      <w:r w:rsidRPr="002C2FB6">
        <w:rPr>
          <w:rFonts w:cs="Times New Roman"/>
          <w:szCs w:val="26"/>
        </w:rPr>
        <w:t xml:space="preserve">  FPA section 203(a)(4) also requires the Commission to find that the transaction “will not result in cross-subsidization of a non-utility associate company or the pledge or encumbrance of utility assets for the benefit of an associate company, unless the Commission determines that the cross-subsidization, pledge, or encumbrance will be consistent with the public interest.”</w:t>
      </w:r>
      <w:r w:rsidRPr="002C2FB6">
        <w:rPr>
          <w:rStyle w:val="FootnoteReference"/>
        </w:rPr>
        <w:footnoteReference w:id="5"/>
      </w:r>
      <w:r w:rsidRPr="002C2FB6">
        <w:rPr>
          <w:rFonts w:cs="Times New Roman"/>
          <w:szCs w:val="26"/>
        </w:rPr>
        <w:t xml:space="preserve">  </w:t>
      </w:r>
    </w:p>
    <w:p w14:paraId="076BAC5D" w14:textId="77777777" w:rsidR="002B4D58" w:rsidRPr="002C2FB6" w:rsidRDefault="002B4D58" w:rsidP="002B4D58">
      <w:pPr>
        <w:pStyle w:val="FERCparanumber"/>
        <w:autoSpaceDE w:val="0"/>
        <w:autoSpaceDN w:val="0"/>
        <w:adjustRightInd w:val="0"/>
        <w:spacing w:after="0"/>
        <w:rPr>
          <w:rFonts w:cs="Times New Roman"/>
          <w:szCs w:val="26"/>
        </w:rPr>
      </w:pPr>
      <w:r w:rsidRPr="002C2FB6">
        <w:rPr>
          <w:rFonts w:cs="Times New Roman"/>
          <w:szCs w:val="26"/>
        </w:rPr>
        <w:t>This proposed policy statement focuses on the second prong of the Commission’s FPA section 203 analysis, the effect of a proposed transaction on rates.  The Commission has stated that, when considering a proposed transaction’s effect on rates, its focus “is on the effect that a proposed transaction itself will have on rates, whether that effect is adverse, and whether any adverse effect will be offset or mitigated by benefits that are likely to result from the proposed transaction.”</w:t>
      </w:r>
      <w:r w:rsidRPr="002C2FB6">
        <w:rPr>
          <w:rStyle w:val="FootnoteReference"/>
        </w:rPr>
        <w:footnoteReference w:id="6"/>
      </w:r>
      <w:r w:rsidRPr="002C2FB6">
        <w:rPr>
          <w:rFonts w:cs="Times New Roman"/>
          <w:szCs w:val="26"/>
        </w:rPr>
        <w:t xml:space="preserve">  Specifically,</w:t>
      </w:r>
      <w:r w:rsidR="00551737" w:rsidRPr="002C2FB6">
        <w:rPr>
          <w:rFonts w:cs="Times New Roman"/>
          <w:szCs w:val="26"/>
        </w:rPr>
        <w:t xml:space="preserve"> as relevant here,</w:t>
      </w:r>
      <w:r w:rsidRPr="002C2FB6">
        <w:rPr>
          <w:rFonts w:cs="Times New Roman"/>
          <w:szCs w:val="26"/>
        </w:rPr>
        <w:t xml:space="preserve"> the Commission considers whether the transaction could result in an </w:t>
      </w:r>
      <w:r w:rsidR="0026665F" w:rsidRPr="002C2FB6">
        <w:rPr>
          <w:rFonts w:cs="Times New Roman"/>
          <w:szCs w:val="26"/>
        </w:rPr>
        <w:t>adverse effect o</w:t>
      </w:r>
      <w:r w:rsidRPr="002C2FB6">
        <w:rPr>
          <w:rFonts w:cs="Times New Roman"/>
          <w:szCs w:val="26"/>
        </w:rPr>
        <w:t xml:space="preserve">n rates to wholesale requirements or transmission customers.  </w:t>
      </w:r>
    </w:p>
    <w:p w14:paraId="48C01B4A" w14:textId="4D3870AE" w:rsidR="002B4D58" w:rsidRPr="002C2FB6" w:rsidRDefault="00551737" w:rsidP="002B4D58">
      <w:pPr>
        <w:pStyle w:val="FERCparanumber"/>
        <w:autoSpaceDE w:val="0"/>
        <w:autoSpaceDN w:val="0"/>
        <w:adjustRightInd w:val="0"/>
        <w:spacing w:after="0"/>
        <w:rPr>
          <w:rFonts w:cs="Times New Roman"/>
          <w:szCs w:val="26"/>
        </w:rPr>
      </w:pPr>
      <w:r w:rsidRPr="002C2FB6">
        <w:rPr>
          <w:rFonts w:cs="Times New Roman"/>
          <w:szCs w:val="26"/>
        </w:rPr>
        <w:t>I</w:t>
      </w:r>
      <w:r w:rsidR="002B4D58" w:rsidRPr="002C2FB6">
        <w:rPr>
          <w:rFonts w:cs="Times New Roman"/>
          <w:szCs w:val="26"/>
        </w:rPr>
        <w:t xml:space="preserve">f </w:t>
      </w:r>
      <w:r w:rsidR="009B22E5">
        <w:rPr>
          <w:rFonts w:cs="Times New Roman"/>
          <w:szCs w:val="26"/>
        </w:rPr>
        <w:t>an</w:t>
      </w:r>
      <w:r w:rsidR="002B4D58" w:rsidRPr="002C2FB6">
        <w:rPr>
          <w:rFonts w:cs="Times New Roman"/>
          <w:szCs w:val="26"/>
        </w:rPr>
        <w:t xml:space="preserve"> applicant’s only customers are wholesale power sales customers served under market-based rates, then the </w:t>
      </w:r>
      <w:r w:rsidR="009B22E5">
        <w:rPr>
          <w:rFonts w:cs="Times New Roman"/>
          <w:szCs w:val="26"/>
        </w:rPr>
        <w:t xml:space="preserve">transaction will have </w:t>
      </w:r>
      <w:r w:rsidR="00E74BC1" w:rsidRPr="002C2FB6">
        <w:rPr>
          <w:rFonts w:cs="Times New Roman"/>
          <w:szCs w:val="26"/>
        </w:rPr>
        <w:t>no adverse effect on rates</w:t>
      </w:r>
      <w:r w:rsidR="009B22E5">
        <w:rPr>
          <w:rFonts w:cs="Times New Roman"/>
          <w:szCs w:val="26"/>
        </w:rPr>
        <w:t xml:space="preserve"> </w:t>
      </w:r>
      <w:r w:rsidR="006C25A8">
        <w:rPr>
          <w:rFonts w:cs="Times New Roman"/>
          <w:szCs w:val="26"/>
        </w:rPr>
        <w:t>for</w:t>
      </w:r>
      <w:r w:rsidR="009B22E5">
        <w:rPr>
          <w:rFonts w:cs="Times New Roman"/>
          <w:szCs w:val="26"/>
        </w:rPr>
        <w:t xml:space="preserve"> such customers</w:t>
      </w:r>
      <w:r w:rsidR="002B4D58" w:rsidRPr="002C2FB6">
        <w:rPr>
          <w:rFonts w:cs="Times New Roman"/>
          <w:szCs w:val="26"/>
        </w:rPr>
        <w:t>.</w:t>
      </w:r>
      <w:r w:rsidR="002B4D58" w:rsidRPr="002C2FB6">
        <w:rPr>
          <w:rStyle w:val="FootnoteReference"/>
        </w:rPr>
        <w:footnoteReference w:id="7"/>
      </w:r>
      <w:r w:rsidR="002B4D58" w:rsidRPr="002C2FB6">
        <w:rPr>
          <w:rFonts w:cs="Times New Roman"/>
          <w:szCs w:val="26"/>
        </w:rPr>
        <w:t xml:space="preserve"> </w:t>
      </w:r>
      <w:r w:rsidR="00E62C6B" w:rsidRPr="002C2FB6">
        <w:rPr>
          <w:rFonts w:cs="Times New Roman"/>
          <w:szCs w:val="26"/>
        </w:rPr>
        <w:t xml:space="preserve"> </w:t>
      </w:r>
      <w:r w:rsidR="002B4D58" w:rsidRPr="002C2FB6">
        <w:rPr>
          <w:rFonts w:cs="Times New Roman"/>
          <w:szCs w:val="26"/>
        </w:rPr>
        <w:t xml:space="preserve">If, however, </w:t>
      </w:r>
      <w:r w:rsidR="00B73DE1" w:rsidRPr="002C2FB6">
        <w:rPr>
          <w:rFonts w:cs="Times New Roman"/>
          <w:szCs w:val="26"/>
        </w:rPr>
        <w:t xml:space="preserve">the transaction </w:t>
      </w:r>
      <w:r w:rsidR="006C25A8">
        <w:rPr>
          <w:rFonts w:cs="Times New Roman"/>
          <w:szCs w:val="26"/>
        </w:rPr>
        <w:t xml:space="preserve">could </w:t>
      </w:r>
      <w:r w:rsidR="00B73DE1" w:rsidRPr="002C2FB6">
        <w:rPr>
          <w:rFonts w:cs="Times New Roman"/>
          <w:szCs w:val="26"/>
        </w:rPr>
        <w:t>result in</w:t>
      </w:r>
      <w:r w:rsidR="002B4D58" w:rsidRPr="002C2FB6">
        <w:rPr>
          <w:rFonts w:cs="Times New Roman"/>
          <w:szCs w:val="26"/>
        </w:rPr>
        <w:t xml:space="preserve"> an increase in rates and the wholesale power sales customers of the applicant</w:t>
      </w:r>
      <w:r w:rsidR="004A0B5A" w:rsidRPr="002C2FB6">
        <w:rPr>
          <w:rFonts w:cs="Times New Roman"/>
          <w:szCs w:val="26"/>
        </w:rPr>
        <w:t>s</w:t>
      </w:r>
      <w:r w:rsidR="002B4D58" w:rsidRPr="002C2FB6">
        <w:rPr>
          <w:rFonts w:cs="Times New Roman"/>
          <w:szCs w:val="26"/>
        </w:rPr>
        <w:t xml:space="preserve"> are not served exclusively under market-based rates, or if the applicant</w:t>
      </w:r>
      <w:r w:rsidR="004A0B5A" w:rsidRPr="002C2FB6">
        <w:rPr>
          <w:rFonts w:cs="Times New Roman"/>
          <w:szCs w:val="26"/>
        </w:rPr>
        <w:t>s</w:t>
      </w:r>
      <w:r w:rsidR="002B4D58" w:rsidRPr="002C2FB6">
        <w:rPr>
          <w:rFonts w:cs="Times New Roman"/>
          <w:szCs w:val="26"/>
        </w:rPr>
        <w:t xml:space="preserve"> ha</w:t>
      </w:r>
      <w:r w:rsidR="004A0B5A" w:rsidRPr="002C2FB6">
        <w:rPr>
          <w:rFonts w:cs="Times New Roman"/>
          <w:szCs w:val="26"/>
        </w:rPr>
        <w:t>ve</w:t>
      </w:r>
      <w:r w:rsidR="002B4D58" w:rsidRPr="002C2FB6">
        <w:rPr>
          <w:rFonts w:cs="Times New Roman"/>
          <w:szCs w:val="26"/>
        </w:rPr>
        <w:t xml:space="preserve"> wholesale requirements or transmission customers, the Commission evaluates whether there are sufficient potential economic benefits that offset the projected increase in rates.  If such benefits exist, the analysis of the effect on rates ends with a finding that there is no adverse effect on rates because of those offsetting economic benefits.</w:t>
      </w:r>
      <w:r w:rsidR="002B4D58" w:rsidRPr="002C2FB6">
        <w:rPr>
          <w:rStyle w:val="FootnoteReference"/>
        </w:rPr>
        <w:footnoteReference w:id="8"/>
      </w:r>
      <w:r w:rsidR="002B4D58" w:rsidRPr="002C2FB6">
        <w:rPr>
          <w:rFonts w:cs="Times New Roman"/>
          <w:szCs w:val="26"/>
        </w:rPr>
        <w:t xml:space="preserve">  </w:t>
      </w:r>
    </w:p>
    <w:p w14:paraId="0CE3C5DF" w14:textId="1938E63A" w:rsidR="002B4D58" w:rsidRPr="002C2FB6" w:rsidRDefault="002B4D58" w:rsidP="002B4D58">
      <w:pPr>
        <w:pStyle w:val="FERCparanumber"/>
        <w:autoSpaceDE w:val="0"/>
        <w:autoSpaceDN w:val="0"/>
        <w:adjustRightInd w:val="0"/>
        <w:spacing w:after="0"/>
        <w:rPr>
          <w:rFonts w:cs="Times New Roman"/>
          <w:szCs w:val="26"/>
        </w:rPr>
      </w:pPr>
      <w:r w:rsidRPr="002C2FB6">
        <w:rPr>
          <w:rFonts w:cs="Times New Roman"/>
          <w:szCs w:val="26"/>
        </w:rPr>
        <w:t xml:space="preserve">If </w:t>
      </w:r>
      <w:r w:rsidR="00186417" w:rsidRPr="002C2FB6">
        <w:rPr>
          <w:rFonts w:cs="Times New Roman"/>
          <w:szCs w:val="26"/>
        </w:rPr>
        <w:t xml:space="preserve">a proposed transaction has </w:t>
      </w:r>
      <w:r w:rsidR="00CF417D">
        <w:rPr>
          <w:rFonts w:cs="Times New Roman"/>
          <w:szCs w:val="26"/>
        </w:rPr>
        <w:t>the</w:t>
      </w:r>
      <w:r w:rsidR="00186417" w:rsidRPr="002C2FB6">
        <w:rPr>
          <w:rFonts w:cs="Times New Roman"/>
          <w:szCs w:val="26"/>
        </w:rPr>
        <w:t xml:space="preserve"> potential to increase wholesale rates</w:t>
      </w:r>
      <w:r w:rsidR="00CF417D">
        <w:rPr>
          <w:rFonts w:cs="Times New Roman"/>
          <w:szCs w:val="26"/>
        </w:rPr>
        <w:t>,</w:t>
      </w:r>
      <w:r w:rsidR="00186417" w:rsidRPr="002C2FB6">
        <w:rPr>
          <w:rFonts w:cs="Times New Roman"/>
          <w:szCs w:val="26"/>
        </w:rPr>
        <w:t xml:space="preserve"> but </w:t>
      </w:r>
      <w:r w:rsidRPr="002C2FB6">
        <w:rPr>
          <w:rFonts w:cs="Times New Roman"/>
          <w:szCs w:val="26"/>
        </w:rPr>
        <w:t xml:space="preserve">there </w:t>
      </w:r>
      <w:r w:rsidR="00186417" w:rsidRPr="002C2FB6">
        <w:rPr>
          <w:rFonts w:cs="Times New Roman"/>
          <w:szCs w:val="26"/>
        </w:rPr>
        <w:t>is no showing of quantifiable</w:t>
      </w:r>
      <w:r w:rsidRPr="002C2FB6">
        <w:rPr>
          <w:rFonts w:cs="Times New Roman"/>
          <w:szCs w:val="26"/>
        </w:rPr>
        <w:t xml:space="preserve"> offsetting economic benefits, the Commission </w:t>
      </w:r>
      <w:r w:rsidR="00186417" w:rsidRPr="002C2FB6">
        <w:rPr>
          <w:rFonts w:cs="Times New Roman"/>
          <w:szCs w:val="26"/>
        </w:rPr>
        <w:t xml:space="preserve">must </w:t>
      </w:r>
      <w:r w:rsidRPr="002C2FB6">
        <w:rPr>
          <w:rFonts w:cs="Times New Roman"/>
          <w:szCs w:val="26"/>
        </w:rPr>
        <w:t>determine whether ratepayers are sufficiently protected from the potential rate increase, or whether there are other</w:t>
      </w:r>
      <w:r w:rsidR="009B22E5">
        <w:rPr>
          <w:rFonts w:cs="Times New Roman"/>
          <w:szCs w:val="26"/>
        </w:rPr>
        <w:t xml:space="preserve"> non-quantifiable,</w:t>
      </w:r>
      <w:r w:rsidRPr="002C2FB6">
        <w:rPr>
          <w:rFonts w:cs="Times New Roman"/>
          <w:szCs w:val="26"/>
        </w:rPr>
        <w:t xml:space="preserve"> offsetting benefits that </w:t>
      </w:r>
      <w:r w:rsidR="00186417" w:rsidRPr="002C2FB6">
        <w:rPr>
          <w:rFonts w:cs="Times New Roman"/>
          <w:szCs w:val="26"/>
        </w:rPr>
        <w:t xml:space="preserve">would, nevertheless, support a finding that </w:t>
      </w:r>
      <w:r w:rsidRPr="002C2FB6">
        <w:rPr>
          <w:rFonts w:cs="Times New Roman"/>
          <w:szCs w:val="26"/>
        </w:rPr>
        <w:t xml:space="preserve">the proposed transaction </w:t>
      </w:r>
      <w:r w:rsidR="00186417" w:rsidRPr="002C2FB6">
        <w:rPr>
          <w:rFonts w:cs="Times New Roman"/>
          <w:szCs w:val="26"/>
        </w:rPr>
        <w:t>is</w:t>
      </w:r>
      <w:r w:rsidRPr="002C2FB6">
        <w:rPr>
          <w:rFonts w:cs="Times New Roman"/>
          <w:szCs w:val="26"/>
        </w:rPr>
        <w:t xml:space="preserve"> consistent with the public interest, regardless of the </w:t>
      </w:r>
      <w:r w:rsidR="00186417" w:rsidRPr="002C2FB6">
        <w:rPr>
          <w:rFonts w:cs="Times New Roman"/>
          <w:szCs w:val="26"/>
        </w:rPr>
        <w:t xml:space="preserve">potential for a </w:t>
      </w:r>
      <w:r w:rsidRPr="002C2FB6">
        <w:rPr>
          <w:rFonts w:cs="Times New Roman"/>
          <w:szCs w:val="26"/>
        </w:rPr>
        <w:t>rate</w:t>
      </w:r>
      <w:r w:rsidR="00186417" w:rsidRPr="002C2FB6">
        <w:rPr>
          <w:rFonts w:cs="Times New Roman"/>
          <w:szCs w:val="26"/>
        </w:rPr>
        <w:t xml:space="preserve"> increase</w:t>
      </w:r>
      <w:r w:rsidRPr="002C2FB6">
        <w:rPr>
          <w:rFonts w:cs="Times New Roman"/>
          <w:szCs w:val="26"/>
        </w:rPr>
        <w:t>.</w:t>
      </w:r>
      <w:r w:rsidRPr="002C2FB6">
        <w:rPr>
          <w:rStyle w:val="FootnoteReference"/>
        </w:rPr>
        <w:footnoteReference w:id="9"/>
      </w:r>
      <w:r w:rsidRPr="002C2FB6">
        <w:rPr>
          <w:rFonts w:cs="Times New Roman"/>
          <w:szCs w:val="26"/>
        </w:rPr>
        <w:t xml:space="preserve">  When the Commission has considered </w:t>
      </w:r>
      <w:r w:rsidR="00186417" w:rsidRPr="002C2FB6">
        <w:rPr>
          <w:rFonts w:cs="Times New Roman"/>
          <w:szCs w:val="26"/>
        </w:rPr>
        <w:t>such non-quantifiable</w:t>
      </w:r>
      <w:r w:rsidRPr="002C2FB6">
        <w:rPr>
          <w:rFonts w:cs="Times New Roman"/>
          <w:szCs w:val="26"/>
        </w:rPr>
        <w:t xml:space="preserve"> offsetting benefits, it has often been in the context of transactions that increase competition or enable more competitive markets, such as transactions resulting in the expansion of regional transmission organizations </w:t>
      </w:r>
      <w:r w:rsidRPr="00F904C9">
        <w:rPr>
          <w:rFonts w:cs="Times New Roman"/>
          <w:szCs w:val="26"/>
        </w:rPr>
        <w:t xml:space="preserve">or </w:t>
      </w:r>
      <w:r w:rsidR="006C25A8" w:rsidRPr="00F904C9">
        <w:rPr>
          <w:rFonts w:cs="Times New Roman"/>
          <w:szCs w:val="26"/>
        </w:rPr>
        <w:t xml:space="preserve">the </w:t>
      </w:r>
      <w:r w:rsidR="006C25A8" w:rsidRPr="00CB4D07">
        <w:rPr>
          <w:rFonts w:cs="Times New Roman"/>
          <w:szCs w:val="26"/>
        </w:rPr>
        <w:t xml:space="preserve">increase in </w:t>
      </w:r>
      <w:r w:rsidR="00F459A6" w:rsidRPr="00CB4D07">
        <w:rPr>
          <w:rFonts w:cs="Times New Roman"/>
          <w:szCs w:val="26"/>
        </w:rPr>
        <w:t xml:space="preserve">transmission ownership by </w:t>
      </w:r>
      <w:r w:rsidRPr="00CB4D07">
        <w:rPr>
          <w:rFonts w:cs="Times New Roman"/>
          <w:szCs w:val="26"/>
        </w:rPr>
        <w:t xml:space="preserve">independent transmission </w:t>
      </w:r>
      <w:r w:rsidR="00006142" w:rsidRPr="00CB4D07">
        <w:rPr>
          <w:rFonts w:cs="Times New Roman"/>
          <w:szCs w:val="26"/>
        </w:rPr>
        <w:t>companies</w:t>
      </w:r>
      <w:r w:rsidRPr="00CB4D07">
        <w:rPr>
          <w:rFonts w:cs="Times New Roman"/>
          <w:szCs w:val="26"/>
        </w:rPr>
        <w:t>.</w:t>
      </w:r>
      <w:r w:rsidRPr="00CB4D07">
        <w:rPr>
          <w:rStyle w:val="FootnoteReference"/>
        </w:rPr>
        <w:footnoteReference w:id="10"/>
      </w:r>
      <w:r w:rsidR="001464E0" w:rsidRPr="00067802">
        <w:rPr>
          <w:rFonts w:cs="Times New Roman"/>
          <w:szCs w:val="26"/>
        </w:rPr>
        <w:t xml:space="preserve"> </w:t>
      </w:r>
    </w:p>
    <w:p w14:paraId="2F093E25" w14:textId="77777777" w:rsidR="009D4CF3" w:rsidRDefault="002B4D58" w:rsidP="006177F0">
      <w:pPr>
        <w:pStyle w:val="FERCparanumber"/>
        <w:autoSpaceDE w:val="0"/>
        <w:autoSpaceDN w:val="0"/>
        <w:adjustRightInd w:val="0"/>
        <w:spacing w:after="0"/>
        <w:rPr>
          <w:rFonts w:cs="Times New Roman"/>
          <w:szCs w:val="26"/>
        </w:rPr>
      </w:pPr>
      <w:r w:rsidRPr="002C2FB6">
        <w:rPr>
          <w:rFonts w:cs="Times New Roman"/>
          <w:szCs w:val="26"/>
        </w:rPr>
        <w:t xml:space="preserve">Prior to </w:t>
      </w:r>
      <w:r w:rsidR="006817AB" w:rsidRPr="002C2FB6">
        <w:rPr>
          <w:rFonts w:cs="Times New Roman"/>
          <w:szCs w:val="26"/>
        </w:rPr>
        <w:t xml:space="preserve">the issuance </w:t>
      </w:r>
      <w:r w:rsidRPr="002C2FB6">
        <w:rPr>
          <w:rFonts w:cs="Times New Roman"/>
          <w:szCs w:val="26"/>
        </w:rPr>
        <w:t xml:space="preserve">of the Merger Policy Statement, the Commission had required applicants and intervenors to estimate the future costs and benefits of </w:t>
      </w:r>
      <w:r w:rsidR="0055418D" w:rsidRPr="002C2FB6">
        <w:rPr>
          <w:rFonts w:cs="Times New Roman"/>
          <w:szCs w:val="26"/>
        </w:rPr>
        <w:t xml:space="preserve">a </w:t>
      </w:r>
      <w:r w:rsidR="0055418D">
        <w:rPr>
          <w:rFonts w:cs="Times New Roman"/>
          <w:szCs w:val="26"/>
        </w:rPr>
        <w:t>transaction</w:t>
      </w:r>
      <w:r w:rsidRPr="002C2FB6">
        <w:rPr>
          <w:rFonts w:cs="Times New Roman"/>
          <w:szCs w:val="26"/>
        </w:rPr>
        <w:t xml:space="preserve"> and then litigate the validity of those estimates.  The Commission, however, eliminated those requirements in the Merger Policy Statement and established various mechanisms that applicants could implement to show that a merger would have no </w:t>
      </w:r>
    </w:p>
    <w:p w14:paraId="2B6DA1A1" w14:textId="77777777" w:rsidR="009D4CF3" w:rsidRDefault="009D4CF3" w:rsidP="009D4CF3">
      <w:pPr>
        <w:pStyle w:val="FERCparanumber"/>
        <w:numPr>
          <w:ilvl w:val="0"/>
          <w:numId w:val="0"/>
        </w:numPr>
        <w:autoSpaceDE w:val="0"/>
        <w:autoSpaceDN w:val="0"/>
        <w:adjustRightInd w:val="0"/>
        <w:spacing w:after="0"/>
        <w:rPr>
          <w:rFonts w:cs="Times New Roman"/>
          <w:szCs w:val="26"/>
        </w:rPr>
      </w:pPr>
    </w:p>
    <w:p w14:paraId="27DE5935" w14:textId="77777777" w:rsidR="009D4CF3" w:rsidRDefault="009D4CF3" w:rsidP="009D4CF3">
      <w:pPr>
        <w:pStyle w:val="FERCparanumber"/>
        <w:numPr>
          <w:ilvl w:val="0"/>
          <w:numId w:val="0"/>
        </w:numPr>
        <w:autoSpaceDE w:val="0"/>
        <w:autoSpaceDN w:val="0"/>
        <w:adjustRightInd w:val="0"/>
        <w:spacing w:after="0"/>
        <w:rPr>
          <w:rFonts w:cs="Times New Roman"/>
          <w:szCs w:val="26"/>
        </w:rPr>
      </w:pPr>
    </w:p>
    <w:p w14:paraId="192AA347" w14:textId="10A1D4CE" w:rsidR="002B4D58" w:rsidRPr="002C2FB6" w:rsidRDefault="002B4D58" w:rsidP="009D4CF3">
      <w:pPr>
        <w:pStyle w:val="FERCparanumber"/>
        <w:numPr>
          <w:ilvl w:val="0"/>
          <w:numId w:val="0"/>
        </w:numPr>
        <w:autoSpaceDE w:val="0"/>
        <w:autoSpaceDN w:val="0"/>
        <w:adjustRightInd w:val="0"/>
        <w:spacing w:after="0"/>
        <w:rPr>
          <w:rFonts w:cs="Times New Roman"/>
          <w:szCs w:val="26"/>
        </w:rPr>
      </w:pPr>
      <w:r w:rsidRPr="002C2FB6">
        <w:rPr>
          <w:rFonts w:cs="Times New Roman"/>
          <w:szCs w:val="26"/>
        </w:rPr>
        <w:t>adverse effect on rates.</w:t>
      </w:r>
      <w:r w:rsidR="00CA3F87" w:rsidRPr="002C2FB6">
        <w:rPr>
          <w:rStyle w:val="FootnoteReference"/>
        </w:rPr>
        <w:footnoteReference w:id="11"/>
      </w:r>
      <w:r w:rsidRPr="002C2FB6">
        <w:rPr>
          <w:rFonts w:cs="Times New Roman"/>
          <w:szCs w:val="26"/>
        </w:rPr>
        <w:t xml:space="preserve">  As the Commission explained:</w:t>
      </w:r>
    </w:p>
    <w:p w14:paraId="13C6952A"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Merger applicants should propose ratepayer protection mechanisms to assure that customers are protected if the expected benefits do not materialize.  The applicant bears the burden of proof to demonstrate that the customer will be protected.  This puts the risk that the benefits will not materialize where it belongs—on the applicants.</w:t>
      </w:r>
    </w:p>
    <w:p w14:paraId="445532D7"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Furthermore, we believe that the most promising and expeditious means of addressing ratepayer protection is for the parties to negotiate an agreement on ratepayer protection mechanisms.  The applicants should attempt to resolve the issue with customers even before filing, and should propose a mechanism as part of their filing.  Even if these negotiations have not succeeded by the time of filing, the parties should continue to try to reach a settlement.  What constitutes adequate ratepayer protection necessarily will depend on the particular circumstances of the merging utilities and their ratepayers, and we strongly encourage parties to minimize contentious issues and to resolve them without the time and expense of a formal hearing.  Parties may not be able to reach an agreement on an appropriate ratepayer protection and the Commission may still be able to approve the merger.  As mentioned earlier, this could occur either after a hearing or on the basis of parties’ filings if we determine that the applicants' proposal sufficiently insulates the ratepayers from harm.</w:t>
      </w:r>
      <w:r w:rsidRPr="002C2FB6">
        <w:rPr>
          <w:rStyle w:val="FootnoteReference"/>
          <w:rFonts w:eastAsia="Times New Roman"/>
        </w:rPr>
        <w:footnoteReference w:id="12"/>
      </w:r>
    </w:p>
    <w:p w14:paraId="5A91BF6D" w14:textId="77777777" w:rsidR="009D4CF3" w:rsidRDefault="002B4D58" w:rsidP="006177F0">
      <w:pPr>
        <w:pStyle w:val="FERCparanumber"/>
        <w:autoSpaceDE w:val="0"/>
        <w:autoSpaceDN w:val="0"/>
        <w:adjustRightInd w:val="0"/>
        <w:spacing w:after="0"/>
        <w:rPr>
          <w:rFonts w:cs="Times New Roman"/>
          <w:szCs w:val="26"/>
        </w:rPr>
      </w:pPr>
      <w:r w:rsidRPr="002C2FB6">
        <w:rPr>
          <w:rFonts w:cs="Times New Roman"/>
          <w:szCs w:val="26"/>
        </w:rPr>
        <w:t>The Commission then explained that it had previously accepted “a variety of hold harmless provisions,” and that parties could consider those as well as “other mechanisms if they appropriately address ratepayer concerns.”</w:t>
      </w:r>
      <w:r w:rsidRPr="002C2FB6">
        <w:rPr>
          <w:rStyle w:val="FootnoteReference"/>
        </w:rPr>
        <w:footnoteReference w:id="13"/>
      </w:r>
      <w:r w:rsidRPr="002C2FB6">
        <w:rPr>
          <w:rFonts w:cs="Times New Roman"/>
          <w:szCs w:val="26"/>
        </w:rPr>
        <w:t xml:space="preserve">  Among the types of protection the </w:t>
      </w:r>
    </w:p>
    <w:p w14:paraId="138C3FFE" w14:textId="2469B01C" w:rsidR="002B4D58" w:rsidRPr="002C2FB6" w:rsidRDefault="002B4D58" w:rsidP="009D4CF3">
      <w:pPr>
        <w:pStyle w:val="FERCparanumber"/>
        <w:numPr>
          <w:ilvl w:val="0"/>
          <w:numId w:val="0"/>
        </w:numPr>
        <w:autoSpaceDE w:val="0"/>
        <w:autoSpaceDN w:val="0"/>
        <w:adjustRightInd w:val="0"/>
        <w:spacing w:after="0"/>
        <w:rPr>
          <w:rFonts w:cs="Times New Roman"/>
          <w:szCs w:val="26"/>
        </w:rPr>
      </w:pPr>
      <w:r w:rsidRPr="002C2FB6">
        <w:rPr>
          <w:rFonts w:cs="Times New Roman"/>
          <w:szCs w:val="26"/>
        </w:rPr>
        <w:t>Commission stated applicants could propose were the following:</w:t>
      </w:r>
    </w:p>
    <w:p w14:paraId="067FBD9B"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 Open season for wholesale customers—applicants agree to allow existing wholesale customers a reasonable opportunity to terminate their contracts (after notice) and switch suppliers.  This allows customers to protect themselves from merger-related harm.</w:t>
      </w:r>
    </w:p>
    <w:p w14:paraId="6D999DFA"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 General hold harmless provision—a commitment from the applicant that it will protect wholesale customers from any adverse rate effects resulting from the merger for a significant period of time following the merger.  Such a provision must be enforceable and administratively manageable.</w:t>
      </w:r>
    </w:p>
    <w:p w14:paraId="394E6247"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 Moratorium on increases in base rates (rate freeze)—applicants commit to freezing their rates for wholesale customers under certain tariffs for a significant period of time.</w:t>
      </w:r>
    </w:p>
    <w:p w14:paraId="0F1D0B32"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 Rate reduction—applicants make a commitment to file a rate decrease for their wholesale customers to cover a significant period of time.</w:t>
      </w:r>
      <w:r w:rsidRPr="002C2FB6">
        <w:rPr>
          <w:rStyle w:val="FootnoteReference"/>
          <w:rFonts w:eastAsia="Times New Roman"/>
        </w:rPr>
        <w:footnoteReference w:id="14"/>
      </w:r>
    </w:p>
    <w:p w14:paraId="684348FD" w14:textId="77777777" w:rsidR="002B4D58" w:rsidRPr="002C2FB6" w:rsidRDefault="002B4D58" w:rsidP="002B4D58">
      <w:pPr>
        <w:pStyle w:val="FERCparanumber"/>
        <w:autoSpaceDE w:val="0"/>
        <w:autoSpaceDN w:val="0"/>
        <w:adjustRightInd w:val="0"/>
        <w:spacing w:after="240"/>
        <w:rPr>
          <w:rFonts w:cs="Times New Roman"/>
          <w:szCs w:val="26"/>
        </w:rPr>
      </w:pPr>
      <w:r w:rsidRPr="002C2FB6">
        <w:rPr>
          <w:rFonts w:cs="Times New Roman"/>
          <w:szCs w:val="26"/>
        </w:rPr>
        <w:t>The Commission concluded that</w:t>
      </w:r>
      <w:r w:rsidR="00186417" w:rsidRPr="002C2FB6">
        <w:rPr>
          <w:rFonts w:cs="Times New Roman"/>
          <w:szCs w:val="26"/>
        </w:rPr>
        <w:t>,</w:t>
      </w:r>
      <w:r w:rsidRPr="002C2FB6">
        <w:rPr>
          <w:rFonts w:cs="Times New Roman"/>
          <w:szCs w:val="26"/>
        </w:rPr>
        <w:t xml:space="preserve"> although each mechanism would provide some benefit to ratepayers, in the majority of circumstances the most meaningful (and the most likely to give wholesale customers the earliest opportunity to take advantage of emerging competitive wholesale markets) was an open season provision.</w:t>
      </w:r>
      <w:r w:rsidRPr="002C2FB6">
        <w:rPr>
          <w:rStyle w:val="FootnoteReference"/>
        </w:rPr>
        <w:footnoteReference w:id="15"/>
      </w:r>
      <w:r w:rsidRPr="002C2FB6">
        <w:rPr>
          <w:rFonts w:cs="Times New Roman"/>
          <w:szCs w:val="26"/>
        </w:rPr>
        <w:t xml:space="preserve">  The Commission stated that if intervenors raised a substantial question as to the adequacy of a merger applicant’s proposal, the parties should continue to pursue a settlement; if no agreement could be reached, the Commission explained it might decide the issue on the written record or set the issue for hearing.</w:t>
      </w:r>
      <w:r w:rsidRPr="002C2FB6">
        <w:rPr>
          <w:rStyle w:val="FootnoteReference"/>
        </w:rPr>
        <w:footnoteReference w:id="16"/>
      </w:r>
    </w:p>
    <w:p w14:paraId="78540B37" w14:textId="77777777" w:rsidR="002B4D58" w:rsidRPr="002C2FB6" w:rsidRDefault="002B4D58" w:rsidP="002B4D58">
      <w:pPr>
        <w:pStyle w:val="FERCparanumber"/>
        <w:autoSpaceDE w:val="0"/>
        <w:autoSpaceDN w:val="0"/>
        <w:adjustRightInd w:val="0"/>
        <w:spacing w:after="0"/>
        <w:rPr>
          <w:rFonts w:cs="Times New Roman"/>
          <w:szCs w:val="26"/>
        </w:rPr>
      </w:pPr>
      <w:r w:rsidRPr="002C2FB6">
        <w:rPr>
          <w:rFonts w:cs="Times New Roman"/>
          <w:szCs w:val="26"/>
        </w:rPr>
        <w:t>Subsequently, in Order No. 642, the Commission promulgated regulations governing FPA section 203 applications and described the information applicants must submit regarding the effect of a proposed transaction on rates.  In relevant part, the Commission stated:</w:t>
      </w:r>
    </w:p>
    <w:p w14:paraId="4B3F401B" w14:textId="77777777" w:rsidR="002B4D58" w:rsidRPr="002C2FB6"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In the [Merger] Policy Statement, we determined that ratepayer protection mechanisms (e.g., open seasons to allow early termination of existing service contracts or rate freezes) may be necessary to protect the wholesale customers of merger applicants.  …</w:t>
      </w:r>
    </w:p>
    <w:p w14:paraId="548B20B4" w14:textId="77777777" w:rsidR="002B4D58" w:rsidRDefault="002B4D58" w:rsidP="00B83E81">
      <w:pPr>
        <w:spacing w:line="240" w:lineRule="auto"/>
        <w:ind w:left="720" w:right="720"/>
        <w:jc w:val="both"/>
        <w:rPr>
          <w:rFonts w:ascii="Times New Roman" w:eastAsia="Times New Roman" w:hAnsi="Times New Roman" w:cs="Times New Roman"/>
          <w:sz w:val="26"/>
          <w:szCs w:val="26"/>
        </w:rPr>
      </w:pPr>
      <w:r w:rsidRPr="002C2FB6">
        <w:rPr>
          <w:rFonts w:ascii="Times New Roman" w:eastAsia="Times New Roman" w:hAnsi="Times New Roman" w:cs="Times New Roman"/>
          <w:sz w:val="26"/>
          <w:szCs w:val="26"/>
        </w:rPr>
        <w:t>Thus, in the [Notice of Proposed Rulemaking] we proposed that all merger applicants demonstrate how wholesale ratepayers will be protected and that applicants will have the burden of proving that their proposed ratepayer protections are adequate.  Specifically, we proposed that applicants must clearly identify what customer groups are covered (e.g., requirements customers, transmission customers, formula rate customers, etc.), what types of costs are covered, and the time period for which the protection will apply.</w:t>
      </w:r>
      <w:r w:rsidRPr="002C2FB6">
        <w:rPr>
          <w:rStyle w:val="FootnoteReference"/>
          <w:rFonts w:eastAsia="Times New Roman"/>
        </w:rPr>
        <w:footnoteReference w:id="17"/>
      </w:r>
    </w:p>
    <w:p w14:paraId="1300A816" w14:textId="77777777" w:rsidR="009D4CF3" w:rsidRDefault="009D4CF3" w:rsidP="00B83E81">
      <w:pPr>
        <w:spacing w:line="240" w:lineRule="auto"/>
        <w:ind w:left="720" w:right="720"/>
        <w:jc w:val="both"/>
        <w:rPr>
          <w:rFonts w:ascii="Times New Roman" w:eastAsia="Times New Roman" w:hAnsi="Times New Roman" w:cs="Times New Roman"/>
          <w:sz w:val="26"/>
          <w:szCs w:val="26"/>
        </w:rPr>
      </w:pPr>
    </w:p>
    <w:p w14:paraId="1B3D1243" w14:textId="77777777" w:rsidR="009D4CF3" w:rsidRDefault="009D4CF3" w:rsidP="00B83E81">
      <w:pPr>
        <w:spacing w:line="240" w:lineRule="auto"/>
        <w:ind w:left="720" w:right="720"/>
        <w:jc w:val="both"/>
        <w:rPr>
          <w:rFonts w:ascii="Times New Roman" w:eastAsia="Times New Roman" w:hAnsi="Times New Roman" w:cs="Times New Roman"/>
          <w:sz w:val="26"/>
          <w:szCs w:val="26"/>
        </w:rPr>
      </w:pPr>
    </w:p>
    <w:p w14:paraId="78726B82" w14:textId="77777777" w:rsidR="002B4D58" w:rsidRPr="002C2FB6" w:rsidRDefault="002B4D58" w:rsidP="002B4D58">
      <w:pPr>
        <w:pStyle w:val="FERCparanumber"/>
        <w:autoSpaceDE w:val="0"/>
        <w:autoSpaceDN w:val="0"/>
        <w:adjustRightInd w:val="0"/>
        <w:spacing w:after="0"/>
        <w:rPr>
          <w:rFonts w:cs="Times New Roman"/>
          <w:szCs w:val="26"/>
        </w:rPr>
      </w:pPr>
      <w:r w:rsidRPr="002C2FB6">
        <w:rPr>
          <w:rFonts w:cs="Times New Roman"/>
          <w:szCs w:val="26"/>
        </w:rPr>
        <w:t>The Commission adopted the proposals set forth in the Notice of Proposed Rulemaking and emphasized that if applicants did not offer any ratepayer protection mechanisms, they must explain how the proposed merger would provide adequate ratepayer protection.</w:t>
      </w:r>
      <w:r w:rsidRPr="002C2FB6">
        <w:rPr>
          <w:rStyle w:val="FootnoteReference"/>
        </w:rPr>
        <w:footnoteReference w:id="18"/>
      </w:r>
    </w:p>
    <w:p w14:paraId="58935D6D" w14:textId="77777777" w:rsidR="002B4D58" w:rsidRPr="002C2FB6" w:rsidRDefault="002B4D58" w:rsidP="00573873">
      <w:pPr>
        <w:pStyle w:val="Heading2"/>
        <w:spacing w:before="0"/>
        <w:ind w:left="1440" w:hanging="720"/>
        <w:rPr>
          <w:rFonts w:cs="Times New Roman"/>
          <w:szCs w:val="26"/>
        </w:rPr>
      </w:pPr>
      <w:r w:rsidRPr="002C2FB6">
        <w:rPr>
          <w:rFonts w:cs="Times New Roman"/>
          <w:szCs w:val="26"/>
        </w:rPr>
        <w:t>Current Commission Practice Regarding Hold Harmless Commitments</w:t>
      </w:r>
    </w:p>
    <w:p w14:paraId="2873FA89" w14:textId="08F51CFD" w:rsidR="009B120E" w:rsidRPr="002C2FB6" w:rsidRDefault="006E7588" w:rsidP="009B120E">
      <w:pPr>
        <w:pStyle w:val="FERCparanumber"/>
        <w:autoSpaceDE w:val="0"/>
        <w:autoSpaceDN w:val="0"/>
        <w:adjustRightInd w:val="0"/>
        <w:spacing w:after="0"/>
        <w:rPr>
          <w:rFonts w:cs="Times New Roman"/>
          <w:szCs w:val="26"/>
        </w:rPr>
      </w:pPr>
      <w:r>
        <w:rPr>
          <w:rFonts w:cs="Times New Roman"/>
          <w:szCs w:val="26"/>
        </w:rPr>
        <w:t>O</w:t>
      </w:r>
      <w:r w:rsidR="002B4D58" w:rsidRPr="002C2FB6">
        <w:rPr>
          <w:rFonts w:cs="Times New Roman"/>
          <w:szCs w:val="26"/>
        </w:rPr>
        <w:t>ver the last decade hold harmless commitments have become a common feature of FPA section 203 applications</w:t>
      </w:r>
      <w:r w:rsidR="00186417" w:rsidRPr="002C2FB6">
        <w:rPr>
          <w:rFonts w:cs="Times New Roman"/>
          <w:szCs w:val="26"/>
        </w:rPr>
        <w:t xml:space="preserve"> involving </w:t>
      </w:r>
      <w:r w:rsidR="009B120E" w:rsidRPr="002C2FB6">
        <w:rPr>
          <w:rFonts w:cs="Times New Roman"/>
          <w:szCs w:val="26"/>
        </w:rPr>
        <w:t>mergers of traditional franchised utilities or their upstream holding companies.</w:t>
      </w:r>
      <w:r w:rsidR="009B120E" w:rsidRPr="002C2FB6">
        <w:rPr>
          <w:rStyle w:val="FootnoteReference"/>
        </w:rPr>
        <w:footnoteReference w:id="19"/>
      </w:r>
      <w:r w:rsidR="009B120E" w:rsidRPr="002C2FB6">
        <w:rPr>
          <w:rFonts w:cs="Times New Roman"/>
          <w:szCs w:val="26"/>
        </w:rPr>
        <w:t xml:space="preserve">  More recently, </w:t>
      </w:r>
      <w:r w:rsidR="00AC3436" w:rsidRPr="002C2FB6">
        <w:rPr>
          <w:rFonts w:cs="Times New Roman"/>
          <w:szCs w:val="26"/>
        </w:rPr>
        <w:t xml:space="preserve">some applicants have made </w:t>
      </w:r>
      <w:r w:rsidR="009B120E" w:rsidRPr="002C2FB6">
        <w:rPr>
          <w:rFonts w:cs="Times New Roman"/>
          <w:szCs w:val="26"/>
        </w:rPr>
        <w:t xml:space="preserve">hold harmless commitments in connection with </w:t>
      </w:r>
      <w:r w:rsidR="005C1A5A" w:rsidRPr="002C2FB6">
        <w:rPr>
          <w:rFonts w:cs="Times New Roman"/>
          <w:szCs w:val="26"/>
        </w:rPr>
        <w:t>transactions involving</w:t>
      </w:r>
      <w:r w:rsidR="009B120E" w:rsidRPr="002C2FB6">
        <w:rPr>
          <w:rFonts w:cs="Times New Roman"/>
          <w:szCs w:val="26"/>
        </w:rPr>
        <w:t xml:space="preserve"> </w:t>
      </w:r>
      <w:r w:rsidR="008C1BBE">
        <w:rPr>
          <w:rFonts w:cs="Times New Roman"/>
          <w:szCs w:val="26"/>
        </w:rPr>
        <w:t xml:space="preserve">the </w:t>
      </w:r>
      <w:r w:rsidR="00CA3BE7">
        <w:rPr>
          <w:rFonts w:cs="Times New Roman"/>
          <w:szCs w:val="26"/>
        </w:rPr>
        <w:t xml:space="preserve">acquisition or disposition of </w:t>
      </w:r>
      <w:r w:rsidR="009B120E" w:rsidRPr="002C2FB6">
        <w:rPr>
          <w:rFonts w:cs="Times New Roman"/>
          <w:szCs w:val="26"/>
        </w:rPr>
        <w:t>existing jurisdictional facilities</w:t>
      </w:r>
      <w:r w:rsidR="00CA3BE7">
        <w:rPr>
          <w:rFonts w:cs="Times New Roman"/>
          <w:szCs w:val="26"/>
        </w:rPr>
        <w:t xml:space="preserve">, </w:t>
      </w:r>
      <w:r w:rsidR="008C1BBE">
        <w:rPr>
          <w:rFonts w:cs="Times New Roman"/>
          <w:szCs w:val="26"/>
        </w:rPr>
        <w:t>including</w:t>
      </w:r>
      <w:r w:rsidR="00CA3BE7">
        <w:rPr>
          <w:rFonts w:cs="Times New Roman"/>
          <w:szCs w:val="26"/>
        </w:rPr>
        <w:t xml:space="preserve"> in </w:t>
      </w:r>
      <w:r w:rsidR="008C1BBE">
        <w:rPr>
          <w:rFonts w:cs="Times New Roman"/>
          <w:szCs w:val="26"/>
        </w:rPr>
        <w:t>circumstances where</w:t>
      </w:r>
      <w:r w:rsidR="00CA3BE7">
        <w:rPr>
          <w:rFonts w:cs="Times New Roman"/>
          <w:szCs w:val="26"/>
        </w:rPr>
        <w:t xml:space="preserve"> </w:t>
      </w:r>
      <w:r w:rsidR="009B120E" w:rsidRPr="002C2FB6">
        <w:rPr>
          <w:rFonts w:cs="Times New Roman"/>
          <w:szCs w:val="26"/>
        </w:rPr>
        <w:t xml:space="preserve">the acquiring entity </w:t>
      </w:r>
      <w:r w:rsidR="008C1BBE">
        <w:rPr>
          <w:rFonts w:cs="Times New Roman"/>
          <w:szCs w:val="26"/>
        </w:rPr>
        <w:t>wa</w:t>
      </w:r>
      <w:r w:rsidR="009B120E" w:rsidRPr="002C2FB6">
        <w:rPr>
          <w:rFonts w:cs="Times New Roman"/>
          <w:szCs w:val="26"/>
        </w:rPr>
        <w:t>s a traditional franchised utility and enter</w:t>
      </w:r>
      <w:r>
        <w:rPr>
          <w:rFonts w:cs="Times New Roman"/>
          <w:szCs w:val="26"/>
        </w:rPr>
        <w:t>ed</w:t>
      </w:r>
      <w:r w:rsidR="009B120E" w:rsidRPr="002C2FB6">
        <w:rPr>
          <w:rFonts w:cs="Times New Roman"/>
          <w:szCs w:val="26"/>
        </w:rPr>
        <w:t xml:space="preserve"> into the transaction in order to satisfy resource adequacy requirements at the state level, to improve system reliability and/or meet other regulatory requirements.</w:t>
      </w:r>
      <w:r w:rsidR="00A57B2C" w:rsidRPr="002C2FB6">
        <w:rPr>
          <w:rStyle w:val="FootnoteReference"/>
        </w:rPr>
        <w:footnoteReference w:id="20"/>
      </w:r>
      <w:r w:rsidR="009B120E" w:rsidRPr="002C2FB6">
        <w:rPr>
          <w:rFonts w:cs="Times New Roman"/>
          <w:szCs w:val="26"/>
        </w:rPr>
        <w:t xml:space="preserve">  </w:t>
      </w:r>
    </w:p>
    <w:p w14:paraId="045F2EBE" w14:textId="0D0B74AE" w:rsidR="002B4D58" w:rsidRPr="00E959F7" w:rsidRDefault="002B4D58" w:rsidP="009B120E">
      <w:pPr>
        <w:pStyle w:val="FERCparanumber"/>
        <w:autoSpaceDE w:val="0"/>
        <w:autoSpaceDN w:val="0"/>
        <w:adjustRightInd w:val="0"/>
        <w:spacing w:after="0"/>
        <w:rPr>
          <w:rFonts w:cs="Times New Roman"/>
          <w:b/>
          <w:szCs w:val="26"/>
        </w:rPr>
      </w:pPr>
      <w:r w:rsidRPr="002C2FB6">
        <w:rPr>
          <w:rFonts w:cs="Times New Roman"/>
          <w:szCs w:val="26"/>
        </w:rPr>
        <w:t xml:space="preserve">The Commission has consistently accepted hold harmless commitments </w:t>
      </w:r>
      <w:r w:rsidR="00EE5B17" w:rsidRPr="002C2FB6">
        <w:rPr>
          <w:rFonts w:cs="Times New Roman"/>
          <w:szCs w:val="26"/>
        </w:rPr>
        <w:t xml:space="preserve">in which </w:t>
      </w:r>
      <w:r w:rsidR="000D3BF8" w:rsidRPr="002C2FB6">
        <w:rPr>
          <w:rFonts w:cs="Times New Roman"/>
          <w:szCs w:val="26"/>
        </w:rPr>
        <w:t xml:space="preserve">FPA </w:t>
      </w:r>
      <w:r w:rsidR="00EE5B17" w:rsidRPr="002C2FB6">
        <w:rPr>
          <w:rFonts w:cs="Times New Roman"/>
          <w:szCs w:val="26"/>
        </w:rPr>
        <w:t>section 203 applicants commit not to seek recovery of</w:t>
      </w:r>
      <w:r w:rsidRPr="002C2FB6">
        <w:rPr>
          <w:rFonts w:cs="Times New Roman"/>
          <w:szCs w:val="26"/>
        </w:rPr>
        <w:t xml:space="preserve"> </w:t>
      </w:r>
      <w:r w:rsidR="00EE5B17" w:rsidRPr="002C2FB6">
        <w:rPr>
          <w:rFonts w:cs="Times New Roman"/>
          <w:szCs w:val="26"/>
        </w:rPr>
        <w:t xml:space="preserve">transaction-related </w:t>
      </w:r>
      <w:r w:rsidRPr="002C2FB6">
        <w:rPr>
          <w:rFonts w:cs="Times New Roman"/>
          <w:szCs w:val="26"/>
        </w:rPr>
        <w:t xml:space="preserve">costs </w:t>
      </w:r>
      <w:r w:rsidR="00EE5B17" w:rsidRPr="002C2FB6">
        <w:rPr>
          <w:rFonts w:cs="Times New Roman"/>
          <w:szCs w:val="26"/>
        </w:rPr>
        <w:t xml:space="preserve">in jurisdictional rates except to the extent that such costs are </w:t>
      </w:r>
      <w:r w:rsidR="00BD5FC1" w:rsidRPr="002C2FB6">
        <w:rPr>
          <w:rFonts w:cs="Times New Roman"/>
          <w:szCs w:val="26"/>
        </w:rPr>
        <w:t>offset</w:t>
      </w:r>
      <w:r w:rsidR="00EE5B17" w:rsidRPr="002C2FB6">
        <w:rPr>
          <w:rFonts w:cs="Times New Roman"/>
          <w:szCs w:val="26"/>
        </w:rPr>
        <w:t xml:space="preserve"> by transaction-related savings</w:t>
      </w:r>
      <w:r w:rsidRPr="002C2FB6">
        <w:rPr>
          <w:rFonts w:cs="Times New Roman"/>
          <w:szCs w:val="26"/>
        </w:rPr>
        <w:t>.</w:t>
      </w:r>
      <w:r w:rsidRPr="002C2FB6">
        <w:rPr>
          <w:rStyle w:val="FootnoteReference"/>
        </w:rPr>
        <w:footnoteReference w:id="21"/>
      </w:r>
      <w:r w:rsidR="00EE5B17" w:rsidRPr="002C2FB6">
        <w:rPr>
          <w:rFonts w:cs="Times New Roman"/>
          <w:szCs w:val="26"/>
        </w:rPr>
        <w:t xml:space="preserve">  </w:t>
      </w:r>
      <w:r w:rsidR="00450B0D" w:rsidRPr="002C2FB6">
        <w:rPr>
          <w:rFonts w:cs="Times New Roman"/>
          <w:szCs w:val="26"/>
        </w:rPr>
        <w:t xml:space="preserve">Thus, hold harmless commitments typically focus on </w:t>
      </w:r>
      <w:r w:rsidR="008E098E">
        <w:rPr>
          <w:rFonts w:cs="Times New Roman"/>
          <w:szCs w:val="26"/>
        </w:rPr>
        <w:t>preventing</w:t>
      </w:r>
      <w:r w:rsidR="008E098E" w:rsidRPr="002C2FB6">
        <w:rPr>
          <w:rFonts w:cs="Times New Roman"/>
          <w:szCs w:val="26"/>
        </w:rPr>
        <w:t xml:space="preserve"> </w:t>
      </w:r>
      <w:r w:rsidR="00450B0D" w:rsidRPr="002C2FB6">
        <w:rPr>
          <w:rFonts w:cs="Times New Roman"/>
          <w:szCs w:val="26"/>
        </w:rPr>
        <w:t xml:space="preserve">recovery in rates of the costs incurred that are “related” to the </w:t>
      </w:r>
      <w:r w:rsidR="008E098E">
        <w:rPr>
          <w:rFonts w:cs="Times New Roman"/>
          <w:szCs w:val="26"/>
        </w:rPr>
        <w:t>transaction</w:t>
      </w:r>
      <w:r w:rsidR="00450B0D" w:rsidRPr="002C2FB6">
        <w:rPr>
          <w:rFonts w:cs="Times New Roman"/>
          <w:szCs w:val="26"/>
        </w:rPr>
        <w:t xml:space="preserve">.  </w:t>
      </w:r>
      <w:r w:rsidRPr="002C2FB6">
        <w:rPr>
          <w:rFonts w:cs="Times New Roman"/>
          <w:szCs w:val="26"/>
        </w:rPr>
        <w:t xml:space="preserve">The Commission </w:t>
      </w:r>
      <w:r w:rsidR="00A96F55">
        <w:rPr>
          <w:rFonts w:cs="Times New Roman"/>
          <w:szCs w:val="26"/>
        </w:rPr>
        <w:t xml:space="preserve">has </w:t>
      </w:r>
      <w:r w:rsidR="005220C7" w:rsidRPr="002C2FB6">
        <w:rPr>
          <w:rFonts w:cs="Times New Roman"/>
          <w:szCs w:val="26"/>
        </w:rPr>
        <w:t>previously</w:t>
      </w:r>
      <w:r w:rsidRPr="002C2FB6">
        <w:rPr>
          <w:rFonts w:cs="Times New Roman"/>
          <w:szCs w:val="26"/>
        </w:rPr>
        <w:t xml:space="preserve"> found </w:t>
      </w:r>
      <w:r w:rsidR="008C3D56" w:rsidRPr="002C2FB6">
        <w:rPr>
          <w:rFonts w:cs="Times New Roman"/>
          <w:szCs w:val="26"/>
        </w:rPr>
        <w:t>that hold harmless commitments</w:t>
      </w:r>
      <w:r w:rsidRPr="002C2FB6">
        <w:rPr>
          <w:rFonts w:cs="Times New Roman"/>
          <w:szCs w:val="26"/>
        </w:rPr>
        <w:t xml:space="preserve"> </w:t>
      </w:r>
      <w:r w:rsidR="008C3D56" w:rsidRPr="002C2FB6">
        <w:rPr>
          <w:rFonts w:cs="Times New Roman"/>
          <w:szCs w:val="26"/>
        </w:rPr>
        <w:t>under which applicant</w:t>
      </w:r>
      <w:r w:rsidR="004A0B5A" w:rsidRPr="002C2FB6">
        <w:rPr>
          <w:rFonts w:cs="Times New Roman"/>
          <w:szCs w:val="26"/>
        </w:rPr>
        <w:t>s</w:t>
      </w:r>
      <w:r w:rsidR="008C3D56" w:rsidRPr="002C2FB6">
        <w:rPr>
          <w:rFonts w:cs="Times New Roman"/>
          <w:szCs w:val="26"/>
        </w:rPr>
        <w:t xml:space="preserve"> commit not to seek to recover</w:t>
      </w:r>
      <w:r w:rsidRPr="002C2FB6">
        <w:rPr>
          <w:rFonts w:cs="Times New Roman"/>
          <w:szCs w:val="26"/>
        </w:rPr>
        <w:t xml:space="preserve"> transaction-related costs </w:t>
      </w:r>
      <w:r w:rsidR="008C3D56" w:rsidRPr="002C2FB6">
        <w:rPr>
          <w:rFonts w:cs="Times New Roman"/>
          <w:szCs w:val="26"/>
        </w:rPr>
        <w:t xml:space="preserve">except to the extent that such costs are </w:t>
      </w:r>
      <w:r w:rsidRPr="002C2FB6">
        <w:rPr>
          <w:rFonts w:cs="Times New Roman"/>
          <w:szCs w:val="26"/>
        </w:rPr>
        <w:t>exceed</w:t>
      </w:r>
      <w:r w:rsidR="008C3D56" w:rsidRPr="002C2FB6">
        <w:rPr>
          <w:rFonts w:cs="Times New Roman"/>
          <w:szCs w:val="26"/>
        </w:rPr>
        <w:t>ed</w:t>
      </w:r>
      <w:r w:rsidR="0080044C" w:rsidRPr="002C2FB6">
        <w:rPr>
          <w:rFonts w:cs="Times New Roman"/>
          <w:szCs w:val="26"/>
        </w:rPr>
        <w:t xml:space="preserve"> by</w:t>
      </w:r>
      <w:r w:rsidRPr="002C2FB6">
        <w:rPr>
          <w:rFonts w:cs="Times New Roman"/>
          <w:szCs w:val="26"/>
        </w:rPr>
        <w:t xml:space="preserve"> demonstrated transaction-related savings for a period of five years to be “standard.”</w:t>
      </w:r>
      <w:r w:rsidRPr="002C2FB6">
        <w:rPr>
          <w:rStyle w:val="FootnoteReference"/>
        </w:rPr>
        <w:footnoteReference w:id="22"/>
      </w:r>
      <w:r w:rsidRPr="002C2FB6">
        <w:rPr>
          <w:rFonts w:cs="Times New Roman"/>
          <w:szCs w:val="26"/>
        </w:rPr>
        <w:t xml:space="preserve">  </w:t>
      </w:r>
    </w:p>
    <w:p w14:paraId="784A00E5" w14:textId="77777777" w:rsidR="00A66DA8" w:rsidRDefault="002B4D58" w:rsidP="002B4D58">
      <w:pPr>
        <w:pStyle w:val="FERCparanumber"/>
        <w:autoSpaceDE w:val="0"/>
        <w:autoSpaceDN w:val="0"/>
        <w:adjustRightInd w:val="0"/>
        <w:spacing w:after="0"/>
        <w:rPr>
          <w:rFonts w:cs="Times New Roman"/>
          <w:szCs w:val="26"/>
        </w:rPr>
      </w:pPr>
      <w:r w:rsidRPr="002C2FB6">
        <w:rPr>
          <w:rFonts w:cs="Times New Roman"/>
          <w:szCs w:val="26"/>
        </w:rPr>
        <w:t xml:space="preserve">Although the Commission has </w:t>
      </w:r>
      <w:r w:rsidR="008C3D56" w:rsidRPr="002C2FB6">
        <w:rPr>
          <w:rFonts w:cs="Times New Roman"/>
          <w:szCs w:val="26"/>
        </w:rPr>
        <w:t>relied on</w:t>
      </w:r>
      <w:r w:rsidRPr="002C2FB6">
        <w:rPr>
          <w:rFonts w:cs="Times New Roman"/>
          <w:szCs w:val="26"/>
        </w:rPr>
        <w:t xml:space="preserve"> commitments to hold customers harmless from transaction-related </w:t>
      </w:r>
      <w:r w:rsidR="002E67C8" w:rsidRPr="002C2FB6">
        <w:rPr>
          <w:rFonts w:cs="Times New Roman"/>
          <w:szCs w:val="26"/>
        </w:rPr>
        <w:t xml:space="preserve">costs </w:t>
      </w:r>
      <w:r w:rsidR="008C3D56" w:rsidRPr="002C2FB6">
        <w:rPr>
          <w:rFonts w:cs="Times New Roman"/>
          <w:szCs w:val="26"/>
        </w:rPr>
        <w:t>to support finding</w:t>
      </w:r>
      <w:r w:rsidR="000D3BF8" w:rsidRPr="002C2FB6">
        <w:rPr>
          <w:rFonts w:cs="Times New Roman"/>
          <w:szCs w:val="26"/>
        </w:rPr>
        <w:t>s</w:t>
      </w:r>
      <w:r w:rsidR="008C3D56" w:rsidRPr="002C2FB6">
        <w:rPr>
          <w:rFonts w:cs="Times New Roman"/>
          <w:szCs w:val="26"/>
        </w:rPr>
        <w:t xml:space="preserve"> of no adverse </w:t>
      </w:r>
      <w:r w:rsidR="00175D3E" w:rsidRPr="002C2FB6">
        <w:rPr>
          <w:rFonts w:cs="Times New Roman"/>
          <w:szCs w:val="26"/>
        </w:rPr>
        <w:t>effect</w:t>
      </w:r>
      <w:r w:rsidR="000D3BF8" w:rsidRPr="002C2FB6">
        <w:rPr>
          <w:rFonts w:cs="Times New Roman"/>
          <w:szCs w:val="26"/>
        </w:rPr>
        <w:t>s</w:t>
      </w:r>
      <w:r w:rsidR="008C3D56" w:rsidRPr="002C2FB6">
        <w:rPr>
          <w:rFonts w:cs="Times New Roman"/>
          <w:szCs w:val="26"/>
        </w:rPr>
        <w:t xml:space="preserve"> on rates</w:t>
      </w:r>
      <w:r w:rsidRPr="002C2FB6">
        <w:rPr>
          <w:rFonts w:cs="Times New Roman"/>
          <w:szCs w:val="26"/>
        </w:rPr>
        <w:t xml:space="preserve">, </w:t>
      </w:r>
      <w:r w:rsidR="00AC3436" w:rsidRPr="002C2FB6">
        <w:rPr>
          <w:rFonts w:cs="Times New Roman"/>
          <w:szCs w:val="26"/>
        </w:rPr>
        <w:t xml:space="preserve">in </w:t>
      </w:r>
      <w:r w:rsidRPr="002C2FB6">
        <w:rPr>
          <w:rFonts w:cs="Times New Roman"/>
          <w:szCs w:val="26"/>
        </w:rPr>
        <w:t>many of these</w:t>
      </w:r>
      <w:r w:rsidR="00AC3436" w:rsidRPr="002C2FB6">
        <w:rPr>
          <w:rFonts w:cs="Times New Roman"/>
          <w:szCs w:val="26"/>
        </w:rPr>
        <w:t xml:space="preserve"> cases, these </w:t>
      </w:r>
      <w:r w:rsidRPr="002C2FB6">
        <w:rPr>
          <w:rFonts w:cs="Times New Roman"/>
          <w:szCs w:val="26"/>
        </w:rPr>
        <w:t>commitments have not included detailed definition</w:t>
      </w:r>
      <w:r w:rsidR="0006019A" w:rsidRPr="002C2FB6">
        <w:rPr>
          <w:rFonts w:cs="Times New Roman"/>
          <w:szCs w:val="26"/>
        </w:rPr>
        <w:t>s</w:t>
      </w:r>
      <w:r w:rsidRPr="002C2FB6">
        <w:rPr>
          <w:rFonts w:cs="Times New Roman"/>
          <w:szCs w:val="26"/>
        </w:rPr>
        <w:t xml:space="preserve"> of transaction-related costs or savings.</w:t>
      </w:r>
      <w:r w:rsidRPr="002C2FB6">
        <w:rPr>
          <w:rStyle w:val="FootnoteReference"/>
          <w:rFonts w:eastAsiaTheme="majorEastAsia"/>
        </w:rPr>
        <w:footnoteReference w:id="23"/>
      </w:r>
      <w:r w:rsidRPr="002C2FB6">
        <w:rPr>
          <w:rFonts w:cs="Times New Roman"/>
          <w:szCs w:val="26"/>
        </w:rPr>
        <w:t xml:space="preserve">  Further, the Commission has only provided general guidance on the scope of these costs.  In </w:t>
      </w:r>
      <w:r w:rsidR="008C3D56" w:rsidRPr="002C2FB6">
        <w:rPr>
          <w:rFonts w:cs="Times New Roman"/>
          <w:szCs w:val="26"/>
        </w:rPr>
        <w:t>most</w:t>
      </w:r>
      <w:r w:rsidRPr="002C2FB6">
        <w:rPr>
          <w:rFonts w:cs="Times New Roman"/>
          <w:szCs w:val="26"/>
        </w:rPr>
        <w:t xml:space="preserve"> </w:t>
      </w:r>
      <w:r w:rsidR="00351BE0" w:rsidRPr="002C2FB6">
        <w:rPr>
          <w:rFonts w:cs="Times New Roman"/>
          <w:szCs w:val="26"/>
        </w:rPr>
        <w:t>orders</w:t>
      </w:r>
      <w:r w:rsidR="008C3D56" w:rsidRPr="002C2FB6">
        <w:rPr>
          <w:rFonts w:cs="Times New Roman"/>
          <w:szCs w:val="26"/>
        </w:rPr>
        <w:t xml:space="preserve"> </w:t>
      </w:r>
      <w:r w:rsidR="000D3BF8" w:rsidRPr="002C2FB6">
        <w:rPr>
          <w:rFonts w:cs="Times New Roman"/>
          <w:szCs w:val="26"/>
        </w:rPr>
        <w:t xml:space="preserve">addressing </w:t>
      </w:r>
      <w:r w:rsidR="009A159D">
        <w:rPr>
          <w:rFonts w:cs="Times New Roman"/>
          <w:szCs w:val="26"/>
        </w:rPr>
        <w:t>transaction</w:t>
      </w:r>
      <w:r w:rsidR="000D3BF8" w:rsidRPr="002C2FB6">
        <w:rPr>
          <w:rFonts w:cs="Times New Roman"/>
          <w:szCs w:val="26"/>
        </w:rPr>
        <w:t xml:space="preserve">s </w:t>
      </w:r>
      <w:r w:rsidR="008C3D56" w:rsidRPr="002C2FB6">
        <w:rPr>
          <w:rFonts w:cs="Times New Roman"/>
          <w:szCs w:val="26"/>
        </w:rPr>
        <w:t>in which</w:t>
      </w:r>
      <w:r w:rsidR="00351BE0" w:rsidRPr="002C2FB6">
        <w:rPr>
          <w:rFonts w:cs="Times New Roman"/>
          <w:szCs w:val="26"/>
        </w:rPr>
        <w:t xml:space="preserve"> </w:t>
      </w:r>
      <w:r w:rsidRPr="002C2FB6">
        <w:rPr>
          <w:rFonts w:cs="Times New Roman"/>
          <w:szCs w:val="26"/>
        </w:rPr>
        <w:t>the Commission</w:t>
      </w:r>
      <w:r w:rsidR="008C3D56" w:rsidRPr="002C2FB6">
        <w:rPr>
          <w:rFonts w:cs="Times New Roman"/>
          <w:szCs w:val="26"/>
        </w:rPr>
        <w:t xml:space="preserve"> has accepted hold harmless commitment</w:t>
      </w:r>
      <w:r w:rsidR="000D3BF8" w:rsidRPr="002C2FB6">
        <w:rPr>
          <w:rFonts w:cs="Times New Roman"/>
          <w:szCs w:val="26"/>
        </w:rPr>
        <w:t>s</w:t>
      </w:r>
      <w:r w:rsidR="00351BE0" w:rsidRPr="002C2FB6">
        <w:rPr>
          <w:rFonts w:cs="Times New Roman"/>
          <w:szCs w:val="26"/>
        </w:rPr>
        <w:t xml:space="preserve">, </w:t>
      </w:r>
      <w:r w:rsidRPr="002C2FB6">
        <w:rPr>
          <w:rFonts w:cs="Times New Roman"/>
          <w:szCs w:val="26"/>
        </w:rPr>
        <w:t xml:space="preserve">the Commission </w:t>
      </w:r>
      <w:r w:rsidR="008C3D56" w:rsidRPr="002C2FB6">
        <w:rPr>
          <w:rFonts w:cs="Times New Roman"/>
          <w:szCs w:val="26"/>
        </w:rPr>
        <w:t xml:space="preserve">has </w:t>
      </w:r>
      <w:r w:rsidRPr="002C2FB6">
        <w:rPr>
          <w:rFonts w:cs="Times New Roman"/>
          <w:szCs w:val="26"/>
        </w:rPr>
        <w:t xml:space="preserve">explained that transaction-related costs are not just </w:t>
      </w:r>
      <w:r w:rsidR="000D3BF8" w:rsidRPr="002C2FB6">
        <w:rPr>
          <w:rFonts w:cs="Times New Roman"/>
          <w:szCs w:val="26"/>
        </w:rPr>
        <w:t xml:space="preserve">those </w:t>
      </w:r>
      <w:r w:rsidRPr="002C2FB6">
        <w:rPr>
          <w:rFonts w:cs="Times New Roman"/>
          <w:szCs w:val="26"/>
        </w:rPr>
        <w:t xml:space="preserve">costs related to consummating the </w:t>
      </w:r>
      <w:r w:rsidR="00351BE0" w:rsidRPr="002C2FB6">
        <w:rPr>
          <w:rFonts w:cs="Times New Roman"/>
          <w:szCs w:val="26"/>
        </w:rPr>
        <w:t xml:space="preserve">proposed </w:t>
      </w:r>
      <w:r w:rsidRPr="002C2FB6">
        <w:rPr>
          <w:rFonts w:cs="Times New Roman"/>
          <w:szCs w:val="26"/>
        </w:rPr>
        <w:t xml:space="preserve">transaction, </w:t>
      </w:r>
      <w:r w:rsidR="00351BE0" w:rsidRPr="002C2FB6">
        <w:rPr>
          <w:rFonts w:cs="Times New Roman"/>
          <w:szCs w:val="26"/>
        </w:rPr>
        <w:t>such as legal, investment advisory, accounting and financing costs</w:t>
      </w:r>
      <w:r w:rsidR="000D3BF8" w:rsidRPr="002C2FB6">
        <w:rPr>
          <w:rFonts w:cs="Times New Roman"/>
          <w:szCs w:val="26"/>
        </w:rPr>
        <w:t>.  Rather, the Commission has stated that the costs subject to hold harmless commitments</w:t>
      </w:r>
      <w:r w:rsidRPr="002C2FB6">
        <w:rPr>
          <w:rFonts w:cs="Times New Roman"/>
          <w:szCs w:val="26"/>
        </w:rPr>
        <w:t xml:space="preserve"> </w:t>
      </w:r>
      <w:r w:rsidR="00351BE0" w:rsidRPr="002C2FB6">
        <w:rPr>
          <w:rFonts w:cs="Times New Roman"/>
          <w:szCs w:val="26"/>
        </w:rPr>
        <w:t xml:space="preserve">include </w:t>
      </w:r>
      <w:r w:rsidRPr="002C2FB6">
        <w:rPr>
          <w:rFonts w:cs="Times New Roman"/>
          <w:szCs w:val="26"/>
        </w:rPr>
        <w:t xml:space="preserve">all costs that are related to the </w:t>
      </w:r>
      <w:r w:rsidR="009A159D">
        <w:rPr>
          <w:rFonts w:cs="Times New Roman"/>
          <w:szCs w:val="26"/>
        </w:rPr>
        <w:t>transaction</w:t>
      </w:r>
      <w:r w:rsidR="000D3BF8" w:rsidRPr="002C2FB6">
        <w:rPr>
          <w:rFonts w:cs="Times New Roman"/>
          <w:szCs w:val="26"/>
        </w:rPr>
        <w:t xml:space="preserve">.  The Commission, however, has never specified </w:t>
      </w:r>
      <w:r w:rsidR="00CA3F87">
        <w:rPr>
          <w:rFonts w:cs="Times New Roman"/>
          <w:szCs w:val="26"/>
        </w:rPr>
        <w:t xml:space="preserve">what </w:t>
      </w:r>
      <w:r w:rsidR="00351BE0" w:rsidRPr="002C2FB6">
        <w:rPr>
          <w:rFonts w:cs="Times New Roman"/>
          <w:szCs w:val="26"/>
        </w:rPr>
        <w:t>th</w:t>
      </w:r>
      <w:r w:rsidR="000D3BF8" w:rsidRPr="002C2FB6">
        <w:rPr>
          <w:rFonts w:cs="Times New Roman"/>
          <w:szCs w:val="26"/>
        </w:rPr>
        <w:t>e</w:t>
      </w:r>
      <w:r w:rsidR="00351BE0" w:rsidRPr="002C2FB6">
        <w:rPr>
          <w:rFonts w:cs="Times New Roman"/>
          <w:szCs w:val="26"/>
        </w:rPr>
        <w:t xml:space="preserve">se other costs </w:t>
      </w:r>
      <w:r w:rsidR="00AC3436" w:rsidRPr="002C2FB6">
        <w:rPr>
          <w:rFonts w:cs="Times New Roman"/>
          <w:szCs w:val="26"/>
        </w:rPr>
        <w:t xml:space="preserve">may </w:t>
      </w:r>
      <w:r w:rsidR="00351BE0" w:rsidRPr="002C2FB6">
        <w:rPr>
          <w:rFonts w:cs="Times New Roman"/>
          <w:szCs w:val="26"/>
        </w:rPr>
        <w:t>include</w:t>
      </w:r>
      <w:r w:rsidRPr="002C2FB6">
        <w:rPr>
          <w:rFonts w:cs="Times New Roman"/>
          <w:szCs w:val="26"/>
        </w:rPr>
        <w:t>.</w:t>
      </w:r>
      <w:r w:rsidRPr="002C2FB6">
        <w:rPr>
          <w:rStyle w:val="FootnoteReference"/>
          <w:rFonts w:eastAsiaTheme="majorEastAsia"/>
        </w:rPr>
        <w:footnoteReference w:id="24"/>
      </w:r>
      <w:r w:rsidRPr="002C2FB6">
        <w:rPr>
          <w:rFonts w:cs="Times New Roman"/>
          <w:szCs w:val="26"/>
        </w:rPr>
        <w:t xml:space="preserve"> </w:t>
      </w:r>
      <w:r w:rsidR="00551737" w:rsidRPr="002C2FB6">
        <w:rPr>
          <w:rFonts w:cs="Times New Roman"/>
          <w:szCs w:val="26"/>
        </w:rPr>
        <w:t xml:space="preserve"> </w:t>
      </w:r>
      <w:r w:rsidR="00351BE0" w:rsidRPr="002C2FB6">
        <w:rPr>
          <w:rFonts w:cs="Times New Roman"/>
          <w:szCs w:val="26"/>
        </w:rPr>
        <w:t>In more recent cases, the Commission has specified that transaction-related costs include costs</w:t>
      </w:r>
      <w:r w:rsidR="000D3BF8" w:rsidRPr="002C2FB6">
        <w:rPr>
          <w:rFonts w:cs="Times New Roman"/>
          <w:szCs w:val="26"/>
        </w:rPr>
        <w:t>, both capital and operating,</w:t>
      </w:r>
      <w:r w:rsidR="00351BE0" w:rsidRPr="002C2FB6">
        <w:rPr>
          <w:rFonts w:cs="Times New Roman"/>
          <w:szCs w:val="26"/>
        </w:rPr>
        <w:t xml:space="preserve"> </w:t>
      </w:r>
    </w:p>
    <w:p w14:paraId="5290E1C0" w14:textId="4A114268" w:rsidR="002B4D58" w:rsidRPr="002C2FB6" w:rsidRDefault="000D3BF8" w:rsidP="00A66DA8">
      <w:pPr>
        <w:pStyle w:val="FERCparanumber"/>
        <w:numPr>
          <w:ilvl w:val="0"/>
          <w:numId w:val="0"/>
        </w:numPr>
        <w:autoSpaceDE w:val="0"/>
        <w:autoSpaceDN w:val="0"/>
        <w:adjustRightInd w:val="0"/>
        <w:spacing w:after="0"/>
        <w:rPr>
          <w:rFonts w:cs="Times New Roman"/>
          <w:szCs w:val="26"/>
        </w:rPr>
      </w:pPr>
      <w:r w:rsidRPr="002C2FB6">
        <w:rPr>
          <w:rFonts w:cs="Times New Roman"/>
          <w:szCs w:val="26"/>
        </w:rPr>
        <w:t xml:space="preserve">incurred </w:t>
      </w:r>
      <w:r w:rsidR="00351BE0" w:rsidRPr="002C2FB6">
        <w:rPr>
          <w:rFonts w:cs="Times New Roman"/>
          <w:szCs w:val="26"/>
        </w:rPr>
        <w:t>to achieve merger synergies.</w:t>
      </w:r>
      <w:r w:rsidR="003F3BC9" w:rsidRPr="002C2FB6">
        <w:rPr>
          <w:rStyle w:val="FootnoteReference"/>
        </w:rPr>
        <w:footnoteReference w:id="25"/>
      </w:r>
      <w:r w:rsidR="00351BE0" w:rsidRPr="002C2FB6">
        <w:rPr>
          <w:rFonts w:cs="Times New Roman"/>
          <w:szCs w:val="26"/>
        </w:rPr>
        <w:t xml:space="preserve"> </w:t>
      </w:r>
      <w:r w:rsidR="002150A4" w:rsidRPr="002C2FB6">
        <w:rPr>
          <w:rFonts w:cs="Times New Roman"/>
          <w:szCs w:val="26"/>
        </w:rPr>
        <w:t xml:space="preserve"> </w:t>
      </w:r>
      <w:r w:rsidR="002B4D58" w:rsidRPr="002C2FB6">
        <w:rPr>
          <w:rFonts w:cs="Times New Roman"/>
          <w:szCs w:val="26"/>
        </w:rPr>
        <w:t xml:space="preserve">The Commission has </w:t>
      </w:r>
      <w:r w:rsidR="00923A45" w:rsidRPr="002C2FB6">
        <w:rPr>
          <w:rFonts w:cs="Times New Roman"/>
          <w:szCs w:val="26"/>
        </w:rPr>
        <w:t xml:space="preserve">also </w:t>
      </w:r>
      <w:r w:rsidR="00351BE0" w:rsidRPr="002C2FB6">
        <w:rPr>
          <w:rFonts w:cs="Times New Roman"/>
          <w:szCs w:val="26"/>
        </w:rPr>
        <w:t>specifically noted</w:t>
      </w:r>
      <w:r w:rsidR="002B4D58" w:rsidRPr="002C2FB6">
        <w:rPr>
          <w:rFonts w:cs="Times New Roman"/>
          <w:szCs w:val="26"/>
        </w:rPr>
        <w:t xml:space="preserve"> that acquisition premium</w:t>
      </w:r>
      <w:r w:rsidR="0006019A" w:rsidRPr="002C2FB6">
        <w:rPr>
          <w:rFonts w:cs="Times New Roman"/>
          <w:szCs w:val="26"/>
        </w:rPr>
        <w:t>s</w:t>
      </w:r>
      <w:r w:rsidR="00923A45" w:rsidRPr="002C2FB6">
        <w:rPr>
          <w:rFonts w:cs="Times New Roman"/>
          <w:szCs w:val="26"/>
        </w:rPr>
        <w:t>, including goodwill,</w:t>
      </w:r>
      <w:r w:rsidR="002B4D58" w:rsidRPr="002C2FB6">
        <w:rPr>
          <w:rStyle w:val="FootnoteReference"/>
          <w:rFonts w:eastAsiaTheme="majorEastAsia"/>
        </w:rPr>
        <w:footnoteReference w:id="26"/>
      </w:r>
      <w:r w:rsidR="002B4D58" w:rsidRPr="002C2FB6">
        <w:rPr>
          <w:rFonts w:cs="Times New Roman"/>
          <w:szCs w:val="26"/>
        </w:rPr>
        <w:t xml:space="preserve"> </w:t>
      </w:r>
      <w:r w:rsidR="0006019A" w:rsidRPr="002C2FB6">
        <w:rPr>
          <w:rFonts w:cs="Times New Roman"/>
          <w:szCs w:val="26"/>
        </w:rPr>
        <w:t>are</w:t>
      </w:r>
      <w:r w:rsidR="002B4D58" w:rsidRPr="002C2FB6">
        <w:rPr>
          <w:rFonts w:cs="Times New Roman"/>
          <w:szCs w:val="26"/>
        </w:rPr>
        <w:t xml:space="preserve"> not considered part of transaction-related costs, and that recovery of such cost</w:t>
      </w:r>
      <w:r w:rsidR="0006019A" w:rsidRPr="002C2FB6">
        <w:rPr>
          <w:rFonts w:cs="Times New Roman"/>
          <w:szCs w:val="26"/>
        </w:rPr>
        <w:t>s</w:t>
      </w:r>
      <w:r w:rsidR="002B4D58" w:rsidRPr="002C2FB6">
        <w:rPr>
          <w:rFonts w:cs="Times New Roman"/>
          <w:szCs w:val="26"/>
        </w:rPr>
        <w:t xml:space="preserve"> must be pursued through FPA section 205 filing</w:t>
      </w:r>
      <w:r w:rsidR="0006019A" w:rsidRPr="002C2FB6">
        <w:rPr>
          <w:rFonts w:cs="Times New Roman"/>
          <w:szCs w:val="26"/>
        </w:rPr>
        <w:t>s</w:t>
      </w:r>
      <w:r w:rsidR="002B4D58" w:rsidRPr="002C2FB6">
        <w:rPr>
          <w:rFonts w:cs="Times New Roman"/>
          <w:szCs w:val="26"/>
        </w:rPr>
        <w:t>.</w:t>
      </w:r>
      <w:r w:rsidR="002B4D58" w:rsidRPr="002C2FB6">
        <w:rPr>
          <w:rStyle w:val="FootnoteReference"/>
          <w:rFonts w:eastAsiaTheme="majorEastAsia"/>
        </w:rPr>
        <w:footnoteReference w:id="27"/>
      </w:r>
      <w:r w:rsidR="002B4D58" w:rsidRPr="002C2FB6">
        <w:rPr>
          <w:rFonts w:cs="Times New Roman"/>
          <w:szCs w:val="26"/>
        </w:rPr>
        <w:t xml:space="preserve"> </w:t>
      </w:r>
      <w:r w:rsidR="00EA74C8" w:rsidRPr="002C2FB6">
        <w:rPr>
          <w:rFonts w:cs="Times New Roman"/>
          <w:szCs w:val="26"/>
        </w:rPr>
        <w:t xml:space="preserve"> The Commission has also explained that protection from transaction-related costs does not mean that consumers are necessarily insulated from any rate</w:t>
      </w:r>
      <w:r w:rsidR="002150A4" w:rsidRPr="002C2FB6">
        <w:rPr>
          <w:rFonts w:cs="Times New Roman"/>
          <w:szCs w:val="26"/>
        </w:rPr>
        <w:t xml:space="preserve"> </w:t>
      </w:r>
      <w:r w:rsidR="00EA74C8" w:rsidRPr="002C2FB6">
        <w:rPr>
          <w:rFonts w:cs="Times New Roman"/>
          <w:szCs w:val="26"/>
        </w:rPr>
        <w:t>increase, such as those related to market conditions or those unrelated to the transaction</w:t>
      </w:r>
      <w:r w:rsidR="00571FD1">
        <w:rPr>
          <w:rFonts w:cs="Times New Roman"/>
          <w:szCs w:val="26"/>
        </w:rPr>
        <w:t>,</w:t>
      </w:r>
      <w:r w:rsidR="00EA74C8" w:rsidRPr="002C2FB6">
        <w:rPr>
          <w:rStyle w:val="FootnoteReference"/>
          <w:rFonts w:eastAsiaTheme="majorEastAsia"/>
        </w:rPr>
        <w:footnoteReference w:id="28"/>
      </w:r>
      <w:r w:rsidR="00EA74C8" w:rsidRPr="002C2FB6">
        <w:rPr>
          <w:rFonts w:cs="Times New Roman"/>
          <w:szCs w:val="26"/>
        </w:rPr>
        <w:t xml:space="preserve"> or </w:t>
      </w:r>
      <w:r w:rsidR="00CA3BE7">
        <w:rPr>
          <w:rFonts w:cs="Times New Roman"/>
          <w:szCs w:val="26"/>
        </w:rPr>
        <w:t xml:space="preserve">unspecified or </w:t>
      </w:r>
      <w:r w:rsidR="00EA74C8" w:rsidRPr="002C2FB6">
        <w:rPr>
          <w:rFonts w:cs="Times New Roman"/>
          <w:szCs w:val="26"/>
        </w:rPr>
        <w:t>speculative costs</w:t>
      </w:r>
      <w:r w:rsidR="00CA3BE7">
        <w:rPr>
          <w:rFonts w:cs="Times New Roman"/>
          <w:szCs w:val="26"/>
        </w:rPr>
        <w:t xml:space="preserve"> that intervenors claim may result from a merger</w:t>
      </w:r>
      <w:r w:rsidR="00EA74C8" w:rsidRPr="002C2FB6">
        <w:rPr>
          <w:rFonts w:cs="Times New Roman"/>
          <w:szCs w:val="26"/>
        </w:rPr>
        <w:t>.</w:t>
      </w:r>
      <w:r w:rsidR="00EA74C8" w:rsidRPr="002C2FB6">
        <w:rPr>
          <w:rStyle w:val="FootnoteReference"/>
          <w:rFonts w:eastAsiaTheme="majorEastAsia"/>
        </w:rPr>
        <w:footnoteReference w:id="29"/>
      </w:r>
    </w:p>
    <w:p w14:paraId="4F8EC077" w14:textId="413B6F2F" w:rsidR="002B4D58" w:rsidRPr="001E0C76" w:rsidRDefault="002B4D58" w:rsidP="001E0C76">
      <w:pPr>
        <w:pStyle w:val="FERCparanumber"/>
        <w:autoSpaceDE w:val="0"/>
        <w:autoSpaceDN w:val="0"/>
        <w:adjustRightInd w:val="0"/>
        <w:spacing w:after="0"/>
        <w:rPr>
          <w:rFonts w:cs="Times New Roman"/>
          <w:b/>
          <w:szCs w:val="26"/>
        </w:rPr>
      </w:pPr>
      <w:r w:rsidRPr="002C2FB6">
        <w:rPr>
          <w:rFonts w:cs="Times New Roman"/>
          <w:szCs w:val="26"/>
        </w:rPr>
        <w:t xml:space="preserve">With respect to recovering transaction-related costs, as noted earlier, the standard hold harmless commitment provides that applicants may not </w:t>
      </w:r>
      <w:r w:rsidR="00EA74C8" w:rsidRPr="002C2FB6">
        <w:rPr>
          <w:rFonts w:cs="Times New Roman"/>
          <w:szCs w:val="26"/>
        </w:rPr>
        <w:t xml:space="preserve">seek to </w:t>
      </w:r>
      <w:r w:rsidR="00923A45" w:rsidRPr="002C2FB6">
        <w:rPr>
          <w:rFonts w:cs="Times New Roman"/>
          <w:szCs w:val="26"/>
        </w:rPr>
        <w:t>recover in rates</w:t>
      </w:r>
      <w:r w:rsidRPr="002C2FB6">
        <w:rPr>
          <w:rFonts w:cs="Times New Roman"/>
          <w:szCs w:val="26"/>
        </w:rPr>
        <w:t xml:space="preserve"> any transaction-related costs </w:t>
      </w:r>
      <w:r w:rsidR="00EA74C8" w:rsidRPr="002C2FB6">
        <w:rPr>
          <w:rFonts w:cs="Times New Roman"/>
          <w:szCs w:val="26"/>
        </w:rPr>
        <w:t xml:space="preserve">except to the extent </w:t>
      </w:r>
      <w:r w:rsidRPr="002C2FB6">
        <w:rPr>
          <w:rFonts w:cs="Times New Roman"/>
          <w:szCs w:val="26"/>
        </w:rPr>
        <w:t xml:space="preserve">that </w:t>
      </w:r>
      <w:r w:rsidR="00EA74C8" w:rsidRPr="002C2FB6">
        <w:rPr>
          <w:rFonts w:cs="Times New Roman"/>
          <w:szCs w:val="26"/>
        </w:rPr>
        <w:t xml:space="preserve">such costs are </w:t>
      </w:r>
      <w:r w:rsidRPr="002C2FB6">
        <w:rPr>
          <w:rFonts w:cs="Times New Roman"/>
          <w:szCs w:val="26"/>
        </w:rPr>
        <w:t>exceed</w:t>
      </w:r>
      <w:r w:rsidR="00EA74C8" w:rsidRPr="002C2FB6">
        <w:rPr>
          <w:rFonts w:cs="Times New Roman"/>
          <w:szCs w:val="26"/>
        </w:rPr>
        <w:t>ed</w:t>
      </w:r>
      <w:r w:rsidR="00F64C65" w:rsidRPr="002C2FB6">
        <w:rPr>
          <w:rFonts w:cs="Times New Roman"/>
          <w:szCs w:val="26"/>
        </w:rPr>
        <w:t xml:space="preserve"> by</w:t>
      </w:r>
      <w:r w:rsidRPr="002C2FB6">
        <w:rPr>
          <w:rFonts w:cs="Times New Roman"/>
          <w:szCs w:val="26"/>
        </w:rPr>
        <w:t xml:space="preserve"> demonstrated transaction-related savings.  </w:t>
      </w:r>
      <w:r w:rsidR="009E4474" w:rsidRPr="001E0C76">
        <w:rPr>
          <w:rFonts w:cs="Times New Roman"/>
          <w:szCs w:val="26"/>
        </w:rPr>
        <w:t>The Commission recently clarified its policy on the recovery of transaction-related costs.</w:t>
      </w:r>
      <w:r w:rsidR="009E4474">
        <w:rPr>
          <w:rStyle w:val="FootnoteReference"/>
        </w:rPr>
        <w:footnoteReference w:id="30"/>
      </w:r>
      <w:r w:rsidR="009E4474" w:rsidRPr="001E0C76">
        <w:rPr>
          <w:rFonts w:cs="Times New Roman"/>
          <w:szCs w:val="26"/>
        </w:rPr>
        <w:t xml:space="preserve">  </w:t>
      </w:r>
      <w:r w:rsidR="005220C7" w:rsidRPr="001E0C76">
        <w:rPr>
          <w:rFonts w:cs="Times New Roman"/>
          <w:szCs w:val="26"/>
        </w:rPr>
        <w:t>A</w:t>
      </w:r>
      <w:r w:rsidR="009E0BB9" w:rsidRPr="001E0C76">
        <w:rPr>
          <w:rFonts w:cs="Times New Roman"/>
          <w:szCs w:val="26"/>
        </w:rPr>
        <w:t>s clarified</w:t>
      </w:r>
      <w:r w:rsidRPr="001E0C76">
        <w:rPr>
          <w:rFonts w:cs="Times New Roman"/>
          <w:szCs w:val="26"/>
        </w:rPr>
        <w:t xml:space="preserve">, </w:t>
      </w:r>
      <w:r w:rsidR="00E70B35" w:rsidRPr="001E0C76">
        <w:rPr>
          <w:rFonts w:cs="Times New Roman"/>
          <w:szCs w:val="26"/>
        </w:rPr>
        <w:t xml:space="preserve">applicants </w:t>
      </w:r>
      <w:r w:rsidR="00B03921" w:rsidRPr="001E0C76">
        <w:rPr>
          <w:rFonts w:cs="Times New Roman"/>
          <w:szCs w:val="26"/>
        </w:rPr>
        <w:t xml:space="preserve">may </w:t>
      </w:r>
      <w:r w:rsidR="00E70B35" w:rsidRPr="001E0C76">
        <w:rPr>
          <w:rFonts w:cs="Times New Roman"/>
          <w:szCs w:val="26"/>
        </w:rPr>
        <w:t xml:space="preserve">seek to recover transaction-related costs </w:t>
      </w:r>
      <w:r w:rsidR="00950EC5" w:rsidRPr="00496077">
        <w:t xml:space="preserve">incurred </w:t>
      </w:r>
      <w:r w:rsidR="00302A0F">
        <w:t>prior to consummating a proposed transaction or those transaction-related cos</w:t>
      </w:r>
      <w:r w:rsidR="00F538A2">
        <w:t>ts incurred within the time</w:t>
      </w:r>
      <w:r w:rsidR="00302A0F">
        <w:t xml:space="preserve"> </w:t>
      </w:r>
      <w:r w:rsidR="00E70B35" w:rsidRPr="001E0C76">
        <w:rPr>
          <w:rFonts w:cs="Times New Roman"/>
          <w:szCs w:val="26"/>
        </w:rPr>
        <w:t xml:space="preserve">period during which </w:t>
      </w:r>
      <w:r w:rsidR="00302A0F" w:rsidRPr="001E0C76">
        <w:rPr>
          <w:rFonts w:cs="Times New Roman"/>
          <w:szCs w:val="26"/>
        </w:rPr>
        <w:t>the</w:t>
      </w:r>
      <w:r w:rsidR="00571FD1" w:rsidRPr="001E0C76">
        <w:rPr>
          <w:rFonts w:cs="Times New Roman"/>
          <w:szCs w:val="26"/>
        </w:rPr>
        <w:t xml:space="preserve"> </w:t>
      </w:r>
      <w:r w:rsidR="00E70B35" w:rsidRPr="001E0C76">
        <w:rPr>
          <w:rFonts w:cs="Times New Roman"/>
          <w:szCs w:val="26"/>
        </w:rPr>
        <w:t>hold harmless commitment applies</w:t>
      </w:r>
      <w:r w:rsidR="00302A0F" w:rsidRPr="001E0C76">
        <w:rPr>
          <w:rFonts w:cs="Times New Roman"/>
          <w:szCs w:val="26"/>
        </w:rPr>
        <w:t xml:space="preserve"> by </w:t>
      </w:r>
      <w:r w:rsidR="00E70B35" w:rsidRPr="001E0C76">
        <w:rPr>
          <w:rFonts w:cs="Times New Roman"/>
          <w:szCs w:val="26"/>
        </w:rPr>
        <w:t>mak</w:t>
      </w:r>
      <w:r w:rsidR="00302A0F" w:rsidRPr="001E0C76">
        <w:rPr>
          <w:rFonts w:cs="Times New Roman"/>
          <w:szCs w:val="26"/>
        </w:rPr>
        <w:t>ing</w:t>
      </w:r>
      <w:r w:rsidR="00E70B35" w:rsidRPr="001E0C76">
        <w:rPr>
          <w:rFonts w:cs="Times New Roman"/>
          <w:szCs w:val="26"/>
        </w:rPr>
        <w:t xml:space="preserve"> certain filings.</w:t>
      </w:r>
      <w:r w:rsidR="00302A0F">
        <w:rPr>
          <w:rStyle w:val="FootnoteReference"/>
        </w:rPr>
        <w:footnoteReference w:id="31"/>
      </w:r>
      <w:r w:rsidR="00E70B35" w:rsidRPr="001E0C76">
        <w:rPr>
          <w:rFonts w:cs="Times New Roman"/>
          <w:szCs w:val="26"/>
        </w:rPr>
        <w:t xml:space="preserve">  </w:t>
      </w:r>
      <w:r w:rsidR="00255646" w:rsidRPr="001E0C76">
        <w:rPr>
          <w:rFonts w:cs="Times New Roman"/>
          <w:szCs w:val="26"/>
        </w:rPr>
        <w:t>Specifically, a</w:t>
      </w:r>
      <w:r w:rsidRPr="001E0C76">
        <w:rPr>
          <w:rFonts w:cs="Times New Roman"/>
          <w:szCs w:val="26"/>
        </w:rPr>
        <w:t>pplicant</w:t>
      </w:r>
      <w:r w:rsidR="004A0B5A" w:rsidRPr="001E0C76">
        <w:rPr>
          <w:rFonts w:cs="Times New Roman"/>
          <w:szCs w:val="26"/>
        </w:rPr>
        <w:t>s</w:t>
      </w:r>
      <w:r w:rsidRPr="001E0C76">
        <w:rPr>
          <w:rFonts w:cs="Times New Roman"/>
          <w:szCs w:val="26"/>
        </w:rPr>
        <w:t xml:space="preserve"> </w:t>
      </w:r>
      <w:r w:rsidR="009E0BB9" w:rsidRPr="001E0C76">
        <w:rPr>
          <w:rFonts w:cs="Times New Roman"/>
          <w:szCs w:val="26"/>
        </w:rPr>
        <w:t>must submit a new filing under FPA section 205, and a concurrent informational filing in the relevant FPA section 203 docket.</w:t>
      </w:r>
      <w:r w:rsidR="006E5E94">
        <w:rPr>
          <w:rStyle w:val="FootnoteReference"/>
        </w:rPr>
        <w:footnoteReference w:id="32"/>
      </w:r>
      <w:r w:rsidR="009E0BB9" w:rsidRPr="001E0C76">
        <w:rPr>
          <w:rFonts w:cs="Times New Roman"/>
          <w:szCs w:val="26"/>
        </w:rPr>
        <w:t xml:space="preserve"> </w:t>
      </w:r>
      <w:r w:rsidRPr="001E0C76">
        <w:rPr>
          <w:rFonts w:cs="Times New Roman"/>
          <w:szCs w:val="26"/>
        </w:rPr>
        <w:t xml:space="preserve"> Consistent with Commission precedent, </w:t>
      </w:r>
      <w:r w:rsidR="00571FD1" w:rsidRPr="001E0C76">
        <w:rPr>
          <w:rFonts w:cs="Times New Roman"/>
          <w:szCs w:val="26"/>
        </w:rPr>
        <w:t xml:space="preserve">in the FPA section 205 filing, </w:t>
      </w:r>
      <w:r w:rsidRPr="001E0C76">
        <w:rPr>
          <w:rFonts w:cs="Times New Roman"/>
          <w:szCs w:val="26"/>
        </w:rPr>
        <w:t xml:space="preserve">applicants </w:t>
      </w:r>
      <w:r w:rsidR="00571FD1" w:rsidRPr="001E0C76">
        <w:rPr>
          <w:rFonts w:cs="Times New Roman"/>
          <w:szCs w:val="26"/>
        </w:rPr>
        <w:t>must</w:t>
      </w:r>
      <w:r w:rsidR="003C12FD" w:rsidRPr="001E0C76">
        <w:rPr>
          <w:rFonts w:cs="Times New Roman"/>
          <w:szCs w:val="26"/>
        </w:rPr>
        <w:t xml:space="preserve"> still</w:t>
      </w:r>
      <w:r w:rsidR="00CA3F87" w:rsidRPr="001E0C76">
        <w:rPr>
          <w:rFonts w:cs="Times New Roman"/>
          <w:szCs w:val="26"/>
        </w:rPr>
        <w:t xml:space="preserve">: </w:t>
      </w:r>
      <w:r w:rsidRPr="001E0C76">
        <w:rPr>
          <w:rFonts w:cs="Times New Roman"/>
          <w:szCs w:val="26"/>
        </w:rPr>
        <w:t>(1) specifically identify the transaction-related costs they are seeking to recover</w:t>
      </w:r>
      <w:r w:rsidR="00CA3F87" w:rsidRPr="001E0C76">
        <w:rPr>
          <w:rFonts w:cs="Times New Roman"/>
          <w:szCs w:val="26"/>
        </w:rPr>
        <w:t>;</w:t>
      </w:r>
      <w:r w:rsidRPr="001E0C76">
        <w:rPr>
          <w:rFonts w:cs="Times New Roman"/>
          <w:szCs w:val="26"/>
        </w:rPr>
        <w:t xml:space="preserve"> and (2) demonstrate that those costs are exceeded by the savings produced by the transaction.</w:t>
      </w:r>
      <w:r w:rsidR="000E06E5">
        <w:rPr>
          <w:rStyle w:val="FootnoteReference"/>
        </w:rPr>
        <w:footnoteReference w:id="33"/>
      </w:r>
      <w:r w:rsidR="003C12FD" w:rsidRPr="001E0C76">
        <w:rPr>
          <w:rFonts w:cs="Times New Roman"/>
          <w:szCs w:val="26"/>
        </w:rPr>
        <w:t xml:space="preserve">  The Commission further clarified that it will </w:t>
      </w:r>
      <w:r w:rsidR="003C12FD" w:rsidRPr="00936449">
        <w:t xml:space="preserve">not authorize the recovery of merger-related costs in an annual informational filing under existing formula rates.  </w:t>
      </w:r>
      <w:r w:rsidR="003C12FD">
        <w:t xml:space="preserve">After noticing </w:t>
      </w:r>
      <w:r w:rsidR="003C12FD" w:rsidRPr="00936449">
        <w:t>the new section 205 filin</w:t>
      </w:r>
      <w:r w:rsidR="003C12FD">
        <w:t>g for public comment,</w:t>
      </w:r>
      <w:r w:rsidR="003C12FD" w:rsidRPr="00936449">
        <w:t xml:space="preserve"> </w:t>
      </w:r>
      <w:r w:rsidR="003C12FD">
        <w:t>t</w:t>
      </w:r>
      <w:r w:rsidR="003C12FD" w:rsidRPr="00936449">
        <w:t>he Commission will determine both if there is adequate support to show that recovery of merger-related costs is consistent with the hold harmless commitment and that the resulting new rate is just and reasonable in light of all the other factors underlying the proposed new rate.</w:t>
      </w:r>
      <w:r w:rsidR="003C12FD">
        <w:rPr>
          <w:rStyle w:val="FootnoteReference"/>
        </w:rPr>
        <w:footnoteReference w:id="34"/>
      </w:r>
      <w:r w:rsidRPr="001E0C76">
        <w:rPr>
          <w:rFonts w:cs="Times New Roman"/>
          <w:szCs w:val="26"/>
        </w:rPr>
        <w:t xml:space="preserve">  In accordance with the Merger Policy Statement, </w:t>
      </w:r>
      <w:r w:rsidR="000D3BF8" w:rsidRPr="001E0C76">
        <w:rPr>
          <w:rFonts w:cs="Times New Roman"/>
          <w:szCs w:val="26"/>
        </w:rPr>
        <w:t xml:space="preserve">the Commission’s </w:t>
      </w:r>
      <w:r w:rsidRPr="001E0C76">
        <w:rPr>
          <w:rFonts w:cs="Times New Roman"/>
          <w:szCs w:val="26"/>
        </w:rPr>
        <w:t>approach places the burden of proof on applicants to demonstrate that customers are protected if the expected benefits do not materialize.</w:t>
      </w:r>
      <w:r w:rsidRPr="002C2FB6">
        <w:rPr>
          <w:rStyle w:val="FootnoteReference"/>
        </w:rPr>
        <w:footnoteReference w:id="35"/>
      </w:r>
      <w:r w:rsidRPr="001E0C76">
        <w:rPr>
          <w:rFonts w:cs="Times New Roman"/>
          <w:szCs w:val="26"/>
        </w:rPr>
        <w:t xml:space="preserve">  </w:t>
      </w:r>
    </w:p>
    <w:p w14:paraId="3A10B458" w14:textId="42D435EE" w:rsidR="008E554D" w:rsidRPr="008E554D" w:rsidRDefault="002B4D58">
      <w:pPr>
        <w:pStyle w:val="Heading1"/>
        <w:spacing w:before="0" w:after="0"/>
        <w:rPr>
          <w:rFonts w:cs="Times New Roman"/>
          <w:szCs w:val="26"/>
        </w:rPr>
      </w:pPr>
      <w:r w:rsidRPr="002C2FB6">
        <w:rPr>
          <w:rFonts w:cs="Times New Roman"/>
          <w:szCs w:val="26"/>
        </w:rPr>
        <w:t>Discussion</w:t>
      </w:r>
    </w:p>
    <w:p w14:paraId="21764F83" w14:textId="77777777" w:rsidR="002B4D58" w:rsidRPr="002C2FB6" w:rsidRDefault="0042686D" w:rsidP="002B4D58">
      <w:pPr>
        <w:pStyle w:val="Heading2"/>
        <w:rPr>
          <w:rFonts w:cs="Times New Roman"/>
          <w:szCs w:val="26"/>
        </w:rPr>
      </w:pPr>
      <w:r w:rsidRPr="002C2FB6">
        <w:rPr>
          <w:rFonts w:cs="Times New Roman"/>
          <w:szCs w:val="26"/>
        </w:rPr>
        <w:t xml:space="preserve">Purpose of </w:t>
      </w:r>
      <w:r w:rsidR="005E5D25" w:rsidRPr="002C2FB6">
        <w:rPr>
          <w:rFonts w:cs="Times New Roman"/>
          <w:szCs w:val="26"/>
        </w:rPr>
        <w:t xml:space="preserve">Proposed </w:t>
      </w:r>
      <w:r w:rsidRPr="002C2FB6">
        <w:rPr>
          <w:rFonts w:cs="Times New Roman"/>
          <w:szCs w:val="26"/>
        </w:rPr>
        <w:t>Policy Statement</w:t>
      </w:r>
    </w:p>
    <w:p w14:paraId="00C20DEE" w14:textId="441C7852" w:rsidR="003E169E" w:rsidRDefault="002B4D58" w:rsidP="0004530B">
      <w:pPr>
        <w:pStyle w:val="FERCparanumber"/>
        <w:spacing w:after="0"/>
        <w:rPr>
          <w:rFonts w:cs="Times New Roman"/>
          <w:szCs w:val="26"/>
        </w:rPr>
      </w:pPr>
      <w:r w:rsidRPr="002C2FB6">
        <w:t xml:space="preserve">Upon consideration of the Commission’s </w:t>
      </w:r>
      <w:r w:rsidR="00D62D6B" w:rsidRPr="002C2FB6">
        <w:t xml:space="preserve">experience </w:t>
      </w:r>
      <w:r w:rsidRPr="002C2FB6">
        <w:t xml:space="preserve">regarding hold harmless commitments since issuance of the Merger Policy Statement, </w:t>
      </w:r>
      <w:r w:rsidR="00CA3F87">
        <w:t>we</w:t>
      </w:r>
      <w:r w:rsidRPr="002C2FB6">
        <w:t xml:space="preserve"> </w:t>
      </w:r>
      <w:r w:rsidR="004B44BA" w:rsidRPr="002C2FB6">
        <w:t>believe</w:t>
      </w:r>
      <w:r w:rsidRPr="002C2FB6">
        <w:t xml:space="preserve"> that </w:t>
      </w:r>
      <w:r w:rsidR="006817AB" w:rsidRPr="002C2FB6">
        <w:t xml:space="preserve">clarifying </w:t>
      </w:r>
      <w:r w:rsidR="00CA3F87">
        <w:t xml:space="preserve">the Commission’s </w:t>
      </w:r>
      <w:r w:rsidRPr="002C2FB6">
        <w:t xml:space="preserve">policy regarding hold harmless commitments, </w:t>
      </w:r>
      <w:r w:rsidR="006817AB" w:rsidRPr="002C2FB6">
        <w:t>a</w:t>
      </w:r>
      <w:r w:rsidRPr="002C2FB6">
        <w:t xml:space="preserve"> frequently proposed ratepayer protection mechanism in FPA section 203 application</w:t>
      </w:r>
      <w:r w:rsidR="00C35E06" w:rsidRPr="002C2FB6">
        <w:t>s</w:t>
      </w:r>
      <w:r w:rsidRPr="002C2FB6">
        <w:t>, would be beneficial</w:t>
      </w:r>
      <w:r w:rsidR="006A5A2C" w:rsidRPr="002C2FB6">
        <w:t xml:space="preserve"> to applicants</w:t>
      </w:r>
      <w:r w:rsidR="006E7588">
        <w:t>, customers,</w:t>
      </w:r>
      <w:r w:rsidR="006A5A2C" w:rsidRPr="002C2FB6">
        <w:t xml:space="preserve"> and interested persons</w:t>
      </w:r>
      <w:r w:rsidRPr="002C2FB6">
        <w:t>.</w:t>
      </w:r>
      <w:r w:rsidR="00F509E1" w:rsidRPr="002C2FB6">
        <w:t xml:space="preserve"> </w:t>
      </w:r>
      <w:r w:rsidR="006A5A2C" w:rsidRPr="002C2FB6">
        <w:t xml:space="preserve"> </w:t>
      </w:r>
      <w:r w:rsidR="00340436">
        <w:t>We note, however, that</w:t>
      </w:r>
      <w:r w:rsidR="006A5A2C" w:rsidRPr="002C2FB6">
        <w:t xml:space="preserve"> unless </w:t>
      </w:r>
      <w:r w:rsidR="00932950" w:rsidRPr="002C2FB6">
        <w:t xml:space="preserve">specifically </w:t>
      </w:r>
      <w:r w:rsidR="006A5A2C" w:rsidRPr="002C2FB6">
        <w:t xml:space="preserve">discussed herein, </w:t>
      </w:r>
      <w:r w:rsidR="00CA3F87">
        <w:t>we</w:t>
      </w:r>
      <w:r w:rsidR="00D0459B">
        <w:t xml:space="preserve"> </w:t>
      </w:r>
      <w:r w:rsidR="00F509E1" w:rsidRPr="002C2FB6">
        <w:t>reaffirm the guidance provided in the Merger Policy Statement</w:t>
      </w:r>
      <w:r w:rsidR="006B4EB2">
        <w:t xml:space="preserve"> and subsequent precedent</w:t>
      </w:r>
      <w:r w:rsidR="00F509E1" w:rsidRPr="002C2FB6">
        <w:t>, and reiterate that</w:t>
      </w:r>
      <w:r w:rsidR="00B56133">
        <w:t xml:space="preserve"> </w:t>
      </w:r>
      <w:r w:rsidR="00F509E1" w:rsidRPr="002C2FB6">
        <w:t xml:space="preserve">applicants under FPA section 203 should propose ratepayer protection mechanisms that ensure that customers are protected from the adverse rate effects of a proposed transaction.  Furthermore, </w:t>
      </w:r>
      <w:r w:rsidR="006953A3" w:rsidRPr="002C2FB6">
        <w:t>the</w:t>
      </w:r>
      <w:r w:rsidR="00F509E1" w:rsidRPr="002C2FB6">
        <w:t xml:space="preserve"> guidance here</w:t>
      </w:r>
      <w:r w:rsidR="00B41F91" w:rsidRPr="00DD68F1">
        <w:rPr>
          <w:rFonts w:cs="Times New Roman"/>
          <w:szCs w:val="26"/>
        </w:rPr>
        <w:t xml:space="preserve"> should not discourage applicants from working with interested parties to resolve contentious issues regarding appropriate ratepayer protection mechanisms prior to the submission of an application under FPA section 203.  As the Commission stated in the Merger Policy Statement, “the most promising and expeditious means of addressing ratepayer protection is for the parties to negotiate an agreement on ratepayer protection mechanisms.”</w:t>
      </w:r>
      <w:r w:rsidR="008A2D4A">
        <w:rPr>
          <w:rStyle w:val="FootnoteReference"/>
        </w:rPr>
        <w:footnoteReference w:id="36"/>
      </w:r>
      <w:r w:rsidR="00A361C3" w:rsidRPr="00DD68F1">
        <w:rPr>
          <w:rFonts w:cs="Times New Roman"/>
          <w:szCs w:val="26"/>
        </w:rPr>
        <w:t xml:space="preserve">  </w:t>
      </w:r>
      <w:r w:rsidR="00F509E1" w:rsidRPr="002C2FB6">
        <w:rPr>
          <w:rFonts w:cs="Times New Roman"/>
          <w:szCs w:val="26"/>
        </w:rPr>
        <w:t xml:space="preserve">Accordingly, </w:t>
      </w:r>
      <w:r w:rsidR="00CA3F87">
        <w:rPr>
          <w:rFonts w:cs="Times New Roman"/>
          <w:szCs w:val="26"/>
        </w:rPr>
        <w:t>we</w:t>
      </w:r>
      <w:r w:rsidR="00D0459B">
        <w:rPr>
          <w:rFonts w:cs="Times New Roman"/>
          <w:szCs w:val="26"/>
        </w:rPr>
        <w:t xml:space="preserve"> </w:t>
      </w:r>
      <w:r w:rsidR="00F509E1" w:rsidRPr="002C2FB6">
        <w:rPr>
          <w:rFonts w:cs="Times New Roman"/>
          <w:szCs w:val="26"/>
        </w:rPr>
        <w:t xml:space="preserve">continue to expect applicants under FPA section 203 to engage their customers, when appropriate, and discuss with them any potential adverse rate effects that may result from a proposed transaction under FPA section 203, and how those effects can be mitigated. </w:t>
      </w:r>
    </w:p>
    <w:p w14:paraId="3A42F06C" w14:textId="7E9E1456" w:rsidR="002B4D58" w:rsidRPr="001D7D25" w:rsidRDefault="00D0459B" w:rsidP="001D7D25">
      <w:pPr>
        <w:pStyle w:val="FERCparanumber"/>
        <w:rPr>
          <w:rFonts w:cs="Times New Roman"/>
          <w:szCs w:val="26"/>
        </w:rPr>
      </w:pPr>
      <w:r>
        <w:t xml:space="preserve">In this proposed policy statement, </w:t>
      </w:r>
      <w:r w:rsidR="006B4EB2">
        <w:t>we</w:t>
      </w:r>
      <w:r>
        <w:t xml:space="preserve"> propose to provide greater clarity to and seek comment from interested persons </w:t>
      </w:r>
      <w:r w:rsidR="002B4D58" w:rsidRPr="002C2FB6">
        <w:t xml:space="preserve">regarding </w:t>
      </w:r>
      <w:r w:rsidR="00CF417D">
        <w:t>the following</w:t>
      </w:r>
      <w:r w:rsidR="00FD0B67" w:rsidRPr="002C2FB6">
        <w:t xml:space="preserve"> issues </w:t>
      </w:r>
      <w:r w:rsidR="00FD0B67" w:rsidRPr="006458CE">
        <w:t>related to hold harmless commitments</w:t>
      </w:r>
      <w:r w:rsidR="002B4D58" w:rsidRPr="002C2FB6">
        <w:t>.</w:t>
      </w:r>
      <w:r w:rsidR="00FD0B67" w:rsidRPr="002C2FB6">
        <w:t xml:space="preserve">  </w:t>
      </w:r>
      <w:r w:rsidR="00F47DC9" w:rsidRPr="002C2FB6">
        <w:t xml:space="preserve">First, </w:t>
      </w:r>
      <w:r w:rsidR="00D80C66">
        <w:t>we</w:t>
      </w:r>
      <w:r w:rsidR="00640C40" w:rsidRPr="002C2FB6">
        <w:t xml:space="preserve"> </w:t>
      </w:r>
      <w:r w:rsidR="00CC2045">
        <w:t xml:space="preserve">propose to clarify those costs </w:t>
      </w:r>
      <w:r w:rsidR="00D92FA7">
        <w:t>to which hold harmless commitments will apply</w:t>
      </w:r>
      <w:r w:rsidR="00640C40" w:rsidRPr="002C2FB6">
        <w:t>.</w:t>
      </w:r>
      <w:r w:rsidR="00F73DC1">
        <w:t xml:space="preserve">  </w:t>
      </w:r>
      <w:r w:rsidR="00C81467" w:rsidRPr="00B56133">
        <w:t>A</w:t>
      </w:r>
      <w:r w:rsidR="002B4D58" w:rsidRPr="00B56133">
        <w:t xml:space="preserve">lthough the Commission has provided </w:t>
      </w:r>
      <w:r w:rsidR="008E098E">
        <w:t>broad</w:t>
      </w:r>
      <w:r w:rsidR="008E098E" w:rsidRPr="00B56133">
        <w:t xml:space="preserve"> </w:t>
      </w:r>
      <w:r w:rsidR="002B4D58" w:rsidRPr="00B56133">
        <w:t>guidance regarding th</w:t>
      </w:r>
      <w:r w:rsidR="008E554D" w:rsidRPr="00B56133">
        <w:t>e</w:t>
      </w:r>
      <w:r w:rsidR="002B4D58" w:rsidRPr="00B56133">
        <w:t xml:space="preserve"> costs that should be covered under hold harmless commitments, it has never defined those costs with </w:t>
      </w:r>
      <w:r w:rsidR="008E098E">
        <w:t>much</w:t>
      </w:r>
      <w:r w:rsidR="008E098E" w:rsidRPr="00B56133">
        <w:t xml:space="preserve"> </w:t>
      </w:r>
      <w:r w:rsidR="002B4D58" w:rsidRPr="00B56133">
        <w:t>specificity,</w:t>
      </w:r>
      <w:r w:rsidR="008E098E">
        <w:t xml:space="preserve"> leading to inconsistency</w:t>
      </w:r>
      <w:r w:rsidR="002B4D58" w:rsidRPr="00B56133">
        <w:t xml:space="preserve"> with respect to this issue.  </w:t>
      </w:r>
      <w:r w:rsidR="00431DF4">
        <w:t>Below, w</w:t>
      </w:r>
      <w:r w:rsidR="005048F5" w:rsidRPr="00B56133">
        <w:t>e propose</w:t>
      </w:r>
      <w:r w:rsidR="002B4D58" w:rsidRPr="00B56133">
        <w:t xml:space="preserve"> to </w:t>
      </w:r>
      <w:r w:rsidR="00455931" w:rsidRPr="00B56133">
        <w:t xml:space="preserve">provide additional guidance </w:t>
      </w:r>
      <w:r w:rsidR="00FD0B67" w:rsidRPr="00B56133">
        <w:t xml:space="preserve">by </w:t>
      </w:r>
      <w:r w:rsidR="000D36EA">
        <w:t xml:space="preserve">clarifying the costs that the Commission considers to be transaction-related </w:t>
      </w:r>
      <w:r w:rsidR="002B4D58" w:rsidRPr="00B56133">
        <w:t>costs</w:t>
      </w:r>
      <w:r w:rsidR="00431DF4">
        <w:t>.</w:t>
      </w:r>
      <w:r w:rsidR="003D49D8">
        <w:t xml:space="preserve">  </w:t>
      </w:r>
      <w:r w:rsidR="004917CF">
        <w:t>T</w:t>
      </w:r>
      <w:r w:rsidR="003D49D8">
        <w:t xml:space="preserve">hese </w:t>
      </w:r>
      <w:r w:rsidR="00431DF4">
        <w:t xml:space="preserve">are also </w:t>
      </w:r>
      <w:r w:rsidR="006F1AAF">
        <w:t>the</w:t>
      </w:r>
      <w:r w:rsidR="00431DF4">
        <w:t xml:space="preserve"> </w:t>
      </w:r>
      <w:r w:rsidR="000D36EA">
        <w:t xml:space="preserve">transaction-related </w:t>
      </w:r>
      <w:r w:rsidR="00431DF4">
        <w:t>costs that t</w:t>
      </w:r>
      <w:r w:rsidR="002D2EC1" w:rsidRPr="00B56133">
        <w:t xml:space="preserve">he Commission will </w:t>
      </w:r>
      <w:r w:rsidR="00986CCA">
        <w:t>review</w:t>
      </w:r>
      <w:r w:rsidR="002D2EC1" w:rsidRPr="00B56133">
        <w:t xml:space="preserve"> </w:t>
      </w:r>
      <w:r w:rsidR="00431DF4">
        <w:t>if and when applicants make the requisite filing under FPA section 205 to attempt to recover those costs by showing that they have been offset by savings due to the transaction.</w:t>
      </w:r>
      <w:r w:rsidR="000D36EA">
        <w:t xml:space="preserve">  Finally, </w:t>
      </w:r>
      <w:r w:rsidR="000D36EA" w:rsidRPr="001D7D25">
        <w:rPr>
          <w:rFonts w:cs="Times New Roman"/>
          <w:szCs w:val="26"/>
        </w:rPr>
        <w:t xml:space="preserve">although we identify specific categories of costs below, we continue to believe that the Commission’s policy must remain flexible enough to permit a case-by-case determination of transaction-related costs, and that an attempt to articulate those costs precisely could have unintended consequences.  </w:t>
      </w:r>
    </w:p>
    <w:p w14:paraId="7D6B62AD" w14:textId="2517B237" w:rsidR="00FB444A" w:rsidRPr="000E0656" w:rsidRDefault="002B4D58" w:rsidP="000E0656">
      <w:pPr>
        <w:pStyle w:val="FERCparanumber"/>
        <w:autoSpaceDE w:val="0"/>
        <w:autoSpaceDN w:val="0"/>
        <w:adjustRightInd w:val="0"/>
        <w:spacing w:after="100" w:afterAutospacing="1"/>
        <w:rPr>
          <w:rFonts w:cs="Times New Roman"/>
          <w:szCs w:val="26"/>
        </w:rPr>
      </w:pPr>
      <w:r w:rsidRPr="00CA4234">
        <w:t xml:space="preserve">Second, </w:t>
      </w:r>
      <w:r w:rsidR="00F82301" w:rsidRPr="00B45A0A">
        <w:t>we</w:t>
      </w:r>
      <w:r w:rsidR="00AD36B5" w:rsidRPr="00CA4234">
        <w:t xml:space="preserve"> propose to </w:t>
      </w:r>
      <w:r w:rsidR="00F64C65" w:rsidRPr="00CA4234">
        <w:t>clarify</w:t>
      </w:r>
      <w:r w:rsidR="00AD36B5" w:rsidRPr="00CA4234">
        <w:t xml:space="preserve"> </w:t>
      </w:r>
      <w:r w:rsidR="00F64C65" w:rsidRPr="00CA4234">
        <w:t xml:space="preserve">that </w:t>
      </w:r>
      <w:r w:rsidR="00AD36B5" w:rsidRPr="00CA4234">
        <w:t>applicants</w:t>
      </w:r>
      <w:r w:rsidR="006E5E94">
        <w:t xml:space="preserve"> offering hold harmless </w:t>
      </w:r>
      <w:r w:rsidR="00FA01DA">
        <w:t>commitments</w:t>
      </w:r>
      <w:r w:rsidR="00AD36B5" w:rsidRPr="00CA4234">
        <w:t xml:space="preserve"> </w:t>
      </w:r>
      <w:r w:rsidR="00792EC1" w:rsidRPr="00CA4234">
        <w:t xml:space="preserve">must </w:t>
      </w:r>
      <w:r w:rsidR="00AD36B5" w:rsidRPr="00CA4234">
        <w:t>implement</w:t>
      </w:r>
      <w:r w:rsidR="00792EC1" w:rsidRPr="00CA4234">
        <w:t xml:space="preserve"> </w:t>
      </w:r>
      <w:r w:rsidR="00AD36B5" w:rsidRPr="006E5E94">
        <w:t>appropriate internal controls and procedures</w:t>
      </w:r>
      <w:r w:rsidR="00AC623D" w:rsidRPr="006E5E94">
        <w:t xml:space="preserve"> </w:t>
      </w:r>
      <w:r w:rsidR="00792EC1" w:rsidRPr="006E5E94">
        <w:t>to track those costs from which they have committed to hold their customers harmless</w:t>
      </w:r>
      <w:r w:rsidR="008E098E">
        <w:t xml:space="preserve"> and </w:t>
      </w:r>
      <w:r w:rsidR="00B34673">
        <w:t xml:space="preserve">must </w:t>
      </w:r>
      <w:r w:rsidR="008E098E">
        <w:t>describe such controls and procedures as a part of their FPA section 203 applications and any section 205 filings</w:t>
      </w:r>
      <w:r w:rsidR="00FD2C0B">
        <w:t>.</w:t>
      </w:r>
      <w:r w:rsidR="001535C6" w:rsidRPr="002C2FB6">
        <w:rPr>
          <w:rStyle w:val="FootnoteReference"/>
        </w:rPr>
        <w:footnoteReference w:id="37"/>
      </w:r>
      <w:r w:rsidR="00792EC1" w:rsidRPr="002C2FB6">
        <w:t xml:space="preserve">  </w:t>
      </w:r>
      <w:r w:rsidR="00B532C7">
        <w:t>We believe</w:t>
      </w:r>
      <w:r w:rsidR="00792EC1" w:rsidRPr="002C2FB6">
        <w:t xml:space="preserve"> that these controls and procedures will </w:t>
      </w:r>
      <w:r w:rsidR="00AD36B5" w:rsidRPr="002C2FB6">
        <w:t>ensure the proper identification, accounting, and rate treatment of all transaction-related costs incurred prior to and subsequent to the announcement of a proposed transaction.</w:t>
      </w:r>
      <w:r w:rsidR="00C81467" w:rsidRPr="002C2FB6">
        <w:t xml:space="preserve">  </w:t>
      </w:r>
      <w:r w:rsidR="00AD36B5" w:rsidRPr="000E0656">
        <w:rPr>
          <w:rFonts w:cs="Times New Roman"/>
          <w:szCs w:val="26"/>
        </w:rPr>
        <w:t>Requiring applicants</w:t>
      </w:r>
      <w:r w:rsidR="00252E59" w:rsidRPr="000E0656">
        <w:rPr>
          <w:rFonts w:cs="Times New Roman"/>
          <w:szCs w:val="26"/>
        </w:rPr>
        <w:t xml:space="preserve"> </w:t>
      </w:r>
      <w:r w:rsidR="006E5E94" w:rsidRPr="000E0656">
        <w:rPr>
          <w:rFonts w:cs="Times New Roman"/>
          <w:szCs w:val="26"/>
        </w:rPr>
        <w:t>to explain</w:t>
      </w:r>
      <w:r w:rsidR="00B45A0A" w:rsidRPr="000E0656">
        <w:rPr>
          <w:rFonts w:cs="Times New Roman"/>
          <w:szCs w:val="26"/>
        </w:rPr>
        <w:t xml:space="preserve"> how they will track costs </w:t>
      </w:r>
      <w:r w:rsidR="008E098E" w:rsidRPr="000E0656">
        <w:rPr>
          <w:rFonts w:cs="Times New Roman"/>
          <w:szCs w:val="26"/>
        </w:rPr>
        <w:t>related to a hold harmless commitment</w:t>
      </w:r>
      <w:r w:rsidR="001D7D25" w:rsidRPr="000E0656">
        <w:rPr>
          <w:rFonts w:cs="Times New Roman"/>
          <w:szCs w:val="26"/>
        </w:rPr>
        <w:t xml:space="preserve"> </w:t>
      </w:r>
      <w:r w:rsidR="00AD36B5" w:rsidRPr="000E0656">
        <w:rPr>
          <w:rFonts w:cs="Times New Roman"/>
          <w:szCs w:val="26"/>
        </w:rPr>
        <w:t xml:space="preserve">will </w:t>
      </w:r>
      <w:r w:rsidR="00AC1D2C" w:rsidRPr="000E0656">
        <w:rPr>
          <w:rFonts w:cs="Times New Roman"/>
          <w:szCs w:val="26"/>
        </w:rPr>
        <w:t xml:space="preserve">improve </w:t>
      </w:r>
      <w:r w:rsidR="00AD36B5" w:rsidRPr="000E0656">
        <w:rPr>
          <w:rFonts w:cs="Times New Roman"/>
          <w:szCs w:val="26"/>
        </w:rPr>
        <w:t>the Commission</w:t>
      </w:r>
      <w:r w:rsidR="00AC1D2C" w:rsidRPr="000E0656">
        <w:rPr>
          <w:rFonts w:cs="Times New Roman"/>
          <w:szCs w:val="26"/>
        </w:rPr>
        <w:t>’s ability</w:t>
      </w:r>
      <w:r w:rsidR="00AD36B5" w:rsidRPr="000E0656">
        <w:rPr>
          <w:rFonts w:cs="Times New Roman"/>
          <w:szCs w:val="26"/>
        </w:rPr>
        <w:t xml:space="preserve"> to ensure that</w:t>
      </w:r>
      <w:r w:rsidR="00CD7CC0" w:rsidRPr="000E0656">
        <w:rPr>
          <w:rFonts w:cs="Times New Roman"/>
          <w:szCs w:val="26"/>
        </w:rPr>
        <w:t xml:space="preserve"> there is a process in place to prevent</w:t>
      </w:r>
      <w:r w:rsidR="00AD36B5" w:rsidRPr="000E0656">
        <w:rPr>
          <w:rFonts w:cs="Times New Roman"/>
          <w:szCs w:val="26"/>
        </w:rPr>
        <w:t xml:space="preserve"> those costs</w:t>
      </w:r>
      <w:r w:rsidR="00CD7CC0" w:rsidRPr="000E0656">
        <w:rPr>
          <w:rFonts w:cs="Times New Roman"/>
          <w:szCs w:val="26"/>
        </w:rPr>
        <w:t xml:space="preserve"> from being</w:t>
      </w:r>
      <w:r w:rsidR="00AD36B5" w:rsidRPr="000E0656">
        <w:rPr>
          <w:rFonts w:cs="Times New Roman"/>
          <w:szCs w:val="26"/>
        </w:rPr>
        <w:t xml:space="preserve"> recovered in rates prior to the Commission approving the recovery of them at a later date under FPA section 205, and will </w:t>
      </w:r>
      <w:r w:rsidR="00AC1D2C" w:rsidRPr="000E0656">
        <w:rPr>
          <w:rFonts w:cs="Times New Roman"/>
          <w:szCs w:val="26"/>
        </w:rPr>
        <w:t xml:space="preserve">also </w:t>
      </w:r>
      <w:r w:rsidR="00AD36B5" w:rsidRPr="000E0656">
        <w:rPr>
          <w:rFonts w:cs="Times New Roman"/>
          <w:szCs w:val="26"/>
        </w:rPr>
        <w:t>clarify for customers what types of costs are covered under a hold harmless commitment, as required by</w:t>
      </w:r>
      <w:r w:rsidR="00AB4B08" w:rsidRPr="000E0656">
        <w:rPr>
          <w:rFonts w:cs="Times New Roman"/>
          <w:szCs w:val="26"/>
        </w:rPr>
        <w:t xml:space="preserve"> </w:t>
      </w:r>
      <w:r w:rsidR="00AD36B5" w:rsidRPr="000E0656">
        <w:rPr>
          <w:rFonts w:cs="Times New Roman"/>
          <w:szCs w:val="26"/>
        </w:rPr>
        <w:t>Commission</w:t>
      </w:r>
      <w:r w:rsidR="00792EC1" w:rsidRPr="000E0656">
        <w:rPr>
          <w:rFonts w:cs="Times New Roman"/>
          <w:szCs w:val="26"/>
        </w:rPr>
        <w:t xml:space="preserve"> precedent</w:t>
      </w:r>
      <w:r w:rsidR="00AD36B5" w:rsidRPr="000E0656">
        <w:rPr>
          <w:rFonts w:cs="Times New Roman"/>
          <w:szCs w:val="26"/>
        </w:rPr>
        <w:t>.</w:t>
      </w:r>
      <w:r w:rsidR="00AD36B5" w:rsidRPr="002C2FB6">
        <w:rPr>
          <w:rStyle w:val="FootnoteReference"/>
        </w:rPr>
        <w:footnoteReference w:id="38"/>
      </w:r>
      <w:bookmarkStart w:id="1" w:name="_Start_TOC"/>
      <w:bookmarkStart w:id="2" w:name="_End_TOC"/>
      <w:bookmarkEnd w:id="1"/>
      <w:bookmarkEnd w:id="2"/>
    </w:p>
    <w:p w14:paraId="1BB5766B" w14:textId="1361C182" w:rsidR="00231A82" w:rsidRPr="00ED4165" w:rsidRDefault="00231A82" w:rsidP="00ED4165">
      <w:pPr>
        <w:pStyle w:val="FERCparanumber"/>
      </w:pPr>
      <w:r w:rsidRPr="00496077">
        <w:t xml:space="preserve">Third, </w:t>
      </w:r>
      <w:r w:rsidR="00950EC5" w:rsidRPr="00496077">
        <w:t>we</w:t>
      </w:r>
      <w:r w:rsidRPr="00496077">
        <w:t xml:space="preserve"> propose that, in</w:t>
      </w:r>
      <w:r w:rsidRPr="00ED4165">
        <w:t xml:space="preserve"> order for a hold harmless commitment to provide adequate ratepayer protection, it should not be limited in duration</w:t>
      </w:r>
      <w:r w:rsidRPr="00496077">
        <w:t xml:space="preserve">.  </w:t>
      </w:r>
      <w:r w:rsidRPr="00C97DB3">
        <w:t xml:space="preserve">As discussed in further detail below, </w:t>
      </w:r>
      <w:r w:rsidR="00B34673" w:rsidRPr="00C97DB3">
        <w:t>we are</w:t>
      </w:r>
      <w:r w:rsidRPr="00C97DB3">
        <w:t xml:space="preserve"> concerned that limiting the hold harmless commitment to a certain period (generally five years) </w:t>
      </w:r>
      <w:r w:rsidR="00DE52D8" w:rsidRPr="00C97DB3">
        <w:t xml:space="preserve">raises the risk that </w:t>
      </w:r>
      <w:r w:rsidR="009A159D" w:rsidRPr="00C97DB3">
        <w:t>transaction</w:t>
      </w:r>
      <w:r w:rsidR="00DE52D8" w:rsidRPr="00C97DB3">
        <w:t>-related</w:t>
      </w:r>
      <w:r w:rsidR="00C97DB3">
        <w:t xml:space="preserve"> </w:t>
      </w:r>
      <w:r w:rsidR="00DE52D8" w:rsidRPr="00C97DB3">
        <w:t xml:space="preserve">costs could be </w:t>
      </w:r>
      <w:r w:rsidR="009A1AFE" w:rsidRPr="00C97DB3">
        <w:t xml:space="preserve">included in future formula rate billings without </w:t>
      </w:r>
      <w:r w:rsidR="007F76D9" w:rsidRPr="00C97DB3">
        <w:t xml:space="preserve">applicants </w:t>
      </w:r>
      <w:r w:rsidR="009A1AFE" w:rsidRPr="00C97DB3">
        <w:t>making the showing of offsetting savings.</w:t>
      </w:r>
      <w:r w:rsidR="000E0656" w:rsidRPr="00C97DB3">
        <w:t xml:space="preserve">  </w:t>
      </w:r>
      <w:r w:rsidRPr="00ED4165">
        <w:t xml:space="preserve">Eliminating the time limit will ensure that </w:t>
      </w:r>
      <w:r w:rsidR="009A159D">
        <w:t>transaction</w:t>
      </w:r>
      <w:r w:rsidRPr="00ED4165">
        <w:t xml:space="preserve">-related costs cannot be recovered from ratepayers at any time, unless applicants can demonstrate that there are offsetting </w:t>
      </w:r>
      <w:r w:rsidR="009A159D">
        <w:t>transaction</w:t>
      </w:r>
      <w:r w:rsidRPr="00ED4165">
        <w:t>-related savings.  This revised approach is consistent with the Merger Policy Statement</w:t>
      </w:r>
      <w:r w:rsidR="00B8516A">
        <w:t>,</w:t>
      </w:r>
      <w:r w:rsidRPr="00ED4165">
        <w:t xml:space="preserve"> which emphasized that the burden of proof to demonstrate that customers will be protected should be on applicants and that applicants should also bear the risk that benefits will not materialize.</w:t>
      </w:r>
      <w:r w:rsidRPr="00ED4165">
        <w:rPr>
          <w:rStyle w:val="FootnoteReference"/>
        </w:rPr>
        <w:footnoteReference w:id="39"/>
      </w:r>
    </w:p>
    <w:p w14:paraId="1AA43C05" w14:textId="7E939239" w:rsidR="008E554D" w:rsidRPr="00F73DC1" w:rsidRDefault="008E554D" w:rsidP="007F718E">
      <w:pPr>
        <w:pStyle w:val="FERCparanumber"/>
        <w:rPr>
          <w:rFonts w:cs="Times New Roman"/>
          <w:szCs w:val="26"/>
        </w:rPr>
      </w:pPr>
      <w:r>
        <w:rPr>
          <w:rFonts w:cs="Times New Roman"/>
          <w:szCs w:val="26"/>
        </w:rPr>
        <w:t>Finally,</w:t>
      </w:r>
      <w:r w:rsidR="00E11C6E" w:rsidRPr="00E11C6E">
        <w:t xml:space="preserve"> </w:t>
      </w:r>
      <w:r w:rsidR="007F76D9">
        <w:t>we</w:t>
      </w:r>
      <w:r w:rsidR="009A118F">
        <w:t xml:space="preserve"> propose to clarify that applicants may demonstrate that</w:t>
      </w:r>
      <w:r w:rsidR="00D65DC2">
        <w:t>, under</w:t>
      </w:r>
      <w:r w:rsidR="009A118F">
        <w:t xml:space="preserve"> </w:t>
      </w:r>
      <w:r w:rsidR="007F76D9">
        <w:t>certain</w:t>
      </w:r>
      <w:r w:rsidR="00D65DC2">
        <w:t xml:space="preserve"> circumstances,</w:t>
      </w:r>
      <w:r w:rsidR="009A118F">
        <w:t xml:space="preserve"> transactions will not have an adverse effect on rates</w:t>
      </w:r>
      <w:r w:rsidR="007F76D9">
        <w:t xml:space="preserve"> without relying on hold harmless commitments</w:t>
      </w:r>
      <w:r w:rsidR="00DA3F45">
        <w:t xml:space="preserve"> </w:t>
      </w:r>
      <w:r w:rsidR="00DA3F45">
        <w:rPr>
          <w:rFonts w:cs="Times New Roman"/>
          <w:szCs w:val="26"/>
        </w:rPr>
        <w:t>or other ratepayer protection mechanisms</w:t>
      </w:r>
      <w:r w:rsidR="009A118F">
        <w:t xml:space="preserve">.  As noted above, </w:t>
      </w:r>
      <w:r w:rsidR="009A118F" w:rsidRPr="002C2FB6">
        <w:rPr>
          <w:rFonts w:cs="Times New Roman"/>
          <w:szCs w:val="26"/>
        </w:rPr>
        <w:t xml:space="preserve">some applicants have made hold harmless commitments in connection with transactions involving </w:t>
      </w:r>
      <w:r w:rsidR="009A118F">
        <w:rPr>
          <w:rFonts w:cs="Times New Roman"/>
          <w:szCs w:val="26"/>
        </w:rPr>
        <w:t xml:space="preserve">the acquisition or disposition of </w:t>
      </w:r>
      <w:r w:rsidR="009A118F" w:rsidRPr="002C2FB6">
        <w:rPr>
          <w:rFonts w:cs="Times New Roman"/>
          <w:szCs w:val="26"/>
        </w:rPr>
        <w:t>existing jurisdictional facilities</w:t>
      </w:r>
      <w:r w:rsidR="00CB4D07">
        <w:rPr>
          <w:rFonts w:cs="Times New Roman"/>
          <w:szCs w:val="26"/>
        </w:rPr>
        <w:t xml:space="preserve"> </w:t>
      </w:r>
      <w:r w:rsidR="009A118F">
        <w:rPr>
          <w:rFonts w:cs="Times New Roman"/>
          <w:szCs w:val="26"/>
        </w:rPr>
        <w:t xml:space="preserve">where </w:t>
      </w:r>
      <w:r w:rsidR="009A118F" w:rsidRPr="002C2FB6">
        <w:rPr>
          <w:rFonts w:cs="Times New Roman"/>
          <w:szCs w:val="26"/>
        </w:rPr>
        <w:t xml:space="preserve">the acquiring entity </w:t>
      </w:r>
      <w:r w:rsidR="009A118F">
        <w:rPr>
          <w:rFonts w:cs="Times New Roman"/>
          <w:szCs w:val="26"/>
        </w:rPr>
        <w:t>wa</w:t>
      </w:r>
      <w:r w:rsidR="009A118F" w:rsidRPr="002C2FB6">
        <w:rPr>
          <w:rFonts w:cs="Times New Roman"/>
          <w:szCs w:val="26"/>
        </w:rPr>
        <w:t>s a traditional franchised utility and entering into the transaction in order to satisfy</w:t>
      </w:r>
      <w:r w:rsidR="00B67F8F">
        <w:rPr>
          <w:rFonts w:cs="Times New Roman"/>
          <w:szCs w:val="26"/>
        </w:rPr>
        <w:t xml:space="preserve"> </w:t>
      </w:r>
      <w:r w:rsidR="009A118F" w:rsidRPr="002C2FB6">
        <w:rPr>
          <w:rFonts w:cs="Times New Roman"/>
          <w:szCs w:val="26"/>
        </w:rPr>
        <w:t>resource adequacy requirements at the state level, to improve system reliability</w:t>
      </w:r>
      <w:r w:rsidR="00B67F8F">
        <w:rPr>
          <w:rFonts w:cs="Times New Roman"/>
          <w:szCs w:val="26"/>
        </w:rPr>
        <w:t xml:space="preserve">, </w:t>
      </w:r>
      <w:r w:rsidR="009A118F" w:rsidRPr="002C2FB6">
        <w:rPr>
          <w:rFonts w:cs="Times New Roman"/>
          <w:szCs w:val="26"/>
        </w:rPr>
        <w:t>and/or meet other regulatory requirements.</w:t>
      </w:r>
      <w:r w:rsidR="009A118F" w:rsidRPr="002C2FB6">
        <w:rPr>
          <w:rStyle w:val="FootnoteReference"/>
        </w:rPr>
        <w:footnoteReference w:id="40"/>
      </w:r>
      <w:r w:rsidR="009A118F">
        <w:t xml:space="preserve">  </w:t>
      </w:r>
      <w:r w:rsidR="00986CCA">
        <w:t>H</w:t>
      </w:r>
      <w:r w:rsidR="009A118F">
        <w:t xml:space="preserve">old harmless commitments </w:t>
      </w:r>
      <w:r w:rsidR="00CB4D07">
        <w:t>may not be</w:t>
      </w:r>
      <w:r w:rsidR="009A118F">
        <w:t xml:space="preserve"> appropriate in these and other similar circumstances given that </w:t>
      </w:r>
      <w:r w:rsidR="00B938C9">
        <w:t xml:space="preserve">while </w:t>
      </w:r>
      <w:r w:rsidR="00B67F8F">
        <w:t xml:space="preserve">these proposed transactions may have an effect on rates, that effect may not be adverse.  Accordingly, </w:t>
      </w:r>
      <w:r w:rsidR="007176BD">
        <w:t xml:space="preserve">as discussed in further detail below, </w:t>
      </w:r>
      <w:r w:rsidR="00B938C9">
        <w:t>we</w:t>
      </w:r>
      <w:r w:rsidR="00B67F8F">
        <w:t xml:space="preserve"> propose </w:t>
      </w:r>
      <w:r w:rsidR="00B67F8F" w:rsidRPr="007F718E">
        <w:t>that under certain circumstances</w:t>
      </w:r>
      <w:r w:rsidR="007176BD">
        <w:t>, applicants may show that</w:t>
      </w:r>
      <w:r w:rsidR="00B67F8F" w:rsidRPr="007F718E">
        <w:t xml:space="preserve"> a transaction </w:t>
      </w:r>
      <w:r w:rsidR="00D65DC2">
        <w:t>will</w:t>
      </w:r>
      <w:r w:rsidR="007176BD">
        <w:t xml:space="preserve"> </w:t>
      </w:r>
      <w:r w:rsidR="00B67F8F" w:rsidRPr="007F718E">
        <w:t xml:space="preserve">not have an adverse effect on rates without proposing additional </w:t>
      </w:r>
      <w:r w:rsidR="00B67F8F">
        <w:t xml:space="preserve">ratepayer protection mechanisms. </w:t>
      </w:r>
    </w:p>
    <w:p w14:paraId="1B8CAC2F" w14:textId="30CC3255" w:rsidR="0011267E" w:rsidRPr="002C2FB6" w:rsidRDefault="002D164D" w:rsidP="000D67E5">
      <w:pPr>
        <w:pStyle w:val="FERCparanumber"/>
        <w:autoSpaceDE w:val="0"/>
        <w:autoSpaceDN w:val="0"/>
        <w:adjustRightInd w:val="0"/>
        <w:spacing w:after="0"/>
        <w:rPr>
          <w:rFonts w:cs="Times New Roman"/>
          <w:szCs w:val="26"/>
        </w:rPr>
      </w:pPr>
      <w:r w:rsidRPr="00F73DC1">
        <w:rPr>
          <w:szCs w:val="26"/>
        </w:rPr>
        <w:t xml:space="preserve">Our intent is to apply </w:t>
      </w:r>
      <w:r w:rsidR="002D2EC1" w:rsidRPr="00F73DC1">
        <w:rPr>
          <w:szCs w:val="26"/>
        </w:rPr>
        <w:t>any changes to our</w:t>
      </w:r>
      <w:r w:rsidR="00E11C6E">
        <w:rPr>
          <w:szCs w:val="26"/>
        </w:rPr>
        <w:t xml:space="preserve"> </w:t>
      </w:r>
      <w:r w:rsidRPr="00F73DC1">
        <w:rPr>
          <w:szCs w:val="26"/>
        </w:rPr>
        <w:t xml:space="preserve">policy </w:t>
      </w:r>
      <w:r w:rsidR="00832F25" w:rsidRPr="00F73DC1">
        <w:rPr>
          <w:szCs w:val="26"/>
        </w:rPr>
        <w:t xml:space="preserve">on hold harmless commitments </w:t>
      </w:r>
      <w:r w:rsidRPr="00F73DC1">
        <w:rPr>
          <w:szCs w:val="26"/>
        </w:rPr>
        <w:t xml:space="preserve">on a prospective basis, for applications submitted after the Commission has issued a policy statement, and not alter </w:t>
      </w:r>
      <w:r>
        <w:rPr>
          <w:szCs w:val="26"/>
        </w:rPr>
        <w:t xml:space="preserve">existing hold harmless commitments </w:t>
      </w:r>
      <w:r w:rsidR="009A05B9" w:rsidRPr="00CB4D07">
        <w:t>accepted</w:t>
      </w:r>
      <w:r>
        <w:rPr>
          <w:szCs w:val="26"/>
        </w:rPr>
        <w:t xml:space="preserve"> by the Commission or submitted in applications pending at the time the Commission issues the policy statement.</w:t>
      </w:r>
      <w:r>
        <w:t xml:space="preserve">  We seek comments from interested persons on these proposals.  </w:t>
      </w:r>
    </w:p>
    <w:p w14:paraId="6B3C7574" w14:textId="6437E82C" w:rsidR="006D2223" w:rsidRDefault="006D2223" w:rsidP="00AA1D60">
      <w:pPr>
        <w:pStyle w:val="Heading2"/>
        <w:ind w:left="1440" w:hanging="720"/>
        <w:rPr>
          <w:rFonts w:cs="Times New Roman"/>
          <w:szCs w:val="26"/>
        </w:rPr>
      </w:pPr>
      <w:r>
        <w:rPr>
          <w:rFonts w:cs="Times New Roman"/>
          <w:szCs w:val="26"/>
        </w:rPr>
        <w:t>Revisions to the Commission’s Policy on Hold Harmless Commitments</w:t>
      </w:r>
    </w:p>
    <w:p w14:paraId="7EB63B39" w14:textId="0699F01F" w:rsidR="002B4D58" w:rsidRPr="002C2FB6" w:rsidRDefault="00B56133">
      <w:pPr>
        <w:pStyle w:val="Heading3"/>
      </w:pPr>
      <w:r>
        <w:t>Identifying</w:t>
      </w:r>
      <w:r w:rsidR="00E11C6E">
        <w:t xml:space="preserve"> and Accounting for</w:t>
      </w:r>
      <w:r w:rsidRPr="002C2FB6">
        <w:t xml:space="preserve"> </w:t>
      </w:r>
      <w:r w:rsidR="002B4D58" w:rsidRPr="002C2FB6">
        <w:t xml:space="preserve">Transaction-Related Costs </w:t>
      </w:r>
    </w:p>
    <w:p w14:paraId="2334B8CE" w14:textId="45C0D1AE" w:rsidR="009E08B4" w:rsidRPr="00F83492" w:rsidRDefault="00986CCA" w:rsidP="00187A82">
      <w:pPr>
        <w:pStyle w:val="FERCparanumber"/>
        <w:autoSpaceDE w:val="0"/>
        <w:autoSpaceDN w:val="0"/>
        <w:adjustRightInd w:val="0"/>
        <w:spacing w:after="0"/>
        <w:rPr>
          <w:szCs w:val="26"/>
        </w:rPr>
      </w:pPr>
      <w:r>
        <w:t xml:space="preserve">We propose to designate the following </w:t>
      </w:r>
      <w:r>
        <w:rPr>
          <w:szCs w:val="26"/>
        </w:rPr>
        <w:t>categories of costs as the transaction-related costs that should be subject to any hold harmless commitment.  Accordingly, the costs set out below are those transaction</w:t>
      </w:r>
      <w:r w:rsidRPr="00B45A0A">
        <w:rPr>
          <w:szCs w:val="26"/>
        </w:rPr>
        <w:t xml:space="preserve">-related costs </w:t>
      </w:r>
      <w:r>
        <w:rPr>
          <w:szCs w:val="26"/>
        </w:rPr>
        <w:t xml:space="preserve">from which customers must be held harmless </w:t>
      </w:r>
      <w:r w:rsidRPr="00B45A0A">
        <w:rPr>
          <w:szCs w:val="26"/>
        </w:rPr>
        <w:t xml:space="preserve">and </w:t>
      </w:r>
      <w:r>
        <w:rPr>
          <w:szCs w:val="26"/>
        </w:rPr>
        <w:t>that</w:t>
      </w:r>
      <w:r w:rsidRPr="00B45A0A">
        <w:rPr>
          <w:szCs w:val="26"/>
        </w:rPr>
        <w:t xml:space="preserve"> may not be recovered from customers except to the extent exceeded by demonstrated savings.</w:t>
      </w:r>
      <w:r w:rsidRPr="00CB4D07">
        <w:rPr>
          <w:rStyle w:val="FootnoteReference"/>
        </w:rPr>
        <w:footnoteReference w:id="41"/>
      </w:r>
      <w:r w:rsidRPr="00B45A0A">
        <w:rPr>
          <w:szCs w:val="26"/>
        </w:rPr>
        <w:t xml:space="preserve"> </w:t>
      </w:r>
      <w:r>
        <w:rPr>
          <w:szCs w:val="26"/>
        </w:rPr>
        <w:t xml:space="preserve"> </w:t>
      </w:r>
      <w:r w:rsidR="00A358F1">
        <w:rPr>
          <w:rFonts w:cs="Times New Roman"/>
          <w:szCs w:val="26"/>
        </w:rPr>
        <w:t xml:space="preserve">As noted above, although </w:t>
      </w:r>
      <w:r w:rsidR="00286437">
        <w:rPr>
          <w:rFonts w:cs="Times New Roman"/>
          <w:szCs w:val="26"/>
        </w:rPr>
        <w:t>we</w:t>
      </w:r>
      <w:r w:rsidR="00CC44D9" w:rsidRPr="002C2FB6">
        <w:rPr>
          <w:rFonts w:cs="Times New Roman"/>
          <w:szCs w:val="26"/>
        </w:rPr>
        <w:t xml:space="preserve"> propose to provide guidance </w:t>
      </w:r>
      <w:r w:rsidR="00D65DC2">
        <w:rPr>
          <w:rFonts w:cs="Times New Roman"/>
          <w:szCs w:val="26"/>
        </w:rPr>
        <w:t>in this proposed policy statement</w:t>
      </w:r>
      <w:r w:rsidR="00D65DC2" w:rsidRPr="002C2FB6">
        <w:rPr>
          <w:rFonts w:cs="Times New Roman"/>
          <w:szCs w:val="26"/>
        </w:rPr>
        <w:t xml:space="preserve"> </w:t>
      </w:r>
      <w:r w:rsidR="00CC44D9" w:rsidRPr="002C2FB6">
        <w:rPr>
          <w:rFonts w:cs="Times New Roman"/>
          <w:szCs w:val="26"/>
        </w:rPr>
        <w:t xml:space="preserve">regarding </w:t>
      </w:r>
      <w:r w:rsidR="00CF417D">
        <w:rPr>
          <w:rFonts w:cs="Times New Roman"/>
          <w:szCs w:val="26"/>
        </w:rPr>
        <w:t>how to identify</w:t>
      </w:r>
      <w:r w:rsidR="00CC44D9" w:rsidRPr="002C2FB6">
        <w:rPr>
          <w:rFonts w:cs="Times New Roman"/>
          <w:szCs w:val="26"/>
        </w:rPr>
        <w:t xml:space="preserve"> transaction-related costs,</w:t>
      </w:r>
      <w:r w:rsidR="00885CD2">
        <w:rPr>
          <w:rFonts w:cs="Times New Roman"/>
          <w:szCs w:val="26"/>
        </w:rPr>
        <w:t xml:space="preserve"> </w:t>
      </w:r>
      <w:r w:rsidR="00286437">
        <w:rPr>
          <w:rFonts w:cs="Times New Roman"/>
          <w:szCs w:val="26"/>
        </w:rPr>
        <w:t>we</w:t>
      </w:r>
      <w:r w:rsidR="002B4D58" w:rsidRPr="002C2FB6">
        <w:rPr>
          <w:rFonts w:cs="Times New Roman"/>
          <w:szCs w:val="26"/>
        </w:rPr>
        <w:t xml:space="preserve"> </w:t>
      </w:r>
      <w:r w:rsidR="00CC44D9" w:rsidRPr="00F73DC1">
        <w:rPr>
          <w:rFonts w:cs="Times New Roman"/>
          <w:szCs w:val="26"/>
        </w:rPr>
        <w:t xml:space="preserve">continue to </w:t>
      </w:r>
      <w:r w:rsidR="002B4D58" w:rsidRPr="00F73DC1">
        <w:rPr>
          <w:rFonts w:cs="Times New Roman"/>
          <w:szCs w:val="26"/>
        </w:rPr>
        <w:t>believe that</w:t>
      </w:r>
      <w:r w:rsidR="009275C2" w:rsidRPr="00F73DC1">
        <w:rPr>
          <w:rFonts w:cs="Times New Roman"/>
          <w:szCs w:val="26"/>
        </w:rPr>
        <w:t xml:space="preserve"> </w:t>
      </w:r>
      <w:r w:rsidR="00126C8B" w:rsidRPr="00F73DC1">
        <w:rPr>
          <w:rFonts w:cs="Times New Roman"/>
          <w:szCs w:val="26"/>
        </w:rPr>
        <w:t xml:space="preserve">attempts to </w:t>
      </w:r>
      <w:r w:rsidR="002B4D58" w:rsidRPr="00F73DC1">
        <w:rPr>
          <w:rFonts w:cs="Times New Roman"/>
          <w:szCs w:val="26"/>
        </w:rPr>
        <w:t>precise</w:t>
      </w:r>
      <w:r w:rsidR="00126C8B" w:rsidRPr="00F73DC1">
        <w:rPr>
          <w:rFonts w:cs="Times New Roman"/>
          <w:szCs w:val="26"/>
        </w:rPr>
        <w:t>ly</w:t>
      </w:r>
      <w:r w:rsidR="002B4D58" w:rsidRPr="00F73DC1">
        <w:rPr>
          <w:rFonts w:cs="Times New Roman"/>
          <w:szCs w:val="26"/>
        </w:rPr>
        <w:t xml:space="preserve"> articula</w:t>
      </w:r>
      <w:r w:rsidR="00126C8B" w:rsidRPr="00F73DC1">
        <w:rPr>
          <w:rFonts w:cs="Times New Roman"/>
          <w:szCs w:val="26"/>
        </w:rPr>
        <w:t xml:space="preserve">te </w:t>
      </w:r>
      <w:r w:rsidR="008F22DE" w:rsidRPr="00F73DC1">
        <w:rPr>
          <w:rFonts w:cs="Times New Roman"/>
          <w:szCs w:val="26"/>
        </w:rPr>
        <w:t>all such</w:t>
      </w:r>
      <w:r w:rsidR="00126C8B" w:rsidRPr="00F73DC1">
        <w:rPr>
          <w:rFonts w:cs="Times New Roman"/>
          <w:szCs w:val="26"/>
        </w:rPr>
        <w:t xml:space="preserve"> </w:t>
      </w:r>
      <w:r w:rsidR="00273C55" w:rsidRPr="00F73DC1">
        <w:rPr>
          <w:rFonts w:cs="Times New Roman"/>
          <w:szCs w:val="26"/>
        </w:rPr>
        <w:t>costs</w:t>
      </w:r>
      <w:r w:rsidR="002B4D58" w:rsidRPr="00F73DC1">
        <w:rPr>
          <w:rFonts w:cs="Times New Roman"/>
          <w:szCs w:val="26"/>
        </w:rPr>
        <w:t xml:space="preserve"> </w:t>
      </w:r>
      <w:r w:rsidR="00DD751F" w:rsidRPr="00F73DC1">
        <w:rPr>
          <w:rFonts w:cs="Times New Roman"/>
          <w:szCs w:val="26"/>
        </w:rPr>
        <w:t>are</w:t>
      </w:r>
      <w:r w:rsidR="002B4D58" w:rsidRPr="00F73DC1">
        <w:rPr>
          <w:rFonts w:cs="Times New Roman"/>
          <w:szCs w:val="26"/>
        </w:rPr>
        <w:t xml:space="preserve"> not feasible.</w:t>
      </w:r>
      <w:r w:rsidR="00CC44D9" w:rsidRPr="00F73DC1">
        <w:rPr>
          <w:rFonts w:cs="Times New Roman"/>
          <w:szCs w:val="26"/>
        </w:rPr>
        <w:t xml:space="preserve">  </w:t>
      </w:r>
      <w:r w:rsidR="00152A5B" w:rsidRPr="00F73DC1">
        <w:rPr>
          <w:rFonts w:cs="Times New Roman"/>
          <w:szCs w:val="26"/>
        </w:rPr>
        <w:t xml:space="preserve">For example, while many </w:t>
      </w:r>
      <w:r w:rsidR="008F22DE" w:rsidRPr="00F73DC1">
        <w:rPr>
          <w:rFonts w:cs="Times New Roman"/>
          <w:szCs w:val="26"/>
        </w:rPr>
        <w:t>direct</w:t>
      </w:r>
      <w:r w:rsidR="00152A5B" w:rsidRPr="00F73DC1">
        <w:rPr>
          <w:rFonts w:cs="Times New Roman"/>
          <w:szCs w:val="26"/>
        </w:rPr>
        <w:t xml:space="preserve"> costs </w:t>
      </w:r>
      <w:r w:rsidR="008F22DE" w:rsidRPr="00F73DC1">
        <w:rPr>
          <w:rFonts w:cs="Times New Roman"/>
          <w:szCs w:val="26"/>
        </w:rPr>
        <w:t xml:space="preserve">of a </w:t>
      </w:r>
      <w:r w:rsidR="009A159D" w:rsidRPr="00F73DC1">
        <w:rPr>
          <w:rFonts w:cs="Times New Roman"/>
          <w:szCs w:val="26"/>
        </w:rPr>
        <w:t>transaction</w:t>
      </w:r>
      <w:r w:rsidR="008F22DE">
        <w:rPr>
          <w:rFonts w:cs="Times New Roman"/>
          <w:szCs w:val="26"/>
        </w:rPr>
        <w:t xml:space="preserve"> </w:t>
      </w:r>
      <w:r w:rsidR="00152A5B" w:rsidRPr="002C2FB6">
        <w:rPr>
          <w:rFonts w:cs="Times New Roman"/>
          <w:szCs w:val="26"/>
        </w:rPr>
        <w:t xml:space="preserve">can be tracked with proper mechanisms and controls, </w:t>
      </w:r>
      <w:r w:rsidR="008F22DE">
        <w:rPr>
          <w:rFonts w:cs="Times New Roman"/>
          <w:szCs w:val="26"/>
        </w:rPr>
        <w:t>other costs</w:t>
      </w:r>
      <w:r w:rsidR="00152A5B" w:rsidRPr="002C2FB6">
        <w:rPr>
          <w:rFonts w:cs="Times New Roman"/>
          <w:szCs w:val="26"/>
        </w:rPr>
        <w:t xml:space="preserve"> may be more difficult to classify.  </w:t>
      </w:r>
      <w:r w:rsidR="00CC44D9" w:rsidRPr="002C2FB6">
        <w:rPr>
          <w:rFonts w:cs="Times New Roman"/>
          <w:szCs w:val="26"/>
        </w:rPr>
        <w:t xml:space="preserve">Accordingly, because each transaction is unique, the final determination of what </w:t>
      </w:r>
      <w:r w:rsidR="00287142">
        <w:rPr>
          <w:rFonts w:cs="Times New Roman"/>
          <w:szCs w:val="26"/>
        </w:rPr>
        <w:t xml:space="preserve">transaction-related </w:t>
      </w:r>
      <w:r w:rsidR="00CC44D9" w:rsidRPr="002C2FB6">
        <w:rPr>
          <w:rFonts w:cs="Times New Roman"/>
          <w:szCs w:val="26"/>
        </w:rPr>
        <w:t xml:space="preserve">costs may be </w:t>
      </w:r>
      <w:r w:rsidR="00287142">
        <w:rPr>
          <w:rFonts w:cs="Times New Roman"/>
          <w:szCs w:val="26"/>
        </w:rPr>
        <w:t xml:space="preserve">recovered by applicants </w:t>
      </w:r>
      <w:r w:rsidR="00CC44D9" w:rsidRPr="002C2FB6">
        <w:rPr>
          <w:rFonts w:cs="Times New Roman"/>
          <w:szCs w:val="26"/>
        </w:rPr>
        <w:t>will remain subject to a case-by-case analysis</w:t>
      </w:r>
      <w:r w:rsidR="007C042F">
        <w:rPr>
          <w:rFonts w:cs="Times New Roman"/>
          <w:szCs w:val="26"/>
        </w:rPr>
        <w:t xml:space="preserve">; specifically, this </w:t>
      </w:r>
      <w:r w:rsidR="00287142">
        <w:rPr>
          <w:rFonts w:cs="Times New Roman"/>
          <w:szCs w:val="26"/>
        </w:rPr>
        <w:t>determination will be made if and when applicants propose to recover transaction-related costs and demonstrate offsetting savings in the subsequent FPA section 205 filing described previously by the Commissio</w:t>
      </w:r>
      <w:r w:rsidR="00287142" w:rsidRPr="00F904C9">
        <w:rPr>
          <w:rFonts w:cs="Times New Roman"/>
          <w:szCs w:val="26"/>
        </w:rPr>
        <w:t>n.</w:t>
      </w:r>
      <w:r w:rsidR="00CC44D9" w:rsidRPr="00F904C9">
        <w:rPr>
          <w:rFonts w:cs="Times New Roman"/>
          <w:szCs w:val="26"/>
        </w:rPr>
        <w:t xml:space="preserve">  </w:t>
      </w:r>
      <w:r w:rsidR="002B4D58" w:rsidRPr="00F904C9">
        <w:rPr>
          <w:rFonts w:cs="Times New Roman"/>
          <w:szCs w:val="26"/>
        </w:rPr>
        <w:t xml:space="preserve">  </w:t>
      </w:r>
    </w:p>
    <w:p w14:paraId="4DFF2A8B" w14:textId="19F37720" w:rsidR="002B4D58" w:rsidRPr="00F73DC1" w:rsidRDefault="007C042F" w:rsidP="002B4D58">
      <w:pPr>
        <w:pStyle w:val="FERCparanumber"/>
        <w:autoSpaceDE w:val="0"/>
        <w:autoSpaceDN w:val="0"/>
        <w:adjustRightInd w:val="0"/>
        <w:spacing w:after="0"/>
        <w:rPr>
          <w:rFonts w:cs="Times New Roman"/>
          <w:szCs w:val="26"/>
        </w:rPr>
      </w:pPr>
      <w:r>
        <w:rPr>
          <w:rFonts w:cs="Times New Roman"/>
          <w:szCs w:val="26"/>
        </w:rPr>
        <w:t xml:space="preserve">First, </w:t>
      </w:r>
      <w:r w:rsidR="00496B15">
        <w:rPr>
          <w:rFonts w:cs="Times New Roman"/>
          <w:szCs w:val="26"/>
        </w:rPr>
        <w:t>we</w:t>
      </w:r>
      <w:r w:rsidR="002B4D58" w:rsidRPr="002C2FB6">
        <w:rPr>
          <w:rFonts w:cs="Times New Roman"/>
          <w:szCs w:val="26"/>
        </w:rPr>
        <w:t xml:space="preserve"> propose that</w:t>
      </w:r>
      <w:r w:rsidR="00496B15">
        <w:rPr>
          <w:rFonts w:cs="Times New Roman"/>
          <w:szCs w:val="26"/>
        </w:rPr>
        <w:t xml:space="preserve"> transaction</w:t>
      </w:r>
      <w:r w:rsidR="002B4D58" w:rsidRPr="002C2FB6">
        <w:rPr>
          <w:rFonts w:cs="Times New Roman"/>
          <w:szCs w:val="26"/>
        </w:rPr>
        <w:t xml:space="preserve">-related </w:t>
      </w:r>
      <w:r w:rsidR="002B4D58" w:rsidRPr="00F73DC1">
        <w:rPr>
          <w:rFonts w:cs="Times New Roman"/>
          <w:szCs w:val="26"/>
        </w:rPr>
        <w:t>costs include, but</w:t>
      </w:r>
      <w:r w:rsidR="007F01CC">
        <w:rPr>
          <w:rFonts w:cs="Times New Roman"/>
          <w:szCs w:val="26"/>
        </w:rPr>
        <w:t xml:space="preserve"> are</w:t>
      </w:r>
      <w:r w:rsidR="002B4D58" w:rsidRPr="00F73DC1">
        <w:rPr>
          <w:rFonts w:cs="Times New Roman"/>
          <w:szCs w:val="26"/>
        </w:rPr>
        <w:t xml:space="preserve"> </w:t>
      </w:r>
      <w:r>
        <w:rPr>
          <w:rFonts w:cs="Times New Roman"/>
          <w:szCs w:val="26"/>
        </w:rPr>
        <w:t xml:space="preserve">not </w:t>
      </w:r>
      <w:r w:rsidR="002B4D58" w:rsidRPr="00F73DC1">
        <w:rPr>
          <w:rFonts w:cs="Times New Roman"/>
          <w:szCs w:val="26"/>
        </w:rPr>
        <w:t>limited to, the</w:t>
      </w:r>
      <w:r w:rsidR="007F01CC">
        <w:rPr>
          <w:rFonts w:cs="Times New Roman"/>
          <w:szCs w:val="26"/>
        </w:rPr>
        <w:t xml:space="preserve"> following</w:t>
      </w:r>
      <w:r w:rsidR="002B4D58" w:rsidRPr="00F73DC1">
        <w:rPr>
          <w:rFonts w:cs="Times New Roman"/>
          <w:szCs w:val="26"/>
        </w:rPr>
        <w:t xml:space="preserve"> costs incurred to explore, agree to, and consummate a </w:t>
      </w:r>
      <w:r w:rsidR="009A159D" w:rsidRPr="00F73DC1">
        <w:rPr>
          <w:rFonts w:cs="Times New Roman"/>
          <w:szCs w:val="26"/>
        </w:rPr>
        <w:t>transaction</w:t>
      </w:r>
      <w:r w:rsidR="002B4D58" w:rsidRPr="00F73DC1">
        <w:rPr>
          <w:rFonts w:cs="Times New Roman"/>
          <w:szCs w:val="26"/>
        </w:rPr>
        <w:t>:</w:t>
      </w:r>
    </w:p>
    <w:p w14:paraId="186709CE" w14:textId="77777777" w:rsidR="00476D00" w:rsidRPr="00476D00" w:rsidRDefault="00476D00" w:rsidP="00476D00">
      <w:pPr>
        <w:pStyle w:val="FERCparanumber"/>
        <w:numPr>
          <w:ilvl w:val="0"/>
          <w:numId w:val="13"/>
        </w:numPr>
        <w:autoSpaceDE w:val="0"/>
        <w:autoSpaceDN w:val="0"/>
        <w:adjustRightInd w:val="0"/>
        <w:spacing w:after="0"/>
        <w:rPr>
          <w:rFonts w:cs="Times New Roman"/>
          <w:szCs w:val="26"/>
        </w:rPr>
      </w:pPr>
      <w:r w:rsidRPr="00476D00">
        <w:rPr>
          <w:rFonts w:cs="Times New Roman"/>
          <w:szCs w:val="26"/>
        </w:rPr>
        <w:t xml:space="preserve">the costs of securing an appraisal, formal written evaluation, or fairness opinions related to the transaction; </w:t>
      </w:r>
    </w:p>
    <w:p w14:paraId="43EFEB3E" w14:textId="77777777" w:rsidR="00476D00" w:rsidRPr="00476D00" w:rsidRDefault="00476D00" w:rsidP="00476D00">
      <w:pPr>
        <w:pStyle w:val="FERCparanumber"/>
        <w:numPr>
          <w:ilvl w:val="0"/>
          <w:numId w:val="13"/>
        </w:numPr>
        <w:autoSpaceDE w:val="0"/>
        <w:autoSpaceDN w:val="0"/>
        <w:adjustRightInd w:val="0"/>
        <w:spacing w:after="0"/>
        <w:rPr>
          <w:rFonts w:cs="Times New Roman"/>
          <w:szCs w:val="26"/>
        </w:rPr>
      </w:pPr>
      <w:r w:rsidRPr="00476D00">
        <w:rPr>
          <w:rFonts w:cs="Times New Roman"/>
          <w:szCs w:val="26"/>
        </w:rPr>
        <w:t xml:space="preserve">the costs of structuring the transaction, negotiating the structure of the transaction, and obtaining tax advice on the structure of the transaction; </w:t>
      </w:r>
    </w:p>
    <w:p w14:paraId="08F4B19B" w14:textId="57EC644F" w:rsidR="00476D00" w:rsidRDefault="00476D00" w:rsidP="00476D00">
      <w:pPr>
        <w:pStyle w:val="FERCparanumber"/>
        <w:numPr>
          <w:ilvl w:val="0"/>
          <w:numId w:val="13"/>
        </w:numPr>
        <w:autoSpaceDE w:val="0"/>
        <w:autoSpaceDN w:val="0"/>
        <w:adjustRightInd w:val="0"/>
        <w:spacing w:after="0"/>
        <w:rPr>
          <w:rFonts w:cs="Times New Roman"/>
          <w:szCs w:val="26"/>
        </w:rPr>
      </w:pPr>
      <w:r w:rsidRPr="00476D00">
        <w:rPr>
          <w:rFonts w:cs="Times New Roman"/>
          <w:szCs w:val="26"/>
        </w:rPr>
        <w:t xml:space="preserve">the costs of preparing and reviewing the documents effectuating the transaction (e.g., </w:t>
      </w:r>
      <w:r>
        <w:rPr>
          <w:rFonts w:cs="Times New Roman"/>
          <w:szCs w:val="26"/>
        </w:rPr>
        <w:t xml:space="preserve">the costs to transfer legal title of an asset, building permits, valuation fees, </w:t>
      </w:r>
      <w:r w:rsidRPr="00476D00">
        <w:rPr>
          <w:rFonts w:cs="Times New Roman"/>
          <w:szCs w:val="26"/>
        </w:rPr>
        <w:t>the merger agreement or purchase agreement and any related financing documents);</w:t>
      </w:r>
    </w:p>
    <w:p w14:paraId="510FF7C1" w14:textId="44D9C0B2" w:rsidR="002B4D58" w:rsidRPr="002C2FB6" w:rsidRDefault="002B4D58" w:rsidP="00476D00">
      <w:pPr>
        <w:pStyle w:val="FERCparanumber"/>
        <w:numPr>
          <w:ilvl w:val="0"/>
          <w:numId w:val="13"/>
        </w:numPr>
        <w:autoSpaceDE w:val="0"/>
        <w:autoSpaceDN w:val="0"/>
        <w:adjustRightInd w:val="0"/>
        <w:spacing w:after="0"/>
        <w:rPr>
          <w:rFonts w:cs="Times New Roman"/>
          <w:szCs w:val="26"/>
        </w:rPr>
      </w:pPr>
      <w:r w:rsidRPr="002C2FB6">
        <w:rPr>
          <w:rFonts w:cs="Times New Roman"/>
          <w:szCs w:val="26"/>
        </w:rPr>
        <w:t>the internal labor costs of employees</w:t>
      </w:r>
      <w:r w:rsidR="00B17186" w:rsidRPr="002C2FB6">
        <w:rPr>
          <w:rStyle w:val="FootnoteReference"/>
        </w:rPr>
        <w:footnoteReference w:id="42"/>
      </w:r>
      <w:r w:rsidRPr="002C2FB6">
        <w:rPr>
          <w:rFonts w:cs="Times New Roman"/>
          <w:szCs w:val="26"/>
        </w:rPr>
        <w:t xml:space="preserve"> and the costs of external, third-party</w:t>
      </w:r>
      <w:r w:rsidR="00606B4D">
        <w:rPr>
          <w:rFonts w:cs="Times New Roman"/>
          <w:szCs w:val="26"/>
        </w:rPr>
        <w:t>,</w:t>
      </w:r>
      <w:r w:rsidRPr="002C2FB6">
        <w:rPr>
          <w:rFonts w:cs="Times New Roman"/>
          <w:szCs w:val="26"/>
        </w:rPr>
        <w:t xml:space="preserve"> consultants and advisors to </w:t>
      </w:r>
      <w:r w:rsidR="006E7588">
        <w:rPr>
          <w:rFonts w:cs="Times New Roman"/>
          <w:szCs w:val="26"/>
        </w:rPr>
        <w:t>evaluate potential</w:t>
      </w:r>
      <w:r w:rsidRPr="002C2FB6">
        <w:rPr>
          <w:rFonts w:cs="Times New Roman"/>
          <w:szCs w:val="26"/>
        </w:rPr>
        <w:t xml:space="preserve"> merger transaction</w:t>
      </w:r>
      <w:r w:rsidR="006E7588">
        <w:rPr>
          <w:rFonts w:cs="Times New Roman"/>
          <w:szCs w:val="26"/>
        </w:rPr>
        <w:t>s</w:t>
      </w:r>
      <w:r w:rsidRPr="002C2FB6">
        <w:rPr>
          <w:rFonts w:cs="Times New Roman"/>
          <w:szCs w:val="26"/>
        </w:rPr>
        <w:t>,</w:t>
      </w:r>
      <w:r w:rsidR="006E7588">
        <w:rPr>
          <w:rFonts w:cs="Times New Roman"/>
          <w:szCs w:val="26"/>
        </w:rPr>
        <w:t xml:space="preserve"> and</w:t>
      </w:r>
      <w:r w:rsidRPr="002C2FB6">
        <w:rPr>
          <w:rFonts w:cs="Times New Roman"/>
          <w:szCs w:val="26"/>
        </w:rPr>
        <w:t xml:space="preserve"> </w:t>
      </w:r>
      <w:r w:rsidR="00751120" w:rsidRPr="002C2FB6">
        <w:rPr>
          <w:rFonts w:cs="Times New Roman"/>
          <w:szCs w:val="26"/>
        </w:rPr>
        <w:t>once a</w:t>
      </w:r>
      <w:r w:rsidRPr="002C2FB6">
        <w:rPr>
          <w:rFonts w:cs="Times New Roman"/>
          <w:szCs w:val="26"/>
        </w:rPr>
        <w:t xml:space="preserve"> merger candidate</w:t>
      </w:r>
      <w:r w:rsidR="00751120" w:rsidRPr="002C2FB6">
        <w:rPr>
          <w:rFonts w:cs="Times New Roman"/>
          <w:szCs w:val="26"/>
        </w:rPr>
        <w:t xml:space="preserve"> has been identified</w:t>
      </w:r>
      <w:r w:rsidRPr="002C2FB6">
        <w:rPr>
          <w:rFonts w:cs="Times New Roman"/>
          <w:szCs w:val="26"/>
        </w:rPr>
        <w:t xml:space="preserve">, to </w:t>
      </w:r>
      <w:r w:rsidR="006E7588">
        <w:rPr>
          <w:rFonts w:cs="Times New Roman"/>
          <w:szCs w:val="26"/>
        </w:rPr>
        <w:t xml:space="preserve">negotiate </w:t>
      </w:r>
      <w:r w:rsidRPr="002C2FB6">
        <w:rPr>
          <w:rFonts w:cs="Times New Roman"/>
          <w:szCs w:val="26"/>
        </w:rPr>
        <w:t>merger terms, to execute financing and legal contracts, and to secure regulatory approvals</w:t>
      </w:r>
      <w:r w:rsidR="003646B9" w:rsidRPr="002C2FB6">
        <w:rPr>
          <w:rFonts w:cs="Times New Roman"/>
          <w:szCs w:val="26"/>
        </w:rPr>
        <w:t>;</w:t>
      </w:r>
      <w:r w:rsidRPr="002C2FB6">
        <w:rPr>
          <w:rStyle w:val="FootnoteReference"/>
        </w:rPr>
        <w:footnoteReference w:id="43"/>
      </w:r>
      <w:r w:rsidRPr="002C2FB6">
        <w:rPr>
          <w:rFonts w:cs="Times New Roman"/>
          <w:szCs w:val="26"/>
        </w:rPr>
        <w:t xml:space="preserve">  </w:t>
      </w:r>
    </w:p>
    <w:p w14:paraId="038701DF" w14:textId="70C2545D" w:rsidR="00A94017" w:rsidRPr="003E169E" w:rsidRDefault="002B4D58">
      <w:pPr>
        <w:pStyle w:val="FERCparanumber"/>
        <w:numPr>
          <w:ilvl w:val="0"/>
          <w:numId w:val="13"/>
        </w:numPr>
        <w:autoSpaceDE w:val="0"/>
        <w:autoSpaceDN w:val="0"/>
        <w:adjustRightInd w:val="0"/>
        <w:spacing w:after="0"/>
        <w:rPr>
          <w:rFonts w:cs="Times New Roman"/>
          <w:szCs w:val="26"/>
        </w:rPr>
      </w:pPr>
      <w:r w:rsidRPr="003E169E">
        <w:rPr>
          <w:rFonts w:cs="Times New Roman"/>
          <w:szCs w:val="26"/>
        </w:rPr>
        <w:t>the costs of obtaining shareholder approval (e.g.,</w:t>
      </w:r>
      <w:r w:rsidRPr="003E169E">
        <w:rPr>
          <w:rFonts w:cs="Times New Roman"/>
          <w:i/>
          <w:szCs w:val="26"/>
        </w:rPr>
        <w:t xml:space="preserve"> </w:t>
      </w:r>
      <w:r w:rsidR="007F01CC">
        <w:rPr>
          <w:rFonts w:cs="Times New Roman"/>
          <w:szCs w:val="26"/>
        </w:rPr>
        <w:t>costs of</w:t>
      </w:r>
      <w:r w:rsidR="007F01CC">
        <w:rPr>
          <w:rFonts w:cs="Times New Roman"/>
          <w:i/>
          <w:szCs w:val="26"/>
        </w:rPr>
        <w:t xml:space="preserve"> </w:t>
      </w:r>
      <w:r w:rsidRPr="003E169E">
        <w:rPr>
          <w:rFonts w:cs="Times New Roman"/>
          <w:szCs w:val="26"/>
        </w:rPr>
        <w:t xml:space="preserve">proxy  solicitation </w:t>
      </w:r>
      <w:r w:rsidR="007F01CC">
        <w:rPr>
          <w:rFonts w:cs="Times New Roman"/>
          <w:szCs w:val="26"/>
        </w:rPr>
        <w:t>and special meeting of shareholders</w:t>
      </w:r>
      <w:r w:rsidRPr="003E169E">
        <w:rPr>
          <w:rFonts w:cs="Times New Roman"/>
          <w:szCs w:val="26"/>
        </w:rPr>
        <w:t>)</w:t>
      </w:r>
      <w:r w:rsidR="00476D00" w:rsidRPr="003E169E">
        <w:rPr>
          <w:rFonts w:cs="Times New Roman"/>
          <w:szCs w:val="26"/>
        </w:rPr>
        <w:t>;</w:t>
      </w:r>
    </w:p>
    <w:p w14:paraId="3E17712E" w14:textId="68785913" w:rsidR="00476D00" w:rsidRDefault="00A94017" w:rsidP="00F21F40">
      <w:pPr>
        <w:pStyle w:val="FERCparanumber"/>
        <w:numPr>
          <w:ilvl w:val="0"/>
          <w:numId w:val="13"/>
        </w:numPr>
        <w:autoSpaceDE w:val="0"/>
        <w:autoSpaceDN w:val="0"/>
        <w:adjustRightInd w:val="0"/>
        <w:spacing w:after="0"/>
        <w:rPr>
          <w:rFonts w:cs="Times New Roman"/>
          <w:szCs w:val="26"/>
        </w:rPr>
      </w:pPr>
      <w:r>
        <w:rPr>
          <w:rFonts w:cs="Times New Roman"/>
          <w:szCs w:val="26"/>
        </w:rPr>
        <w:t>professional service fees incurred in the transaction (e.g., fees for accountants, surveyors, engineers, and legal consultants);</w:t>
      </w:r>
      <w:r w:rsidR="00476D00">
        <w:rPr>
          <w:rFonts w:cs="Times New Roman"/>
          <w:szCs w:val="26"/>
        </w:rPr>
        <w:t xml:space="preserve"> and</w:t>
      </w:r>
    </w:p>
    <w:p w14:paraId="0DFD6871" w14:textId="6CAB3B08" w:rsidR="002B4D58" w:rsidRPr="00F73DC1" w:rsidRDefault="00476D00" w:rsidP="00F21F40">
      <w:pPr>
        <w:pStyle w:val="FERCparanumber"/>
        <w:numPr>
          <w:ilvl w:val="0"/>
          <w:numId w:val="13"/>
        </w:numPr>
        <w:autoSpaceDE w:val="0"/>
        <w:autoSpaceDN w:val="0"/>
        <w:adjustRightInd w:val="0"/>
        <w:spacing w:after="0"/>
        <w:rPr>
          <w:rFonts w:cs="Times New Roman"/>
          <w:szCs w:val="26"/>
        </w:rPr>
      </w:pPr>
      <w:r>
        <w:rPr>
          <w:rFonts w:cs="Times New Roman"/>
          <w:szCs w:val="26"/>
        </w:rPr>
        <w:t>installation,</w:t>
      </w:r>
      <w:r w:rsidR="006E7588">
        <w:rPr>
          <w:rFonts w:cs="Times New Roman"/>
          <w:szCs w:val="26"/>
        </w:rPr>
        <w:t xml:space="preserve"> integration,</w:t>
      </w:r>
      <w:r>
        <w:rPr>
          <w:rFonts w:cs="Times New Roman"/>
          <w:szCs w:val="26"/>
        </w:rPr>
        <w:t xml:space="preserve"> testing, and set up costs related to</w:t>
      </w:r>
      <w:r w:rsidR="006E7588">
        <w:rPr>
          <w:rFonts w:cs="Times New Roman"/>
          <w:szCs w:val="26"/>
        </w:rPr>
        <w:t xml:space="preserve"> ensuring the operability of</w:t>
      </w:r>
      <w:r>
        <w:rPr>
          <w:rFonts w:cs="Times New Roman"/>
          <w:szCs w:val="26"/>
        </w:rPr>
        <w:t xml:space="preserve"> facilities subject to the transaction</w:t>
      </w:r>
      <w:r w:rsidR="009B120E" w:rsidRPr="00F73DC1">
        <w:rPr>
          <w:rFonts w:cs="Times New Roman"/>
          <w:szCs w:val="26"/>
        </w:rPr>
        <w:t xml:space="preserve"> </w:t>
      </w:r>
    </w:p>
    <w:p w14:paraId="4D9C7C5C" w14:textId="1C8CAB02" w:rsidR="009B120E" w:rsidRPr="00F73DC1" w:rsidRDefault="00F538A2" w:rsidP="00CB4D07">
      <w:pPr>
        <w:pStyle w:val="FERCparanumber"/>
        <w:autoSpaceDE w:val="0"/>
        <w:autoSpaceDN w:val="0"/>
        <w:adjustRightInd w:val="0"/>
        <w:spacing w:after="0"/>
        <w:rPr>
          <w:b/>
        </w:rPr>
      </w:pPr>
      <w:r>
        <w:rPr>
          <w:rFonts w:cs="Times New Roman"/>
          <w:szCs w:val="26"/>
        </w:rPr>
        <w:t>Moreover,</w:t>
      </w:r>
      <w:r w:rsidR="006E7588">
        <w:rPr>
          <w:rFonts w:cs="Times New Roman"/>
          <w:szCs w:val="26"/>
        </w:rPr>
        <w:t xml:space="preserve"> for transactions that are pursued but never completed (</w:t>
      </w:r>
      <w:r w:rsidR="009A159D" w:rsidRPr="00F73DC1">
        <w:rPr>
          <w:rFonts w:cs="Times New Roman"/>
          <w:szCs w:val="26"/>
        </w:rPr>
        <w:t xml:space="preserve">transactions </w:t>
      </w:r>
      <w:r w:rsidR="009B120E" w:rsidRPr="00F73DC1">
        <w:rPr>
          <w:rFonts w:cs="Times New Roman"/>
          <w:szCs w:val="26"/>
        </w:rPr>
        <w:t>that</w:t>
      </w:r>
      <w:r w:rsidR="009B120E" w:rsidRPr="002C2FB6">
        <w:rPr>
          <w:rFonts w:cs="Times New Roman"/>
          <w:szCs w:val="26"/>
        </w:rPr>
        <w:t xml:space="preserve"> ultimately fail</w:t>
      </w:r>
      <w:r w:rsidR="006E7588">
        <w:rPr>
          <w:rFonts w:cs="Times New Roman"/>
          <w:szCs w:val="26"/>
        </w:rPr>
        <w:t>), their costs</w:t>
      </w:r>
      <w:r w:rsidR="009B120E" w:rsidRPr="002C2FB6">
        <w:rPr>
          <w:rFonts w:cs="Times New Roman"/>
          <w:szCs w:val="26"/>
        </w:rPr>
        <w:t xml:space="preserve"> should </w:t>
      </w:r>
      <w:r w:rsidR="005C41DC" w:rsidRPr="002C2FB6">
        <w:rPr>
          <w:rFonts w:cs="Times New Roman"/>
          <w:szCs w:val="26"/>
        </w:rPr>
        <w:t>not be</w:t>
      </w:r>
      <w:r w:rsidR="009B120E" w:rsidRPr="002C2FB6">
        <w:rPr>
          <w:rFonts w:cs="Times New Roman"/>
          <w:szCs w:val="26"/>
        </w:rPr>
        <w:t xml:space="preserve"> recovered from ratepayers.</w:t>
      </w:r>
      <w:r w:rsidR="00A94017" w:rsidRPr="00A94017">
        <w:t xml:space="preserve"> </w:t>
      </w:r>
      <w:r w:rsidR="00A94017">
        <w:t xml:space="preserve"> </w:t>
      </w:r>
      <w:r w:rsidR="00FD6BDD">
        <w:t>In addition, w</w:t>
      </w:r>
      <w:r w:rsidR="00A94017" w:rsidRPr="00A94017">
        <w:rPr>
          <w:rFonts w:cs="Times New Roman"/>
          <w:szCs w:val="26"/>
        </w:rPr>
        <w:t xml:space="preserve">e recognize that </w:t>
      </w:r>
      <w:r w:rsidR="00A94017">
        <w:rPr>
          <w:rFonts w:cs="Times New Roman"/>
          <w:szCs w:val="26"/>
        </w:rPr>
        <w:t>not every cost listed above will be found in every transaction</w:t>
      </w:r>
      <w:r w:rsidR="00A94017" w:rsidRPr="00A94017">
        <w:rPr>
          <w:rFonts w:cs="Times New Roman"/>
          <w:szCs w:val="26"/>
        </w:rPr>
        <w:t>.</w:t>
      </w:r>
    </w:p>
    <w:p w14:paraId="075BAFF0" w14:textId="6044EEA3" w:rsidR="002B4D58" w:rsidRPr="002C2FB6" w:rsidRDefault="007C042F" w:rsidP="002B4D58">
      <w:pPr>
        <w:pStyle w:val="FERCparanumber"/>
        <w:autoSpaceDE w:val="0"/>
        <w:autoSpaceDN w:val="0"/>
        <w:adjustRightInd w:val="0"/>
        <w:spacing w:after="0"/>
        <w:rPr>
          <w:rFonts w:cs="Times New Roman"/>
          <w:szCs w:val="26"/>
        </w:rPr>
      </w:pPr>
      <w:r>
        <w:rPr>
          <w:rFonts w:cs="Times New Roman"/>
          <w:szCs w:val="26"/>
        </w:rPr>
        <w:t xml:space="preserve">The second category of </w:t>
      </w:r>
      <w:r w:rsidR="008F4BE0">
        <w:rPr>
          <w:rFonts w:cs="Times New Roman"/>
          <w:szCs w:val="26"/>
        </w:rPr>
        <w:t xml:space="preserve">transaction-related </w:t>
      </w:r>
      <w:r>
        <w:rPr>
          <w:rFonts w:cs="Times New Roman"/>
          <w:szCs w:val="26"/>
        </w:rPr>
        <w:t>costs relates to mergers, where</w:t>
      </w:r>
      <w:r w:rsidR="00FD6BDD">
        <w:rPr>
          <w:rFonts w:cs="Times New Roman"/>
          <w:szCs w:val="26"/>
        </w:rPr>
        <w:t>, in addition to the transaction-related c</w:t>
      </w:r>
      <w:r>
        <w:rPr>
          <w:rFonts w:cs="Times New Roman"/>
          <w:szCs w:val="26"/>
        </w:rPr>
        <w:t xml:space="preserve">osts described above, </w:t>
      </w:r>
      <w:r w:rsidR="002B4D58" w:rsidRPr="00F73DC1">
        <w:rPr>
          <w:rFonts w:cs="Times New Roman"/>
          <w:szCs w:val="26"/>
        </w:rPr>
        <w:t>parties</w:t>
      </w:r>
      <w:r w:rsidR="002B4D58" w:rsidRPr="002C2FB6">
        <w:rPr>
          <w:rFonts w:cs="Times New Roman"/>
          <w:szCs w:val="26"/>
        </w:rPr>
        <w:t xml:space="preserve"> typically also incur costs to integrate </w:t>
      </w:r>
      <w:r w:rsidR="00496B15">
        <w:rPr>
          <w:rFonts w:cs="Times New Roman"/>
          <w:szCs w:val="26"/>
        </w:rPr>
        <w:t>individuals and assets into the acquiring utility</w:t>
      </w:r>
      <w:r w:rsidR="0080044C" w:rsidRPr="002C2FB6">
        <w:rPr>
          <w:rFonts w:cs="Times New Roman"/>
          <w:szCs w:val="26"/>
        </w:rPr>
        <w:t xml:space="preserve"> and costs to achieve merger synergies</w:t>
      </w:r>
      <w:r w:rsidR="00496B15">
        <w:rPr>
          <w:rFonts w:cs="Times New Roman"/>
          <w:szCs w:val="26"/>
        </w:rPr>
        <w:t>.</w:t>
      </w:r>
      <w:r w:rsidR="00986CCA">
        <w:rPr>
          <w:rStyle w:val="FootnoteReference"/>
        </w:rPr>
        <w:footnoteReference w:id="44"/>
      </w:r>
      <w:r w:rsidR="00496B15">
        <w:rPr>
          <w:rFonts w:cs="Times New Roman"/>
          <w:szCs w:val="26"/>
        </w:rPr>
        <w:t xml:space="preserve">  These</w:t>
      </w:r>
      <w:r w:rsidR="00A61F4E" w:rsidRPr="002C2FB6">
        <w:rPr>
          <w:rFonts w:cs="Times New Roman"/>
          <w:szCs w:val="26"/>
        </w:rPr>
        <w:t xml:space="preserve"> costs</w:t>
      </w:r>
      <w:r w:rsidR="00606B4D">
        <w:rPr>
          <w:rFonts w:cs="Times New Roman"/>
          <w:szCs w:val="26"/>
        </w:rPr>
        <w:t>,</w:t>
      </w:r>
      <w:r w:rsidR="00A61F4E" w:rsidRPr="002C2FB6">
        <w:rPr>
          <w:rFonts w:cs="Times New Roman"/>
          <w:szCs w:val="26"/>
        </w:rPr>
        <w:t xml:space="preserve"> </w:t>
      </w:r>
      <w:r w:rsidR="00606B4D">
        <w:rPr>
          <w:rFonts w:cs="Times New Roman"/>
          <w:szCs w:val="26"/>
        </w:rPr>
        <w:t>which</w:t>
      </w:r>
      <w:r w:rsidR="00A61F4E" w:rsidRPr="002C2FB6">
        <w:rPr>
          <w:rFonts w:cs="Times New Roman"/>
          <w:szCs w:val="26"/>
        </w:rPr>
        <w:t xml:space="preserve"> are sometimes referred to collectively as </w:t>
      </w:r>
      <w:r w:rsidR="00986CCA">
        <w:rPr>
          <w:rFonts w:cs="Times New Roman"/>
          <w:szCs w:val="26"/>
        </w:rPr>
        <w:t>“</w:t>
      </w:r>
      <w:r w:rsidR="0080044C" w:rsidRPr="002C2FB6">
        <w:rPr>
          <w:rFonts w:cs="Times New Roman"/>
          <w:szCs w:val="26"/>
        </w:rPr>
        <w:t>transition</w:t>
      </w:r>
      <w:r w:rsidR="00E0553D">
        <w:rPr>
          <w:rFonts w:cs="Times New Roman"/>
          <w:szCs w:val="26"/>
        </w:rPr>
        <w:t>”</w:t>
      </w:r>
      <w:r w:rsidR="0080044C" w:rsidRPr="002C2FB6">
        <w:rPr>
          <w:rFonts w:cs="Times New Roman"/>
          <w:szCs w:val="26"/>
        </w:rPr>
        <w:t xml:space="preserve"> costs</w:t>
      </w:r>
      <w:r w:rsidR="00496B15">
        <w:rPr>
          <w:rFonts w:cs="Times New Roman"/>
          <w:szCs w:val="26"/>
        </w:rPr>
        <w:t xml:space="preserve">, </w:t>
      </w:r>
      <w:r w:rsidR="00606B4D">
        <w:rPr>
          <w:rFonts w:cs="Times New Roman"/>
          <w:szCs w:val="26"/>
        </w:rPr>
        <w:t>are</w:t>
      </w:r>
      <w:r w:rsidR="002B4D58" w:rsidRPr="002C2FB6">
        <w:rPr>
          <w:rFonts w:cs="Times New Roman"/>
          <w:szCs w:val="26"/>
        </w:rPr>
        <w:t xml:space="preserve"> </w:t>
      </w:r>
      <w:r w:rsidR="00606B4D">
        <w:rPr>
          <w:rFonts w:cs="Times New Roman"/>
          <w:szCs w:val="26"/>
        </w:rPr>
        <w:t>incurred after the transaction is</w:t>
      </w:r>
      <w:r w:rsidR="002B4D58" w:rsidRPr="002C2FB6">
        <w:rPr>
          <w:rFonts w:cs="Times New Roman"/>
          <w:szCs w:val="26"/>
        </w:rPr>
        <w:t xml:space="preserve"> </w:t>
      </w:r>
      <w:r w:rsidR="00606B4D">
        <w:rPr>
          <w:rFonts w:cs="Times New Roman"/>
          <w:szCs w:val="26"/>
        </w:rPr>
        <w:t xml:space="preserve">consummated, often </w:t>
      </w:r>
      <w:r w:rsidR="00FD6BDD">
        <w:rPr>
          <w:rFonts w:cs="Times New Roman"/>
          <w:szCs w:val="26"/>
        </w:rPr>
        <w:t>over</w:t>
      </w:r>
      <w:r w:rsidR="00606B4D">
        <w:rPr>
          <w:rFonts w:cs="Times New Roman"/>
          <w:szCs w:val="26"/>
        </w:rPr>
        <w:t xml:space="preserve"> a period of several </w:t>
      </w:r>
      <w:r w:rsidR="00A94017">
        <w:rPr>
          <w:rFonts w:cs="Times New Roman"/>
          <w:szCs w:val="26"/>
        </w:rPr>
        <w:t>years</w:t>
      </w:r>
      <w:r w:rsidR="002B4D58" w:rsidRPr="002C2FB6">
        <w:rPr>
          <w:rFonts w:cs="Times New Roman"/>
          <w:szCs w:val="26"/>
        </w:rPr>
        <w:t xml:space="preserve">.  These costs include both the internal costs of employees spending time working on </w:t>
      </w:r>
      <w:r w:rsidR="000E51A8">
        <w:rPr>
          <w:rFonts w:cs="Times New Roman"/>
          <w:szCs w:val="26"/>
        </w:rPr>
        <w:t>transition</w:t>
      </w:r>
      <w:r w:rsidR="002B4D58" w:rsidRPr="002C2FB6">
        <w:rPr>
          <w:rFonts w:cs="Times New Roman"/>
          <w:szCs w:val="26"/>
        </w:rPr>
        <w:t xml:space="preserve"> issues, and external costs paid to consultants and advisers to reorganize and consolidate functions of the merging entities to achieve merger synergies.  These costs may </w:t>
      </w:r>
      <w:r w:rsidR="00A61F4E" w:rsidRPr="002C2FB6">
        <w:rPr>
          <w:rFonts w:cs="Times New Roman"/>
          <w:szCs w:val="26"/>
        </w:rPr>
        <w:t xml:space="preserve">also </w:t>
      </w:r>
      <w:r w:rsidR="002B4D58" w:rsidRPr="002C2FB6">
        <w:rPr>
          <w:rFonts w:cs="Times New Roman"/>
          <w:szCs w:val="26"/>
        </w:rPr>
        <w:t xml:space="preserve">include both capital items (e.g., a new computer </w:t>
      </w:r>
      <w:r w:rsidR="000E51A8">
        <w:rPr>
          <w:rFonts w:cs="Times New Roman"/>
          <w:szCs w:val="26"/>
        </w:rPr>
        <w:t>system</w:t>
      </w:r>
      <w:r w:rsidR="00496B15">
        <w:rPr>
          <w:rFonts w:cs="Times New Roman"/>
          <w:szCs w:val="26"/>
        </w:rPr>
        <w:t xml:space="preserve"> or software, </w:t>
      </w:r>
      <w:r w:rsidR="00AD3D27">
        <w:rPr>
          <w:rFonts w:cs="Times New Roman"/>
          <w:szCs w:val="26"/>
        </w:rPr>
        <w:t>or</w:t>
      </w:r>
      <w:r w:rsidR="002B4D58" w:rsidRPr="002C2FB6">
        <w:rPr>
          <w:rFonts w:cs="Times New Roman"/>
          <w:szCs w:val="26"/>
        </w:rPr>
        <w:t xml:space="preserve"> </w:t>
      </w:r>
      <w:r w:rsidR="00D82FCD" w:rsidRPr="002C2FB6">
        <w:rPr>
          <w:rFonts w:cs="Times New Roman"/>
          <w:szCs w:val="26"/>
        </w:rPr>
        <w:t xml:space="preserve">costs incurred to carry out mitigation commitments </w:t>
      </w:r>
      <w:r w:rsidR="007F01CC">
        <w:rPr>
          <w:rFonts w:cs="Times New Roman"/>
          <w:szCs w:val="26"/>
        </w:rPr>
        <w:t xml:space="preserve">accepted </w:t>
      </w:r>
      <w:r w:rsidR="00FD6BDD">
        <w:rPr>
          <w:rFonts w:cs="Times New Roman"/>
          <w:szCs w:val="26"/>
        </w:rPr>
        <w:t xml:space="preserve">by the Commission in approving the transaction </w:t>
      </w:r>
      <w:r w:rsidR="00D82FCD" w:rsidRPr="002C2FB6">
        <w:rPr>
          <w:rFonts w:cs="Times New Roman"/>
          <w:szCs w:val="26"/>
        </w:rPr>
        <w:t xml:space="preserve">to address competition issues, </w:t>
      </w:r>
      <w:r w:rsidR="00FD6BDD">
        <w:rPr>
          <w:rFonts w:cs="Times New Roman"/>
          <w:szCs w:val="26"/>
        </w:rPr>
        <w:t xml:space="preserve">such as </w:t>
      </w:r>
      <w:r w:rsidR="00D82FCD" w:rsidRPr="002C2FB6">
        <w:rPr>
          <w:rFonts w:cs="Times New Roman"/>
          <w:szCs w:val="26"/>
        </w:rPr>
        <w:t xml:space="preserve">the cost of </w:t>
      </w:r>
      <w:r w:rsidR="002B4D58" w:rsidRPr="002C2FB6">
        <w:rPr>
          <w:rFonts w:cs="Times New Roman"/>
          <w:szCs w:val="26"/>
        </w:rPr>
        <w:t>constructi</w:t>
      </w:r>
      <w:r w:rsidR="00D82FCD" w:rsidRPr="002C2FB6">
        <w:rPr>
          <w:rFonts w:cs="Times New Roman"/>
          <w:szCs w:val="26"/>
        </w:rPr>
        <w:t xml:space="preserve">ng </w:t>
      </w:r>
      <w:r w:rsidR="002B4D58" w:rsidRPr="002C2FB6">
        <w:rPr>
          <w:rFonts w:cs="Times New Roman"/>
          <w:szCs w:val="26"/>
        </w:rPr>
        <w:t xml:space="preserve"> new transmission lines, etc.) and </w:t>
      </w:r>
      <w:r w:rsidR="00AD3D27">
        <w:rPr>
          <w:rFonts w:cs="Times New Roman"/>
          <w:szCs w:val="26"/>
        </w:rPr>
        <w:t>expense items</w:t>
      </w:r>
      <w:r w:rsidR="002B4D58" w:rsidRPr="002C2FB6">
        <w:rPr>
          <w:rFonts w:cs="Times New Roman"/>
          <w:szCs w:val="26"/>
        </w:rPr>
        <w:t xml:space="preserve"> (e.g., costs to eliminate redundancies, combine departments, or maximize contracting efficiencies).  </w:t>
      </w:r>
      <w:r w:rsidR="008A5CA3">
        <w:rPr>
          <w:rFonts w:cs="Times New Roman"/>
          <w:szCs w:val="26"/>
        </w:rPr>
        <w:t>We</w:t>
      </w:r>
      <w:r w:rsidR="002B4D58" w:rsidRPr="002C2FB6">
        <w:rPr>
          <w:rFonts w:cs="Times New Roman"/>
          <w:szCs w:val="26"/>
        </w:rPr>
        <w:t xml:space="preserve"> propose that </w:t>
      </w:r>
      <w:r w:rsidR="008F4BE0">
        <w:rPr>
          <w:rFonts w:cs="Times New Roman"/>
          <w:szCs w:val="26"/>
        </w:rPr>
        <w:t xml:space="preserve">transaction-related </w:t>
      </w:r>
      <w:r w:rsidR="002B4D58" w:rsidRPr="002C2FB6">
        <w:rPr>
          <w:rFonts w:cs="Times New Roman"/>
          <w:szCs w:val="26"/>
        </w:rPr>
        <w:t xml:space="preserve">costs incurred to integrate the operations of merging companies include, but are not limited to, the following:  </w:t>
      </w:r>
    </w:p>
    <w:p w14:paraId="63794DD9" w14:textId="77777777" w:rsidR="002B4D58"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 xml:space="preserve">engineering studies needed both prior to and after closing the merger; </w:t>
      </w:r>
    </w:p>
    <w:p w14:paraId="3FAC587F" w14:textId="77777777" w:rsidR="002B4D58"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severance payments</w:t>
      </w:r>
      <w:r w:rsidR="003646B9" w:rsidRPr="002C2FB6">
        <w:rPr>
          <w:rFonts w:cs="Times New Roman"/>
          <w:szCs w:val="26"/>
        </w:rPr>
        <w:t>;</w:t>
      </w:r>
    </w:p>
    <w:p w14:paraId="51CBD1BC" w14:textId="77777777" w:rsidR="002B4D58"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operational integration costs</w:t>
      </w:r>
      <w:r w:rsidR="003646B9" w:rsidRPr="002C2FB6">
        <w:rPr>
          <w:rFonts w:cs="Times New Roman"/>
          <w:szCs w:val="26"/>
        </w:rPr>
        <w:t>;</w:t>
      </w:r>
    </w:p>
    <w:p w14:paraId="1339EBB9" w14:textId="77777777" w:rsidR="002B4D58"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accounting and operating systems integration costs</w:t>
      </w:r>
      <w:r w:rsidR="003646B9" w:rsidRPr="002C2FB6">
        <w:rPr>
          <w:rFonts w:cs="Times New Roman"/>
          <w:szCs w:val="26"/>
        </w:rPr>
        <w:t>;</w:t>
      </w:r>
      <w:r w:rsidRPr="002C2FB6">
        <w:rPr>
          <w:rFonts w:cs="Times New Roman"/>
          <w:szCs w:val="26"/>
        </w:rPr>
        <w:t xml:space="preserve"> </w:t>
      </w:r>
    </w:p>
    <w:p w14:paraId="3014C431" w14:textId="77777777" w:rsidR="002B4D58"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costs to terminate any duplicative leases, contracts, and operations</w:t>
      </w:r>
      <w:r w:rsidR="003646B9" w:rsidRPr="002C2FB6">
        <w:rPr>
          <w:rFonts w:cs="Times New Roman"/>
          <w:szCs w:val="26"/>
        </w:rPr>
        <w:t>; and</w:t>
      </w:r>
    </w:p>
    <w:p w14:paraId="27B7572E" w14:textId="77777777" w:rsidR="00A823CA" w:rsidRPr="002C2FB6" w:rsidRDefault="002B4D58" w:rsidP="00F21F40">
      <w:pPr>
        <w:pStyle w:val="FERCparanumber"/>
        <w:numPr>
          <w:ilvl w:val="0"/>
          <w:numId w:val="14"/>
        </w:numPr>
        <w:autoSpaceDE w:val="0"/>
        <w:autoSpaceDN w:val="0"/>
        <w:adjustRightInd w:val="0"/>
        <w:spacing w:after="0"/>
        <w:rPr>
          <w:rFonts w:cs="Times New Roman"/>
          <w:szCs w:val="26"/>
        </w:rPr>
      </w:pPr>
      <w:r w:rsidRPr="002C2FB6">
        <w:rPr>
          <w:rFonts w:cs="Times New Roman"/>
          <w:szCs w:val="26"/>
        </w:rPr>
        <w:t>financing costs to refinance existing obligation</w:t>
      </w:r>
      <w:r w:rsidR="00C75F1C" w:rsidRPr="002C2FB6">
        <w:rPr>
          <w:rFonts w:cs="Times New Roman"/>
          <w:szCs w:val="26"/>
        </w:rPr>
        <w:t>s</w:t>
      </w:r>
      <w:r w:rsidRPr="002C2FB6">
        <w:rPr>
          <w:rFonts w:cs="Times New Roman"/>
          <w:szCs w:val="26"/>
        </w:rPr>
        <w:t xml:space="preserve"> in order to achieve operational and financial synergies.</w:t>
      </w:r>
    </w:p>
    <w:p w14:paraId="42AB9AA5" w14:textId="5C4A7881" w:rsidR="008F4BE0" w:rsidRPr="003257CF" w:rsidRDefault="008F4BE0" w:rsidP="003257CF">
      <w:pPr>
        <w:pStyle w:val="FERCparanumber"/>
        <w:autoSpaceDE w:val="0"/>
        <w:autoSpaceDN w:val="0"/>
        <w:adjustRightInd w:val="0"/>
        <w:spacing w:after="0"/>
        <w:rPr>
          <w:rFonts w:cs="Times New Roman"/>
          <w:szCs w:val="26"/>
        </w:rPr>
      </w:pPr>
      <w:r>
        <w:rPr>
          <w:rFonts w:cs="Times New Roman"/>
          <w:szCs w:val="26"/>
        </w:rPr>
        <w:t>As above, t</w:t>
      </w:r>
      <w:r w:rsidR="00CA7CDE">
        <w:rPr>
          <w:rFonts w:cs="Times New Roman"/>
          <w:szCs w:val="26"/>
        </w:rPr>
        <w:t xml:space="preserve">his list of transition costs is not exhaustive, and may </w:t>
      </w:r>
      <w:r w:rsidR="00DB124A">
        <w:rPr>
          <w:rFonts w:cs="Times New Roman"/>
          <w:szCs w:val="26"/>
        </w:rPr>
        <w:t>not include</w:t>
      </w:r>
      <w:r w:rsidR="00CA7CDE">
        <w:rPr>
          <w:rFonts w:cs="Times New Roman"/>
          <w:szCs w:val="26"/>
        </w:rPr>
        <w:t xml:space="preserve"> some material costs involved in the integration of two utilities after a merger.</w:t>
      </w:r>
      <w:r w:rsidR="00535E8A">
        <w:rPr>
          <w:rFonts w:cs="Times New Roman"/>
          <w:szCs w:val="26"/>
        </w:rPr>
        <w:t xml:space="preserve">  </w:t>
      </w:r>
      <w:r w:rsidR="008A5CA3">
        <w:rPr>
          <w:rFonts w:cs="Times New Roman"/>
          <w:szCs w:val="26"/>
        </w:rPr>
        <w:t>We</w:t>
      </w:r>
      <w:r w:rsidR="003B78AE" w:rsidRPr="002C2FB6">
        <w:rPr>
          <w:rFonts w:cs="Times New Roman"/>
          <w:szCs w:val="26"/>
        </w:rPr>
        <w:t xml:space="preserve"> propose to consider transition costs as </w:t>
      </w:r>
      <w:r w:rsidR="009A1AFE">
        <w:rPr>
          <w:rFonts w:cs="Times New Roman"/>
          <w:szCs w:val="26"/>
        </w:rPr>
        <w:t xml:space="preserve">transaction-related costs that should be </w:t>
      </w:r>
      <w:r w:rsidR="003B78AE" w:rsidRPr="002C2FB6">
        <w:rPr>
          <w:rFonts w:cs="Times New Roman"/>
          <w:szCs w:val="26"/>
        </w:rPr>
        <w:t>subject to hold harmless commitment</w:t>
      </w:r>
      <w:r w:rsidR="00A61F4E" w:rsidRPr="002C2FB6">
        <w:rPr>
          <w:rFonts w:cs="Times New Roman"/>
          <w:szCs w:val="26"/>
        </w:rPr>
        <w:t>s</w:t>
      </w:r>
      <w:r w:rsidR="003B78AE" w:rsidRPr="002C2FB6">
        <w:rPr>
          <w:rFonts w:cs="Times New Roman"/>
          <w:szCs w:val="26"/>
        </w:rPr>
        <w:t xml:space="preserve">.  </w:t>
      </w:r>
      <w:r w:rsidR="000B2E04" w:rsidRPr="002910E3">
        <w:rPr>
          <w:rFonts w:cs="Times New Roman"/>
          <w:szCs w:val="26"/>
        </w:rPr>
        <w:t xml:space="preserve">We propose to </w:t>
      </w:r>
      <w:r w:rsidR="000B2E04" w:rsidRPr="00187A82">
        <w:rPr>
          <w:rFonts w:cs="Times New Roman"/>
          <w:szCs w:val="26"/>
        </w:rPr>
        <w:t>assume</w:t>
      </w:r>
      <w:r w:rsidR="000B2E04" w:rsidRPr="002910E3">
        <w:rPr>
          <w:rFonts w:cs="Times New Roman"/>
          <w:szCs w:val="26"/>
        </w:rPr>
        <w:t xml:space="preserve"> that such transaction-related costs should be covered under hold harmless protection, though applicants </w:t>
      </w:r>
      <w:r w:rsidR="007F01CC">
        <w:rPr>
          <w:rFonts w:cs="Times New Roman"/>
          <w:szCs w:val="26"/>
        </w:rPr>
        <w:t>will</w:t>
      </w:r>
      <w:r w:rsidR="007F01CC" w:rsidRPr="002910E3">
        <w:rPr>
          <w:rFonts w:cs="Times New Roman"/>
          <w:szCs w:val="26"/>
        </w:rPr>
        <w:t xml:space="preserve"> </w:t>
      </w:r>
      <w:r w:rsidR="000B2E04" w:rsidRPr="002910E3">
        <w:rPr>
          <w:rFonts w:cs="Times New Roman"/>
          <w:szCs w:val="26"/>
        </w:rPr>
        <w:t>have an opportunity on a case-by-case basis to show why certain of those costs should not have to be covered under their hold harmless commitment based on their particular circumstances.</w:t>
      </w:r>
      <w:r w:rsidR="000B2E04">
        <w:rPr>
          <w:rFonts w:cs="Times New Roman"/>
          <w:szCs w:val="26"/>
        </w:rPr>
        <w:t xml:space="preserve">  Also, w</w:t>
      </w:r>
      <w:r w:rsidRPr="000B2E04">
        <w:rPr>
          <w:rFonts w:cs="Times New Roman"/>
          <w:szCs w:val="26"/>
        </w:rPr>
        <w:t xml:space="preserve">e propose to consider, on a case-by-case basis, whether </w:t>
      </w:r>
      <w:r w:rsidR="001D210E" w:rsidRPr="000B2E04">
        <w:rPr>
          <w:rFonts w:cs="Times New Roman"/>
          <w:szCs w:val="26"/>
        </w:rPr>
        <w:t xml:space="preserve">other costs not discussed herein </w:t>
      </w:r>
      <w:r w:rsidRPr="000B2E04">
        <w:rPr>
          <w:rFonts w:cs="Times New Roman"/>
          <w:szCs w:val="26"/>
        </w:rPr>
        <w:t>should be subject to hold harmless commitments.</w:t>
      </w:r>
      <w:r w:rsidR="00737788" w:rsidRPr="00CB4D07">
        <w:t xml:space="preserve"> </w:t>
      </w:r>
    </w:p>
    <w:p w14:paraId="361491A6" w14:textId="26372736" w:rsidR="009A1AFE" w:rsidRPr="008601FC" w:rsidRDefault="009A1AFE" w:rsidP="009A1AFE">
      <w:pPr>
        <w:pStyle w:val="FERCparanumber"/>
        <w:autoSpaceDE w:val="0"/>
        <w:autoSpaceDN w:val="0"/>
        <w:adjustRightInd w:val="0"/>
        <w:spacing w:after="0"/>
        <w:rPr>
          <w:color w:val="1F497D"/>
        </w:rPr>
      </w:pPr>
      <w:r w:rsidRPr="00F73DC1">
        <w:rPr>
          <w:rFonts w:cs="Times New Roman"/>
          <w:szCs w:val="26"/>
        </w:rPr>
        <w:t>Additionally,</w:t>
      </w:r>
      <w:r w:rsidRPr="002C2FB6">
        <w:rPr>
          <w:rFonts w:cs="Times New Roman"/>
          <w:szCs w:val="26"/>
        </w:rPr>
        <w:t xml:space="preserve"> </w:t>
      </w:r>
      <w:r>
        <w:rPr>
          <w:rFonts w:cs="Times New Roman"/>
          <w:szCs w:val="26"/>
        </w:rPr>
        <w:t>we note that accounting journal entries related to a merger transaction may affect expense, asset, liability, or proprietary capital accounts used in the development of a public utility’s rates.  These accounting journal entries may originate from transaction-related costs recorded as an expense or capitalized as an asset.  Additional accounting journal entries may originate from goodwill and fair value adjustments related to the purchase price paid for the acquired company</w:t>
      </w:r>
      <w:r w:rsidRPr="008601FC">
        <w:rPr>
          <w:rFonts w:cs="Times New Roman"/>
          <w:szCs w:val="26"/>
        </w:rPr>
        <w:t xml:space="preserve">.  </w:t>
      </w:r>
      <w:r>
        <w:rPr>
          <w:rFonts w:cs="Times New Roman"/>
          <w:szCs w:val="26"/>
        </w:rPr>
        <w:t>M</w:t>
      </w:r>
      <w:r w:rsidRPr="008601FC">
        <w:rPr>
          <w:rFonts w:cs="Times New Roman"/>
          <w:szCs w:val="26"/>
        </w:rPr>
        <w:t xml:space="preserve">erger transactions are accounted for by applying purchase accounting, which </w:t>
      </w:r>
      <w:r>
        <w:rPr>
          <w:rFonts w:cs="Times New Roman"/>
          <w:szCs w:val="26"/>
        </w:rPr>
        <w:t>adjusts the assets and liabilities of the acquired entity to fair value and recognizes goodwill for the amount paid in excess of fair value.</w:t>
      </w:r>
      <w:r>
        <w:rPr>
          <w:rStyle w:val="FootnoteReference"/>
        </w:rPr>
        <w:footnoteReference w:id="45"/>
      </w:r>
      <w:r w:rsidRPr="008601FC">
        <w:rPr>
          <w:rFonts w:cs="Times New Roman"/>
          <w:szCs w:val="26"/>
        </w:rPr>
        <w:t xml:space="preserve">  If the acquired company is a holding company, purchase accounting also provides for the </w:t>
      </w:r>
      <w:r>
        <w:rPr>
          <w:rFonts w:cs="Times New Roman"/>
          <w:szCs w:val="26"/>
        </w:rPr>
        <w:t>fair value adjustments</w:t>
      </w:r>
      <w:r w:rsidRPr="008601FC">
        <w:rPr>
          <w:rFonts w:cs="Times New Roman"/>
          <w:szCs w:val="26"/>
        </w:rPr>
        <w:t xml:space="preserve"> and goodwill to be recorded on the books of some, or all, of the acquired holding company’s subsidiaries, which is commonly referred to as “push-down” accounting.  Under appropriate circumstances, the Commission has allowed the fair value accounting adjustments and goodwill to be recorded on a public utility’s books and reported in the FERC Form No. 1.  Additionally, </w:t>
      </w:r>
      <w:r w:rsidRPr="009139D1">
        <w:rPr>
          <w:rFonts w:cs="Times New Roman"/>
          <w:szCs w:val="26"/>
        </w:rPr>
        <w:t>the Commission has required public utilities to maintain detailed accounting records and disclosures associated with such amounts so as to facilitate the evaluation of the effects of the transaction on common equity and other accounts in fu</w:t>
      </w:r>
      <w:r w:rsidRPr="008601FC">
        <w:rPr>
          <w:rFonts w:cs="Times New Roman"/>
          <w:szCs w:val="26"/>
        </w:rPr>
        <w:t>ture periods if needed for ratemaking purposes.</w:t>
      </w:r>
      <w:r>
        <w:rPr>
          <w:rStyle w:val="FootnoteReference"/>
        </w:rPr>
        <w:footnoteReference w:id="46"/>
      </w:r>
      <w:r w:rsidRPr="008601FC">
        <w:rPr>
          <w:rFonts w:cs="Times New Roman"/>
          <w:szCs w:val="26"/>
        </w:rPr>
        <w:t xml:space="preserve">  </w:t>
      </w:r>
      <w:r>
        <w:rPr>
          <w:rFonts w:cs="Times New Roman"/>
          <w:szCs w:val="26"/>
        </w:rPr>
        <w:t>We</w:t>
      </w:r>
      <w:r w:rsidRPr="002C2FB6">
        <w:rPr>
          <w:rFonts w:cs="Times New Roman"/>
          <w:szCs w:val="26"/>
        </w:rPr>
        <w:t xml:space="preserve"> </w:t>
      </w:r>
      <w:r>
        <w:rPr>
          <w:rFonts w:cs="Times New Roman"/>
          <w:szCs w:val="26"/>
        </w:rPr>
        <w:t>believe</w:t>
      </w:r>
      <w:r w:rsidRPr="002C2FB6">
        <w:rPr>
          <w:rFonts w:cs="Times New Roman"/>
          <w:szCs w:val="26"/>
        </w:rPr>
        <w:t xml:space="preserve"> that ratepayers should</w:t>
      </w:r>
      <w:r>
        <w:rPr>
          <w:rFonts w:cs="Times New Roman"/>
          <w:szCs w:val="26"/>
        </w:rPr>
        <w:t xml:space="preserve"> continue to</w:t>
      </w:r>
      <w:r w:rsidRPr="002C2FB6">
        <w:rPr>
          <w:rFonts w:cs="Times New Roman"/>
          <w:szCs w:val="26"/>
        </w:rPr>
        <w:t xml:space="preserve"> be protected from adverse effects on rates stemming from accounting entries record</w:t>
      </w:r>
      <w:r>
        <w:rPr>
          <w:rFonts w:cs="Times New Roman"/>
          <w:szCs w:val="26"/>
        </w:rPr>
        <w:t>ing</w:t>
      </w:r>
      <w:r w:rsidRPr="002C2FB6">
        <w:rPr>
          <w:rFonts w:cs="Times New Roman"/>
          <w:szCs w:val="26"/>
        </w:rPr>
        <w:t xml:space="preserve"> </w:t>
      </w:r>
      <w:r>
        <w:rPr>
          <w:rFonts w:cs="Times New Roman"/>
          <w:szCs w:val="26"/>
        </w:rPr>
        <w:t xml:space="preserve">goodwill and fair value adjustments </w:t>
      </w:r>
      <w:r w:rsidRPr="002C2FB6">
        <w:rPr>
          <w:rFonts w:cs="Times New Roman"/>
          <w:szCs w:val="26"/>
        </w:rPr>
        <w:t xml:space="preserve">on a public utility’s books and reported in FERC Form Nos. 1 or 1-F.  </w:t>
      </w:r>
      <w:r>
        <w:rPr>
          <w:rFonts w:cs="Times New Roman"/>
          <w:szCs w:val="26"/>
        </w:rPr>
        <w:t>This is consistent with our long-standing policy</w:t>
      </w:r>
      <w:r w:rsidRPr="002C35C4">
        <w:t xml:space="preserve"> </w:t>
      </w:r>
      <w:r w:rsidRPr="002C35C4">
        <w:rPr>
          <w:rFonts w:cs="Times New Roman"/>
          <w:szCs w:val="26"/>
        </w:rPr>
        <w:t>that acquisition premiums, including goodwill</w:t>
      </w:r>
      <w:r>
        <w:rPr>
          <w:rFonts w:cs="Times New Roman"/>
          <w:szCs w:val="26"/>
        </w:rPr>
        <w:t xml:space="preserve">, must be excluded from jurisdictional rates </w:t>
      </w:r>
      <w:r w:rsidRPr="008601FC">
        <w:rPr>
          <w:rFonts w:cs="Times New Roman"/>
          <w:szCs w:val="26"/>
        </w:rPr>
        <w:t xml:space="preserve">absent a filing under FPA section 205 and Commission authorization granting recovery of specific costs. </w:t>
      </w:r>
    </w:p>
    <w:p w14:paraId="642DC1B1" w14:textId="148ED9D8" w:rsidR="00957E9D" w:rsidRDefault="009A1AFE" w:rsidP="005955C3">
      <w:pPr>
        <w:pStyle w:val="FERCparanumber"/>
        <w:spacing w:after="0"/>
        <w:rPr>
          <w:rFonts w:cs="Times New Roman"/>
          <w:szCs w:val="26"/>
        </w:rPr>
      </w:pPr>
      <w:r w:rsidRPr="005955C3">
        <w:rPr>
          <w:rFonts w:cs="Times New Roman"/>
          <w:szCs w:val="26"/>
        </w:rPr>
        <w:t>Similarly, i</w:t>
      </w:r>
      <w:r w:rsidR="00E91436" w:rsidRPr="005955C3">
        <w:rPr>
          <w:rFonts w:cs="Times New Roman"/>
          <w:szCs w:val="26"/>
        </w:rPr>
        <w:t xml:space="preserve">n the context of </w:t>
      </w:r>
      <w:r w:rsidR="00496B15" w:rsidRPr="005955C3">
        <w:rPr>
          <w:rFonts w:cs="Times New Roman"/>
          <w:szCs w:val="26"/>
        </w:rPr>
        <w:t>the acquisition of discrete assets by a utility</w:t>
      </w:r>
      <w:r w:rsidR="005955C3" w:rsidRPr="005955C3">
        <w:rPr>
          <w:rFonts w:cs="Times New Roman"/>
          <w:szCs w:val="26"/>
        </w:rPr>
        <w:t>,</w:t>
      </w:r>
      <w:r w:rsidR="00E91436" w:rsidRPr="005955C3">
        <w:rPr>
          <w:rFonts w:cs="Times New Roman"/>
          <w:szCs w:val="26"/>
        </w:rPr>
        <w:t xml:space="preserve"> under the Commission’s accounting regulations</w:t>
      </w:r>
      <w:r w:rsidRPr="005955C3">
        <w:rPr>
          <w:rFonts w:cs="Times New Roman"/>
          <w:szCs w:val="26"/>
        </w:rPr>
        <w:t xml:space="preserve"> and rate precedent</w:t>
      </w:r>
      <w:r w:rsidR="00E91436" w:rsidRPr="005955C3">
        <w:rPr>
          <w:rFonts w:cs="Times New Roman"/>
          <w:szCs w:val="26"/>
        </w:rPr>
        <w:t xml:space="preserve"> the excess purchase cost of utility plant over its depreciated original cost is an acquisition premium and is excluded from recovery through rates unless a showing of offsetting benefits is demonstrated in an FPA section 205 filing.  </w:t>
      </w:r>
      <w:r w:rsidR="00957E9D" w:rsidRPr="005955C3">
        <w:rPr>
          <w:rFonts w:cs="Times New Roman"/>
          <w:szCs w:val="26"/>
        </w:rPr>
        <w:t>In the past</w:t>
      </w:r>
      <w:r w:rsidR="00911E15" w:rsidRPr="006F1AAF">
        <w:rPr>
          <w:rFonts w:cs="Times New Roman"/>
          <w:szCs w:val="26"/>
        </w:rPr>
        <w:t>,</w:t>
      </w:r>
      <w:r w:rsidR="00957E9D" w:rsidRPr="00ED6116">
        <w:rPr>
          <w:rFonts w:cs="Times New Roman"/>
          <w:szCs w:val="26"/>
        </w:rPr>
        <w:t xml:space="preserve"> applicants have</w:t>
      </w:r>
      <w:r w:rsidR="003246F0" w:rsidRPr="005955C3">
        <w:rPr>
          <w:rFonts w:cs="Times New Roman"/>
          <w:szCs w:val="26"/>
        </w:rPr>
        <w:t xml:space="preserve"> proposed to</w:t>
      </w:r>
      <w:r w:rsidR="00957E9D" w:rsidRPr="005955C3">
        <w:rPr>
          <w:rFonts w:cs="Times New Roman"/>
          <w:szCs w:val="26"/>
        </w:rPr>
        <w:t xml:space="preserve"> include acquisition premium</w:t>
      </w:r>
      <w:r w:rsidR="00911E15" w:rsidRPr="005955C3">
        <w:rPr>
          <w:rFonts w:cs="Times New Roman"/>
          <w:szCs w:val="26"/>
        </w:rPr>
        <w:t>s</w:t>
      </w:r>
      <w:r w:rsidR="00957E9D" w:rsidRPr="005955C3">
        <w:rPr>
          <w:rFonts w:cs="Times New Roman"/>
          <w:szCs w:val="26"/>
        </w:rPr>
        <w:t xml:space="preserve"> as transaction</w:t>
      </w:r>
      <w:r w:rsidR="00CE604F" w:rsidRPr="005955C3">
        <w:rPr>
          <w:rFonts w:cs="Times New Roman"/>
          <w:szCs w:val="26"/>
        </w:rPr>
        <w:t>-</w:t>
      </w:r>
      <w:r w:rsidR="00957E9D" w:rsidRPr="005955C3">
        <w:rPr>
          <w:rFonts w:cs="Times New Roman"/>
          <w:szCs w:val="26"/>
        </w:rPr>
        <w:t>related cost</w:t>
      </w:r>
      <w:r w:rsidR="00911E15" w:rsidRPr="005955C3">
        <w:rPr>
          <w:rFonts w:cs="Times New Roman"/>
          <w:szCs w:val="26"/>
        </w:rPr>
        <w:t>s</w:t>
      </w:r>
      <w:r w:rsidR="00957E9D" w:rsidRPr="005955C3">
        <w:rPr>
          <w:rFonts w:cs="Times New Roman"/>
          <w:szCs w:val="26"/>
        </w:rPr>
        <w:t xml:space="preserve"> subject to their </w:t>
      </w:r>
      <w:r w:rsidR="00911E15" w:rsidRPr="005955C3">
        <w:rPr>
          <w:rFonts w:cs="Times New Roman"/>
          <w:szCs w:val="26"/>
        </w:rPr>
        <w:t xml:space="preserve">proposed </w:t>
      </w:r>
      <w:r w:rsidR="00957E9D" w:rsidRPr="005955C3">
        <w:rPr>
          <w:rFonts w:cs="Times New Roman"/>
          <w:szCs w:val="26"/>
        </w:rPr>
        <w:t>hold harmless commitment</w:t>
      </w:r>
      <w:r w:rsidR="00911E15" w:rsidRPr="005955C3">
        <w:rPr>
          <w:rFonts w:cs="Times New Roman"/>
          <w:szCs w:val="26"/>
        </w:rPr>
        <w:t>s,</w:t>
      </w:r>
      <w:r w:rsidR="00957E9D" w:rsidRPr="002C2FB6">
        <w:rPr>
          <w:rStyle w:val="FootnoteReference"/>
        </w:rPr>
        <w:footnoteReference w:id="47"/>
      </w:r>
      <w:r w:rsidR="00957E9D" w:rsidRPr="005955C3">
        <w:rPr>
          <w:rFonts w:cs="Times New Roman"/>
          <w:szCs w:val="26"/>
        </w:rPr>
        <w:t xml:space="preserve"> and intervenors have requested that the Commission require applicants to include acquisition premium</w:t>
      </w:r>
      <w:r w:rsidR="00911E15" w:rsidRPr="006F1AAF">
        <w:rPr>
          <w:rFonts w:cs="Times New Roman"/>
          <w:szCs w:val="26"/>
        </w:rPr>
        <w:t>s</w:t>
      </w:r>
      <w:r w:rsidR="00957E9D" w:rsidRPr="00ED6116">
        <w:rPr>
          <w:rFonts w:cs="Times New Roman"/>
          <w:szCs w:val="26"/>
        </w:rPr>
        <w:t xml:space="preserve"> as transaction</w:t>
      </w:r>
      <w:r w:rsidR="00CE604F" w:rsidRPr="005955C3">
        <w:rPr>
          <w:rFonts w:cs="Times New Roman"/>
          <w:szCs w:val="26"/>
        </w:rPr>
        <w:t>-</w:t>
      </w:r>
      <w:r w:rsidR="00957E9D" w:rsidRPr="005955C3">
        <w:rPr>
          <w:rFonts w:cs="Times New Roman"/>
          <w:szCs w:val="26"/>
        </w:rPr>
        <w:t>related cost</w:t>
      </w:r>
      <w:r w:rsidR="00911E15" w:rsidRPr="005955C3">
        <w:rPr>
          <w:rFonts w:cs="Times New Roman"/>
          <w:szCs w:val="26"/>
        </w:rPr>
        <w:t>s</w:t>
      </w:r>
      <w:r w:rsidR="00957E9D" w:rsidRPr="005955C3">
        <w:rPr>
          <w:rFonts w:cs="Times New Roman"/>
          <w:szCs w:val="26"/>
        </w:rPr>
        <w:t>.</w:t>
      </w:r>
      <w:r w:rsidR="00957E9D" w:rsidRPr="002C2FB6">
        <w:rPr>
          <w:rStyle w:val="FootnoteReference"/>
        </w:rPr>
        <w:footnoteReference w:id="48"/>
      </w:r>
      <w:r w:rsidR="00957E9D" w:rsidRPr="005955C3">
        <w:rPr>
          <w:rFonts w:cs="Times New Roman"/>
          <w:szCs w:val="26"/>
        </w:rPr>
        <w:t xml:space="preserve">  </w:t>
      </w:r>
      <w:r w:rsidR="00C6665E" w:rsidRPr="006F1AAF">
        <w:rPr>
          <w:rFonts w:cs="Times New Roman"/>
          <w:szCs w:val="26"/>
        </w:rPr>
        <w:t>T</w:t>
      </w:r>
      <w:r w:rsidR="00E46CBA" w:rsidRPr="00ED6116">
        <w:rPr>
          <w:rFonts w:cs="Times New Roman"/>
          <w:szCs w:val="26"/>
        </w:rPr>
        <w:t xml:space="preserve">he Commission </w:t>
      </w:r>
      <w:r w:rsidR="00911E15" w:rsidRPr="005955C3">
        <w:rPr>
          <w:rFonts w:cs="Times New Roman"/>
          <w:szCs w:val="26"/>
        </w:rPr>
        <w:t xml:space="preserve">has not, and </w:t>
      </w:r>
      <w:r w:rsidR="00E46CBA" w:rsidRPr="005955C3">
        <w:rPr>
          <w:rFonts w:cs="Times New Roman"/>
          <w:szCs w:val="26"/>
        </w:rPr>
        <w:t>does not</w:t>
      </w:r>
      <w:r w:rsidR="00911E15" w:rsidRPr="005955C3">
        <w:rPr>
          <w:rFonts w:cs="Times New Roman"/>
          <w:szCs w:val="26"/>
        </w:rPr>
        <w:t>,</w:t>
      </w:r>
      <w:r w:rsidR="00E46CBA" w:rsidRPr="005955C3">
        <w:rPr>
          <w:rFonts w:cs="Times New Roman"/>
          <w:szCs w:val="26"/>
        </w:rPr>
        <w:t xml:space="preserve"> consider acquisition premium</w:t>
      </w:r>
      <w:r w:rsidR="00911E15" w:rsidRPr="005955C3">
        <w:rPr>
          <w:rFonts w:cs="Times New Roman"/>
          <w:szCs w:val="26"/>
        </w:rPr>
        <w:t>s</w:t>
      </w:r>
      <w:r w:rsidR="00782216" w:rsidRPr="005955C3">
        <w:rPr>
          <w:rFonts w:cs="Times New Roman"/>
          <w:szCs w:val="26"/>
        </w:rPr>
        <w:t xml:space="preserve"> to be</w:t>
      </w:r>
      <w:r w:rsidR="00E46CBA" w:rsidRPr="005955C3">
        <w:rPr>
          <w:rFonts w:cs="Times New Roman"/>
          <w:szCs w:val="26"/>
        </w:rPr>
        <w:t xml:space="preserve"> part of transaction</w:t>
      </w:r>
      <w:r w:rsidR="00CE604F" w:rsidRPr="005955C3">
        <w:rPr>
          <w:rFonts w:cs="Times New Roman"/>
          <w:szCs w:val="26"/>
        </w:rPr>
        <w:t>-</w:t>
      </w:r>
      <w:r w:rsidR="00E46CBA" w:rsidRPr="005955C3">
        <w:rPr>
          <w:rFonts w:cs="Times New Roman"/>
          <w:szCs w:val="26"/>
        </w:rPr>
        <w:t>related costs</w:t>
      </w:r>
      <w:r w:rsidR="00C6665E" w:rsidRPr="005955C3">
        <w:rPr>
          <w:rFonts w:cs="Times New Roman"/>
          <w:szCs w:val="26"/>
        </w:rPr>
        <w:t xml:space="preserve">. </w:t>
      </w:r>
      <w:r w:rsidR="00725DF9" w:rsidRPr="005955C3">
        <w:rPr>
          <w:rFonts w:cs="Times New Roman"/>
          <w:szCs w:val="26"/>
        </w:rPr>
        <w:t xml:space="preserve"> </w:t>
      </w:r>
      <w:r w:rsidR="00C6665E" w:rsidRPr="005955C3">
        <w:rPr>
          <w:rFonts w:cs="Times New Roman"/>
          <w:szCs w:val="26"/>
        </w:rPr>
        <w:t>T</w:t>
      </w:r>
      <w:r w:rsidR="00E46CBA" w:rsidRPr="005955C3">
        <w:rPr>
          <w:rFonts w:cs="Times New Roman"/>
          <w:szCs w:val="26"/>
        </w:rPr>
        <w:t xml:space="preserve">he recovery of </w:t>
      </w:r>
      <w:r w:rsidR="00911E15" w:rsidRPr="005955C3">
        <w:rPr>
          <w:rFonts w:cs="Times New Roman"/>
          <w:szCs w:val="26"/>
        </w:rPr>
        <w:t xml:space="preserve">acquisition premiums </w:t>
      </w:r>
      <w:r w:rsidR="00782216" w:rsidRPr="005955C3">
        <w:rPr>
          <w:rFonts w:cs="Times New Roman"/>
          <w:szCs w:val="26"/>
        </w:rPr>
        <w:t>must be pursued through a separate</w:t>
      </w:r>
      <w:r w:rsidR="00E46CBA" w:rsidRPr="005955C3">
        <w:rPr>
          <w:rFonts w:cs="Times New Roman"/>
          <w:szCs w:val="26"/>
        </w:rPr>
        <w:t xml:space="preserve"> FPA section 205 filing</w:t>
      </w:r>
      <w:r w:rsidR="000E51A8" w:rsidRPr="005955C3">
        <w:rPr>
          <w:rFonts w:cs="Times New Roman"/>
          <w:szCs w:val="26"/>
        </w:rPr>
        <w:t>, whether or not a hold harmless commitment has been made</w:t>
      </w:r>
      <w:r w:rsidR="00E46CBA" w:rsidRPr="005955C3">
        <w:rPr>
          <w:rFonts w:cs="Times New Roman"/>
          <w:szCs w:val="26"/>
        </w:rPr>
        <w:t>.</w:t>
      </w:r>
      <w:r w:rsidR="00E46CBA" w:rsidRPr="002C2FB6">
        <w:rPr>
          <w:rStyle w:val="FootnoteReference"/>
        </w:rPr>
        <w:footnoteReference w:id="49"/>
      </w:r>
      <w:r w:rsidR="00E46CBA" w:rsidRPr="005955C3">
        <w:rPr>
          <w:rFonts w:cs="Times New Roman"/>
          <w:szCs w:val="26"/>
        </w:rPr>
        <w:t xml:space="preserve">  </w:t>
      </w:r>
      <w:r w:rsidR="00CC10A3" w:rsidRPr="006F1AAF">
        <w:rPr>
          <w:rFonts w:cs="Times New Roman"/>
          <w:szCs w:val="26"/>
        </w:rPr>
        <w:t>We do</w:t>
      </w:r>
      <w:r w:rsidR="00E46CBA" w:rsidRPr="00ED6116">
        <w:rPr>
          <w:rFonts w:cs="Times New Roman"/>
          <w:szCs w:val="26"/>
        </w:rPr>
        <w:t xml:space="preserve"> n</w:t>
      </w:r>
      <w:r w:rsidR="00782216" w:rsidRPr="005955C3">
        <w:rPr>
          <w:rFonts w:cs="Times New Roman"/>
          <w:szCs w:val="26"/>
        </w:rPr>
        <w:t>ot</w:t>
      </w:r>
      <w:r w:rsidR="003C4E05" w:rsidRPr="005955C3">
        <w:rPr>
          <w:rFonts w:cs="Times New Roman"/>
          <w:szCs w:val="26"/>
        </w:rPr>
        <w:t xml:space="preserve"> believe that </w:t>
      </w:r>
      <w:r w:rsidR="00B254FB" w:rsidRPr="005955C3">
        <w:rPr>
          <w:rFonts w:cs="Times New Roman"/>
          <w:szCs w:val="26"/>
        </w:rPr>
        <w:t xml:space="preserve">our </w:t>
      </w:r>
      <w:r w:rsidR="003C4E05" w:rsidRPr="005955C3">
        <w:rPr>
          <w:rFonts w:cs="Times New Roman"/>
          <w:szCs w:val="26"/>
        </w:rPr>
        <w:t xml:space="preserve">proposed treatment of transaction-related costs </w:t>
      </w:r>
      <w:r w:rsidR="00B254FB" w:rsidRPr="005955C3">
        <w:rPr>
          <w:rFonts w:cs="Times New Roman"/>
          <w:szCs w:val="26"/>
        </w:rPr>
        <w:t xml:space="preserve">here </w:t>
      </w:r>
      <w:r w:rsidR="003C4E05" w:rsidRPr="005955C3">
        <w:rPr>
          <w:rFonts w:cs="Times New Roman"/>
          <w:szCs w:val="26"/>
        </w:rPr>
        <w:t>require</w:t>
      </w:r>
      <w:r w:rsidR="00C6665E" w:rsidRPr="005955C3">
        <w:rPr>
          <w:rFonts w:cs="Times New Roman"/>
          <w:szCs w:val="26"/>
        </w:rPr>
        <w:t>s</w:t>
      </w:r>
      <w:r w:rsidR="003C4E05" w:rsidRPr="005955C3">
        <w:rPr>
          <w:rFonts w:cs="Times New Roman"/>
          <w:szCs w:val="26"/>
        </w:rPr>
        <w:t xml:space="preserve"> a</w:t>
      </w:r>
      <w:r w:rsidR="00782216" w:rsidRPr="005955C3">
        <w:rPr>
          <w:rFonts w:cs="Times New Roman"/>
          <w:szCs w:val="26"/>
        </w:rPr>
        <w:t xml:space="preserve"> change</w:t>
      </w:r>
      <w:r w:rsidR="00C6665E" w:rsidRPr="005955C3">
        <w:rPr>
          <w:rFonts w:cs="Times New Roman"/>
          <w:szCs w:val="26"/>
        </w:rPr>
        <w:t xml:space="preserve"> in</w:t>
      </w:r>
      <w:r w:rsidR="00782216" w:rsidRPr="005955C3">
        <w:rPr>
          <w:rFonts w:cs="Times New Roman"/>
          <w:szCs w:val="26"/>
        </w:rPr>
        <w:t xml:space="preserve"> </w:t>
      </w:r>
      <w:r w:rsidR="00CC10A3" w:rsidRPr="005955C3">
        <w:rPr>
          <w:rFonts w:cs="Times New Roman"/>
          <w:szCs w:val="26"/>
        </w:rPr>
        <w:t>the Commission’s</w:t>
      </w:r>
      <w:r w:rsidR="00782216" w:rsidRPr="005955C3">
        <w:rPr>
          <w:rFonts w:cs="Times New Roman"/>
          <w:szCs w:val="26"/>
        </w:rPr>
        <w:t xml:space="preserve"> current practice</w:t>
      </w:r>
      <w:r w:rsidR="00911E15" w:rsidRPr="005955C3">
        <w:rPr>
          <w:rFonts w:cs="Times New Roman"/>
          <w:szCs w:val="26"/>
        </w:rPr>
        <w:t xml:space="preserve"> with respect to acquisition premiums</w:t>
      </w:r>
      <w:r w:rsidR="003C4E05" w:rsidRPr="005955C3">
        <w:rPr>
          <w:rFonts w:cs="Times New Roman"/>
          <w:szCs w:val="26"/>
        </w:rPr>
        <w:t xml:space="preserve">.  </w:t>
      </w:r>
      <w:r w:rsidR="00CC10A3" w:rsidRPr="005955C3">
        <w:rPr>
          <w:rFonts w:cs="Times New Roman"/>
          <w:szCs w:val="26"/>
        </w:rPr>
        <w:t>We</w:t>
      </w:r>
      <w:r w:rsidR="003C4E05" w:rsidRPr="005955C3">
        <w:rPr>
          <w:rFonts w:cs="Times New Roman"/>
          <w:szCs w:val="26"/>
        </w:rPr>
        <w:t xml:space="preserve"> </w:t>
      </w:r>
      <w:r w:rsidR="00957E9D" w:rsidRPr="005955C3">
        <w:rPr>
          <w:rFonts w:cs="Times New Roman"/>
          <w:szCs w:val="26"/>
        </w:rPr>
        <w:t xml:space="preserve">will continue </w:t>
      </w:r>
      <w:r w:rsidR="00AD3D27" w:rsidRPr="005955C3">
        <w:rPr>
          <w:rFonts w:cs="Times New Roman"/>
          <w:szCs w:val="26"/>
        </w:rPr>
        <w:t xml:space="preserve">to </w:t>
      </w:r>
      <w:r w:rsidR="00957E9D" w:rsidRPr="005955C3">
        <w:rPr>
          <w:rFonts w:cs="Times New Roman"/>
          <w:szCs w:val="26"/>
        </w:rPr>
        <w:t>preclud</w:t>
      </w:r>
      <w:r w:rsidR="00AD3D27" w:rsidRPr="005955C3">
        <w:rPr>
          <w:rFonts w:cs="Times New Roman"/>
          <w:szCs w:val="26"/>
        </w:rPr>
        <w:t>e</w:t>
      </w:r>
      <w:r w:rsidR="00957E9D" w:rsidRPr="005955C3">
        <w:rPr>
          <w:rFonts w:cs="Times New Roman"/>
          <w:szCs w:val="26"/>
        </w:rPr>
        <w:t xml:space="preserve"> recovery o</w:t>
      </w:r>
      <w:r w:rsidR="00C6665E" w:rsidRPr="005955C3">
        <w:rPr>
          <w:rFonts w:cs="Times New Roman"/>
          <w:szCs w:val="26"/>
        </w:rPr>
        <w:t>f acquisition premium</w:t>
      </w:r>
      <w:r w:rsidR="00911E15" w:rsidRPr="005955C3">
        <w:rPr>
          <w:rFonts w:cs="Times New Roman"/>
          <w:szCs w:val="26"/>
        </w:rPr>
        <w:t>s as part of transaction-related costs</w:t>
      </w:r>
      <w:r w:rsidR="00C6665E" w:rsidRPr="005955C3">
        <w:rPr>
          <w:rFonts w:cs="Times New Roman"/>
          <w:szCs w:val="26"/>
        </w:rPr>
        <w:t>, and remind</w:t>
      </w:r>
      <w:r w:rsidR="00957E9D" w:rsidRPr="005955C3">
        <w:rPr>
          <w:rFonts w:cs="Times New Roman"/>
          <w:szCs w:val="26"/>
        </w:rPr>
        <w:t xml:space="preserve"> applicants that a showing of </w:t>
      </w:r>
      <w:r w:rsidR="00A8607F" w:rsidRPr="005955C3">
        <w:rPr>
          <w:rFonts w:cs="Times New Roman"/>
          <w:szCs w:val="26"/>
        </w:rPr>
        <w:t>“</w:t>
      </w:r>
      <w:r w:rsidR="00E1669F" w:rsidRPr="005955C3">
        <w:rPr>
          <w:rFonts w:cs="Times New Roman"/>
          <w:szCs w:val="26"/>
        </w:rPr>
        <w:t xml:space="preserve">specific, </w:t>
      </w:r>
      <w:r w:rsidR="00A8607F" w:rsidRPr="005955C3">
        <w:rPr>
          <w:rFonts w:cs="Times New Roman"/>
          <w:szCs w:val="26"/>
        </w:rPr>
        <w:t xml:space="preserve">measurable, </w:t>
      </w:r>
      <w:r w:rsidR="00E1669F" w:rsidRPr="005955C3">
        <w:rPr>
          <w:rFonts w:cs="Times New Roman"/>
          <w:szCs w:val="26"/>
        </w:rPr>
        <w:t>and substantial</w:t>
      </w:r>
      <w:r w:rsidR="00A8607F" w:rsidRPr="005955C3">
        <w:rPr>
          <w:rFonts w:cs="Times New Roman"/>
          <w:szCs w:val="26"/>
        </w:rPr>
        <w:t xml:space="preserve"> </w:t>
      </w:r>
      <w:r w:rsidR="00957E9D" w:rsidRPr="005955C3">
        <w:rPr>
          <w:rFonts w:cs="Times New Roman"/>
          <w:szCs w:val="26"/>
        </w:rPr>
        <w:t>benefits</w:t>
      </w:r>
      <w:r w:rsidR="00A8607F" w:rsidRPr="005955C3">
        <w:rPr>
          <w:rFonts w:cs="Times New Roman"/>
          <w:szCs w:val="26"/>
        </w:rPr>
        <w:t xml:space="preserve"> to ratepayers”</w:t>
      </w:r>
      <w:r w:rsidR="00957E9D" w:rsidRPr="005955C3">
        <w:rPr>
          <w:rFonts w:cs="Times New Roman"/>
          <w:szCs w:val="26"/>
        </w:rPr>
        <w:t xml:space="preserve"> must be made in a subsequent</w:t>
      </w:r>
      <w:r w:rsidR="00C6665E" w:rsidRPr="005955C3">
        <w:rPr>
          <w:rFonts w:cs="Times New Roman"/>
          <w:szCs w:val="26"/>
        </w:rPr>
        <w:t xml:space="preserve"> FPA</w:t>
      </w:r>
      <w:r w:rsidR="00957E9D" w:rsidRPr="005955C3">
        <w:rPr>
          <w:rFonts w:cs="Times New Roman"/>
          <w:szCs w:val="26"/>
        </w:rPr>
        <w:t xml:space="preserve"> section 205 p</w:t>
      </w:r>
      <w:r w:rsidR="00CD60E2" w:rsidRPr="005955C3">
        <w:rPr>
          <w:rFonts w:cs="Times New Roman"/>
          <w:szCs w:val="26"/>
        </w:rPr>
        <w:t>roceeding in order to recover</w:t>
      </w:r>
      <w:r w:rsidR="00957E9D" w:rsidRPr="005955C3">
        <w:rPr>
          <w:rFonts w:cs="Times New Roman"/>
          <w:szCs w:val="26"/>
        </w:rPr>
        <w:t xml:space="preserve"> </w:t>
      </w:r>
      <w:r w:rsidR="00911E15" w:rsidRPr="005955C3">
        <w:rPr>
          <w:rFonts w:cs="Times New Roman"/>
          <w:szCs w:val="26"/>
        </w:rPr>
        <w:t xml:space="preserve">an </w:t>
      </w:r>
      <w:r w:rsidR="00957E9D" w:rsidRPr="005955C3">
        <w:rPr>
          <w:rFonts w:cs="Times New Roman"/>
          <w:szCs w:val="26"/>
        </w:rPr>
        <w:t>acquisition premium.</w:t>
      </w:r>
      <w:r w:rsidR="001C1C0E">
        <w:rPr>
          <w:rStyle w:val="FootnoteReference"/>
        </w:rPr>
        <w:footnoteReference w:id="50"/>
      </w:r>
      <w:r w:rsidR="00957E9D" w:rsidRPr="005955C3">
        <w:rPr>
          <w:rFonts w:cs="Times New Roman"/>
          <w:szCs w:val="26"/>
        </w:rPr>
        <w:t> </w:t>
      </w:r>
    </w:p>
    <w:p w14:paraId="29D8FC89" w14:textId="54736B48" w:rsidR="00986CCA" w:rsidRPr="005955C3" w:rsidRDefault="00986CCA" w:rsidP="005955C3">
      <w:pPr>
        <w:pStyle w:val="FERCparanumber"/>
        <w:spacing w:after="0"/>
        <w:rPr>
          <w:rFonts w:cs="Times New Roman"/>
          <w:szCs w:val="26"/>
        </w:rPr>
      </w:pPr>
      <w:r>
        <w:rPr>
          <w:rFonts w:cs="Times New Roman"/>
          <w:szCs w:val="26"/>
        </w:rPr>
        <w:t>We</w:t>
      </w:r>
      <w:r w:rsidRPr="002C2FB6">
        <w:rPr>
          <w:rFonts w:cs="Times New Roman"/>
          <w:szCs w:val="26"/>
        </w:rPr>
        <w:t xml:space="preserve"> </w:t>
      </w:r>
      <w:r>
        <w:rPr>
          <w:rFonts w:cs="Times New Roman"/>
          <w:szCs w:val="26"/>
        </w:rPr>
        <w:t>seek comments from interested persons on these proposals.  In particular, we seek comments on the categories of costs</w:t>
      </w:r>
      <w:r w:rsidR="000B2E04">
        <w:rPr>
          <w:rFonts w:cs="Times New Roman"/>
          <w:szCs w:val="26"/>
        </w:rPr>
        <w:t>, including transition costs</w:t>
      </w:r>
      <w:r w:rsidR="007F01CC">
        <w:rPr>
          <w:rFonts w:cs="Times New Roman"/>
          <w:szCs w:val="26"/>
        </w:rPr>
        <w:t>,</w:t>
      </w:r>
      <w:r w:rsidR="000B2E04">
        <w:rPr>
          <w:rFonts w:cs="Times New Roman"/>
          <w:szCs w:val="26"/>
        </w:rPr>
        <w:t xml:space="preserve"> that are proposed to be transaction-related costs which should be subject to hold harmless protection.</w:t>
      </w:r>
      <w:r w:rsidR="00666CFF">
        <w:rPr>
          <w:rFonts w:cs="Times New Roman"/>
          <w:szCs w:val="26"/>
        </w:rPr>
        <w:t xml:space="preserve"> </w:t>
      </w:r>
      <w:r w:rsidR="000B2E04">
        <w:rPr>
          <w:rFonts w:cs="Times New Roman"/>
          <w:szCs w:val="26"/>
        </w:rPr>
        <w:t>We also seek comments on</w:t>
      </w:r>
      <w:r>
        <w:rPr>
          <w:rFonts w:cs="Times New Roman"/>
          <w:szCs w:val="26"/>
        </w:rPr>
        <w:t xml:space="preserve"> the </w:t>
      </w:r>
      <w:r w:rsidRPr="002C2FB6">
        <w:rPr>
          <w:rFonts w:cs="Times New Roman"/>
          <w:szCs w:val="26"/>
        </w:rPr>
        <w:t>costs</w:t>
      </w:r>
      <w:r w:rsidR="00A10AEB">
        <w:rPr>
          <w:rFonts w:cs="Times New Roman"/>
          <w:szCs w:val="26"/>
        </w:rPr>
        <w:t xml:space="preserve"> </w:t>
      </w:r>
      <w:r>
        <w:rPr>
          <w:rFonts w:cs="Times New Roman"/>
          <w:szCs w:val="26"/>
        </w:rPr>
        <w:t xml:space="preserve">that should not be subject to hold harmless </w:t>
      </w:r>
      <w:r w:rsidR="00A10AEB">
        <w:rPr>
          <w:rFonts w:cs="Times New Roman"/>
          <w:szCs w:val="26"/>
        </w:rPr>
        <w:t>commitments</w:t>
      </w:r>
      <w:r w:rsidRPr="002C2FB6">
        <w:rPr>
          <w:rFonts w:cs="Times New Roman"/>
          <w:szCs w:val="26"/>
        </w:rPr>
        <w:t>.</w:t>
      </w:r>
    </w:p>
    <w:p w14:paraId="4A6C7FD6" w14:textId="447AB382" w:rsidR="00842883" w:rsidRPr="002C2FB6" w:rsidRDefault="002B4D58" w:rsidP="00CB4D07">
      <w:pPr>
        <w:pStyle w:val="Heading3"/>
        <w:ind w:left="2160" w:hanging="720"/>
      </w:pPr>
      <w:r w:rsidRPr="002C2FB6">
        <w:t>Controls and Procedures to Track and Record Costs</w:t>
      </w:r>
      <w:r w:rsidR="00E959F7">
        <w:t xml:space="preserve"> Related to Hold Harmless Commitments</w:t>
      </w:r>
    </w:p>
    <w:p w14:paraId="3F711B18" w14:textId="1A58760E" w:rsidR="0080044C" w:rsidRPr="000E0656" w:rsidRDefault="00916184" w:rsidP="00916184">
      <w:pPr>
        <w:pStyle w:val="FERCparanumber"/>
        <w:autoSpaceDE w:val="0"/>
        <w:autoSpaceDN w:val="0"/>
        <w:adjustRightInd w:val="0"/>
        <w:spacing w:after="0"/>
        <w:rPr>
          <w:rFonts w:cs="Times New Roman"/>
          <w:szCs w:val="26"/>
        </w:rPr>
      </w:pPr>
      <w:r w:rsidRPr="000E0656">
        <w:rPr>
          <w:rFonts w:cs="Times New Roman"/>
          <w:szCs w:val="26"/>
        </w:rPr>
        <w:t>As noted above, applicants are required</w:t>
      </w:r>
      <w:r>
        <w:t xml:space="preserve"> </w:t>
      </w:r>
      <w:r w:rsidRPr="000E0656">
        <w:rPr>
          <w:rFonts w:cs="Times New Roman"/>
          <w:szCs w:val="26"/>
        </w:rPr>
        <w:t>to describe in their FPA section 203 applications how they intend to protect ratepayers from transaction-related costs, consistent with their obligation to show that their transaction is consistent with the public interest.</w:t>
      </w:r>
      <w:r w:rsidRPr="002C2FB6">
        <w:rPr>
          <w:rStyle w:val="FootnoteReference"/>
        </w:rPr>
        <w:footnoteReference w:id="51"/>
      </w:r>
      <w:r w:rsidRPr="000E0656">
        <w:rPr>
          <w:rFonts w:cs="Times New Roman"/>
          <w:szCs w:val="26"/>
        </w:rPr>
        <w:t xml:space="preserve"> </w:t>
      </w:r>
      <w:r>
        <w:rPr>
          <w:rFonts w:cs="Times New Roman"/>
          <w:szCs w:val="26"/>
        </w:rPr>
        <w:t xml:space="preserve"> </w:t>
      </w:r>
      <w:r w:rsidR="00B479A1">
        <w:rPr>
          <w:rFonts w:cs="Times New Roman"/>
          <w:szCs w:val="26"/>
        </w:rPr>
        <w:t xml:space="preserve">  </w:t>
      </w:r>
      <w:r w:rsidR="0080044C" w:rsidRPr="000E0656">
        <w:rPr>
          <w:rFonts w:cs="Times New Roman"/>
          <w:szCs w:val="26"/>
        </w:rPr>
        <w:t>As contemplated in the Merger Policy Statement, a hold harmless commitment offered by applicants must be “enforceable and administratively manageable.”</w:t>
      </w:r>
      <w:r w:rsidR="0080044C" w:rsidRPr="002C2FB6">
        <w:rPr>
          <w:rStyle w:val="FootnoteReference"/>
        </w:rPr>
        <w:footnoteReference w:id="52"/>
      </w:r>
      <w:r w:rsidR="0080044C" w:rsidRPr="000E0656">
        <w:rPr>
          <w:rFonts w:cs="Times New Roman"/>
          <w:szCs w:val="26"/>
        </w:rPr>
        <w:t xml:space="preserve">  In creating an enforceable and administratively manageable commitment, applicants should </w:t>
      </w:r>
      <w:r w:rsidR="00A82045" w:rsidRPr="000E0656">
        <w:rPr>
          <w:rFonts w:cs="Times New Roman"/>
          <w:szCs w:val="26"/>
        </w:rPr>
        <w:t xml:space="preserve">provide </w:t>
      </w:r>
      <w:r w:rsidR="0080044C" w:rsidRPr="000E0656">
        <w:rPr>
          <w:rFonts w:cs="Times New Roman"/>
          <w:szCs w:val="26"/>
        </w:rPr>
        <w:t xml:space="preserve">assurances that </w:t>
      </w:r>
      <w:r w:rsidR="00B254FB" w:rsidRPr="000E0656">
        <w:rPr>
          <w:rFonts w:cs="Times New Roman"/>
          <w:szCs w:val="26"/>
        </w:rPr>
        <w:t>transaction</w:t>
      </w:r>
      <w:r w:rsidR="0080044C" w:rsidRPr="000E0656">
        <w:rPr>
          <w:rFonts w:cs="Times New Roman"/>
          <w:szCs w:val="26"/>
        </w:rPr>
        <w:t xml:space="preserve">-related costs will be quantified, documented, and verified, and may not be recovered from </w:t>
      </w:r>
      <w:r w:rsidR="00CD7CC0" w:rsidRPr="000E0656">
        <w:rPr>
          <w:rFonts w:cs="Times New Roman"/>
          <w:szCs w:val="26"/>
        </w:rPr>
        <w:t>ratepayers</w:t>
      </w:r>
      <w:r w:rsidR="0080044C" w:rsidRPr="000E0656">
        <w:rPr>
          <w:rFonts w:cs="Times New Roman"/>
          <w:szCs w:val="26"/>
        </w:rPr>
        <w:t xml:space="preserve"> until </w:t>
      </w:r>
      <w:r w:rsidR="00A82045" w:rsidRPr="000E0656">
        <w:rPr>
          <w:rFonts w:cs="Times New Roman"/>
          <w:szCs w:val="26"/>
        </w:rPr>
        <w:t xml:space="preserve">applicants can demonstrate that </w:t>
      </w:r>
      <w:r w:rsidR="0080044C" w:rsidRPr="000E0656">
        <w:rPr>
          <w:rFonts w:cs="Times New Roman"/>
          <w:szCs w:val="26"/>
        </w:rPr>
        <w:t>savings</w:t>
      </w:r>
      <w:r w:rsidR="00A82045" w:rsidRPr="000E0656">
        <w:rPr>
          <w:rFonts w:cs="Times New Roman"/>
          <w:szCs w:val="26"/>
        </w:rPr>
        <w:t>, if any,</w:t>
      </w:r>
      <w:r w:rsidR="0080044C" w:rsidRPr="000E0656">
        <w:rPr>
          <w:rFonts w:cs="Times New Roman"/>
          <w:szCs w:val="26"/>
        </w:rPr>
        <w:t xml:space="preserve"> offset the </w:t>
      </w:r>
      <w:r w:rsidR="00B254FB" w:rsidRPr="000E0656">
        <w:rPr>
          <w:rFonts w:cs="Times New Roman"/>
          <w:szCs w:val="26"/>
        </w:rPr>
        <w:t>transaction</w:t>
      </w:r>
      <w:r w:rsidR="00A82045" w:rsidRPr="000E0656">
        <w:rPr>
          <w:rFonts w:cs="Times New Roman"/>
          <w:szCs w:val="26"/>
        </w:rPr>
        <w:t xml:space="preserve">-related </w:t>
      </w:r>
      <w:r w:rsidR="0080044C" w:rsidRPr="000E0656">
        <w:rPr>
          <w:rFonts w:cs="Times New Roman"/>
          <w:szCs w:val="26"/>
        </w:rPr>
        <w:t>costs</w:t>
      </w:r>
      <w:r w:rsidR="00A82045" w:rsidRPr="000E0656">
        <w:rPr>
          <w:rFonts w:cs="Times New Roman"/>
          <w:szCs w:val="26"/>
        </w:rPr>
        <w:t xml:space="preserve"> they seek to recover</w:t>
      </w:r>
      <w:r w:rsidR="0080044C" w:rsidRPr="000E0656">
        <w:rPr>
          <w:rFonts w:cs="Times New Roman"/>
          <w:szCs w:val="26"/>
        </w:rPr>
        <w:t xml:space="preserve">.  </w:t>
      </w:r>
      <w:r w:rsidR="00A82045" w:rsidRPr="000E0656">
        <w:rPr>
          <w:rFonts w:cs="Times New Roman"/>
          <w:szCs w:val="26"/>
        </w:rPr>
        <w:t>To this end, the Commission has required</w:t>
      </w:r>
      <w:r w:rsidR="0080044C" w:rsidRPr="000E0656">
        <w:rPr>
          <w:rFonts w:cs="Times New Roman"/>
          <w:szCs w:val="26"/>
        </w:rPr>
        <w:t xml:space="preserve"> </w:t>
      </w:r>
      <w:r w:rsidR="00A82045" w:rsidRPr="000E0656">
        <w:rPr>
          <w:rFonts w:cs="Times New Roman"/>
          <w:szCs w:val="26"/>
        </w:rPr>
        <w:t xml:space="preserve">that </w:t>
      </w:r>
      <w:r w:rsidR="0080044C" w:rsidRPr="000E0656">
        <w:rPr>
          <w:rFonts w:cs="Times New Roman"/>
          <w:szCs w:val="26"/>
        </w:rPr>
        <w:t xml:space="preserve">applicants </w:t>
      </w:r>
      <w:r w:rsidR="00A82045" w:rsidRPr="000E0656">
        <w:rPr>
          <w:rFonts w:cs="Times New Roman"/>
          <w:szCs w:val="26"/>
        </w:rPr>
        <w:t xml:space="preserve">offering </w:t>
      </w:r>
      <w:r w:rsidR="0080044C" w:rsidRPr="000E0656">
        <w:rPr>
          <w:rFonts w:cs="Times New Roman"/>
          <w:szCs w:val="26"/>
        </w:rPr>
        <w:t>hold harmless commitment</w:t>
      </w:r>
      <w:r w:rsidR="00D53F08" w:rsidRPr="000E0656">
        <w:rPr>
          <w:rFonts w:cs="Times New Roman"/>
          <w:szCs w:val="26"/>
        </w:rPr>
        <w:t>s</w:t>
      </w:r>
      <w:r w:rsidR="0080044C" w:rsidRPr="000E0656">
        <w:rPr>
          <w:rFonts w:cs="Times New Roman"/>
          <w:szCs w:val="26"/>
        </w:rPr>
        <w:t xml:space="preserve"> </w:t>
      </w:r>
      <w:r w:rsidR="00A82045" w:rsidRPr="000E0656">
        <w:rPr>
          <w:rFonts w:cs="Times New Roman"/>
          <w:szCs w:val="26"/>
        </w:rPr>
        <w:t xml:space="preserve">establish </w:t>
      </w:r>
      <w:r w:rsidR="0080044C" w:rsidRPr="000E0656">
        <w:rPr>
          <w:rFonts w:cs="Times New Roman"/>
          <w:szCs w:val="26"/>
        </w:rPr>
        <w:t>internal controls</w:t>
      </w:r>
      <w:r w:rsidR="00B11D57" w:rsidRPr="000E0656">
        <w:rPr>
          <w:rFonts w:cs="Times New Roman"/>
          <w:szCs w:val="26"/>
        </w:rPr>
        <w:t xml:space="preserve"> and/or tracking mechanisms</w:t>
      </w:r>
      <w:r w:rsidR="0080044C" w:rsidRPr="000E0656">
        <w:rPr>
          <w:rFonts w:cs="Times New Roman"/>
          <w:szCs w:val="26"/>
        </w:rPr>
        <w:t>.</w:t>
      </w:r>
      <w:r w:rsidR="0080044C" w:rsidRPr="002C2FB6">
        <w:rPr>
          <w:rStyle w:val="FootnoteReference"/>
        </w:rPr>
        <w:footnoteReference w:id="53"/>
      </w:r>
      <w:r w:rsidR="0080044C" w:rsidRPr="000E0656">
        <w:rPr>
          <w:rFonts w:cs="Times New Roman"/>
          <w:szCs w:val="26"/>
        </w:rPr>
        <w:t xml:space="preserve"> </w:t>
      </w:r>
      <w:r w:rsidR="00A82045" w:rsidRPr="000E0656">
        <w:rPr>
          <w:rFonts w:cs="Times New Roman"/>
          <w:szCs w:val="26"/>
        </w:rPr>
        <w:t xml:space="preserve"> </w:t>
      </w:r>
      <w:r w:rsidR="00CC10A3" w:rsidRPr="000E0656">
        <w:rPr>
          <w:rFonts w:cs="Times New Roman"/>
          <w:szCs w:val="26"/>
        </w:rPr>
        <w:t>We</w:t>
      </w:r>
      <w:r w:rsidR="00A82045" w:rsidRPr="000E0656">
        <w:rPr>
          <w:rFonts w:cs="Times New Roman"/>
          <w:szCs w:val="26"/>
        </w:rPr>
        <w:t xml:space="preserve"> propose additional guidance </w:t>
      </w:r>
      <w:r w:rsidR="00333697" w:rsidRPr="000E0656">
        <w:rPr>
          <w:rFonts w:cs="Times New Roman"/>
          <w:szCs w:val="26"/>
        </w:rPr>
        <w:t xml:space="preserve">below </w:t>
      </w:r>
      <w:r w:rsidR="00A82045" w:rsidRPr="000E0656">
        <w:rPr>
          <w:rFonts w:cs="Times New Roman"/>
          <w:szCs w:val="26"/>
        </w:rPr>
        <w:t xml:space="preserve">regarding these requirements. </w:t>
      </w:r>
      <w:r w:rsidR="0080044C" w:rsidRPr="000E0656">
        <w:rPr>
          <w:rFonts w:cs="Times New Roman"/>
          <w:szCs w:val="26"/>
        </w:rPr>
        <w:t xml:space="preserve"> </w:t>
      </w:r>
    </w:p>
    <w:p w14:paraId="55D51CFD" w14:textId="6C44D542" w:rsidR="00AC3667" w:rsidRPr="00C6228F" w:rsidRDefault="00A82045" w:rsidP="00476031">
      <w:pPr>
        <w:pStyle w:val="FERCparanumber"/>
        <w:autoSpaceDE w:val="0"/>
        <w:autoSpaceDN w:val="0"/>
        <w:adjustRightInd w:val="0"/>
        <w:spacing w:after="0"/>
        <w:rPr>
          <w:rFonts w:cs="Times New Roman"/>
          <w:szCs w:val="26"/>
        </w:rPr>
      </w:pPr>
      <w:r w:rsidRPr="00476031">
        <w:rPr>
          <w:rFonts w:cs="Times New Roman"/>
          <w:szCs w:val="26"/>
        </w:rPr>
        <w:t xml:space="preserve">First, </w:t>
      </w:r>
      <w:r w:rsidR="00CC10A3" w:rsidRPr="00476031">
        <w:rPr>
          <w:rFonts w:cs="Times New Roman"/>
          <w:szCs w:val="26"/>
        </w:rPr>
        <w:t>we</w:t>
      </w:r>
      <w:r w:rsidR="002B4D58" w:rsidRPr="00476031">
        <w:rPr>
          <w:rFonts w:cs="Times New Roman"/>
          <w:szCs w:val="26"/>
        </w:rPr>
        <w:t xml:space="preserve"> propose</w:t>
      </w:r>
      <w:r w:rsidR="002B4D58" w:rsidRPr="00672F9F">
        <w:rPr>
          <w:rFonts w:cs="Times New Roman"/>
          <w:szCs w:val="26"/>
        </w:rPr>
        <w:t xml:space="preserve"> to </w:t>
      </w:r>
      <w:r w:rsidR="008F6483" w:rsidRPr="00672F9F">
        <w:rPr>
          <w:rFonts w:cs="Times New Roman"/>
          <w:szCs w:val="26"/>
        </w:rPr>
        <w:t>clarify that</w:t>
      </w:r>
      <w:r w:rsidR="00F177CF" w:rsidRPr="00672F9F">
        <w:rPr>
          <w:rFonts w:cs="Times New Roman"/>
          <w:szCs w:val="26"/>
        </w:rPr>
        <w:t xml:space="preserve"> </w:t>
      </w:r>
      <w:r w:rsidRPr="00672F9F">
        <w:rPr>
          <w:rFonts w:cs="Times New Roman"/>
          <w:szCs w:val="26"/>
        </w:rPr>
        <w:t xml:space="preserve">all </w:t>
      </w:r>
      <w:r w:rsidR="002B4D58" w:rsidRPr="00672F9F">
        <w:rPr>
          <w:rFonts w:cs="Times New Roman"/>
          <w:szCs w:val="26"/>
        </w:rPr>
        <w:t>applicants</w:t>
      </w:r>
      <w:r w:rsidR="008F6483" w:rsidRPr="00672F9F">
        <w:rPr>
          <w:rFonts w:cs="Times New Roman"/>
          <w:szCs w:val="26"/>
        </w:rPr>
        <w:t xml:space="preserve"> </w:t>
      </w:r>
      <w:r w:rsidR="00476031" w:rsidRPr="00672F9F">
        <w:rPr>
          <w:rFonts w:cs="Times New Roman"/>
          <w:szCs w:val="26"/>
        </w:rPr>
        <w:t xml:space="preserve">offering hold </w:t>
      </w:r>
      <w:r w:rsidR="00476031" w:rsidRPr="00476031">
        <w:rPr>
          <w:rFonts w:cs="Times New Roman"/>
          <w:szCs w:val="26"/>
        </w:rPr>
        <w:t>harmless commitments</w:t>
      </w:r>
      <w:r w:rsidRPr="00476031">
        <w:rPr>
          <w:rFonts w:cs="Times New Roman"/>
          <w:szCs w:val="26"/>
        </w:rPr>
        <w:t xml:space="preserve"> </w:t>
      </w:r>
      <w:r w:rsidR="00AD3D27">
        <w:rPr>
          <w:rFonts w:cs="Times New Roman"/>
          <w:szCs w:val="26"/>
        </w:rPr>
        <w:t>should</w:t>
      </w:r>
      <w:r w:rsidR="002B4D58" w:rsidRPr="00476031">
        <w:rPr>
          <w:rFonts w:cs="Times New Roman"/>
          <w:szCs w:val="26"/>
        </w:rPr>
        <w:t xml:space="preserve"> implement appropriate internal controls and procedures to ensure the proper identification, accounting, and rate treatment of all transaction-related costs incurred prior to and subsequent to the</w:t>
      </w:r>
      <w:r w:rsidR="00CC10A3" w:rsidRPr="00476031">
        <w:rPr>
          <w:rFonts w:cs="Times New Roman"/>
          <w:szCs w:val="26"/>
        </w:rPr>
        <w:t xml:space="preserve"> a</w:t>
      </w:r>
      <w:r w:rsidR="002B4D58" w:rsidRPr="00476031">
        <w:rPr>
          <w:rFonts w:cs="Times New Roman"/>
          <w:szCs w:val="26"/>
        </w:rPr>
        <w:t xml:space="preserve">nnouncement of a proposed transaction, including all </w:t>
      </w:r>
      <w:r w:rsidR="008057ED" w:rsidRPr="00476031">
        <w:rPr>
          <w:rFonts w:cs="Times New Roman"/>
          <w:szCs w:val="26"/>
        </w:rPr>
        <w:t xml:space="preserve">transition </w:t>
      </w:r>
      <w:r w:rsidR="002B4D58" w:rsidRPr="00476031">
        <w:rPr>
          <w:rFonts w:cs="Times New Roman"/>
          <w:szCs w:val="26"/>
        </w:rPr>
        <w:t xml:space="preserve">costs.  </w:t>
      </w:r>
    </w:p>
    <w:p w14:paraId="71294633" w14:textId="0FB83AA6" w:rsidR="00113432" w:rsidRPr="00ED4165" w:rsidRDefault="00E15F3B" w:rsidP="00476031">
      <w:pPr>
        <w:pStyle w:val="FERCparanumber"/>
        <w:autoSpaceDE w:val="0"/>
        <w:autoSpaceDN w:val="0"/>
        <w:adjustRightInd w:val="0"/>
        <w:spacing w:after="0"/>
        <w:rPr>
          <w:rFonts w:cs="Times New Roman"/>
          <w:szCs w:val="26"/>
        </w:rPr>
      </w:pPr>
      <w:r w:rsidRPr="00476031">
        <w:rPr>
          <w:rFonts w:cs="Times New Roman"/>
          <w:szCs w:val="26"/>
        </w:rPr>
        <w:t xml:space="preserve">Second, </w:t>
      </w:r>
      <w:r w:rsidR="00CC10A3" w:rsidRPr="00476031">
        <w:rPr>
          <w:rFonts w:cs="Times New Roman"/>
          <w:szCs w:val="26"/>
        </w:rPr>
        <w:t>we propose</w:t>
      </w:r>
      <w:r w:rsidR="002B4D58" w:rsidRPr="00476031">
        <w:rPr>
          <w:rFonts w:cs="Times New Roman"/>
          <w:szCs w:val="26"/>
        </w:rPr>
        <w:t xml:space="preserve"> </w:t>
      </w:r>
      <w:r w:rsidR="00AD3D27">
        <w:rPr>
          <w:rFonts w:cs="Times New Roman"/>
          <w:szCs w:val="26"/>
        </w:rPr>
        <w:t>that</w:t>
      </w:r>
      <w:r w:rsidR="002B4D58" w:rsidRPr="00476031">
        <w:rPr>
          <w:rFonts w:cs="Times New Roman"/>
          <w:szCs w:val="26"/>
        </w:rPr>
        <w:t xml:space="preserve"> applicants </w:t>
      </w:r>
      <w:r w:rsidR="00672F9F" w:rsidRPr="00B45A0A">
        <w:rPr>
          <w:rFonts w:cs="Times New Roman"/>
          <w:szCs w:val="26"/>
        </w:rPr>
        <w:t>offering hold harmless commitments</w:t>
      </w:r>
      <w:r w:rsidRPr="00476031">
        <w:rPr>
          <w:rFonts w:cs="Times New Roman"/>
          <w:szCs w:val="26"/>
        </w:rPr>
        <w:t xml:space="preserve"> </w:t>
      </w:r>
      <w:r w:rsidR="00AD3D27">
        <w:rPr>
          <w:rFonts w:cs="Times New Roman"/>
          <w:szCs w:val="26"/>
        </w:rPr>
        <w:t>should</w:t>
      </w:r>
      <w:r w:rsidR="00AD3D27" w:rsidRPr="00672F9F">
        <w:rPr>
          <w:rFonts w:cs="Times New Roman"/>
          <w:szCs w:val="26"/>
        </w:rPr>
        <w:t xml:space="preserve"> </w:t>
      </w:r>
      <w:r w:rsidR="002B4D58" w:rsidRPr="00672F9F">
        <w:rPr>
          <w:rFonts w:cs="Times New Roman"/>
          <w:szCs w:val="26"/>
        </w:rPr>
        <w:t>include</w:t>
      </w:r>
      <w:r w:rsidRPr="00672F9F">
        <w:rPr>
          <w:rFonts w:cs="Times New Roman"/>
          <w:szCs w:val="26"/>
        </w:rPr>
        <w:t>,</w:t>
      </w:r>
      <w:r w:rsidR="002B4D58" w:rsidRPr="00672F9F">
        <w:rPr>
          <w:rFonts w:cs="Times New Roman"/>
          <w:szCs w:val="26"/>
        </w:rPr>
        <w:t xml:space="preserve"> as part of their</w:t>
      </w:r>
      <w:r w:rsidR="00195BBD" w:rsidRPr="00672F9F">
        <w:rPr>
          <w:rFonts w:cs="Times New Roman"/>
          <w:szCs w:val="26"/>
        </w:rPr>
        <w:t xml:space="preserve"> </w:t>
      </w:r>
      <w:r w:rsidR="007F460D" w:rsidRPr="00672F9F">
        <w:rPr>
          <w:rFonts w:cs="Times New Roman"/>
          <w:szCs w:val="26"/>
        </w:rPr>
        <w:t xml:space="preserve">FPA section 203 </w:t>
      </w:r>
      <w:r w:rsidR="00676F03" w:rsidRPr="00672F9F">
        <w:rPr>
          <w:rFonts w:cs="Times New Roman"/>
          <w:szCs w:val="26"/>
        </w:rPr>
        <w:t xml:space="preserve">applications </w:t>
      </w:r>
      <w:r w:rsidR="007F460D" w:rsidRPr="00672F9F">
        <w:rPr>
          <w:rFonts w:cs="Times New Roman"/>
          <w:szCs w:val="26"/>
        </w:rPr>
        <w:t xml:space="preserve">and </w:t>
      </w:r>
      <w:r w:rsidR="009254B8" w:rsidRPr="00672F9F">
        <w:rPr>
          <w:rFonts w:cs="Times New Roman"/>
          <w:szCs w:val="26"/>
        </w:rPr>
        <w:t xml:space="preserve">any </w:t>
      </w:r>
      <w:r w:rsidR="00231A82">
        <w:rPr>
          <w:rFonts w:cs="Times New Roman"/>
          <w:szCs w:val="26"/>
        </w:rPr>
        <w:t>separate</w:t>
      </w:r>
      <w:r w:rsidR="00231A82" w:rsidRPr="00672F9F">
        <w:rPr>
          <w:rFonts w:cs="Times New Roman"/>
          <w:szCs w:val="26"/>
        </w:rPr>
        <w:t xml:space="preserve"> </w:t>
      </w:r>
      <w:r w:rsidR="007F460D" w:rsidRPr="00672F9F">
        <w:rPr>
          <w:rFonts w:cs="Times New Roman"/>
          <w:szCs w:val="26"/>
        </w:rPr>
        <w:t>FPA section 205</w:t>
      </w:r>
      <w:r w:rsidR="002B4D58" w:rsidRPr="00672F9F">
        <w:rPr>
          <w:rFonts w:cs="Times New Roman"/>
          <w:szCs w:val="26"/>
        </w:rPr>
        <w:t xml:space="preserve"> </w:t>
      </w:r>
      <w:r w:rsidR="00F177CF" w:rsidRPr="00672F9F">
        <w:rPr>
          <w:rFonts w:cs="Times New Roman"/>
          <w:szCs w:val="26"/>
        </w:rPr>
        <w:t>filings</w:t>
      </w:r>
      <w:r w:rsidRPr="00672F9F">
        <w:rPr>
          <w:rFonts w:cs="Times New Roman"/>
          <w:szCs w:val="26"/>
        </w:rPr>
        <w:t>,</w:t>
      </w:r>
      <w:r w:rsidR="00F177CF" w:rsidRPr="00672F9F">
        <w:rPr>
          <w:rFonts w:cs="Times New Roman"/>
          <w:szCs w:val="26"/>
        </w:rPr>
        <w:t xml:space="preserve"> </w:t>
      </w:r>
      <w:r w:rsidR="002B4D58" w:rsidRPr="00672F9F">
        <w:rPr>
          <w:rFonts w:cs="Times New Roman"/>
          <w:szCs w:val="26"/>
        </w:rPr>
        <w:t xml:space="preserve">a </w:t>
      </w:r>
      <w:r w:rsidR="009254B8" w:rsidRPr="00672F9F">
        <w:rPr>
          <w:rFonts w:cs="Times New Roman"/>
          <w:szCs w:val="26"/>
        </w:rPr>
        <w:t xml:space="preserve">detailed </w:t>
      </w:r>
      <w:r w:rsidR="006005E6" w:rsidRPr="00672F9F">
        <w:rPr>
          <w:rFonts w:cs="Times New Roman"/>
          <w:szCs w:val="26"/>
        </w:rPr>
        <w:t>description</w:t>
      </w:r>
      <w:r w:rsidR="009254B8" w:rsidRPr="00672F9F">
        <w:rPr>
          <w:rFonts w:cs="Times New Roman"/>
          <w:szCs w:val="26"/>
        </w:rPr>
        <w:t xml:space="preserve"> of </w:t>
      </w:r>
      <w:r w:rsidR="002B4D58" w:rsidRPr="00672F9F">
        <w:rPr>
          <w:rFonts w:cs="Times New Roman"/>
          <w:szCs w:val="26"/>
        </w:rPr>
        <w:t xml:space="preserve">how they </w:t>
      </w:r>
      <w:r w:rsidR="008F6483" w:rsidRPr="00476031">
        <w:rPr>
          <w:rFonts w:cs="Times New Roman"/>
          <w:szCs w:val="26"/>
        </w:rPr>
        <w:t xml:space="preserve">define, </w:t>
      </w:r>
      <w:r w:rsidR="002B4D58" w:rsidRPr="00476031">
        <w:rPr>
          <w:rFonts w:cs="Times New Roman"/>
          <w:szCs w:val="26"/>
        </w:rPr>
        <w:t xml:space="preserve">designate, accrue, and allocate transaction-related costs, and </w:t>
      </w:r>
      <w:r w:rsidR="0046349A" w:rsidRPr="00476031">
        <w:rPr>
          <w:rFonts w:cs="Times New Roman"/>
          <w:szCs w:val="26"/>
        </w:rPr>
        <w:t xml:space="preserve">explain the criteria used to determine which costs are transaction-related. </w:t>
      </w:r>
      <w:r w:rsidR="00E33984" w:rsidRPr="00476031">
        <w:rPr>
          <w:rFonts w:cs="Times New Roman"/>
          <w:szCs w:val="26"/>
        </w:rPr>
        <w:t xml:space="preserve"> </w:t>
      </w:r>
      <w:r w:rsidR="0046349A" w:rsidRPr="00476031">
        <w:rPr>
          <w:rFonts w:cs="Times New Roman"/>
          <w:szCs w:val="26"/>
        </w:rPr>
        <w:t xml:space="preserve">Applicants should </w:t>
      </w:r>
      <w:r w:rsidR="002B4D58" w:rsidRPr="00476031">
        <w:rPr>
          <w:rFonts w:cs="Times New Roman"/>
          <w:szCs w:val="26"/>
        </w:rPr>
        <w:t>specifically identify and describ</w:t>
      </w:r>
      <w:r w:rsidR="008F6483" w:rsidRPr="00476031">
        <w:rPr>
          <w:rFonts w:cs="Times New Roman"/>
          <w:szCs w:val="26"/>
        </w:rPr>
        <w:t>e</w:t>
      </w:r>
      <w:r w:rsidR="002B4D58" w:rsidRPr="00476031">
        <w:rPr>
          <w:rFonts w:cs="Times New Roman"/>
          <w:szCs w:val="26"/>
        </w:rPr>
        <w:t xml:space="preserve"> </w:t>
      </w:r>
      <w:r w:rsidR="0046349A" w:rsidRPr="00476031">
        <w:rPr>
          <w:rFonts w:cs="Times New Roman"/>
          <w:szCs w:val="26"/>
        </w:rPr>
        <w:t>their</w:t>
      </w:r>
      <w:r w:rsidR="002B4D58" w:rsidRPr="00476031">
        <w:rPr>
          <w:rFonts w:cs="Times New Roman"/>
          <w:szCs w:val="26"/>
        </w:rPr>
        <w:t xml:space="preserve"> direct and indirect cost classifications</w:t>
      </w:r>
      <w:r w:rsidRPr="00476031">
        <w:rPr>
          <w:rFonts w:cs="Times New Roman"/>
          <w:szCs w:val="26"/>
        </w:rPr>
        <w:t>,</w:t>
      </w:r>
      <w:r w:rsidR="0046349A" w:rsidRPr="00476031">
        <w:rPr>
          <w:rFonts w:cs="Times New Roman"/>
          <w:szCs w:val="26"/>
        </w:rPr>
        <w:t xml:space="preserve"> and </w:t>
      </w:r>
      <w:r w:rsidR="009E2D2C" w:rsidRPr="00476031">
        <w:rPr>
          <w:rFonts w:cs="Times New Roman"/>
          <w:szCs w:val="26"/>
        </w:rPr>
        <w:t xml:space="preserve">the processes </w:t>
      </w:r>
      <w:r w:rsidR="007671CE" w:rsidRPr="00476031">
        <w:rPr>
          <w:rFonts w:cs="Times New Roman"/>
          <w:szCs w:val="26"/>
        </w:rPr>
        <w:t>they use</w:t>
      </w:r>
      <w:r w:rsidR="009E2D2C" w:rsidRPr="00476031">
        <w:rPr>
          <w:rFonts w:cs="Times New Roman"/>
          <w:szCs w:val="26"/>
        </w:rPr>
        <w:t xml:space="preserve"> </w:t>
      </w:r>
      <w:r w:rsidR="00E2788B" w:rsidRPr="00476031">
        <w:rPr>
          <w:rFonts w:cs="Times New Roman"/>
          <w:szCs w:val="26"/>
        </w:rPr>
        <w:t xml:space="preserve">to </w:t>
      </w:r>
      <w:r w:rsidR="009E2D2C" w:rsidRPr="00476031">
        <w:rPr>
          <w:rFonts w:cs="Times New Roman"/>
          <w:szCs w:val="26"/>
        </w:rPr>
        <w:t>functionaliz</w:t>
      </w:r>
      <w:r w:rsidR="00E2788B" w:rsidRPr="00476031">
        <w:rPr>
          <w:rFonts w:cs="Times New Roman"/>
          <w:szCs w:val="26"/>
        </w:rPr>
        <w:t>e</w:t>
      </w:r>
      <w:r w:rsidR="009E2D2C" w:rsidRPr="00476031">
        <w:rPr>
          <w:rFonts w:cs="Times New Roman"/>
          <w:szCs w:val="26"/>
        </w:rPr>
        <w:t>, classif</w:t>
      </w:r>
      <w:r w:rsidR="008F6483" w:rsidRPr="00476031">
        <w:rPr>
          <w:rFonts w:cs="Times New Roman"/>
          <w:szCs w:val="26"/>
        </w:rPr>
        <w:t>y</w:t>
      </w:r>
      <w:r w:rsidR="009E2D2C" w:rsidRPr="00476031">
        <w:rPr>
          <w:rFonts w:cs="Times New Roman"/>
          <w:szCs w:val="26"/>
        </w:rPr>
        <w:t xml:space="preserve"> and allocat</w:t>
      </w:r>
      <w:r w:rsidR="00E2788B" w:rsidRPr="00476031">
        <w:rPr>
          <w:rFonts w:cs="Times New Roman"/>
          <w:szCs w:val="26"/>
        </w:rPr>
        <w:t>e</w:t>
      </w:r>
      <w:r w:rsidR="001C4448" w:rsidRPr="00476031">
        <w:rPr>
          <w:rFonts w:cs="Times New Roman"/>
          <w:szCs w:val="26"/>
        </w:rPr>
        <w:t xml:space="preserve"> </w:t>
      </w:r>
      <w:r w:rsidR="009E2D2C" w:rsidRPr="00476031">
        <w:rPr>
          <w:rFonts w:cs="Times New Roman"/>
          <w:szCs w:val="26"/>
        </w:rPr>
        <w:t>transaction-related costs.</w:t>
      </w:r>
      <w:r w:rsidR="009C200D" w:rsidRPr="00476031">
        <w:rPr>
          <w:rFonts w:cs="Times New Roman"/>
          <w:szCs w:val="26"/>
        </w:rPr>
        <w:t xml:space="preserve">  </w:t>
      </w:r>
      <w:r w:rsidR="00AA457A" w:rsidRPr="00476031">
        <w:rPr>
          <w:rFonts w:cs="Times New Roman"/>
          <w:szCs w:val="26"/>
        </w:rPr>
        <w:t xml:space="preserve">In addition, </w:t>
      </w:r>
      <w:r w:rsidR="00AD3D27">
        <w:rPr>
          <w:rFonts w:cs="Times New Roman"/>
          <w:szCs w:val="26"/>
        </w:rPr>
        <w:t>a</w:t>
      </w:r>
      <w:r w:rsidR="009E2D2C" w:rsidRPr="00476031">
        <w:rPr>
          <w:rFonts w:cs="Times New Roman"/>
          <w:szCs w:val="26"/>
        </w:rPr>
        <w:t xml:space="preserve">pplicants </w:t>
      </w:r>
      <w:r w:rsidR="00952214" w:rsidRPr="00476031">
        <w:rPr>
          <w:rFonts w:cs="Times New Roman"/>
          <w:szCs w:val="26"/>
        </w:rPr>
        <w:t>should</w:t>
      </w:r>
      <w:r w:rsidR="009E2D2C" w:rsidRPr="00476031">
        <w:rPr>
          <w:rFonts w:cs="Times New Roman"/>
          <w:szCs w:val="26"/>
        </w:rPr>
        <w:t xml:space="preserve"> explain </w:t>
      </w:r>
      <w:r w:rsidR="004C77A5" w:rsidRPr="00476031">
        <w:rPr>
          <w:rFonts w:cs="Times New Roman"/>
          <w:szCs w:val="26"/>
        </w:rPr>
        <w:t>the types of</w:t>
      </w:r>
      <w:r w:rsidR="005A1671" w:rsidRPr="00476031">
        <w:rPr>
          <w:rFonts w:cs="Times New Roman"/>
          <w:szCs w:val="26"/>
        </w:rPr>
        <w:t xml:space="preserve"> </w:t>
      </w:r>
      <w:r w:rsidR="004C77A5" w:rsidRPr="00476031">
        <w:rPr>
          <w:rFonts w:cs="Times New Roman"/>
          <w:szCs w:val="26"/>
        </w:rPr>
        <w:t>transaction-related costs that will be recorded on their public utilities’ books</w:t>
      </w:r>
      <w:r w:rsidRPr="00476031">
        <w:rPr>
          <w:rFonts w:cs="Times New Roman"/>
          <w:szCs w:val="26"/>
        </w:rPr>
        <w:t>;</w:t>
      </w:r>
      <w:r w:rsidR="004C77A5" w:rsidRPr="00476031">
        <w:rPr>
          <w:rFonts w:cs="Times New Roman"/>
          <w:szCs w:val="26"/>
        </w:rPr>
        <w:t xml:space="preserve"> </w:t>
      </w:r>
      <w:r w:rsidR="009E2D2C" w:rsidRPr="00476031">
        <w:rPr>
          <w:rFonts w:cs="Times New Roman"/>
          <w:szCs w:val="26"/>
        </w:rPr>
        <w:t xml:space="preserve">how they </w:t>
      </w:r>
      <w:r w:rsidR="00E2788B" w:rsidRPr="00476031">
        <w:rPr>
          <w:rFonts w:cs="Times New Roman"/>
          <w:szCs w:val="26"/>
        </w:rPr>
        <w:t>determined the portion of these costs assigned to their public utilities</w:t>
      </w:r>
      <w:r w:rsidRPr="00476031">
        <w:rPr>
          <w:rFonts w:cs="Times New Roman"/>
          <w:szCs w:val="26"/>
        </w:rPr>
        <w:t>;</w:t>
      </w:r>
      <w:r w:rsidR="00E2788B" w:rsidRPr="00476031">
        <w:rPr>
          <w:rFonts w:cs="Times New Roman"/>
          <w:szCs w:val="26"/>
        </w:rPr>
        <w:t xml:space="preserve"> and how they</w:t>
      </w:r>
      <w:r w:rsidR="00842883" w:rsidRPr="00476031">
        <w:rPr>
          <w:rFonts w:cs="Times New Roman"/>
          <w:szCs w:val="26"/>
        </w:rPr>
        <w:t xml:space="preserve"> </w:t>
      </w:r>
      <w:r w:rsidR="00CD7CC0" w:rsidRPr="00476031">
        <w:rPr>
          <w:rFonts w:cs="Times New Roman"/>
          <w:szCs w:val="26"/>
        </w:rPr>
        <w:t>classify</w:t>
      </w:r>
      <w:r w:rsidR="00E2788B" w:rsidRPr="00476031">
        <w:rPr>
          <w:rFonts w:cs="Times New Roman"/>
          <w:szCs w:val="26"/>
        </w:rPr>
        <w:t xml:space="preserve"> these costs as </w:t>
      </w:r>
      <w:r w:rsidR="00CD7CC0" w:rsidRPr="00476031">
        <w:rPr>
          <w:rFonts w:cs="Times New Roman"/>
          <w:szCs w:val="26"/>
        </w:rPr>
        <w:t xml:space="preserve">non-operating, </w:t>
      </w:r>
      <w:r w:rsidR="00E2788B" w:rsidRPr="00476031">
        <w:rPr>
          <w:rFonts w:cs="Times New Roman"/>
          <w:szCs w:val="26"/>
        </w:rPr>
        <w:t>transmission, distribution, production, and other.</w:t>
      </w:r>
      <w:r w:rsidR="009E2D2C" w:rsidRPr="00476031">
        <w:rPr>
          <w:rFonts w:cs="Times New Roman"/>
          <w:szCs w:val="26"/>
        </w:rPr>
        <w:t xml:space="preserve">  </w:t>
      </w:r>
      <w:r w:rsidR="00BD4C76" w:rsidRPr="00476031">
        <w:rPr>
          <w:rFonts w:cs="Times New Roman"/>
          <w:szCs w:val="26"/>
        </w:rPr>
        <w:t>A</w:t>
      </w:r>
      <w:r w:rsidR="009E2D2C" w:rsidRPr="00476031">
        <w:rPr>
          <w:rFonts w:cs="Times New Roman"/>
          <w:szCs w:val="26"/>
        </w:rPr>
        <w:t xml:space="preserve">pplicants </w:t>
      </w:r>
      <w:r w:rsidR="00952214" w:rsidRPr="00476031">
        <w:rPr>
          <w:rFonts w:cs="Times New Roman"/>
          <w:szCs w:val="26"/>
        </w:rPr>
        <w:t>should</w:t>
      </w:r>
      <w:r w:rsidR="009E2D2C" w:rsidRPr="00476031">
        <w:rPr>
          <w:rFonts w:cs="Times New Roman"/>
          <w:szCs w:val="26"/>
        </w:rPr>
        <w:t xml:space="preserve"> </w:t>
      </w:r>
      <w:r w:rsidRPr="00476031">
        <w:rPr>
          <w:rFonts w:cs="Times New Roman"/>
          <w:szCs w:val="26"/>
        </w:rPr>
        <w:t xml:space="preserve">also </w:t>
      </w:r>
      <w:r w:rsidR="009E2D2C" w:rsidRPr="00476031">
        <w:rPr>
          <w:rFonts w:cs="Times New Roman"/>
          <w:szCs w:val="26"/>
        </w:rPr>
        <w:t>describe their accounting procedures and practices</w:t>
      </w:r>
      <w:r w:rsidRPr="00476031">
        <w:rPr>
          <w:rFonts w:cs="Times New Roman"/>
          <w:szCs w:val="26"/>
        </w:rPr>
        <w:t>,</w:t>
      </w:r>
      <w:r w:rsidR="009E2D2C" w:rsidRPr="00476031">
        <w:rPr>
          <w:rFonts w:cs="Times New Roman"/>
          <w:szCs w:val="26"/>
        </w:rPr>
        <w:t xml:space="preserve"> </w:t>
      </w:r>
      <w:r w:rsidR="00E2788B" w:rsidRPr="00476031">
        <w:rPr>
          <w:rFonts w:cs="Times New Roman"/>
          <w:szCs w:val="26"/>
        </w:rPr>
        <w:t xml:space="preserve">and how they </w:t>
      </w:r>
      <w:r w:rsidR="009E2D2C" w:rsidRPr="00476031">
        <w:rPr>
          <w:rFonts w:cs="Times New Roman"/>
          <w:szCs w:val="26"/>
        </w:rPr>
        <w:t>maintain the u</w:t>
      </w:r>
      <w:r w:rsidR="009E2D2C" w:rsidRPr="00476031">
        <w:rPr>
          <w:rFonts w:cs="Times New Roman"/>
          <w:szCs w:val="26"/>
          <w:shd w:val="clear" w:color="auto" w:fill="FFFFFF"/>
        </w:rPr>
        <w:t>nderlying accounting data</w:t>
      </w:r>
      <w:r w:rsidR="009E2D2C" w:rsidRPr="00476031">
        <w:rPr>
          <w:rFonts w:cs="Times New Roman"/>
          <w:szCs w:val="26"/>
        </w:rPr>
        <w:t xml:space="preserve"> </w:t>
      </w:r>
      <w:r w:rsidR="009E2D2C" w:rsidRPr="00476031">
        <w:rPr>
          <w:rFonts w:cs="Times New Roman"/>
          <w:szCs w:val="26"/>
          <w:shd w:val="clear" w:color="auto" w:fill="FFFFFF"/>
        </w:rPr>
        <w:t xml:space="preserve">so that the allocation of </w:t>
      </w:r>
      <w:r w:rsidR="005A5364">
        <w:rPr>
          <w:rFonts w:cs="Times New Roman"/>
          <w:szCs w:val="26"/>
        </w:rPr>
        <w:t>t</w:t>
      </w:r>
      <w:r w:rsidR="009E2D2C" w:rsidRPr="00476031">
        <w:rPr>
          <w:rFonts w:cs="Times New Roman"/>
          <w:szCs w:val="26"/>
        </w:rPr>
        <w:t>ransaction-related costs</w:t>
      </w:r>
      <w:r w:rsidR="009E2D2C" w:rsidRPr="00476031">
        <w:rPr>
          <w:rFonts w:cs="Times New Roman"/>
          <w:szCs w:val="26"/>
          <w:shd w:val="clear" w:color="auto" w:fill="FFFFFF"/>
        </w:rPr>
        <w:t xml:space="preserve"> </w:t>
      </w:r>
      <w:r w:rsidR="00E2788B" w:rsidRPr="00476031">
        <w:rPr>
          <w:rFonts w:cs="Times New Roman"/>
          <w:szCs w:val="26"/>
          <w:shd w:val="clear" w:color="auto" w:fill="FFFFFF"/>
        </w:rPr>
        <w:t xml:space="preserve">to </w:t>
      </w:r>
      <w:r w:rsidR="009E2D2C" w:rsidRPr="00476031">
        <w:rPr>
          <w:rFonts w:cs="Times New Roman"/>
          <w:szCs w:val="26"/>
          <w:shd w:val="clear" w:color="auto" w:fill="FFFFFF"/>
        </w:rPr>
        <w:t>the operating and non</w:t>
      </w:r>
      <w:r w:rsidR="00CD7CC0" w:rsidRPr="00476031">
        <w:rPr>
          <w:rFonts w:cs="Times New Roman"/>
          <w:szCs w:val="26"/>
          <w:shd w:val="clear" w:color="auto" w:fill="FFFFFF"/>
        </w:rPr>
        <w:t>-</w:t>
      </w:r>
      <w:r w:rsidR="009E2D2C" w:rsidRPr="00476031">
        <w:rPr>
          <w:rFonts w:cs="Times New Roman"/>
          <w:szCs w:val="26"/>
          <w:shd w:val="clear" w:color="auto" w:fill="FFFFFF"/>
        </w:rPr>
        <w:t>operating accounts</w:t>
      </w:r>
      <w:r w:rsidR="004C77A5" w:rsidRPr="00476031">
        <w:rPr>
          <w:rFonts w:cs="Times New Roman"/>
          <w:szCs w:val="26"/>
          <w:shd w:val="clear" w:color="auto" w:fill="FFFFFF"/>
        </w:rPr>
        <w:t xml:space="preserve"> of </w:t>
      </w:r>
      <w:r w:rsidR="00E2788B" w:rsidRPr="00476031">
        <w:rPr>
          <w:rFonts w:cs="Times New Roman"/>
          <w:szCs w:val="26"/>
          <w:shd w:val="clear" w:color="auto" w:fill="FFFFFF"/>
        </w:rPr>
        <w:t xml:space="preserve">their </w:t>
      </w:r>
      <w:r w:rsidR="004C77A5" w:rsidRPr="00476031">
        <w:rPr>
          <w:rFonts w:cs="Times New Roman"/>
          <w:szCs w:val="26"/>
          <w:shd w:val="clear" w:color="auto" w:fill="FFFFFF"/>
        </w:rPr>
        <w:t>public utilit</w:t>
      </w:r>
      <w:r w:rsidR="00E2788B" w:rsidRPr="00476031">
        <w:rPr>
          <w:rFonts w:cs="Times New Roman"/>
          <w:szCs w:val="26"/>
          <w:shd w:val="clear" w:color="auto" w:fill="FFFFFF"/>
        </w:rPr>
        <w:t xml:space="preserve">ies </w:t>
      </w:r>
      <w:r w:rsidR="009E2D2C" w:rsidRPr="00476031">
        <w:rPr>
          <w:rFonts w:cs="Times New Roman"/>
          <w:szCs w:val="26"/>
          <w:shd w:val="clear" w:color="auto" w:fill="FFFFFF"/>
        </w:rPr>
        <w:t xml:space="preserve">is readily available and easily verifiable.  </w:t>
      </w:r>
    </w:p>
    <w:p w14:paraId="5777149A" w14:textId="654B80A4" w:rsidR="00D0442D" w:rsidRPr="00254018" w:rsidRDefault="00254018" w:rsidP="00194CE8">
      <w:pPr>
        <w:pStyle w:val="FERCparanumber"/>
        <w:spacing w:after="0"/>
        <w:rPr>
          <w:rFonts w:cs="Times New Roman"/>
          <w:szCs w:val="26"/>
        </w:rPr>
      </w:pPr>
      <w:r w:rsidRPr="00496077">
        <w:rPr>
          <w:rFonts w:cs="Times New Roman"/>
          <w:szCs w:val="26"/>
          <w:shd w:val="clear" w:color="auto" w:fill="FFFFFF"/>
        </w:rPr>
        <w:t xml:space="preserve">We note that the Commission has, in the past, required </w:t>
      </w:r>
      <w:r w:rsidR="00754592">
        <w:rPr>
          <w:rFonts w:cs="Times New Roman"/>
          <w:szCs w:val="26"/>
          <w:shd w:val="clear" w:color="auto" w:fill="FFFFFF"/>
        </w:rPr>
        <w:t>a</w:t>
      </w:r>
      <w:r w:rsidRPr="00496077">
        <w:rPr>
          <w:rFonts w:cs="Times New Roman"/>
          <w:szCs w:val="26"/>
          <w:shd w:val="clear" w:color="auto" w:fill="FFFFFF"/>
        </w:rPr>
        <w:t xml:space="preserve">pplicants to submit their final accounting entries </w:t>
      </w:r>
      <w:r w:rsidR="00DD751F">
        <w:rPr>
          <w:rFonts w:cs="Times New Roman"/>
          <w:szCs w:val="26"/>
          <w:shd w:val="clear" w:color="auto" w:fill="FFFFFF"/>
        </w:rPr>
        <w:t xml:space="preserve">associated with transactions </w:t>
      </w:r>
      <w:r w:rsidRPr="00496077">
        <w:rPr>
          <w:rFonts w:cs="Times New Roman"/>
          <w:szCs w:val="26"/>
          <w:shd w:val="clear" w:color="auto" w:fill="FFFFFF"/>
        </w:rPr>
        <w:t>within six months of the date that the transaction is consummated</w:t>
      </w:r>
      <w:r w:rsidR="00DD751F">
        <w:rPr>
          <w:rFonts w:cs="Times New Roman"/>
          <w:szCs w:val="26"/>
          <w:shd w:val="clear" w:color="auto" w:fill="FFFFFF"/>
        </w:rPr>
        <w:t>.</w:t>
      </w:r>
      <w:r w:rsidR="00DD751F" w:rsidRPr="0028447D">
        <w:rPr>
          <w:rStyle w:val="FootnoteReference"/>
          <w:shd w:val="clear" w:color="auto" w:fill="FFFFFF"/>
        </w:rPr>
        <w:footnoteReference w:id="54"/>
      </w:r>
      <w:r w:rsidR="00DD751F" w:rsidRPr="00754592">
        <w:rPr>
          <w:rFonts w:cs="Times New Roman"/>
          <w:szCs w:val="26"/>
          <w:shd w:val="clear" w:color="auto" w:fill="FFFFFF"/>
        </w:rPr>
        <w:t xml:space="preserve"> </w:t>
      </w:r>
      <w:r w:rsidR="00DD751F">
        <w:rPr>
          <w:rFonts w:cs="Times New Roman"/>
          <w:szCs w:val="26"/>
          <w:shd w:val="clear" w:color="auto" w:fill="FFFFFF"/>
        </w:rPr>
        <w:t xml:space="preserve"> As a part of this accounting filing, </w:t>
      </w:r>
      <w:r w:rsidR="005955C3">
        <w:rPr>
          <w:rFonts w:cs="Times New Roman"/>
          <w:szCs w:val="26"/>
          <w:shd w:val="clear" w:color="auto" w:fill="FFFFFF"/>
        </w:rPr>
        <w:t>we propose</w:t>
      </w:r>
      <w:r w:rsidR="00DD751F">
        <w:rPr>
          <w:rFonts w:cs="Times New Roman"/>
          <w:szCs w:val="26"/>
          <w:shd w:val="clear" w:color="auto" w:fill="FFFFFF"/>
        </w:rPr>
        <w:t xml:space="preserve"> to require applicants subject to the Commission’s accounting regulations to provide the accounting entries and amounts related to all transaction-related costs incurred as of the date of the accounting filing</w:t>
      </w:r>
      <w:r w:rsidRPr="00496077">
        <w:rPr>
          <w:rFonts w:cs="Times New Roman"/>
          <w:szCs w:val="26"/>
          <w:shd w:val="clear" w:color="auto" w:fill="FFFFFF"/>
        </w:rPr>
        <w:t>, along with narrative explanations describing the entries.</w:t>
      </w:r>
    </w:p>
    <w:p w14:paraId="5F536D51" w14:textId="23EDC20C" w:rsidR="00916184" w:rsidRPr="00D0372A" w:rsidRDefault="00916184" w:rsidP="00D0372A">
      <w:pPr>
        <w:pStyle w:val="FERCparanumber"/>
        <w:spacing w:after="0"/>
        <w:rPr>
          <w:rFonts w:cs="Times New Roman"/>
          <w:szCs w:val="26"/>
        </w:rPr>
      </w:pPr>
      <w:r w:rsidRPr="00D0372A">
        <w:rPr>
          <w:rFonts w:cs="Times New Roman"/>
          <w:szCs w:val="26"/>
        </w:rPr>
        <w:t>We seek comments on these proposals.</w:t>
      </w:r>
    </w:p>
    <w:p w14:paraId="18B78653" w14:textId="77777777" w:rsidR="00231A82" w:rsidRDefault="00231A82">
      <w:pPr>
        <w:pStyle w:val="Heading3"/>
      </w:pPr>
      <w:r>
        <w:t>Time Limits on Hold Harmless Commitments</w:t>
      </w:r>
    </w:p>
    <w:p w14:paraId="0E76C757" w14:textId="01600D11" w:rsidR="00F904C9" w:rsidRPr="00AC473C" w:rsidRDefault="00F904C9" w:rsidP="00CB4D07">
      <w:pPr>
        <w:pStyle w:val="FERCparanumber"/>
      </w:pPr>
      <w:r w:rsidRPr="00AC473C">
        <w:t>The Commission previously stated in the Merger Policy Statement that a hold harmless commitment need only protect customers “for a significant period of time following the merger.”</w:t>
      </w:r>
      <w:r w:rsidRPr="00913A36">
        <w:rPr>
          <w:rStyle w:val="FootnoteReference"/>
        </w:rPr>
        <w:footnoteReference w:id="55"/>
      </w:r>
      <w:r w:rsidRPr="00AC473C">
        <w:t xml:space="preserve">  However, in light of the proposed treatment of certain categories of costs discussed above, the Commission’s experience auditing utilities that have made hold harmless commitments and concerns of protestors in previous FPA section 203 applications,</w:t>
      </w:r>
      <w:r w:rsidRPr="00913A36">
        <w:rPr>
          <w:rStyle w:val="FootnoteReference"/>
        </w:rPr>
        <w:footnoteReference w:id="56"/>
      </w:r>
      <w:r w:rsidRPr="00AC473C">
        <w:t xml:space="preserve"> we propose to reconsider whether</w:t>
      </w:r>
      <w:r w:rsidR="00CB4D07">
        <w:t xml:space="preserve"> </w:t>
      </w:r>
      <w:r w:rsidRPr="002D212B">
        <w:t>hold harmless commitment</w:t>
      </w:r>
      <w:r w:rsidR="00CB4D07">
        <w:t>s</w:t>
      </w:r>
      <w:r w:rsidRPr="002D212B">
        <w:t xml:space="preserve"> that </w:t>
      </w:r>
      <w:r w:rsidR="00CB4D07">
        <w:t>are</w:t>
      </w:r>
      <w:r w:rsidRPr="002D212B">
        <w:t xml:space="preserve"> limited to five years</w:t>
      </w:r>
      <w:r w:rsidR="007F01CC">
        <w:t xml:space="preserve"> (or another specified period)</w:t>
      </w:r>
      <w:r w:rsidRPr="002D212B">
        <w:t xml:space="preserve"> adequately protect ratepayers from an adverse effect on rates.  </w:t>
      </w:r>
      <w:r w:rsidRPr="0006028B">
        <w:t xml:space="preserve">As part of this reconsideration, we believe that time-limited hold harmless commitments may not adequately protect ratepayers from </w:t>
      </w:r>
      <w:r w:rsidR="006F568A">
        <w:t>transaction</w:t>
      </w:r>
      <w:r w:rsidRPr="0006028B">
        <w:t>-related costs.  Therefore, we propose that there be no time limit on hold harmless commitments and that costs subject to hold harmless commitments cannot be recovered from ratepayers at any time</w:t>
      </w:r>
      <w:r w:rsidR="006F568A">
        <w:t xml:space="preserve"> (regardless of when such costs are incurred)</w:t>
      </w:r>
      <w:r w:rsidRPr="0006028B">
        <w:t xml:space="preserve">, absent a showing of offsetting </w:t>
      </w:r>
      <w:r w:rsidR="006F568A">
        <w:t>savings</w:t>
      </w:r>
      <w:r w:rsidRPr="0006028B">
        <w:t xml:space="preserve"> in order to demonstrate no adverse effect on rates.</w:t>
      </w:r>
      <w:r w:rsidRPr="00913A36">
        <w:rPr>
          <w:b/>
          <w:vertAlign w:val="superscript"/>
        </w:rPr>
        <w:footnoteReference w:id="57"/>
      </w:r>
      <w:r w:rsidRPr="00AC473C">
        <w:t xml:space="preserve">  This revised approach is consistent with the Merger Policy Statement, which emphasized that the burden of proof to demonstrate that customers will be protected should be on applicants, and that applicants should also bear the risk that benefits will not materialize.</w:t>
      </w:r>
      <w:r w:rsidRPr="00913A36">
        <w:rPr>
          <w:b/>
          <w:vertAlign w:val="superscript"/>
        </w:rPr>
        <w:footnoteReference w:id="58"/>
      </w:r>
    </w:p>
    <w:p w14:paraId="0EEB1D0A" w14:textId="5D40A0DD" w:rsidR="00BB1B0E" w:rsidRPr="00BB1B0E" w:rsidRDefault="00BB1B0E" w:rsidP="00BB1B0E">
      <w:pPr>
        <w:pStyle w:val="FERCparanumber"/>
      </w:pPr>
      <w:r w:rsidRPr="00BB1B0E">
        <w:t xml:space="preserve">Specifically, we are concerned that limiting the applicability of hold harmless commitments to specific time periods may create incentives for applicants to modify how they would otherwise seek to recover or account for recovery of certain transaction-related costs based on the time period.  For example, an applicant could try to include transaction-related costs in formula rates without making a showing of offsetting savings if the costs, though incurred during the hold harmless period, </w:t>
      </w:r>
      <w:r w:rsidR="00933C62">
        <w:t>do not enter the ratemaking process</w:t>
      </w:r>
      <w:r w:rsidRPr="00BB1B0E">
        <w:t xml:space="preserve"> until after the hold harmless period expires.  Moreover, whether or not any such incentives exist, certain transaction-related expenditures </w:t>
      </w:r>
      <w:r w:rsidRPr="00A24256">
        <w:t>could</w:t>
      </w:r>
      <w:r w:rsidRPr="00BB1B0E">
        <w:t xml:space="preserve"> be properly capitalized as an asset during the hold harmless period, but the recovery of the costs associated with that asset would occur only as the asset is depreciated over future periods that extend beyond the hold harmless period</w:t>
      </w:r>
      <w:r w:rsidR="00805561" w:rsidRPr="00187A82">
        <w:t>.</w:t>
      </w:r>
    </w:p>
    <w:p w14:paraId="4A0C91A8" w14:textId="686EF224" w:rsidR="00F904C9" w:rsidRDefault="00BB1B0E" w:rsidP="00BB1B0E">
      <w:pPr>
        <w:pStyle w:val="FERCparanumber"/>
      </w:pPr>
      <w:r w:rsidRPr="00BB1B0E">
        <w:t xml:space="preserve">Similarly, limiting the applicability of hold harmless commitments to specific time periods </w:t>
      </w:r>
      <w:r w:rsidRPr="00187A82">
        <w:t xml:space="preserve">may </w:t>
      </w:r>
      <w:r w:rsidR="00805561" w:rsidRPr="00187A82">
        <w:t>incentivize</w:t>
      </w:r>
      <w:r w:rsidRPr="00187A82">
        <w:t xml:space="preserve"> applicants to</w:t>
      </w:r>
      <w:r w:rsidR="00FE267A">
        <w:t xml:space="preserve"> delay incurring some types of</w:t>
      </w:r>
      <w:r w:rsidRPr="00BB1B0E">
        <w:t xml:space="preserve"> transaction-related costs </w:t>
      </w:r>
      <w:r w:rsidR="00FE267A">
        <w:t>until</w:t>
      </w:r>
      <w:r w:rsidRPr="00BB1B0E">
        <w:t xml:space="preserve"> after the hold harmless period expires.  By waiting to incur costs subject to hold harmless commitments until after the expiration of the hold harmless period, applicants could attempt to include such costs in their future formula rate billings without making the showing of offsetting savings required to justify recovery of such costs.  In this regard, we believe that the focus of a hold harmless commitment should be on whether a cost is </w:t>
      </w:r>
      <w:r w:rsidR="005C51E6">
        <w:t>transaction</w:t>
      </w:r>
      <w:r w:rsidRPr="00BB1B0E">
        <w:t>-related, and not on when the cost is incurred.</w:t>
      </w:r>
      <w:r w:rsidRPr="007C1403">
        <w:t xml:space="preserve"> </w:t>
      </w:r>
    </w:p>
    <w:p w14:paraId="2592343F" w14:textId="74EB2761" w:rsidR="00FE267A" w:rsidRPr="00356F69" w:rsidRDefault="00FE267A" w:rsidP="00BB1B0E">
      <w:pPr>
        <w:pStyle w:val="FERCparanumber"/>
      </w:pPr>
      <w:r>
        <w:t>We seek comments on this proposal.</w:t>
      </w:r>
    </w:p>
    <w:p w14:paraId="3FEB65C7" w14:textId="6E38FE50" w:rsidR="006D2223" w:rsidRPr="00CB06E5" w:rsidRDefault="007F718E" w:rsidP="0087019A">
      <w:pPr>
        <w:pStyle w:val="Heading3"/>
        <w:ind w:left="2250" w:hanging="810"/>
      </w:pPr>
      <w:r>
        <w:t>Transactions</w:t>
      </w:r>
      <w:r w:rsidR="00FA09EE">
        <w:t xml:space="preserve"> Without Adverse Effects on Rates </w:t>
      </w:r>
    </w:p>
    <w:p w14:paraId="11B8027A" w14:textId="476567D5" w:rsidR="007153EA" w:rsidRDefault="00D9037C" w:rsidP="00271EBD">
      <w:pPr>
        <w:pStyle w:val="FERCparanumber"/>
      </w:pPr>
      <w:r>
        <w:t xml:space="preserve">As explained above, applicants under FPA section 203 must demonstrate that proposed transactions do not have </w:t>
      </w:r>
      <w:r w:rsidR="00791DD9">
        <w:t xml:space="preserve">an </w:t>
      </w:r>
      <w:r>
        <w:t>adverse effect on rates.  I</w:t>
      </w:r>
      <w:r w:rsidR="00A21479">
        <w:t xml:space="preserve">n order to </w:t>
      </w:r>
      <w:r w:rsidR="009E56ED">
        <w:t xml:space="preserve">make this showing, </w:t>
      </w:r>
      <w:r w:rsidR="00A21479">
        <w:t xml:space="preserve">applicants </w:t>
      </w:r>
      <w:r w:rsidR="00666C02">
        <w:t>sometimes propose</w:t>
      </w:r>
      <w:r>
        <w:t>,</w:t>
      </w:r>
      <w:r w:rsidR="00666C02">
        <w:rPr>
          <w:b/>
        </w:rPr>
        <w:t xml:space="preserve"> </w:t>
      </w:r>
      <w:r w:rsidR="00A21479">
        <w:t xml:space="preserve">and </w:t>
      </w:r>
      <w:r w:rsidR="00FA09EE">
        <w:t>the Com</w:t>
      </w:r>
      <w:r w:rsidR="00A21479">
        <w:t>mission has accepted</w:t>
      </w:r>
      <w:r>
        <w:t xml:space="preserve">, </w:t>
      </w:r>
      <w:r w:rsidR="00FA09EE">
        <w:t>hold harmless commitments</w:t>
      </w:r>
      <w:r>
        <w:t xml:space="preserve">.  </w:t>
      </w:r>
      <w:r w:rsidR="00A21479" w:rsidRPr="002606A4">
        <w:t xml:space="preserve">Pursuant to these hold harmless commitments, </w:t>
      </w:r>
      <w:r w:rsidR="009A73AF">
        <w:t xml:space="preserve">the Commission has held that </w:t>
      </w:r>
      <w:r w:rsidR="009E56ED" w:rsidRPr="006F1AAF">
        <w:t xml:space="preserve">customers </w:t>
      </w:r>
      <w:r w:rsidR="009A73AF">
        <w:t>must be</w:t>
      </w:r>
      <w:r w:rsidR="009E56ED" w:rsidRPr="006F1AAF">
        <w:t xml:space="preserve"> held harmless from transaction-related costs unless and until </w:t>
      </w:r>
      <w:r w:rsidR="00A21479" w:rsidRPr="002606A4">
        <w:t xml:space="preserve">applicants </w:t>
      </w:r>
      <w:r w:rsidR="009E56ED" w:rsidRPr="002606A4">
        <w:t xml:space="preserve">demonstrate </w:t>
      </w:r>
      <w:r w:rsidR="00026905" w:rsidRPr="002606A4">
        <w:t>offsetting transaction-related benefits – whether quantifiable cost savings or other non-quantifiable benefits.</w:t>
      </w:r>
      <w:r w:rsidR="00271EBD">
        <w:t xml:space="preserve">  </w:t>
      </w:r>
    </w:p>
    <w:p w14:paraId="723622C2" w14:textId="674B2275" w:rsidR="002134CA" w:rsidRDefault="00271EBD" w:rsidP="00271EBD">
      <w:pPr>
        <w:pStyle w:val="FERCparanumber"/>
      </w:pPr>
      <w:r>
        <w:t xml:space="preserve">As noted above, </w:t>
      </w:r>
      <w:r w:rsidRPr="002C2FB6">
        <w:rPr>
          <w:rFonts w:cs="Times New Roman"/>
          <w:szCs w:val="26"/>
        </w:rPr>
        <w:t xml:space="preserve">some applicants have made hold harmless commitments in connection with transactions involving </w:t>
      </w:r>
      <w:r>
        <w:rPr>
          <w:rFonts w:cs="Times New Roman"/>
          <w:szCs w:val="26"/>
        </w:rPr>
        <w:t xml:space="preserve">the acquisition or disposition of </w:t>
      </w:r>
      <w:r w:rsidRPr="002C2FB6">
        <w:rPr>
          <w:rFonts w:cs="Times New Roman"/>
          <w:szCs w:val="26"/>
        </w:rPr>
        <w:t>existing jurisdictional facilities</w:t>
      </w:r>
      <w:r>
        <w:rPr>
          <w:rFonts w:cs="Times New Roman"/>
          <w:szCs w:val="26"/>
        </w:rPr>
        <w:t xml:space="preserve"> where </w:t>
      </w:r>
      <w:r w:rsidRPr="002C2FB6">
        <w:rPr>
          <w:rFonts w:cs="Times New Roman"/>
          <w:szCs w:val="26"/>
        </w:rPr>
        <w:t xml:space="preserve">the acquiring entity </w:t>
      </w:r>
      <w:r>
        <w:rPr>
          <w:rFonts w:cs="Times New Roman"/>
          <w:szCs w:val="26"/>
        </w:rPr>
        <w:t>wa</w:t>
      </w:r>
      <w:r w:rsidRPr="002C2FB6">
        <w:rPr>
          <w:rFonts w:cs="Times New Roman"/>
          <w:szCs w:val="26"/>
        </w:rPr>
        <w:t>s a traditional franchised utility and entering into the transaction in order to satisfy</w:t>
      </w:r>
      <w:r>
        <w:rPr>
          <w:rFonts w:cs="Times New Roman"/>
          <w:szCs w:val="26"/>
        </w:rPr>
        <w:t xml:space="preserve"> </w:t>
      </w:r>
      <w:r w:rsidRPr="002C2FB6">
        <w:rPr>
          <w:rFonts w:cs="Times New Roman"/>
          <w:szCs w:val="26"/>
        </w:rPr>
        <w:t>resource adequacy requirements at the state level, to improve system reliability</w:t>
      </w:r>
      <w:r>
        <w:rPr>
          <w:rFonts w:cs="Times New Roman"/>
          <w:szCs w:val="26"/>
        </w:rPr>
        <w:t xml:space="preserve">, </w:t>
      </w:r>
      <w:r w:rsidRPr="002C2FB6">
        <w:rPr>
          <w:rFonts w:cs="Times New Roman"/>
          <w:szCs w:val="26"/>
        </w:rPr>
        <w:t>and/or meet other regulatory requirements.</w:t>
      </w:r>
      <w:r w:rsidRPr="002C2FB6">
        <w:rPr>
          <w:rStyle w:val="FootnoteReference"/>
        </w:rPr>
        <w:footnoteReference w:id="59"/>
      </w:r>
      <w:r>
        <w:t xml:space="preserve">  </w:t>
      </w:r>
      <w:r w:rsidR="00F15A79">
        <w:t>However, w</w:t>
      </w:r>
      <w:r>
        <w:t>hile customers in these examples may experience a rate increase due to the costs of the facilities, such rate effect may not necessarily be adverse because those</w:t>
      </w:r>
      <w:r w:rsidR="00BB1B0E">
        <w:t xml:space="preserve"> costs were incurred to meet a governmental regulatory requirement</w:t>
      </w:r>
      <w:r w:rsidR="007153EA">
        <w:t xml:space="preserve">.  </w:t>
      </w:r>
      <w:r w:rsidR="002134CA">
        <w:t>T</w:t>
      </w:r>
      <w:r w:rsidR="00BF1FA2">
        <w:t>he Commission has held that,</w:t>
      </w:r>
      <w:r w:rsidR="00026905">
        <w:t xml:space="preserve"> </w:t>
      </w:r>
      <w:r w:rsidR="00BF1FA2">
        <w:t>a</w:t>
      </w:r>
      <w:r w:rsidR="00885CD2" w:rsidRPr="00885CD2">
        <w:t>s a general matter of policy, ratepayers should bear the cost of utility service</w:t>
      </w:r>
      <w:r w:rsidR="00026905">
        <w:t>.</w:t>
      </w:r>
      <w:r w:rsidR="00885CD2">
        <w:rPr>
          <w:rStyle w:val="FootnoteReference"/>
        </w:rPr>
        <w:footnoteReference w:id="60"/>
      </w:r>
      <w:r w:rsidR="00885CD2" w:rsidRPr="00885CD2">
        <w:t xml:space="preserve"> </w:t>
      </w:r>
      <w:r w:rsidR="006D471D">
        <w:t xml:space="preserve"> </w:t>
      </w:r>
    </w:p>
    <w:p w14:paraId="7F8864BF" w14:textId="63DFAF54" w:rsidR="00271EBD" w:rsidRDefault="00791DD9" w:rsidP="00026905">
      <w:pPr>
        <w:pStyle w:val="FERCparanumber"/>
      </w:pPr>
      <w:r>
        <w:t xml:space="preserve">Accordingly, </w:t>
      </w:r>
      <w:r w:rsidR="001356BA">
        <w:t xml:space="preserve">we propose </w:t>
      </w:r>
      <w:r w:rsidR="00A21479">
        <w:t xml:space="preserve">to </w:t>
      </w:r>
      <w:r w:rsidR="00B67BD8">
        <w:t xml:space="preserve">clarify </w:t>
      </w:r>
      <w:r w:rsidR="00A21479">
        <w:t xml:space="preserve">that </w:t>
      </w:r>
      <w:r>
        <w:t xml:space="preserve">applicants undertaking </w:t>
      </w:r>
      <w:r w:rsidR="00BF1FA2" w:rsidRPr="00026905">
        <w:t>certain transactions to fulfill documented utility service needs</w:t>
      </w:r>
      <w:r w:rsidR="00BF1FA2">
        <w:t xml:space="preserve"> </w:t>
      </w:r>
      <w:r w:rsidR="001356BA">
        <w:t xml:space="preserve">need not </w:t>
      </w:r>
      <w:r w:rsidR="00A21479">
        <w:t xml:space="preserve">propose </w:t>
      </w:r>
      <w:r w:rsidR="001356BA" w:rsidRPr="002606A4">
        <w:t>ratepayer protection mechanisms</w:t>
      </w:r>
      <w:r w:rsidR="00F15A79">
        <w:t xml:space="preserve"> such as a hold harmless commitment</w:t>
      </w:r>
      <w:r w:rsidR="001356BA">
        <w:t xml:space="preserve"> in an application under </w:t>
      </w:r>
      <w:r w:rsidR="00A21479">
        <w:t xml:space="preserve">FPA </w:t>
      </w:r>
      <w:r w:rsidR="001356BA">
        <w:t xml:space="preserve">section 203 in order to show that the transaction </w:t>
      </w:r>
      <w:r w:rsidR="00271EBD">
        <w:t>will not have an adverse effect on rates.</w:t>
      </w:r>
      <w:r w:rsidR="007153EA">
        <w:t xml:space="preserve">  We believe that applicants engaging in these types of transactions can make the requisite showing that</w:t>
      </w:r>
      <w:r w:rsidR="00F15A79">
        <w:t>, even though</w:t>
      </w:r>
      <w:r w:rsidR="007153EA">
        <w:t xml:space="preserve"> the proposed transaction may have an effect on rates, such effect on rates is not adverse.  </w:t>
      </w:r>
    </w:p>
    <w:p w14:paraId="6ECA3E34" w14:textId="3A6FD22B" w:rsidR="00271EBD" w:rsidRDefault="00FE267A" w:rsidP="00026905">
      <w:pPr>
        <w:pStyle w:val="FERCparanumber"/>
      </w:pPr>
      <w:r>
        <w:t>E</w:t>
      </w:r>
      <w:r w:rsidR="002134CA">
        <w:t xml:space="preserve">xamples of the transactions </w:t>
      </w:r>
      <w:r w:rsidR="00F15A79">
        <w:t xml:space="preserve">in which applicants may demonstrate no adverse effect on rates without offering a hold harmless commitment </w:t>
      </w:r>
      <w:r w:rsidR="00F15A79" w:rsidRPr="002606A4">
        <w:t xml:space="preserve">or other ratepayer </w:t>
      </w:r>
      <w:r w:rsidR="00F15A79" w:rsidRPr="00ED6116">
        <w:t xml:space="preserve">protection </w:t>
      </w:r>
      <w:r w:rsidR="00F15A79" w:rsidRPr="002606A4">
        <w:t>mechanism</w:t>
      </w:r>
      <w:r w:rsidR="00F15A79">
        <w:t xml:space="preserve"> </w:t>
      </w:r>
      <w:r w:rsidR="002134CA">
        <w:t xml:space="preserve">would include the </w:t>
      </w:r>
      <w:r w:rsidR="002134CA" w:rsidRPr="00CB06E5">
        <w:t xml:space="preserve">purchase of </w:t>
      </w:r>
      <w:r w:rsidR="002134CA">
        <w:t xml:space="preserve">an existing generating </w:t>
      </w:r>
      <w:r w:rsidR="002134CA" w:rsidRPr="00CB06E5">
        <w:t xml:space="preserve">plant </w:t>
      </w:r>
      <w:r w:rsidR="002134CA">
        <w:t xml:space="preserve">or transmission </w:t>
      </w:r>
      <w:r w:rsidR="006E7588">
        <w:t>facility</w:t>
      </w:r>
      <w:r w:rsidR="002134CA" w:rsidRPr="00CB06E5">
        <w:t xml:space="preserve"> </w:t>
      </w:r>
      <w:r w:rsidR="002134CA">
        <w:t>that is needed</w:t>
      </w:r>
      <w:r w:rsidR="002134CA" w:rsidRPr="00CB06E5">
        <w:t xml:space="preserve"> to serve </w:t>
      </w:r>
      <w:r w:rsidR="002134CA">
        <w:t>the acquiring company’s</w:t>
      </w:r>
      <w:r w:rsidR="002134CA" w:rsidRPr="00CB06E5">
        <w:t xml:space="preserve"> customers or forecasted load within a public utility’s existing footprint, </w:t>
      </w:r>
      <w:r w:rsidR="002134CA">
        <w:t>in compliance with</w:t>
      </w:r>
      <w:r w:rsidR="002134CA" w:rsidRPr="00CB06E5">
        <w:t xml:space="preserve"> </w:t>
      </w:r>
      <w:r w:rsidR="0046026B">
        <w:t xml:space="preserve">a </w:t>
      </w:r>
      <w:r w:rsidR="002134CA" w:rsidRPr="00CB06E5">
        <w:t>resource planning process,</w:t>
      </w:r>
      <w:r w:rsidR="002134CA">
        <w:t xml:space="preserve"> or</w:t>
      </w:r>
      <w:r w:rsidR="002134CA" w:rsidRPr="00CB06E5">
        <w:t xml:space="preserve"> to meet specified North American Electric Reliability Corporation (NERC) standards</w:t>
      </w:r>
      <w:r w:rsidR="002134CA">
        <w:t>.</w:t>
      </w:r>
      <w:r w:rsidR="00271EBD">
        <w:t xml:space="preserve">  </w:t>
      </w:r>
      <w:r w:rsidR="002606A4">
        <w:t>We propose that a</w:t>
      </w:r>
      <w:r w:rsidR="00271EBD">
        <w:t>pplicants seeking to demonstrate that a transaction will not have an adverse effect on rates for these</w:t>
      </w:r>
      <w:r w:rsidR="00F538A2">
        <w:t xml:space="preserve"> or other</w:t>
      </w:r>
      <w:r w:rsidR="00271EBD">
        <w:t xml:space="preserve"> reasons should provide supporting </w:t>
      </w:r>
      <w:r w:rsidR="007153EA">
        <w:t xml:space="preserve">evidence and </w:t>
      </w:r>
      <w:r w:rsidR="00271EBD">
        <w:t>documentation</w:t>
      </w:r>
      <w:r w:rsidR="007153EA">
        <w:t xml:space="preserve"> which could include</w:t>
      </w:r>
      <w:r w:rsidR="00271EBD" w:rsidRPr="001B5783">
        <w:rPr>
          <w:rFonts w:cs="Times New Roman"/>
          <w:szCs w:val="26"/>
        </w:rPr>
        <w:t xml:space="preserve"> an explanation that the transaction is intended to serve existing customers or forecasted load within an existing footprint; to address a state commission order or directive requiring acquisition of specific assets; to address a need for a transmission facility, as established through a regional transmission planning process or as required to satisfy a NERC standard; or to address other state or federal regulatory requirements.  </w:t>
      </w:r>
      <w:r w:rsidR="00F904C9">
        <w:rPr>
          <w:rFonts w:cs="Times New Roman"/>
          <w:szCs w:val="26"/>
        </w:rPr>
        <w:t xml:space="preserve">For instance, in </w:t>
      </w:r>
      <w:r w:rsidR="00F904C9" w:rsidRPr="00187A82">
        <w:rPr>
          <w:rFonts w:cs="Times New Roman"/>
          <w:szCs w:val="26"/>
          <w:u w:val="single"/>
        </w:rPr>
        <w:t>FirstEnergy</w:t>
      </w:r>
      <w:r w:rsidR="00F904C9">
        <w:rPr>
          <w:rFonts w:cs="Times New Roman"/>
          <w:szCs w:val="26"/>
        </w:rPr>
        <w:t>, applicants requested approval from the Commission under FPA</w:t>
      </w:r>
      <w:r w:rsidR="00CB4D07">
        <w:rPr>
          <w:rFonts w:cs="Times New Roman"/>
          <w:szCs w:val="26"/>
        </w:rPr>
        <w:t xml:space="preserve"> </w:t>
      </w:r>
      <w:r w:rsidR="00F904C9">
        <w:rPr>
          <w:rFonts w:cs="Times New Roman"/>
          <w:szCs w:val="26"/>
        </w:rPr>
        <w:t xml:space="preserve">section 203 for an internal transfer of certain assets that would address significant reliability concerns, including a potential NERC violation, </w:t>
      </w:r>
      <w:r w:rsidR="002606A4">
        <w:rPr>
          <w:rFonts w:cs="Times New Roman"/>
          <w:szCs w:val="26"/>
        </w:rPr>
        <w:t>at</w:t>
      </w:r>
      <w:r w:rsidR="00F904C9">
        <w:rPr>
          <w:rFonts w:cs="Times New Roman"/>
          <w:szCs w:val="26"/>
        </w:rPr>
        <w:t xml:space="preserve"> a cost that was two-thirds that of the next possible solution.</w:t>
      </w:r>
      <w:r w:rsidR="00F904C9">
        <w:rPr>
          <w:rStyle w:val="FootnoteReference"/>
        </w:rPr>
        <w:footnoteReference w:id="61"/>
      </w:r>
      <w:r w:rsidR="00271EBD">
        <w:rPr>
          <w:rFonts w:cs="Times New Roman"/>
          <w:szCs w:val="26"/>
        </w:rPr>
        <w:t xml:space="preserve">  In that order, consistent with existing policy, the Commission accepted applicants’ hold harmless commitment as it was offered.  Under the </w:t>
      </w:r>
      <w:r w:rsidR="002606A4">
        <w:rPr>
          <w:rFonts w:cs="Times New Roman"/>
          <w:szCs w:val="26"/>
        </w:rPr>
        <w:t>clarification</w:t>
      </w:r>
      <w:r w:rsidR="00271EBD">
        <w:rPr>
          <w:rFonts w:cs="Times New Roman"/>
          <w:szCs w:val="26"/>
        </w:rPr>
        <w:t xml:space="preserve"> proposed herein, </w:t>
      </w:r>
      <w:r w:rsidR="007153EA">
        <w:rPr>
          <w:rFonts w:cs="Times New Roman"/>
          <w:szCs w:val="26"/>
        </w:rPr>
        <w:t xml:space="preserve">however, </w:t>
      </w:r>
      <w:r w:rsidR="00271EBD">
        <w:rPr>
          <w:rFonts w:cs="Times New Roman"/>
          <w:szCs w:val="26"/>
        </w:rPr>
        <w:t>such a hold harmless commitment would not need to be offered in order to show that the transaction would not have an adverse effect on rates.</w:t>
      </w:r>
    </w:p>
    <w:p w14:paraId="13EFEDBD" w14:textId="33EA72EB" w:rsidR="006D2223" w:rsidRPr="001356BA" w:rsidRDefault="00271EBD" w:rsidP="007153EA">
      <w:pPr>
        <w:pStyle w:val="FERCparanumber"/>
        <w:rPr>
          <w:rFonts w:cs="Times New Roman"/>
          <w:szCs w:val="26"/>
        </w:rPr>
      </w:pPr>
      <w:r w:rsidRPr="00CB06E5">
        <w:t>Appli</w:t>
      </w:r>
      <w:r w:rsidRPr="006D471D">
        <w:t xml:space="preserve">cants may </w:t>
      </w:r>
      <w:r w:rsidRPr="00F538A2">
        <w:t xml:space="preserve">make a showing </w:t>
      </w:r>
      <w:r w:rsidR="00F538A2" w:rsidRPr="00F538A2">
        <w:t>that a particular transaction does not have an adverse effect on rates</w:t>
      </w:r>
      <w:r w:rsidR="006E7588">
        <w:t xml:space="preserve"> based on</w:t>
      </w:r>
      <w:r w:rsidRPr="00F538A2">
        <w:t xml:space="preserve"> other </w:t>
      </w:r>
      <w:r>
        <w:t>grounds, but the burden remains</w:t>
      </w:r>
      <w:r w:rsidRPr="00CB06E5">
        <w:t xml:space="preserve"> on applicants to show </w:t>
      </w:r>
      <w:r>
        <w:t xml:space="preserve">in their application for authorization under FPA section 203 </w:t>
      </w:r>
      <w:r w:rsidRPr="00CB06E5">
        <w:t>that the costs, or a portion of the costs, related to such a transaction should be passed on to ratepayers.</w:t>
      </w:r>
      <w:r>
        <w:t xml:space="preserve">  Further, </w:t>
      </w:r>
      <w:r w:rsidR="00F65556">
        <w:t>a</w:t>
      </w:r>
      <w:r w:rsidRPr="009C6AAF">
        <w:rPr>
          <w:rFonts w:cs="Times New Roman"/>
          <w:szCs w:val="26"/>
        </w:rPr>
        <w:t>pplicants may provide the Commission with information to show the need to meet other regulatory requirements as a means to demonstrate that the effect on rates due to the transaction is not adverse.</w:t>
      </w:r>
      <w:r>
        <w:rPr>
          <w:rFonts w:cs="Times New Roman"/>
          <w:szCs w:val="26"/>
        </w:rPr>
        <w:t xml:space="preserve">  </w:t>
      </w:r>
      <w:r>
        <w:t>The Commission</w:t>
      </w:r>
      <w:r w:rsidRPr="00CB06E5">
        <w:t xml:space="preserve"> will carefully review such </w:t>
      </w:r>
      <w:r>
        <w:t>a showing before determining that a proposed transaction without any proposed ratepayer protection mechanism has no adverse effect on rates</w:t>
      </w:r>
      <w:r w:rsidRPr="00CB06E5">
        <w:t>.</w:t>
      </w:r>
      <w:r>
        <w:t xml:space="preserve">  </w:t>
      </w:r>
      <w:r w:rsidRPr="00CB06E5">
        <w:t xml:space="preserve">We believe this approach is consistent with </w:t>
      </w:r>
      <w:r>
        <w:t xml:space="preserve">both </w:t>
      </w:r>
      <w:r w:rsidRPr="00CB06E5">
        <w:t xml:space="preserve">the Merger Policy Statement and the </w:t>
      </w:r>
      <w:r>
        <w:t>Commission’s policy</w:t>
      </w:r>
      <w:r w:rsidRPr="00CB06E5">
        <w:t xml:space="preserve"> that ratepayers should bear the costs of utility service.</w:t>
      </w:r>
      <w:r w:rsidR="00F65556">
        <w:t xml:space="preserve">  We seek comments on this proposal.</w:t>
      </w:r>
    </w:p>
    <w:p w14:paraId="142179DF" w14:textId="77777777" w:rsidR="002B4D58" w:rsidRPr="002C2FB6" w:rsidRDefault="002B4D58" w:rsidP="00194CE8">
      <w:pPr>
        <w:pStyle w:val="Heading1"/>
        <w:rPr>
          <w:rFonts w:cs="Times New Roman"/>
          <w:szCs w:val="26"/>
        </w:rPr>
      </w:pPr>
      <w:r w:rsidRPr="002C2FB6">
        <w:rPr>
          <w:rFonts w:cs="Times New Roman"/>
          <w:szCs w:val="26"/>
        </w:rPr>
        <w:t>Comment Procedures</w:t>
      </w:r>
    </w:p>
    <w:p w14:paraId="634D2BC3" w14:textId="34D42102" w:rsidR="002B4D58" w:rsidRPr="002C2FB6" w:rsidRDefault="00CC10A3" w:rsidP="00194CE8">
      <w:pPr>
        <w:pStyle w:val="FERCparanumber"/>
        <w:rPr>
          <w:rFonts w:cs="Times New Roman"/>
          <w:szCs w:val="26"/>
        </w:rPr>
      </w:pPr>
      <w:r>
        <w:rPr>
          <w:rFonts w:cs="Times New Roman"/>
          <w:szCs w:val="26"/>
        </w:rPr>
        <w:t>We</w:t>
      </w:r>
      <w:r w:rsidR="002B4D58" w:rsidRPr="002C2FB6">
        <w:rPr>
          <w:rFonts w:cs="Times New Roman"/>
          <w:szCs w:val="26"/>
        </w:rPr>
        <w:t xml:space="preserve"> invite comments on this proposed policy statement within </w:t>
      </w:r>
      <w:r w:rsidR="002B4D58" w:rsidRPr="001071A2">
        <w:rPr>
          <w:rFonts w:cs="Times New Roman"/>
          <w:b/>
          <w:szCs w:val="26"/>
        </w:rPr>
        <w:t xml:space="preserve">[Insert Date 60 days after publication in the </w:t>
      </w:r>
      <w:r w:rsidR="002B4D58" w:rsidRPr="001071A2">
        <w:rPr>
          <w:rFonts w:cs="Times New Roman"/>
          <w:b/>
          <w:i/>
          <w:szCs w:val="26"/>
        </w:rPr>
        <w:t>Federal Register</w:t>
      </w:r>
      <w:r w:rsidR="002B4D58" w:rsidRPr="001071A2">
        <w:rPr>
          <w:rFonts w:cs="Times New Roman"/>
          <w:b/>
          <w:szCs w:val="26"/>
        </w:rPr>
        <w:t>]</w:t>
      </w:r>
      <w:r w:rsidR="002B4D58" w:rsidRPr="002C2FB6">
        <w:rPr>
          <w:rFonts w:cs="Times New Roman"/>
          <w:szCs w:val="26"/>
        </w:rPr>
        <w:t>.</w:t>
      </w:r>
    </w:p>
    <w:p w14:paraId="2294CA2F" w14:textId="77777777" w:rsidR="002B4D58" w:rsidRPr="002C2FB6" w:rsidRDefault="002B4D58" w:rsidP="00194CE8">
      <w:pPr>
        <w:pStyle w:val="Heading1"/>
        <w:rPr>
          <w:rFonts w:cs="Times New Roman"/>
          <w:szCs w:val="26"/>
        </w:rPr>
      </w:pPr>
      <w:r w:rsidRPr="002C2FB6">
        <w:rPr>
          <w:rFonts w:cs="Times New Roman"/>
          <w:szCs w:val="26"/>
        </w:rPr>
        <w:t>Document Availability</w:t>
      </w:r>
    </w:p>
    <w:p w14:paraId="411D2798" w14:textId="2B2A2301" w:rsidR="002B4D58" w:rsidRPr="002C2FB6" w:rsidRDefault="002B4D58" w:rsidP="00194CE8">
      <w:pPr>
        <w:pStyle w:val="FERCparanumber"/>
        <w:spacing w:after="0"/>
        <w:rPr>
          <w:rFonts w:cs="Times New Roman"/>
          <w:szCs w:val="26"/>
        </w:rPr>
      </w:pPr>
      <w:r w:rsidRPr="002C2FB6">
        <w:rPr>
          <w:rFonts w:cs="Times New Roman"/>
          <w:szCs w:val="26"/>
        </w:rPr>
        <w:t xml:space="preserve">In addition to publishing the full text of this document in the </w:t>
      </w:r>
      <w:r w:rsidRPr="002C2FB6">
        <w:rPr>
          <w:rFonts w:cs="Times New Roman"/>
          <w:i/>
          <w:szCs w:val="26"/>
        </w:rPr>
        <w:t>Federal Register</w:t>
      </w:r>
      <w:r w:rsidRPr="002C2FB6">
        <w:rPr>
          <w:rFonts w:cs="Times New Roman"/>
          <w:szCs w:val="26"/>
        </w:rPr>
        <w:t xml:space="preserve">, the Commission provides all interested persons an opportunity to view and/or print the contents of this document via the Internet through the Commission’s Home Page </w:t>
      </w:r>
      <w:r w:rsidRPr="006552FA">
        <w:rPr>
          <w:rFonts w:cs="Times New Roman"/>
          <w:szCs w:val="26"/>
        </w:rPr>
        <w:t>(</w:t>
      </w:r>
      <w:hyperlink r:id="rId15" w:history="1">
        <w:r w:rsidRPr="006552FA">
          <w:rPr>
            <w:rStyle w:val="Hyperlink"/>
            <w:rFonts w:eastAsiaTheme="majorEastAsia" w:cs="Times New Roman"/>
            <w:color w:val="auto"/>
            <w:szCs w:val="26"/>
            <w:u w:val="none"/>
          </w:rPr>
          <w:t>http://www.ferc.gov</w:t>
        </w:r>
      </w:hyperlink>
      <w:r w:rsidRPr="002C2FB6">
        <w:rPr>
          <w:rFonts w:cs="Times New Roman"/>
          <w:szCs w:val="26"/>
        </w:rPr>
        <w:t>) and in the Commission’s Public Reference Room during normal business hours (8:30 a.m. to 5:00 p.m. Eastern time) at 888 First Street, NE, Room 2A, Washington, DC  20426.</w:t>
      </w:r>
    </w:p>
    <w:p w14:paraId="1684C6BE" w14:textId="77777777" w:rsidR="002B4D58" w:rsidRPr="002C2FB6" w:rsidRDefault="002B4D58" w:rsidP="006177F0">
      <w:pPr>
        <w:pStyle w:val="FERCparanumber"/>
        <w:spacing w:after="0"/>
        <w:rPr>
          <w:rFonts w:cs="Times New Roman"/>
          <w:szCs w:val="26"/>
        </w:rPr>
      </w:pPr>
      <w:r w:rsidRPr="002C2FB6">
        <w:rPr>
          <w:rFonts w:cs="Times New Roman"/>
          <w:szCs w:val="26"/>
        </w:rP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140AAD87" w14:textId="39528098" w:rsidR="006D2223" w:rsidRDefault="002B4D58" w:rsidP="006D2223">
      <w:pPr>
        <w:pStyle w:val="FERCparanumber"/>
        <w:rPr>
          <w:rFonts w:cs="Times New Roman"/>
          <w:szCs w:val="26"/>
        </w:rPr>
      </w:pPr>
      <w:r w:rsidRPr="002C2FB6">
        <w:rPr>
          <w:rFonts w:cs="Times New Roman"/>
          <w:szCs w:val="26"/>
        </w:rPr>
        <w:t xml:space="preserve">User assistance is available for eLibrary and the Commission’s website during normal business hours from FERC Online Support at </w:t>
      </w:r>
      <w:r w:rsidR="006552FA">
        <w:rPr>
          <w:rFonts w:cs="Times New Roman"/>
          <w:szCs w:val="26"/>
        </w:rPr>
        <w:t>(</w:t>
      </w:r>
      <w:r w:rsidRPr="002C2FB6">
        <w:rPr>
          <w:rFonts w:cs="Times New Roman"/>
          <w:szCs w:val="26"/>
        </w:rPr>
        <w:t>202</w:t>
      </w:r>
      <w:r w:rsidR="006552FA">
        <w:rPr>
          <w:rFonts w:cs="Times New Roman"/>
          <w:szCs w:val="26"/>
        </w:rPr>
        <w:t xml:space="preserve">) </w:t>
      </w:r>
      <w:r w:rsidRPr="002C2FB6">
        <w:rPr>
          <w:rFonts w:cs="Times New Roman"/>
          <w:szCs w:val="26"/>
        </w:rPr>
        <w:t xml:space="preserve">502-6652 (toll free at 1-866-208-3676) or email at </w:t>
      </w:r>
      <w:hyperlink r:id="rId16" w:history="1">
        <w:r w:rsidRPr="002C2FB6">
          <w:rPr>
            <w:rStyle w:val="Hyperlink"/>
            <w:rFonts w:cs="Times New Roman"/>
            <w:color w:val="auto"/>
            <w:szCs w:val="26"/>
            <w:u w:val="none"/>
          </w:rPr>
          <w:t>ferconlinesupport@ferc.gov</w:t>
        </w:r>
      </w:hyperlink>
      <w:r w:rsidRPr="002C2FB6">
        <w:rPr>
          <w:rFonts w:cs="Times New Roman"/>
          <w:szCs w:val="26"/>
        </w:rPr>
        <w:t xml:space="preserve">, or the Public Reference Room at (202) 502-8371, TTY (202) 502-8659.  Email the Public Reference Room at </w:t>
      </w:r>
      <w:hyperlink r:id="rId17" w:history="1">
        <w:r w:rsidRPr="002C2FB6">
          <w:rPr>
            <w:rStyle w:val="Hyperlink"/>
            <w:rFonts w:cs="Times New Roman"/>
            <w:color w:val="auto"/>
            <w:szCs w:val="26"/>
            <w:u w:val="none"/>
          </w:rPr>
          <w:t>public.referenceroom@ferc.gov</w:t>
        </w:r>
      </w:hyperlink>
      <w:r w:rsidRPr="002C2FB6">
        <w:rPr>
          <w:rFonts w:cs="Times New Roman"/>
          <w:szCs w:val="26"/>
        </w:rPr>
        <w:t>.</w:t>
      </w:r>
    </w:p>
    <w:p w14:paraId="33F840EB" w14:textId="746D9F80" w:rsidR="006D2223" w:rsidRPr="006D2223" w:rsidRDefault="006D2223" w:rsidP="006D2223">
      <w:pPr>
        <w:pStyle w:val="Heading1"/>
        <w:rPr>
          <w:kern w:val="0"/>
          <w:u w:val="none"/>
        </w:rPr>
      </w:pPr>
      <w:r w:rsidRPr="006D2223">
        <w:rPr>
          <w:rFonts w:eastAsia="Times New Roman"/>
        </w:rPr>
        <w:t>Information Collection Statement</w:t>
      </w:r>
    </w:p>
    <w:p w14:paraId="55DF4E36" w14:textId="77777777" w:rsidR="006D2223" w:rsidRPr="00173CD1" w:rsidRDefault="006D2223" w:rsidP="006D2223">
      <w:pPr>
        <w:pStyle w:val="FERCparanumber"/>
        <w:rPr>
          <w:rFonts w:eastAsia="Times New Roman"/>
        </w:rPr>
      </w:pPr>
      <w:r w:rsidRPr="00173CD1">
        <w:rPr>
          <w:rFonts w:eastAsia="Times New Roman"/>
        </w:rPr>
        <w:t>The Paperwork Reduction Act (PRA)</w:t>
      </w:r>
      <w:r w:rsidRPr="00173CD1">
        <w:rPr>
          <w:rFonts w:eastAsia="Times New Roman"/>
          <w:b/>
          <w:szCs w:val="26"/>
          <w:vertAlign w:val="superscript"/>
        </w:rPr>
        <w:footnoteReference w:id="62"/>
      </w:r>
      <w:r w:rsidRPr="00173CD1">
        <w:rPr>
          <w:rFonts w:eastAsia="Times New Roman"/>
        </w:rPr>
        <w:t xml:space="preserve"> requires each federal agency to seek and obtain Office of Management and Budget (OMB) approval before undertaking a collection of information directed to ten or more persons or contained in a rule of general applicability.  OMB regulations require approval of certain information collection requirements imposed by agency rules.</w:t>
      </w:r>
      <w:r w:rsidRPr="00173CD1">
        <w:rPr>
          <w:rFonts w:eastAsia="Times New Roman"/>
          <w:b/>
          <w:szCs w:val="26"/>
          <w:vertAlign w:val="superscript"/>
        </w:rPr>
        <w:footnoteReference w:id="63"/>
      </w:r>
      <w:r w:rsidRPr="00173CD1">
        <w:rPr>
          <w:rFonts w:eastAsia="Times New Roman"/>
        </w:rPr>
        <w:t xml:space="preserve">  Upon approval of a collection(s) of information, OMB will assign an OMB control number and an expiration date.  Respondents subject to the filing requirements of an agency rule will not be penalized for failing to respond to these collections of information unless the collections of information display a valid OMB control number.</w:t>
      </w:r>
    </w:p>
    <w:p w14:paraId="4C8FA720" w14:textId="0BE9078C" w:rsidR="00F766F0" w:rsidRDefault="006D222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r w:rsidRPr="00173CD1">
        <w:rPr>
          <w:rFonts w:ascii="Times New Roman" w:eastAsia="Times New Roman" w:hAnsi="Times New Roman" w:cs="Times New Roman"/>
          <w:sz w:val="26"/>
          <w:szCs w:val="24"/>
        </w:rPr>
        <w:t xml:space="preserve">The following table shows the Commission’s estimates </w:t>
      </w:r>
      <w:r>
        <w:rPr>
          <w:rFonts w:ascii="Times New Roman" w:eastAsia="Times New Roman" w:hAnsi="Times New Roman" w:cs="Times New Roman"/>
          <w:sz w:val="26"/>
          <w:szCs w:val="24"/>
        </w:rPr>
        <w:t xml:space="preserve">for the additional </w:t>
      </w:r>
      <w:r w:rsidRPr="00173CD1">
        <w:rPr>
          <w:rFonts w:ascii="Times New Roman" w:eastAsia="Times New Roman" w:hAnsi="Times New Roman" w:cs="Times New Roman"/>
          <w:sz w:val="26"/>
          <w:szCs w:val="24"/>
        </w:rPr>
        <w:t>burden and cost</w:t>
      </w:r>
      <w:r>
        <w:rPr>
          <w:rFonts w:ascii="Times New Roman" w:eastAsia="Times New Roman" w:hAnsi="Times New Roman" w:cs="Times New Roman"/>
          <w:sz w:val="26"/>
          <w:szCs w:val="24"/>
        </w:rPr>
        <w:t>, as contained in the Proposed Policy Statement</w:t>
      </w:r>
      <w:r w:rsidRPr="00173CD1">
        <w:rPr>
          <w:rFonts w:ascii="Times New Roman" w:eastAsia="Times New Roman" w:hAnsi="Times New Roman" w:cs="Times New Roman"/>
          <w:sz w:val="26"/>
          <w:szCs w:val="24"/>
        </w:rPr>
        <w:t>:</w:t>
      </w:r>
      <w:r w:rsidR="009D4CF3">
        <w:rPr>
          <w:rFonts w:ascii="Times New Roman" w:eastAsia="Times New Roman" w:hAnsi="Times New Roman" w:cs="Times New Roman"/>
          <w:sz w:val="26"/>
          <w:szCs w:val="24"/>
        </w:rPr>
        <w:t xml:space="preserve"> </w:t>
      </w:r>
    </w:p>
    <w:p w14:paraId="05D32C87"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115FE008"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26225419"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0E00F79C"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5627DBCF"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5228809F"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76DB273B"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507CE99C"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631AE428" w14:textId="77777777" w:rsidR="009D4CF3" w:rsidRDefault="009D4CF3" w:rsidP="009D4CF3">
      <w:pPr>
        <w:tabs>
          <w:tab w:val="num" w:pos="720"/>
        </w:tabs>
        <w:autoSpaceDE w:val="0"/>
        <w:autoSpaceDN w:val="0"/>
        <w:adjustRightInd w:val="0"/>
        <w:spacing w:after="0" w:line="480" w:lineRule="auto"/>
        <w:rPr>
          <w:rFonts w:ascii="Times New Roman" w:eastAsia="Times New Roman" w:hAnsi="Times New Roman" w:cs="Times New Roman"/>
          <w:sz w:val="26"/>
          <w:szCs w:val="24"/>
        </w:rPr>
      </w:pPr>
    </w:p>
    <w:p w14:paraId="19AFAE3F" w14:textId="77777777" w:rsidR="009D4CF3" w:rsidRPr="00173CD1" w:rsidRDefault="009D4CF3" w:rsidP="009D4CF3">
      <w:pPr>
        <w:tabs>
          <w:tab w:val="num" w:pos="720"/>
        </w:tabs>
        <w:autoSpaceDE w:val="0"/>
        <w:autoSpaceDN w:val="0"/>
        <w:adjustRightInd w:val="0"/>
        <w:spacing w:after="0" w:line="480" w:lineRule="auto"/>
        <w:rPr>
          <w:rFonts w:ascii="Times New Roman" w:eastAsia="Times New Roman" w:hAnsi="Times New Roman" w:cs="Times New Roman"/>
          <w:b/>
          <w:sz w:val="26"/>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699"/>
        <w:gridCol w:w="1609"/>
        <w:gridCol w:w="1431"/>
        <w:gridCol w:w="1434"/>
        <w:gridCol w:w="1615"/>
      </w:tblGrid>
      <w:tr w:rsidR="006D2223" w:rsidRPr="00173CD1" w14:paraId="5DF38EE5" w14:textId="77777777" w:rsidTr="00825F6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14:paraId="6E91799E"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Pr>
                <w:rFonts w:ascii="Times New Roman" w:eastAsia="Times New Roman" w:hAnsi="Times New Roman" w:cs="Times New Roman"/>
                <w:b/>
                <w:sz w:val="26"/>
                <w:szCs w:val="26"/>
                <w:lang w:bidi="he-IL"/>
              </w:rPr>
              <w:t>Revisions, in the Proposed Policy Statement in Docket No. PL15-3</w:t>
            </w:r>
          </w:p>
        </w:tc>
      </w:tr>
      <w:tr w:rsidR="006D2223" w:rsidRPr="00173CD1" w14:paraId="7D5492A7" w14:textId="77777777" w:rsidTr="00825F62">
        <w:trPr>
          <w:cantSplit/>
        </w:trPr>
        <w:tc>
          <w:tcPr>
            <w:tcW w:w="934"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3BDC1A1"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 xml:space="preserve">Requirements </w:t>
            </w:r>
          </w:p>
          <w:p w14:paraId="01BA208C"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p>
        </w:tc>
        <w:tc>
          <w:tcPr>
            <w:tcW w:w="88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C7F5347"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Number and Type of Respondents</w:t>
            </w:r>
            <w:r w:rsidRPr="00173CD1">
              <w:rPr>
                <w:rFonts w:ascii="Times New Roman" w:eastAsia="Times New Roman" w:hAnsi="Times New Roman" w:cs="Times New Roman"/>
                <w:b/>
                <w:sz w:val="26"/>
                <w:szCs w:val="26"/>
                <w:lang w:bidi="he-IL"/>
              </w:rPr>
              <w:br/>
              <w:t>(1)</w:t>
            </w:r>
          </w:p>
        </w:tc>
        <w:tc>
          <w:tcPr>
            <w:tcW w:w="840"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BAAC262"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Number of Responses per Respondent</w:t>
            </w:r>
          </w:p>
          <w:p w14:paraId="00EFF030"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(2)</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FDE18F6"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Total Number of Responses (1)*(2)=(3)</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6705FB2"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Average Burden Hours &amp; Cost Per Response</w:t>
            </w:r>
            <w:r w:rsidRPr="00173CD1">
              <w:rPr>
                <w:rFonts w:ascii="Times New Roman" w:eastAsia="Times New Roman" w:hAnsi="Times New Roman" w:cs="Times New Roman"/>
                <w:b/>
                <w:sz w:val="26"/>
                <w:szCs w:val="26"/>
                <w:vertAlign w:val="superscript"/>
                <w:lang w:bidi="he-IL"/>
              </w:rPr>
              <w:footnoteReference w:id="64"/>
            </w:r>
          </w:p>
          <w:p w14:paraId="30141C33"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(4)</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E8A9B4F"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Total Burden Hours &amp; Total Cost</w:t>
            </w:r>
          </w:p>
          <w:p w14:paraId="7674E3D0" w14:textId="77777777" w:rsidR="006D2223" w:rsidRPr="00173CD1" w:rsidRDefault="006D2223" w:rsidP="00825F62">
            <w:pPr>
              <w:autoSpaceDN w:val="0"/>
              <w:spacing w:after="0" w:line="240" w:lineRule="auto"/>
              <w:jc w:val="center"/>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(3)*(4)</w:t>
            </w:r>
          </w:p>
        </w:tc>
      </w:tr>
      <w:tr w:rsidR="006D2223" w:rsidRPr="00173CD1" w14:paraId="7260FD67" w14:textId="77777777" w:rsidTr="00825F62">
        <w:trPr>
          <w:cantSplit/>
        </w:trPr>
        <w:tc>
          <w:tcPr>
            <w:tcW w:w="934" w:type="pct"/>
            <w:tcBorders>
              <w:top w:val="single" w:sz="4" w:space="0" w:color="auto"/>
              <w:left w:val="single" w:sz="4" w:space="0" w:color="auto"/>
              <w:bottom w:val="single" w:sz="4" w:space="0" w:color="auto"/>
              <w:right w:val="single" w:sz="4" w:space="0" w:color="auto"/>
            </w:tcBorders>
          </w:tcPr>
          <w:p w14:paraId="308B06AE" w14:textId="77777777" w:rsidR="006D2223" w:rsidRDefault="006D2223" w:rsidP="00825F62">
            <w:pPr>
              <w:autoSpaceDN w:val="0"/>
              <w:spacing w:after="0" w:line="240" w:lineRule="auto"/>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FERC-519 (FPA Section 203 Filings)</w:t>
            </w:r>
          </w:p>
        </w:tc>
        <w:tc>
          <w:tcPr>
            <w:tcW w:w="887" w:type="pct"/>
            <w:tcBorders>
              <w:top w:val="single" w:sz="4" w:space="0" w:color="auto"/>
              <w:left w:val="single" w:sz="4" w:space="0" w:color="auto"/>
              <w:bottom w:val="single" w:sz="4" w:space="0" w:color="auto"/>
              <w:right w:val="single" w:sz="4" w:space="0" w:color="auto"/>
            </w:tcBorders>
            <w:vAlign w:val="bottom"/>
          </w:tcPr>
          <w:p w14:paraId="608C1E58"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18</w:t>
            </w:r>
          </w:p>
        </w:tc>
        <w:tc>
          <w:tcPr>
            <w:tcW w:w="840" w:type="pct"/>
            <w:tcBorders>
              <w:top w:val="single" w:sz="4" w:space="0" w:color="auto"/>
              <w:left w:val="single" w:sz="4" w:space="0" w:color="auto"/>
              <w:bottom w:val="single" w:sz="4" w:space="0" w:color="auto"/>
              <w:right w:val="single" w:sz="4" w:space="0" w:color="auto"/>
            </w:tcBorders>
            <w:vAlign w:val="bottom"/>
          </w:tcPr>
          <w:p w14:paraId="7A750DB3"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779B9644" w14:textId="2C8CF7D9" w:rsidR="006D2223" w:rsidRPr="00173CD1" w:rsidRDefault="006D2223">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18</w:t>
            </w:r>
          </w:p>
        </w:tc>
        <w:tc>
          <w:tcPr>
            <w:tcW w:w="749" w:type="pct"/>
            <w:tcBorders>
              <w:top w:val="single" w:sz="4" w:space="0" w:color="auto"/>
              <w:left w:val="single" w:sz="4" w:space="0" w:color="auto"/>
              <w:bottom w:val="single" w:sz="4" w:space="0" w:color="auto"/>
              <w:right w:val="single" w:sz="4" w:space="0" w:color="auto"/>
            </w:tcBorders>
            <w:vAlign w:val="bottom"/>
          </w:tcPr>
          <w:p w14:paraId="26E0B3DA"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 xml:space="preserve">20 hrs.; </w:t>
            </w:r>
          </w:p>
          <w:p w14:paraId="1560837F" w14:textId="77777777" w:rsidR="006D2223" w:rsidRPr="00D81EC9"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$1,410</w:t>
            </w:r>
          </w:p>
        </w:tc>
        <w:tc>
          <w:tcPr>
            <w:tcW w:w="843" w:type="pct"/>
            <w:tcBorders>
              <w:top w:val="single" w:sz="4" w:space="0" w:color="auto"/>
              <w:left w:val="single" w:sz="4" w:space="0" w:color="auto"/>
              <w:bottom w:val="single" w:sz="4" w:space="0" w:color="auto"/>
              <w:right w:val="single" w:sz="4" w:space="0" w:color="auto"/>
            </w:tcBorders>
            <w:vAlign w:val="bottom"/>
          </w:tcPr>
          <w:p w14:paraId="32A155B0"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360 hrs.; $25,380</w:t>
            </w:r>
          </w:p>
        </w:tc>
      </w:tr>
      <w:tr w:rsidR="006D2223" w:rsidRPr="00173CD1" w14:paraId="3FF0DF60" w14:textId="77777777" w:rsidTr="00825F62">
        <w:trPr>
          <w:cantSplit/>
        </w:trPr>
        <w:tc>
          <w:tcPr>
            <w:tcW w:w="934" w:type="pct"/>
            <w:tcBorders>
              <w:top w:val="single" w:sz="4" w:space="0" w:color="auto"/>
              <w:left w:val="single" w:sz="4" w:space="0" w:color="auto"/>
              <w:bottom w:val="single" w:sz="4" w:space="0" w:color="auto"/>
              <w:right w:val="single" w:sz="4" w:space="0" w:color="auto"/>
            </w:tcBorders>
          </w:tcPr>
          <w:p w14:paraId="0DE648AA" w14:textId="77777777" w:rsidR="006D2223" w:rsidRPr="00173CD1" w:rsidRDefault="006D2223" w:rsidP="00825F62">
            <w:pPr>
              <w:autoSpaceDN w:val="0"/>
              <w:spacing w:after="0" w:line="240" w:lineRule="auto"/>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FERC-516 (FPA Section 205, Rate and Tariff Filings)</w:t>
            </w:r>
            <w:r>
              <w:rPr>
                <w:rStyle w:val="FootnoteReference"/>
                <w:rFonts w:eastAsia="Times New Roman"/>
                <w:lang w:bidi="he-IL"/>
              </w:rPr>
              <w:t xml:space="preserve"> </w:t>
            </w:r>
          </w:p>
        </w:tc>
        <w:tc>
          <w:tcPr>
            <w:tcW w:w="887" w:type="pct"/>
            <w:tcBorders>
              <w:top w:val="single" w:sz="4" w:space="0" w:color="auto"/>
              <w:left w:val="single" w:sz="4" w:space="0" w:color="auto"/>
              <w:bottom w:val="single" w:sz="4" w:space="0" w:color="auto"/>
              <w:right w:val="single" w:sz="4" w:space="0" w:color="auto"/>
            </w:tcBorders>
            <w:vAlign w:val="bottom"/>
          </w:tcPr>
          <w:p w14:paraId="567E58FB"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w:t>
            </w:r>
          </w:p>
        </w:tc>
        <w:tc>
          <w:tcPr>
            <w:tcW w:w="840" w:type="pct"/>
            <w:tcBorders>
              <w:top w:val="single" w:sz="4" w:space="0" w:color="auto"/>
              <w:left w:val="single" w:sz="4" w:space="0" w:color="auto"/>
              <w:bottom w:val="single" w:sz="4" w:space="0" w:color="auto"/>
              <w:right w:val="single" w:sz="4" w:space="0" w:color="auto"/>
            </w:tcBorders>
            <w:vAlign w:val="bottom"/>
          </w:tcPr>
          <w:p w14:paraId="48286A01"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51777384"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w:t>
            </w:r>
            <w:r>
              <w:rPr>
                <w:rStyle w:val="FootnoteReference"/>
                <w:rFonts w:eastAsia="Times New Roman"/>
                <w:lang w:bidi="he-IL"/>
              </w:rPr>
              <w:footnoteReference w:id="65"/>
            </w:r>
          </w:p>
        </w:tc>
        <w:tc>
          <w:tcPr>
            <w:tcW w:w="749" w:type="pct"/>
            <w:tcBorders>
              <w:top w:val="single" w:sz="4" w:space="0" w:color="auto"/>
              <w:left w:val="single" w:sz="4" w:space="0" w:color="auto"/>
              <w:bottom w:val="single" w:sz="4" w:space="0" w:color="auto"/>
              <w:right w:val="single" w:sz="4" w:space="0" w:color="auto"/>
            </w:tcBorders>
            <w:vAlign w:val="bottom"/>
          </w:tcPr>
          <w:p w14:paraId="6E976FE8"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103.26 hrs.;</w:t>
            </w:r>
          </w:p>
          <w:p w14:paraId="42AD1922"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$7,279.83</w:t>
            </w:r>
          </w:p>
        </w:tc>
        <w:tc>
          <w:tcPr>
            <w:tcW w:w="843" w:type="pct"/>
            <w:tcBorders>
              <w:top w:val="single" w:sz="4" w:space="0" w:color="auto"/>
              <w:left w:val="single" w:sz="4" w:space="0" w:color="auto"/>
              <w:bottom w:val="single" w:sz="4" w:space="0" w:color="auto"/>
              <w:right w:val="single" w:sz="4" w:space="0" w:color="auto"/>
            </w:tcBorders>
            <w:vAlign w:val="bottom"/>
          </w:tcPr>
          <w:p w14:paraId="05A9FEF4"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103.26 hrs.;</w:t>
            </w:r>
          </w:p>
          <w:p w14:paraId="65A682B2"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$7,279.83</w:t>
            </w:r>
          </w:p>
        </w:tc>
      </w:tr>
      <w:tr w:rsidR="006D2223" w:rsidRPr="00173CD1" w14:paraId="5C4A494B" w14:textId="77777777" w:rsidTr="00825F62">
        <w:trPr>
          <w:cantSplit/>
        </w:trPr>
        <w:tc>
          <w:tcPr>
            <w:tcW w:w="934" w:type="pct"/>
            <w:tcBorders>
              <w:top w:val="single" w:sz="4" w:space="0" w:color="auto"/>
              <w:left w:val="single" w:sz="4" w:space="0" w:color="auto"/>
              <w:bottom w:val="single" w:sz="4" w:space="0" w:color="auto"/>
              <w:right w:val="single" w:sz="4" w:space="0" w:color="auto"/>
            </w:tcBorders>
            <w:hideMark/>
          </w:tcPr>
          <w:p w14:paraId="16B63141" w14:textId="77777777" w:rsidR="006D2223" w:rsidRPr="00173CD1" w:rsidRDefault="006D2223" w:rsidP="00825F62">
            <w:pPr>
              <w:autoSpaceDN w:val="0"/>
              <w:spacing w:after="0" w:line="240" w:lineRule="auto"/>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 xml:space="preserve">FERC-555, </w:t>
            </w:r>
            <w:r w:rsidRPr="00173CD1">
              <w:rPr>
                <w:rFonts w:ascii="Times New Roman" w:eastAsia="Times New Roman" w:hAnsi="Times New Roman" w:cs="Times New Roman"/>
                <w:sz w:val="26"/>
                <w:szCs w:val="26"/>
                <w:lang w:bidi="he-IL"/>
              </w:rPr>
              <w:t>Record Retention</w:t>
            </w:r>
            <w:r>
              <w:rPr>
                <w:rFonts w:ascii="Times New Roman" w:eastAsia="Times New Roman" w:hAnsi="Times New Roman" w:cs="Times New Roman"/>
                <w:sz w:val="26"/>
                <w:szCs w:val="26"/>
                <w:lang w:bidi="he-IL"/>
              </w:rPr>
              <w:t xml:space="preserve"> </w:t>
            </w:r>
          </w:p>
        </w:tc>
        <w:tc>
          <w:tcPr>
            <w:tcW w:w="887" w:type="pct"/>
            <w:tcBorders>
              <w:top w:val="single" w:sz="4" w:space="0" w:color="auto"/>
              <w:left w:val="single" w:sz="4" w:space="0" w:color="auto"/>
              <w:bottom w:val="single" w:sz="4" w:space="0" w:color="auto"/>
              <w:right w:val="single" w:sz="4" w:space="0" w:color="auto"/>
            </w:tcBorders>
            <w:vAlign w:val="bottom"/>
          </w:tcPr>
          <w:p w14:paraId="668C5A1C"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18</w:t>
            </w:r>
          </w:p>
        </w:tc>
        <w:tc>
          <w:tcPr>
            <w:tcW w:w="840" w:type="pct"/>
            <w:tcBorders>
              <w:top w:val="single" w:sz="4" w:space="0" w:color="auto"/>
              <w:left w:val="single" w:sz="4" w:space="0" w:color="auto"/>
              <w:bottom w:val="single" w:sz="4" w:space="0" w:color="auto"/>
              <w:right w:val="single" w:sz="4" w:space="0" w:color="auto"/>
            </w:tcBorders>
            <w:vAlign w:val="bottom"/>
          </w:tcPr>
          <w:p w14:paraId="3169D9A9"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44CFFB0A"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18</w:t>
            </w:r>
          </w:p>
        </w:tc>
        <w:tc>
          <w:tcPr>
            <w:tcW w:w="749" w:type="pct"/>
            <w:tcBorders>
              <w:top w:val="single" w:sz="4" w:space="0" w:color="auto"/>
              <w:left w:val="single" w:sz="4" w:space="0" w:color="auto"/>
              <w:bottom w:val="single" w:sz="4" w:space="0" w:color="auto"/>
              <w:right w:val="single" w:sz="4" w:space="0" w:color="auto"/>
            </w:tcBorders>
            <w:vAlign w:val="bottom"/>
          </w:tcPr>
          <w:p w14:paraId="79DE95E1"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4 hrs.;</w:t>
            </w:r>
          </w:p>
          <w:p w14:paraId="6B28E47A"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$282</w:t>
            </w:r>
          </w:p>
        </w:tc>
        <w:tc>
          <w:tcPr>
            <w:tcW w:w="843" w:type="pct"/>
            <w:tcBorders>
              <w:top w:val="single" w:sz="4" w:space="0" w:color="auto"/>
              <w:left w:val="single" w:sz="4" w:space="0" w:color="auto"/>
              <w:bottom w:val="single" w:sz="4" w:space="0" w:color="auto"/>
              <w:right w:val="single" w:sz="4" w:space="0" w:color="auto"/>
            </w:tcBorders>
            <w:vAlign w:val="bottom"/>
          </w:tcPr>
          <w:p w14:paraId="1AD21362"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72 hrs.;</w:t>
            </w:r>
          </w:p>
          <w:p w14:paraId="083E6235"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$5,076</w:t>
            </w:r>
          </w:p>
        </w:tc>
      </w:tr>
      <w:tr w:rsidR="006D2223" w:rsidRPr="006C2C3B" w14:paraId="529635EF" w14:textId="77777777" w:rsidTr="00825F62">
        <w:trPr>
          <w:cantSplit/>
          <w:trHeight w:val="485"/>
        </w:trPr>
        <w:tc>
          <w:tcPr>
            <w:tcW w:w="934" w:type="pct"/>
            <w:tcBorders>
              <w:top w:val="single" w:sz="4" w:space="0" w:color="auto"/>
              <w:left w:val="single" w:sz="4" w:space="0" w:color="auto"/>
              <w:bottom w:val="single" w:sz="4" w:space="0" w:color="auto"/>
              <w:right w:val="single" w:sz="4" w:space="0" w:color="auto"/>
            </w:tcBorders>
            <w:hideMark/>
          </w:tcPr>
          <w:p w14:paraId="28EAAB5F" w14:textId="77777777" w:rsidR="006D2223" w:rsidRPr="00173CD1" w:rsidRDefault="006D2223" w:rsidP="00825F62">
            <w:pPr>
              <w:autoSpaceDN w:val="0"/>
              <w:spacing w:after="0" w:line="240" w:lineRule="auto"/>
              <w:rPr>
                <w:rFonts w:ascii="Times New Roman" w:eastAsia="Times New Roman" w:hAnsi="Times New Roman" w:cs="Times New Roman"/>
                <w:b/>
                <w:sz w:val="26"/>
                <w:szCs w:val="26"/>
                <w:lang w:bidi="he-IL"/>
              </w:rPr>
            </w:pPr>
            <w:r w:rsidRPr="00173CD1">
              <w:rPr>
                <w:rFonts w:ascii="Times New Roman" w:eastAsia="Times New Roman" w:hAnsi="Times New Roman" w:cs="Times New Roman"/>
                <w:b/>
                <w:sz w:val="26"/>
                <w:szCs w:val="26"/>
                <w:lang w:bidi="he-IL"/>
              </w:rPr>
              <w:t xml:space="preserve">TOTAL </w:t>
            </w:r>
          </w:p>
        </w:tc>
        <w:tc>
          <w:tcPr>
            <w:tcW w:w="3223"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4DBD2F48" w14:textId="77777777" w:rsidR="006D2223" w:rsidRPr="00173CD1" w:rsidRDefault="006D2223" w:rsidP="00825F62">
            <w:pPr>
              <w:autoSpaceDN w:val="0"/>
              <w:spacing w:after="0" w:line="240" w:lineRule="auto"/>
              <w:jc w:val="right"/>
              <w:rPr>
                <w:rFonts w:ascii="Times New Roman" w:eastAsia="Times New Roman" w:hAnsi="Times New Roman" w:cs="Times New Roman"/>
                <w:sz w:val="26"/>
                <w:szCs w:val="26"/>
                <w:lang w:bidi="he-IL"/>
              </w:rPr>
            </w:pPr>
          </w:p>
        </w:tc>
        <w:tc>
          <w:tcPr>
            <w:tcW w:w="843" w:type="pct"/>
            <w:tcBorders>
              <w:top w:val="single" w:sz="4" w:space="0" w:color="auto"/>
              <w:left w:val="single" w:sz="4" w:space="0" w:color="auto"/>
              <w:bottom w:val="single" w:sz="4" w:space="0" w:color="auto"/>
              <w:right w:val="single" w:sz="4" w:space="0" w:color="auto"/>
            </w:tcBorders>
            <w:vAlign w:val="bottom"/>
          </w:tcPr>
          <w:p w14:paraId="6DCBB9D7" w14:textId="77777777" w:rsidR="006D2223" w:rsidRDefault="006D2223" w:rsidP="00825F62">
            <w:pPr>
              <w:autoSpaceDN w:val="0"/>
              <w:spacing w:after="0" w:line="240" w:lineRule="auto"/>
              <w:jc w:val="right"/>
              <w:rPr>
                <w:rFonts w:ascii="Times New Roman" w:eastAsia="Times New Roman" w:hAnsi="Times New Roman" w:cs="Times New Roman"/>
                <w:sz w:val="26"/>
                <w:szCs w:val="26"/>
                <w:lang w:bidi="he-IL"/>
              </w:rPr>
            </w:pPr>
            <w:r>
              <w:rPr>
                <w:rFonts w:ascii="Times New Roman" w:eastAsia="Times New Roman" w:hAnsi="Times New Roman" w:cs="Times New Roman"/>
                <w:sz w:val="26"/>
                <w:szCs w:val="26"/>
                <w:lang w:bidi="he-IL"/>
              </w:rPr>
              <w:t xml:space="preserve">535.26 hrs.; </w:t>
            </w:r>
          </w:p>
          <w:p w14:paraId="3BA56165" w14:textId="77777777" w:rsidR="006D2223" w:rsidRPr="006C2C3B" w:rsidRDefault="006D2223" w:rsidP="00825F62">
            <w:pPr>
              <w:autoSpaceDN w:val="0"/>
              <w:spacing w:after="0" w:line="240" w:lineRule="auto"/>
              <w:jc w:val="right"/>
              <w:rPr>
                <w:rFonts w:ascii="Times New Roman" w:eastAsia="Times New Roman" w:hAnsi="Times New Roman" w:cs="Times New Roman"/>
                <w:sz w:val="26"/>
                <w:szCs w:val="26"/>
                <w:lang w:bidi="he-IL"/>
              </w:rPr>
            </w:pPr>
            <w:r w:rsidRPr="006C2C3B">
              <w:rPr>
                <w:rFonts w:ascii="Times New Roman" w:eastAsia="Times New Roman" w:hAnsi="Times New Roman" w:cs="Times New Roman"/>
                <w:sz w:val="26"/>
                <w:szCs w:val="26"/>
                <w:lang w:bidi="he-IL"/>
              </w:rPr>
              <w:t>$37,735.83</w:t>
            </w:r>
          </w:p>
        </w:tc>
      </w:tr>
    </w:tbl>
    <w:p w14:paraId="679FEE49" w14:textId="77777777" w:rsidR="006D2223" w:rsidRPr="00173CD1" w:rsidRDefault="006D2223" w:rsidP="006D2223">
      <w:pPr>
        <w:tabs>
          <w:tab w:val="num" w:pos="720"/>
        </w:tabs>
        <w:autoSpaceDE w:val="0"/>
        <w:autoSpaceDN w:val="0"/>
        <w:adjustRightInd w:val="0"/>
        <w:spacing w:after="0" w:line="480" w:lineRule="auto"/>
        <w:rPr>
          <w:rFonts w:ascii="Times New Roman" w:eastAsia="Times New Roman" w:hAnsi="Times New Roman" w:cs="Times New Roman"/>
          <w:sz w:val="26"/>
          <w:szCs w:val="24"/>
        </w:rPr>
      </w:pPr>
      <w:r w:rsidRPr="00173CD1">
        <w:rPr>
          <w:rFonts w:ascii="Times New Roman" w:eastAsia="Times New Roman" w:hAnsi="Times New Roman" w:cs="Times New Roman"/>
          <w:sz w:val="26"/>
          <w:szCs w:val="24"/>
          <w:u w:val="single"/>
        </w:rPr>
        <w:t>Title</w:t>
      </w:r>
      <w:r w:rsidRPr="00173CD1">
        <w:rPr>
          <w:rFonts w:ascii="Times New Roman" w:eastAsia="Times New Roman" w:hAnsi="Times New Roman" w:cs="Times New Roman"/>
          <w:sz w:val="26"/>
          <w:szCs w:val="24"/>
        </w:rPr>
        <w:t>:  FERC-</w:t>
      </w:r>
      <w:r w:rsidRPr="00B869F8">
        <w:rPr>
          <w:rFonts w:ascii="Times New Roman" w:eastAsia="Times New Roman" w:hAnsi="Times New Roman" w:cs="Times New Roman"/>
          <w:sz w:val="26"/>
          <w:szCs w:val="24"/>
        </w:rPr>
        <w:t>519</w:t>
      </w:r>
      <w:r>
        <w:rPr>
          <w:rFonts w:ascii="Times New Roman" w:eastAsia="Times New Roman" w:hAnsi="Times New Roman" w:cs="Times New Roman"/>
          <w:sz w:val="26"/>
          <w:szCs w:val="24"/>
        </w:rPr>
        <w:t>,</w:t>
      </w:r>
      <w:r w:rsidRPr="00B869F8">
        <w:t xml:space="preserve"> </w:t>
      </w:r>
      <w:r w:rsidRPr="00B869F8">
        <w:rPr>
          <w:rFonts w:ascii="Times New Roman" w:eastAsia="Times New Roman" w:hAnsi="Times New Roman" w:cs="Times New Roman"/>
          <w:sz w:val="26"/>
          <w:szCs w:val="24"/>
        </w:rPr>
        <w:t xml:space="preserve">Application </w:t>
      </w:r>
      <w:r>
        <w:rPr>
          <w:rFonts w:ascii="Times New Roman" w:eastAsia="Times New Roman" w:hAnsi="Times New Roman" w:cs="Times New Roman"/>
          <w:sz w:val="26"/>
          <w:szCs w:val="24"/>
        </w:rPr>
        <w:t>u</w:t>
      </w:r>
      <w:r w:rsidRPr="00B869F8">
        <w:rPr>
          <w:rFonts w:ascii="Times New Roman" w:eastAsia="Times New Roman" w:hAnsi="Times New Roman" w:cs="Times New Roman"/>
          <w:sz w:val="26"/>
          <w:szCs w:val="24"/>
        </w:rPr>
        <w:t>nder Federal Power Act Section 203; FERC-516, Electric Rate Schedules and Tariff Filings</w:t>
      </w:r>
      <w:r>
        <w:rPr>
          <w:rFonts w:ascii="Times New Roman" w:eastAsia="Times New Roman" w:hAnsi="Times New Roman" w:cs="Times New Roman"/>
          <w:sz w:val="26"/>
          <w:szCs w:val="24"/>
        </w:rPr>
        <w:t xml:space="preserve">; and </w:t>
      </w:r>
      <w:r w:rsidRPr="00DD287D">
        <w:rPr>
          <w:rFonts w:ascii="Times New Roman" w:eastAsia="Times New Roman" w:hAnsi="Times New Roman" w:cs="Times New Roman"/>
          <w:sz w:val="26"/>
          <w:szCs w:val="24"/>
        </w:rPr>
        <w:t>FERC-555, Preservation of Records for Public Utilities and Licensees, Natural Gas and Oil Pipeline Companies.</w:t>
      </w:r>
    </w:p>
    <w:p w14:paraId="2D1C14B2" w14:textId="77777777" w:rsidR="006552FA" w:rsidRDefault="006552FA" w:rsidP="006D2223">
      <w:pPr>
        <w:tabs>
          <w:tab w:val="left" w:pos="720"/>
        </w:tabs>
        <w:autoSpaceDN w:val="0"/>
        <w:spacing w:after="0" w:line="480" w:lineRule="auto"/>
        <w:rPr>
          <w:rFonts w:ascii="Times New Roman" w:eastAsia="Times New Roman" w:hAnsi="Times New Roman" w:cs="Times New Roman"/>
          <w:sz w:val="26"/>
          <w:szCs w:val="26"/>
          <w:u w:val="single"/>
        </w:rPr>
      </w:pPr>
    </w:p>
    <w:p w14:paraId="7D8545E6" w14:textId="77777777" w:rsidR="006D2223" w:rsidRPr="00173CD1" w:rsidRDefault="006D2223" w:rsidP="006D2223">
      <w:pPr>
        <w:tabs>
          <w:tab w:val="left" w:pos="720"/>
        </w:tabs>
        <w:autoSpaceDN w:val="0"/>
        <w:spacing w:after="0" w:line="480" w:lineRule="auto"/>
        <w:rPr>
          <w:rFonts w:ascii="Times New Roman" w:eastAsia="Times New Roman" w:hAnsi="Times New Roman" w:cs="Times New Roman"/>
          <w:sz w:val="26"/>
          <w:szCs w:val="26"/>
        </w:rPr>
      </w:pPr>
      <w:r w:rsidRPr="00173CD1">
        <w:rPr>
          <w:rFonts w:ascii="Times New Roman" w:eastAsia="Times New Roman" w:hAnsi="Times New Roman" w:cs="Times New Roman"/>
          <w:sz w:val="26"/>
          <w:szCs w:val="26"/>
          <w:u w:val="single"/>
        </w:rPr>
        <w:t>Action</w:t>
      </w:r>
      <w:r w:rsidRPr="00173CD1">
        <w:rPr>
          <w:rFonts w:ascii="Times New Roman" w:eastAsia="Times New Roman" w:hAnsi="Times New Roman" w:cs="Times New Roman"/>
          <w:sz w:val="26"/>
          <w:szCs w:val="26"/>
        </w:rPr>
        <w:t>:</w:t>
      </w:r>
      <w:r w:rsidRPr="00173CD1">
        <w:rPr>
          <w:rFonts w:ascii="Times New Roman" w:eastAsia="Times New Roman" w:hAnsi="Times New Roman" w:cs="Times New Roman"/>
          <w:i/>
          <w:sz w:val="26"/>
          <w:szCs w:val="26"/>
        </w:rPr>
        <w:t xml:space="preserve"> </w:t>
      </w:r>
      <w:r w:rsidRPr="00173CD1">
        <w:rPr>
          <w:rFonts w:ascii="Times New Roman" w:eastAsia="Times New Roman" w:hAnsi="Times New Roman" w:cs="Times New Roman"/>
          <w:sz w:val="26"/>
          <w:szCs w:val="26"/>
        </w:rPr>
        <w:t xml:space="preserve"> </w:t>
      </w:r>
      <w:r w:rsidRPr="00B869F8">
        <w:rPr>
          <w:rFonts w:ascii="Times New Roman" w:eastAsia="Times New Roman" w:hAnsi="Times New Roman" w:cs="Times New Roman"/>
          <w:sz w:val="26"/>
          <w:szCs w:val="26"/>
        </w:rPr>
        <w:t>Revised</w:t>
      </w:r>
      <w:r w:rsidRPr="00173CD1">
        <w:rPr>
          <w:rFonts w:ascii="Times New Roman" w:eastAsia="Times New Roman" w:hAnsi="Times New Roman" w:cs="Times New Roman"/>
          <w:sz w:val="26"/>
          <w:szCs w:val="26"/>
        </w:rPr>
        <w:t xml:space="preserve"> Collection</w:t>
      </w:r>
      <w:r w:rsidRPr="00B869F8">
        <w:rPr>
          <w:rFonts w:ascii="Times New Roman" w:eastAsia="Times New Roman" w:hAnsi="Times New Roman" w:cs="Times New Roman"/>
          <w:sz w:val="26"/>
          <w:szCs w:val="26"/>
        </w:rPr>
        <w:t>s</w:t>
      </w:r>
      <w:r w:rsidRPr="00173CD1">
        <w:rPr>
          <w:rFonts w:ascii="Times New Roman" w:eastAsia="Times New Roman" w:hAnsi="Times New Roman" w:cs="Times New Roman"/>
          <w:sz w:val="26"/>
          <w:szCs w:val="26"/>
        </w:rPr>
        <w:t xml:space="preserve"> of Information.</w:t>
      </w:r>
    </w:p>
    <w:p w14:paraId="7CD79185" w14:textId="77777777" w:rsidR="006D2223" w:rsidRPr="00173CD1" w:rsidRDefault="006D2223" w:rsidP="006D2223">
      <w:pPr>
        <w:tabs>
          <w:tab w:val="left" w:pos="720"/>
        </w:tabs>
        <w:autoSpaceDN w:val="0"/>
        <w:spacing w:after="0" w:line="480" w:lineRule="auto"/>
        <w:rPr>
          <w:rFonts w:ascii="Times New Roman" w:eastAsia="Times New Roman" w:hAnsi="Times New Roman" w:cs="Times New Roman"/>
          <w:sz w:val="26"/>
          <w:szCs w:val="26"/>
        </w:rPr>
      </w:pPr>
      <w:r w:rsidRPr="00173CD1">
        <w:rPr>
          <w:rFonts w:ascii="Times New Roman" w:eastAsia="Times New Roman" w:hAnsi="Times New Roman" w:cs="Times New Roman"/>
          <w:sz w:val="26"/>
          <w:szCs w:val="26"/>
          <w:u w:val="single"/>
        </w:rPr>
        <w:t>OMB Control No</w:t>
      </w:r>
      <w:r w:rsidRPr="00173CD1">
        <w:rPr>
          <w:rFonts w:ascii="Times New Roman" w:eastAsia="Times New Roman" w:hAnsi="Times New Roman" w:cs="Times New Roman"/>
          <w:sz w:val="26"/>
          <w:szCs w:val="26"/>
        </w:rPr>
        <w:t xml:space="preserve">:  </w:t>
      </w:r>
      <w:r w:rsidRPr="00B869F8">
        <w:rPr>
          <w:rFonts w:ascii="Times New Roman" w:eastAsia="Times New Roman" w:hAnsi="Times New Roman" w:cs="Times New Roman"/>
          <w:sz w:val="26"/>
          <w:szCs w:val="26"/>
        </w:rPr>
        <w:t>1902-0082</w:t>
      </w:r>
      <w:r>
        <w:rPr>
          <w:rFonts w:ascii="Times New Roman" w:eastAsia="Times New Roman" w:hAnsi="Times New Roman" w:cs="Times New Roman"/>
          <w:sz w:val="26"/>
          <w:szCs w:val="26"/>
        </w:rPr>
        <w:t xml:space="preserve"> (FERC-519), 1902-0096 (</w:t>
      </w:r>
      <w:r w:rsidRPr="00B869F8">
        <w:rPr>
          <w:rFonts w:ascii="Times New Roman" w:eastAsia="Times New Roman" w:hAnsi="Times New Roman" w:cs="Times New Roman"/>
          <w:sz w:val="26"/>
          <w:szCs w:val="26"/>
        </w:rPr>
        <w:t>FERC-516)</w:t>
      </w:r>
      <w:r>
        <w:rPr>
          <w:rFonts w:ascii="Times New Roman" w:eastAsia="Times New Roman" w:hAnsi="Times New Roman" w:cs="Times New Roman"/>
          <w:sz w:val="26"/>
          <w:szCs w:val="26"/>
        </w:rPr>
        <w:t>, and</w:t>
      </w:r>
      <w:r w:rsidRPr="00DD287D">
        <w:t xml:space="preserve"> </w:t>
      </w:r>
      <w:r w:rsidRPr="00DD287D">
        <w:rPr>
          <w:rFonts w:ascii="Times New Roman" w:eastAsia="Times New Roman" w:hAnsi="Times New Roman" w:cs="Times New Roman"/>
          <w:sz w:val="26"/>
          <w:szCs w:val="26"/>
        </w:rPr>
        <w:t>1902-0098</w:t>
      </w:r>
      <w:r>
        <w:rPr>
          <w:rFonts w:ascii="Times New Roman" w:eastAsia="Times New Roman" w:hAnsi="Times New Roman" w:cs="Times New Roman"/>
          <w:sz w:val="26"/>
          <w:szCs w:val="26"/>
        </w:rPr>
        <w:t xml:space="preserve"> (FERC-555)</w:t>
      </w:r>
      <w:r w:rsidRPr="00173CD1">
        <w:rPr>
          <w:rFonts w:ascii="Times New Roman" w:eastAsia="Times New Roman" w:hAnsi="Times New Roman" w:cs="Times New Roman"/>
          <w:sz w:val="26"/>
          <w:szCs w:val="26"/>
        </w:rPr>
        <w:t>.</w:t>
      </w:r>
    </w:p>
    <w:p w14:paraId="74F69D04" w14:textId="77777777" w:rsidR="006D2223" w:rsidRPr="00173CD1" w:rsidRDefault="006D2223" w:rsidP="006D2223">
      <w:pPr>
        <w:tabs>
          <w:tab w:val="left" w:pos="720"/>
        </w:tabs>
        <w:autoSpaceDN w:val="0"/>
        <w:spacing w:after="0" w:line="480" w:lineRule="auto"/>
        <w:rPr>
          <w:rFonts w:ascii="Times New Roman" w:eastAsia="Times New Roman" w:hAnsi="Times New Roman" w:cs="Times New Roman"/>
          <w:sz w:val="26"/>
          <w:szCs w:val="26"/>
        </w:rPr>
      </w:pPr>
      <w:r w:rsidRPr="00173CD1">
        <w:rPr>
          <w:rFonts w:ascii="Times New Roman" w:eastAsia="Times New Roman" w:hAnsi="Times New Roman" w:cs="Times New Roman"/>
          <w:sz w:val="26"/>
          <w:szCs w:val="26"/>
          <w:u w:val="single"/>
        </w:rPr>
        <w:t>Respondents</w:t>
      </w:r>
      <w:r w:rsidRPr="00173CD1">
        <w:rPr>
          <w:rFonts w:ascii="Times New Roman" w:eastAsia="Times New Roman" w:hAnsi="Times New Roman" w:cs="Times New Roman"/>
          <w:sz w:val="26"/>
          <w:szCs w:val="26"/>
        </w:rPr>
        <w:t>:</w:t>
      </w:r>
      <w:r w:rsidRPr="00173CD1">
        <w:rPr>
          <w:rFonts w:ascii="Times New Roman" w:eastAsia="Times New Roman" w:hAnsi="Times New Roman" w:cs="Times New Roman"/>
          <w:i/>
          <w:sz w:val="26"/>
          <w:szCs w:val="26"/>
        </w:rPr>
        <w:t xml:space="preserve">  </w:t>
      </w:r>
      <w:r w:rsidRPr="00173CD1">
        <w:rPr>
          <w:rFonts w:ascii="Times New Roman" w:eastAsia="Times New Roman" w:hAnsi="Times New Roman" w:cs="Times New Roman"/>
          <w:sz w:val="26"/>
          <w:szCs w:val="26"/>
        </w:rPr>
        <w:t>Business or other for profit, and not for profit institutions.</w:t>
      </w:r>
    </w:p>
    <w:p w14:paraId="33F28C7A" w14:textId="77777777" w:rsidR="006D2223" w:rsidRPr="00173CD1" w:rsidRDefault="006D2223" w:rsidP="006D2223">
      <w:pPr>
        <w:tabs>
          <w:tab w:val="left" w:pos="720"/>
        </w:tabs>
        <w:autoSpaceDN w:val="0"/>
        <w:spacing w:after="0" w:line="480" w:lineRule="auto"/>
        <w:rPr>
          <w:rFonts w:ascii="Times New Roman" w:eastAsia="Times New Roman" w:hAnsi="Times New Roman" w:cs="Times New Roman"/>
          <w:sz w:val="26"/>
          <w:szCs w:val="26"/>
        </w:rPr>
      </w:pPr>
      <w:r w:rsidRPr="00173CD1">
        <w:rPr>
          <w:rFonts w:ascii="Times New Roman" w:eastAsia="Times New Roman" w:hAnsi="Times New Roman" w:cs="Times New Roman"/>
          <w:sz w:val="26"/>
          <w:szCs w:val="26"/>
          <w:u w:val="single"/>
        </w:rPr>
        <w:t>Frequency of Responses</w:t>
      </w:r>
      <w:r w:rsidRPr="00173C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As needed and o</w:t>
      </w:r>
      <w:r w:rsidRPr="00173CD1">
        <w:rPr>
          <w:rFonts w:ascii="Times New Roman" w:eastAsia="Times New Roman" w:hAnsi="Times New Roman" w:cs="Times New Roman"/>
          <w:sz w:val="26"/>
          <w:szCs w:val="26"/>
        </w:rPr>
        <w:t xml:space="preserve">ngoing. </w:t>
      </w:r>
    </w:p>
    <w:p w14:paraId="7B03FF0E" w14:textId="77777777" w:rsidR="006D2223" w:rsidRPr="00173CD1" w:rsidRDefault="006D2223" w:rsidP="006D2223">
      <w:pPr>
        <w:tabs>
          <w:tab w:val="left" w:pos="720"/>
        </w:tabs>
        <w:autoSpaceDN w:val="0"/>
        <w:spacing w:after="0" w:line="480" w:lineRule="auto"/>
        <w:rPr>
          <w:rFonts w:ascii="Times New Roman" w:eastAsia="Times New Roman" w:hAnsi="Times New Roman" w:cs="Times New Roman"/>
          <w:sz w:val="26"/>
          <w:szCs w:val="26"/>
        </w:rPr>
      </w:pPr>
      <w:r w:rsidRPr="00173CD1">
        <w:rPr>
          <w:rFonts w:ascii="Times New Roman" w:eastAsia="Times New Roman" w:hAnsi="Times New Roman" w:cs="Times New Roman"/>
          <w:sz w:val="26"/>
          <w:szCs w:val="26"/>
          <w:u w:val="single"/>
        </w:rPr>
        <w:t>Necessity of the Information</w:t>
      </w:r>
      <w:r w:rsidRPr="00173C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To protect ratepayers and</w:t>
      </w:r>
      <w:r w:rsidRPr="00AB2DA8">
        <w:rPr>
          <w:rFonts w:ascii="Times New Roman" w:eastAsia="Times New Roman" w:hAnsi="Times New Roman" w:cs="Times New Roman"/>
          <w:sz w:val="26"/>
          <w:szCs w:val="24"/>
        </w:rPr>
        <w:t xml:space="preserve"> </w:t>
      </w:r>
      <w:r w:rsidRPr="00D41ED0">
        <w:rPr>
          <w:rFonts w:ascii="Times New Roman" w:eastAsia="Times New Roman" w:hAnsi="Times New Roman" w:cs="Times New Roman"/>
          <w:sz w:val="26"/>
          <w:szCs w:val="24"/>
        </w:rPr>
        <w:t xml:space="preserve">to mitigate </w:t>
      </w:r>
      <w:r>
        <w:rPr>
          <w:rFonts w:ascii="Times New Roman" w:eastAsia="Times New Roman" w:hAnsi="Times New Roman" w:cs="Times New Roman"/>
          <w:sz w:val="26"/>
          <w:szCs w:val="24"/>
        </w:rPr>
        <w:t xml:space="preserve">possible </w:t>
      </w:r>
      <w:r w:rsidRPr="00D41ED0">
        <w:rPr>
          <w:rFonts w:ascii="Times New Roman" w:eastAsia="Times New Roman" w:hAnsi="Times New Roman" w:cs="Times New Roman"/>
          <w:sz w:val="26"/>
          <w:szCs w:val="24"/>
        </w:rPr>
        <w:t>adverse effects on rates that may result from mergers or certain other transactions that are subject to section 203 of</w:t>
      </w:r>
      <w:r>
        <w:rPr>
          <w:rFonts w:ascii="Times New Roman" w:eastAsia="Times New Roman" w:hAnsi="Times New Roman" w:cs="Times New Roman"/>
          <w:sz w:val="26"/>
          <w:szCs w:val="24"/>
        </w:rPr>
        <w:t xml:space="preserve"> the FPA</w:t>
      </w:r>
      <w:r>
        <w:rPr>
          <w:rFonts w:ascii="Times New Roman" w:eastAsia="Times New Roman" w:hAnsi="Times New Roman" w:cs="Times New Roman"/>
          <w:sz w:val="26"/>
          <w:szCs w:val="26"/>
        </w:rPr>
        <w:t>, we</w:t>
      </w:r>
      <w:r w:rsidRPr="00FE5693">
        <w:rPr>
          <w:rFonts w:ascii="Times New Roman" w:eastAsia="Times New Roman" w:hAnsi="Times New Roman" w:cs="Times New Roman"/>
          <w:sz w:val="26"/>
          <w:szCs w:val="26"/>
        </w:rPr>
        <w:t xml:space="preserve"> </w:t>
      </w:r>
      <w:r w:rsidRPr="00D41ED0">
        <w:rPr>
          <w:rFonts w:ascii="Times New Roman" w:eastAsia="Times New Roman" w:hAnsi="Times New Roman" w:cs="Times New Roman"/>
          <w:sz w:val="26"/>
          <w:szCs w:val="24"/>
        </w:rPr>
        <w:t>propose</w:t>
      </w:r>
      <w:r>
        <w:rPr>
          <w:rFonts w:ascii="Times New Roman" w:eastAsia="Times New Roman" w:hAnsi="Times New Roman" w:cs="Times New Roman"/>
          <w:sz w:val="26"/>
          <w:szCs w:val="24"/>
        </w:rPr>
        <w:t xml:space="preserve"> </w:t>
      </w:r>
      <w:r w:rsidRPr="00D41ED0">
        <w:rPr>
          <w:rFonts w:ascii="Times New Roman" w:eastAsia="Times New Roman" w:hAnsi="Times New Roman" w:cs="Times New Roman"/>
          <w:sz w:val="26"/>
          <w:szCs w:val="24"/>
        </w:rPr>
        <w:t>clarifications</w:t>
      </w:r>
      <w:r>
        <w:rPr>
          <w:rFonts w:ascii="Times New Roman" w:eastAsia="Times New Roman" w:hAnsi="Times New Roman" w:cs="Times New Roman"/>
          <w:sz w:val="26"/>
          <w:szCs w:val="24"/>
        </w:rPr>
        <w:t xml:space="preserve"> and additional information collection requirements</w:t>
      </w:r>
      <w:r w:rsidRPr="00D41ED0">
        <w:rPr>
          <w:rFonts w:ascii="Times New Roman" w:eastAsia="Times New Roman" w:hAnsi="Times New Roman" w:cs="Times New Roman"/>
          <w:sz w:val="26"/>
          <w:szCs w:val="24"/>
        </w:rPr>
        <w:t xml:space="preserve"> re</w:t>
      </w:r>
      <w:r>
        <w:rPr>
          <w:rFonts w:ascii="Times New Roman" w:eastAsia="Times New Roman" w:hAnsi="Times New Roman" w:cs="Times New Roman"/>
          <w:sz w:val="26"/>
          <w:szCs w:val="24"/>
        </w:rPr>
        <w:t>lated to</w:t>
      </w:r>
      <w:r w:rsidRPr="00D41ED0">
        <w:rPr>
          <w:rFonts w:ascii="Times New Roman" w:eastAsia="Times New Roman" w:hAnsi="Times New Roman" w:cs="Times New Roman"/>
          <w:sz w:val="26"/>
          <w:szCs w:val="24"/>
        </w:rPr>
        <w:t xml:space="preserve"> hold harmless commitments offered by applicants</w:t>
      </w:r>
      <w:r>
        <w:rPr>
          <w:rFonts w:ascii="Times New Roman" w:eastAsia="Times New Roman" w:hAnsi="Times New Roman" w:cs="Times New Roman"/>
          <w:sz w:val="26"/>
          <w:szCs w:val="24"/>
        </w:rPr>
        <w:t>.</w:t>
      </w:r>
      <w:r w:rsidRPr="00173CD1">
        <w:rPr>
          <w:rFonts w:ascii="Times New Roman" w:eastAsia="Times New Roman" w:hAnsi="Times New Roman" w:cs="Times New Roman"/>
          <w:sz w:val="26"/>
          <w:szCs w:val="24"/>
        </w:rPr>
        <w:t xml:space="preserve"> </w:t>
      </w:r>
    </w:p>
    <w:p w14:paraId="635CBB03" w14:textId="77777777" w:rsidR="006D2223" w:rsidRPr="00173CD1" w:rsidRDefault="006D2223" w:rsidP="006D2223">
      <w:pPr>
        <w:tabs>
          <w:tab w:val="left" w:pos="720"/>
        </w:tabs>
        <w:autoSpaceDE w:val="0"/>
        <w:autoSpaceDN w:val="0"/>
        <w:adjustRightInd w:val="0"/>
        <w:spacing w:after="0" w:line="480" w:lineRule="auto"/>
        <w:rPr>
          <w:rFonts w:ascii="Times New Roman" w:eastAsia="Times New Roman" w:hAnsi="Times New Roman" w:cs="Times New Roman"/>
          <w:sz w:val="26"/>
          <w:szCs w:val="24"/>
        </w:rPr>
      </w:pPr>
      <w:r w:rsidRPr="00173CD1">
        <w:rPr>
          <w:rFonts w:ascii="Times New Roman" w:eastAsia="Times New Roman" w:hAnsi="Times New Roman" w:cs="Times New Roman"/>
          <w:sz w:val="26"/>
          <w:szCs w:val="24"/>
          <w:u w:val="single"/>
        </w:rPr>
        <w:t>Internal review</w:t>
      </w:r>
      <w:r w:rsidRPr="00173CD1">
        <w:rPr>
          <w:rFonts w:ascii="Times New Roman" w:eastAsia="Times New Roman" w:hAnsi="Times New Roman" w:cs="Times New Roman"/>
          <w:sz w:val="26"/>
          <w:szCs w:val="24"/>
        </w:rPr>
        <w:t xml:space="preserve">:  The Commission has reviewed </w:t>
      </w:r>
      <w:r w:rsidRPr="00FE5693">
        <w:rPr>
          <w:rFonts w:ascii="Times New Roman" w:eastAsia="Times New Roman" w:hAnsi="Times New Roman" w:cs="Times New Roman"/>
          <w:sz w:val="26"/>
          <w:szCs w:val="24"/>
        </w:rPr>
        <w:t xml:space="preserve">the changes included in the Proposed Policy Statement </w:t>
      </w:r>
      <w:r w:rsidRPr="00173CD1">
        <w:rPr>
          <w:rFonts w:ascii="Times New Roman" w:eastAsia="Times New Roman" w:hAnsi="Times New Roman" w:cs="Times New Roman"/>
          <w:sz w:val="26"/>
          <w:szCs w:val="24"/>
        </w:rPr>
        <w:t xml:space="preserve">and has determined that the </w:t>
      </w:r>
      <w:r w:rsidRPr="00FE5693">
        <w:rPr>
          <w:rFonts w:ascii="Times New Roman" w:eastAsia="Times New Roman" w:hAnsi="Times New Roman" w:cs="Times New Roman"/>
          <w:sz w:val="26"/>
          <w:szCs w:val="24"/>
        </w:rPr>
        <w:t>additional reporting and recordkeeping requirements</w:t>
      </w:r>
      <w:r w:rsidRPr="00173CD1">
        <w:rPr>
          <w:rFonts w:ascii="Times New Roman" w:eastAsia="Times New Roman" w:hAnsi="Times New Roman" w:cs="Times New Roman"/>
          <w:sz w:val="26"/>
          <w:szCs w:val="24"/>
        </w:rPr>
        <w:t xml:space="preserve"> </w:t>
      </w:r>
      <w:r w:rsidRPr="00FE5693">
        <w:rPr>
          <w:rFonts w:ascii="Times New Roman" w:eastAsia="Times New Roman" w:hAnsi="Times New Roman" w:cs="Times New Roman"/>
          <w:sz w:val="26"/>
          <w:szCs w:val="24"/>
        </w:rPr>
        <w:t>are</w:t>
      </w:r>
      <w:r w:rsidRPr="00173CD1">
        <w:rPr>
          <w:rFonts w:ascii="Times New Roman" w:eastAsia="Times New Roman" w:hAnsi="Times New Roman" w:cs="Times New Roman"/>
          <w:sz w:val="26"/>
          <w:szCs w:val="24"/>
        </w:rPr>
        <w:t xml:space="preserve"> necessary</w:t>
      </w:r>
      <w:r>
        <w:rPr>
          <w:rFonts w:ascii="Times New Roman" w:eastAsia="Times New Roman" w:hAnsi="Times New Roman" w:cs="Times New Roman"/>
          <w:sz w:val="26"/>
          <w:szCs w:val="24"/>
        </w:rPr>
        <w:t>.</w:t>
      </w:r>
      <w:r w:rsidRPr="00FE5693">
        <w:rPr>
          <w:rFonts w:ascii="Times New Roman" w:eastAsia="Times New Roman" w:hAnsi="Times New Roman" w:cs="Times New Roman"/>
          <w:sz w:val="26"/>
          <w:szCs w:val="24"/>
        </w:rPr>
        <w:t xml:space="preserve"> </w:t>
      </w:r>
    </w:p>
    <w:p w14:paraId="777F56C0" w14:textId="6C73553E" w:rsidR="006D2223" w:rsidRPr="00173CD1" w:rsidRDefault="006D2223" w:rsidP="006D2223">
      <w:pPr>
        <w:tabs>
          <w:tab w:val="num" w:pos="720"/>
        </w:tabs>
        <w:autoSpaceDE w:val="0"/>
        <w:autoSpaceDN w:val="0"/>
        <w:adjustRightInd w:val="0"/>
        <w:spacing w:after="0" w:line="480" w:lineRule="auto"/>
        <w:rPr>
          <w:rFonts w:ascii="Times New Roman" w:eastAsia="Times New Roman" w:hAnsi="Times New Roman" w:cs="Times New Roman"/>
          <w:sz w:val="26"/>
          <w:szCs w:val="24"/>
        </w:rPr>
      </w:pPr>
      <w:r w:rsidRPr="00173CD1">
        <w:rPr>
          <w:rFonts w:ascii="Times New Roman" w:eastAsia="Times New Roman" w:hAnsi="Times New Roman" w:cs="Times New Roman"/>
          <w:sz w:val="26"/>
          <w:szCs w:val="24"/>
        </w:rPr>
        <w:t>Interested persons may obtain information on the reporting requirements by contacting:  Federal Energy Regulatory Commission, 888 First Street, NE, Washington, D</w:t>
      </w:r>
      <w:r w:rsidR="00AC7042">
        <w:rPr>
          <w:rFonts w:ascii="Times New Roman" w:eastAsia="Times New Roman" w:hAnsi="Times New Roman" w:cs="Times New Roman"/>
          <w:sz w:val="26"/>
          <w:szCs w:val="24"/>
        </w:rPr>
        <w:t>.</w:t>
      </w:r>
      <w:r w:rsidRPr="00173CD1">
        <w:rPr>
          <w:rFonts w:ascii="Times New Roman" w:eastAsia="Times New Roman" w:hAnsi="Times New Roman" w:cs="Times New Roman"/>
          <w:sz w:val="26"/>
          <w:szCs w:val="24"/>
        </w:rPr>
        <w:t>C</w:t>
      </w:r>
      <w:r w:rsidR="00AC7042">
        <w:rPr>
          <w:rFonts w:ascii="Times New Roman" w:eastAsia="Times New Roman" w:hAnsi="Times New Roman" w:cs="Times New Roman"/>
          <w:sz w:val="26"/>
          <w:szCs w:val="24"/>
        </w:rPr>
        <w:t>.</w:t>
      </w:r>
      <w:r w:rsidRPr="00173CD1">
        <w:rPr>
          <w:rFonts w:ascii="Times New Roman" w:eastAsia="Times New Roman" w:hAnsi="Times New Roman" w:cs="Times New Roman"/>
          <w:sz w:val="26"/>
          <w:szCs w:val="24"/>
        </w:rPr>
        <w:t xml:space="preserve"> 20426 [Attention:  Ellen Brown, Office of the Executive Director, e-mail:  DataClearance@ferc.gov, Phone:  (202) 502-8663, fax: (202) 273-0873].  </w:t>
      </w:r>
    </w:p>
    <w:p w14:paraId="0063B180" w14:textId="672154B1" w:rsidR="002B4D58" w:rsidRPr="002C2FB6" w:rsidRDefault="002B4D58" w:rsidP="002B4D58">
      <w:pPr>
        <w:spacing w:line="480" w:lineRule="auto"/>
        <w:rPr>
          <w:rFonts w:ascii="Times New Roman" w:hAnsi="Times New Roman" w:cs="Times New Roman"/>
          <w:sz w:val="26"/>
          <w:szCs w:val="26"/>
        </w:rPr>
      </w:pPr>
      <w:r w:rsidRPr="002C2FB6">
        <w:rPr>
          <w:rFonts w:ascii="Times New Roman" w:hAnsi="Times New Roman" w:cs="Times New Roman"/>
          <w:sz w:val="26"/>
          <w:szCs w:val="26"/>
        </w:rPr>
        <w:t>By the Commission.</w:t>
      </w:r>
      <w:r w:rsidR="006552FA">
        <w:rPr>
          <w:rFonts w:ascii="Times New Roman" w:hAnsi="Times New Roman" w:cs="Times New Roman"/>
          <w:sz w:val="26"/>
          <w:szCs w:val="26"/>
        </w:rPr>
        <w:t xml:space="preserve">  Commissioner Honorable is voting present.</w:t>
      </w:r>
    </w:p>
    <w:p w14:paraId="0B9D34C0" w14:textId="114D8510" w:rsidR="008A6F07" w:rsidRDefault="006552FA" w:rsidP="006552FA">
      <w:pPr>
        <w:spacing w:after="0" w:line="240" w:lineRule="auto"/>
        <w:rPr>
          <w:rFonts w:ascii="Times New Roman" w:hAnsi="Times New Roman" w:cs="Times New Roman"/>
          <w:sz w:val="26"/>
          <w:szCs w:val="26"/>
        </w:rPr>
      </w:pPr>
      <w:r w:rsidRPr="006552FA">
        <w:rPr>
          <w:rFonts w:ascii="Times New Roman" w:hAnsi="Times New Roman" w:cs="Times New Roman"/>
          <w:sz w:val="26"/>
          <w:szCs w:val="26"/>
        </w:rPr>
        <w:t>( S E A L )</w:t>
      </w:r>
    </w:p>
    <w:p w14:paraId="65F67454" w14:textId="3AD9993A" w:rsidR="006552FA" w:rsidRDefault="006552FA" w:rsidP="006552FA">
      <w:pPr>
        <w:spacing w:after="0" w:line="240" w:lineRule="auto"/>
        <w:rPr>
          <w:rFonts w:ascii="Times New Roman" w:hAnsi="Times New Roman" w:cs="Times New Roman"/>
          <w:sz w:val="26"/>
          <w:szCs w:val="26"/>
        </w:rPr>
      </w:pPr>
    </w:p>
    <w:p w14:paraId="48D81053" w14:textId="23F71A38" w:rsidR="006552FA" w:rsidRDefault="006552FA" w:rsidP="006552FA">
      <w:pPr>
        <w:spacing w:after="0" w:line="240" w:lineRule="auto"/>
        <w:rPr>
          <w:rFonts w:ascii="Times New Roman" w:hAnsi="Times New Roman" w:cs="Times New Roman"/>
          <w:sz w:val="26"/>
          <w:szCs w:val="26"/>
        </w:rPr>
      </w:pPr>
    </w:p>
    <w:p w14:paraId="748E1E2B" w14:textId="0B283F2D" w:rsidR="006552FA" w:rsidRDefault="006552FA" w:rsidP="006552FA">
      <w:pPr>
        <w:spacing w:after="0" w:line="240" w:lineRule="auto"/>
        <w:rPr>
          <w:rFonts w:ascii="Times New Roman" w:hAnsi="Times New Roman" w:cs="Times New Roman"/>
          <w:sz w:val="26"/>
          <w:szCs w:val="26"/>
        </w:rPr>
      </w:pPr>
    </w:p>
    <w:p w14:paraId="220C5606" w14:textId="31DF9ED9" w:rsidR="006552FA" w:rsidRPr="006552FA" w:rsidRDefault="006552FA" w:rsidP="006552FA">
      <w:pPr>
        <w:spacing w:after="0" w:line="240" w:lineRule="auto"/>
        <w:ind w:firstLine="2606"/>
        <w:jc w:val="center"/>
        <w:rPr>
          <w:rFonts w:ascii="Times New Roman" w:hAnsi="Times New Roman" w:cs="Times New Roman"/>
          <w:sz w:val="26"/>
        </w:rPr>
      </w:pPr>
      <w:r w:rsidRPr="006552FA">
        <w:rPr>
          <w:rFonts w:ascii="Times New Roman" w:hAnsi="Times New Roman" w:cs="Times New Roman"/>
          <w:sz w:val="26"/>
        </w:rPr>
        <w:t>Nathaniel J. Davis, Sr.,</w:t>
      </w:r>
    </w:p>
    <w:p w14:paraId="1873E9DE" w14:textId="4F8781E3" w:rsidR="006552FA" w:rsidRPr="006552FA" w:rsidRDefault="006552FA" w:rsidP="006552FA">
      <w:pPr>
        <w:spacing w:after="0" w:line="240" w:lineRule="auto"/>
        <w:ind w:firstLine="2606"/>
        <w:jc w:val="center"/>
        <w:rPr>
          <w:rFonts w:ascii="Times New Roman" w:hAnsi="Times New Roman" w:cs="Times New Roman"/>
          <w:sz w:val="26"/>
          <w:szCs w:val="26"/>
        </w:rPr>
      </w:pPr>
      <w:r w:rsidRPr="006552FA">
        <w:rPr>
          <w:rFonts w:ascii="Times New Roman" w:hAnsi="Times New Roman" w:cs="Times New Roman"/>
          <w:sz w:val="26"/>
        </w:rPr>
        <w:t>Deputy Secretary.</w:t>
      </w:r>
      <w:r>
        <w:rPr>
          <w:rFonts w:ascii="Times New Roman" w:hAnsi="Times New Roman" w:cs="Times New Roman"/>
          <w:sz w:val="26"/>
        </w:rPr>
        <w:t xml:space="preserve">  </w:t>
      </w:r>
    </w:p>
    <w:sectPr w:rsidR="006552FA" w:rsidRPr="006552FA" w:rsidSect="00566E31">
      <w:headerReference w:type="default" r:id="rId18"/>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68655" w14:textId="77777777" w:rsidR="005F6AE2" w:rsidRDefault="005F6AE2">
      <w:r>
        <w:separator/>
      </w:r>
    </w:p>
  </w:endnote>
  <w:endnote w:type="continuationSeparator" w:id="0">
    <w:p w14:paraId="523ADEB5" w14:textId="77777777" w:rsidR="005F6AE2" w:rsidRDefault="005F6AE2">
      <w:r>
        <w:continuationSeparator/>
      </w:r>
    </w:p>
  </w:endnote>
  <w:endnote w:type="continuationNotice" w:id="1">
    <w:p w14:paraId="0E8409FE" w14:textId="77777777" w:rsidR="005F6AE2" w:rsidRDefault="005F6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D076" w14:textId="77777777" w:rsidR="006E7588" w:rsidRDefault="006E7588" w:rsidP="008C1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01977" w14:textId="77777777" w:rsidR="005F6AE2" w:rsidRDefault="005F6AE2">
      <w:r>
        <w:separator/>
      </w:r>
    </w:p>
  </w:footnote>
  <w:footnote w:type="continuationSeparator" w:id="0">
    <w:p w14:paraId="45F7D951" w14:textId="77777777" w:rsidR="005F6AE2" w:rsidRDefault="005F6AE2">
      <w:r>
        <w:continuationSeparator/>
      </w:r>
    </w:p>
  </w:footnote>
  <w:footnote w:type="continuationNotice" w:id="1">
    <w:p w14:paraId="7D55EC0A" w14:textId="77777777" w:rsidR="005F6AE2" w:rsidRDefault="005F6AE2">
      <w:pPr>
        <w:spacing w:after="0" w:line="240" w:lineRule="auto"/>
      </w:pPr>
    </w:p>
    <w:p w14:paraId="644D40EE" w14:textId="77777777" w:rsidR="005F6AE2" w:rsidRPr="00A66DA8" w:rsidRDefault="005F6AE2" w:rsidP="00A66DA8">
      <w:pPr>
        <w:spacing w:after="0" w:line="240" w:lineRule="auto"/>
        <w:jc w:val="right"/>
        <w:rPr>
          <w:rFonts w:ascii="Times New Roman" w:hAnsi="Times New Roman" w:cs="Times New Roman"/>
          <w:sz w:val="26"/>
          <w:szCs w:val="26"/>
        </w:rPr>
      </w:pPr>
      <w:r w:rsidRPr="00A66DA8">
        <w:rPr>
          <w:rFonts w:ascii="Times New Roman" w:hAnsi="Times New Roman" w:cs="Times New Roman"/>
          <w:sz w:val="26"/>
          <w:szCs w:val="26"/>
        </w:rPr>
        <w:t>(contin</w:t>
      </w:r>
      <w:r>
        <w:rPr>
          <w:rFonts w:ascii="Times New Roman" w:hAnsi="Times New Roman" w:cs="Times New Roman"/>
          <w:sz w:val="26"/>
          <w:szCs w:val="26"/>
        </w:rPr>
        <w:t>u</w:t>
      </w:r>
      <w:r w:rsidRPr="00A66DA8">
        <w:rPr>
          <w:rFonts w:ascii="Times New Roman" w:hAnsi="Times New Roman" w:cs="Times New Roman"/>
          <w:sz w:val="26"/>
          <w:szCs w:val="26"/>
        </w:rPr>
        <w:t>ed…)</w:t>
      </w:r>
    </w:p>
  </w:footnote>
  <w:footnote w:id="2">
    <w:p w14:paraId="28FD548A" w14:textId="6EDEA052"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16 U.S.C. 824b.</w:t>
      </w:r>
      <w:r>
        <w:rPr>
          <w:rFonts w:ascii="Times New Roman" w:hAnsi="Times New Roman" w:cs="Times New Roman"/>
          <w:sz w:val="26"/>
          <w:szCs w:val="26"/>
        </w:rPr>
        <w:t xml:space="preserve">  </w:t>
      </w:r>
    </w:p>
  </w:footnote>
  <w:footnote w:id="3">
    <w:p w14:paraId="19A0E920" w14:textId="6DB96EC9" w:rsidR="006E7588" w:rsidRPr="00947289" w:rsidRDefault="006E7588" w:rsidP="006177F0">
      <w:pPr>
        <w:pStyle w:val="FootnoteText"/>
        <w:spacing w:line="240" w:lineRule="auto"/>
        <w:rPr>
          <w:rFonts w:ascii="Times New Roman" w:hAnsi="Times New Roman" w:cs="Times New Roman"/>
          <w:sz w:val="26"/>
          <w:szCs w:val="26"/>
        </w:rPr>
      </w:pPr>
      <w:r w:rsidRPr="00947289">
        <w:rPr>
          <w:rFonts w:ascii="Times New Roman" w:hAnsi="Times New Roman" w:cs="Times New Roman"/>
          <w:b/>
          <w:sz w:val="26"/>
          <w:szCs w:val="26"/>
          <w:vertAlign w:val="superscript"/>
        </w:rPr>
        <w:footnoteRef/>
      </w:r>
      <w:r w:rsidRPr="00947289">
        <w:rPr>
          <w:rFonts w:ascii="Times New Roman" w:hAnsi="Times New Roman" w:cs="Times New Roman"/>
          <w:sz w:val="26"/>
          <w:szCs w:val="26"/>
        </w:rPr>
        <w:t xml:space="preserve"> 16 U.S.C. 824b(a)(4).</w:t>
      </w:r>
    </w:p>
  </w:footnote>
  <w:footnote w:id="4">
    <w:p w14:paraId="4D1C214A" w14:textId="48F2AB73" w:rsidR="006E7588" w:rsidRPr="00947289" w:rsidRDefault="006E7588" w:rsidP="006177F0">
      <w:pPr>
        <w:pStyle w:val="FootnoteText"/>
        <w:spacing w:line="240" w:lineRule="auto"/>
        <w:rPr>
          <w:rFonts w:ascii="Times New Roman" w:hAnsi="Times New Roman" w:cs="Times New Roman"/>
          <w:sz w:val="26"/>
          <w:szCs w:val="26"/>
        </w:rPr>
      </w:pPr>
      <w:r w:rsidRPr="00947289">
        <w:rPr>
          <w:rFonts w:ascii="Times New Roman" w:hAnsi="Times New Roman" w:cs="Times New Roman"/>
          <w:b/>
          <w:sz w:val="26"/>
          <w:szCs w:val="26"/>
          <w:vertAlign w:val="superscript"/>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w:t>
      </w:r>
      <w:r w:rsidRPr="009D3018">
        <w:rPr>
          <w:rFonts w:ascii="Times New Roman" w:hAnsi="Times New Roman" w:cs="Times New Roman"/>
          <w:i/>
          <w:sz w:val="26"/>
          <w:szCs w:val="26"/>
        </w:rPr>
        <w:t xml:space="preserve"> </w:t>
      </w:r>
      <w:r w:rsidRPr="001071A2">
        <w:rPr>
          <w:rFonts w:ascii="Times New Roman" w:hAnsi="Times New Roman" w:cs="Times New Roman"/>
          <w:i/>
          <w:sz w:val="26"/>
          <w:szCs w:val="26"/>
        </w:rPr>
        <w:t>Inquiry Concerning the Commission’s Merger Policy Under the Federal Power Act: Policy Statement</w:t>
      </w:r>
      <w:r w:rsidRPr="00947289">
        <w:rPr>
          <w:rFonts w:ascii="Times New Roman" w:hAnsi="Times New Roman" w:cs="Times New Roman"/>
          <w:sz w:val="26"/>
          <w:szCs w:val="26"/>
        </w:rPr>
        <w:t>, Order No. 592,</w:t>
      </w:r>
      <w:r>
        <w:rPr>
          <w:rFonts w:ascii="Times New Roman" w:hAnsi="Times New Roman" w:cs="Times New Roman"/>
          <w:sz w:val="26"/>
          <w:szCs w:val="26"/>
        </w:rPr>
        <w:t xml:space="preserve"> 61 FR 68595 (Dec. 30, 1996),</w:t>
      </w:r>
      <w:r w:rsidRPr="00947289">
        <w:rPr>
          <w:rFonts w:ascii="Times New Roman" w:hAnsi="Times New Roman" w:cs="Times New Roman"/>
          <w:sz w:val="26"/>
          <w:szCs w:val="26"/>
        </w:rPr>
        <w:t xml:space="preserve"> FERC Stats. &amp; Regs. ¶ 31,044, at 30,111 (1996) (Merger Policy Statement), </w:t>
      </w:r>
      <w:r w:rsidRPr="0083239E">
        <w:rPr>
          <w:rFonts w:ascii="Times New Roman" w:hAnsi="Times New Roman" w:cs="Times New Roman"/>
          <w:i/>
          <w:sz w:val="26"/>
          <w:szCs w:val="26"/>
        </w:rPr>
        <w:t>reconsideration denied</w:t>
      </w:r>
      <w:r w:rsidRPr="00947289">
        <w:rPr>
          <w:rFonts w:ascii="Times New Roman" w:hAnsi="Times New Roman" w:cs="Times New Roman"/>
          <w:sz w:val="26"/>
          <w:szCs w:val="26"/>
        </w:rPr>
        <w:t xml:space="preserve">, Order No. 592-A, 79 FERC ¶ 61,321 (1997).  </w:t>
      </w:r>
      <w:r w:rsidRPr="001071A2">
        <w:rPr>
          <w:rFonts w:ascii="Times New Roman" w:hAnsi="Times New Roman" w:cs="Times New Roman"/>
          <w:i/>
          <w:sz w:val="26"/>
          <w:szCs w:val="26"/>
        </w:rPr>
        <w:t>See also</w:t>
      </w:r>
      <w:r w:rsidRPr="009D3018">
        <w:rPr>
          <w:rFonts w:ascii="Times New Roman" w:hAnsi="Times New Roman" w:cs="Times New Roman"/>
          <w:i/>
          <w:sz w:val="26"/>
          <w:szCs w:val="26"/>
        </w:rPr>
        <w:t xml:space="preserve"> </w:t>
      </w:r>
      <w:r w:rsidRPr="001071A2">
        <w:rPr>
          <w:rFonts w:ascii="Times New Roman" w:hAnsi="Times New Roman" w:cs="Times New Roman"/>
          <w:i/>
          <w:sz w:val="26"/>
          <w:szCs w:val="26"/>
        </w:rPr>
        <w:t>FPA Section 203 Supplemental Policy Statement</w:t>
      </w:r>
      <w:r w:rsidRPr="00947289">
        <w:rPr>
          <w:rFonts w:ascii="Times New Roman" w:hAnsi="Times New Roman" w:cs="Times New Roman"/>
          <w:sz w:val="26"/>
          <w:szCs w:val="26"/>
        </w:rPr>
        <w:t>,</w:t>
      </w:r>
      <w:r>
        <w:rPr>
          <w:rFonts w:ascii="Times New Roman" w:hAnsi="Times New Roman" w:cs="Times New Roman"/>
          <w:sz w:val="26"/>
          <w:szCs w:val="26"/>
        </w:rPr>
        <w:t xml:space="preserve"> 72 FR 42277 (Aug. 2, 2007),</w:t>
      </w:r>
      <w:r w:rsidRPr="00947289">
        <w:rPr>
          <w:rFonts w:ascii="Times New Roman" w:hAnsi="Times New Roman" w:cs="Times New Roman"/>
          <w:sz w:val="26"/>
          <w:szCs w:val="26"/>
        </w:rPr>
        <w:t xml:space="preserve"> FERC Stats. &amp; Regs. ¶ 31,253 (2007).  </w:t>
      </w:r>
      <w:r w:rsidRPr="00187A82">
        <w:rPr>
          <w:rFonts w:ascii="Times New Roman" w:hAnsi="Times New Roman" w:cs="Times New Roman"/>
          <w:sz w:val="26"/>
          <w:szCs w:val="26"/>
        </w:rPr>
        <w:t>See also</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Revised Filing Requirements Under Part 33 of the Commission’s Regulations</w:t>
      </w:r>
      <w:r w:rsidRPr="00947289">
        <w:rPr>
          <w:rFonts w:ascii="Times New Roman" w:hAnsi="Times New Roman" w:cs="Times New Roman"/>
          <w:sz w:val="26"/>
          <w:szCs w:val="26"/>
        </w:rPr>
        <w:t>, Order No. 642,</w:t>
      </w:r>
      <w:r>
        <w:rPr>
          <w:rFonts w:ascii="Times New Roman" w:hAnsi="Times New Roman" w:cs="Times New Roman"/>
          <w:sz w:val="26"/>
          <w:szCs w:val="26"/>
        </w:rPr>
        <w:t xml:space="preserve"> 65 FR 70983 (Nov. 28, 2000),</w:t>
      </w:r>
      <w:r w:rsidRPr="00947289">
        <w:rPr>
          <w:rFonts w:ascii="Times New Roman" w:hAnsi="Times New Roman" w:cs="Times New Roman"/>
          <w:sz w:val="26"/>
          <w:szCs w:val="26"/>
        </w:rPr>
        <w:t xml:space="preserve"> FERC Stats. &amp; Regs. ¶ 31,111 (2000), </w:t>
      </w:r>
      <w:r w:rsidRPr="001071A2">
        <w:rPr>
          <w:rFonts w:ascii="Times New Roman" w:hAnsi="Times New Roman" w:cs="Times New Roman"/>
          <w:i/>
          <w:sz w:val="26"/>
          <w:szCs w:val="26"/>
        </w:rPr>
        <w:t>order on reh’g</w:t>
      </w:r>
      <w:r w:rsidRPr="00947289">
        <w:rPr>
          <w:rFonts w:ascii="Times New Roman" w:hAnsi="Times New Roman" w:cs="Times New Roman"/>
          <w:sz w:val="26"/>
          <w:szCs w:val="26"/>
        </w:rPr>
        <w:t xml:space="preserve">, Order No. 642-A, 94 FERC ¶ 61,289 (2001).  </w:t>
      </w:r>
      <w:r w:rsidRPr="001071A2">
        <w:rPr>
          <w:rFonts w:ascii="Times New Roman" w:hAnsi="Times New Roman" w:cs="Times New Roman"/>
          <w:i/>
          <w:sz w:val="26"/>
          <w:szCs w:val="26"/>
        </w:rPr>
        <w:t>See also</w:t>
      </w:r>
      <w:r w:rsidRPr="009D3018">
        <w:rPr>
          <w:rFonts w:ascii="Times New Roman" w:hAnsi="Times New Roman" w:cs="Times New Roman"/>
          <w:i/>
          <w:sz w:val="26"/>
          <w:szCs w:val="26"/>
        </w:rPr>
        <w:t xml:space="preserve"> </w:t>
      </w:r>
      <w:r w:rsidRPr="001071A2">
        <w:rPr>
          <w:rFonts w:ascii="Times New Roman" w:hAnsi="Times New Roman" w:cs="Times New Roman"/>
          <w:i/>
          <w:sz w:val="26"/>
          <w:szCs w:val="26"/>
        </w:rPr>
        <w:t>Transactions Subject to FPA Section 203</w:t>
      </w:r>
      <w:r w:rsidRPr="00947289">
        <w:rPr>
          <w:rFonts w:ascii="Times New Roman" w:hAnsi="Times New Roman" w:cs="Times New Roman"/>
          <w:sz w:val="26"/>
          <w:szCs w:val="26"/>
        </w:rPr>
        <w:t>, Order No. 669,</w:t>
      </w:r>
      <w:r>
        <w:rPr>
          <w:rFonts w:ascii="Times New Roman" w:hAnsi="Times New Roman" w:cs="Times New Roman"/>
          <w:sz w:val="26"/>
          <w:szCs w:val="26"/>
        </w:rPr>
        <w:t xml:space="preserve"> 71 FR 1348 (Jan. 6, 2006),</w:t>
      </w:r>
      <w:r w:rsidRPr="00947289">
        <w:rPr>
          <w:rFonts w:ascii="Times New Roman" w:hAnsi="Times New Roman" w:cs="Times New Roman"/>
          <w:sz w:val="26"/>
          <w:szCs w:val="26"/>
        </w:rPr>
        <w:t xml:space="preserve"> FERC Stats. &amp; Regs. ¶ 31,200 (2005), </w:t>
      </w:r>
      <w:r w:rsidRPr="001071A2">
        <w:rPr>
          <w:rFonts w:ascii="Times New Roman" w:hAnsi="Times New Roman" w:cs="Times New Roman"/>
          <w:i/>
          <w:sz w:val="26"/>
          <w:szCs w:val="26"/>
        </w:rPr>
        <w:t>order on reh’g</w:t>
      </w:r>
      <w:r w:rsidRPr="00947289">
        <w:rPr>
          <w:rFonts w:ascii="Times New Roman" w:hAnsi="Times New Roman" w:cs="Times New Roman"/>
          <w:sz w:val="26"/>
          <w:szCs w:val="26"/>
        </w:rPr>
        <w:t>, Order No. 669-A,</w:t>
      </w:r>
      <w:r>
        <w:rPr>
          <w:rFonts w:ascii="Times New Roman" w:hAnsi="Times New Roman" w:cs="Times New Roman"/>
          <w:sz w:val="26"/>
          <w:szCs w:val="26"/>
        </w:rPr>
        <w:t xml:space="preserve"> 71 FR 28422 (May 16, 2006),</w:t>
      </w:r>
      <w:r w:rsidRPr="00947289">
        <w:rPr>
          <w:rFonts w:ascii="Times New Roman" w:hAnsi="Times New Roman" w:cs="Times New Roman"/>
          <w:sz w:val="26"/>
          <w:szCs w:val="26"/>
        </w:rPr>
        <w:t xml:space="preserve"> FERC Stats. &amp; Regs. ¶ 31,214, </w:t>
      </w:r>
      <w:r w:rsidRPr="0083239E">
        <w:rPr>
          <w:rFonts w:ascii="Times New Roman" w:hAnsi="Times New Roman" w:cs="Times New Roman"/>
          <w:i/>
          <w:sz w:val="26"/>
          <w:szCs w:val="26"/>
        </w:rPr>
        <w:t>order on reh’g</w:t>
      </w:r>
      <w:r w:rsidRPr="00947289">
        <w:rPr>
          <w:rFonts w:ascii="Times New Roman" w:hAnsi="Times New Roman" w:cs="Times New Roman"/>
          <w:sz w:val="26"/>
          <w:szCs w:val="26"/>
        </w:rPr>
        <w:t>, Order No. 669-B,</w:t>
      </w:r>
      <w:r>
        <w:rPr>
          <w:rFonts w:ascii="Times New Roman" w:hAnsi="Times New Roman" w:cs="Times New Roman"/>
          <w:sz w:val="26"/>
          <w:szCs w:val="26"/>
        </w:rPr>
        <w:t xml:space="preserve"> 71 FR 42579 (July 27, 2006),</w:t>
      </w:r>
      <w:r w:rsidRPr="00947289">
        <w:rPr>
          <w:rFonts w:ascii="Times New Roman" w:hAnsi="Times New Roman" w:cs="Times New Roman"/>
          <w:sz w:val="26"/>
          <w:szCs w:val="26"/>
        </w:rPr>
        <w:t xml:space="preserve"> FERC Stats. &amp; Regs. ¶ 31,225 (2006).</w:t>
      </w:r>
    </w:p>
  </w:footnote>
  <w:footnote w:id="5">
    <w:p w14:paraId="4B35FFF7" w14:textId="7BC8A440"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16 U.S.C. 824b(a)(4).  The Commission’s regulations establish verification and information requirements for applicants that seek a determination that a transaction will not result in inappropriate cross-subsidization or a pledge or encumbrance of utility assets.  </w:t>
      </w:r>
      <w:r w:rsidRPr="001071A2">
        <w:rPr>
          <w:rFonts w:ascii="Times New Roman" w:hAnsi="Times New Roman" w:cs="Times New Roman"/>
          <w:i/>
          <w:sz w:val="26"/>
          <w:szCs w:val="26"/>
        </w:rPr>
        <w:t>See</w:t>
      </w:r>
      <w:r w:rsidRPr="00947289">
        <w:rPr>
          <w:rFonts w:ascii="Times New Roman" w:hAnsi="Times New Roman" w:cs="Times New Roman"/>
          <w:i/>
          <w:sz w:val="26"/>
          <w:szCs w:val="26"/>
        </w:rPr>
        <w:t xml:space="preserve"> </w:t>
      </w:r>
      <w:r w:rsidRPr="00947289">
        <w:rPr>
          <w:rFonts w:ascii="Times New Roman" w:hAnsi="Times New Roman" w:cs="Times New Roman"/>
          <w:sz w:val="26"/>
          <w:szCs w:val="26"/>
        </w:rPr>
        <w:t>18 CFR 33.2(j).</w:t>
      </w:r>
    </w:p>
  </w:footnote>
  <w:footnote w:id="6">
    <w:p w14:paraId="71A9946C" w14:textId="7777777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ITC Midwest LLC</w:t>
      </w:r>
      <w:r w:rsidRPr="00947289">
        <w:rPr>
          <w:rFonts w:ascii="Times New Roman" w:hAnsi="Times New Roman" w:cs="Times New Roman"/>
          <w:sz w:val="26"/>
          <w:szCs w:val="26"/>
        </w:rPr>
        <w:t xml:space="preserve">, 140 FERC ¶ 61,125, at P 19 (2012).  </w:t>
      </w:r>
    </w:p>
  </w:footnote>
  <w:footnote w:id="7">
    <w:p w14:paraId="11AFF071" w14:textId="77777777" w:rsidR="006E7588" w:rsidRPr="00947289" w:rsidRDefault="006E7588" w:rsidP="006177F0">
      <w:pPr>
        <w:pStyle w:val="FootnoteText"/>
        <w:spacing w:line="240" w:lineRule="auto"/>
        <w:rPr>
          <w:rFonts w:ascii="Times New Roman" w:hAnsi="Times New Roman" w:cs="Times New Roman"/>
          <w:color w:val="000000" w:themeColor="text1"/>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color w:val="000000" w:themeColor="text1"/>
          <w:sz w:val="26"/>
          <w:szCs w:val="26"/>
        </w:rPr>
        <w:t>Cinergy Corp.</w:t>
      </w:r>
      <w:r w:rsidRPr="00947289">
        <w:rPr>
          <w:rFonts w:ascii="Times New Roman" w:eastAsia="Times New Roman" w:hAnsi="Times New Roman" w:cs="Times New Roman"/>
          <w:color w:val="000000" w:themeColor="text1"/>
          <w:sz w:val="26"/>
          <w:szCs w:val="26"/>
        </w:rPr>
        <w:t xml:space="preserve">, 140 FERC ¶ 61,180, at P 41 (2012) (citing </w:t>
      </w:r>
      <w:r w:rsidRPr="001071A2">
        <w:rPr>
          <w:rStyle w:val="Emphasis"/>
          <w:rFonts w:ascii="Times New Roman" w:hAnsi="Times New Roman" w:cs="Times New Roman"/>
          <w:b w:val="0"/>
          <w:color w:val="000000" w:themeColor="text1"/>
          <w:sz w:val="26"/>
          <w:szCs w:val="26"/>
        </w:rPr>
        <w:t>Duquesne Light Holdings, Inc.</w:t>
      </w:r>
      <w:r w:rsidRPr="00947289">
        <w:rPr>
          <w:rFonts w:ascii="Times New Roman" w:hAnsi="Times New Roman" w:cs="Times New Roman"/>
          <w:sz w:val="26"/>
          <w:szCs w:val="26"/>
        </w:rPr>
        <w:t>, 117 FERC ¶ 61,326, at P 25 (2006)</w:t>
      </w:r>
      <w:r w:rsidRPr="00947289">
        <w:rPr>
          <w:rFonts w:ascii="Times New Roman" w:hAnsi="Times New Roman" w:cs="Times New Roman"/>
          <w:color w:val="000000" w:themeColor="text1"/>
          <w:sz w:val="26"/>
          <w:szCs w:val="26"/>
        </w:rPr>
        <w:t>) (“</w:t>
      </w:r>
      <w:r w:rsidRPr="00947289">
        <w:rPr>
          <w:rFonts w:ascii="Times New Roman" w:eastAsia="Times New Roman" w:hAnsi="Times New Roman" w:cs="Times New Roman"/>
          <w:color w:val="000000" w:themeColor="text1"/>
          <w:sz w:val="26"/>
          <w:szCs w:val="26"/>
        </w:rPr>
        <w:t>The Commission has previously stated that, when there are market-based rates, the effect on rates is not of concern.  The effect on rates is not of concern in these circumstances because market-based rates will not be affected by the seller’s cost of service and, thus, will not be adversely affected by the Proposed Transaction.”).</w:t>
      </w:r>
    </w:p>
  </w:footnote>
  <w:footnote w:id="8">
    <w:p w14:paraId="25A7E69C" w14:textId="6DEF0EE9"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The Commission has found that there is no adverse effect on rates where, although costs may increase in one area</w:t>
      </w:r>
      <w:r>
        <w:rPr>
          <w:rFonts w:ascii="Times New Roman" w:hAnsi="Times New Roman" w:cs="Times New Roman"/>
          <w:sz w:val="26"/>
          <w:szCs w:val="26"/>
        </w:rPr>
        <w:t xml:space="preserve"> of the utility’s operations</w:t>
      </w:r>
      <w:r w:rsidRPr="00947289">
        <w:rPr>
          <w:rFonts w:ascii="Times New Roman" w:hAnsi="Times New Roman" w:cs="Times New Roman"/>
          <w:sz w:val="26"/>
          <w:szCs w:val="26"/>
        </w:rPr>
        <w:t xml:space="preserve">, lower costs are expected elsewhere.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Bluegrass Generation Co., L.L.C.</w:t>
      </w:r>
      <w:r w:rsidRPr="00947289">
        <w:rPr>
          <w:rFonts w:ascii="Times New Roman" w:hAnsi="Times New Roman" w:cs="Times New Roman"/>
          <w:sz w:val="26"/>
          <w:szCs w:val="26"/>
        </w:rPr>
        <w:t>, 139 FERC ¶ 61,094, at P 41 (2012) (finding no adverse effect on rates because increases in capacity charges would be offset by a savings in energy rates).</w:t>
      </w:r>
    </w:p>
  </w:footnote>
  <w:footnote w:id="9">
    <w:p w14:paraId="3546B40E" w14:textId="7777777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An increase in rates “can still be consistent with the public interest if there are countervailing benefits that derive from the merger.”  Merger Policy Statement, FERC Stats. &amp; Regs. ¶ 31,044 at 30,114; </w:t>
      </w:r>
      <w:r w:rsidRPr="001071A2">
        <w:rPr>
          <w:rFonts w:ascii="Times New Roman" w:hAnsi="Times New Roman" w:cs="Times New Roman"/>
          <w:i/>
          <w:sz w:val="26"/>
          <w:szCs w:val="26"/>
        </w:rPr>
        <w:t>see also ALLETE, Inc.</w:t>
      </w:r>
      <w:r w:rsidRPr="00947289">
        <w:rPr>
          <w:rFonts w:ascii="Times New Roman" w:hAnsi="Times New Roman" w:cs="Times New Roman"/>
          <w:sz w:val="26"/>
          <w:szCs w:val="26"/>
        </w:rPr>
        <w:t>, 129 FERC ¶ 61,174, at P 19 (2009) (“Our focus here is on the effect that the Proposed Transaction itself will have on rates, whether that effect is adverse, and whether any adverse effect will be offset or mitigated by benefits likely to result from the Proposed Transaction.”).</w:t>
      </w:r>
    </w:p>
  </w:footnote>
  <w:footnote w:id="10">
    <w:p w14:paraId="74765E91" w14:textId="210AF0BE" w:rsidR="006E7588" w:rsidRPr="00947289" w:rsidRDefault="006E7588" w:rsidP="006177F0">
      <w:pPr>
        <w:pStyle w:val="FootnoteText"/>
        <w:spacing w:line="240" w:lineRule="auto"/>
        <w:rPr>
          <w:rFonts w:ascii="Times New Roman" w:hAnsi="Times New Roman" w:cs="Times New Roman"/>
          <w:b/>
          <w:i/>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ITC Midwest LLC</w:t>
      </w:r>
      <w:r w:rsidRPr="00947289">
        <w:rPr>
          <w:rFonts w:ascii="Times New Roman" w:hAnsi="Times New Roman" w:cs="Times New Roman"/>
          <w:sz w:val="26"/>
          <w:szCs w:val="26"/>
        </w:rPr>
        <w:t xml:space="preserve">, 133 FERC ¶ 61,169, at P 23 (2010) (finding offsetting benefits because of the transfer of transmission assets to a standalone transmission company); </w:t>
      </w:r>
      <w:r w:rsidRPr="001071A2">
        <w:rPr>
          <w:rFonts w:ascii="Times New Roman" w:hAnsi="Times New Roman" w:cs="Times New Roman"/>
          <w:i/>
          <w:sz w:val="26"/>
          <w:szCs w:val="26"/>
        </w:rPr>
        <w:t>ALLETE</w:t>
      </w:r>
      <w:r w:rsidRPr="00947289">
        <w:rPr>
          <w:rFonts w:ascii="Times New Roman" w:hAnsi="Times New Roman" w:cs="Times New Roman"/>
          <w:sz w:val="26"/>
          <w:szCs w:val="26"/>
        </w:rPr>
        <w:t xml:space="preserve">, 129 FERC ¶ 61,174 at P 20 (finding that the advantages created in joining </w:t>
      </w:r>
      <w:r>
        <w:rPr>
          <w:rFonts w:ascii="Times New Roman" w:hAnsi="Times New Roman" w:cs="Times New Roman"/>
          <w:sz w:val="26"/>
          <w:szCs w:val="26"/>
        </w:rPr>
        <w:t>a regional transmission organization</w:t>
      </w:r>
      <w:r w:rsidRPr="00947289">
        <w:rPr>
          <w:rFonts w:ascii="Times New Roman" w:hAnsi="Times New Roman" w:cs="Times New Roman"/>
          <w:sz w:val="26"/>
          <w:szCs w:val="26"/>
        </w:rPr>
        <w:t xml:space="preserve"> outweighed potential rate increase created by the different tax treatment of the assets after transfer); </w:t>
      </w:r>
      <w:r w:rsidRPr="001071A2">
        <w:rPr>
          <w:rFonts w:ascii="Times New Roman" w:hAnsi="Times New Roman" w:cs="Times New Roman"/>
          <w:i/>
          <w:sz w:val="26"/>
          <w:szCs w:val="26"/>
        </w:rPr>
        <w:t>Ameren Servs. Co.</w:t>
      </w:r>
      <w:r w:rsidRPr="00947289">
        <w:rPr>
          <w:rFonts w:ascii="Times New Roman" w:hAnsi="Times New Roman" w:cs="Times New Roman"/>
          <w:sz w:val="26"/>
          <w:szCs w:val="26"/>
        </w:rPr>
        <w:t xml:space="preserve">, 103 FERC ¶ 61,121, at P 23 (2003) (finding that increasing </w:t>
      </w:r>
      <w:r>
        <w:rPr>
          <w:rFonts w:ascii="Times New Roman" w:hAnsi="Times New Roman" w:cs="Times New Roman"/>
          <w:sz w:val="26"/>
          <w:szCs w:val="26"/>
        </w:rPr>
        <w:t>a regional transmission organization’s</w:t>
      </w:r>
      <w:r w:rsidRPr="00947289">
        <w:rPr>
          <w:rFonts w:ascii="Times New Roman" w:hAnsi="Times New Roman" w:cs="Times New Roman"/>
          <w:sz w:val="26"/>
          <w:szCs w:val="26"/>
        </w:rPr>
        <w:t xml:space="preserve"> footprint would offset a rate increase); </w:t>
      </w:r>
      <w:r w:rsidRPr="001071A2">
        <w:rPr>
          <w:rFonts w:ascii="Times New Roman" w:hAnsi="Times New Roman" w:cs="Times New Roman"/>
          <w:i/>
          <w:sz w:val="26"/>
          <w:szCs w:val="26"/>
        </w:rPr>
        <w:t>Rockland Elec. Co.</w:t>
      </w:r>
      <w:r w:rsidRPr="00947289">
        <w:rPr>
          <w:rFonts w:ascii="Times New Roman" w:hAnsi="Times New Roman" w:cs="Times New Roman"/>
          <w:sz w:val="26"/>
          <w:szCs w:val="26"/>
        </w:rPr>
        <w:t>, 97 FERC ¶ 61,357, at 62,651 (2001) (finding that attracting more bidders and encouraging more competition offset a potential rate increase for locational marginal prices along a seam at times of peak demand).</w:t>
      </w:r>
    </w:p>
  </w:footnote>
  <w:footnote w:id="11">
    <w:p w14:paraId="7C16C693" w14:textId="5E2F8CB2" w:rsidR="006E7588" w:rsidRPr="00947289" w:rsidRDefault="006E7588" w:rsidP="00CA3F87">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Merger Policy Statement, FERC Stats. &amp; Regs. ¶ 31,044 at 30,111 (“</w:t>
      </w:r>
      <w:r>
        <w:rPr>
          <w:rFonts w:ascii="Times New Roman" w:hAnsi="Times New Roman" w:cs="Times New Roman"/>
          <w:sz w:val="26"/>
          <w:szCs w:val="26"/>
        </w:rPr>
        <w:t>[I]</w:t>
      </w:r>
      <w:r w:rsidRPr="00947289">
        <w:rPr>
          <w:rFonts w:ascii="Times New Roman" w:hAnsi="Times New Roman" w:cs="Times New Roman"/>
          <w:sz w:val="26"/>
          <w:szCs w:val="26"/>
        </w:rPr>
        <w:t>n assessing the effect of a proposed merger on rates, we will no longer require applicants and intervenors to estimate the future costs and benefits of a merger and then litigate the validity of those estimates.  Instead, we will require applicants to propose appropriate rate protection for customers.”).</w:t>
      </w:r>
    </w:p>
  </w:footnote>
  <w:footnote w:id="12">
    <w:p w14:paraId="10CCF6CF" w14:textId="7777777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83239E">
        <w:rPr>
          <w:rFonts w:ascii="Times New Roman" w:hAnsi="Times New Roman" w:cs="Times New Roman"/>
          <w:i/>
          <w:sz w:val="26"/>
          <w:szCs w:val="26"/>
        </w:rPr>
        <w:t>Id.</w:t>
      </w:r>
      <w:r w:rsidRPr="00947289">
        <w:rPr>
          <w:rFonts w:ascii="Times New Roman" w:hAnsi="Times New Roman" w:cs="Times New Roman"/>
          <w:sz w:val="26"/>
          <w:szCs w:val="26"/>
        </w:rPr>
        <w:t xml:space="preserve"> at 30,123-24.</w:t>
      </w:r>
    </w:p>
  </w:footnote>
  <w:footnote w:id="13">
    <w:p w14:paraId="22250AFD" w14:textId="77777777" w:rsidR="006E7588" w:rsidRPr="00947289" w:rsidRDefault="006E7588" w:rsidP="006177F0">
      <w:pPr>
        <w:pStyle w:val="FootnoteText"/>
        <w:spacing w:line="240" w:lineRule="auto"/>
        <w:rPr>
          <w:rFonts w:ascii="Times New Roman" w:hAnsi="Times New Roman" w:cs="Times New Roman"/>
          <w:b/>
          <w:i/>
          <w:sz w:val="26"/>
          <w:szCs w:val="26"/>
        </w:rPr>
      </w:pPr>
      <w:r w:rsidRPr="00947289">
        <w:rPr>
          <w:rStyle w:val="FootnoteReference"/>
        </w:rPr>
        <w:footnoteRef/>
      </w:r>
      <w:r w:rsidRPr="00947289">
        <w:rPr>
          <w:rFonts w:ascii="Times New Roman" w:hAnsi="Times New Roman" w:cs="Times New Roman"/>
          <w:i/>
          <w:sz w:val="26"/>
          <w:szCs w:val="26"/>
        </w:rPr>
        <w:t xml:space="preserve"> </w:t>
      </w:r>
      <w:r w:rsidRPr="0083239E">
        <w:rPr>
          <w:rFonts w:ascii="Times New Roman" w:hAnsi="Times New Roman" w:cs="Times New Roman"/>
          <w:i/>
          <w:sz w:val="26"/>
          <w:szCs w:val="26"/>
        </w:rPr>
        <w:t>Id.</w:t>
      </w:r>
      <w:r w:rsidRPr="00947289">
        <w:rPr>
          <w:rFonts w:ascii="Times New Roman" w:hAnsi="Times New Roman" w:cs="Times New Roman"/>
          <w:sz w:val="26"/>
          <w:szCs w:val="26"/>
        </w:rPr>
        <w:t xml:space="preserve"> at 30,124.</w:t>
      </w:r>
    </w:p>
  </w:footnote>
  <w:footnote w:id="14">
    <w:p w14:paraId="022350B3" w14:textId="08C6563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Id.</w:t>
      </w:r>
      <w:r w:rsidRPr="00947289">
        <w:rPr>
          <w:rFonts w:ascii="Times New Roman" w:hAnsi="Times New Roman" w:cs="Times New Roman"/>
          <w:sz w:val="26"/>
          <w:szCs w:val="26"/>
        </w:rPr>
        <w:t xml:space="preserve"> (footnotes omitted).</w:t>
      </w:r>
    </w:p>
  </w:footnote>
  <w:footnote w:id="15">
    <w:p w14:paraId="1FDB8CC4" w14:textId="77777777" w:rsidR="006E7588" w:rsidRPr="00947289" w:rsidRDefault="006E7588" w:rsidP="006177F0">
      <w:pPr>
        <w:pStyle w:val="FootnoteText"/>
        <w:spacing w:line="240" w:lineRule="auto"/>
        <w:rPr>
          <w:rFonts w:ascii="Times New Roman" w:hAnsi="Times New Roman" w:cs="Times New Roman"/>
          <w:i/>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Id.</w:t>
      </w:r>
    </w:p>
  </w:footnote>
  <w:footnote w:id="16">
    <w:p w14:paraId="44B3F55A" w14:textId="7777777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Id.</w:t>
      </w:r>
    </w:p>
  </w:footnote>
  <w:footnote w:id="17">
    <w:p w14:paraId="46D84660" w14:textId="77777777"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Order No. 642, FERC Stats. &amp; Regs. ¶ 31,111 at 31,914.</w:t>
      </w:r>
    </w:p>
  </w:footnote>
  <w:footnote w:id="18">
    <w:p w14:paraId="7210B20E" w14:textId="613567D2"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Id.</w:t>
      </w:r>
    </w:p>
  </w:footnote>
  <w:footnote w:id="19">
    <w:p w14:paraId="058BB37B" w14:textId="3B09AAB2" w:rsidR="006E7588" w:rsidRPr="00947289" w:rsidRDefault="006E7588" w:rsidP="009B120E">
      <w:pPr>
        <w:pStyle w:val="FootnoteText"/>
        <w:spacing w:line="240" w:lineRule="auto"/>
        <w:rPr>
          <w:rFonts w:ascii="Times New Roman" w:hAnsi="Times New Roman" w:cs="Times New Roman"/>
          <w:b/>
          <w:i/>
          <w:sz w:val="26"/>
          <w:szCs w:val="26"/>
        </w:rPr>
      </w:pPr>
      <w:r w:rsidRPr="00947289">
        <w:rPr>
          <w:rStyle w:val="FootnoteReference"/>
        </w:rPr>
        <w:footnoteRef/>
      </w:r>
      <w:r w:rsidRPr="00947289">
        <w:rPr>
          <w:rFonts w:ascii="Times New Roman" w:hAnsi="Times New Roman" w:cs="Times New Roman"/>
          <w:sz w:val="26"/>
          <w:szCs w:val="26"/>
        </w:rPr>
        <w:t xml:space="preserve"> The Commission has also accepted other forms of ratepayer protection in lieu of or in addition to hold harmless commitments.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Cinergy Services, Inc.</w:t>
      </w:r>
      <w:r w:rsidRPr="00947289">
        <w:rPr>
          <w:rFonts w:ascii="Times New Roman" w:hAnsi="Times New Roman" w:cs="Times New Roman"/>
          <w:sz w:val="26"/>
          <w:szCs w:val="26"/>
        </w:rPr>
        <w:t xml:space="preserve">, 102 FERC ¶ 61,128, at P 33 (2003) (accepting rate freeze as rate mitigation); </w:t>
      </w:r>
      <w:r w:rsidRPr="001071A2">
        <w:rPr>
          <w:rFonts w:ascii="Times New Roman" w:hAnsi="Times New Roman" w:cs="Times New Roman"/>
          <w:i/>
          <w:sz w:val="26"/>
          <w:szCs w:val="26"/>
        </w:rPr>
        <w:t>Vermont Yankee Nuclear Power Corp.</w:t>
      </w:r>
      <w:r w:rsidRPr="0028447D">
        <w:rPr>
          <w:rFonts w:ascii="Times New Roman" w:hAnsi="Times New Roman" w:cs="Times New Roman"/>
          <w:sz w:val="26"/>
          <w:szCs w:val="26"/>
        </w:rPr>
        <w:t>,</w:t>
      </w:r>
      <w:r w:rsidRPr="00947289">
        <w:rPr>
          <w:rFonts w:ascii="Times New Roman" w:hAnsi="Times New Roman" w:cs="Times New Roman"/>
          <w:i/>
          <w:sz w:val="26"/>
          <w:szCs w:val="26"/>
        </w:rPr>
        <w:t xml:space="preserve"> </w:t>
      </w:r>
      <w:r w:rsidRPr="00947289">
        <w:rPr>
          <w:rFonts w:ascii="Times New Roman" w:hAnsi="Times New Roman" w:cs="Times New Roman"/>
          <w:sz w:val="26"/>
          <w:szCs w:val="26"/>
        </w:rPr>
        <w:t>91 FERC ¶ 61,325</w:t>
      </w:r>
      <w:r>
        <w:rPr>
          <w:rFonts w:ascii="Times New Roman" w:hAnsi="Times New Roman" w:cs="Times New Roman"/>
          <w:sz w:val="26"/>
          <w:szCs w:val="26"/>
        </w:rPr>
        <w:t>,</w:t>
      </w:r>
      <w:r w:rsidRPr="00947289">
        <w:rPr>
          <w:rFonts w:ascii="Times New Roman" w:hAnsi="Times New Roman" w:cs="Times New Roman"/>
          <w:sz w:val="26"/>
          <w:szCs w:val="26"/>
        </w:rPr>
        <w:t xml:space="preserve"> at 62,125 (2000) (accepting rate cap and an open season provision as mitigation); </w:t>
      </w:r>
      <w:r w:rsidRPr="001071A2">
        <w:rPr>
          <w:rFonts w:ascii="Times New Roman" w:hAnsi="Times New Roman" w:cs="Times New Roman"/>
          <w:i/>
          <w:sz w:val="26"/>
          <w:szCs w:val="26"/>
        </w:rPr>
        <w:t>Cajun Elec. Power Coop., Inc.</w:t>
      </w:r>
      <w:r w:rsidRPr="00947289">
        <w:rPr>
          <w:rFonts w:ascii="Times New Roman" w:hAnsi="Times New Roman" w:cs="Times New Roman"/>
          <w:sz w:val="26"/>
          <w:szCs w:val="26"/>
        </w:rPr>
        <w:t>, 90 FERC ¶ 61,309, at 62,005-06 (2000) (approving a transaction where current customers were allowed to keep their current contracts or choose from three different power purchasing agreements).</w:t>
      </w:r>
    </w:p>
  </w:footnote>
  <w:footnote w:id="20">
    <w:p w14:paraId="5B713AD7" w14:textId="1945A6DB" w:rsidR="006E7588" w:rsidRPr="00947289" w:rsidRDefault="006E7588" w:rsidP="00B83E81">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FirstEnergy Generation Corp.</w:t>
      </w:r>
      <w:r w:rsidRPr="00947289">
        <w:rPr>
          <w:rFonts w:ascii="Times New Roman" w:hAnsi="Times New Roman" w:cs="Times New Roman"/>
          <w:sz w:val="26"/>
          <w:szCs w:val="26"/>
        </w:rPr>
        <w:t xml:space="preserve">, 141 FERC ¶ 61,239, at PP 1, 16, 27-30 (2012) </w:t>
      </w:r>
      <w:r>
        <w:rPr>
          <w:rFonts w:ascii="Times New Roman" w:hAnsi="Times New Roman" w:cs="Times New Roman"/>
          <w:sz w:val="26"/>
          <w:szCs w:val="26"/>
        </w:rPr>
        <w:t>(</w:t>
      </w:r>
      <w:r w:rsidRPr="00187A82">
        <w:rPr>
          <w:rFonts w:ascii="Times New Roman" w:hAnsi="Times New Roman" w:cs="Times New Roman"/>
          <w:sz w:val="26"/>
          <w:szCs w:val="26"/>
          <w:u w:val="single"/>
        </w:rPr>
        <w:t>FirstEnergy</w:t>
      </w:r>
      <w:r>
        <w:rPr>
          <w:rFonts w:ascii="Times New Roman" w:hAnsi="Times New Roman" w:cs="Times New Roman"/>
          <w:sz w:val="26"/>
          <w:szCs w:val="26"/>
        </w:rPr>
        <w:t xml:space="preserve">) </w:t>
      </w:r>
      <w:r w:rsidRPr="00947289">
        <w:rPr>
          <w:rFonts w:ascii="Times New Roman" w:hAnsi="Times New Roman" w:cs="Times New Roman"/>
          <w:sz w:val="26"/>
          <w:szCs w:val="26"/>
        </w:rPr>
        <w:t>(accepting a hold harmless commitment in an asset transaction where generation assets would be turned into assets to support transmission system upgrades in order to meet needs identified in a study by PJM Interconnection, L.L.C. following the retirement of other generating facilities);</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ITC Midwest</w:t>
      </w:r>
      <w:r w:rsidRPr="00947289">
        <w:rPr>
          <w:rFonts w:ascii="Times New Roman" w:hAnsi="Times New Roman" w:cs="Times New Roman"/>
          <w:sz w:val="26"/>
          <w:szCs w:val="26"/>
        </w:rPr>
        <w:t>, 140 FERC ¶ 61,125 at P 15;</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Int’l Transmission Co.</w:t>
      </w:r>
      <w:r w:rsidRPr="00947289">
        <w:rPr>
          <w:rFonts w:ascii="Times New Roman" w:hAnsi="Times New Roman" w:cs="Times New Roman"/>
          <w:sz w:val="26"/>
          <w:szCs w:val="26"/>
        </w:rPr>
        <w:t>, 139 FERC ¶ 61,003, at P 16 (2012).</w:t>
      </w:r>
    </w:p>
  </w:footnote>
  <w:footnote w:id="21">
    <w:p w14:paraId="21EB3D0C" w14:textId="5C5FBA3C"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NSTAR Advanced Energy Sys., Inc.</w:t>
      </w:r>
      <w:r w:rsidRPr="00947289">
        <w:rPr>
          <w:rFonts w:ascii="Times New Roman" w:hAnsi="Times New Roman" w:cs="Times New Roman"/>
          <w:sz w:val="26"/>
          <w:szCs w:val="26"/>
        </w:rPr>
        <w:t xml:space="preserve">, 131 FERC ¶ 61,098, at P 24 (2010) (“The Commission looks for assurances from public utilities that they hold customers harmless from these transaction-related costs, to the extent they are not exceeded by cost savings arising from the transaction, for a significant period of time following the merger, not an indefinite period of time.”) (internal citation omitted); </w:t>
      </w:r>
      <w:r w:rsidRPr="001071A2">
        <w:rPr>
          <w:rFonts w:ascii="Times New Roman" w:hAnsi="Times New Roman" w:cs="Times New Roman"/>
          <w:i/>
          <w:sz w:val="26"/>
          <w:szCs w:val="26"/>
        </w:rPr>
        <w:t>see also</w:t>
      </w:r>
      <w:r w:rsidRPr="00523292">
        <w:rPr>
          <w:rFonts w:ascii="Times New Roman" w:hAnsi="Times New Roman" w:cs="Times New Roman"/>
          <w:i/>
          <w:sz w:val="26"/>
          <w:szCs w:val="26"/>
        </w:rPr>
        <w:t xml:space="preserve"> </w:t>
      </w:r>
      <w:r w:rsidRPr="001071A2">
        <w:rPr>
          <w:rFonts w:ascii="Times New Roman" w:hAnsi="Times New Roman" w:cs="Times New Roman"/>
          <w:i/>
          <w:sz w:val="26"/>
          <w:szCs w:val="26"/>
        </w:rPr>
        <w:t>Cinergy</w:t>
      </w:r>
      <w:r w:rsidRPr="00947289">
        <w:rPr>
          <w:rFonts w:ascii="Times New Roman" w:hAnsi="Times New Roman" w:cs="Times New Roman"/>
          <w:sz w:val="26"/>
          <w:szCs w:val="26"/>
        </w:rPr>
        <w:t xml:space="preserve">, 140 FERC </w:t>
      </w:r>
      <w:r w:rsidR="00067802">
        <w:rPr>
          <w:rFonts w:ascii="Times New Roman" w:hAnsi="Times New Roman" w:cs="Times New Roman"/>
          <w:sz w:val="26"/>
          <w:szCs w:val="26"/>
        </w:rPr>
        <w:t xml:space="preserve">           </w:t>
      </w:r>
      <w:r w:rsidRPr="00947289">
        <w:rPr>
          <w:rFonts w:ascii="Times New Roman" w:hAnsi="Times New Roman" w:cs="Times New Roman"/>
          <w:sz w:val="26"/>
          <w:szCs w:val="26"/>
        </w:rPr>
        <w:t xml:space="preserve">¶ 61,180 at P 42; </w:t>
      </w:r>
      <w:r w:rsidRPr="001071A2">
        <w:rPr>
          <w:rFonts w:ascii="Times New Roman" w:hAnsi="Times New Roman" w:cs="Times New Roman"/>
          <w:i/>
          <w:sz w:val="26"/>
          <w:szCs w:val="26"/>
        </w:rPr>
        <w:t>ITC Midwest</w:t>
      </w:r>
      <w:r w:rsidRPr="00947289">
        <w:rPr>
          <w:rFonts w:ascii="Times New Roman" w:hAnsi="Times New Roman" w:cs="Times New Roman"/>
          <w:sz w:val="26"/>
          <w:szCs w:val="26"/>
        </w:rPr>
        <w:t xml:space="preserve">, 140 FERC ¶ 61,125 at PP 21-22; </w:t>
      </w:r>
      <w:r w:rsidRPr="001071A2">
        <w:rPr>
          <w:rFonts w:ascii="Times New Roman" w:hAnsi="Times New Roman" w:cs="Times New Roman"/>
          <w:i/>
          <w:sz w:val="26"/>
          <w:szCs w:val="26"/>
        </w:rPr>
        <w:t>Int’l Transmission</w:t>
      </w:r>
      <w:r w:rsidRPr="00947289">
        <w:rPr>
          <w:rFonts w:ascii="Times New Roman" w:hAnsi="Times New Roman" w:cs="Times New Roman"/>
          <w:sz w:val="26"/>
          <w:szCs w:val="26"/>
        </w:rPr>
        <w:t xml:space="preserve">, </w:t>
      </w:r>
      <w:r w:rsidR="00067802">
        <w:rPr>
          <w:rFonts w:ascii="Times New Roman" w:hAnsi="Times New Roman" w:cs="Times New Roman"/>
          <w:sz w:val="26"/>
          <w:szCs w:val="26"/>
        </w:rPr>
        <w:t xml:space="preserve">   </w:t>
      </w:r>
      <w:r w:rsidRPr="00947289">
        <w:rPr>
          <w:rFonts w:ascii="Times New Roman" w:hAnsi="Times New Roman" w:cs="Times New Roman"/>
          <w:sz w:val="26"/>
          <w:szCs w:val="26"/>
        </w:rPr>
        <w:t xml:space="preserve">139 FERC ¶ 61,003 at P 17; </w:t>
      </w:r>
      <w:r w:rsidRPr="001071A2">
        <w:rPr>
          <w:rFonts w:ascii="Times New Roman" w:hAnsi="Times New Roman" w:cs="Times New Roman"/>
          <w:i/>
          <w:sz w:val="26"/>
          <w:szCs w:val="26"/>
        </w:rPr>
        <w:t>BHE Holdings Inc.</w:t>
      </w:r>
      <w:r w:rsidRPr="00947289">
        <w:rPr>
          <w:rFonts w:ascii="Times New Roman" w:hAnsi="Times New Roman" w:cs="Times New Roman"/>
          <w:sz w:val="26"/>
          <w:szCs w:val="26"/>
        </w:rPr>
        <w:t xml:space="preserve">, 133 FERC ¶ 61,231, at P 37 (2010); </w:t>
      </w:r>
      <w:r w:rsidRPr="001071A2">
        <w:rPr>
          <w:rFonts w:ascii="Times New Roman" w:hAnsi="Times New Roman" w:cs="Times New Roman"/>
          <w:i/>
          <w:sz w:val="26"/>
          <w:szCs w:val="26"/>
        </w:rPr>
        <w:t>cf.</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Sierra Pacific Power Co.</w:t>
      </w:r>
      <w:r w:rsidRPr="00947289">
        <w:rPr>
          <w:rFonts w:ascii="Times New Roman" w:hAnsi="Times New Roman" w:cs="Times New Roman"/>
          <w:sz w:val="26"/>
          <w:szCs w:val="26"/>
        </w:rPr>
        <w:t xml:space="preserve">, 133 FERC ¶ 61,017, at P 14 (2010) (accepting a commitment not to include any transaction-related costs in its Commission-accepted open access transmission tariff).  </w:t>
      </w:r>
    </w:p>
  </w:footnote>
  <w:footnote w:id="22">
    <w:p w14:paraId="6AB00140" w14:textId="3C5439BB"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ITC Holdings Corp.</w:t>
      </w:r>
      <w:r w:rsidRPr="00947289">
        <w:rPr>
          <w:rFonts w:ascii="Times New Roman" w:hAnsi="Times New Roman" w:cs="Times New Roman"/>
          <w:sz w:val="26"/>
          <w:szCs w:val="26"/>
        </w:rPr>
        <w:t xml:space="preserve">, 121 FERC ¶ 61,229, at P 128 (2007).  Although five-year hold harmless commitments are most common, the Commission has also accepted three-year hold harmless commitments.  </w:t>
      </w:r>
      <w:r w:rsidRPr="001071A2">
        <w:rPr>
          <w:rFonts w:ascii="Times New Roman" w:hAnsi="Times New Roman" w:cs="Times New Roman"/>
          <w:i/>
          <w:sz w:val="26"/>
          <w:szCs w:val="26"/>
        </w:rPr>
        <w:t>Westar Energy, Inc.</w:t>
      </w:r>
      <w:r w:rsidRPr="00947289">
        <w:rPr>
          <w:rFonts w:ascii="Times New Roman" w:hAnsi="Times New Roman" w:cs="Times New Roman"/>
          <w:sz w:val="26"/>
          <w:szCs w:val="26"/>
        </w:rPr>
        <w:t xml:space="preserve">, 104 FERC ¶ 61,170, at PP 16-17 (2003); </w:t>
      </w:r>
      <w:r w:rsidRPr="001071A2">
        <w:rPr>
          <w:rFonts w:ascii="Times New Roman" w:hAnsi="Times New Roman" w:cs="Times New Roman"/>
          <w:i/>
          <w:sz w:val="26"/>
          <w:szCs w:val="26"/>
        </w:rPr>
        <w:t>Long Island Lighting Co.</w:t>
      </w:r>
      <w:r w:rsidRPr="00947289">
        <w:rPr>
          <w:rFonts w:ascii="Times New Roman" w:hAnsi="Times New Roman" w:cs="Times New Roman"/>
          <w:sz w:val="26"/>
          <w:szCs w:val="26"/>
        </w:rPr>
        <w:t>, 82 FERC ¶ 61,129, at 61,463-65 (1998).</w:t>
      </w:r>
    </w:p>
  </w:footnote>
  <w:footnote w:id="23">
    <w:p w14:paraId="407CD9E2" w14:textId="5F786B0F" w:rsidR="006E7588" w:rsidRPr="00947289" w:rsidRDefault="006E7588" w:rsidP="006177F0">
      <w:pPr>
        <w:pStyle w:val="FootnoteText"/>
        <w:spacing w:line="240" w:lineRule="auto"/>
        <w:rPr>
          <w:rFonts w:ascii="Times New Roman" w:hAnsi="Times New Roman" w:cs="Times New Roman"/>
          <w:b/>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Puget Energy</w:t>
      </w:r>
      <w:r w:rsidRPr="00947289">
        <w:rPr>
          <w:rFonts w:ascii="Times New Roman" w:hAnsi="Times New Roman" w:cs="Times New Roman"/>
          <w:sz w:val="26"/>
          <w:szCs w:val="26"/>
        </w:rPr>
        <w:t xml:space="preserve">, 123 FERC ¶ 61,050 at P 27 (“We accept Applicants’ hold harmless commitment, which we interpret to include all merger-related costs, not only costs related to consummating the transaction.  If Applicants seek to recover any merger-related costs in a subsequent section 205 filing, they must show quantifiable offsetting benefits.”) (citations and footnotes omitted); </w:t>
      </w:r>
      <w:r w:rsidRPr="001071A2">
        <w:rPr>
          <w:rFonts w:ascii="Times New Roman" w:hAnsi="Times New Roman" w:cs="Times New Roman"/>
          <w:i/>
          <w:sz w:val="26"/>
          <w:szCs w:val="26"/>
        </w:rPr>
        <w:t>National Grid plc</w:t>
      </w:r>
      <w:r w:rsidRPr="00947289">
        <w:rPr>
          <w:rFonts w:ascii="Times New Roman" w:hAnsi="Times New Roman" w:cs="Times New Roman"/>
          <w:sz w:val="26"/>
          <w:szCs w:val="26"/>
        </w:rPr>
        <w:t xml:space="preserve">, 117 FERC </w:t>
      </w:r>
      <w:r w:rsidR="00067802">
        <w:rPr>
          <w:rFonts w:ascii="Times New Roman" w:hAnsi="Times New Roman" w:cs="Times New Roman"/>
          <w:sz w:val="26"/>
          <w:szCs w:val="26"/>
        </w:rPr>
        <w:t xml:space="preserve">      </w:t>
      </w:r>
      <w:r w:rsidRPr="00947289">
        <w:rPr>
          <w:rFonts w:ascii="Times New Roman" w:hAnsi="Times New Roman" w:cs="Times New Roman"/>
          <w:sz w:val="26"/>
          <w:szCs w:val="26"/>
        </w:rPr>
        <w:t>¶ 61,080, at P 54 (2006) (“Applicants have committed to hold ratepayers harmless from transaction-related costs in excess of transaction savings for a period of five years.”).</w:t>
      </w:r>
    </w:p>
  </w:footnote>
  <w:footnote w:id="24">
    <w:p w14:paraId="10BF81B4" w14:textId="29B0016E"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ITC Holdings Corp.</w:t>
      </w:r>
      <w:r w:rsidRPr="00947289">
        <w:rPr>
          <w:rFonts w:ascii="Times New Roman" w:hAnsi="Times New Roman" w:cs="Times New Roman"/>
          <w:sz w:val="26"/>
          <w:szCs w:val="26"/>
        </w:rPr>
        <w:t xml:space="preserve">, 143 FERC ¶ 61,256, at P 138 (2013); </w:t>
      </w:r>
      <w:r w:rsidRPr="001071A2">
        <w:rPr>
          <w:rFonts w:ascii="Times New Roman" w:hAnsi="Times New Roman" w:cs="Times New Roman"/>
          <w:i/>
          <w:sz w:val="26"/>
          <w:szCs w:val="26"/>
        </w:rPr>
        <w:t>see also</w:t>
      </w:r>
      <w:r w:rsidRPr="00A257DB">
        <w:rPr>
          <w:rFonts w:ascii="Times New Roman" w:hAnsi="Times New Roman" w:cs="Times New Roman"/>
          <w:i/>
          <w:sz w:val="26"/>
          <w:szCs w:val="26"/>
        </w:rPr>
        <w:t xml:space="preserve"> </w:t>
      </w:r>
      <w:r w:rsidRPr="001071A2">
        <w:rPr>
          <w:rFonts w:ascii="Times New Roman" w:hAnsi="Times New Roman" w:cs="Times New Roman"/>
          <w:i/>
          <w:sz w:val="26"/>
          <w:szCs w:val="26"/>
        </w:rPr>
        <w:t>Cinergy</w:t>
      </w:r>
      <w:r w:rsidRPr="00947289">
        <w:rPr>
          <w:rFonts w:ascii="Times New Roman" w:hAnsi="Times New Roman" w:cs="Times New Roman"/>
          <w:sz w:val="26"/>
          <w:szCs w:val="26"/>
        </w:rPr>
        <w:t xml:space="preserve">, 140 FERC ¶ 61,180 at P 42; </w:t>
      </w:r>
      <w:r w:rsidRPr="001071A2">
        <w:rPr>
          <w:rFonts w:ascii="Times New Roman" w:hAnsi="Times New Roman" w:cs="Times New Roman"/>
          <w:i/>
          <w:sz w:val="26"/>
          <w:szCs w:val="26"/>
        </w:rPr>
        <w:t>FirstEnergy Corp.</w:t>
      </w:r>
      <w:r w:rsidRPr="00947289">
        <w:rPr>
          <w:rFonts w:ascii="Times New Roman" w:hAnsi="Times New Roman" w:cs="Times New Roman"/>
          <w:sz w:val="26"/>
          <w:szCs w:val="26"/>
        </w:rPr>
        <w:t xml:space="preserve">, 133 FERC ¶ 61,222, at PP 62-63 (2010); </w:t>
      </w:r>
      <w:r w:rsidRPr="001071A2">
        <w:rPr>
          <w:rFonts w:ascii="Times New Roman" w:hAnsi="Times New Roman" w:cs="Times New Roman"/>
          <w:i/>
          <w:sz w:val="26"/>
          <w:szCs w:val="26"/>
        </w:rPr>
        <w:t>NSTAR</w:t>
      </w:r>
      <w:r w:rsidRPr="00947289">
        <w:rPr>
          <w:rFonts w:ascii="Times New Roman" w:hAnsi="Times New Roman" w:cs="Times New Roman"/>
          <w:sz w:val="26"/>
          <w:szCs w:val="26"/>
        </w:rPr>
        <w:t xml:space="preserve">, 136 FERC ¶ 61,016, at PP 62-63 (2011); </w:t>
      </w:r>
      <w:r w:rsidRPr="001071A2">
        <w:rPr>
          <w:rFonts w:ascii="Times New Roman" w:hAnsi="Times New Roman" w:cs="Times New Roman"/>
          <w:i/>
          <w:sz w:val="26"/>
          <w:szCs w:val="26"/>
        </w:rPr>
        <w:t>PPL Corp.</w:t>
      </w:r>
      <w:r w:rsidRPr="00947289">
        <w:rPr>
          <w:rFonts w:ascii="Times New Roman" w:hAnsi="Times New Roman" w:cs="Times New Roman"/>
          <w:sz w:val="26"/>
          <w:szCs w:val="26"/>
        </w:rPr>
        <w:t xml:space="preserve">, 133 FERC ¶ 61,083, at </w:t>
      </w:r>
      <w:r w:rsidR="00067802">
        <w:rPr>
          <w:rFonts w:ascii="Times New Roman" w:hAnsi="Times New Roman" w:cs="Times New Roman"/>
          <w:sz w:val="26"/>
          <w:szCs w:val="26"/>
        </w:rPr>
        <w:t xml:space="preserve">    </w:t>
      </w:r>
      <w:r w:rsidRPr="00947289">
        <w:rPr>
          <w:rFonts w:ascii="Times New Roman" w:hAnsi="Times New Roman" w:cs="Times New Roman"/>
          <w:sz w:val="26"/>
          <w:szCs w:val="26"/>
        </w:rPr>
        <w:t xml:space="preserve">PP 26-27 (2010); </w:t>
      </w:r>
      <w:r w:rsidRPr="001071A2">
        <w:rPr>
          <w:rFonts w:ascii="Times New Roman" w:hAnsi="Times New Roman" w:cs="Times New Roman"/>
          <w:i/>
          <w:sz w:val="26"/>
          <w:szCs w:val="26"/>
        </w:rPr>
        <w:t>Consumers Energy Co.</w:t>
      </w:r>
      <w:r w:rsidRPr="00947289">
        <w:rPr>
          <w:rFonts w:ascii="Times New Roman" w:hAnsi="Times New Roman" w:cs="Times New Roman"/>
          <w:sz w:val="26"/>
          <w:szCs w:val="26"/>
        </w:rPr>
        <w:t xml:space="preserve">, 118 FERC ¶ 61,143, at P 33, </w:t>
      </w:r>
      <w:r w:rsidRPr="001071A2">
        <w:rPr>
          <w:rFonts w:ascii="Times New Roman" w:hAnsi="Times New Roman" w:cs="Times New Roman"/>
          <w:i/>
          <w:sz w:val="26"/>
          <w:szCs w:val="26"/>
        </w:rPr>
        <w:t>order on clarification</w:t>
      </w:r>
      <w:r w:rsidRPr="00947289">
        <w:rPr>
          <w:rFonts w:ascii="Times New Roman" w:hAnsi="Times New Roman" w:cs="Times New Roman"/>
          <w:sz w:val="26"/>
          <w:szCs w:val="26"/>
        </w:rPr>
        <w:t>, 120 FERC ¶ 61,091 (2007).</w:t>
      </w:r>
    </w:p>
  </w:footnote>
  <w:footnote w:id="25">
    <w:p w14:paraId="1DDF9EA0" w14:textId="6033B0C6" w:rsidR="006E7588" w:rsidRPr="00947289" w:rsidRDefault="006E7588" w:rsidP="00B83E81">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Silver Merger Sub, Inc.</w:t>
      </w:r>
      <w:r w:rsidRPr="00947289">
        <w:rPr>
          <w:rFonts w:ascii="Times New Roman" w:hAnsi="Times New Roman" w:cs="Times New Roman"/>
          <w:sz w:val="26"/>
          <w:szCs w:val="26"/>
        </w:rPr>
        <w:t xml:space="preserve">, 145 FERC ¶ 61,261, at P 68 (2013) (“We interpret Applicants’ hold harmless commitment to apply to all transaction-related costs, including costs related to consummating the Proposed Transaction and transition costs (both capital and operating) incurred to achieve merger synergies.”); </w:t>
      </w:r>
      <w:r w:rsidRPr="001071A2">
        <w:rPr>
          <w:rFonts w:ascii="Times New Roman" w:hAnsi="Times New Roman" w:cs="Times New Roman"/>
          <w:i/>
          <w:sz w:val="26"/>
          <w:szCs w:val="26"/>
        </w:rPr>
        <w:t>Bangor Hydro Elec. Co.</w:t>
      </w:r>
      <w:r w:rsidRPr="00947289">
        <w:rPr>
          <w:rFonts w:ascii="Times New Roman" w:hAnsi="Times New Roman" w:cs="Times New Roman"/>
          <w:sz w:val="26"/>
          <w:szCs w:val="26"/>
        </w:rPr>
        <w:t xml:space="preserve">, 144 FERC ¶ 61,030, at P 20 (2013) (same); </w:t>
      </w:r>
      <w:r w:rsidRPr="001071A2">
        <w:rPr>
          <w:rFonts w:ascii="Times New Roman" w:hAnsi="Times New Roman" w:cs="Times New Roman"/>
          <w:i/>
          <w:sz w:val="26"/>
          <w:szCs w:val="26"/>
        </w:rPr>
        <w:t>Exelon Corp.</w:t>
      </w:r>
      <w:r w:rsidRPr="00947289">
        <w:rPr>
          <w:rFonts w:ascii="Times New Roman" w:hAnsi="Times New Roman" w:cs="Times New Roman"/>
          <w:sz w:val="26"/>
          <w:szCs w:val="26"/>
        </w:rPr>
        <w:t xml:space="preserve">, 138 FERC ¶ 61,167, at </w:t>
      </w:r>
      <w:r w:rsidR="00067802">
        <w:rPr>
          <w:rFonts w:ascii="Times New Roman" w:hAnsi="Times New Roman" w:cs="Times New Roman"/>
          <w:sz w:val="26"/>
          <w:szCs w:val="26"/>
        </w:rPr>
        <w:t xml:space="preserve">   </w:t>
      </w:r>
      <w:r w:rsidRPr="00947289">
        <w:rPr>
          <w:rFonts w:ascii="Times New Roman" w:hAnsi="Times New Roman" w:cs="Times New Roman"/>
          <w:sz w:val="26"/>
          <w:szCs w:val="26"/>
        </w:rPr>
        <w:t>P 118 (2012) (same).</w:t>
      </w:r>
    </w:p>
  </w:footnote>
  <w:footnote w:id="26">
    <w:p w14:paraId="26D51780" w14:textId="77777777" w:rsidR="006E7588" w:rsidRPr="00947289" w:rsidRDefault="006E7588">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An acquisition premium is the excess of the total purchase price or consideration paid in the transaction over the historical cost of the net assets of the entity acquired.  </w:t>
      </w:r>
    </w:p>
  </w:footnote>
  <w:footnote w:id="27">
    <w:p w14:paraId="57F345E4" w14:textId="3CA30C19" w:rsidR="006E7588" w:rsidRPr="00947289" w:rsidRDefault="006E7588" w:rsidP="006177F0">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iCs/>
          <w:color w:val="000000" w:themeColor="text1"/>
          <w:sz w:val="26"/>
          <w:szCs w:val="26"/>
        </w:rPr>
        <w:t>Exelon</w:t>
      </w:r>
      <w:r w:rsidRPr="00947289">
        <w:rPr>
          <w:rFonts w:ascii="Times New Roman" w:hAnsi="Times New Roman" w:cs="Times New Roman"/>
          <w:color w:val="000000" w:themeColor="text1"/>
          <w:sz w:val="26"/>
          <w:szCs w:val="26"/>
        </w:rPr>
        <w:t xml:space="preserve">, 138 FERC ¶ 61,167 at P 118 (citing </w:t>
      </w:r>
      <w:r w:rsidRPr="001071A2">
        <w:rPr>
          <w:rFonts w:ascii="Times New Roman" w:hAnsi="Times New Roman" w:cs="Times New Roman"/>
          <w:i/>
          <w:color w:val="000000" w:themeColor="text1"/>
          <w:sz w:val="26"/>
          <w:szCs w:val="26"/>
          <w:u w:val="single"/>
        </w:rPr>
        <w:t>Merger Policy Statement</w:t>
      </w:r>
      <w:r w:rsidRPr="00947289">
        <w:rPr>
          <w:rFonts w:ascii="Times New Roman" w:hAnsi="Times New Roman" w:cs="Times New Roman"/>
          <w:color w:val="000000" w:themeColor="text1"/>
          <w:sz w:val="26"/>
          <w:szCs w:val="26"/>
        </w:rPr>
        <w:t xml:space="preserve">, FERC Stats. &amp; Regs. ¶ 31,044 at 30,126; </w:t>
      </w:r>
      <w:r w:rsidRPr="001071A2">
        <w:rPr>
          <w:rFonts w:ascii="Times New Roman" w:hAnsi="Times New Roman" w:cs="Times New Roman"/>
          <w:i/>
          <w:iCs/>
          <w:color w:val="000000" w:themeColor="text1"/>
          <w:sz w:val="26"/>
          <w:szCs w:val="26"/>
        </w:rPr>
        <w:t>Duke Energy Moss Landing LLC</w:t>
      </w:r>
      <w:r w:rsidRPr="0094728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83 FERC</w:t>
      </w:r>
      <w:r w:rsidR="0006780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61,318 (1998)</w:t>
      </w:r>
      <w:r w:rsidRPr="00947289">
        <w:rPr>
          <w:rFonts w:ascii="Times New Roman" w:hAnsi="Times New Roman" w:cs="Times New Roman"/>
          <w:color w:val="000000" w:themeColor="text1"/>
          <w:sz w:val="26"/>
          <w:szCs w:val="26"/>
        </w:rPr>
        <w:t xml:space="preserve">, </w:t>
      </w:r>
      <w:r w:rsidRPr="001071A2">
        <w:rPr>
          <w:rFonts w:ascii="Times New Roman" w:hAnsi="Times New Roman" w:cs="Times New Roman"/>
          <w:i/>
          <w:color w:val="000000" w:themeColor="text1"/>
          <w:sz w:val="26"/>
          <w:szCs w:val="26"/>
        </w:rPr>
        <w:t>reh’g denied</w:t>
      </w:r>
      <w:r w:rsidRPr="00947289">
        <w:rPr>
          <w:rFonts w:ascii="Times New Roman" w:hAnsi="Times New Roman" w:cs="Times New Roman"/>
          <w:color w:val="000000" w:themeColor="text1"/>
          <w:sz w:val="26"/>
          <w:szCs w:val="26"/>
        </w:rPr>
        <w:t>, 86 FERC ¶ 61,227</w:t>
      </w:r>
      <w:r>
        <w:rPr>
          <w:rFonts w:ascii="Times New Roman" w:hAnsi="Times New Roman" w:cs="Times New Roman"/>
          <w:color w:val="000000" w:themeColor="text1"/>
          <w:sz w:val="26"/>
          <w:szCs w:val="26"/>
        </w:rPr>
        <w:t xml:space="preserve">, </w:t>
      </w:r>
      <w:r w:rsidRPr="00947289">
        <w:rPr>
          <w:rFonts w:ascii="Times New Roman" w:hAnsi="Times New Roman" w:cs="Times New Roman"/>
          <w:color w:val="000000" w:themeColor="text1"/>
          <w:sz w:val="26"/>
          <w:szCs w:val="26"/>
        </w:rPr>
        <w:t>at 61,816 (1999) (citing</w:t>
      </w:r>
      <w:r w:rsidRPr="00947289">
        <w:rPr>
          <w:rFonts w:ascii="Times New Roman" w:hAnsi="Times New Roman" w:cs="Times New Roman"/>
          <w:i/>
          <w:iCs/>
          <w:color w:val="000000" w:themeColor="text1"/>
          <w:sz w:val="26"/>
          <w:szCs w:val="26"/>
        </w:rPr>
        <w:t xml:space="preserve"> </w:t>
      </w:r>
      <w:r w:rsidRPr="001071A2">
        <w:rPr>
          <w:rFonts w:ascii="Times New Roman" w:hAnsi="Times New Roman" w:cs="Times New Roman"/>
          <w:i/>
          <w:iCs/>
          <w:color w:val="000000" w:themeColor="text1"/>
          <w:sz w:val="26"/>
          <w:szCs w:val="26"/>
        </w:rPr>
        <w:t>Mid-Louisiana Gas Co.</w:t>
      </w:r>
      <w:r w:rsidRPr="00947289">
        <w:rPr>
          <w:rFonts w:ascii="Times New Roman" w:hAnsi="Times New Roman" w:cs="Times New Roman"/>
          <w:color w:val="000000" w:themeColor="text1"/>
          <w:sz w:val="26"/>
          <w:szCs w:val="26"/>
        </w:rPr>
        <w:t xml:space="preserve">, 7 FERC ¶ 61,316, at 61,682, </w:t>
      </w:r>
      <w:r w:rsidRPr="001071A2">
        <w:rPr>
          <w:rFonts w:ascii="Times New Roman" w:hAnsi="Times New Roman" w:cs="Times New Roman"/>
          <w:i/>
          <w:iCs/>
          <w:color w:val="000000" w:themeColor="text1"/>
          <w:sz w:val="26"/>
          <w:szCs w:val="26"/>
        </w:rPr>
        <w:t>reh'g denied</w:t>
      </w:r>
      <w:r w:rsidRPr="00947289">
        <w:rPr>
          <w:rFonts w:ascii="Times New Roman" w:hAnsi="Times New Roman" w:cs="Times New Roman"/>
          <w:color w:val="000000" w:themeColor="text1"/>
          <w:sz w:val="26"/>
          <w:szCs w:val="26"/>
        </w:rPr>
        <w:t xml:space="preserve">, 8 FERC ¶ 61,227 (1979), </w:t>
      </w:r>
      <w:r w:rsidRPr="001071A2">
        <w:rPr>
          <w:rFonts w:ascii="Times New Roman" w:hAnsi="Times New Roman" w:cs="Times New Roman"/>
          <w:i/>
          <w:iCs/>
          <w:color w:val="000000" w:themeColor="text1"/>
          <w:sz w:val="26"/>
          <w:szCs w:val="26"/>
        </w:rPr>
        <w:t>aff'd sub nom.</w:t>
      </w:r>
      <w:r w:rsidRPr="006D36FE">
        <w:rPr>
          <w:rFonts w:ascii="Times New Roman" w:hAnsi="Times New Roman" w:cs="Times New Roman"/>
          <w:i/>
          <w:iCs/>
          <w:color w:val="000000" w:themeColor="text1"/>
          <w:sz w:val="26"/>
          <w:szCs w:val="26"/>
        </w:rPr>
        <w:t xml:space="preserve"> </w:t>
      </w:r>
      <w:r w:rsidRPr="001071A2">
        <w:rPr>
          <w:rFonts w:ascii="Times New Roman" w:hAnsi="Times New Roman" w:cs="Times New Roman"/>
          <w:i/>
          <w:iCs/>
          <w:color w:val="000000" w:themeColor="text1"/>
          <w:sz w:val="26"/>
          <w:szCs w:val="26"/>
        </w:rPr>
        <w:t>Transcon. Gas Pipe Line Corp. v. FERC</w:t>
      </w:r>
      <w:r w:rsidRPr="00187A82">
        <w:rPr>
          <w:rFonts w:ascii="Times New Roman" w:hAnsi="Times New Roman" w:cs="Times New Roman"/>
          <w:color w:val="000000" w:themeColor="text1"/>
          <w:sz w:val="26"/>
          <w:szCs w:val="26"/>
          <w:u w:val="single"/>
        </w:rPr>
        <w:t>,</w:t>
      </w:r>
      <w:r w:rsidRPr="00947289">
        <w:rPr>
          <w:rFonts w:ascii="Times New Roman" w:hAnsi="Times New Roman" w:cs="Times New Roman"/>
          <w:color w:val="000000" w:themeColor="text1"/>
          <w:sz w:val="26"/>
          <w:szCs w:val="26"/>
        </w:rPr>
        <w:t xml:space="preserve"> 652 F.2d 179 (D.C. Cir. 1981)) (rate recovery of an existing facility is generally limited to the original cost of the facility)).</w:t>
      </w:r>
    </w:p>
  </w:footnote>
  <w:footnote w:id="28">
    <w:p w14:paraId="2ACD251B" w14:textId="5613FA51" w:rsidR="006E7588" w:rsidRPr="00947289" w:rsidRDefault="006E7588" w:rsidP="00EA74C8">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eastAsia="Calibri" w:hAnsi="Times New Roman" w:cs="Times New Roman"/>
          <w:i/>
          <w:sz w:val="26"/>
          <w:szCs w:val="26"/>
        </w:rPr>
        <w:t>BHE Holdings</w:t>
      </w:r>
      <w:r w:rsidRPr="00947289">
        <w:rPr>
          <w:rFonts w:ascii="Times New Roman" w:eastAsia="Calibri" w:hAnsi="Times New Roman" w:cs="Times New Roman"/>
          <w:sz w:val="26"/>
          <w:szCs w:val="26"/>
        </w:rPr>
        <w:t xml:space="preserve">, 133 FERC ¶ 61,231 at P 36 (citing </w:t>
      </w:r>
      <w:r w:rsidRPr="001071A2">
        <w:rPr>
          <w:rFonts w:ascii="Times New Roman" w:eastAsia="Calibri" w:hAnsi="Times New Roman" w:cs="Times New Roman"/>
          <w:i/>
          <w:sz w:val="26"/>
          <w:szCs w:val="26"/>
        </w:rPr>
        <w:t>PNM Resources, Inc.</w:t>
      </w:r>
      <w:r w:rsidRPr="00947289">
        <w:rPr>
          <w:rFonts w:ascii="Times New Roman" w:eastAsia="Calibri" w:hAnsi="Times New Roman" w:cs="Times New Roman"/>
          <w:sz w:val="26"/>
          <w:szCs w:val="26"/>
        </w:rPr>
        <w:t xml:space="preserve">, </w:t>
      </w:r>
      <w:r w:rsidR="00067802">
        <w:rPr>
          <w:rFonts w:ascii="Times New Roman" w:eastAsia="Calibri" w:hAnsi="Times New Roman" w:cs="Times New Roman"/>
          <w:sz w:val="26"/>
          <w:szCs w:val="26"/>
        </w:rPr>
        <w:t xml:space="preserve">      </w:t>
      </w:r>
      <w:r w:rsidRPr="00947289">
        <w:rPr>
          <w:rFonts w:ascii="Times New Roman" w:eastAsia="Calibri" w:hAnsi="Times New Roman" w:cs="Times New Roman"/>
          <w:sz w:val="26"/>
          <w:szCs w:val="26"/>
        </w:rPr>
        <w:t xml:space="preserve">124 FERC ¶ 61,019, at P 43 (2008) (“Applicants are not required to apply a rate freeze and may propose rate increases under section 205 filings.”)); </w:t>
      </w:r>
      <w:r w:rsidRPr="001071A2">
        <w:rPr>
          <w:rFonts w:ascii="Times New Roman" w:eastAsia="Calibri" w:hAnsi="Times New Roman" w:cs="Times New Roman"/>
          <w:i/>
          <w:sz w:val="26"/>
          <w:szCs w:val="26"/>
        </w:rPr>
        <w:t>ITC Holdings</w:t>
      </w:r>
      <w:r w:rsidRPr="00947289">
        <w:rPr>
          <w:rFonts w:ascii="Times New Roman" w:eastAsia="Calibri" w:hAnsi="Times New Roman" w:cs="Times New Roman"/>
          <w:sz w:val="26"/>
          <w:szCs w:val="26"/>
        </w:rPr>
        <w:t xml:space="preserve">, 121 FERC </w:t>
      </w:r>
      <w:r w:rsidR="00067802">
        <w:rPr>
          <w:rFonts w:ascii="Times New Roman" w:eastAsia="Calibri" w:hAnsi="Times New Roman" w:cs="Times New Roman"/>
          <w:sz w:val="26"/>
          <w:szCs w:val="26"/>
        </w:rPr>
        <w:t xml:space="preserve">   </w:t>
      </w:r>
      <w:r w:rsidRPr="00947289">
        <w:rPr>
          <w:rFonts w:ascii="Times New Roman" w:eastAsia="Calibri" w:hAnsi="Times New Roman" w:cs="Times New Roman"/>
          <w:sz w:val="26"/>
          <w:szCs w:val="26"/>
        </w:rPr>
        <w:t>¶ 61,229 at P 124 (“[T]he Commission finds that any increased costs of ITC Midwest attributable to prudent transmission investment do not make the Transaction contrary to the public interest”)</w:t>
      </w:r>
      <w:r w:rsidRPr="00947289">
        <w:rPr>
          <w:rFonts w:ascii="Times New Roman" w:hAnsi="Times New Roman" w:cs="Times New Roman"/>
          <w:color w:val="000000"/>
          <w:sz w:val="26"/>
          <w:szCs w:val="26"/>
          <w:shd w:val="clear" w:color="auto" w:fill="FFFFFF"/>
        </w:rPr>
        <w:t xml:space="preserve">; </w:t>
      </w:r>
      <w:r w:rsidRPr="001071A2">
        <w:rPr>
          <w:rFonts w:ascii="Times New Roman" w:eastAsia="Calibri" w:hAnsi="Times New Roman" w:cs="Times New Roman"/>
          <w:i/>
          <w:sz w:val="26"/>
          <w:szCs w:val="26"/>
        </w:rPr>
        <w:t>Boston Generating, LLC</w:t>
      </w:r>
      <w:r w:rsidRPr="00947289">
        <w:rPr>
          <w:rFonts w:ascii="Times New Roman" w:eastAsia="Calibri" w:hAnsi="Times New Roman" w:cs="Times New Roman"/>
          <w:sz w:val="26"/>
          <w:szCs w:val="26"/>
        </w:rPr>
        <w:t xml:space="preserve">, 113 FERC ¶ 61,016, at P 26 (2005) (“In reviewing an application under section 203, the Commission looks at the effects of the transaction on rates, not at rate changes that may occur regardless of the transaction.”)); </w:t>
      </w:r>
      <w:r w:rsidRPr="001071A2">
        <w:rPr>
          <w:rFonts w:ascii="Times New Roman" w:hAnsi="Times New Roman" w:cs="Times New Roman"/>
          <w:i/>
          <w:sz w:val="26"/>
          <w:szCs w:val="26"/>
        </w:rPr>
        <w:t>Jersey Central Power &amp; Light Co.</w:t>
      </w:r>
      <w:r w:rsidRPr="00947289">
        <w:rPr>
          <w:rFonts w:ascii="Times New Roman" w:hAnsi="Times New Roman" w:cs="Times New Roman"/>
          <w:sz w:val="26"/>
          <w:szCs w:val="26"/>
        </w:rPr>
        <w:t>, 87 FERC ¶ 61,014, at 61,039 (1999) (“</w:t>
      </w:r>
      <w:r w:rsidRPr="00947289">
        <w:rPr>
          <w:rFonts w:ascii="Times New Roman" w:hAnsi="Times New Roman" w:cs="Times New Roman"/>
          <w:color w:val="000000"/>
          <w:sz w:val="26"/>
          <w:szCs w:val="26"/>
          <w:shd w:val="clear" w:color="auto" w:fill="FFFFFF"/>
        </w:rPr>
        <w:t>The Commission does not require applicants under [s]ection 203 to insulate their customers from the rate effects of market forces.  Accordingly, customers are not entitled in a [s]ection 203 proceeding to be held harmless from external factors such as rising market prices.”);</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Cincinnati Gas &amp; Elec. Co.</w:t>
      </w:r>
      <w:r w:rsidRPr="00947289">
        <w:rPr>
          <w:rFonts w:ascii="Times New Roman" w:hAnsi="Times New Roman" w:cs="Times New Roman"/>
          <w:sz w:val="26"/>
          <w:szCs w:val="26"/>
        </w:rPr>
        <w:t xml:space="preserve">, 64 FERC ¶ 61,237, at 62,686, 62,714 (1993), </w:t>
      </w:r>
      <w:r w:rsidRPr="001071A2">
        <w:rPr>
          <w:rFonts w:ascii="Times New Roman" w:hAnsi="Times New Roman" w:cs="Times New Roman"/>
          <w:i/>
          <w:sz w:val="26"/>
          <w:szCs w:val="26"/>
        </w:rPr>
        <w:t>reh’g denied</w:t>
      </w:r>
      <w:r w:rsidRPr="00947289">
        <w:rPr>
          <w:rFonts w:ascii="Times New Roman" w:hAnsi="Times New Roman" w:cs="Times New Roman"/>
          <w:sz w:val="26"/>
          <w:szCs w:val="26"/>
        </w:rPr>
        <w:t xml:space="preserve">, 69 FERC ¶ 61,005, </w:t>
      </w:r>
      <w:r w:rsidRPr="001071A2">
        <w:rPr>
          <w:rFonts w:ascii="Times New Roman" w:hAnsi="Times New Roman" w:cs="Times New Roman"/>
          <w:i/>
          <w:sz w:val="26"/>
          <w:szCs w:val="26"/>
        </w:rPr>
        <w:t>order on clarification</w:t>
      </w:r>
      <w:r w:rsidRPr="00947289">
        <w:rPr>
          <w:rFonts w:ascii="Times New Roman" w:hAnsi="Times New Roman" w:cs="Times New Roman"/>
          <w:sz w:val="26"/>
          <w:szCs w:val="26"/>
        </w:rPr>
        <w:t xml:space="preserve">, 69 FERC ¶ 61,088 (1994), </w:t>
      </w:r>
      <w:r w:rsidRPr="001071A2">
        <w:rPr>
          <w:rFonts w:ascii="Times New Roman" w:hAnsi="Times New Roman" w:cs="Times New Roman"/>
          <w:i/>
          <w:sz w:val="26"/>
          <w:szCs w:val="26"/>
        </w:rPr>
        <w:t>reh’g denied</w:t>
      </w:r>
      <w:r w:rsidRPr="00947289">
        <w:rPr>
          <w:rFonts w:ascii="Times New Roman" w:hAnsi="Times New Roman" w:cs="Times New Roman"/>
          <w:sz w:val="26"/>
          <w:szCs w:val="26"/>
        </w:rPr>
        <w:t xml:space="preserve">, 71 FERC </w:t>
      </w:r>
      <w:r w:rsidR="00067802">
        <w:rPr>
          <w:rFonts w:ascii="Times New Roman" w:hAnsi="Times New Roman" w:cs="Times New Roman"/>
          <w:sz w:val="26"/>
          <w:szCs w:val="26"/>
        </w:rPr>
        <w:t>¶</w:t>
      </w:r>
      <w:r w:rsidRPr="00947289">
        <w:rPr>
          <w:rFonts w:ascii="Times New Roman" w:hAnsi="Times New Roman" w:cs="Times New Roman"/>
          <w:sz w:val="26"/>
          <w:szCs w:val="26"/>
        </w:rPr>
        <w:t xml:space="preserve"> 61,380 (1995).</w:t>
      </w:r>
    </w:p>
  </w:footnote>
  <w:footnote w:id="29">
    <w:p w14:paraId="1B153828" w14:textId="592970C9" w:rsidR="006E7588" w:rsidRPr="00947289" w:rsidRDefault="006E7588" w:rsidP="00EA74C8">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Exelon Corp.</w:t>
      </w:r>
      <w:r w:rsidRPr="00947289">
        <w:rPr>
          <w:rFonts w:ascii="Times New Roman" w:hAnsi="Times New Roman" w:cs="Times New Roman"/>
          <w:sz w:val="26"/>
          <w:szCs w:val="26"/>
        </w:rPr>
        <w:t>, 127 FERC ¶ 61,161</w:t>
      </w:r>
      <w:r>
        <w:rPr>
          <w:rFonts w:ascii="Times New Roman" w:hAnsi="Times New Roman" w:cs="Times New Roman"/>
          <w:sz w:val="26"/>
          <w:szCs w:val="26"/>
        </w:rPr>
        <w:t>,</w:t>
      </w:r>
      <w:r w:rsidRPr="00947289">
        <w:rPr>
          <w:rFonts w:ascii="Times New Roman" w:hAnsi="Times New Roman" w:cs="Times New Roman"/>
          <w:sz w:val="26"/>
          <w:szCs w:val="26"/>
        </w:rPr>
        <w:t xml:space="preserve"> at P 102</w:t>
      </w:r>
      <w:r>
        <w:rPr>
          <w:rFonts w:ascii="Times New Roman" w:hAnsi="Times New Roman" w:cs="Times New Roman"/>
          <w:sz w:val="26"/>
          <w:szCs w:val="26"/>
        </w:rPr>
        <w:t xml:space="preserve"> (2009)</w:t>
      </w:r>
      <w:r w:rsidRPr="00947289">
        <w:rPr>
          <w:rFonts w:ascii="Times New Roman" w:hAnsi="Times New Roman" w:cs="Times New Roman"/>
          <w:sz w:val="26"/>
          <w:szCs w:val="26"/>
        </w:rPr>
        <w:t xml:space="preserve"> (citing, </w:t>
      </w:r>
      <w:r w:rsidRPr="001071A2">
        <w:rPr>
          <w:rFonts w:ascii="Times New Roman" w:hAnsi="Times New Roman" w:cs="Times New Roman"/>
          <w:i/>
          <w:sz w:val="26"/>
          <w:szCs w:val="26"/>
        </w:rPr>
        <w:t>inter alia</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NorthWestern Corp.</w:t>
      </w:r>
      <w:r w:rsidRPr="00947289">
        <w:rPr>
          <w:rFonts w:ascii="Times New Roman" w:hAnsi="Times New Roman" w:cs="Times New Roman"/>
          <w:sz w:val="26"/>
          <w:szCs w:val="26"/>
        </w:rPr>
        <w:t xml:space="preserve">, 117 FERC ¶ 61,100, at P 40 (2006) (finding speculative protestor’s argument that the proposed transaction would result in a credit ratings downgrade and lead to higher rates or lower reliability)); </w:t>
      </w:r>
      <w:r w:rsidRPr="001071A2">
        <w:rPr>
          <w:rFonts w:ascii="Times New Roman" w:hAnsi="Times New Roman" w:cs="Times New Roman"/>
          <w:i/>
          <w:sz w:val="26"/>
          <w:szCs w:val="26"/>
        </w:rPr>
        <w:t>Old Dominion Elec. Coop.</w:t>
      </w:r>
      <w:r w:rsidRPr="00947289">
        <w:rPr>
          <w:rFonts w:ascii="Times New Roman" w:hAnsi="Times New Roman" w:cs="Times New Roman"/>
          <w:sz w:val="26"/>
          <w:szCs w:val="26"/>
        </w:rPr>
        <w:t>, 117 FERC ¶ 61,313, at P 29 (2006) (affirming initial decision that “the record supports the conclusion that the credit downgrade will not raise rates”).</w:t>
      </w:r>
    </w:p>
  </w:footnote>
  <w:footnote w:id="30">
    <w:p w14:paraId="0C6392DF" w14:textId="5AC4152B" w:rsidR="006E7588" w:rsidRPr="009E4474" w:rsidRDefault="006E7588">
      <w:pPr>
        <w:pStyle w:val="FootnoteText"/>
      </w:pPr>
      <w:r>
        <w:rPr>
          <w:rStyle w:val="FootnoteReference"/>
        </w:rPr>
        <w:footnoteRef/>
      </w:r>
      <w:r>
        <w:t xml:space="preserve"> </w:t>
      </w:r>
      <w:r w:rsidRPr="001071A2">
        <w:rPr>
          <w:rFonts w:ascii="Times New Roman" w:hAnsi="Times New Roman" w:cs="Times New Roman"/>
          <w:i/>
          <w:sz w:val="26"/>
          <w:szCs w:val="26"/>
        </w:rPr>
        <w:t>Exelon Corp.</w:t>
      </w:r>
      <w:r w:rsidRPr="00ED4165">
        <w:rPr>
          <w:rFonts w:ascii="Times New Roman" w:hAnsi="Times New Roman" w:cs="Times New Roman"/>
          <w:sz w:val="26"/>
          <w:szCs w:val="26"/>
        </w:rPr>
        <w:t>, 149 FERC ¶ 61,148</w:t>
      </w:r>
      <w:r>
        <w:rPr>
          <w:rFonts w:ascii="Times New Roman" w:hAnsi="Times New Roman" w:cs="Times New Roman"/>
          <w:sz w:val="26"/>
          <w:szCs w:val="26"/>
        </w:rPr>
        <w:t xml:space="preserve"> (2014) (</w:t>
      </w:r>
      <w:r w:rsidRPr="001071A2">
        <w:rPr>
          <w:rFonts w:ascii="Times New Roman" w:hAnsi="Times New Roman" w:cs="Times New Roman"/>
          <w:i/>
          <w:sz w:val="26"/>
          <w:szCs w:val="26"/>
        </w:rPr>
        <w:t>Exelon-Pepco</w:t>
      </w:r>
      <w:r>
        <w:rPr>
          <w:rFonts w:ascii="Times New Roman" w:hAnsi="Times New Roman" w:cs="Times New Roman"/>
          <w:sz w:val="26"/>
          <w:szCs w:val="26"/>
        </w:rPr>
        <w:t>).</w:t>
      </w:r>
    </w:p>
  </w:footnote>
  <w:footnote w:id="31">
    <w:p w14:paraId="515157D1" w14:textId="7698483D" w:rsidR="006E7588" w:rsidRPr="00F83492" w:rsidRDefault="006E7588">
      <w:pPr>
        <w:pStyle w:val="FootnoteText"/>
        <w:rPr>
          <w:rFonts w:ascii="Times New Roman" w:hAnsi="Times New Roman" w:cs="Times New Roman"/>
          <w:sz w:val="26"/>
          <w:szCs w:val="26"/>
        </w:rPr>
      </w:pPr>
      <w:r>
        <w:rPr>
          <w:rStyle w:val="FootnoteReference"/>
        </w:rPr>
        <w:footnoteRef/>
      </w:r>
      <w:r>
        <w:t xml:space="preserve"> </w:t>
      </w:r>
      <w:r w:rsidRPr="001071A2">
        <w:rPr>
          <w:rFonts w:ascii="Times New Roman" w:hAnsi="Times New Roman" w:cs="Times New Roman"/>
          <w:i/>
          <w:sz w:val="26"/>
          <w:szCs w:val="26"/>
        </w:rPr>
        <w:t>Id.</w:t>
      </w:r>
      <w:r w:rsidRPr="00F83492">
        <w:rPr>
          <w:rFonts w:ascii="Times New Roman" w:hAnsi="Times New Roman" w:cs="Times New Roman"/>
          <w:sz w:val="26"/>
          <w:szCs w:val="26"/>
        </w:rPr>
        <w:t xml:space="preserve"> P 106.</w:t>
      </w:r>
    </w:p>
  </w:footnote>
  <w:footnote w:id="32">
    <w:p w14:paraId="6C75C9B5" w14:textId="299DB517" w:rsidR="006E7588" w:rsidRPr="00ED4165" w:rsidRDefault="006E7588">
      <w:pPr>
        <w:pStyle w:val="FootnoteText"/>
        <w:rPr>
          <w:rFonts w:ascii="Times New Roman" w:hAnsi="Times New Roman" w:cs="Times New Roman"/>
          <w:sz w:val="26"/>
          <w:szCs w:val="26"/>
        </w:rPr>
      </w:pPr>
      <w:r w:rsidRPr="00ED4165">
        <w:rPr>
          <w:rStyle w:val="FootnoteReference"/>
        </w:rPr>
        <w:footnoteRef/>
      </w:r>
      <w:r w:rsidRPr="00ED4165">
        <w:rPr>
          <w:rFonts w:ascii="Times New Roman" w:hAnsi="Times New Roman" w:cs="Times New Roman"/>
          <w:sz w:val="26"/>
          <w:szCs w:val="26"/>
        </w:rPr>
        <w:t xml:space="preserve"> </w:t>
      </w:r>
      <w:r w:rsidRPr="001071A2">
        <w:rPr>
          <w:rFonts w:ascii="Times New Roman" w:hAnsi="Times New Roman" w:cs="Times New Roman"/>
          <w:i/>
          <w:sz w:val="26"/>
          <w:szCs w:val="26"/>
        </w:rPr>
        <w:t>Id.</w:t>
      </w:r>
      <w:r w:rsidRPr="00ED4165" w:rsidDel="003C12FD">
        <w:rPr>
          <w:rFonts w:ascii="Times New Roman" w:hAnsi="Times New Roman" w:cs="Times New Roman"/>
          <w:sz w:val="26"/>
          <w:szCs w:val="26"/>
        </w:rPr>
        <w:t xml:space="preserve"> </w:t>
      </w:r>
      <w:r w:rsidRPr="00ED4165">
        <w:rPr>
          <w:rFonts w:ascii="Times New Roman" w:hAnsi="Times New Roman" w:cs="Times New Roman"/>
          <w:sz w:val="26"/>
          <w:szCs w:val="26"/>
        </w:rPr>
        <w:t>P 105.</w:t>
      </w:r>
    </w:p>
  </w:footnote>
  <w:footnote w:id="33">
    <w:p w14:paraId="7DC81A50" w14:textId="7E085F99" w:rsidR="006E7588" w:rsidRPr="00ED4165" w:rsidRDefault="006E7588">
      <w:pPr>
        <w:pStyle w:val="FootnoteText"/>
        <w:rPr>
          <w:rFonts w:ascii="Times New Roman" w:hAnsi="Times New Roman" w:cs="Times New Roman"/>
          <w:sz w:val="26"/>
          <w:szCs w:val="26"/>
        </w:rPr>
      </w:pPr>
      <w:r w:rsidRPr="00ED4165">
        <w:rPr>
          <w:rStyle w:val="FootnoteReference"/>
        </w:rPr>
        <w:footnoteRef/>
      </w:r>
      <w:r w:rsidRPr="00ED4165">
        <w:rPr>
          <w:rFonts w:ascii="Times New Roman" w:hAnsi="Times New Roman" w:cs="Times New Roman"/>
          <w:sz w:val="26"/>
          <w:szCs w:val="26"/>
        </w:rPr>
        <w:t xml:space="preserve"> </w:t>
      </w:r>
      <w:r w:rsidRPr="001071A2">
        <w:rPr>
          <w:rFonts w:ascii="Times New Roman" w:hAnsi="Times New Roman" w:cs="Times New Roman"/>
          <w:i/>
          <w:sz w:val="26"/>
          <w:szCs w:val="26"/>
        </w:rPr>
        <w:t>Id.</w:t>
      </w:r>
      <w:r w:rsidRPr="00187A82">
        <w:rPr>
          <w:rFonts w:ascii="Times New Roman" w:hAnsi="Times New Roman" w:cs="Times New Roman"/>
          <w:sz w:val="26"/>
          <w:szCs w:val="26"/>
        </w:rPr>
        <w:t xml:space="preserve"> </w:t>
      </w:r>
      <w:r w:rsidRPr="00ED4165">
        <w:rPr>
          <w:rFonts w:ascii="Times New Roman" w:hAnsi="Times New Roman" w:cs="Times New Roman"/>
          <w:sz w:val="26"/>
          <w:szCs w:val="26"/>
        </w:rPr>
        <w:t>P 107.</w:t>
      </w:r>
    </w:p>
  </w:footnote>
  <w:footnote w:id="34">
    <w:p w14:paraId="1FEAAD4A" w14:textId="4F77C810" w:rsidR="006E7588" w:rsidRPr="003C12FD" w:rsidRDefault="006E7588">
      <w:pPr>
        <w:pStyle w:val="FootnoteText"/>
      </w:pPr>
      <w:r>
        <w:rPr>
          <w:rStyle w:val="FootnoteReference"/>
        </w:rPr>
        <w:footnoteRef/>
      </w:r>
      <w:r>
        <w:t xml:space="preserve"> </w:t>
      </w:r>
      <w:r w:rsidRPr="001071A2">
        <w:rPr>
          <w:rFonts w:ascii="Times New Roman" w:hAnsi="Times New Roman" w:cs="Times New Roman"/>
          <w:i/>
          <w:sz w:val="26"/>
          <w:szCs w:val="26"/>
        </w:rPr>
        <w:t>Id.</w:t>
      </w:r>
      <w:r w:rsidRPr="00F83492">
        <w:rPr>
          <w:rFonts w:ascii="Times New Roman" w:hAnsi="Times New Roman" w:cs="Times New Roman"/>
          <w:sz w:val="26"/>
          <w:szCs w:val="26"/>
        </w:rPr>
        <w:t xml:space="preserve"> P 106.</w:t>
      </w:r>
      <w:r>
        <w:t xml:space="preserve"> </w:t>
      </w:r>
    </w:p>
  </w:footnote>
  <w:footnote w:id="35">
    <w:p w14:paraId="00A66F1F" w14:textId="017FAB8E" w:rsidR="006E7588" w:rsidRPr="00947289" w:rsidRDefault="006E7588" w:rsidP="006177F0">
      <w:pPr>
        <w:pStyle w:val="FootnoteText"/>
        <w:spacing w:line="240" w:lineRule="auto"/>
        <w:rPr>
          <w:rFonts w:ascii="Times New Roman" w:hAnsi="Times New Roman" w:cs="Times New Roman"/>
          <w:b/>
          <w:i/>
          <w:sz w:val="26"/>
          <w:szCs w:val="26"/>
        </w:rPr>
      </w:pPr>
      <w:r w:rsidRPr="00ED4165">
        <w:rPr>
          <w:rStyle w:val="FootnoteReference"/>
        </w:rPr>
        <w:footnoteRef/>
      </w:r>
      <w:r w:rsidRPr="00ED4165">
        <w:rPr>
          <w:rFonts w:ascii="Times New Roman" w:hAnsi="Times New Roman" w:cs="Times New Roman"/>
          <w:sz w:val="26"/>
          <w:szCs w:val="26"/>
        </w:rPr>
        <w:t xml:space="preserve"> Merger Policy Statement, FERC Stats. &amp; Regs. ¶ 31,044 at 30,123.  </w:t>
      </w:r>
      <w:r w:rsidRPr="001071A2">
        <w:rPr>
          <w:rFonts w:ascii="Times New Roman" w:hAnsi="Times New Roman" w:cs="Times New Roman"/>
          <w:i/>
          <w:sz w:val="26"/>
          <w:szCs w:val="26"/>
        </w:rPr>
        <w:t>See, e.g.</w:t>
      </w:r>
      <w:r w:rsidRPr="00ED4165">
        <w:rPr>
          <w:rFonts w:ascii="Times New Roman" w:hAnsi="Times New Roman" w:cs="Times New Roman"/>
          <w:sz w:val="26"/>
          <w:szCs w:val="26"/>
        </w:rPr>
        <w:t xml:space="preserve">, </w:t>
      </w:r>
      <w:r w:rsidRPr="001071A2">
        <w:rPr>
          <w:rFonts w:ascii="Times New Roman" w:hAnsi="Times New Roman" w:cs="Times New Roman"/>
          <w:i/>
          <w:sz w:val="26"/>
          <w:szCs w:val="26"/>
        </w:rPr>
        <w:t>Consol. Edison, Inc.</w:t>
      </w:r>
      <w:r w:rsidRPr="00ED4165">
        <w:rPr>
          <w:rFonts w:ascii="Times New Roman" w:hAnsi="Times New Roman" w:cs="Times New Roman"/>
          <w:sz w:val="26"/>
          <w:szCs w:val="26"/>
        </w:rPr>
        <w:t>, 94 FER</w:t>
      </w:r>
      <w:r>
        <w:rPr>
          <w:rFonts w:ascii="Times New Roman" w:hAnsi="Times New Roman" w:cs="Times New Roman"/>
          <w:sz w:val="26"/>
          <w:szCs w:val="26"/>
        </w:rPr>
        <w:t>C ¶ 61,079, at 61,366 (2001)(“</w:t>
      </w:r>
      <w:r w:rsidRPr="00ED4165">
        <w:rPr>
          <w:rFonts w:ascii="Times New Roman" w:eastAsia="Times New Roman" w:hAnsi="Times New Roman" w:cs="Times New Roman"/>
          <w:sz w:val="26"/>
          <w:szCs w:val="26"/>
        </w:rPr>
        <w:t xml:space="preserve">customers do have the opportunity to scrutinize costs before </w:t>
      </w:r>
      <w:r w:rsidRPr="00947289">
        <w:rPr>
          <w:rFonts w:ascii="Times New Roman" w:eastAsia="Times New Roman" w:hAnsi="Times New Roman" w:cs="Times New Roman"/>
          <w:sz w:val="26"/>
          <w:szCs w:val="26"/>
        </w:rPr>
        <w:t>they are included in NEPOOL’s formula rate, and could therefore alert the Commission to costs that, contrary to Applicants’ commitments here, might be merger-related.  In such a situation, we read Applicants’ commitment to require them to shoulder the burden of proof, and to justify their failure to identify the costs as merger-related.”)</w:t>
      </w:r>
      <w:r w:rsidRPr="00947289">
        <w:rPr>
          <w:rFonts w:ascii="Times New Roman" w:hAnsi="Times New Roman" w:cs="Times New Roman"/>
          <w:sz w:val="26"/>
          <w:szCs w:val="26"/>
        </w:rPr>
        <w:t xml:space="preserve"> (citing </w:t>
      </w:r>
      <w:r w:rsidRPr="001071A2">
        <w:rPr>
          <w:rFonts w:ascii="Times New Roman" w:hAnsi="Times New Roman" w:cs="Times New Roman"/>
          <w:i/>
          <w:sz w:val="26"/>
          <w:szCs w:val="26"/>
        </w:rPr>
        <w:t>BEC Energy</w:t>
      </w:r>
      <w:r w:rsidRPr="00947289">
        <w:rPr>
          <w:rFonts w:ascii="Times New Roman" w:eastAsia="Times New Roman" w:hAnsi="Times New Roman" w:cs="Times New Roman"/>
          <w:sz w:val="26"/>
          <w:szCs w:val="26"/>
        </w:rPr>
        <w:t xml:space="preserve">, 88 FERC ¶ 61,002, at 61,007 (1999); </w:t>
      </w:r>
      <w:r w:rsidRPr="001071A2">
        <w:rPr>
          <w:rFonts w:ascii="Times New Roman" w:hAnsi="Times New Roman" w:cs="Times New Roman"/>
          <w:i/>
          <w:sz w:val="26"/>
          <w:szCs w:val="26"/>
        </w:rPr>
        <w:t>New England Power Co.</w:t>
      </w:r>
      <w:r w:rsidRPr="00947289">
        <w:rPr>
          <w:rFonts w:ascii="Times New Roman" w:eastAsia="Times New Roman" w:hAnsi="Times New Roman" w:cs="Times New Roman"/>
          <w:sz w:val="26"/>
          <w:szCs w:val="26"/>
        </w:rPr>
        <w:t xml:space="preserve">, 87 FERC ¶ 61,287, at 62,146 (1999)).  </w:t>
      </w:r>
    </w:p>
  </w:footnote>
  <w:footnote w:id="36">
    <w:p w14:paraId="67AB3753" w14:textId="3A2AF99C" w:rsidR="006E7588" w:rsidRDefault="006E7588">
      <w:pPr>
        <w:pStyle w:val="FootnoteText"/>
      </w:pPr>
      <w:r>
        <w:rPr>
          <w:rStyle w:val="FootnoteReference"/>
        </w:rPr>
        <w:footnoteRef/>
      </w:r>
      <w:r>
        <w:t xml:space="preserve"> </w:t>
      </w:r>
      <w:r w:rsidRPr="00ED4165">
        <w:rPr>
          <w:rFonts w:ascii="Times New Roman" w:hAnsi="Times New Roman" w:cs="Times New Roman"/>
          <w:sz w:val="26"/>
          <w:szCs w:val="26"/>
        </w:rPr>
        <w:t>Merger Policy Statement, FERC Stats. &amp; Regs. ¶ 31,044 at 30,123.</w:t>
      </w:r>
    </w:p>
  </w:footnote>
  <w:footnote w:id="37">
    <w:p w14:paraId="2A6BB6BB" w14:textId="1045160C" w:rsidR="006E7588" w:rsidRPr="00947289" w:rsidRDefault="006E7588" w:rsidP="001535C6">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The Commission has previously explained that applicants should ensure that they have appropriate internal controls and procedure</w:t>
      </w:r>
      <w:r>
        <w:rPr>
          <w:rFonts w:ascii="Times New Roman" w:hAnsi="Times New Roman" w:cs="Times New Roman"/>
          <w:sz w:val="26"/>
          <w:szCs w:val="26"/>
        </w:rPr>
        <w:t>s</w:t>
      </w:r>
      <w:r w:rsidRPr="00947289">
        <w:rPr>
          <w:rFonts w:ascii="Times New Roman" w:hAnsi="Times New Roman" w:cs="Times New Roman"/>
          <w:sz w:val="26"/>
          <w:szCs w:val="26"/>
        </w:rPr>
        <w:t xml:space="preserve"> to ensure the proper identification, accounting, and rate treatment for all transaction-related costs incurred prior to and subsequent to proposed transactions, including all transition costs incurred after a merger is consummated.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ITC Holdings</w:t>
      </w:r>
      <w:r w:rsidRPr="00947289">
        <w:rPr>
          <w:rFonts w:ascii="Times New Roman" w:hAnsi="Times New Roman" w:cs="Times New Roman"/>
          <w:sz w:val="26"/>
          <w:szCs w:val="26"/>
        </w:rPr>
        <w:t xml:space="preserve">, 143 FERC ¶ 61,256 at P 168; </w:t>
      </w:r>
      <w:r w:rsidRPr="001071A2">
        <w:rPr>
          <w:rFonts w:ascii="Times New Roman" w:hAnsi="Times New Roman" w:cs="Times New Roman"/>
          <w:i/>
          <w:sz w:val="26"/>
          <w:szCs w:val="26"/>
        </w:rPr>
        <w:t>Silver Merger Sub</w:t>
      </w:r>
      <w:r w:rsidRPr="00947289">
        <w:rPr>
          <w:rFonts w:ascii="Times New Roman" w:hAnsi="Times New Roman" w:cs="Times New Roman"/>
          <w:sz w:val="26"/>
          <w:szCs w:val="26"/>
        </w:rPr>
        <w:t>, 145 FERC ¶ 61,261 at P 78.</w:t>
      </w:r>
    </w:p>
  </w:footnote>
  <w:footnote w:id="38">
    <w:p w14:paraId="014DFF9D" w14:textId="77777777" w:rsidR="006E7588" w:rsidRPr="00947289" w:rsidRDefault="006E7588" w:rsidP="00B83E81">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Order No. 642, FERC Stats. &amp; Regs. ¶ 31,111 at 31,914 (“[A</w:t>
      </w:r>
      <w:r w:rsidRPr="00947289">
        <w:rPr>
          <w:rFonts w:ascii="Times New Roman" w:eastAsia="Arial Unicode MS" w:hAnsi="Times New Roman" w:cs="Times New Roman"/>
          <w:color w:val="000000"/>
          <w:sz w:val="26"/>
          <w:szCs w:val="26"/>
          <w:shd w:val="clear" w:color="auto" w:fill="FFFFFF"/>
        </w:rPr>
        <w:t>]pplicants must clearly identify what customer groups are covered (</w:t>
      </w:r>
      <w:r w:rsidRPr="00947289">
        <w:rPr>
          <w:rFonts w:ascii="Times New Roman" w:eastAsia="Arial Unicode MS" w:hAnsi="Times New Roman" w:cs="Times New Roman"/>
          <w:iCs/>
          <w:color w:val="000000"/>
          <w:sz w:val="26"/>
          <w:szCs w:val="26"/>
          <w:shd w:val="clear" w:color="auto" w:fill="FFFFFF"/>
        </w:rPr>
        <w:t>e.g.</w:t>
      </w:r>
      <w:r w:rsidRPr="00947289">
        <w:rPr>
          <w:rFonts w:ascii="Times New Roman" w:eastAsia="Arial Unicode MS" w:hAnsi="Times New Roman" w:cs="Times New Roman"/>
          <w:color w:val="000000"/>
          <w:sz w:val="26"/>
          <w:szCs w:val="26"/>
          <w:shd w:val="clear" w:color="auto" w:fill="FFFFFF"/>
        </w:rPr>
        <w:t>, requirements customers, transmission customers, formula rate customers,</w:t>
      </w:r>
      <w:r w:rsidRPr="00947289">
        <w:rPr>
          <w:rStyle w:val="apple-converted-space"/>
          <w:rFonts w:ascii="Times New Roman" w:eastAsia="Arial Unicode MS" w:hAnsi="Times New Roman" w:cs="Times New Roman"/>
          <w:color w:val="000000"/>
          <w:sz w:val="26"/>
          <w:szCs w:val="26"/>
          <w:shd w:val="clear" w:color="auto" w:fill="FFFFFF"/>
        </w:rPr>
        <w:t> </w:t>
      </w:r>
      <w:r w:rsidRPr="00947289">
        <w:rPr>
          <w:rFonts w:ascii="Times New Roman" w:eastAsia="Arial Unicode MS" w:hAnsi="Times New Roman" w:cs="Times New Roman"/>
          <w:iCs/>
          <w:color w:val="000000"/>
          <w:sz w:val="26"/>
          <w:szCs w:val="26"/>
          <w:shd w:val="clear" w:color="auto" w:fill="FFFFFF"/>
        </w:rPr>
        <w:t>etc.</w:t>
      </w:r>
      <w:r w:rsidRPr="00947289">
        <w:rPr>
          <w:rFonts w:ascii="Times New Roman" w:eastAsia="Arial Unicode MS" w:hAnsi="Times New Roman" w:cs="Times New Roman"/>
          <w:color w:val="000000"/>
          <w:sz w:val="26"/>
          <w:szCs w:val="26"/>
          <w:shd w:val="clear" w:color="auto" w:fill="FFFFFF"/>
        </w:rPr>
        <w:t>), what types of costs are covered, and the time period for which the protection will apply.”)</w:t>
      </w:r>
      <w:r w:rsidRPr="00947289">
        <w:rPr>
          <w:rFonts w:ascii="Times New Roman" w:hAnsi="Times New Roman" w:cs="Times New Roman"/>
          <w:sz w:val="26"/>
          <w:szCs w:val="26"/>
        </w:rPr>
        <w:t>.</w:t>
      </w:r>
    </w:p>
  </w:footnote>
  <w:footnote w:id="39">
    <w:p w14:paraId="2853DEF0" w14:textId="77777777" w:rsidR="006E7588" w:rsidRDefault="006E7588" w:rsidP="00231A82">
      <w:pPr>
        <w:pStyle w:val="FootnoteText"/>
        <w:spacing w:line="240" w:lineRule="auto"/>
        <w:rPr>
          <w:rFonts w:ascii="Times New Roman" w:hAnsi="Times New Roman" w:cs="Times New Roman"/>
          <w:b/>
          <w:sz w:val="26"/>
          <w:szCs w:val="26"/>
        </w:rPr>
      </w:pPr>
      <w:r>
        <w:rPr>
          <w:rStyle w:val="FootnoteReference"/>
        </w:rPr>
        <w:footnoteRef/>
      </w:r>
      <w:r>
        <w:rPr>
          <w:rFonts w:ascii="Times New Roman" w:hAnsi="Times New Roman" w:cs="Times New Roman"/>
          <w:sz w:val="26"/>
          <w:szCs w:val="26"/>
        </w:rPr>
        <w:t xml:space="preserve"> Merger Policy Statement, FERC Stats. &amp; Regs. ¶ 31,044 at 30,123.</w:t>
      </w:r>
    </w:p>
  </w:footnote>
  <w:footnote w:id="40">
    <w:p w14:paraId="33E7FB24" w14:textId="62DB4F24" w:rsidR="006E7588" w:rsidRPr="00947289" w:rsidRDefault="006E7588" w:rsidP="009A118F">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FirstEnergy</w:t>
      </w:r>
      <w:r w:rsidRPr="00947289">
        <w:rPr>
          <w:rFonts w:ascii="Times New Roman" w:hAnsi="Times New Roman" w:cs="Times New Roman"/>
          <w:sz w:val="26"/>
          <w:szCs w:val="26"/>
        </w:rPr>
        <w:t>, 141 FERC ¶ 61,239, at PP 1, 16, 27-30 (2012) (accepting a hold harmless commitment in an asset transaction where generation assets would be turned into assets to support transmission system upgrades in order to meet needs identified in a study by PJM Interconnection, L.L.C. following the retirement of other generating facilities);</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ITC Midwest</w:t>
      </w:r>
      <w:r w:rsidRPr="00947289">
        <w:rPr>
          <w:rFonts w:ascii="Times New Roman" w:hAnsi="Times New Roman" w:cs="Times New Roman"/>
          <w:sz w:val="26"/>
          <w:szCs w:val="26"/>
        </w:rPr>
        <w:t>, 140 FERC ¶ 61,125 at P 15;</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Int’l Transmission Co.</w:t>
      </w:r>
      <w:r w:rsidRPr="00947289">
        <w:rPr>
          <w:rFonts w:ascii="Times New Roman" w:hAnsi="Times New Roman" w:cs="Times New Roman"/>
          <w:sz w:val="26"/>
          <w:szCs w:val="26"/>
        </w:rPr>
        <w:t>, 139 FERC ¶ 61,003, at P 16 (2012).</w:t>
      </w:r>
    </w:p>
  </w:footnote>
  <w:footnote w:id="41">
    <w:p w14:paraId="2D72D4ED" w14:textId="4142EBEC" w:rsidR="006E7588" w:rsidRPr="00171051" w:rsidRDefault="006E7588" w:rsidP="00986CCA">
      <w:pPr>
        <w:pStyle w:val="FootnoteText"/>
        <w:spacing w:line="240" w:lineRule="auto"/>
        <w:rPr>
          <w:rFonts w:ascii="Times New Roman" w:hAnsi="Times New Roman" w:cs="Times New Roman"/>
          <w:b/>
          <w:sz w:val="26"/>
          <w:szCs w:val="26"/>
        </w:rPr>
      </w:pPr>
      <w:r w:rsidRPr="00187A82">
        <w:rPr>
          <w:rStyle w:val="FootnoteReference"/>
        </w:rPr>
        <w:footnoteRef/>
      </w:r>
      <w:r w:rsidRPr="00187A82">
        <w:rPr>
          <w:rFonts w:ascii="Times New Roman" w:hAnsi="Times New Roman" w:cs="Times New Roman"/>
          <w:sz w:val="26"/>
          <w:szCs w:val="26"/>
        </w:rPr>
        <w:t xml:space="preserve"> We expect that applicants proposing to recover these costs would track and record them pursuant to the procedures established below.  </w:t>
      </w:r>
      <w:r w:rsidRPr="001071A2">
        <w:rPr>
          <w:rFonts w:ascii="Times New Roman" w:hAnsi="Times New Roman" w:cs="Times New Roman"/>
          <w:i/>
          <w:sz w:val="26"/>
          <w:szCs w:val="26"/>
        </w:rPr>
        <w:t>See</w:t>
      </w:r>
      <w:r w:rsidRPr="00E61D02">
        <w:rPr>
          <w:rFonts w:ascii="Times New Roman" w:hAnsi="Times New Roman" w:cs="Times New Roman"/>
          <w:i/>
          <w:sz w:val="26"/>
          <w:szCs w:val="26"/>
        </w:rPr>
        <w:t xml:space="preserve"> </w:t>
      </w:r>
      <w:r w:rsidRPr="001071A2">
        <w:rPr>
          <w:rFonts w:ascii="Times New Roman" w:hAnsi="Times New Roman" w:cs="Times New Roman"/>
          <w:i/>
          <w:sz w:val="26"/>
          <w:szCs w:val="26"/>
        </w:rPr>
        <w:t>infra</w:t>
      </w:r>
      <w:r w:rsidRPr="00187A82">
        <w:rPr>
          <w:rFonts w:ascii="Times New Roman" w:hAnsi="Times New Roman" w:cs="Times New Roman"/>
          <w:sz w:val="26"/>
          <w:szCs w:val="26"/>
        </w:rPr>
        <w:t xml:space="preserve"> section II.B.</w:t>
      </w:r>
      <w:r w:rsidRPr="008A2D4A">
        <w:rPr>
          <w:rFonts w:ascii="Times New Roman" w:hAnsi="Times New Roman" w:cs="Times New Roman"/>
          <w:sz w:val="26"/>
          <w:szCs w:val="26"/>
        </w:rPr>
        <w:t>2.</w:t>
      </w:r>
    </w:p>
  </w:footnote>
  <w:footnote w:id="42">
    <w:p w14:paraId="21F455D7" w14:textId="5B521460" w:rsidR="006E7588" w:rsidRPr="00947289" w:rsidRDefault="006E7588" w:rsidP="00B83E81">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If the duties of employees are not solely dedicated to activities related to a </w:t>
      </w:r>
      <w:r w:rsidRPr="00CB06E5">
        <w:rPr>
          <w:rFonts w:ascii="Times New Roman" w:hAnsi="Times New Roman" w:cs="Times New Roman"/>
          <w:sz w:val="26"/>
          <w:szCs w:val="26"/>
        </w:rPr>
        <w:t>transaction, internal</w:t>
      </w:r>
      <w:r w:rsidRPr="00947289">
        <w:rPr>
          <w:rFonts w:ascii="Times New Roman" w:hAnsi="Times New Roman" w:cs="Times New Roman"/>
          <w:sz w:val="26"/>
          <w:szCs w:val="26"/>
        </w:rPr>
        <w:t xml:space="preserve"> labor costs deemed </w:t>
      </w:r>
      <w:r w:rsidRPr="00D65DC2">
        <w:rPr>
          <w:rFonts w:ascii="Times New Roman" w:hAnsi="Times New Roman" w:cs="Times New Roman"/>
          <w:sz w:val="26"/>
          <w:szCs w:val="26"/>
        </w:rPr>
        <w:t>merger-</w:t>
      </w:r>
      <w:r w:rsidRPr="00947289">
        <w:rPr>
          <w:rFonts w:ascii="Times New Roman" w:hAnsi="Times New Roman" w:cs="Times New Roman"/>
          <w:sz w:val="26"/>
          <w:szCs w:val="26"/>
        </w:rPr>
        <w:t xml:space="preserve">related should be determined in a manner that is proportionally equal to the amount of time spent on the </w:t>
      </w:r>
      <w:r w:rsidRPr="00D65DC2">
        <w:rPr>
          <w:rFonts w:ascii="Times New Roman" w:hAnsi="Times New Roman" w:cs="Times New Roman"/>
          <w:sz w:val="26"/>
          <w:szCs w:val="26"/>
        </w:rPr>
        <w:t>merger</w:t>
      </w:r>
      <w:r w:rsidRPr="00947289">
        <w:rPr>
          <w:rFonts w:ascii="Times New Roman" w:hAnsi="Times New Roman" w:cs="Times New Roman"/>
          <w:sz w:val="26"/>
          <w:szCs w:val="26"/>
        </w:rPr>
        <w:t xml:space="preserve"> compared to other activities of the utility and tracked accordingly.</w:t>
      </w:r>
    </w:p>
  </w:footnote>
  <w:footnote w:id="43">
    <w:p w14:paraId="358DD9B2" w14:textId="77777777" w:rsidR="006E7588" w:rsidRPr="00947289" w:rsidRDefault="006E7588">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Some of these costs are typically incurred prior to the announcement of a merger.</w:t>
      </w:r>
    </w:p>
  </w:footnote>
  <w:footnote w:id="44">
    <w:p w14:paraId="73CF5FF3" w14:textId="5C9DCEF6" w:rsidR="006E7588" w:rsidRDefault="006E7588">
      <w:pPr>
        <w:pStyle w:val="FootnoteText"/>
      </w:pPr>
      <w:r>
        <w:rPr>
          <w:rStyle w:val="FootnoteReference"/>
        </w:rPr>
        <w:footnoteRef/>
      </w:r>
      <w:r>
        <w:t xml:space="preserve"> </w:t>
      </w:r>
      <w:r>
        <w:rPr>
          <w:rFonts w:ascii="Times New Roman" w:hAnsi="Times New Roman" w:cs="Times New Roman"/>
          <w:sz w:val="26"/>
          <w:szCs w:val="26"/>
        </w:rPr>
        <w:t>E</w:t>
      </w:r>
      <w:r w:rsidRPr="00F83492" w:rsidDel="00B11D57">
        <w:rPr>
          <w:rFonts w:ascii="Times New Roman" w:hAnsi="Times New Roman" w:cs="Times New Roman"/>
          <w:sz w:val="26"/>
          <w:szCs w:val="26"/>
        </w:rPr>
        <w:t xml:space="preserve">ntities engaging in certain internal corporate restructuring and reorganizations, unrelated to complying with state law restructuring requirements, may seek to achieve similar cost savings or increased efficiencies as merging entities.  </w:t>
      </w:r>
    </w:p>
  </w:footnote>
  <w:footnote w:id="45">
    <w:p w14:paraId="4E246126" w14:textId="091945C0" w:rsidR="006E7588" w:rsidRDefault="006E7588" w:rsidP="009A1AFE">
      <w:pPr>
        <w:spacing w:after="0" w:line="240" w:lineRule="auto"/>
        <w:ind w:firstLine="720"/>
        <w:rPr>
          <w:rFonts w:ascii="Times New Roman" w:hAnsi="Times New Roman" w:cs="Times New Roman"/>
          <w:sz w:val="26"/>
          <w:szCs w:val="26"/>
        </w:rPr>
      </w:pPr>
      <w:r>
        <w:rPr>
          <w:rStyle w:val="FootnoteReference"/>
        </w:rPr>
        <w:footnoteRef/>
      </w:r>
      <w:r w:rsidRPr="00E959F7">
        <w:rPr>
          <w:rFonts w:ascii="Times New Roman" w:hAnsi="Times New Roman" w:cs="Times New Roman"/>
          <w:sz w:val="26"/>
          <w:szCs w:val="26"/>
        </w:rPr>
        <w:t xml:space="preserve"> Purchase accounting is also commonly referred to as acquisition accounting under generally accepted accounting principles in the United States.  Purchase accounting is a formal accounting method for merger transactions which measures the assets and liabilities of the acquired entity at fair value and establishes goodwill for amounts paid in excess of fair value.  </w:t>
      </w:r>
      <w:r w:rsidRPr="001071A2">
        <w:rPr>
          <w:rFonts w:ascii="Times New Roman" w:hAnsi="Times New Roman" w:cs="Times New Roman"/>
          <w:i/>
          <w:sz w:val="26"/>
          <w:szCs w:val="26"/>
        </w:rPr>
        <w:t>See</w:t>
      </w:r>
      <w:r w:rsidRPr="00E959F7">
        <w:rPr>
          <w:rFonts w:ascii="Times New Roman" w:hAnsi="Times New Roman" w:cs="Times New Roman"/>
          <w:sz w:val="26"/>
          <w:szCs w:val="26"/>
        </w:rPr>
        <w:t xml:space="preserve"> Ac</w:t>
      </w:r>
      <w:r w:rsidR="00664029">
        <w:rPr>
          <w:rFonts w:ascii="Times New Roman" w:hAnsi="Times New Roman" w:cs="Times New Roman"/>
          <w:sz w:val="26"/>
          <w:szCs w:val="26"/>
        </w:rPr>
        <w:t>counting Standard Codification Section</w:t>
      </w:r>
      <w:r w:rsidRPr="00E959F7">
        <w:rPr>
          <w:rFonts w:ascii="Times New Roman" w:hAnsi="Times New Roman" w:cs="Times New Roman"/>
          <w:sz w:val="26"/>
          <w:szCs w:val="26"/>
        </w:rPr>
        <w:t xml:space="preserve"> 805-10 (Fin. Accounting Standards Bd. 2014), </w:t>
      </w:r>
      <w:r w:rsidRPr="001071A2">
        <w:rPr>
          <w:rFonts w:ascii="Times New Roman" w:hAnsi="Times New Roman" w:cs="Times New Roman"/>
          <w:i/>
          <w:sz w:val="26"/>
          <w:szCs w:val="26"/>
        </w:rPr>
        <w:t>available at</w:t>
      </w:r>
      <w:r w:rsidRPr="00E959F7">
        <w:rPr>
          <w:rFonts w:ascii="Times New Roman" w:hAnsi="Times New Roman" w:cs="Times New Roman"/>
          <w:sz w:val="26"/>
          <w:szCs w:val="26"/>
        </w:rPr>
        <w:t xml:space="preserve"> </w:t>
      </w:r>
      <w:r w:rsidRPr="00CB4D07">
        <w:rPr>
          <w:rFonts w:ascii="Times New Roman" w:hAnsi="Times New Roman" w:cs="Times New Roman"/>
          <w:sz w:val="26"/>
          <w:szCs w:val="26"/>
        </w:rPr>
        <w:t>http://asc.fasb.org.</w:t>
      </w:r>
    </w:p>
    <w:p w14:paraId="64AFD275" w14:textId="068CF953" w:rsidR="006E7588" w:rsidRDefault="006E7588" w:rsidP="009A1AFE">
      <w:pPr>
        <w:spacing w:after="0" w:line="240" w:lineRule="auto"/>
        <w:ind w:firstLine="720"/>
      </w:pPr>
    </w:p>
  </w:footnote>
  <w:footnote w:id="46">
    <w:p w14:paraId="4829C2AC" w14:textId="349F1775" w:rsidR="006E7588" w:rsidRDefault="006E7588" w:rsidP="009A1AFE">
      <w:pPr>
        <w:pStyle w:val="FootnoteText"/>
      </w:pPr>
      <w:r>
        <w:rPr>
          <w:rStyle w:val="FootnoteReference"/>
        </w:rPr>
        <w:footnoteRef/>
      </w:r>
      <w:r>
        <w:t xml:space="preserve"> </w:t>
      </w:r>
      <w:r w:rsidRPr="001071A2">
        <w:rPr>
          <w:rFonts w:ascii="Times New Roman" w:hAnsi="Times New Roman" w:cs="Times New Roman"/>
          <w:i/>
          <w:sz w:val="26"/>
          <w:szCs w:val="26"/>
        </w:rPr>
        <w:t>Michigan Electric Transmission Co.</w:t>
      </w:r>
      <w:r w:rsidRPr="002031B5">
        <w:rPr>
          <w:rFonts w:ascii="Times New Roman" w:hAnsi="Times New Roman" w:cs="Times New Roman"/>
          <w:i/>
          <w:sz w:val="26"/>
          <w:szCs w:val="26"/>
        </w:rPr>
        <w:t>, LLC</w:t>
      </w:r>
      <w:r w:rsidRPr="00E959F7">
        <w:rPr>
          <w:rFonts w:ascii="Times New Roman" w:hAnsi="Times New Roman" w:cs="Times New Roman"/>
          <w:sz w:val="26"/>
          <w:szCs w:val="26"/>
        </w:rPr>
        <w:t xml:space="preserve">, 116 FERC ¶ 61,164, at PP 29-30 (2006); </w:t>
      </w:r>
      <w:r w:rsidRPr="001071A2">
        <w:rPr>
          <w:rFonts w:ascii="Times New Roman" w:hAnsi="Times New Roman" w:cs="Times New Roman"/>
          <w:i/>
          <w:sz w:val="26"/>
          <w:szCs w:val="26"/>
        </w:rPr>
        <w:t>Niagara Mohawk Holdings Inc.</w:t>
      </w:r>
      <w:r w:rsidRPr="00E959F7">
        <w:rPr>
          <w:rFonts w:ascii="Times New Roman" w:hAnsi="Times New Roman" w:cs="Times New Roman"/>
          <w:sz w:val="26"/>
          <w:szCs w:val="26"/>
        </w:rPr>
        <w:t xml:space="preserve">, 95 FERC ¶ 61,381, at 62,415, </w:t>
      </w:r>
      <w:r w:rsidRPr="001071A2">
        <w:rPr>
          <w:rFonts w:ascii="Times New Roman" w:hAnsi="Times New Roman" w:cs="Times New Roman"/>
          <w:i/>
          <w:sz w:val="26"/>
          <w:szCs w:val="26"/>
        </w:rPr>
        <w:t>reh'g denied</w:t>
      </w:r>
      <w:r w:rsidRPr="00E959F7">
        <w:rPr>
          <w:rFonts w:ascii="Times New Roman" w:hAnsi="Times New Roman" w:cs="Times New Roman"/>
          <w:sz w:val="26"/>
          <w:szCs w:val="26"/>
        </w:rPr>
        <w:t xml:space="preserve">, </w:t>
      </w:r>
      <w:r w:rsidR="00664029">
        <w:rPr>
          <w:rFonts w:ascii="Times New Roman" w:hAnsi="Times New Roman" w:cs="Times New Roman"/>
          <w:sz w:val="26"/>
          <w:szCs w:val="26"/>
        </w:rPr>
        <w:t xml:space="preserve">    </w:t>
      </w:r>
      <w:r w:rsidRPr="00E959F7">
        <w:rPr>
          <w:rFonts w:ascii="Times New Roman" w:hAnsi="Times New Roman" w:cs="Times New Roman"/>
          <w:sz w:val="26"/>
          <w:szCs w:val="26"/>
        </w:rPr>
        <w:t xml:space="preserve">96 FERC ¶ 61,144 (2001); </w:t>
      </w:r>
      <w:r w:rsidRPr="00E959F7">
        <w:rPr>
          <w:rFonts w:ascii="Times New Roman" w:hAnsi="Times New Roman" w:cs="Times New Roman"/>
          <w:i/>
          <w:sz w:val="26"/>
          <w:szCs w:val="26"/>
        </w:rPr>
        <w:t>PPL</w:t>
      </w:r>
      <w:r w:rsidRPr="00E959F7">
        <w:rPr>
          <w:rFonts w:ascii="Times New Roman" w:hAnsi="Times New Roman" w:cs="Times New Roman"/>
          <w:sz w:val="26"/>
          <w:szCs w:val="26"/>
        </w:rPr>
        <w:t>, 133 FERC ¶ 61,083 at P 39.</w:t>
      </w:r>
    </w:p>
  </w:footnote>
  <w:footnote w:id="47">
    <w:p w14:paraId="4736AA03" w14:textId="69459345" w:rsidR="006E7588" w:rsidRPr="00947289" w:rsidRDefault="006E7588" w:rsidP="00957E9D">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E61D02">
        <w:rPr>
          <w:rFonts w:ascii="Times New Roman" w:hAnsi="Times New Roman" w:cs="Times New Roman"/>
          <w:i/>
          <w:sz w:val="26"/>
          <w:szCs w:val="26"/>
        </w:rPr>
        <w:t>.</w:t>
      </w:r>
      <w:r w:rsidRPr="00947289">
        <w:rPr>
          <w:rFonts w:ascii="Times New Roman" w:hAnsi="Times New Roman" w:cs="Times New Roman"/>
          <w:sz w:val="26"/>
          <w:szCs w:val="26"/>
        </w:rPr>
        <w:t>,</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Florida Power &amp; Light Co.</w:t>
      </w:r>
      <w:r w:rsidRPr="00947289">
        <w:rPr>
          <w:rFonts w:ascii="Times New Roman" w:hAnsi="Times New Roman" w:cs="Times New Roman"/>
          <w:sz w:val="26"/>
          <w:szCs w:val="26"/>
        </w:rPr>
        <w:t xml:space="preserve">, 145 FERC ¶ 61,018, at PP 53, 60 (2013); </w:t>
      </w:r>
      <w:r w:rsidRPr="001071A2">
        <w:rPr>
          <w:rFonts w:ascii="Times New Roman" w:hAnsi="Times New Roman" w:cs="Times New Roman"/>
          <w:i/>
          <w:sz w:val="26"/>
          <w:szCs w:val="26"/>
        </w:rPr>
        <w:t>FirstEnergy</w:t>
      </w:r>
      <w:r w:rsidRPr="00947289">
        <w:rPr>
          <w:rFonts w:ascii="Times New Roman" w:hAnsi="Times New Roman" w:cs="Times New Roman"/>
          <w:sz w:val="26"/>
          <w:szCs w:val="26"/>
        </w:rPr>
        <w:t>, 141 FERC ¶ 61,239 at P 16 n.13.</w:t>
      </w:r>
    </w:p>
  </w:footnote>
  <w:footnote w:id="48">
    <w:p w14:paraId="17251454" w14:textId="6D0F52E6" w:rsidR="006E7588" w:rsidRPr="00947289" w:rsidRDefault="006E7588" w:rsidP="00957E9D">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Silver Merger Sub</w:t>
      </w:r>
      <w:r w:rsidRPr="00947289">
        <w:rPr>
          <w:rFonts w:ascii="Times New Roman" w:hAnsi="Times New Roman" w:cs="Times New Roman"/>
          <w:sz w:val="26"/>
          <w:szCs w:val="26"/>
        </w:rPr>
        <w:t>, 145 FERC ¶ 61,261 at PP 61-62.</w:t>
      </w:r>
    </w:p>
  </w:footnote>
  <w:footnote w:id="49">
    <w:p w14:paraId="048988D3" w14:textId="7EF29ABE" w:rsidR="006E7588" w:rsidRPr="00947289" w:rsidRDefault="006E7588">
      <w:pPr>
        <w:pStyle w:val="FootnoteText"/>
        <w:rPr>
          <w:rFonts w:ascii="Times New Roman" w:hAnsi="Times New Roman" w:cs="Times New Roman"/>
          <w:sz w:val="26"/>
          <w:szCs w:val="26"/>
        </w:rPr>
      </w:pPr>
      <w:r w:rsidRPr="00947289">
        <w:rPr>
          <w:rStyle w:val="FootnoteReference"/>
        </w:rPr>
        <w:footnoteRef/>
      </w:r>
      <w:r>
        <w:rPr>
          <w:rFonts w:ascii="Times New Roman" w:hAnsi="Times New Roman" w:cs="Times New Roman"/>
          <w:sz w:val="26"/>
          <w:szCs w:val="26"/>
        </w:rPr>
        <w:t xml:space="preserve"> </w:t>
      </w:r>
      <w:r w:rsidRPr="001071A2">
        <w:rPr>
          <w:rFonts w:ascii="Times New Roman" w:hAnsi="Times New Roman" w:cs="Times New Roman"/>
          <w:i/>
          <w:sz w:val="26"/>
          <w:szCs w:val="26"/>
        </w:rPr>
        <w:t>Exelon-Pepco</w:t>
      </w:r>
      <w:r w:rsidRPr="00496077">
        <w:rPr>
          <w:rFonts w:ascii="Times New Roman" w:hAnsi="Times New Roman" w:cs="Times New Roman"/>
          <w:sz w:val="26"/>
          <w:szCs w:val="26"/>
        </w:rPr>
        <w:t xml:space="preserve">, 149 FERC ¶ 61,148 </w:t>
      </w:r>
      <w:r>
        <w:rPr>
          <w:rFonts w:ascii="Times New Roman" w:hAnsi="Times New Roman" w:cs="Times New Roman"/>
          <w:sz w:val="26"/>
          <w:szCs w:val="26"/>
        </w:rPr>
        <w:t xml:space="preserve">at </w:t>
      </w:r>
      <w:r w:rsidRPr="00496077">
        <w:rPr>
          <w:rFonts w:ascii="Times New Roman" w:hAnsi="Times New Roman" w:cs="Times New Roman"/>
          <w:sz w:val="26"/>
          <w:szCs w:val="26"/>
        </w:rPr>
        <w:t>n.180;</w:t>
      </w:r>
      <w:r>
        <w:rPr>
          <w:rFonts w:ascii="Times New Roman" w:hAnsi="Times New Roman" w:cs="Times New Roman"/>
          <w:sz w:val="26"/>
          <w:szCs w:val="26"/>
        </w:rPr>
        <w:t xml:space="preserve"> </w:t>
      </w:r>
      <w:r w:rsidRPr="001071A2">
        <w:rPr>
          <w:rFonts w:ascii="Times New Roman" w:hAnsi="Times New Roman" w:cs="Times New Roman"/>
          <w:i/>
          <w:sz w:val="26"/>
          <w:szCs w:val="26"/>
        </w:rPr>
        <w:t>Silver Merger Sub</w:t>
      </w:r>
      <w:r>
        <w:rPr>
          <w:rFonts w:ascii="Times New Roman" w:hAnsi="Times New Roman" w:cs="Times New Roman"/>
          <w:sz w:val="26"/>
          <w:szCs w:val="26"/>
        </w:rPr>
        <w:t xml:space="preserve">, 145 FERC </w:t>
      </w:r>
      <w:r w:rsidR="00664029">
        <w:rPr>
          <w:rFonts w:ascii="Times New Roman" w:hAnsi="Times New Roman" w:cs="Times New Roman"/>
          <w:sz w:val="26"/>
          <w:szCs w:val="26"/>
        </w:rPr>
        <w:t xml:space="preserve">       </w:t>
      </w:r>
      <w:r>
        <w:rPr>
          <w:rFonts w:ascii="Times New Roman" w:hAnsi="Times New Roman" w:cs="Times New Roman"/>
          <w:sz w:val="26"/>
          <w:szCs w:val="26"/>
        </w:rPr>
        <w:t xml:space="preserve">¶ 61,261 at </w:t>
      </w:r>
      <w:r w:rsidRPr="00947289">
        <w:rPr>
          <w:rFonts w:ascii="Times New Roman" w:hAnsi="Times New Roman" w:cs="Times New Roman"/>
          <w:sz w:val="26"/>
          <w:szCs w:val="26"/>
        </w:rPr>
        <w:t>P 68</w:t>
      </w:r>
      <w:r>
        <w:rPr>
          <w:rFonts w:ascii="Times New Roman" w:hAnsi="Times New Roman" w:cs="Times New Roman"/>
          <w:sz w:val="26"/>
          <w:szCs w:val="26"/>
        </w:rPr>
        <w:t>;</w:t>
      </w:r>
      <w:r w:rsidRPr="00496077">
        <w:rPr>
          <w:rFonts w:ascii="Times New Roman" w:hAnsi="Times New Roman" w:cs="Times New Roman"/>
          <w:sz w:val="26"/>
          <w:szCs w:val="26"/>
        </w:rPr>
        <w:t xml:space="preserve"> </w:t>
      </w:r>
      <w:r w:rsidRPr="001071A2">
        <w:rPr>
          <w:rFonts w:ascii="Times New Roman" w:hAnsi="Times New Roman" w:cs="Times New Roman"/>
          <w:i/>
          <w:sz w:val="26"/>
          <w:szCs w:val="26"/>
        </w:rPr>
        <w:t>Florida Power &amp; Light</w:t>
      </w:r>
      <w:r w:rsidRPr="00947289">
        <w:rPr>
          <w:rFonts w:ascii="Times New Roman" w:hAnsi="Times New Roman" w:cs="Times New Roman"/>
          <w:sz w:val="26"/>
          <w:szCs w:val="26"/>
        </w:rPr>
        <w:t xml:space="preserve">, 145 FERC ¶ 61,018 at P 60; </w:t>
      </w:r>
      <w:r w:rsidRPr="001071A2">
        <w:rPr>
          <w:rFonts w:ascii="Times New Roman" w:hAnsi="Times New Roman" w:cs="Times New Roman"/>
          <w:i/>
          <w:iCs/>
          <w:color w:val="000000" w:themeColor="text1"/>
          <w:sz w:val="26"/>
          <w:szCs w:val="26"/>
        </w:rPr>
        <w:t>Exelon</w:t>
      </w:r>
      <w:r w:rsidRPr="00947289">
        <w:rPr>
          <w:rFonts w:ascii="Times New Roman" w:hAnsi="Times New Roman" w:cs="Times New Roman"/>
          <w:color w:val="000000" w:themeColor="text1"/>
          <w:sz w:val="26"/>
          <w:szCs w:val="26"/>
        </w:rPr>
        <w:t xml:space="preserve">, 138 FERC ¶ 61,167 at P 118 (citing Merger Policy Statement, FERC Stats. &amp; Regs. ¶ 31,044 at 30,126; </w:t>
      </w:r>
      <w:r w:rsidRPr="001071A2">
        <w:rPr>
          <w:rFonts w:ascii="Times New Roman" w:hAnsi="Times New Roman" w:cs="Times New Roman"/>
          <w:i/>
          <w:iCs/>
          <w:color w:val="000000" w:themeColor="text1"/>
          <w:sz w:val="26"/>
          <w:szCs w:val="26"/>
        </w:rPr>
        <w:t>Duke Energy Moss Landing</w:t>
      </w:r>
      <w:r w:rsidRPr="00947289">
        <w:rPr>
          <w:rFonts w:ascii="Times New Roman" w:hAnsi="Times New Roman" w:cs="Times New Roman"/>
          <w:color w:val="000000" w:themeColor="text1"/>
          <w:sz w:val="26"/>
          <w:szCs w:val="26"/>
        </w:rPr>
        <w:t>, 8</w:t>
      </w:r>
      <w:r>
        <w:rPr>
          <w:rFonts w:ascii="Times New Roman" w:hAnsi="Times New Roman" w:cs="Times New Roman"/>
          <w:color w:val="000000" w:themeColor="text1"/>
          <w:sz w:val="26"/>
          <w:szCs w:val="26"/>
        </w:rPr>
        <w:t>3 FERC ¶ 61,318</w:t>
      </w:r>
      <w:r w:rsidRPr="00947289">
        <w:rPr>
          <w:rFonts w:ascii="Times New Roman" w:hAnsi="Times New Roman" w:cs="Times New Roman"/>
          <w:color w:val="000000" w:themeColor="text1"/>
          <w:sz w:val="26"/>
          <w:szCs w:val="26"/>
        </w:rPr>
        <w:t xml:space="preserve">, </w:t>
      </w:r>
      <w:r w:rsidRPr="001071A2">
        <w:rPr>
          <w:rFonts w:ascii="Times New Roman" w:hAnsi="Times New Roman" w:cs="Times New Roman"/>
          <w:i/>
          <w:color w:val="000000" w:themeColor="text1"/>
          <w:sz w:val="26"/>
          <w:szCs w:val="26"/>
        </w:rPr>
        <w:t>reh’g denied</w:t>
      </w:r>
      <w:r w:rsidRPr="00947289">
        <w:rPr>
          <w:rFonts w:ascii="Times New Roman" w:hAnsi="Times New Roman" w:cs="Times New Roman"/>
          <w:color w:val="000000" w:themeColor="text1"/>
          <w:sz w:val="26"/>
          <w:szCs w:val="26"/>
        </w:rPr>
        <w:t>, 86 FERC ¶ at 61,816 (citing</w:t>
      </w:r>
      <w:r w:rsidRPr="00947289">
        <w:rPr>
          <w:rFonts w:ascii="Times New Roman" w:hAnsi="Times New Roman" w:cs="Times New Roman"/>
          <w:i/>
          <w:iCs/>
          <w:color w:val="000000" w:themeColor="text1"/>
          <w:sz w:val="26"/>
          <w:szCs w:val="26"/>
        </w:rPr>
        <w:t xml:space="preserve"> </w:t>
      </w:r>
      <w:r w:rsidRPr="001071A2">
        <w:rPr>
          <w:rFonts w:ascii="Times New Roman" w:hAnsi="Times New Roman" w:cs="Times New Roman"/>
          <w:i/>
          <w:iCs/>
          <w:color w:val="000000" w:themeColor="text1"/>
          <w:sz w:val="26"/>
          <w:szCs w:val="26"/>
        </w:rPr>
        <w:t>Mid-Louisiana Gas</w:t>
      </w:r>
      <w:r w:rsidRPr="00947289">
        <w:rPr>
          <w:rFonts w:ascii="Times New Roman" w:hAnsi="Times New Roman" w:cs="Times New Roman"/>
          <w:color w:val="000000" w:themeColor="text1"/>
          <w:sz w:val="26"/>
          <w:szCs w:val="26"/>
        </w:rPr>
        <w:t xml:space="preserve">, 7 FERC ¶ 61,316, at 61,682, </w:t>
      </w:r>
      <w:r w:rsidRPr="001071A2">
        <w:rPr>
          <w:rFonts w:ascii="Times New Roman" w:hAnsi="Times New Roman" w:cs="Times New Roman"/>
          <w:i/>
          <w:iCs/>
          <w:color w:val="000000" w:themeColor="text1"/>
          <w:sz w:val="26"/>
          <w:szCs w:val="26"/>
        </w:rPr>
        <w:t>reh'g denied</w:t>
      </w:r>
      <w:r w:rsidRPr="00947289">
        <w:rPr>
          <w:rFonts w:ascii="Times New Roman" w:hAnsi="Times New Roman" w:cs="Times New Roman"/>
          <w:color w:val="000000" w:themeColor="text1"/>
          <w:sz w:val="26"/>
          <w:szCs w:val="26"/>
        </w:rPr>
        <w:t xml:space="preserve">, 8 FERC </w:t>
      </w:r>
      <w:r w:rsidR="00664029">
        <w:rPr>
          <w:rFonts w:ascii="Times New Roman" w:hAnsi="Times New Roman" w:cs="Times New Roman"/>
          <w:color w:val="000000" w:themeColor="text1"/>
          <w:sz w:val="26"/>
          <w:szCs w:val="26"/>
        </w:rPr>
        <w:t xml:space="preserve">    </w:t>
      </w:r>
      <w:r w:rsidRPr="00947289">
        <w:rPr>
          <w:rFonts w:ascii="Times New Roman" w:hAnsi="Times New Roman" w:cs="Times New Roman"/>
          <w:color w:val="000000" w:themeColor="text1"/>
          <w:sz w:val="26"/>
          <w:szCs w:val="26"/>
        </w:rPr>
        <w:t xml:space="preserve">¶ 61,227, </w:t>
      </w:r>
      <w:r w:rsidRPr="001071A2">
        <w:rPr>
          <w:rFonts w:ascii="Times New Roman" w:hAnsi="Times New Roman" w:cs="Times New Roman"/>
          <w:i/>
          <w:iCs/>
          <w:color w:val="000000" w:themeColor="text1"/>
          <w:sz w:val="26"/>
          <w:szCs w:val="26"/>
        </w:rPr>
        <w:t>aff'd sub nom</w:t>
      </w:r>
      <w:r w:rsidRPr="00187A82">
        <w:rPr>
          <w:rFonts w:ascii="Times New Roman" w:hAnsi="Times New Roman" w:cs="Times New Roman"/>
          <w:iCs/>
          <w:color w:val="000000" w:themeColor="text1"/>
          <w:sz w:val="26"/>
          <w:szCs w:val="26"/>
          <w:u w:val="single"/>
        </w:rPr>
        <w:t>.</w:t>
      </w:r>
      <w:r w:rsidRPr="00947289">
        <w:rPr>
          <w:rFonts w:ascii="Times New Roman" w:hAnsi="Times New Roman" w:cs="Times New Roman"/>
          <w:i/>
          <w:iCs/>
          <w:color w:val="000000" w:themeColor="text1"/>
          <w:sz w:val="26"/>
          <w:szCs w:val="26"/>
        </w:rPr>
        <w:t xml:space="preserve"> </w:t>
      </w:r>
      <w:r w:rsidRPr="001071A2">
        <w:rPr>
          <w:rFonts w:ascii="Times New Roman" w:hAnsi="Times New Roman" w:cs="Times New Roman"/>
          <w:i/>
          <w:iCs/>
          <w:color w:val="000000" w:themeColor="text1"/>
          <w:sz w:val="26"/>
          <w:szCs w:val="26"/>
        </w:rPr>
        <w:t>Transcon. Gas Pipe Line Co. v. FERC</w:t>
      </w:r>
      <w:r w:rsidRPr="00947289">
        <w:rPr>
          <w:rFonts w:ascii="Times New Roman" w:hAnsi="Times New Roman" w:cs="Times New Roman"/>
          <w:color w:val="000000" w:themeColor="text1"/>
          <w:sz w:val="26"/>
          <w:szCs w:val="26"/>
        </w:rPr>
        <w:t>, 652 F.2d 179 (D.C. Cir. 1981)) (rate recovery of an existing facility is generally limited to the original cost of the facility)).</w:t>
      </w:r>
    </w:p>
  </w:footnote>
  <w:footnote w:id="50">
    <w:p w14:paraId="092EDD43" w14:textId="486F351A" w:rsidR="006E7588" w:rsidRPr="00496077" w:rsidRDefault="006E7588">
      <w:pPr>
        <w:pStyle w:val="FootnoteText"/>
        <w:rPr>
          <w:rFonts w:ascii="Times New Roman" w:hAnsi="Times New Roman" w:cs="Times New Roman"/>
          <w:sz w:val="26"/>
          <w:szCs w:val="26"/>
        </w:rPr>
      </w:pPr>
      <w:r w:rsidRPr="00CB06E5">
        <w:rPr>
          <w:rStyle w:val="FootnoteReference"/>
        </w:rPr>
        <w:footnoteRef/>
      </w:r>
      <w:r w:rsidRPr="00CB06E5">
        <w:rPr>
          <w:rFonts w:ascii="Times New Roman" w:hAnsi="Times New Roman" w:cs="Times New Roman"/>
          <w:sz w:val="26"/>
          <w:szCs w:val="26"/>
        </w:rPr>
        <w:t xml:space="preserve"> </w:t>
      </w:r>
      <w:r w:rsidRPr="001071A2">
        <w:rPr>
          <w:rFonts w:ascii="Times New Roman" w:hAnsi="Times New Roman"/>
          <w:i/>
          <w:sz w:val="26"/>
        </w:rPr>
        <w:t xml:space="preserve">Duke </w:t>
      </w:r>
      <w:r w:rsidRPr="001071A2">
        <w:rPr>
          <w:rFonts w:ascii="Times New Roman" w:hAnsi="Times New Roman" w:cs="Times New Roman"/>
          <w:i/>
          <w:sz w:val="26"/>
          <w:szCs w:val="26"/>
        </w:rPr>
        <w:t xml:space="preserve">Energy </w:t>
      </w:r>
      <w:r w:rsidRPr="001071A2">
        <w:rPr>
          <w:rFonts w:ascii="Times New Roman" w:hAnsi="Times New Roman"/>
          <w:i/>
          <w:sz w:val="26"/>
        </w:rPr>
        <w:t xml:space="preserve">Progress, </w:t>
      </w:r>
      <w:r w:rsidRPr="001071A2">
        <w:rPr>
          <w:rFonts w:ascii="Times New Roman" w:hAnsi="Times New Roman" w:cs="Times New Roman"/>
          <w:i/>
          <w:sz w:val="26"/>
          <w:szCs w:val="26"/>
        </w:rPr>
        <w:t>Inc.</w:t>
      </w:r>
      <w:r w:rsidRPr="00CB06E5">
        <w:rPr>
          <w:rFonts w:ascii="Times New Roman" w:hAnsi="Times New Roman" w:cs="Times New Roman"/>
          <w:sz w:val="26"/>
          <w:szCs w:val="26"/>
        </w:rPr>
        <w:t>, 149</w:t>
      </w:r>
      <w:r w:rsidRPr="00CB06E5">
        <w:rPr>
          <w:rFonts w:ascii="Times New Roman" w:hAnsi="Times New Roman"/>
          <w:sz w:val="26"/>
        </w:rPr>
        <w:t xml:space="preserve"> FERC ¶ </w:t>
      </w:r>
      <w:r w:rsidRPr="00CB06E5">
        <w:rPr>
          <w:rFonts w:ascii="Times New Roman" w:hAnsi="Times New Roman" w:cs="Times New Roman"/>
          <w:sz w:val="26"/>
          <w:szCs w:val="26"/>
        </w:rPr>
        <w:t>61,220</w:t>
      </w:r>
      <w:r w:rsidRPr="00CB06E5">
        <w:rPr>
          <w:rFonts w:ascii="Times New Roman" w:hAnsi="Times New Roman"/>
          <w:sz w:val="26"/>
        </w:rPr>
        <w:t xml:space="preserve">, at PP </w:t>
      </w:r>
      <w:r w:rsidRPr="00CB06E5">
        <w:rPr>
          <w:rFonts w:ascii="Times New Roman" w:hAnsi="Times New Roman" w:cs="Times New Roman"/>
          <w:sz w:val="26"/>
          <w:szCs w:val="26"/>
        </w:rPr>
        <w:t>67-68</w:t>
      </w:r>
      <w:r w:rsidRPr="00CB06E5">
        <w:rPr>
          <w:rFonts w:ascii="Times New Roman" w:hAnsi="Times New Roman"/>
          <w:sz w:val="26"/>
        </w:rPr>
        <w:t xml:space="preserve"> (2014)</w:t>
      </w:r>
      <w:r w:rsidRPr="00CB06E5">
        <w:rPr>
          <w:rFonts w:ascii="Times New Roman" w:hAnsi="Times New Roman" w:cs="Times New Roman"/>
          <w:sz w:val="26"/>
          <w:szCs w:val="26"/>
        </w:rPr>
        <w:t xml:space="preserve"> (reviewing Commission precedent requiring that acquisition adjustments may be</w:t>
      </w:r>
      <w:r w:rsidRPr="00496077">
        <w:rPr>
          <w:rFonts w:ascii="Times New Roman" w:hAnsi="Times New Roman" w:cs="Times New Roman"/>
          <w:sz w:val="26"/>
          <w:szCs w:val="26"/>
        </w:rPr>
        <w:t xml:space="preserve"> recovered if the acquisition provides “measurable benefits” that are “tangible and nonspeculative,” and allowing recovery of an acquisition adjustment where “the acquisition provides specific, measurable, and substantial benefits to ratepayers”) (internal citations omitted).</w:t>
      </w:r>
    </w:p>
  </w:footnote>
  <w:footnote w:id="51">
    <w:p w14:paraId="6B6F4E23" w14:textId="498EA4AF" w:rsidR="006E7588" w:rsidRPr="00ED4165" w:rsidRDefault="006E7588" w:rsidP="00916184">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w:t>
      </w:r>
      <w:r w:rsidRPr="00187A82">
        <w:rPr>
          <w:rFonts w:ascii="Times New Roman" w:hAnsi="Times New Roman" w:cs="Times New Roman"/>
          <w:sz w:val="26"/>
          <w:szCs w:val="26"/>
          <w:u w:val="single"/>
        </w:rPr>
        <w:t xml:space="preserve"> </w:t>
      </w:r>
      <w:r w:rsidRPr="00947289">
        <w:rPr>
          <w:rFonts w:ascii="Times New Roman" w:hAnsi="Times New Roman" w:cs="Times New Roman"/>
          <w:sz w:val="26"/>
          <w:szCs w:val="26"/>
        </w:rPr>
        <w:t>Order No. 642, FERC Stats. &amp; Regs. ¶ 31,111 at 31,914</w:t>
      </w:r>
      <w:r w:rsidRPr="00ED4165">
        <w:rPr>
          <w:rFonts w:ascii="Times New Roman" w:hAnsi="Times New Roman" w:cs="Times New Roman"/>
          <w:sz w:val="26"/>
          <w:szCs w:val="26"/>
        </w:rPr>
        <w:t>.</w:t>
      </w:r>
    </w:p>
  </w:footnote>
  <w:footnote w:id="52">
    <w:p w14:paraId="2B52C3DF" w14:textId="77777777" w:rsidR="006E7588" w:rsidRPr="00947289" w:rsidRDefault="006E7588">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Merger Policy Statement, FERC Stats. &amp; Regs. ¶ 31,044 at 30,124.</w:t>
      </w:r>
    </w:p>
  </w:footnote>
  <w:footnote w:id="53">
    <w:p w14:paraId="213104DA" w14:textId="3C276814" w:rsidR="006E7588" w:rsidRPr="00947289" w:rsidRDefault="006E7588">
      <w:pPr>
        <w:pStyle w:val="FootnoteText"/>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w:t>
      </w:r>
      <w:r w:rsidRPr="00F766F0">
        <w:rPr>
          <w:rFonts w:ascii="Times New Roman" w:hAnsi="Times New Roman" w:cs="Times New Roman"/>
          <w:i/>
          <w:sz w:val="26"/>
          <w:szCs w:val="26"/>
        </w:rPr>
        <w:t xml:space="preserve"> </w:t>
      </w:r>
      <w:r w:rsidRPr="001071A2">
        <w:rPr>
          <w:rFonts w:ascii="Times New Roman" w:hAnsi="Times New Roman" w:cs="Times New Roman"/>
          <w:i/>
          <w:sz w:val="26"/>
          <w:szCs w:val="26"/>
        </w:rPr>
        <w:t>Silver Merger Sub</w:t>
      </w:r>
      <w:r w:rsidRPr="00947289">
        <w:rPr>
          <w:rFonts w:ascii="Times New Roman" w:hAnsi="Times New Roman" w:cs="Times New Roman"/>
          <w:i/>
          <w:sz w:val="26"/>
          <w:szCs w:val="26"/>
        </w:rPr>
        <w:t>,</w:t>
      </w:r>
      <w:r w:rsidRPr="00947289">
        <w:rPr>
          <w:rFonts w:ascii="Times New Roman" w:hAnsi="Times New Roman" w:cs="Times New Roman"/>
          <w:sz w:val="26"/>
          <w:szCs w:val="26"/>
        </w:rPr>
        <w:t xml:space="preserve"> 145 FERC ¶ 61,261 at P 78; </w:t>
      </w:r>
      <w:r w:rsidRPr="00947289">
        <w:rPr>
          <w:rFonts w:ascii="Times New Roman" w:hAnsi="Times New Roman" w:cs="Times New Roman"/>
          <w:i/>
          <w:sz w:val="26"/>
          <w:szCs w:val="26"/>
        </w:rPr>
        <w:t>ITC Holdings</w:t>
      </w:r>
      <w:r w:rsidRPr="00947289">
        <w:rPr>
          <w:rFonts w:ascii="Times New Roman" w:hAnsi="Times New Roman" w:cs="Times New Roman"/>
          <w:sz w:val="26"/>
          <w:szCs w:val="26"/>
        </w:rPr>
        <w:t xml:space="preserve">, 143 FERC </w:t>
      </w:r>
      <w:r w:rsidR="00664029">
        <w:rPr>
          <w:rFonts w:ascii="Times New Roman" w:hAnsi="Times New Roman" w:cs="Times New Roman"/>
          <w:sz w:val="26"/>
          <w:szCs w:val="26"/>
        </w:rPr>
        <w:t xml:space="preserve">   </w:t>
      </w:r>
      <w:r w:rsidRPr="00947289">
        <w:rPr>
          <w:rFonts w:ascii="Times New Roman" w:hAnsi="Times New Roman" w:cs="Times New Roman"/>
          <w:sz w:val="26"/>
          <w:szCs w:val="26"/>
        </w:rPr>
        <w:t>¶ 61,256 at P 16</w:t>
      </w:r>
      <w:r>
        <w:rPr>
          <w:rFonts w:ascii="Times New Roman" w:hAnsi="Times New Roman" w:cs="Times New Roman"/>
          <w:sz w:val="26"/>
          <w:szCs w:val="26"/>
        </w:rPr>
        <w:t>8</w:t>
      </w:r>
      <w:r w:rsidRPr="00947289">
        <w:rPr>
          <w:rFonts w:ascii="Times New Roman" w:hAnsi="Times New Roman" w:cs="Times New Roman"/>
          <w:sz w:val="26"/>
          <w:szCs w:val="26"/>
        </w:rPr>
        <w:t>.</w:t>
      </w:r>
    </w:p>
  </w:footnote>
  <w:footnote w:id="54">
    <w:p w14:paraId="79768147" w14:textId="7840515D" w:rsidR="006E7588" w:rsidRPr="00190E80" w:rsidRDefault="006E7588" w:rsidP="00DD751F">
      <w:pPr>
        <w:pStyle w:val="FootnoteText"/>
        <w:rPr>
          <w:rFonts w:ascii="Times New Roman" w:hAnsi="Times New Roman" w:cs="Times New Roman"/>
          <w:sz w:val="26"/>
          <w:szCs w:val="26"/>
        </w:rPr>
      </w:pPr>
      <w:r w:rsidRPr="00AC3667">
        <w:rPr>
          <w:rStyle w:val="FootnoteReference"/>
        </w:rPr>
        <w:footnoteRef/>
      </w:r>
      <w:r w:rsidRPr="00190E80">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190E80">
        <w:rPr>
          <w:rFonts w:ascii="Times New Roman" w:hAnsi="Times New Roman" w:cs="Times New Roman"/>
          <w:i/>
          <w:sz w:val="26"/>
          <w:szCs w:val="26"/>
        </w:rPr>
        <w:t xml:space="preserve">, </w:t>
      </w:r>
      <w:r w:rsidRPr="001071A2">
        <w:rPr>
          <w:rFonts w:ascii="Times New Roman" w:hAnsi="Times New Roman" w:cs="Times New Roman"/>
          <w:i/>
          <w:sz w:val="26"/>
          <w:szCs w:val="26"/>
        </w:rPr>
        <w:t>Central Vermont Public Service Corp.</w:t>
      </w:r>
      <w:r w:rsidRPr="00190E80">
        <w:rPr>
          <w:rFonts w:ascii="Times New Roman" w:hAnsi="Times New Roman" w:cs="Times New Roman"/>
          <w:sz w:val="26"/>
          <w:szCs w:val="26"/>
        </w:rPr>
        <w:t xml:space="preserve">, 138 FERC </w:t>
      </w:r>
      <w:r>
        <w:rPr>
          <w:rFonts w:ascii="Times New Roman" w:hAnsi="Times New Roman" w:cs="Times New Roman"/>
          <w:sz w:val="26"/>
          <w:szCs w:val="26"/>
        </w:rPr>
        <w:t>¶</w:t>
      </w:r>
      <w:r w:rsidRPr="00190E80">
        <w:rPr>
          <w:rFonts w:ascii="Times New Roman" w:hAnsi="Times New Roman" w:cs="Times New Roman"/>
          <w:sz w:val="26"/>
          <w:szCs w:val="26"/>
        </w:rPr>
        <w:t xml:space="preserve"> 61</w:t>
      </w:r>
      <w:r>
        <w:rPr>
          <w:rFonts w:ascii="Times New Roman" w:hAnsi="Times New Roman" w:cs="Times New Roman"/>
          <w:sz w:val="26"/>
          <w:szCs w:val="26"/>
        </w:rPr>
        <w:t>,</w:t>
      </w:r>
      <w:r w:rsidRPr="00190E80">
        <w:rPr>
          <w:rFonts w:ascii="Times New Roman" w:hAnsi="Times New Roman" w:cs="Times New Roman"/>
          <w:sz w:val="26"/>
          <w:szCs w:val="26"/>
        </w:rPr>
        <w:t>161</w:t>
      </w:r>
      <w:r>
        <w:rPr>
          <w:rFonts w:ascii="Times New Roman" w:hAnsi="Times New Roman" w:cs="Times New Roman"/>
          <w:sz w:val="26"/>
          <w:szCs w:val="26"/>
        </w:rPr>
        <w:t>,</w:t>
      </w:r>
      <w:r w:rsidRPr="00190E80">
        <w:rPr>
          <w:rFonts w:ascii="Times New Roman" w:hAnsi="Times New Roman" w:cs="Times New Roman"/>
          <w:sz w:val="26"/>
          <w:szCs w:val="26"/>
        </w:rPr>
        <w:t xml:space="preserve"> at P 55 (2012).</w:t>
      </w:r>
    </w:p>
  </w:footnote>
  <w:footnote w:id="55">
    <w:p w14:paraId="4477A677" w14:textId="77777777" w:rsidR="006E7588" w:rsidRPr="00ED4165" w:rsidRDefault="006E7588" w:rsidP="00F904C9">
      <w:pPr>
        <w:pStyle w:val="FootnoteText"/>
        <w:rPr>
          <w:rFonts w:ascii="Times New Roman" w:hAnsi="Times New Roman" w:cs="Times New Roman"/>
          <w:sz w:val="26"/>
          <w:szCs w:val="26"/>
        </w:rPr>
      </w:pPr>
      <w:r w:rsidRPr="00ED4165">
        <w:rPr>
          <w:rStyle w:val="FootnoteReference"/>
        </w:rPr>
        <w:footnoteRef/>
      </w:r>
      <w:r w:rsidRPr="00ED4165">
        <w:rPr>
          <w:rFonts w:ascii="Times New Roman" w:hAnsi="Times New Roman" w:cs="Times New Roman"/>
          <w:sz w:val="26"/>
          <w:szCs w:val="26"/>
        </w:rPr>
        <w:t xml:space="preserve"> Merger Policy Statement, FERC Stats. &amp; Regs. ¶ 31,044 at 30,124.  </w:t>
      </w:r>
    </w:p>
  </w:footnote>
  <w:footnote w:id="56">
    <w:p w14:paraId="3D39FD72" w14:textId="5E2A930D" w:rsidR="006E7588" w:rsidRPr="00496077" w:rsidRDefault="006E7588" w:rsidP="00F904C9">
      <w:pPr>
        <w:pStyle w:val="FootnoteText"/>
        <w:rPr>
          <w:rFonts w:ascii="Times New Roman" w:hAnsi="Times New Roman" w:cs="Times New Roman"/>
          <w:b/>
          <w:sz w:val="26"/>
          <w:szCs w:val="26"/>
        </w:rPr>
      </w:pPr>
      <w:r w:rsidRPr="00ED4165">
        <w:rPr>
          <w:rStyle w:val="FootnoteReference"/>
        </w:rPr>
        <w:footnoteRef/>
      </w:r>
      <w:r w:rsidRPr="00ED4165">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F766F0">
        <w:rPr>
          <w:rFonts w:ascii="Times New Roman" w:hAnsi="Times New Roman" w:cs="Times New Roman"/>
          <w:i/>
          <w:sz w:val="26"/>
          <w:szCs w:val="26"/>
        </w:rPr>
        <w:t>.</w:t>
      </w:r>
      <w:r w:rsidRPr="00496077">
        <w:rPr>
          <w:rFonts w:ascii="Times New Roman" w:hAnsi="Times New Roman" w:cs="Times New Roman"/>
          <w:i/>
          <w:sz w:val="26"/>
          <w:szCs w:val="26"/>
        </w:rPr>
        <w:t xml:space="preserve">, </w:t>
      </w:r>
      <w:r w:rsidRPr="001071A2">
        <w:rPr>
          <w:rFonts w:ascii="Times New Roman" w:hAnsi="Times New Roman" w:cs="Times New Roman"/>
          <w:i/>
          <w:sz w:val="26"/>
          <w:szCs w:val="26"/>
        </w:rPr>
        <w:t>PNM Resources</w:t>
      </w:r>
      <w:r w:rsidRPr="00496077">
        <w:rPr>
          <w:rFonts w:ascii="Times New Roman" w:hAnsi="Times New Roman" w:cs="Times New Roman"/>
          <w:sz w:val="26"/>
          <w:szCs w:val="26"/>
        </w:rPr>
        <w:t>, 124 FERC ¶ 61,019 at P 36 (</w:t>
      </w:r>
      <w:r>
        <w:rPr>
          <w:rFonts w:ascii="Times New Roman" w:hAnsi="Times New Roman" w:cs="Times New Roman"/>
          <w:sz w:val="26"/>
          <w:szCs w:val="26"/>
        </w:rPr>
        <w:t xml:space="preserve">protestor </w:t>
      </w:r>
      <w:r w:rsidRPr="00496077">
        <w:rPr>
          <w:rFonts w:ascii="Times New Roman" w:hAnsi="Times New Roman" w:cs="Times New Roman"/>
          <w:sz w:val="26"/>
          <w:szCs w:val="26"/>
        </w:rPr>
        <w:t>alleging that the five-year limitation on recovery will simply result in the deferred recovery of transaction-related costs).</w:t>
      </w:r>
      <w:r w:rsidRPr="00ED4165">
        <w:rPr>
          <w:rFonts w:ascii="Times New Roman" w:hAnsi="Times New Roman" w:cs="Times New Roman"/>
          <w:i/>
          <w:sz w:val="26"/>
          <w:szCs w:val="26"/>
        </w:rPr>
        <w:t xml:space="preserve"> </w:t>
      </w:r>
    </w:p>
  </w:footnote>
  <w:footnote w:id="57">
    <w:p w14:paraId="0A009B77" w14:textId="19AE30A2" w:rsidR="006E7588" w:rsidRPr="00496077" w:rsidRDefault="006E7588" w:rsidP="00CB4D07">
      <w:pPr>
        <w:autoSpaceDE w:val="0"/>
        <w:autoSpaceDN w:val="0"/>
        <w:adjustRightInd w:val="0"/>
        <w:spacing w:after="120" w:line="265" w:lineRule="exact"/>
        <w:ind w:left="40" w:right="-20" w:firstLine="680"/>
        <w:rPr>
          <w:rFonts w:ascii="Times New Roman" w:eastAsia="Times New Roman" w:hAnsi="Times New Roman" w:cs="Times New Roman"/>
          <w:sz w:val="26"/>
          <w:szCs w:val="26"/>
        </w:rPr>
      </w:pPr>
      <w:r>
        <w:rPr>
          <w:rStyle w:val="FootnoteReference"/>
        </w:rPr>
        <w:footnoteRef/>
      </w:r>
      <w:r>
        <w:t xml:space="preserve"> </w:t>
      </w:r>
      <w:r>
        <w:rPr>
          <w:rFonts w:ascii="Times New Roman" w:hAnsi="Times New Roman" w:cs="Times New Roman"/>
          <w:sz w:val="26"/>
          <w:szCs w:val="26"/>
        </w:rPr>
        <w:t>E</w:t>
      </w:r>
      <w:r w:rsidRPr="00496077">
        <w:rPr>
          <w:rFonts w:ascii="Times New Roman" w:hAnsi="Times New Roman" w:cs="Times New Roman"/>
          <w:sz w:val="26"/>
          <w:szCs w:val="26"/>
        </w:rPr>
        <w:t xml:space="preserve">vidence of offsetting merger-related savings cannot be based on estimates or projections of future savings, but must be based on a demonstration of actual merger-related savings realized by jurisdictional customers.  </w:t>
      </w:r>
      <w:r w:rsidRPr="00187A82">
        <w:rPr>
          <w:rFonts w:ascii="Times New Roman" w:hAnsi="Times New Roman" w:cs="Times New Roman"/>
          <w:sz w:val="26"/>
          <w:szCs w:val="26"/>
          <w:u w:val="single"/>
        </w:rPr>
        <w:t>Exelon-Pepco</w:t>
      </w:r>
      <w:r w:rsidRPr="00496077">
        <w:rPr>
          <w:rFonts w:ascii="Times New Roman" w:hAnsi="Times New Roman" w:cs="Times New Roman"/>
          <w:sz w:val="26"/>
          <w:szCs w:val="26"/>
        </w:rPr>
        <w:t xml:space="preserve">, 149 FERC </w:t>
      </w:r>
      <w:r>
        <w:rPr>
          <w:rFonts w:ascii="Times New Roman" w:hAnsi="Times New Roman" w:cs="Times New Roman"/>
          <w:sz w:val="26"/>
          <w:szCs w:val="26"/>
        </w:rPr>
        <w:t xml:space="preserve">¶ 61,148 </w:t>
      </w:r>
      <w:r w:rsidRPr="00496077">
        <w:rPr>
          <w:rFonts w:ascii="Times New Roman" w:hAnsi="Times New Roman" w:cs="Times New Roman"/>
          <w:sz w:val="26"/>
          <w:szCs w:val="26"/>
        </w:rPr>
        <w:t xml:space="preserve">at P 107 (citing </w:t>
      </w:r>
      <w:r w:rsidRPr="001071A2">
        <w:rPr>
          <w:rFonts w:ascii="Times New Roman" w:eastAsia="Times New Roman" w:hAnsi="Times New Roman" w:cs="Times New Roman"/>
          <w:i/>
          <w:iCs/>
          <w:sz w:val="26"/>
          <w:szCs w:val="26"/>
        </w:rPr>
        <w:t>Audit</w:t>
      </w:r>
      <w:r w:rsidRPr="001071A2">
        <w:rPr>
          <w:rFonts w:ascii="Times New Roman" w:eastAsia="Times New Roman" w:hAnsi="Times New Roman" w:cs="Times New Roman"/>
          <w:i/>
          <w:iCs/>
          <w:spacing w:val="-6"/>
          <w:sz w:val="26"/>
          <w:szCs w:val="26"/>
        </w:rPr>
        <w:t xml:space="preserve"> </w:t>
      </w:r>
      <w:r w:rsidRPr="001071A2">
        <w:rPr>
          <w:rFonts w:ascii="Times New Roman" w:eastAsia="Times New Roman" w:hAnsi="Times New Roman" w:cs="Times New Roman"/>
          <w:i/>
          <w:iCs/>
          <w:sz w:val="26"/>
          <w:szCs w:val="26"/>
        </w:rPr>
        <w:t>Repo</w:t>
      </w:r>
      <w:r w:rsidRPr="001071A2">
        <w:rPr>
          <w:rFonts w:ascii="Times New Roman" w:eastAsia="Times New Roman" w:hAnsi="Times New Roman" w:cs="Times New Roman"/>
          <w:i/>
          <w:iCs/>
          <w:spacing w:val="7"/>
          <w:sz w:val="26"/>
          <w:szCs w:val="26"/>
        </w:rPr>
        <w:t>r</w:t>
      </w:r>
      <w:r w:rsidRPr="001071A2">
        <w:rPr>
          <w:rFonts w:ascii="Times New Roman" w:eastAsia="Times New Roman" w:hAnsi="Times New Roman" w:cs="Times New Roman"/>
          <w:i/>
          <w:iCs/>
          <w:sz w:val="26"/>
          <w:szCs w:val="26"/>
        </w:rPr>
        <w:t>t</w:t>
      </w:r>
      <w:r w:rsidRPr="001071A2">
        <w:rPr>
          <w:rFonts w:ascii="Times New Roman" w:eastAsia="Times New Roman" w:hAnsi="Times New Roman" w:cs="Times New Roman"/>
          <w:i/>
          <w:iCs/>
          <w:spacing w:val="-7"/>
          <w:sz w:val="26"/>
          <w:szCs w:val="26"/>
        </w:rPr>
        <w:t xml:space="preserve"> </w:t>
      </w:r>
      <w:r w:rsidRPr="001071A2">
        <w:rPr>
          <w:rFonts w:ascii="Times New Roman" w:eastAsia="Times New Roman" w:hAnsi="Times New Roman" w:cs="Times New Roman"/>
          <w:i/>
          <w:iCs/>
          <w:sz w:val="26"/>
          <w:szCs w:val="26"/>
        </w:rPr>
        <w:t>of</w:t>
      </w:r>
      <w:r w:rsidRPr="001071A2">
        <w:rPr>
          <w:rFonts w:ascii="Times New Roman" w:eastAsia="Times New Roman" w:hAnsi="Times New Roman" w:cs="Times New Roman"/>
          <w:i/>
          <w:iCs/>
          <w:spacing w:val="-2"/>
          <w:sz w:val="26"/>
          <w:szCs w:val="26"/>
        </w:rPr>
        <w:t xml:space="preserve"> </w:t>
      </w:r>
      <w:r w:rsidRPr="001071A2">
        <w:rPr>
          <w:rFonts w:ascii="Times New Roman" w:eastAsia="Times New Roman" w:hAnsi="Times New Roman" w:cs="Times New Roman"/>
          <w:i/>
          <w:iCs/>
          <w:sz w:val="26"/>
          <w:szCs w:val="26"/>
        </w:rPr>
        <w:t>National</w:t>
      </w:r>
      <w:r w:rsidRPr="001071A2">
        <w:rPr>
          <w:rFonts w:ascii="Times New Roman" w:eastAsia="Times New Roman" w:hAnsi="Times New Roman" w:cs="Times New Roman"/>
          <w:i/>
          <w:iCs/>
          <w:spacing w:val="-9"/>
          <w:sz w:val="26"/>
          <w:szCs w:val="26"/>
        </w:rPr>
        <w:t xml:space="preserve"> </w:t>
      </w:r>
      <w:r w:rsidRPr="001071A2">
        <w:rPr>
          <w:rFonts w:ascii="Times New Roman" w:eastAsia="Times New Roman" w:hAnsi="Times New Roman" w:cs="Times New Roman"/>
          <w:i/>
          <w:iCs/>
          <w:sz w:val="26"/>
          <w:szCs w:val="26"/>
        </w:rPr>
        <w:t>Grid, USA</w:t>
      </w:r>
      <w:r>
        <w:rPr>
          <w:rFonts w:ascii="Times New Roman" w:eastAsia="Times New Roman" w:hAnsi="Times New Roman" w:cs="Times New Roman"/>
          <w:sz w:val="26"/>
          <w:szCs w:val="26"/>
        </w:rPr>
        <w: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Docket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No.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FA</w:t>
      </w:r>
      <w:r>
        <w:rPr>
          <w:rFonts w:ascii="Times New Roman" w:eastAsia="Times New Roman" w:hAnsi="Times New Roman" w:cs="Times New Roman"/>
          <w:spacing w:val="7"/>
          <w:sz w:val="26"/>
          <w:szCs w:val="26"/>
        </w:rPr>
        <w:t>0</w:t>
      </w:r>
      <w:r>
        <w:rPr>
          <w:rFonts w:ascii="Times New Roman" w:eastAsia="Times New Roman" w:hAnsi="Times New Roman" w:cs="Times New Roman"/>
          <w:sz w:val="26"/>
          <w:szCs w:val="26"/>
        </w:rPr>
        <w:t>9-10-000</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(Feb.</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11,</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pacing w:val="7"/>
          <w:sz w:val="26"/>
          <w:szCs w:val="26"/>
        </w:rPr>
        <w:t>1</w:t>
      </w:r>
      <w:r>
        <w:rPr>
          <w:rFonts w:ascii="Times New Roman" w:eastAsia="Times New Roman" w:hAnsi="Times New Roman" w:cs="Times New Roman"/>
          <w:sz w:val="26"/>
          <w:szCs w:val="26"/>
        </w:rPr>
        <w:t>1)</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55;</w:t>
      </w:r>
      <w:r>
        <w:rPr>
          <w:rFonts w:ascii="Times New Roman" w:eastAsia="Times New Roman" w:hAnsi="Times New Roman" w:cs="Times New Roman"/>
          <w:spacing w:val="-3"/>
          <w:sz w:val="26"/>
          <w:szCs w:val="26"/>
        </w:rPr>
        <w:t xml:space="preserve"> </w:t>
      </w:r>
      <w:r w:rsidRPr="001071A2">
        <w:rPr>
          <w:rFonts w:ascii="Times New Roman" w:eastAsia="Times New Roman" w:hAnsi="Times New Roman" w:cs="Times New Roman"/>
          <w:i/>
          <w:iCs/>
          <w:sz w:val="26"/>
          <w:szCs w:val="26"/>
        </w:rPr>
        <w:t>Ame</w:t>
      </w:r>
      <w:r w:rsidRPr="001071A2">
        <w:rPr>
          <w:rFonts w:ascii="Times New Roman" w:eastAsia="Times New Roman" w:hAnsi="Times New Roman" w:cs="Times New Roman"/>
          <w:i/>
          <w:iCs/>
          <w:spacing w:val="7"/>
          <w:sz w:val="26"/>
          <w:szCs w:val="26"/>
        </w:rPr>
        <w:t>r</w:t>
      </w:r>
      <w:r w:rsidRPr="001071A2">
        <w:rPr>
          <w:rFonts w:ascii="Times New Roman" w:eastAsia="Times New Roman" w:hAnsi="Times New Roman" w:cs="Times New Roman"/>
          <w:i/>
          <w:iCs/>
          <w:sz w:val="26"/>
          <w:szCs w:val="26"/>
        </w:rPr>
        <w:t>en</w:t>
      </w:r>
      <w:r w:rsidRPr="001071A2">
        <w:rPr>
          <w:rFonts w:ascii="Times New Roman" w:eastAsia="Times New Roman" w:hAnsi="Times New Roman" w:cs="Times New Roman"/>
          <w:i/>
          <w:iCs/>
          <w:spacing w:val="-8"/>
          <w:sz w:val="26"/>
          <w:szCs w:val="26"/>
        </w:rPr>
        <w:t xml:space="preserve"> </w:t>
      </w:r>
      <w:r w:rsidRPr="001071A2">
        <w:rPr>
          <w:rFonts w:ascii="Times New Roman" w:eastAsia="Times New Roman" w:hAnsi="Times New Roman" w:cs="Times New Roman"/>
          <w:i/>
          <w:iCs/>
          <w:sz w:val="26"/>
          <w:szCs w:val="26"/>
        </w:rPr>
        <w:t>Corp.</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140</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FERC ¶</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61,034,</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at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PP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36-37</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(2012)).</w:t>
      </w:r>
    </w:p>
  </w:footnote>
  <w:footnote w:id="58">
    <w:p w14:paraId="5458CDF7" w14:textId="77777777" w:rsidR="006E7588" w:rsidRDefault="006E7588" w:rsidP="00F904C9">
      <w:pPr>
        <w:pStyle w:val="FootnoteText"/>
        <w:rPr>
          <w:rFonts w:ascii="Times New Roman" w:hAnsi="Times New Roman" w:cs="Times New Roman"/>
          <w:sz w:val="26"/>
          <w:szCs w:val="26"/>
        </w:rPr>
      </w:pPr>
      <w:r w:rsidRPr="00ED4165">
        <w:rPr>
          <w:rStyle w:val="FootnoteReference"/>
        </w:rPr>
        <w:footnoteRef/>
      </w:r>
      <w:r w:rsidRPr="00ED4165">
        <w:rPr>
          <w:rFonts w:ascii="Times New Roman" w:hAnsi="Times New Roman" w:cs="Times New Roman"/>
          <w:sz w:val="26"/>
          <w:szCs w:val="26"/>
        </w:rPr>
        <w:t xml:space="preserve"> Merger Policy Statement, FERC Stats. &amp; Regs. ¶ 31,044 at 30,123.</w:t>
      </w:r>
    </w:p>
    <w:p w14:paraId="6DE25D3C" w14:textId="77777777" w:rsidR="006E7588" w:rsidRPr="002F5F81" w:rsidRDefault="006E7588" w:rsidP="00F904C9">
      <w:pPr>
        <w:pStyle w:val="FootnoteText"/>
        <w:rPr>
          <w:rFonts w:ascii="Times New Roman" w:hAnsi="Times New Roman" w:cs="Times New Roman"/>
          <w:b/>
          <w:sz w:val="26"/>
          <w:szCs w:val="26"/>
        </w:rPr>
      </w:pPr>
    </w:p>
  </w:footnote>
  <w:footnote w:id="59">
    <w:p w14:paraId="1AA39C9C" w14:textId="5B29B1C6" w:rsidR="006E7588" w:rsidRPr="00947289" w:rsidRDefault="006E7588" w:rsidP="00271EBD">
      <w:pPr>
        <w:pStyle w:val="FootnoteText"/>
        <w:spacing w:line="240" w:lineRule="auto"/>
        <w:rPr>
          <w:rFonts w:ascii="Times New Roman" w:hAnsi="Times New Roman" w:cs="Times New Roman"/>
          <w:sz w:val="26"/>
          <w:szCs w:val="26"/>
        </w:rPr>
      </w:pPr>
      <w:r w:rsidRPr="00947289">
        <w:rPr>
          <w:rStyle w:val="FootnoteReference"/>
        </w:rPr>
        <w:footnoteRef/>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See, e.g.</w:t>
      </w:r>
      <w:r w:rsidRPr="00947289">
        <w:rPr>
          <w:rFonts w:ascii="Times New Roman" w:hAnsi="Times New Roman" w:cs="Times New Roman"/>
          <w:sz w:val="26"/>
          <w:szCs w:val="26"/>
        </w:rPr>
        <w:t xml:space="preserve">, </w:t>
      </w:r>
      <w:r w:rsidRPr="001071A2">
        <w:rPr>
          <w:rFonts w:ascii="Times New Roman" w:hAnsi="Times New Roman" w:cs="Times New Roman"/>
          <w:i/>
          <w:sz w:val="26"/>
          <w:szCs w:val="26"/>
        </w:rPr>
        <w:t>FirstEnergy</w:t>
      </w:r>
      <w:r w:rsidRPr="00947289">
        <w:rPr>
          <w:rFonts w:ascii="Times New Roman" w:hAnsi="Times New Roman" w:cs="Times New Roman"/>
          <w:sz w:val="26"/>
          <w:szCs w:val="26"/>
        </w:rPr>
        <w:t>, 141 FERC ¶ 61,239 at PP 1, 16, 27-30  (accepting a hold harmless commitment in an asset transaction where generation assets would be turned into assets to support transmission system upgrades in order to meet needs identified in a study by PJM Interconnection, L.L.C. following the retirement of other generating facilities);</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ITC Midwest</w:t>
      </w:r>
      <w:r w:rsidRPr="00947289">
        <w:rPr>
          <w:rFonts w:ascii="Times New Roman" w:hAnsi="Times New Roman" w:cs="Times New Roman"/>
          <w:sz w:val="26"/>
          <w:szCs w:val="26"/>
        </w:rPr>
        <w:t>, 140 FERC ¶ 61,125 at P 15;</w:t>
      </w:r>
      <w:r w:rsidRPr="00947289">
        <w:rPr>
          <w:rFonts w:ascii="Times New Roman" w:hAnsi="Times New Roman" w:cs="Times New Roman"/>
          <w:i/>
          <w:sz w:val="26"/>
          <w:szCs w:val="26"/>
        </w:rPr>
        <w:t xml:space="preserve"> </w:t>
      </w:r>
      <w:r w:rsidRPr="001071A2">
        <w:rPr>
          <w:rFonts w:ascii="Times New Roman" w:hAnsi="Times New Roman" w:cs="Times New Roman"/>
          <w:i/>
          <w:sz w:val="26"/>
          <w:szCs w:val="26"/>
        </w:rPr>
        <w:t>Int’l Transmission Co.</w:t>
      </w:r>
      <w:r w:rsidRPr="00947289">
        <w:rPr>
          <w:rFonts w:ascii="Times New Roman" w:hAnsi="Times New Roman" w:cs="Times New Roman"/>
          <w:sz w:val="26"/>
          <w:szCs w:val="26"/>
        </w:rPr>
        <w:t>, 139 FERC ¶ 61,003, at P 16 (2012).</w:t>
      </w:r>
    </w:p>
  </w:footnote>
  <w:footnote w:id="60">
    <w:p w14:paraId="6AC4ADED" w14:textId="00509E93" w:rsidR="006E7588" w:rsidRPr="00187A82" w:rsidRDefault="006E7588">
      <w:pPr>
        <w:pStyle w:val="FootnoteText"/>
        <w:rPr>
          <w:rFonts w:ascii="Times New Roman" w:hAnsi="Times New Roman" w:cs="Times New Roman"/>
          <w:color w:val="1F497D"/>
          <w:sz w:val="26"/>
          <w:szCs w:val="26"/>
        </w:rPr>
      </w:pPr>
      <w:r w:rsidRPr="00042DB2">
        <w:rPr>
          <w:rStyle w:val="FootnoteReference"/>
        </w:rPr>
        <w:footnoteRef/>
      </w:r>
      <w:r w:rsidRPr="00042DB2">
        <w:t xml:space="preserve"> </w:t>
      </w:r>
      <w:r w:rsidRPr="001071A2">
        <w:rPr>
          <w:rFonts w:ascii="Times New Roman" w:hAnsi="Times New Roman" w:cs="Times New Roman"/>
          <w:i/>
          <w:sz w:val="26"/>
          <w:szCs w:val="26"/>
        </w:rPr>
        <w:t>See, e.g.</w:t>
      </w:r>
      <w:r w:rsidRPr="00187A82">
        <w:rPr>
          <w:rFonts w:ascii="Times New Roman" w:hAnsi="Times New Roman" w:cs="Times New Roman"/>
          <w:sz w:val="26"/>
          <w:szCs w:val="26"/>
        </w:rPr>
        <w:t xml:space="preserve">, </w:t>
      </w:r>
      <w:r w:rsidRPr="001071A2">
        <w:rPr>
          <w:rFonts w:ascii="Times New Roman" w:hAnsi="Times New Roman" w:cs="Times New Roman"/>
          <w:i/>
          <w:sz w:val="26"/>
          <w:szCs w:val="26"/>
        </w:rPr>
        <w:t>Old Dominion Elec. Cooperative and N.C. Elec. Membership Corp. v. Va. Elec. and Power Co.</w:t>
      </w:r>
      <w:r w:rsidRPr="00187A82">
        <w:rPr>
          <w:rFonts w:ascii="Times New Roman" w:hAnsi="Times New Roman" w:cs="Times New Roman"/>
          <w:i/>
          <w:sz w:val="26"/>
          <w:szCs w:val="26"/>
        </w:rPr>
        <w:t>,</w:t>
      </w:r>
      <w:r w:rsidRPr="00187A82">
        <w:rPr>
          <w:rFonts w:ascii="Times New Roman" w:hAnsi="Times New Roman" w:cs="Times New Roman"/>
          <w:sz w:val="26"/>
          <w:szCs w:val="26"/>
        </w:rPr>
        <w:t>146 FERC ¶ 61,200 (2014).</w:t>
      </w:r>
    </w:p>
  </w:footnote>
  <w:footnote w:id="61">
    <w:p w14:paraId="660F6479" w14:textId="77777777" w:rsidR="006E7588" w:rsidRDefault="006E7588" w:rsidP="00F904C9">
      <w:pPr>
        <w:pStyle w:val="FootnoteText"/>
      </w:pPr>
      <w:r>
        <w:rPr>
          <w:rStyle w:val="FootnoteReference"/>
        </w:rPr>
        <w:footnoteRef/>
      </w:r>
      <w:r>
        <w:t xml:space="preserve"> </w:t>
      </w:r>
      <w:r w:rsidRPr="001071A2">
        <w:rPr>
          <w:rFonts w:ascii="Times New Roman" w:hAnsi="Times New Roman" w:cs="Times New Roman"/>
          <w:i/>
          <w:sz w:val="26"/>
          <w:szCs w:val="26"/>
        </w:rPr>
        <w:t>FirstEnergy</w:t>
      </w:r>
      <w:r>
        <w:rPr>
          <w:rFonts w:ascii="Times New Roman" w:hAnsi="Times New Roman" w:cs="Times New Roman"/>
          <w:sz w:val="26"/>
          <w:szCs w:val="26"/>
        </w:rPr>
        <w:t>, 1</w:t>
      </w:r>
      <w:r w:rsidRPr="006D0A58">
        <w:rPr>
          <w:rFonts w:ascii="Times New Roman" w:hAnsi="Times New Roman" w:cs="Times New Roman"/>
          <w:sz w:val="26"/>
          <w:szCs w:val="26"/>
        </w:rPr>
        <w:t>41</w:t>
      </w:r>
      <w:r w:rsidRPr="00947289">
        <w:rPr>
          <w:rFonts w:ascii="Times New Roman" w:hAnsi="Times New Roman" w:cs="Times New Roman"/>
          <w:sz w:val="26"/>
          <w:szCs w:val="26"/>
        </w:rPr>
        <w:t xml:space="preserve"> FERC ¶ 61,239</w:t>
      </w:r>
      <w:r>
        <w:rPr>
          <w:rFonts w:ascii="Times New Roman" w:hAnsi="Times New Roman" w:cs="Times New Roman"/>
          <w:sz w:val="26"/>
          <w:szCs w:val="26"/>
        </w:rPr>
        <w:t xml:space="preserve"> at P 5.</w:t>
      </w:r>
    </w:p>
  </w:footnote>
  <w:footnote w:id="62">
    <w:p w14:paraId="6B2FFCD5" w14:textId="77777777" w:rsidR="006E7588" w:rsidRPr="006C2C3B" w:rsidRDefault="006E7588" w:rsidP="006D2223">
      <w:pPr>
        <w:pStyle w:val="FootnoteText"/>
        <w:rPr>
          <w:rFonts w:ascii="Times New Roman" w:hAnsi="Times New Roman" w:cs="Times New Roman"/>
          <w:sz w:val="26"/>
          <w:szCs w:val="26"/>
        </w:rPr>
      </w:pPr>
      <w:r w:rsidRPr="009D5ECD">
        <w:rPr>
          <w:rStyle w:val="FootnoteReference"/>
        </w:rPr>
        <w:footnoteRef/>
      </w:r>
      <w:r w:rsidRPr="006C2C3B">
        <w:rPr>
          <w:rFonts w:ascii="Times New Roman" w:hAnsi="Times New Roman" w:cs="Times New Roman"/>
          <w:sz w:val="26"/>
          <w:szCs w:val="26"/>
        </w:rPr>
        <w:t xml:space="preserve"> 44 U.S.C. 3501-3520.</w:t>
      </w:r>
    </w:p>
  </w:footnote>
  <w:footnote w:id="63">
    <w:p w14:paraId="2B03659A" w14:textId="77777777" w:rsidR="006E7588" w:rsidRDefault="006E7588" w:rsidP="006D2223">
      <w:pPr>
        <w:pStyle w:val="FootnoteText"/>
      </w:pPr>
      <w:r w:rsidRPr="009D5ECD">
        <w:rPr>
          <w:rStyle w:val="FootnoteReference"/>
        </w:rPr>
        <w:footnoteRef/>
      </w:r>
      <w:r w:rsidRPr="006C2C3B">
        <w:rPr>
          <w:rFonts w:ascii="Times New Roman" w:hAnsi="Times New Roman" w:cs="Times New Roman"/>
          <w:sz w:val="26"/>
          <w:szCs w:val="26"/>
        </w:rPr>
        <w:t xml:space="preserve"> </w:t>
      </w:r>
      <w:r w:rsidRPr="006C2C3B">
        <w:rPr>
          <w:rFonts w:ascii="Times New Roman" w:hAnsi="Times New Roman" w:cs="Times New Roman"/>
          <w:i/>
          <w:sz w:val="26"/>
          <w:szCs w:val="26"/>
        </w:rPr>
        <w:t xml:space="preserve">See </w:t>
      </w:r>
      <w:r w:rsidRPr="006C2C3B">
        <w:rPr>
          <w:rFonts w:ascii="Times New Roman" w:hAnsi="Times New Roman" w:cs="Times New Roman"/>
          <w:sz w:val="26"/>
          <w:szCs w:val="26"/>
        </w:rPr>
        <w:t>5 CFR 1320.</w:t>
      </w:r>
    </w:p>
  </w:footnote>
  <w:footnote w:id="64">
    <w:p w14:paraId="3C5D7FEA" w14:textId="77777777" w:rsidR="006E7588" w:rsidRDefault="006E7588" w:rsidP="006D2223">
      <w:pPr>
        <w:pStyle w:val="FootnoteText"/>
        <w:rPr>
          <w:rFonts w:ascii="Times New Roman" w:hAnsi="Times New Roman" w:cs="Times New Roman"/>
          <w:sz w:val="26"/>
          <w:szCs w:val="26"/>
        </w:rPr>
      </w:pPr>
      <w:r w:rsidRPr="00D81EC9">
        <w:rPr>
          <w:rStyle w:val="FootnoteReference"/>
        </w:rPr>
        <w:footnoteRef/>
      </w:r>
      <w:r w:rsidRPr="006C2C3B">
        <w:rPr>
          <w:rFonts w:ascii="Times New Roman" w:hAnsi="Times New Roman" w:cs="Times New Roman"/>
          <w:sz w:val="26"/>
          <w:szCs w:val="26"/>
        </w:rPr>
        <w:t xml:space="preserve"> The hourly cost figures are based on data for salary plus benefits.  We think industry is similarly situated to FERC in terms of the </w:t>
      </w:r>
      <w:r>
        <w:rPr>
          <w:rFonts w:ascii="Times New Roman" w:hAnsi="Times New Roman" w:cs="Times New Roman"/>
          <w:sz w:val="26"/>
          <w:szCs w:val="26"/>
        </w:rPr>
        <w:t xml:space="preserve">average </w:t>
      </w:r>
      <w:r w:rsidRPr="006C2C3B">
        <w:rPr>
          <w:rFonts w:ascii="Times New Roman" w:hAnsi="Times New Roman" w:cs="Times New Roman"/>
          <w:sz w:val="26"/>
          <w:szCs w:val="26"/>
        </w:rPr>
        <w:t xml:space="preserve">cost of a full time employee, and we are using $70.50 per hour for salary plus benefits.  </w:t>
      </w:r>
    </w:p>
    <w:p w14:paraId="6A010BF9" w14:textId="77777777" w:rsidR="006E7588" w:rsidRPr="00D81EC9" w:rsidRDefault="006E7588" w:rsidP="006D2223">
      <w:pPr>
        <w:pStyle w:val="FootnoteText"/>
        <w:rPr>
          <w:rFonts w:ascii="Times New Roman" w:hAnsi="Times New Roman" w:cs="Times New Roman"/>
          <w:sz w:val="26"/>
          <w:szCs w:val="26"/>
        </w:rPr>
      </w:pPr>
      <w:r w:rsidRPr="006C2C3B">
        <w:rPr>
          <w:rFonts w:ascii="Times New Roman" w:hAnsi="Times New Roman" w:cs="Times New Roman"/>
          <w:sz w:val="26"/>
          <w:szCs w:val="26"/>
        </w:rPr>
        <w:t xml:space="preserve">The estimates for cost per response are derived using the following formula: Average Burden Hours per Response * $70.50 per Hour = Average Cost per Response.  </w:t>
      </w:r>
      <w:r w:rsidRPr="00D81EC9">
        <w:rPr>
          <w:rFonts w:ascii="Times New Roman" w:hAnsi="Times New Roman" w:cs="Times New Roman"/>
          <w:sz w:val="26"/>
          <w:szCs w:val="26"/>
        </w:rPr>
        <w:t xml:space="preserve">  </w:t>
      </w:r>
    </w:p>
  </w:footnote>
  <w:footnote w:id="65">
    <w:p w14:paraId="24E849FD" w14:textId="6995D77D" w:rsidR="006E7588" w:rsidRPr="004428FB" w:rsidRDefault="006E7588" w:rsidP="006D2223">
      <w:pPr>
        <w:pStyle w:val="FootnoteText"/>
        <w:rPr>
          <w:rFonts w:ascii="Times New Roman" w:hAnsi="Times New Roman" w:cs="Times New Roman"/>
          <w:sz w:val="26"/>
          <w:szCs w:val="26"/>
        </w:rPr>
      </w:pPr>
      <w:r w:rsidRPr="00D81EC9">
        <w:rPr>
          <w:rStyle w:val="FootnoteReference"/>
        </w:rPr>
        <w:footnoteRef/>
      </w:r>
      <w:r>
        <w:rPr>
          <w:rFonts w:ascii="Times New Roman" w:hAnsi="Times New Roman" w:cs="Times New Roman"/>
          <w:sz w:val="26"/>
          <w:szCs w:val="26"/>
        </w:rPr>
        <w:t xml:space="preserve"> We estimate that one</w:t>
      </w:r>
      <w:r w:rsidRPr="004428FB">
        <w:rPr>
          <w:rFonts w:ascii="Times New Roman" w:hAnsi="Times New Roman" w:cs="Times New Roman"/>
          <w:sz w:val="26"/>
          <w:szCs w:val="26"/>
        </w:rPr>
        <w:t xml:space="preserve"> </w:t>
      </w:r>
      <w:r>
        <w:rPr>
          <w:rFonts w:ascii="Times New Roman" w:hAnsi="Times New Roman" w:cs="Times New Roman"/>
          <w:sz w:val="26"/>
          <w:szCs w:val="26"/>
        </w:rPr>
        <w:t>FPA s</w:t>
      </w:r>
      <w:r w:rsidRPr="004428FB">
        <w:rPr>
          <w:rFonts w:ascii="Times New Roman" w:hAnsi="Times New Roman" w:cs="Times New Roman"/>
          <w:sz w:val="26"/>
          <w:szCs w:val="26"/>
        </w:rPr>
        <w:t>ection 205 filing ma</w:t>
      </w:r>
      <w:r>
        <w:rPr>
          <w:rFonts w:ascii="Times New Roman" w:hAnsi="Times New Roman" w:cs="Times New Roman"/>
          <w:sz w:val="26"/>
          <w:szCs w:val="26"/>
        </w:rPr>
        <w:t>y</w:t>
      </w:r>
      <w:r w:rsidRPr="004428FB">
        <w:rPr>
          <w:rFonts w:ascii="Times New Roman" w:hAnsi="Times New Roman" w:cs="Times New Roman"/>
          <w:sz w:val="26"/>
          <w:szCs w:val="26"/>
        </w:rPr>
        <w:t xml:space="preserve"> be made annually </w:t>
      </w:r>
      <w:r>
        <w:rPr>
          <w:rFonts w:ascii="Times New Roman" w:hAnsi="Times New Roman" w:cs="Times New Roman"/>
          <w:sz w:val="26"/>
          <w:szCs w:val="26"/>
        </w:rPr>
        <w:t>subject</w:t>
      </w:r>
      <w:r w:rsidRPr="004428FB">
        <w:rPr>
          <w:rFonts w:ascii="Times New Roman" w:hAnsi="Times New Roman" w:cs="Times New Roman"/>
          <w:sz w:val="26"/>
          <w:szCs w:val="26"/>
        </w:rPr>
        <w:t xml:space="preserve"> to the Proposed Policy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796C" w14:textId="77777777" w:rsidR="006E7588" w:rsidRDefault="006E7588" w:rsidP="008C11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39E">
      <w:rPr>
        <w:rStyle w:val="PageNumber"/>
        <w:noProof/>
      </w:rPr>
      <w:t>- 8 -</w:t>
    </w:r>
    <w:r>
      <w:rPr>
        <w:rStyle w:val="PageNumber"/>
      </w:rPr>
      <w:fldChar w:fldCharType="end"/>
    </w:r>
  </w:p>
  <w:p w14:paraId="54E5DB02" w14:textId="77777777" w:rsidR="006E7588" w:rsidRDefault="006E7588" w:rsidP="008C11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B13" w14:textId="5F6D8A63" w:rsidR="006E7588" w:rsidRPr="002B6093" w:rsidRDefault="006E7588" w:rsidP="00017948">
    <w:pPr>
      <w:rPr>
        <w:rFonts w:ascii="Times New Roman" w:hAnsi="Times New Roman" w:cs="Times New Roman"/>
        <w:sz w:val="26"/>
        <w:szCs w:val="26"/>
      </w:rPr>
    </w:pPr>
    <w:r w:rsidRPr="00DD0851">
      <w:rPr>
        <w:rFonts w:ascii="Times New Roman" w:hAnsi="Times New Roman" w:cs="Times New Roman"/>
        <w:sz w:val="26"/>
        <w:szCs w:val="26"/>
      </w:rPr>
      <w:t xml:space="preserve">Docket No. </w:t>
    </w:r>
    <w:r w:rsidRPr="00087E75">
      <w:rPr>
        <w:rFonts w:ascii="Times New Roman" w:hAnsi="Times New Roman" w:cs="Times New Roman"/>
        <w:sz w:val="26"/>
        <w:szCs w:val="26"/>
      </w:rPr>
      <w:t>PL1</w:t>
    </w:r>
    <w:r>
      <w:rPr>
        <w:rFonts w:ascii="Times New Roman" w:hAnsi="Times New Roman" w:cs="Times New Roman"/>
        <w:sz w:val="26"/>
        <w:szCs w:val="26"/>
      </w:rPr>
      <w:t>5</w:t>
    </w:r>
    <w:r w:rsidRPr="00087E75">
      <w:rPr>
        <w:rFonts w:ascii="Times New Roman" w:hAnsi="Times New Roman" w:cs="Times New Roman"/>
        <w:sz w:val="26"/>
        <w:szCs w:val="26"/>
      </w:rPr>
      <w:t>-</w:t>
    </w:r>
    <w:r>
      <w:rPr>
        <w:rFonts w:ascii="Times New Roman" w:hAnsi="Times New Roman" w:cs="Times New Roman"/>
        <w:sz w:val="26"/>
        <w:szCs w:val="26"/>
      </w:rPr>
      <w:t>3</w:t>
    </w:r>
    <w:r w:rsidRPr="00087E75">
      <w:rPr>
        <w:rFonts w:ascii="Times New Roman" w:hAnsi="Times New Roman" w:cs="Times New Roman"/>
        <w:sz w:val="26"/>
        <w:szCs w:val="26"/>
      </w:rPr>
      <w:t>-000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17948">
      <w:rPr>
        <w:rFonts w:ascii="Times New Roman" w:hAnsi="Times New Roman" w:cs="Times New Roman"/>
        <w:sz w:val="26"/>
        <w:szCs w:val="26"/>
      </w:rPr>
      <w:tab/>
    </w:r>
    <w:r w:rsidR="00017948">
      <w:rPr>
        <w:rFonts w:ascii="Times New Roman" w:hAnsi="Times New Roman" w:cs="Times New Roman"/>
        <w:sz w:val="26"/>
        <w:szCs w:val="26"/>
      </w:rPr>
      <w:tab/>
    </w:r>
    <w:r w:rsidR="00017948">
      <w:rPr>
        <w:rFonts w:ascii="Times New Roman" w:hAnsi="Times New Roman" w:cs="Times New Roman"/>
        <w:sz w:val="26"/>
        <w:szCs w:val="26"/>
      </w:rPr>
      <w:tab/>
    </w:r>
    <w:r w:rsidRPr="00087E75">
      <w:rPr>
        <w:rFonts w:ascii="Times New Roman" w:hAnsi="Times New Roman" w:cs="Times New Roman"/>
        <w:sz w:val="26"/>
        <w:szCs w:val="26"/>
      </w:rPr>
      <w:tab/>
    </w:r>
    <w:r w:rsidRPr="00087E75">
      <w:rPr>
        <w:rStyle w:val="PageNumber"/>
        <w:rFonts w:ascii="Times New Roman" w:hAnsi="Times New Roman" w:cs="Times New Roman"/>
        <w:sz w:val="26"/>
        <w:szCs w:val="26"/>
      </w:rPr>
      <w:fldChar w:fldCharType="begin"/>
    </w:r>
    <w:r w:rsidRPr="00087E75">
      <w:rPr>
        <w:rStyle w:val="PageNumber"/>
        <w:rFonts w:ascii="Times New Roman" w:hAnsi="Times New Roman" w:cs="Times New Roman"/>
        <w:sz w:val="26"/>
        <w:szCs w:val="26"/>
      </w:rPr>
      <w:instrText xml:space="preserve"> PAGE </w:instrText>
    </w:r>
    <w:r w:rsidRPr="00087E75">
      <w:rPr>
        <w:rStyle w:val="PageNumber"/>
        <w:rFonts w:ascii="Times New Roman" w:hAnsi="Times New Roman" w:cs="Times New Roman"/>
        <w:sz w:val="26"/>
        <w:szCs w:val="26"/>
      </w:rPr>
      <w:fldChar w:fldCharType="separate"/>
    </w:r>
    <w:r w:rsidR="006A3FDD">
      <w:rPr>
        <w:rStyle w:val="PageNumber"/>
        <w:rFonts w:ascii="Times New Roman" w:hAnsi="Times New Roman" w:cs="Times New Roman"/>
        <w:noProof/>
        <w:sz w:val="26"/>
        <w:szCs w:val="26"/>
      </w:rPr>
      <w:t>- 2 -</w:t>
    </w:r>
    <w:r w:rsidRPr="00087E75">
      <w:rPr>
        <w:rStyle w:val="PageNumber"/>
        <w:rFonts w:ascii="Times New Roman" w:hAnsi="Times New Roman" w:cs="Times New Roman"/>
        <w:sz w:val="26"/>
        <w:szCs w:val="26"/>
      </w:rPr>
      <w:fldChar w:fldCharType="end"/>
    </w:r>
    <w:r w:rsidR="00017948">
      <w:rPr>
        <w:rStyle w:val="PageNumber"/>
        <w:rFonts w:ascii="Times New Roman" w:hAnsi="Times New Roman" w:cs="Times New Roman"/>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3715" w14:textId="77777777" w:rsidR="006E7588" w:rsidRPr="001F2059" w:rsidRDefault="006E7588" w:rsidP="008C1135">
    <w:pPr>
      <w:pStyle w:val="Header"/>
      <w:jc w:val="right"/>
      <w:rPr>
        <w:rFonts w:ascii="Times New Roman" w:hAnsi="Times New Roman" w:cs="Times New Roman"/>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ED09" w14:textId="21625207" w:rsidR="006E7588" w:rsidRDefault="006E7588" w:rsidP="00566E31">
    <w:pPr>
      <w:pStyle w:val="Header"/>
      <w:spacing w:after="240"/>
    </w:pPr>
    <w:r w:rsidRPr="00E23F02">
      <w:rPr>
        <w:rFonts w:ascii="Times New Roman" w:hAnsi="Times New Roman" w:cs="Times New Roman"/>
        <w:sz w:val="26"/>
        <w:szCs w:val="26"/>
      </w:rPr>
      <w:t>Docket No.</w:t>
    </w:r>
    <w:r>
      <w:rPr>
        <w:rFonts w:ascii="Times New Roman" w:hAnsi="Times New Roman" w:cs="Times New Roman"/>
        <w:sz w:val="26"/>
        <w:szCs w:val="26"/>
      </w:rPr>
      <w:t xml:space="preserve"> PL15-3-000</w:t>
    </w:r>
    <w:r>
      <w:t xml:space="preserve"> </w:t>
    </w:r>
    <w:r>
      <w:tab/>
    </w:r>
    <w:r w:rsidRPr="009B120E">
      <w:rPr>
        <w:rFonts w:ascii="Times New Roman" w:hAnsi="Times New Roman" w:cs="Times New Roman"/>
        <w:sz w:val="26"/>
        <w:szCs w:val="26"/>
      </w:rPr>
      <w:fldChar w:fldCharType="begin"/>
    </w:r>
    <w:r w:rsidRPr="009B120E">
      <w:rPr>
        <w:rFonts w:ascii="Times New Roman" w:hAnsi="Times New Roman" w:cs="Times New Roman"/>
        <w:sz w:val="26"/>
        <w:szCs w:val="26"/>
      </w:rPr>
      <w:instrText xml:space="preserve"> PAGE  \* MERGEFORMAT </w:instrText>
    </w:r>
    <w:r w:rsidRPr="009B120E">
      <w:rPr>
        <w:rFonts w:ascii="Times New Roman" w:hAnsi="Times New Roman" w:cs="Times New Roman"/>
        <w:sz w:val="26"/>
        <w:szCs w:val="26"/>
      </w:rPr>
      <w:fldChar w:fldCharType="separate"/>
    </w:r>
    <w:r w:rsidR="00D879D3">
      <w:rPr>
        <w:rFonts w:ascii="Times New Roman" w:hAnsi="Times New Roman" w:cs="Times New Roman"/>
        <w:noProof/>
        <w:sz w:val="26"/>
        <w:szCs w:val="26"/>
      </w:rPr>
      <w:t>- 39 -</w:t>
    </w:r>
    <w:r w:rsidRPr="009B120E">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4ED3398"/>
    <w:multiLevelType w:val="hybridMultilevel"/>
    <w:tmpl w:val="1EA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3" w15:restartNumberingAfterBreak="0">
    <w:nsid w:val="269F6508"/>
    <w:multiLevelType w:val="multilevel"/>
    <w:tmpl w:val="2390D144"/>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sz w:val="26"/>
        <w:szCs w:val="26"/>
      </w:rPr>
    </w:lvl>
    <w:lvl w:ilvl="3">
      <w:start w:val="1"/>
      <w:numFmt w:val="lowerLetter"/>
      <w:pStyle w:val="Heading4"/>
      <w:lvlText w:val="%4)"/>
      <w:lvlJc w:val="left"/>
      <w:pPr>
        <w:ind w:left="2160" w:firstLine="0"/>
      </w:pPr>
      <w:rPr>
        <w:sz w:val="26"/>
        <w:szCs w:val="26"/>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3766E22"/>
    <w:multiLevelType w:val="hybridMultilevel"/>
    <w:tmpl w:val="AD7E458C"/>
    <w:lvl w:ilvl="0" w:tplc="B6708394">
      <w:start w:val="1"/>
      <w:numFmt w:val="decimal"/>
      <w:lvlText w:val="%1."/>
      <w:lvlJc w:val="left"/>
      <w:pPr>
        <w:tabs>
          <w:tab w:val="num" w:pos="72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325FC"/>
    <w:multiLevelType w:val="multilevel"/>
    <w:tmpl w:val="F182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21D34"/>
    <w:multiLevelType w:val="hybridMultilevel"/>
    <w:tmpl w:val="3B1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E4DD3"/>
    <w:multiLevelType w:val="hybridMultilevel"/>
    <w:tmpl w:val="3C2E2C66"/>
    <w:lvl w:ilvl="0" w:tplc="D20493CE">
      <w:start w:val="1"/>
      <w:numFmt w:val="decimal"/>
      <w:pStyle w:val="FERCparanumber"/>
      <w:lvlText w:val="%1."/>
      <w:lvlJc w:val="left"/>
      <w:pPr>
        <w:tabs>
          <w:tab w:val="num" w:pos="720"/>
        </w:tabs>
        <w:ind w:left="0" w:firstLine="0"/>
      </w:pPr>
      <w:rPr>
        <w:rFonts w:hint="default"/>
        <w:b w:val="0"/>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7"/>
  </w:num>
  <w:num w:numId="15">
    <w:abstractNumId w:val="13"/>
  </w:num>
  <w:num w:numId="16">
    <w:abstractNumId w:val="15"/>
  </w:num>
  <w:num w:numId="17">
    <w:abstractNumId w:val="16"/>
  </w:num>
  <w:num w:numId="18">
    <w:abstractNumId w:val="14"/>
  </w:num>
  <w:num w:numId="19">
    <w:abstractNumId w:val="18"/>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31"/>
    <w:rsid w:val="00000023"/>
    <w:rsid w:val="00000792"/>
    <w:rsid w:val="000052D9"/>
    <w:rsid w:val="000060FC"/>
    <w:rsid w:val="00006142"/>
    <w:rsid w:val="00006E79"/>
    <w:rsid w:val="00007013"/>
    <w:rsid w:val="0001111E"/>
    <w:rsid w:val="00012096"/>
    <w:rsid w:val="00013253"/>
    <w:rsid w:val="00015BA4"/>
    <w:rsid w:val="00015C6C"/>
    <w:rsid w:val="00016E3B"/>
    <w:rsid w:val="00017948"/>
    <w:rsid w:val="00017BC9"/>
    <w:rsid w:val="00020927"/>
    <w:rsid w:val="0002233B"/>
    <w:rsid w:val="000238D3"/>
    <w:rsid w:val="000239C5"/>
    <w:rsid w:val="00024E3D"/>
    <w:rsid w:val="00026905"/>
    <w:rsid w:val="00026E81"/>
    <w:rsid w:val="000302B5"/>
    <w:rsid w:val="000306AF"/>
    <w:rsid w:val="000315DD"/>
    <w:rsid w:val="00032240"/>
    <w:rsid w:val="00034042"/>
    <w:rsid w:val="00036021"/>
    <w:rsid w:val="000365D9"/>
    <w:rsid w:val="0004266A"/>
    <w:rsid w:val="00042BCC"/>
    <w:rsid w:val="00042DB2"/>
    <w:rsid w:val="00043C91"/>
    <w:rsid w:val="000440FA"/>
    <w:rsid w:val="00044E9E"/>
    <w:rsid w:val="0004530B"/>
    <w:rsid w:val="00053341"/>
    <w:rsid w:val="00053DA7"/>
    <w:rsid w:val="0005406C"/>
    <w:rsid w:val="00054083"/>
    <w:rsid w:val="00055B09"/>
    <w:rsid w:val="0006019A"/>
    <w:rsid w:val="00060436"/>
    <w:rsid w:val="00060AEC"/>
    <w:rsid w:val="00061F05"/>
    <w:rsid w:val="000630E3"/>
    <w:rsid w:val="00063363"/>
    <w:rsid w:val="00064760"/>
    <w:rsid w:val="00064D88"/>
    <w:rsid w:val="00066834"/>
    <w:rsid w:val="00066F98"/>
    <w:rsid w:val="0006768F"/>
    <w:rsid w:val="00067802"/>
    <w:rsid w:val="00072C0D"/>
    <w:rsid w:val="000771F4"/>
    <w:rsid w:val="0008336E"/>
    <w:rsid w:val="000864A4"/>
    <w:rsid w:val="00091BC6"/>
    <w:rsid w:val="00094059"/>
    <w:rsid w:val="000964CE"/>
    <w:rsid w:val="000973D0"/>
    <w:rsid w:val="000A0092"/>
    <w:rsid w:val="000A364E"/>
    <w:rsid w:val="000A7593"/>
    <w:rsid w:val="000B1615"/>
    <w:rsid w:val="000B22F6"/>
    <w:rsid w:val="000B235E"/>
    <w:rsid w:val="000B2E04"/>
    <w:rsid w:val="000B32DC"/>
    <w:rsid w:val="000B38A1"/>
    <w:rsid w:val="000B3933"/>
    <w:rsid w:val="000B3E04"/>
    <w:rsid w:val="000B4545"/>
    <w:rsid w:val="000B5FB2"/>
    <w:rsid w:val="000B6F73"/>
    <w:rsid w:val="000C7330"/>
    <w:rsid w:val="000D36EA"/>
    <w:rsid w:val="000D3BF8"/>
    <w:rsid w:val="000D4A2F"/>
    <w:rsid w:val="000D67E5"/>
    <w:rsid w:val="000D6C24"/>
    <w:rsid w:val="000D709F"/>
    <w:rsid w:val="000E0656"/>
    <w:rsid w:val="000E06E5"/>
    <w:rsid w:val="000E17ED"/>
    <w:rsid w:val="000E28F3"/>
    <w:rsid w:val="000E314D"/>
    <w:rsid w:val="000E51A8"/>
    <w:rsid w:val="000E568F"/>
    <w:rsid w:val="000E5942"/>
    <w:rsid w:val="000E5DA1"/>
    <w:rsid w:val="000E6E42"/>
    <w:rsid w:val="000E72EF"/>
    <w:rsid w:val="000E7989"/>
    <w:rsid w:val="000F1A65"/>
    <w:rsid w:val="000F1E16"/>
    <w:rsid w:val="000F391E"/>
    <w:rsid w:val="000F40DE"/>
    <w:rsid w:val="000F74F2"/>
    <w:rsid w:val="000F787D"/>
    <w:rsid w:val="000F7B31"/>
    <w:rsid w:val="00101291"/>
    <w:rsid w:val="00101744"/>
    <w:rsid w:val="00103214"/>
    <w:rsid w:val="00103378"/>
    <w:rsid w:val="0010348D"/>
    <w:rsid w:val="001071A2"/>
    <w:rsid w:val="00107932"/>
    <w:rsid w:val="00107D5A"/>
    <w:rsid w:val="0011005F"/>
    <w:rsid w:val="001113E8"/>
    <w:rsid w:val="0011267E"/>
    <w:rsid w:val="001128A5"/>
    <w:rsid w:val="00113432"/>
    <w:rsid w:val="0011405A"/>
    <w:rsid w:val="00115DB4"/>
    <w:rsid w:val="00121B67"/>
    <w:rsid w:val="00126C8B"/>
    <w:rsid w:val="001278B8"/>
    <w:rsid w:val="00127B80"/>
    <w:rsid w:val="0013200B"/>
    <w:rsid w:val="0013289A"/>
    <w:rsid w:val="001356BA"/>
    <w:rsid w:val="00137485"/>
    <w:rsid w:val="00140818"/>
    <w:rsid w:val="0014384A"/>
    <w:rsid w:val="00144766"/>
    <w:rsid w:val="001450B0"/>
    <w:rsid w:val="0014580F"/>
    <w:rsid w:val="00145BF3"/>
    <w:rsid w:val="001460E5"/>
    <w:rsid w:val="001464E0"/>
    <w:rsid w:val="00146A35"/>
    <w:rsid w:val="00147246"/>
    <w:rsid w:val="00150E02"/>
    <w:rsid w:val="001519A6"/>
    <w:rsid w:val="00152A5B"/>
    <w:rsid w:val="001535C6"/>
    <w:rsid w:val="001541A7"/>
    <w:rsid w:val="00160425"/>
    <w:rsid w:val="001619AF"/>
    <w:rsid w:val="00162B3C"/>
    <w:rsid w:val="00166524"/>
    <w:rsid w:val="001701EA"/>
    <w:rsid w:val="001722E3"/>
    <w:rsid w:val="00172DA5"/>
    <w:rsid w:val="0017582B"/>
    <w:rsid w:val="00175D3E"/>
    <w:rsid w:val="00176FE3"/>
    <w:rsid w:val="00177390"/>
    <w:rsid w:val="00181729"/>
    <w:rsid w:val="00183FD6"/>
    <w:rsid w:val="0018487E"/>
    <w:rsid w:val="001853F5"/>
    <w:rsid w:val="00185C14"/>
    <w:rsid w:val="00186417"/>
    <w:rsid w:val="00187A82"/>
    <w:rsid w:val="00187C82"/>
    <w:rsid w:val="00190FC1"/>
    <w:rsid w:val="00194CE8"/>
    <w:rsid w:val="00195BBD"/>
    <w:rsid w:val="00196908"/>
    <w:rsid w:val="001A12DE"/>
    <w:rsid w:val="001A1D6E"/>
    <w:rsid w:val="001A3237"/>
    <w:rsid w:val="001A4C5E"/>
    <w:rsid w:val="001A5D72"/>
    <w:rsid w:val="001A68C8"/>
    <w:rsid w:val="001A7354"/>
    <w:rsid w:val="001A76E4"/>
    <w:rsid w:val="001A7FB5"/>
    <w:rsid w:val="001B0600"/>
    <w:rsid w:val="001B1881"/>
    <w:rsid w:val="001B228B"/>
    <w:rsid w:val="001B3B47"/>
    <w:rsid w:val="001B3C08"/>
    <w:rsid w:val="001B4314"/>
    <w:rsid w:val="001B4732"/>
    <w:rsid w:val="001B4D9E"/>
    <w:rsid w:val="001B5783"/>
    <w:rsid w:val="001C0341"/>
    <w:rsid w:val="001C139A"/>
    <w:rsid w:val="001C17A3"/>
    <w:rsid w:val="001C1C0E"/>
    <w:rsid w:val="001C4448"/>
    <w:rsid w:val="001C46FD"/>
    <w:rsid w:val="001C5E36"/>
    <w:rsid w:val="001D0604"/>
    <w:rsid w:val="001D0958"/>
    <w:rsid w:val="001D1FA3"/>
    <w:rsid w:val="001D210E"/>
    <w:rsid w:val="001D23B9"/>
    <w:rsid w:val="001D3568"/>
    <w:rsid w:val="001D3ECE"/>
    <w:rsid w:val="001D6113"/>
    <w:rsid w:val="001D75C1"/>
    <w:rsid w:val="001D7D25"/>
    <w:rsid w:val="001D7F9B"/>
    <w:rsid w:val="001E0C76"/>
    <w:rsid w:val="001E0ECA"/>
    <w:rsid w:val="001E1B1A"/>
    <w:rsid w:val="001E4A71"/>
    <w:rsid w:val="001E745A"/>
    <w:rsid w:val="001F0BD3"/>
    <w:rsid w:val="001F12FB"/>
    <w:rsid w:val="001F1813"/>
    <w:rsid w:val="001F1954"/>
    <w:rsid w:val="001F25B4"/>
    <w:rsid w:val="001F7FC3"/>
    <w:rsid w:val="002004A9"/>
    <w:rsid w:val="002008A1"/>
    <w:rsid w:val="0020098B"/>
    <w:rsid w:val="00200B82"/>
    <w:rsid w:val="0020127A"/>
    <w:rsid w:val="00201D55"/>
    <w:rsid w:val="00202422"/>
    <w:rsid w:val="002031B5"/>
    <w:rsid w:val="00204512"/>
    <w:rsid w:val="00206D7D"/>
    <w:rsid w:val="002106AD"/>
    <w:rsid w:val="002134CA"/>
    <w:rsid w:val="002150A4"/>
    <w:rsid w:val="00215AC5"/>
    <w:rsid w:val="00215DA9"/>
    <w:rsid w:val="00216635"/>
    <w:rsid w:val="00217558"/>
    <w:rsid w:val="00220066"/>
    <w:rsid w:val="0022211B"/>
    <w:rsid w:val="00222750"/>
    <w:rsid w:val="002246EF"/>
    <w:rsid w:val="00231A82"/>
    <w:rsid w:val="00233328"/>
    <w:rsid w:val="0023489A"/>
    <w:rsid w:val="00234BE0"/>
    <w:rsid w:val="00236263"/>
    <w:rsid w:val="00237E8C"/>
    <w:rsid w:val="00240066"/>
    <w:rsid w:val="002426C3"/>
    <w:rsid w:val="00242881"/>
    <w:rsid w:val="00242935"/>
    <w:rsid w:val="00242AC3"/>
    <w:rsid w:val="00250729"/>
    <w:rsid w:val="002521C2"/>
    <w:rsid w:val="00252506"/>
    <w:rsid w:val="002525FE"/>
    <w:rsid w:val="00252E59"/>
    <w:rsid w:val="0025400C"/>
    <w:rsid w:val="00254018"/>
    <w:rsid w:val="002553AC"/>
    <w:rsid w:val="00255535"/>
    <w:rsid w:val="00255646"/>
    <w:rsid w:val="00255663"/>
    <w:rsid w:val="002606A4"/>
    <w:rsid w:val="002631F0"/>
    <w:rsid w:val="00263BD5"/>
    <w:rsid w:val="0026424F"/>
    <w:rsid w:val="00264564"/>
    <w:rsid w:val="0026513A"/>
    <w:rsid w:val="0026665F"/>
    <w:rsid w:val="00266808"/>
    <w:rsid w:val="00267038"/>
    <w:rsid w:val="00271EBD"/>
    <w:rsid w:val="00272F73"/>
    <w:rsid w:val="00273C55"/>
    <w:rsid w:val="002747B3"/>
    <w:rsid w:val="0027565F"/>
    <w:rsid w:val="002756B8"/>
    <w:rsid w:val="00277CC5"/>
    <w:rsid w:val="00277D1A"/>
    <w:rsid w:val="002802C8"/>
    <w:rsid w:val="0028132C"/>
    <w:rsid w:val="00281B3C"/>
    <w:rsid w:val="00282A09"/>
    <w:rsid w:val="00282B1D"/>
    <w:rsid w:val="00282D15"/>
    <w:rsid w:val="0028447D"/>
    <w:rsid w:val="00284AEC"/>
    <w:rsid w:val="00286437"/>
    <w:rsid w:val="0028697E"/>
    <w:rsid w:val="00287142"/>
    <w:rsid w:val="002875D8"/>
    <w:rsid w:val="00291F30"/>
    <w:rsid w:val="0029221B"/>
    <w:rsid w:val="00296F1E"/>
    <w:rsid w:val="002A11D6"/>
    <w:rsid w:val="002A5520"/>
    <w:rsid w:val="002B0C7A"/>
    <w:rsid w:val="002B1E9A"/>
    <w:rsid w:val="002B230C"/>
    <w:rsid w:val="002B4D58"/>
    <w:rsid w:val="002B609F"/>
    <w:rsid w:val="002B6530"/>
    <w:rsid w:val="002B680F"/>
    <w:rsid w:val="002B69DC"/>
    <w:rsid w:val="002C09DA"/>
    <w:rsid w:val="002C1C5D"/>
    <w:rsid w:val="002C2FB6"/>
    <w:rsid w:val="002C3700"/>
    <w:rsid w:val="002C4EF3"/>
    <w:rsid w:val="002C7806"/>
    <w:rsid w:val="002D1319"/>
    <w:rsid w:val="002D164D"/>
    <w:rsid w:val="002D1796"/>
    <w:rsid w:val="002D2EC1"/>
    <w:rsid w:val="002D52AE"/>
    <w:rsid w:val="002D7D08"/>
    <w:rsid w:val="002E069D"/>
    <w:rsid w:val="002E1E26"/>
    <w:rsid w:val="002E219D"/>
    <w:rsid w:val="002E285D"/>
    <w:rsid w:val="002E2C43"/>
    <w:rsid w:val="002E4290"/>
    <w:rsid w:val="002E64B6"/>
    <w:rsid w:val="002E67C8"/>
    <w:rsid w:val="002E6C23"/>
    <w:rsid w:val="002E706F"/>
    <w:rsid w:val="002E7495"/>
    <w:rsid w:val="002E770C"/>
    <w:rsid w:val="002F2441"/>
    <w:rsid w:val="002F2F2E"/>
    <w:rsid w:val="002F59AF"/>
    <w:rsid w:val="002F7FDF"/>
    <w:rsid w:val="00301152"/>
    <w:rsid w:val="003023C7"/>
    <w:rsid w:val="00302619"/>
    <w:rsid w:val="003026F2"/>
    <w:rsid w:val="00302A0F"/>
    <w:rsid w:val="00306587"/>
    <w:rsid w:val="003070C7"/>
    <w:rsid w:val="00307C00"/>
    <w:rsid w:val="00317D6B"/>
    <w:rsid w:val="00320784"/>
    <w:rsid w:val="003246F0"/>
    <w:rsid w:val="003257CF"/>
    <w:rsid w:val="00326086"/>
    <w:rsid w:val="003303B3"/>
    <w:rsid w:val="00330619"/>
    <w:rsid w:val="003329D3"/>
    <w:rsid w:val="0033345D"/>
    <w:rsid w:val="00333697"/>
    <w:rsid w:val="00333D0A"/>
    <w:rsid w:val="003350BC"/>
    <w:rsid w:val="00335193"/>
    <w:rsid w:val="0033571D"/>
    <w:rsid w:val="00336421"/>
    <w:rsid w:val="003365DA"/>
    <w:rsid w:val="00340436"/>
    <w:rsid w:val="00343B95"/>
    <w:rsid w:val="00344E5A"/>
    <w:rsid w:val="00351BE0"/>
    <w:rsid w:val="0035288A"/>
    <w:rsid w:val="00352FDB"/>
    <w:rsid w:val="003531ED"/>
    <w:rsid w:val="0035446A"/>
    <w:rsid w:val="00355EE8"/>
    <w:rsid w:val="00355FEE"/>
    <w:rsid w:val="00356443"/>
    <w:rsid w:val="0035688C"/>
    <w:rsid w:val="00356DE0"/>
    <w:rsid w:val="003616F2"/>
    <w:rsid w:val="003618AE"/>
    <w:rsid w:val="00362D47"/>
    <w:rsid w:val="003646B9"/>
    <w:rsid w:val="00366B30"/>
    <w:rsid w:val="003724B5"/>
    <w:rsid w:val="00372510"/>
    <w:rsid w:val="003734FE"/>
    <w:rsid w:val="003748EF"/>
    <w:rsid w:val="00380088"/>
    <w:rsid w:val="003800A2"/>
    <w:rsid w:val="00381C61"/>
    <w:rsid w:val="00381F65"/>
    <w:rsid w:val="0038253F"/>
    <w:rsid w:val="00382564"/>
    <w:rsid w:val="00385528"/>
    <w:rsid w:val="00386BAB"/>
    <w:rsid w:val="00387B47"/>
    <w:rsid w:val="00387B60"/>
    <w:rsid w:val="00387FB2"/>
    <w:rsid w:val="00392DBA"/>
    <w:rsid w:val="00395734"/>
    <w:rsid w:val="00395E13"/>
    <w:rsid w:val="003A0D00"/>
    <w:rsid w:val="003A16CB"/>
    <w:rsid w:val="003A1A81"/>
    <w:rsid w:val="003A3A1A"/>
    <w:rsid w:val="003A7663"/>
    <w:rsid w:val="003B0BF6"/>
    <w:rsid w:val="003B16AE"/>
    <w:rsid w:val="003B3165"/>
    <w:rsid w:val="003B5C50"/>
    <w:rsid w:val="003B6310"/>
    <w:rsid w:val="003B6468"/>
    <w:rsid w:val="003B708B"/>
    <w:rsid w:val="003B7317"/>
    <w:rsid w:val="003B78AE"/>
    <w:rsid w:val="003C04D7"/>
    <w:rsid w:val="003C1065"/>
    <w:rsid w:val="003C12FD"/>
    <w:rsid w:val="003C20AD"/>
    <w:rsid w:val="003C31A8"/>
    <w:rsid w:val="003C4E05"/>
    <w:rsid w:val="003C5745"/>
    <w:rsid w:val="003C712A"/>
    <w:rsid w:val="003C752C"/>
    <w:rsid w:val="003D3C82"/>
    <w:rsid w:val="003D3EF2"/>
    <w:rsid w:val="003D49D8"/>
    <w:rsid w:val="003E169E"/>
    <w:rsid w:val="003E36DD"/>
    <w:rsid w:val="003E5C8D"/>
    <w:rsid w:val="003E5E7D"/>
    <w:rsid w:val="003E71E1"/>
    <w:rsid w:val="003F0247"/>
    <w:rsid w:val="003F3BC9"/>
    <w:rsid w:val="003F590E"/>
    <w:rsid w:val="003F6EDE"/>
    <w:rsid w:val="003F71F3"/>
    <w:rsid w:val="003F7CD0"/>
    <w:rsid w:val="00404182"/>
    <w:rsid w:val="0041133F"/>
    <w:rsid w:val="004122D1"/>
    <w:rsid w:val="00413144"/>
    <w:rsid w:val="00413861"/>
    <w:rsid w:val="00416A74"/>
    <w:rsid w:val="004176CA"/>
    <w:rsid w:val="00420B38"/>
    <w:rsid w:val="004210A2"/>
    <w:rsid w:val="004262CE"/>
    <w:rsid w:val="0042686D"/>
    <w:rsid w:val="00426D49"/>
    <w:rsid w:val="00431DF4"/>
    <w:rsid w:val="00432883"/>
    <w:rsid w:val="00433DE3"/>
    <w:rsid w:val="0043427F"/>
    <w:rsid w:val="00435317"/>
    <w:rsid w:val="00435F5E"/>
    <w:rsid w:val="00443B68"/>
    <w:rsid w:val="004457FF"/>
    <w:rsid w:val="004458A9"/>
    <w:rsid w:val="00447165"/>
    <w:rsid w:val="004504FE"/>
    <w:rsid w:val="00450972"/>
    <w:rsid w:val="00450B0D"/>
    <w:rsid w:val="00453045"/>
    <w:rsid w:val="0045406D"/>
    <w:rsid w:val="00455931"/>
    <w:rsid w:val="004561CC"/>
    <w:rsid w:val="00456B66"/>
    <w:rsid w:val="00456C7A"/>
    <w:rsid w:val="00456DF6"/>
    <w:rsid w:val="0046011D"/>
    <w:rsid w:val="0046026B"/>
    <w:rsid w:val="0046060B"/>
    <w:rsid w:val="004610A9"/>
    <w:rsid w:val="00461B52"/>
    <w:rsid w:val="0046225D"/>
    <w:rsid w:val="0046349A"/>
    <w:rsid w:val="004641E0"/>
    <w:rsid w:val="004675D3"/>
    <w:rsid w:val="00472AED"/>
    <w:rsid w:val="00472C0E"/>
    <w:rsid w:val="00473068"/>
    <w:rsid w:val="00473CF5"/>
    <w:rsid w:val="0047517C"/>
    <w:rsid w:val="00476031"/>
    <w:rsid w:val="004762C5"/>
    <w:rsid w:val="00476D00"/>
    <w:rsid w:val="00476E2C"/>
    <w:rsid w:val="00480A6E"/>
    <w:rsid w:val="00480B7F"/>
    <w:rsid w:val="00481C81"/>
    <w:rsid w:val="00481D6C"/>
    <w:rsid w:val="00482398"/>
    <w:rsid w:val="00483462"/>
    <w:rsid w:val="00487D6C"/>
    <w:rsid w:val="004917CF"/>
    <w:rsid w:val="0049353F"/>
    <w:rsid w:val="004943A1"/>
    <w:rsid w:val="00494BF5"/>
    <w:rsid w:val="004952FA"/>
    <w:rsid w:val="00495B6D"/>
    <w:rsid w:val="00495D49"/>
    <w:rsid w:val="00496077"/>
    <w:rsid w:val="00496B15"/>
    <w:rsid w:val="004A0B5A"/>
    <w:rsid w:val="004A0C80"/>
    <w:rsid w:val="004A1E40"/>
    <w:rsid w:val="004A2E84"/>
    <w:rsid w:val="004A5825"/>
    <w:rsid w:val="004A6A8F"/>
    <w:rsid w:val="004A7EBE"/>
    <w:rsid w:val="004B086C"/>
    <w:rsid w:val="004B4191"/>
    <w:rsid w:val="004B44BA"/>
    <w:rsid w:val="004B4F19"/>
    <w:rsid w:val="004B58CC"/>
    <w:rsid w:val="004B7060"/>
    <w:rsid w:val="004C438C"/>
    <w:rsid w:val="004C77A5"/>
    <w:rsid w:val="004D0548"/>
    <w:rsid w:val="004D24B7"/>
    <w:rsid w:val="004D2946"/>
    <w:rsid w:val="004D5843"/>
    <w:rsid w:val="004D631A"/>
    <w:rsid w:val="004D723B"/>
    <w:rsid w:val="004E021C"/>
    <w:rsid w:val="004E0FFD"/>
    <w:rsid w:val="004E1EEC"/>
    <w:rsid w:val="004E50F6"/>
    <w:rsid w:val="004F0FB4"/>
    <w:rsid w:val="004F1E11"/>
    <w:rsid w:val="004F2362"/>
    <w:rsid w:val="004F24AF"/>
    <w:rsid w:val="004F2C4C"/>
    <w:rsid w:val="004F3359"/>
    <w:rsid w:val="004F3E96"/>
    <w:rsid w:val="004F6DC5"/>
    <w:rsid w:val="004F7074"/>
    <w:rsid w:val="00502A03"/>
    <w:rsid w:val="005048F5"/>
    <w:rsid w:val="00510866"/>
    <w:rsid w:val="005120DC"/>
    <w:rsid w:val="005128BA"/>
    <w:rsid w:val="00512F51"/>
    <w:rsid w:val="005144AD"/>
    <w:rsid w:val="005220C7"/>
    <w:rsid w:val="00523292"/>
    <w:rsid w:val="0052383E"/>
    <w:rsid w:val="00531C65"/>
    <w:rsid w:val="00531CF3"/>
    <w:rsid w:val="005321EC"/>
    <w:rsid w:val="005334B1"/>
    <w:rsid w:val="0053381C"/>
    <w:rsid w:val="00533958"/>
    <w:rsid w:val="00533AD7"/>
    <w:rsid w:val="005354DE"/>
    <w:rsid w:val="00535E8A"/>
    <w:rsid w:val="00535EF3"/>
    <w:rsid w:val="00536050"/>
    <w:rsid w:val="00536EC4"/>
    <w:rsid w:val="0053745E"/>
    <w:rsid w:val="00540433"/>
    <w:rsid w:val="005423B6"/>
    <w:rsid w:val="00542F37"/>
    <w:rsid w:val="00546996"/>
    <w:rsid w:val="00551737"/>
    <w:rsid w:val="00551AB9"/>
    <w:rsid w:val="0055418D"/>
    <w:rsid w:val="005548DB"/>
    <w:rsid w:val="00554A45"/>
    <w:rsid w:val="00554DF1"/>
    <w:rsid w:val="00555578"/>
    <w:rsid w:val="00556EBF"/>
    <w:rsid w:val="0056269C"/>
    <w:rsid w:val="005638F7"/>
    <w:rsid w:val="00564B38"/>
    <w:rsid w:val="005662D9"/>
    <w:rsid w:val="00566E31"/>
    <w:rsid w:val="00570887"/>
    <w:rsid w:val="00570DD6"/>
    <w:rsid w:val="00570E0E"/>
    <w:rsid w:val="00570E5F"/>
    <w:rsid w:val="00571FD1"/>
    <w:rsid w:val="00572737"/>
    <w:rsid w:val="00573873"/>
    <w:rsid w:val="005740B0"/>
    <w:rsid w:val="005748B1"/>
    <w:rsid w:val="0057509C"/>
    <w:rsid w:val="00576569"/>
    <w:rsid w:val="00576F39"/>
    <w:rsid w:val="00576F77"/>
    <w:rsid w:val="005776EF"/>
    <w:rsid w:val="00577AED"/>
    <w:rsid w:val="00583623"/>
    <w:rsid w:val="005858C8"/>
    <w:rsid w:val="00585DED"/>
    <w:rsid w:val="0058653A"/>
    <w:rsid w:val="00587397"/>
    <w:rsid w:val="00590104"/>
    <w:rsid w:val="00591275"/>
    <w:rsid w:val="005925D5"/>
    <w:rsid w:val="00593ABB"/>
    <w:rsid w:val="00593D22"/>
    <w:rsid w:val="005955C3"/>
    <w:rsid w:val="00597BE5"/>
    <w:rsid w:val="005A097F"/>
    <w:rsid w:val="005A1325"/>
    <w:rsid w:val="005A13AF"/>
    <w:rsid w:val="005A1671"/>
    <w:rsid w:val="005A2C67"/>
    <w:rsid w:val="005A3527"/>
    <w:rsid w:val="005A4BB1"/>
    <w:rsid w:val="005A5364"/>
    <w:rsid w:val="005A77EE"/>
    <w:rsid w:val="005B0CAA"/>
    <w:rsid w:val="005B5C5A"/>
    <w:rsid w:val="005B7E3F"/>
    <w:rsid w:val="005C11B6"/>
    <w:rsid w:val="005C18D0"/>
    <w:rsid w:val="005C1A5A"/>
    <w:rsid w:val="005C2FB7"/>
    <w:rsid w:val="005C34E1"/>
    <w:rsid w:val="005C3FA2"/>
    <w:rsid w:val="005C403F"/>
    <w:rsid w:val="005C41DC"/>
    <w:rsid w:val="005C477A"/>
    <w:rsid w:val="005C4D56"/>
    <w:rsid w:val="005C51E6"/>
    <w:rsid w:val="005C5EC8"/>
    <w:rsid w:val="005C7358"/>
    <w:rsid w:val="005D138D"/>
    <w:rsid w:val="005D36C6"/>
    <w:rsid w:val="005D7BA8"/>
    <w:rsid w:val="005E1AA5"/>
    <w:rsid w:val="005E5D25"/>
    <w:rsid w:val="005E77AD"/>
    <w:rsid w:val="005F037C"/>
    <w:rsid w:val="005F25F1"/>
    <w:rsid w:val="005F29EC"/>
    <w:rsid w:val="005F31DA"/>
    <w:rsid w:val="005F6163"/>
    <w:rsid w:val="005F6418"/>
    <w:rsid w:val="005F6AE2"/>
    <w:rsid w:val="005F788A"/>
    <w:rsid w:val="0060006D"/>
    <w:rsid w:val="006005E6"/>
    <w:rsid w:val="00605584"/>
    <w:rsid w:val="00605CA5"/>
    <w:rsid w:val="00605E2F"/>
    <w:rsid w:val="00605F65"/>
    <w:rsid w:val="00606B4D"/>
    <w:rsid w:val="00606D6F"/>
    <w:rsid w:val="0060755E"/>
    <w:rsid w:val="00610741"/>
    <w:rsid w:val="0061075E"/>
    <w:rsid w:val="0061170F"/>
    <w:rsid w:val="006121E6"/>
    <w:rsid w:val="00614B9A"/>
    <w:rsid w:val="00616A39"/>
    <w:rsid w:val="00616EC2"/>
    <w:rsid w:val="00617427"/>
    <w:rsid w:val="006177F0"/>
    <w:rsid w:val="0062193A"/>
    <w:rsid w:val="00623E84"/>
    <w:rsid w:val="006241DB"/>
    <w:rsid w:val="00626174"/>
    <w:rsid w:val="00630CD9"/>
    <w:rsid w:val="0063263F"/>
    <w:rsid w:val="006330EA"/>
    <w:rsid w:val="00636C6F"/>
    <w:rsid w:val="0064079F"/>
    <w:rsid w:val="00640844"/>
    <w:rsid w:val="00640C40"/>
    <w:rsid w:val="0064332E"/>
    <w:rsid w:val="006458CE"/>
    <w:rsid w:val="006462D5"/>
    <w:rsid w:val="006514D4"/>
    <w:rsid w:val="006552FA"/>
    <w:rsid w:val="00655490"/>
    <w:rsid w:val="006555C5"/>
    <w:rsid w:val="00656F9C"/>
    <w:rsid w:val="006575F9"/>
    <w:rsid w:val="006616F2"/>
    <w:rsid w:val="006630B7"/>
    <w:rsid w:val="00663EBF"/>
    <w:rsid w:val="00664029"/>
    <w:rsid w:val="0066511C"/>
    <w:rsid w:val="00666626"/>
    <w:rsid w:val="00666C02"/>
    <w:rsid w:val="00666CAD"/>
    <w:rsid w:val="00666CFF"/>
    <w:rsid w:val="00667F23"/>
    <w:rsid w:val="00670912"/>
    <w:rsid w:val="00672F9F"/>
    <w:rsid w:val="00674862"/>
    <w:rsid w:val="00676722"/>
    <w:rsid w:val="00676EFA"/>
    <w:rsid w:val="00676F03"/>
    <w:rsid w:val="00677583"/>
    <w:rsid w:val="00680B5A"/>
    <w:rsid w:val="006817AB"/>
    <w:rsid w:val="006833BF"/>
    <w:rsid w:val="0068394F"/>
    <w:rsid w:val="00686D3D"/>
    <w:rsid w:val="00686DC3"/>
    <w:rsid w:val="006901EA"/>
    <w:rsid w:val="00690B98"/>
    <w:rsid w:val="00692769"/>
    <w:rsid w:val="00693007"/>
    <w:rsid w:val="006953A3"/>
    <w:rsid w:val="006960C2"/>
    <w:rsid w:val="006A0444"/>
    <w:rsid w:val="006A09BF"/>
    <w:rsid w:val="006A1C62"/>
    <w:rsid w:val="006A3FDD"/>
    <w:rsid w:val="006A5A2C"/>
    <w:rsid w:val="006B1122"/>
    <w:rsid w:val="006B19A6"/>
    <w:rsid w:val="006B4EB2"/>
    <w:rsid w:val="006C02F7"/>
    <w:rsid w:val="006C1639"/>
    <w:rsid w:val="006C1882"/>
    <w:rsid w:val="006C1C6F"/>
    <w:rsid w:val="006C25A8"/>
    <w:rsid w:val="006C3309"/>
    <w:rsid w:val="006D2223"/>
    <w:rsid w:val="006D36FE"/>
    <w:rsid w:val="006D471D"/>
    <w:rsid w:val="006D73B8"/>
    <w:rsid w:val="006E031B"/>
    <w:rsid w:val="006E1476"/>
    <w:rsid w:val="006E1532"/>
    <w:rsid w:val="006E1C49"/>
    <w:rsid w:val="006E28A5"/>
    <w:rsid w:val="006E386B"/>
    <w:rsid w:val="006E38A4"/>
    <w:rsid w:val="006E57F2"/>
    <w:rsid w:val="006E5AF2"/>
    <w:rsid w:val="006E5C8F"/>
    <w:rsid w:val="006E5E94"/>
    <w:rsid w:val="006E7588"/>
    <w:rsid w:val="006F1AAF"/>
    <w:rsid w:val="006F2B61"/>
    <w:rsid w:val="006F3629"/>
    <w:rsid w:val="006F3994"/>
    <w:rsid w:val="006F3C0E"/>
    <w:rsid w:val="006F568A"/>
    <w:rsid w:val="006F6CC1"/>
    <w:rsid w:val="00702677"/>
    <w:rsid w:val="007039DE"/>
    <w:rsid w:val="00706F67"/>
    <w:rsid w:val="0070707C"/>
    <w:rsid w:val="00707F34"/>
    <w:rsid w:val="00710D6F"/>
    <w:rsid w:val="00712AF9"/>
    <w:rsid w:val="007153EA"/>
    <w:rsid w:val="007166DA"/>
    <w:rsid w:val="007176BD"/>
    <w:rsid w:val="007232DD"/>
    <w:rsid w:val="00723A08"/>
    <w:rsid w:val="007251C1"/>
    <w:rsid w:val="00725DF9"/>
    <w:rsid w:val="00726AB4"/>
    <w:rsid w:val="0072760E"/>
    <w:rsid w:val="00730373"/>
    <w:rsid w:val="00731A9B"/>
    <w:rsid w:val="00734FD7"/>
    <w:rsid w:val="00737788"/>
    <w:rsid w:val="00740CEA"/>
    <w:rsid w:val="0074479A"/>
    <w:rsid w:val="00744876"/>
    <w:rsid w:val="00744CEE"/>
    <w:rsid w:val="00745DCF"/>
    <w:rsid w:val="007476DB"/>
    <w:rsid w:val="00747D59"/>
    <w:rsid w:val="00750123"/>
    <w:rsid w:val="00751120"/>
    <w:rsid w:val="00751675"/>
    <w:rsid w:val="007541EE"/>
    <w:rsid w:val="00754592"/>
    <w:rsid w:val="007548A5"/>
    <w:rsid w:val="00755061"/>
    <w:rsid w:val="007575C0"/>
    <w:rsid w:val="00757DBB"/>
    <w:rsid w:val="007605A6"/>
    <w:rsid w:val="007612C7"/>
    <w:rsid w:val="00761496"/>
    <w:rsid w:val="00761682"/>
    <w:rsid w:val="0076236C"/>
    <w:rsid w:val="00763498"/>
    <w:rsid w:val="00763AB9"/>
    <w:rsid w:val="00764E1E"/>
    <w:rsid w:val="00765527"/>
    <w:rsid w:val="00765D80"/>
    <w:rsid w:val="00766734"/>
    <w:rsid w:val="00766EED"/>
    <w:rsid w:val="007671CE"/>
    <w:rsid w:val="007672A3"/>
    <w:rsid w:val="00771A0C"/>
    <w:rsid w:val="00774468"/>
    <w:rsid w:val="00775174"/>
    <w:rsid w:val="00780699"/>
    <w:rsid w:val="00780B6B"/>
    <w:rsid w:val="00782216"/>
    <w:rsid w:val="00784466"/>
    <w:rsid w:val="00784577"/>
    <w:rsid w:val="00786178"/>
    <w:rsid w:val="007872F2"/>
    <w:rsid w:val="00787A86"/>
    <w:rsid w:val="00791DD9"/>
    <w:rsid w:val="00792EC1"/>
    <w:rsid w:val="007947AA"/>
    <w:rsid w:val="007974D5"/>
    <w:rsid w:val="007A0A9B"/>
    <w:rsid w:val="007A1743"/>
    <w:rsid w:val="007A563C"/>
    <w:rsid w:val="007A684A"/>
    <w:rsid w:val="007A693E"/>
    <w:rsid w:val="007A6AEB"/>
    <w:rsid w:val="007B0114"/>
    <w:rsid w:val="007B01A1"/>
    <w:rsid w:val="007B06D8"/>
    <w:rsid w:val="007B1345"/>
    <w:rsid w:val="007B224A"/>
    <w:rsid w:val="007B3D9E"/>
    <w:rsid w:val="007B7FC3"/>
    <w:rsid w:val="007C042F"/>
    <w:rsid w:val="007C07A4"/>
    <w:rsid w:val="007C10F1"/>
    <w:rsid w:val="007C4383"/>
    <w:rsid w:val="007C54CF"/>
    <w:rsid w:val="007C7529"/>
    <w:rsid w:val="007C7542"/>
    <w:rsid w:val="007D0129"/>
    <w:rsid w:val="007D167C"/>
    <w:rsid w:val="007D3195"/>
    <w:rsid w:val="007D4408"/>
    <w:rsid w:val="007D5651"/>
    <w:rsid w:val="007D798F"/>
    <w:rsid w:val="007E26D4"/>
    <w:rsid w:val="007E2E09"/>
    <w:rsid w:val="007E4A38"/>
    <w:rsid w:val="007E4FC0"/>
    <w:rsid w:val="007E5582"/>
    <w:rsid w:val="007E6EC4"/>
    <w:rsid w:val="007E784B"/>
    <w:rsid w:val="007F01CC"/>
    <w:rsid w:val="007F026A"/>
    <w:rsid w:val="007F460D"/>
    <w:rsid w:val="007F5B13"/>
    <w:rsid w:val="007F718E"/>
    <w:rsid w:val="007F76D9"/>
    <w:rsid w:val="0080044C"/>
    <w:rsid w:val="00800DA5"/>
    <w:rsid w:val="0080177E"/>
    <w:rsid w:val="0080457E"/>
    <w:rsid w:val="00805561"/>
    <w:rsid w:val="008057ED"/>
    <w:rsid w:val="00812133"/>
    <w:rsid w:val="00814337"/>
    <w:rsid w:val="008161C6"/>
    <w:rsid w:val="008218E9"/>
    <w:rsid w:val="00823B3F"/>
    <w:rsid w:val="00825F62"/>
    <w:rsid w:val="0082741E"/>
    <w:rsid w:val="00827FEA"/>
    <w:rsid w:val="00830304"/>
    <w:rsid w:val="008304B0"/>
    <w:rsid w:val="0083120A"/>
    <w:rsid w:val="00831EB3"/>
    <w:rsid w:val="00831F89"/>
    <w:rsid w:val="0083239E"/>
    <w:rsid w:val="00832487"/>
    <w:rsid w:val="00832F25"/>
    <w:rsid w:val="0083383A"/>
    <w:rsid w:val="00834272"/>
    <w:rsid w:val="00834CCC"/>
    <w:rsid w:val="008403E0"/>
    <w:rsid w:val="00841C9B"/>
    <w:rsid w:val="00841D94"/>
    <w:rsid w:val="00841F97"/>
    <w:rsid w:val="00842883"/>
    <w:rsid w:val="008437B4"/>
    <w:rsid w:val="00843A06"/>
    <w:rsid w:val="00844606"/>
    <w:rsid w:val="00852557"/>
    <w:rsid w:val="008558E0"/>
    <w:rsid w:val="00861ED1"/>
    <w:rsid w:val="00864064"/>
    <w:rsid w:val="008648B4"/>
    <w:rsid w:val="00864BF2"/>
    <w:rsid w:val="00866FE8"/>
    <w:rsid w:val="0087019A"/>
    <w:rsid w:val="00872517"/>
    <w:rsid w:val="0087529D"/>
    <w:rsid w:val="00876A75"/>
    <w:rsid w:val="008776B4"/>
    <w:rsid w:val="00877CD8"/>
    <w:rsid w:val="008803E8"/>
    <w:rsid w:val="00880683"/>
    <w:rsid w:val="008823F6"/>
    <w:rsid w:val="00882F9A"/>
    <w:rsid w:val="00883B5C"/>
    <w:rsid w:val="00884329"/>
    <w:rsid w:val="00885696"/>
    <w:rsid w:val="00885B39"/>
    <w:rsid w:val="00885BD7"/>
    <w:rsid w:val="00885CD2"/>
    <w:rsid w:val="0088645D"/>
    <w:rsid w:val="008869A8"/>
    <w:rsid w:val="008902D2"/>
    <w:rsid w:val="00891BE5"/>
    <w:rsid w:val="00893545"/>
    <w:rsid w:val="0089645A"/>
    <w:rsid w:val="00896950"/>
    <w:rsid w:val="008A2BA0"/>
    <w:rsid w:val="008A2D4A"/>
    <w:rsid w:val="008A2E62"/>
    <w:rsid w:val="008A33DF"/>
    <w:rsid w:val="008A3608"/>
    <w:rsid w:val="008A45F9"/>
    <w:rsid w:val="008A5CA3"/>
    <w:rsid w:val="008A5D21"/>
    <w:rsid w:val="008A6D34"/>
    <w:rsid w:val="008A6F07"/>
    <w:rsid w:val="008A7EBF"/>
    <w:rsid w:val="008B4C23"/>
    <w:rsid w:val="008B5782"/>
    <w:rsid w:val="008B704F"/>
    <w:rsid w:val="008C1135"/>
    <w:rsid w:val="008C127E"/>
    <w:rsid w:val="008C1AA9"/>
    <w:rsid w:val="008C1BBE"/>
    <w:rsid w:val="008C3133"/>
    <w:rsid w:val="008C3D56"/>
    <w:rsid w:val="008D2932"/>
    <w:rsid w:val="008D6DF8"/>
    <w:rsid w:val="008E098E"/>
    <w:rsid w:val="008E4E0E"/>
    <w:rsid w:val="008E554D"/>
    <w:rsid w:val="008E6AA4"/>
    <w:rsid w:val="008F0280"/>
    <w:rsid w:val="008F22DE"/>
    <w:rsid w:val="008F3326"/>
    <w:rsid w:val="008F35CE"/>
    <w:rsid w:val="008F4BE0"/>
    <w:rsid w:val="008F4E58"/>
    <w:rsid w:val="008F5204"/>
    <w:rsid w:val="008F6483"/>
    <w:rsid w:val="008F6B9D"/>
    <w:rsid w:val="008F7061"/>
    <w:rsid w:val="008F717B"/>
    <w:rsid w:val="00900872"/>
    <w:rsid w:val="00901B84"/>
    <w:rsid w:val="00901C3A"/>
    <w:rsid w:val="009052C9"/>
    <w:rsid w:val="00905306"/>
    <w:rsid w:val="00907891"/>
    <w:rsid w:val="009102E3"/>
    <w:rsid w:val="00911681"/>
    <w:rsid w:val="00911E15"/>
    <w:rsid w:val="0091237B"/>
    <w:rsid w:val="00915485"/>
    <w:rsid w:val="00916184"/>
    <w:rsid w:val="009165F1"/>
    <w:rsid w:val="00920024"/>
    <w:rsid w:val="00920B91"/>
    <w:rsid w:val="0092158A"/>
    <w:rsid w:val="00922C9E"/>
    <w:rsid w:val="00923A45"/>
    <w:rsid w:val="00923D05"/>
    <w:rsid w:val="009254B8"/>
    <w:rsid w:val="00926267"/>
    <w:rsid w:val="009275C2"/>
    <w:rsid w:val="00927CC9"/>
    <w:rsid w:val="00931460"/>
    <w:rsid w:val="00932950"/>
    <w:rsid w:val="00933C62"/>
    <w:rsid w:val="00937667"/>
    <w:rsid w:val="00944A60"/>
    <w:rsid w:val="009450DA"/>
    <w:rsid w:val="00947289"/>
    <w:rsid w:val="00950EC5"/>
    <w:rsid w:val="00952214"/>
    <w:rsid w:val="009545B4"/>
    <w:rsid w:val="00954AB8"/>
    <w:rsid w:val="009558F3"/>
    <w:rsid w:val="009559C4"/>
    <w:rsid w:val="00957A12"/>
    <w:rsid w:val="00957E9D"/>
    <w:rsid w:val="00961780"/>
    <w:rsid w:val="00962E00"/>
    <w:rsid w:val="00967B45"/>
    <w:rsid w:val="0097030B"/>
    <w:rsid w:val="009705E2"/>
    <w:rsid w:val="00971A2F"/>
    <w:rsid w:val="00971EBE"/>
    <w:rsid w:val="00972AAC"/>
    <w:rsid w:val="00974645"/>
    <w:rsid w:val="0097498F"/>
    <w:rsid w:val="009766EB"/>
    <w:rsid w:val="009770AA"/>
    <w:rsid w:val="00986CCA"/>
    <w:rsid w:val="009963AE"/>
    <w:rsid w:val="00997217"/>
    <w:rsid w:val="009A05B9"/>
    <w:rsid w:val="009A118F"/>
    <w:rsid w:val="009A14DD"/>
    <w:rsid w:val="009A159D"/>
    <w:rsid w:val="009A1AFE"/>
    <w:rsid w:val="009A1C9E"/>
    <w:rsid w:val="009A2444"/>
    <w:rsid w:val="009A24DE"/>
    <w:rsid w:val="009A65F9"/>
    <w:rsid w:val="009A6E39"/>
    <w:rsid w:val="009A73AF"/>
    <w:rsid w:val="009B0E7F"/>
    <w:rsid w:val="009B120E"/>
    <w:rsid w:val="009B1CCF"/>
    <w:rsid w:val="009B22E5"/>
    <w:rsid w:val="009B3CF7"/>
    <w:rsid w:val="009B6338"/>
    <w:rsid w:val="009B7AE7"/>
    <w:rsid w:val="009B7D12"/>
    <w:rsid w:val="009C051E"/>
    <w:rsid w:val="009C0E10"/>
    <w:rsid w:val="009C1EC8"/>
    <w:rsid w:val="009C200D"/>
    <w:rsid w:val="009C34B8"/>
    <w:rsid w:val="009C545D"/>
    <w:rsid w:val="009C681A"/>
    <w:rsid w:val="009D1090"/>
    <w:rsid w:val="009D13B1"/>
    <w:rsid w:val="009D3018"/>
    <w:rsid w:val="009D4854"/>
    <w:rsid w:val="009D4CF3"/>
    <w:rsid w:val="009D6E7C"/>
    <w:rsid w:val="009E08B4"/>
    <w:rsid w:val="009E0976"/>
    <w:rsid w:val="009E0BB9"/>
    <w:rsid w:val="009E255D"/>
    <w:rsid w:val="009E2D2C"/>
    <w:rsid w:val="009E3E60"/>
    <w:rsid w:val="009E4474"/>
    <w:rsid w:val="009E525A"/>
    <w:rsid w:val="009E56ED"/>
    <w:rsid w:val="009F5DD3"/>
    <w:rsid w:val="009F6F90"/>
    <w:rsid w:val="00A050F9"/>
    <w:rsid w:val="00A1021A"/>
    <w:rsid w:val="00A10AEB"/>
    <w:rsid w:val="00A11641"/>
    <w:rsid w:val="00A14FD0"/>
    <w:rsid w:val="00A152AE"/>
    <w:rsid w:val="00A16A23"/>
    <w:rsid w:val="00A21479"/>
    <w:rsid w:val="00A22226"/>
    <w:rsid w:val="00A236C8"/>
    <w:rsid w:val="00A24256"/>
    <w:rsid w:val="00A246C3"/>
    <w:rsid w:val="00A2517A"/>
    <w:rsid w:val="00A257DB"/>
    <w:rsid w:val="00A30B24"/>
    <w:rsid w:val="00A30BCA"/>
    <w:rsid w:val="00A31D97"/>
    <w:rsid w:val="00A32891"/>
    <w:rsid w:val="00A329DB"/>
    <w:rsid w:val="00A33A2C"/>
    <w:rsid w:val="00A3416A"/>
    <w:rsid w:val="00A358F1"/>
    <w:rsid w:val="00A361C3"/>
    <w:rsid w:val="00A367A5"/>
    <w:rsid w:val="00A37E67"/>
    <w:rsid w:val="00A40C40"/>
    <w:rsid w:val="00A41629"/>
    <w:rsid w:val="00A43395"/>
    <w:rsid w:val="00A45077"/>
    <w:rsid w:val="00A50689"/>
    <w:rsid w:val="00A509AD"/>
    <w:rsid w:val="00A51147"/>
    <w:rsid w:val="00A516E3"/>
    <w:rsid w:val="00A51AA5"/>
    <w:rsid w:val="00A520CD"/>
    <w:rsid w:val="00A52D57"/>
    <w:rsid w:val="00A54FE6"/>
    <w:rsid w:val="00A556ED"/>
    <w:rsid w:val="00A577A6"/>
    <w:rsid w:val="00A57B2C"/>
    <w:rsid w:val="00A60B91"/>
    <w:rsid w:val="00A60DA1"/>
    <w:rsid w:val="00A61F4E"/>
    <w:rsid w:val="00A66DA8"/>
    <w:rsid w:val="00A717E0"/>
    <w:rsid w:val="00A722CB"/>
    <w:rsid w:val="00A73615"/>
    <w:rsid w:val="00A7447E"/>
    <w:rsid w:val="00A745F3"/>
    <w:rsid w:val="00A75A54"/>
    <w:rsid w:val="00A7640B"/>
    <w:rsid w:val="00A82045"/>
    <w:rsid w:val="00A823CA"/>
    <w:rsid w:val="00A824E1"/>
    <w:rsid w:val="00A82D7E"/>
    <w:rsid w:val="00A82DCB"/>
    <w:rsid w:val="00A84E0A"/>
    <w:rsid w:val="00A85234"/>
    <w:rsid w:val="00A8607F"/>
    <w:rsid w:val="00A9374C"/>
    <w:rsid w:val="00A94017"/>
    <w:rsid w:val="00A94C8B"/>
    <w:rsid w:val="00A95502"/>
    <w:rsid w:val="00A96723"/>
    <w:rsid w:val="00A96F55"/>
    <w:rsid w:val="00A97634"/>
    <w:rsid w:val="00AA0141"/>
    <w:rsid w:val="00AA1D60"/>
    <w:rsid w:val="00AA457A"/>
    <w:rsid w:val="00AA5511"/>
    <w:rsid w:val="00AA556C"/>
    <w:rsid w:val="00AA55F4"/>
    <w:rsid w:val="00AB15EE"/>
    <w:rsid w:val="00AB16BD"/>
    <w:rsid w:val="00AB1A40"/>
    <w:rsid w:val="00AB2BD5"/>
    <w:rsid w:val="00AB4B08"/>
    <w:rsid w:val="00AB6A36"/>
    <w:rsid w:val="00AC060A"/>
    <w:rsid w:val="00AC1654"/>
    <w:rsid w:val="00AC1D2C"/>
    <w:rsid w:val="00AC223D"/>
    <w:rsid w:val="00AC2C5C"/>
    <w:rsid w:val="00AC2D18"/>
    <w:rsid w:val="00AC3436"/>
    <w:rsid w:val="00AC3667"/>
    <w:rsid w:val="00AC4D29"/>
    <w:rsid w:val="00AC623D"/>
    <w:rsid w:val="00AC7042"/>
    <w:rsid w:val="00AD1241"/>
    <w:rsid w:val="00AD26B9"/>
    <w:rsid w:val="00AD36B5"/>
    <w:rsid w:val="00AD3D27"/>
    <w:rsid w:val="00AD4812"/>
    <w:rsid w:val="00AD5047"/>
    <w:rsid w:val="00AD67AD"/>
    <w:rsid w:val="00AE0ACB"/>
    <w:rsid w:val="00AE12C7"/>
    <w:rsid w:val="00AE19E2"/>
    <w:rsid w:val="00AE1D82"/>
    <w:rsid w:val="00AE217F"/>
    <w:rsid w:val="00AE457D"/>
    <w:rsid w:val="00AE55C0"/>
    <w:rsid w:val="00AE5A5C"/>
    <w:rsid w:val="00AE617C"/>
    <w:rsid w:val="00AE74B1"/>
    <w:rsid w:val="00AF0A6E"/>
    <w:rsid w:val="00AF3DBA"/>
    <w:rsid w:val="00AF4B9E"/>
    <w:rsid w:val="00AF6DFA"/>
    <w:rsid w:val="00B03921"/>
    <w:rsid w:val="00B04CE4"/>
    <w:rsid w:val="00B06834"/>
    <w:rsid w:val="00B070B7"/>
    <w:rsid w:val="00B072C8"/>
    <w:rsid w:val="00B11D57"/>
    <w:rsid w:val="00B13E21"/>
    <w:rsid w:val="00B14515"/>
    <w:rsid w:val="00B16BCF"/>
    <w:rsid w:val="00B17186"/>
    <w:rsid w:val="00B22A30"/>
    <w:rsid w:val="00B24237"/>
    <w:rsid w:val="00B2426C"/>
    <w:rsid w:val="00B254FB"/>
    <w:rsid w:val="00B30196"/>
    <w:rsid w:val="00B34673"/>
    <w:rsid w:val="00B348E1"/>
    <w:rsid w:val="00B34FFB"/>
    <w:rsid w:val="00B3544A"/>
    <w:rsid w:val="00B37309"/>
    <w:rsid w:val="00B41370"/>
    <w:rsid w:val="00B41409"/>
    <w:rsid w:val="00B41F91"/>
    <w:rsid w:val="00B44677"/>
    <w:rsid w:val="00B45A0A"/>
    <w:rsid w:val="00B46BF8"/>
    <w:rsid w:val="00B47977"/>
    <w:rsid w:val="00B479A1"/>
    <w:rsid w:val="00B479C7"/>
    <w:rsid w:val="00B47F21"/>
    <w:rsid w:val="00B5106C"/>
    <w:rsid w:val="00B52214"/>
    <w:rsid w:val="00B532C7"/>
    <w:rsid w:val="00B55B20"/>
    <w:rsid w:val="00B56133"/>
    <w:rsid w:val="00B617EA"/>
    <w:rsid w:val="00B61DED"/>
    <w:rsid w:val="00B624F2"/>
    <w:rsid w:val="00B63C36"/>
    <w:rsid w:val="00B660D2"/>
    <w:rsid w:val="00B66254"/>
    <w:rsid w:val="00B67BD8"/>
    <w:rsid w:val="00B67F8F"/>
    <w:rsid w:val="00B70C77"/>
    <w:rsid w:val="00B7263A"/>
    <w:rsid w:val="00B73DE1"/>
    <w:rsid w:val="00B763F1"/>
    <w:rsid w:val="00B802A1"/>
    <w:rsid w:val="00B806D3"/>
    <w:rsid w:val="00B83E81"/>
    <w:rsid w:val="00B8516A"/>
    <w:rsid w:val="00B857B9"/>
    <w:rsid w:val="00B86965"/>
    <w:rsid w:val="00B923EE"/>
    <w:rsid w:val="00B938C9"/>
    <w:rsid w:val="00B9561F"/>
    <w:rsid w:val="00B976D1"/>
    <w:rsid w:val="00BA0FE6"/>
    <w:rsid w:val="00BA1434"/>
    <w:rsid w:val="00BA2136"/>
    <w:rsid w:val="00BA23E3"/>
    <w:rsid w:val="00BA3524"/>
    <w:rsid w:val="00BA55C4"/>
    <w:rsid w:val="00BA5AD0"/>
    <w:rsid w:val="00BA6703"/>
    <w:rsid w:val="00BB0540"/>
    <w:rsid w:val="00BB10A8"/>
    <w:rsid w:val="00BB1B0E"/>
    <w:rsid w:val="00BB366F"/>
    <w:rsid w:val="00BB43EF"/>
    <w:rsid w:val="00BB7212"/>
    <w:rsid w:val="00BB7AC9"/>
    <w:rsid w:val="00BC5470"/>
    <w:rsid w:val="00BD013F"/>
    <w:rsid w:val="00BD2B87"/>
    <w:rsid w:val="00BD38C9"/>
    <w:rsid w:val="00BD4C76"/>
    <w:rsid w:val="00BD5FC1"/>
    <w:rsid w:val="00BD6329"/>
    <w:rsid w:val="00BD64F5"/>
    <w:rsid w:val="00BE0FDE"/>
    <w:rsid w:val="00BE140B"/>
    <w:rsid w:val="00BE3A40"/>
    <w:rsid w:val="00BE4D0E"/>
    <w:rsid w:val="00BE5080"/>
    <w:rsid w:val="00BE5FB8"/>
    <w:rsid w:val="00BE6F85"/>
    <w:rsid w:val="00BE7646"/>
    <w:rsid w:val="00BE772B"/>
    <w:rsid w:val="00BE774F"/>
    <w:rsid w:val="00BF07C6"/>
    <w:rsid w:val="00BF1FA2"/>
    <w:rsid w:val="00BF2F8A"/>
    <w:rsid w:val="00BF4247"/>
    <w:rsid w:val="00BF4925"/>
    <w:rsid w:val="00C0003C"/>
    <w:rsid w:val="00C0016D"/>
    <w:rsid w:val="00C014F6"/>
    <w:rsid w:val="00C01DA2"/>
    <w:rsid w:val="00C04227"/>
    <w:rsid w:val="00C04438"/>
    <w:rsid w:val="00C04BFE"/>
    <w:rsid w:val="00C06C1B"/>
    <w:rsid w:val="00C07E8D"/>
    <w:rsid w:val="00C07ED0"/>
    <w:rsid w:val="00C11B80"/>
    <w:rsid w:val="00C122B9"/>
    <w:rsid w:val="00C16CFA"/>
    <w:rsid w:val="00C20D04"/>
    <w:rsid w:val="00C21D9F"/>
    <w:rsid w:val="00C222B1"/>
    <w:rsid w:val="00C226B1"/>
    <w:rsid w:val="00C22E39"/>
    <w:rsid w:val="00C23226"/>
    <w:rsid w:val="00C2391F"/>
    <w:rsid w:val="00C315B9"/>
    <w:rsid w:val="00C31BFE"/>
    <w:rsid w:val="00C326F8"/>
    <w:rsid w:val="00C335C4"/>
    <w:rsid w:val="00C34176"/>
    <w:rsid w:val="00C34DA4"/>
    <w:rsid w:val="00C35CF5"/>
    <w:rsid w:val="00C35E06"/>
    <w:rsid w:val="00C367F9"/>
    <w:rsid w:val="00C3697A"/>
    <w:rsid w:val="00C401B7"/>
    <w:rsid w:val="00C418B6"/>
    <w:rsid w:val="00C4251F"/>
    <w:rsid w:val="00C4261F"/>
    <w:rsid w:val="00C46541"/>
    <w:rsid w:val="00C5256F"/>
    <w:rsid w:val="00C52625"/>
    <w:rsid w:val="00C52F5D"/>
    <w:rsid w:val="00C54098"/>
    <w:rsid w:val="00C54169"/>
    <w:rsid w:val="00C56653"/>
    <w:rsid w:val="00C608E1"/>
    <w:rsid w:val="00C6228F"/>
    <w:rsid w:val="00C65375"/>
    <w:rsid w:val="00C658BA"/>
    <w:rsid w:val="00C6665E"/>
    <w:rsid w:val="00C673F9"/>
    <w:rsid w:val="00C67E23"/>
    <w:rsid w:val="00C712AF"/>
    <w:rsid w:val="00C71BCD"/>
    <w:rsid w:val="00C7399D"/>
    <w:rsid w:val="00C75F1C"/>
    <w:rsid w:val="00C76358"/>
    <w:rsid w:val="00C7695A"/>
    <w:rsid w:val="00C7700F"/>
    <w:rsid w:val="00C7728C"/>
    <w:rsid w:val="00C802C1"/>
    <w:rsid w:val="00C81467"/>
    <w:rsid w:val="00C822C2"/>
    <w:rsid w:val="00C83B74"/>
    <w:rsid w:val="00C86407"/>
    <w:rsid w:val="00C864EA"/>
    <w:rsid w:val="00C92190"/>
    <w:rsid w:val="00C9398C"/>
    <w:rsid w:val="00C948F4"/>
    <w:rsid w:val="00C966FA"/>
    <w:rsid w:val="00C96AD2"/>
    <w:rsid w:val="00C96FF6"/>
    <w:rsid w:val="00C97DB3"/>
    <w:rsid w:val="00CA199C"/>
    <w:rsid w:val="00CA2047"/>
    <w:rsid w:val="00CA3BE7"/>
    <w:rsid w:val="00CA3F87"/>
    <w:rsid w:val="00CA4234"/>
    <w:rsid w:val="00CA4DFC"/>
    <w:rsid w:val="00CA634D"/>
    <w:rsid w:val="00CA681C"/>
    <w:rsid w:val="00CA74A3"/>
    <w:rsid w:val="00CA7CDE"/>
    <w:rsid w:val="00CB06E5"/>
    <w:rsid w:val="00CB1209"/>
    <w:rsid w:val="00CB3BBD"/>
    <w:rsid w:val="00CB44CB"/>
    <w:rsid w:val="00CB4D07"/>
    <w:rsid w:val="00CB675D"/>
    <w:rsid w:val="00CC10A3"/>
    <w:rsid w:val="00CC2045"/>
    <w:rsid w:val="00CC2BB7"/>
    <w:rsid w:val="00CC2F48"/>
    <w:rsid w:val="00CC44D9"/>
    <w:rsid w:val="00CD24EE"/>
    <w:rsid w:val="00CD2859"/>
    <w:rsid w:val="00CD2F9E"/>
    <w:rsid w:val="00CD35D4"/>
    <w:rsid w:val="00CD60E2"/>
    <w:rsid w:val="00CD7CC0"/>
    <w:rsid w:val="00CD7CD9"/>
    <w:rsid w:val="00CE0BFD"/>
    <w:rsid w:val="00CE4DE3"/>
    <w:rsid w:val="00CE4F81"/>
    <w:rsid w:val="00CE5A75"/>
    <w:rsid w:val="00CE604F"/>
    <w:rsid w:val="00CE6C46"/>
    <w:rsid w:val="00CF15D4"/>
    <w:rsid w:val="00CF297E"/>
    <w:rsid w:val="00CF417D"/>
    <w:rsid w:val="00D00C42"/>
    <w:rsid w:val="00D00F19"/>
    <w:rsid w:val="00D00F99"/>
    <w:rsid w:val="00D01EE4"/>
    <w:rsid w:val="00D026CF"/>
    <w:rsid w:val="00D03238"/>
    <w:rsid w:val="00D0372A"/>
    <w:rsid w:val="00D0442D"/>
    <w:rsid w:val="00D0459B"/>
    <w:rsid w:val="00D04714"/>
    <w:rsid w:val="00D1062D"/>
    <w:rsid w:val="00D14536"/>
    <w:rsid w:val="00D145E7"/>
    <w:rsid w:val="00D169AE"/>
    <w:rsid w:val="00D17C3F"/>
    <w:rsid w:val="00D2281F"/>
    <w:rsid w:val="00D2376A"/>
    <w:rsid w:val="00D23EB5"/>
    <w:rsid w:val="00D2448B"/>
    <w:rsid w:val="00D24990"/>
    <w:rsid w:val="00D24DE3"/>
    <w:rsid w:val="00D258EC"/>
    <w:rsid w:val="00D27403"/>
    <w:rsid w:val="00D27555"/>
    <w:rsid w:val="00D305C0"/>
    <w:rsid w:val="00D3301D"/>
    <w:rsid w:val="00D35BEE"/>
    <w:rsid w:val="00D35EEF"/>
    <w:rsid w:val="00D3739A"/>
    <w:rsid w:val="00D40459"/>
    <w:rsid w:val="00D405E9"/>
    <w:rsid w:val="00D42A1D"/>
    <w:rsid w:val="00D4394F"/>
    <w:rsid w:val="00D43BC8"/>
    <w:rsid w:val="00D44142"/>
    <w:rsid w:val="00D463C2"/>
    <w:rsid w:val="00D53F08"/>
    <w:rsid w:val="00D54FA2"/>
    <w:rsid w:val="00D55B21"/>
    <w:rsid w:val="00D55D02"/>
    <w:rsid w:val="00D566A9"/>
    <w:rsid w:val="00D57F50"/>
    <w:rsid w:val="00D615FF"/>
    <w:rsid w:val="00D62D6B"/>
    <w:rsid w:val="00D6450A"/>
    <w:rsid w:val="00D65DC2"/>
    <w:rsid w:val="00D66B31"/>
    <w:rsid w:val="00D67F2F"/>
    <w:rsid w:val="00D73C44"/>
    <w:rsid w:val="00D74776"/>
    <w:rsid w:val="00D76162"/>
    <w:rsid w:val="00D76789"/>
    <w:rsid w:val="00D776F8"/>
    <w:rsid w:val="00D80478"/>
    <w:rsid w:val="00D80C66"/>
    <w:rsid w:val="00D811FB"/>
    <w:rsid w:val="00D8140E"/>
    <w:rsid w:val="00D825C8"/>
    <w:rsid w:val="00D82FCD"/>
    <w:rsid w:val="00D83AF9"/>
    <w:rsid w:val="00D85ADF"/>
    <w:rsid w:val="00D865A8"/>
    <w:rsid w:val="00D86F7C"/>
    <w:rsid w:val="00D879D3"/>
    <w:rsid w:val="00D9037C"/>
    <w:rsid w:val="00D92FA7"/>
    <w:rsid w:val="00D93E04"/>
    <w:rsid w:val="00DA05A8"/>
    <w:rsid w:val="00DA1623"/>
    <w:rsid w:val="00DA2267"/>
    <w:rsid w:val="00DA24CA"/>
    <w:rsid w:val="00DA2859"/>
    <w:rsid w:val="00DA3F45"/>
    <w:rsid w:val="00DA455A"/>
    <w:rsid w:val="00DA6461"/>
    <w:rsid w:val="00DA7990"/>
    <w:rsid w:val="00DB124A"/>
    <w:rsid w:val="00DB292C"/>
    <w:rsid w:val="00DB3338"/>
    <w:rsid w:val="00DB33B2"/>
    <w:rsid w:val="00DB3B64"/>
    <w:rsid w:val="00DB3CC7"/>
    <w:rsid w:val="00DB54D5"/>
    <w:rsid w:val="00DB674A"/>
    <w:rsid w:val="00DB6959"/>
    <w:rsid w:val="00DB6D9E"/>
    <w:rsid w:val="00DB7789"/>
    <w:rsid w:val="00DB7D7A"/>
    <w:rsid w:val="00DC0C50"/>
    <w:rsid w:val="00DC1EE7"/>
    <w:rsid w:val="00DC2705"/>
    <w:rsid w:val="00DC2CE0"/>
    <w:rsid w:val="00DC2ED9"/>
    <w:rsid w:val="00DC30CC"/>
    <w:rsid w:val="00DC3F09"/>
    <w:rsid w:val="00DC3F15"/>
    <w:rsid w:val="00DD13FF"/>
    <w:rsid w:val="00DD26DC"/>
    <w:rsid w:val="00DD2C64"/>
    <w:rsid w:val="00DD35F1"/>
    <w:rsid w:val="00DD5B6C"/>
    <w:rsid w:val="00DD6724"/>
    <w:rsid w:val="00DD68F1"/>
    <w:rsid w:val="00DD6F64"/>
    <w:rsid w:val="00DD751F"/>
    <w:rsid w:val="00DD7707"/>
    <w:rsid w:val="00DE0986"/>
    <w:rsid w:val="00DE123D"/>
    <w:rsid w:val="00DE17A5"/>
    <w:rsid w:val="00DE52D8"/>
    <w:rsid w:val="00DE635F"/>
    <w:rsid w:val="00DE7F10"/>
    <w:rsid w:val="00DF08EF"/>
    <w:rsid w:val="00DF0B39"/>
    <w:rsid w:val="00DF0CB9"/>
    <w:rsid w:val="00DF0D88"/>
    <w:rsid w:val="00DF27CA"/>
    <w:rsid w:val="00DF415A"/>
    <w:rsid w:val="00DF5DDB"/>
    <w:rsid w:val="00DF6380"/>
    <w:rsid w:val="00E045DA"/>
    <w:rsid w:val="00E04CFE"/>
    <w:rsid w:val="00E0553D"/>
    <w:rsid w:val="00E107B2"/>
    <w:rsid w:val="00E11C6E"/>
    <w:rsid w:val="00E133FD"/>
    <w:rsid w:val="00E15467"/>
    <w:rsid w:val="00E15EDB"/>
    <w:rsid w:val="00E15F3B"/>
    <w:rsid w:val="00E1669F"/>
    <w:rsid w:val="00E16A64"/>
    <w:rsid w:val="00E20B75"/>
    <w:rsid w:val="00E23F02"/>
    <w:rsid w:val="00E24691"/>
    <w:rsid w:val="00E24B1B"/>
    <w:rsid w:val="00E2788B"/>
    <w:rsid w:val="00E33984"/>
    <w:rsid w:val="00E358A2"/>
    <w:rsid w:val="00E36D3C"/>
    <w:rsid w:val="00E377CD"/>
    <w:rsid w:val="00E408C4"/>
    <w:rsid w:val="00E44066"/>
    <w:rsid w:val="00E46CBA"/>
    <w:rsid w:val="00E50D1D"/>
    <w:rsid w:val="00E51B5F"/>
    <w:rsid w:val="00E524EF"/>
    <w:rsid w:val="00E54A4F"/>
    <w:rsid w:val="00E57477"/>
    <w:rsid w:val="00E6060B"/>
    <w:rsid w:val="00E61B34"/>
    <w:rsid w:val="00E61D02"/>
    <w:rsid w:val="00E62B07"/>
    <w:rsid w:val="00E62C6B"/>
    <w:rsid w:val="00E635BA"/>
    <w:rsid w:val="00E64227"/>
    <w:rsid w:val="00E70B35"/>
    <w:rsid w:val="00E7305C"/>
    <w:rsid w:val="00E7341B"/>
    <w:rsid w:val="00E74BC1"/>
    <w:rsid w:val="00E75726"/>
    <w:rsid w:val="00E7774A"/>
    <w:rsid w:val="00E80C6D"/>
    <w:rsid w:val="00E83E2E"/>
    <w:rsid w:val="00E856FF"/>
    <w:rsid w:val="00E85703"/>
    <w:rsid w:val="00E91436"/>
    <w:rsid w:val="00E9151D"/>
    <w:rsid w:val="00E9182F"/>
    <w:rsid w:val="00E93235"/>
    <w:rsid w:val="00E93B37"/>
    <w:rsid w:val="00E95678"/>
    <w:rsid w:val="00E959F7"/>
    <w:rsid w:val="00E9773F"/>
    <w:rsid w:val="00EA0E22"/>
    <w:rsid w:val="00EA126F"/>
    <w:rsid w:val="00EA3892"/>
    <w:rsid w:val="00EA3B0E"/>
    <w:rsid w:val="00EA5A1B"/>
    <w:rsid w:val="00EA71E7"/>
    <w:rsid w:val="00EA74C8"/>
    <w:rsid w:val="00EB1185"/>
    <w:rsid w:val="00EB1CE6"/>
    <w:rsid w:val="00EB24F5"/>
    <w:rsid w:val="00EB29D6"/>
    <w:rsid w:val="00EB2A10"/>
    <w:rsid w:val="00EB2E2E"/>
    <w:rsid w:val="00EB6D73"/>
    <w:rsid w:val="00EB715B"/>
    <w:rsid w:val="00EC0650"/>
    <w:rsid w:val="00EC2392"/>
    <w:rsid w:val="00EC25A5"/>
    <w:rsid w:val="00EC39CD"/>
    <w:rsid w:val="00EC44AD"/>
    <w:rsid w:val="00EC6E3A"/>
    <w:rsid w:val="00ED1A7B"/>
    <w:rsid w:val="00ED4165"/>
    <w:rsid w:val="00ED6116"/>
    <w:rsid w:val="00ED7C7F"/>
    <w:rsid w:val="00EE06BF"/>
    <w:rsid w:val="00EE23B0"/>
    <w:rsid w:val="00EE2AEB"/>
    <w:rsid w:val="00EE3C9E"/>
    <w:rsid w:val="00EE4898"/>
    <w:rsid w:val="00EE560A"/>
    <w:rsid w:val="00EE5B17"/>
    <w:rsid w:val="00EF07EC"/>
    <w:rsid w:val="00EF38D3"/>
    <w:rsid w:val="00EF3DBD"/>
    <w:rsid w:val="00EF542B"/>
    <w:rsid w:val="00EF7314"/>
    <w:rsid w:val="00EF79E4"/>
    <w:rsid w:val="00F00411"/>
    <w:rsid w:val="00F00AB3"/>
    <w:rsid w:val="00F02582"/>
    <w:rsid w:val="00F02DC5"/>
    <w:rsid w:val="00F03648"/>
    <w:rsid w:val="00F05B06"/>
    <w:rsid w:val="00F07AB5"/>
    <w:rsid w:val="00F113C4"/>
    <w:rsid w:val="00F11896"/>
    <w:rsid w:val="00F11FC1"/>
    <w:rsid w:val="00F12DEA"/>
    <w:rsid w:val="00F12F8F"/>
    <w:rsid w:val="00F13C63"/>
    <w:rsid w:val="00F13D20"/>
    <w:rsid w:val="00F158AD"/>
    <w:rsid w:val="00F15A79"/>
    <w:rsid w:val="00F15AFE"/>
    <w:rsid w:val="00F164CA"/>
    <w:rsid w:val="00F165C7"/>
    <w:rsid w:val="00F16A6B"/>
    <w:rsid w:val="00F177CF"/>
    <w:rsid w:val="00F20309"/>
    <w:rsid w:val="00F20575"/>
    <w:rsid w:val="00F20C03"/>
    <w:rsid w:val="00F211E4"/>
    <w:rsid w:val="00F21F40"/>
    <w:rsid w:val="00F25F34"/>
    <w:rsid w:val="00F2787D"/>
    <w:rsid w:val="00F30BE7"/>
    <w:rsid w:val="00F31058"/>
    <w:rsid w:val="00F31ADA"/>
    <w:rsid w:val="00F32664"/>
    <w:rsid w:val="00F331BD"/>
    <w:rsid w:val="00F3545E"/>
    <w:rsid w:val="00F37FCB"/>
    <w:rsid w:val="00F42775"/>
    <w:rsid w:val="00F459A6"/>
    <w:rsid w:val="00F47389"/>
    <w:rsid w:val="00F47397"/>
    <w:rsid w:val="00F476DC"/>
    <w:rsid w:val="00F47DC9"/>
    <w:rsid w:val="00F50502"/>
    <w:rsid w:val="00F507C0"/>
    <w:rsid w:val="00F509E1"/>
    <w:rsid w:val="00F538A2"/>
    <w:rsid w:val="00F5585D"/>
    <w:rsid w:val="00F56CDD"/>
    <w:rsid w:val="00F5769D"/>
    <w:rsid w:val="00F57E84"/>
    <w:rsid w:val="00F610F0"/>
    <w:rsid w:val="00F645F1"/>
    <w:rsid w:val="00F64C65"/>
    <w:rsid w:val="00F65556"/>
    <w:rsid w:val="00F702D6"/>
    <w:rsid w:val="00F730B3"/>
    <w:rsid w:val="00F73DC1"/>
    <w:rsid w:val="00F74303"/>
    <w:rsid w:val="00F766F0"/>
    <w:rsid w:val="00F816D2"/>
    <w:rsid w:val="00F81B17"/>
    <w:rsid w:val="00F82301"/>
    <w:rsid w:val="00F83263"/>
    <w:rsid w:val="00F83492"/>
    <w:rsid w:val="00F840E4"/>
    <w:rsid w:val="00F84425"/>
    <w:rsid w:val="00F854B1"/>
    <w:rsid w:val="00F866B1"/>
    <w:rsid w:val="00F904C9"/>
    <w:rsid w:val="00F9087D"/>
    <w:rsid w:val="00F91B4D"/>
    <w:rsid w:val="00F95625"/>
    <w:rsid w:val="00F96041"/>
    <w:rsid w:val="00F9624D"/>
    <w:rsid w:val="00F97367"/>
    <w:rsid w:val="00FA01DA"/>
    <w:rsid w:val="00FA09EE"/>
    <w:rsid w:val="00FA128B"/>
    <w:rsid w:val="00FA3139"/>
    <w:rsid w:val="00FA46AD"/>
    <w:rsid w:val="00FA5F06"/>
    <w:rsid w:val="00FA62D4"/>
    <w:rsid w:val="00FA69A4"/>
    <w:rsid w:val="00FA7C26"/>
    <w:rsid w:val="00FB3DCB"/>
    <w:rsid w:val="00FB444A"/>
    <w:rsid w:val="00FB44C7"/>
    <w:rsid w:val="00FB47F9"/>
    <w:rsid w:val="00FB561E"/>
    <w:rsid w:val="00FB781F"/>
    <w:rsid w:val="00FB7CBD"/>
    <w:rsid w:val="00FC35E4"/>
    <w:rsid w:val="00FC5217"/>
    <w:rsid w:val="00FC7EF8"/>
    <w:rsid w:val="00FD0B67"/>
    <w:rsid w:val="00FD1D28"/>
    <w:rsid w:val="00FD20C7"/>
    <w:rsid w:val="00FD2B9C"/>
    <w:rsid w:val="00FD2C0B"/>
    <w:rsid w:val="00FD5863"/>
    <w:rsid w:val="00FD6617"/>
    <w:rsid w:val="00FD6BDD"/>
    <w:rsid w:val="00FD6DC4"/>
    <w:rsid w:val="00FE1E10"/>
    <w:rsid w:val="00FE267A"/>
    <w:rsid w:val="00FE2EBA"/>
    <w:rsid w:val="00FE529C"/>
    <w:rsid w:val="00FF08C2"/>
    <w:rsid w:val="00FF1F55"/>
    <w:rsid w:val="00FF3034"/>
    <w:rsid w:val="00FF4C11"/>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CE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58"/>
    <w:pPr>
      <w:spacing w:after="200" w:line="276" w:lineRule="auto"/>
    </w:pPr>
    <w:rPr>
      <w:rFonts w:asciiTheme="minorHAnsi" w:eastAsiaTheme="minorEastAsia" w:hAnsiTheme="minorHAnsi" w:cstheme="minorBidi"/>
      <w:sz w:val="22"/>
      <w:szCs w:val="22"/>
      <w:lang w:bidi="ar-SA"/>
    </w:rPr>
  </w:style>
  <w:style w:type="paragraph" w:styleId="Heading1">
    <w:name w:val="heading 1"/>
    <w:basedOn w:val="Normal"/>
    <w:next w:val="FERCparanumber"/>
    <w:link w:val="Heading1Char"/>
    <w:uiPriority w:val="9"/>
    <w:qFormat/>
    <w:rsid w:val="002B4D58"/>
    <w:pPr>
      <w:keepNext/>
      <w:keepLines/>
      <w:numPr>
        <w:numId w:val="12"/>
      </w:numPr>
      <w:spacing w:before="240" w:after="240"/>
      <w:outlineLvl w:val="0"/>
    </w:pPr>
    <w:rPr>
      <w:rFonts w:ascii="Times New Roman" w:hAnsi="Times New Roman"/>
      <w:b/>
      <w:bCs/>
      <w:kern w:val="32"/>
      <w:sz w:val="26"/>
      <w:szCs w:val="32"/>
      <w:u w:val="single"/>
    </w:rPr>
  </w:style>
  <w:style w:type="paragraph" w:styleId="Heading2">
    <w:name w:val="heading 2"/>
    <w:basedOn w:val="Normal"/>
    <w:next w:val="FERCparanumber"/>
    <w:link w:val="Heading2Char"/>
    <w:uiPriority w:val="9"/>
    <w:qFormat/>
    <w:rsid w:val="00E23F02"/>
    <w:pPr>
      <w:keepNext/>
      <w:keepLines/>
      <w:numPr>
        <w:ilvl w:val="1"/>
        <w:numId w:val="12"/>
      </w:numPr>
      <w:spacing w:before="120" w:after="260"/>
      <w:outlineLvl w:val="1"/>
    </w:pPr>
    <w:rPr>
      <w:rFonts w:ascii="Times New Roman" w:hAnsi="Times New Roman"/>
      <w:b/>
      <w:bCs/>
      <w:iCs/>
      <w:kern w:val="32"/>
      <w:sz w:val="26"/>
      <w:szCs w:val="28"/>
      <w:u w:val="single"/>
    </w:rPr>
  </w:style>
  <w:style w:type="paragraph" w:styleId="Heading3">
    <w:name w:val="heading 3"/>
    <w:basedOn w:val="Normal"/>
    <w:next w:val="FERCparanumber"/>
    <w:link w:val="Heading3Char"/>
    <w:uiPriority w:val="9"/>
    <w:qFormat/>
    <w:rsid w:val="002B4D58"/>
    <w:pPr>
      <w:keepNext/>
      <w:keepLines/>
      <w:numPr>
        <w:ilvl w:val="2"/>
        <w:numId w:val="12"/>
      </w:numPr>
      <w:spacing w:after="260"/>
      <w:outlineLvl w:val="2"/>
    </w:pPr>
    <w:rPr>
      <w:rFonts w:ascii="Times New Roman" w:hAnsi="Times New Roman"/>
      <w:b/>
      <w:bCs/>
      <w:kern w:val="32"/>
      <w:sz w:val="26"/>
      <w:szCs w:val="26"/>
      <w:u w:val="single"/>
    </w:rPr>
  </w:style>
  <w:style w:type="paragraph" w:styleId="Heading4">
    <w:name w:val="heading 4"/>
    <w:basedOn w:val="Normal"/>
    <w:next w:val="FERCparanumber"/>
    <w:link w:val="Heading4Char"/>
    <w:uiPriority w:val="9"/>
    <w:qFormat/>
    <w:rsid w:val="002B4D58"/>
    <w:pPr>
      <w:keepNext/>
      <w:keepLines/>
      <w:numPr>
        <w:ilvl w:val="3"/>
        <w:numId w:val="12"/>
      </w:numPr>
      <w:spacing w:after="260"/>
      <w:outlineLvl w:val="3"/>
    </w:pPr>
    <w:rPr>
      <w:rFonts w:ascii="Times New Roman" w:hAnsi="Times New Roman"/>
      <w:b/>
      <w:bCs/>
      <w:kern w:val="32"/>
      <w:sz w:val="26"/>
      <w:szCs w:val="28"/>
      <w:u w:val="single"/>
    </w:rPr>
  </w:style>
  <w:style w:type="paragraph" w:styleId="Heading5">
    <w:name w:val="heading 5"/>
    <w:basedOn w:val="Normal"/>
    <w:next w:val="FERCparanumber"/>
    <w:link w:val="Heading5Char"/>
    <w:uiPriority w:val="9"/>
    <w:qFormat/>
    <w:rsid w:val="00566E31"/>
    <w:pPr>
      <w:keepNext/>
      <w:keepLines/>
      <w:numPr>
        <w:ilvl w:val="4"/>
        <w:numId w:val="12"/>
      </w:numPr>
      <w:spacing w:after="260"/>
      <w:outlineLvl w:val="4"/>
    </w:pPr>
    <w:rPr>
      <w:b/>
      <w:bCs/>
      <w:iCs/>
      <w:kern w:val="32"/>
      <w:szCs w:val="26"/>
      <w:u w:val="single"/>
    </w:rPr>
  </w:style>
  <w:style w:type="paragraph" w:styleId="Heading6">
    <w:name w:val="heading 6"/>
    <w:basedOn w:val="Normal"/>
    <w:next w:val="FERCparanumber"/>
    <w:link w:val="Heading6Char"/>
    <w:uiPriority w:val="9"/>
    <w:qFormat/>
    <w:rsid w:val="00566E31"/>
    <w:pPr>
      <w:keepNext/>
      <w:keepLines/>
      <w:numPr>
        <w:ilvl w:val="5"/>
        <w:numId w:val="12"/>
      </w:numPr>
      <w:spacing w:after="260"/>
      <w:outlineLvl w:val="5"/>
    </w:pPr>
    <w:rPr>
      <w:b/>
      <w:bCs/>
      <w:kern w:val="32"/>
      <w:u w:val="single"/>
    </w:rPr>
  </w:style>
  <w:style w:type="paragraph" w:styleId="Heading7">
    <w:name w:val="heading 7"/>
    <w:basedOn w:val="Normal"/>
    <w:next w:val="FERCparanumber"/>
    <w:link w:val="Heading7Char"/>
    <w:uiPriority w:val="9"/>
    <w:qFormat/>
    <w:rsid w:val="00566E31"/>
    <w:pPr>
      <w:numPr>
        <w:ilvl w:val="6"/>
        <w:numId w:val="12"/>
      </w:numPr>
      <w:spacing w:after="260"/>
      <w:outlineLvl w:val="6"/>
    </w:pPr>
    <w:rPr>
      <w:b/>
      <w:kern w:val="32"/>
      <w:u w:val="single"/>
    </w:rPr>
  </w:style>
  <w:style w:type="paragraph" w:styleId="Heading8">
    <w:name w:val="heading 8"/>
    <w:basedOn w:val="Normal"/>
    <w:next w:val="FERCparanumber"/>
    <w:link w:val="Heading8Char"/>
    <w:uiPriority w:val="9"/>
    <w:qFormat/>
    <w:rsid w:val="00566E31"/>
    <w:pPr>
      <w:keepNext/>
      <w:keepLines/>
      <w:numPr>
        <w:ilvl w:val="7"/>
        <w:numId w:val="12"/>
      </w:numPr>
      <w:spacing w:after="260"/>
      <w:outlineLvl w:val="7"/>
    </w:pPr>
    <w:rPr>
      <w:b/>
      <w:iCs/>
      <w:kern w:val="32"/>
      <w:u w:val="single"/>
    </w:rPr>
  </w:style>
  <w:style w:type="paragraph" w:styleId="Heading9">
    <w:name w:val="heading 9"/>
    <w:basedOn w:val="Normal"/>
    <w:next w:val="FERCparanumber"/>
    <w:link w:val="Heading9Char"/>
    <w:uiPriority w:val="9"/>
    <w:qFormat/>
    <w:rsid w:val="00566E31"/>
    <w:pPr>
      <w:keepNext/>
      <w:keepLines/>
      <w:numPr>
        <w:ilvl w:val="8"/>
        <w:numId w:val="12"/>
      </w:numPr>
      <w:spacing w:after="260"/>
      <w:outlineLvl w:val="8"/>
    </w:pPr>
    <w:rPr>
      <w:b/>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Style 12,Style 15,Style 9,o1,fr1,o2,fr2,o3,fr3,Style 18,(NECG) Footnote Reference,Style 20,Style 7,Styl,Style 8,Style 19,Style 11,Style 16,Style 28,Footnote Reference (EIS),fnr,Footnote reference (EA),Style 30,Style ,..."/>
    <w:basedOn w:val="DefaultParagraphFont"/>
    <w:uiPriority w:val="99"/>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uiPriority w:val="39"/>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01152"/>
    <w:rPr>
      <w:rFonts w:ascii="Tahoma" w:hAnsi="Tahoma" w:cs="Tahoma"/>
      <w:sz w:val="16"/>
      <w:szCs w:val="16"/>
    </w:rPr>
  </w:style>
  <w:style w:type="character" w:customStyle="1" w:styleId="BalloonTextChar">
    <w:name w:val="Balloon Text Char"/>
    <w:basedOn w:val="DefaultParagraphFont"/>
    <w:link w:val="BalloonText"/>
    <w:uiPriority w:val="99"/>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spacing w:after="240"/>
      <w:ind w:left="1440" w:right="1440"/>
    </w:pPr>
  </w:style>
  <w:style w:type="paragraph" w:styleId="BlockText">
    <w:name w:val="Block Text"/>
    <w:basedOn w:val="Normal"/>
    <w:uiPriority w:val="99"/>
    <w:rsid w:val="00301152"/>
    <w:pPr>
      <w:spacing w:after="120"/>
      <w:ind w:left="1440" w:right="1440"/>
    </w:pPr>
  </w:style>
  <w:style w:type="paragraph" w:styleId="FootnoteText">
    <w:name w:val="footnote text"/>
    <w:aliases w:val="fn,Footnote Text Char1,Footnote Text Char Char,Footnote Text Char1 Char,Footnote Text Char Char Char,Footnote Text Char Char1,Footnote Text Char1 Char Char Char1,Footnote Text Char Char Char Char Char1,Style 13,Style 14,ft"/>
    <w:basedOn w:val="Normal"/>
    <w:link w:val="FootnoteTextChar"/>
    <w:uiPriority w:val="99"/>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uiPriority w:val="99"/>
    <w:rsid w:val="00301152"/>
    <w:pPr>
      <w:spacing w:after="120"/>
    </w:pPr>
  </w:style>
  <w:style w:type="character" w:customStyle="1" w:styleId="BodyTextChar">
    <w:name w:val="Body Text Char"/>
    <w:basedOn w:val="DefaultParagraphFont"/>
    <w:link w:val="BodyText"/>
    <w:uiPriority w:val="99"/>
    <w:rsid w:val="00301152"/>
    <w:rPr>
      <w:sz w:val="26"/>
      <w:szCs w:val="24"/>
      <w:lang w:bidi="ar-SA"/>
    </w:rPr>
  </w:style>
  <w:style w:type="paragraph" w:styleId="BodyText2">
    <w:name w:val="Body Text 2"/>
    <w:basedOn w:val="Normal"/>
    <w:link w:val="BodyText2Char"/>
    <w:uiPriority w:val="99"/>
    <w:rsid w:val="00301152"/>
    <w:pPr>
      <w:spacing w:after="120" w:line="480" w:lineRule="auto"/>
    </w:pPr>
  </w:style>
  <w:style w:type="character" w:customStyle="1" w:styleId="BodyText2Char">
    <w:name w:val="Body Text 2 Char"/>
    <w:basedOn w:val="DefaultParagraphFont"/>
    <w:link w:val="BodyText2"/>
    <w:uiPriority w:val="99"/>
    <w:rsid w:val="00301152"/>
    <w:rPr>
      <w:sz w:val="26"/>
      <w:szCs w:val="24"/>
      <w:lang w:bidi="ar-SA"/>
    </w:rPr>
  </w:style>
  <w:style w:type="paragraph" w:styleId="BodyText3">
    <w:name w:val="Body Text 3"/>
    <w:basedOn w:val="Normal"/>
    <w:link w:val="BodyText3Char"/>
    <w:uiPriority w:val="99"/>
    <w:rsid w:val="00301152"/>
    <w:pPr>
      <w:spacing w:after="120"/>
    </w:pPr>
    <w:rPr>
      <w:sz w:val="16"/>
      <w:szCs w:val="16"/>
    </w:rPr>
  </w:style>
  <w:style w:type="character" w:customStyle="1" w:styleId="BodyText3Char">
    <w:name w:val="Body Text 3 Char"/>
    <w:basedOn w:val="DefaultParagraphFont"/>
    <w:link w:val="BodyText3"/>
    <w:uiPriority w:val="99"/>
    <w:rsid w:val="00301152"/>
    <w:rPr>
      <w:sz w:val="16"/>
      <w:szCs w:val="16"/>
      <w:lang w:bidi="ar-SA"/>
    </w:rPr>
  </w:style>
  <w:style w:type="paragraph" w:styleId="BodyTextFirstIndent">
    <w:name w:val="Body Text First Indent"/>
    <w:basedOn w:val="BodyText"/>
    <w:link w:val="BodyTextFirstIndentChar"/>
    <w:uiPriority w:val="99"/>
    <w:rsid w:val="00301152"/>
    <w:pPr>
      <w:ind w:firstLine="210"/>
    </w:pPr>
  </w:style>
  <w:style w:type="character" w:customStyle="1" w:styleId="BodyTextFirstIndentChar">
    <w:name w:val="Body Text First Indent Char"/>
    <w:basedOn w:val="BodyTextChar"/>
    <w:link w:val="BodyTextFirstIndent"/>
    <w:uiPriority w:val="99"/>
    <w:rsid w:val="00301152"/>
    <w:rPr>
      <w:sz w:val="26"/>
      <w:szCs w:val="24"/>
      <w:lang w:bidi="ar-SA"/>
    </w:rPr>
  </w:style>
  <w:style w:type="paragraph" w:styleId="BodyTextIndent">
    <w:name w:val="Body Text Indent"/>
    <w:basedOn w:val="Normal"/>
    <w:link w:val="BodyTextIndentChar"/>
    <w:uiPriority w:val="99"/>
    <w:rsid w:val="00301152"/>
    <w:pPr>
      <w:spacing w:after="120"/>
      <w:ind w:left="360"/>
    </w:pPr>
  </w:style>
  <w:style w:type="character" w:customStyle="1" w:styleId="BodyTextIndentChar">
    <w:name w:val="Body Text Indent Char"/>
    <w:basedOn w:val="DefaultParagraphFont"/>
    <w:link w:val="BodyTextIndent"/>
    <w:uiPriority w:val="99"/>
    <w:rsid w:val="00301152"/>
    <w:rPr>
      <w:sz w:val="26"/>
      <w:szCs w:val="24"/>
      <w:lang w:bidi="ar-SA"/>
    </w:rPr>
  </w:style>
  <w:style w:type="paragraph" w:styleId="BodyTextFirstIndent2">
    <w:name w:val="Body Text First Indent 2"/>
    <w:basedOn w:val="BodyTextIndent"/>
    <w:link w:val="BodyTextFirstIndent2Char"/>
    <w:uiPriority w:val="99"/>
    <w:rsid w:val="00301152"/>
    <w:pPr>
      <w:ind w:firstLine="210"/>
    </w:pPr>
  </w:style>
  <w:style w:type="character" w:customStyle="1" w:styleId="BodyTextFirstIndent2Char">
    <w:name w:val="Body Text First Indent 2 Char"/>
    <w:basedOn w:val="BodyTextIndentChar"/>
    <w:link w:val="BodyTextFirstIndent2"/>
    <w:uiPriority w:val="99"/>
    <w:rsid w:val="00301152"/>
    <w:rPr>
      <w:sz w:val="26"/>
      <w:szCs w:val="24"/>
      <w:lang w:bidi="ar-SA"/>
    </w:rPr>
  </w:style>
  <w:style w:type="paragraph" w:styleId="BodyTextIndent2">
    <w:name w:val="Body Text Indent 2"/>
    <w:basedOn w:val="Normal"/>
    <w:link w:val="BodyTextIndent2Char"/>
    <w:uiPriority w:val="99"/>
    <w:rsid w:val="00301152"/>
    <w:pPr>
      <w:spacing w:after="120" w:line="480" w:lineRule="auto"/>
      <w:ind w:left="360"/>
    </w:pPr>
  </w:style>
  <w:style w:type="character" w:customStyle="1" w:styleId="BodyTextIndent2Char">
    <w:name w:val="Body Text Indent 2 Char"/>
    <w:basedOn w:val="DefaultParagraphFont"/>
    <w:link w:val="BodyTextIndent2"/>
    <w:uiPriority w:val="99"/>
    <w:rsid w:val="00301152"/>
    <w:rPr>
      <w:sz w:val="26"/>
      <w:szCs w:val="24"/>
      <w:lang w:bidi="ar-SA"/>
    </w:rPr>
  </w:style>
  <w:style w:type="paragraph" w:styleId="BodyTextIndent3">
    <w:name w:val="Body Text Indent 3"/>
    <w:basedOn w:val="Normal"/>
    <w:link w:val="BodyTextIndent3Char"/>
    <w:uiPriority w:val="99"/>
    <w:rsid w:val="00301152"/>
    <w:pPr>
      <w:spacing w:after="120"/>
      <w:ind w:left="360"/>
    </w:pPr>
    <w:rPr>
      <w:sz w:val="16"/>
      <w:szCs w:val="16"/>
    </w:rPr>
  </w:style>
  <w:style w:type="character" w:customStyle="1" w:styleId="BodyTextIndent3Char">
    <w:name w:val="Body Text Indent 3 Char"/>
    <w:basedOn w:val="DefaultParagraphFont"/>
    <w:link w:val="BodyTextIndent3"/>
    <w:uiPriority w:val="99"/>
    <w:rsid w:val="00301152"/>
    <w:rPr>
      <w:sz w:val="16"/>
      <w:szCs w:val="16"/>
      <w:lang w:bidi="ar-SA"/>
    </w:rPr>
  </w:style>
  <w:style w:type="paragraph" w:styleId="Caption">
    <w:name w:val="caption"/>
    <w:basedOn w:val="Normal"/>
    <w:next w:val="Normal"/>
    <w:uiPriority w:val="35"/>
    <w:qFormat/>
    <w:rsid w:val="00301152"/>
    <w:pPr>
      <w:spacing w:before="120" w:after="120"/>
    </w:pPr>
    <w:rPr>
      <w:b/>
      <w:bCs/>
      <w:sz w:val="20"/>
      <w:szCs w:val="20"/>
    </w:rPr>
  </w:style>
  <w:style w:type="paragraph" w:styleId="Closing">
    <w:name w:val="Closing"/>
    <w:basedOn w:val="Normal"/>
    <w:link w:val="ClosingChar"/>
    <w:uiPriority w:val="99"/>
    <w:rsid w:val="00301152"/>
    <w:pPr>
      <w:ind w:left="4320"/>
    </w:pPr>
  </w:style>
  <w:style w:type="character" w:customStyle="1" w:styleId="ClosingChar">
    <w:name w:val="Closing Char"/>
    <w:basedOn w:val="DefaultParagraphFont"/>
    <w:link w:val="Closing"/>
    <w:uiPriority w:val="99"/>
    <w:rsid w:val="00301152"/>
    <w:rPr>
      <w:sz w:val="26"/>
      <w:szCs w:val="24"/>
      <w:lang w:bidi="ar-SA"/>
    </w:rPr>
  </w:style>
  <w:style w:type="paragraph" w:styleId="CommentText">
    <w:name w:val="annotation text"/>
    <w:basedOn w:val="Normal"/>
    <w:link w:val="CommentTextChar"/>
    <w:uiPriority w:val="99"/>
    <w:semiHidden/>
    <w:rsid w:val="00301152"/>
    <w:rPr>
      <w:sz w:val="20"/>
      <w:szCs w:val="20"/>
    </w:rPr>
  </w:style>
  <w:style w:type="character" w:customStyle="1" w:styleId="CommentTextChar">
    <w:name w:val="Comment Text Char"/>
    <w:basedOn w:val="DefaultParagraphFont"/>
    <w:link w:val="CommentText"/>
    <w:uiPriority w:val="99"/>
    <w:semiHidden/>
    <w:rsid w:val="00301152"/>
    <w:rPr>
      <w:lang w:bidi="ar-SA"/>
    </w:rPr>
  </w:style>
  <w:style w:type="paragraph" w:styleId="CommentSubject">
    <w:name w:val="annotation subject"/>
    <w:basedOn w:val="CommentText"/>
    <w:next w:val="CommentText"/>
    <w:link w:val="CommentSubjectChar"/>
    <w:uiPriority w:val="99"/>
    <w:semiHidden/>
    <w:rsid w:val="00301152"/>
    <w:rPr>
      <w:b/>
      <w:bCs/>
    </w:rPr>
  </w:style>
  <w:style w:type="character" w:customStyle="1" w:styleId="CommentSubjectChar">
    <w:name w:val="Comment Subject Char"/>
    <w:basedOn w:val="CommentTextChar"/>
    <w:link w:val="CommentSubject"/>
    <w:uiPriority w:val="99"/>
    <w:semiHidden/>
    <w:rsid w:val="00301152"/>
    <w:rPr>
      <w:b/>
      <w:bCs/>
      <w:lang w:bidi="ar-SA"/>
    </w:rPr>
  </w:style>
  <w:style w:type="paragraph" w:styleId="Date">
    <w:name w:val="Date"/>
    <w:basedOn w:val="Normal"/>
    <w:next w:val="Normal"/>
    <w:link w:val="DateChar"/>
    <w:uiPriority w:val="99"/>
    <w:rsid w:val="00301152"/>
  </w:style>
  <w:style w:type="character" w:customStyle="1" w:styleId="DateChar">
    <w:name w:val="Date Char"/>
    <w:basedOn w:val="DefaultParagraphFont"/>
    <w:link w:val="Date"/>
    <w:uiPriority w:val="99"/>
    <w:rsid w:val="00301152"/>
    <w:rPr>
      <w:sz w:val="26"/>
      <w:szCs w:val="24"/>
      <w:lang w:bidi="ar-SA"/>
    </w:rPr>
  </w:style>
  <w:style w:type="paragraph" w:styleId="DocumentMap">
    <w:name w:val="Document Map"/>
    <w:basedOn w:val="Normal"/>
    <w:link w:val="DocumentMapChar"/>
    <w:uiPriority w:val="99"/>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uiPriority w:val="99"/>
    <w:rsid w:val="00301152"/>
  </w:style>
  <w:style w:type="character" w:customStyle="1" w:styleId="E-mailSignatureChar">
    <w:name w:val="E-mail Signature Char"/>
    <w:basedOn w:val="DefaultParagraphFont"/>
    <w:link w:val="E-mailSignature"/>
    <w:uiPriority w:val="99"/>
    <w:rsid w:val="00301152"/>
    <w:rPr>
      <w:sz w:val="26"/>
      <w:szCs w:val="24"/>
      <w:lang w:bidi="ar-SA"/>
    </w:rPr>
  </w:style>
  <w:style w:type="paragraph" w:styleId="EndnoteText">
    <w:name w:val="endnote text"/>
    <w:basedOn w:val="Normal"/>
    <w:link w:val="EndnoteTextChar"/>
    <w:uiPriority w:val="99"/>
    <w:semiHidden/>
    <w:rsid w:val="00301152"/>
    <w:rPr>
      <w:sz w:val="20"/>
      <w:szCs w:val="20"/>
    </w:rPr>
  </w:style>
  <w:style w:type="character" w:customStyle="1" w:styleId="EndnoteTextChar">
    <w:name w:val="Endnote Text Char"/>
    <w:basedOn w:val="DefaultParagraphFont"/>
    <w:link w:val="EndnoteText"/>
    <w:uiPriority w:val="99"/>
    <w:semiHidden/>
    <w:rsid w:val="00301152"/>
    <w:rPr>
      <w:lang w:bidi="ar-SA"/>
    </w:rPr>
  </w:style>
  <w:style w:type="paragraph" w:styleId="EnvelopeAddress">
    <w:name w:val="envelope address"/>
    <w:basedOn w:val="Normal"/>
    <w:uiPriority w:val="99"/>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301152"/>
    <w:rPr>
      <w:rFonts w:ascii="Arial" w:hAnsi="Arial" w:cs="Arial"/>
      <w:sz w:val="20"/>
      <w:szCs w:val="20"/>
    </w:rPr>
  </w:style>
  <w:style w:type="paragraph" w:customStyle="1" w:styleId="FERCparanumber">
    <w:name w:val="FERC paranumber"/>
    <w:basedOn w:val="Normal"/>
    <w:link w:val="FERCparanumberChar"/>
    <w:qFormat/>
    <w:rsid w:val="002B4D58"/>
    <w:pPr>
      <w:numPr>
        <w:numId w:val="1"/>
      </w:numPr>
      <w:spacing w:line="480" w:lineRule="auto"/>
    </w:pPr>
    <w:rPr>
      <w:rFonts w:ascii="Times New Roman" w:hAnsi="Times New Roman"/>
      <w:sz w:val="26"/>
    </w:rPr>
  </w:style>
  <w:style w:type="character" w:customStyle="1" w:styleId="Heading1Char">
    <w:name w:val="Heading 1 Char"/>
    <w:basedOn w:val="DefaultParagraphFont"/>
    <w:link w:val="Heading1"/>
    <w:uiPriority w:val="9"/>
    <w:rsid w:val="002B4D58"/>
    <w:rPr>
      <w:rFonts w:eastAsiaTheme="minorEastAsia" w:cstheme="minorBidi"/>
      <w:b/>
      <w:bCs/>
      <w:kern w:val="32"/>
      <w:sz w:val="26"/>
      <w:szCs w:val="32"/>
      <w:u w:val="single"/>
      <w:lang w:bidi="ar-SA"/>
    </w:rPr>
  </w:style>
  <w:style w:type="character" w:customStyle="1" w:styleId="Heading2Char">
    <w:name w:val="Heading 2 Char"/>
    <w:basedOn w:val="DefaultParagraphFont"/>
    <w:link w:val="Heading2"/>
    <w:uiPriority w:val="9"/>
    <w:rsid w:val="00E23F02"/>
    <w:rPr>
      <w:rFonts w:eastAsiaTheme="minorEastAsia" w:cstheme="minorBidi"/>
      <w:b/>
      <w:bCs/>
      <w:iCs/>
      <w:kern w:val="32"/>
      <w:sz w:val="26"/>
      <w:szCs w:val="28"/>
      <w:u w:val="single"/>
      <w:lang w:bidi="ar-SA"/>
    </w:rPr>
  </w:style>
  <w:style w:type="character" w:customStyle="1" w:styleId="Heading3Char">
    <w:name w:val="Heading 3 Char"/>
    <w:basedOn w:val="DefaultParagraphFont"/>
    <w:link w:val="Heading3"/>
    <w:uiPriority w:val="9"/>
    <w:rsid w:val="002B4D58"/>
    <w:rPr>
      <w:rFonts w:eastAsiaTheme="minorEastAsia" w:cstheme="minorBidi"/>
      <w:b/>
      <w:bCs/>
      <w:kern w:val="32"/>
      <w:sz w:val="26"/>
      <w:szCs w:val="26"/>
      <w:u w:val="single"/>
      <w:lang w:bidi="ar-SA"/>
    </w:rPr>
  </w:style>
  <w:style w:type="character" w:customStyle="1" w:styleId="Heading4Char">
    <w:name w:val="Heading 4 Char"/>
    <w:basedOn w:val="DefaultParagraphFont"/>
    <w:link w:val="Heading4"/>
    <w:uiPriority w:val="9"/>
    <w:rsid w:val="002B4D58"/>
    <w:rPr>
      <w:rFonts w:eastAsiaTheme="minorEastAsia" w:cstheme="minorBidi"/>
      <w:b/>
      <w:bCs/>
      <w:kern w:val="32"/>
      <w:sz w:val="26"/>
      <w:szCs w:val="28"/>
      <w:u w:val="single"/>
      <w:lang w:bidi="ar-SA"/>
    </w:rPr>
  </w:style>
  <w:style w:type="character" w:customStyle="1" w:styleId="Heading5Char">
    <w:name w:val="Heading 5 Char"/>
    <w:basedOn w:val="DefaultParagraphFont"/>
    <w:link w:val="Heading5"/>
    <w:uiPriority w:val="9"/>
    <w:rsid w:val="00566E31"/>
    <w:rPr>
      <w:rFonts w:asciiTheme="minorHAnsi" w:eastAsiaTheme="minorEastAsia" w:hAnsiTheme="minorHAnsi" w:cstheme="minorBidi"/>
      <w:b/>
      <w:bCs/>
      <w:iCs/>
      <w:kern w:val="32"/>
      <w:sz w:val="22"/>
      <w:szCs w:val="26"/>
      <w:u w:val="single"/>
      <w:lang w:bidi="ar-SA"/>
    </w:rPr>
  </w:style>
  <w:style w:type="character" w:customStyle="1" w:styleId="Heading6Char">
    <w:name w:val="Heading 6 Char"/>
    <w:basedOn w:val="DefaultParagraphFont"/>
    <w:link w:val="Heading6"/>
    <w:uiPriority w:val="9"/>
    <w:rsid w:val="00566E31"/>
    <w:rPr>
      <w:rFonts w:asciiTheme="minorHAnsi" w:eastAsiaTheme="minorEastAsia" w:hAnsiTheme="minorHAnsi" w:cstheme="minorBidi"/>
      <w:b/>
      <w:bCs/>
      <w:kern w:val="32"/>
      <w:sz w:val="22"/>
      <w:szCs w:val="22"/>
      <w:u w:val="single"/>
      <w:lang w:bidi="ar-SA"/>
    </w:rPr>
  </w:style>
  <w:style w:type="character" w:customStyle="1" w:styleId="Heading7Char">
    <w:name w:val="Heading 7 Char"/>
    <w:basedOn w:val="DefaultParagraphFont"/>
    <w:link w:val="Heading7"/>
    <w:uiPriority w:val="9"/>
    <w:rsid w:val="00566E31"/>
    <w:rPr>
      <w:rFonts w:asciiTheme="minorHAnsi" w:eastAsiaTheme="minorEastAsia" w:hAnsiTheme="minorHAnsi" w:cstheme="minorBidi"/>
      <w:b/>
      <w:kern w:val="32"/>
      <w:sz w:val="22"/>
      <w:szCs w:val="22"/>
      <w:u w:val="single"/>
      <w:lang w:bidi="ar-SA"/>
    </w:rPr>
  </w:style>
  <w:style w:type="character" w:customStyle="1" w:styleId="Heading8Char">
    <w:name w:val="Heading 8 Char"/>
    <w:basedOn w:val="DefaultParagraphFont"/>
    <w:link w:val="Heading8"/>
    <w:uiPriority w:val="9"/>
    <w:rsid w:val="00566E31"/>
    <w:rPr>
      <w:rFonts w:asciiTheme="minorHAnsi" w:eastAsiaTheme="minorEastAsia" w:hAnsiTheme="minorHAnsi" w:cstheme="minorBidi"/>
      <w:b/>
      <w:iCs/>
      <w:kern w:val="32"/>
      <w:sz w:val="22"/>
      <w:szCs w:val="22"/>
      <w:u w:val="single"/>
      <w:lang w:bidi="ar-SA"/>
    </w:rPr>
  </w:style>
  <w:style w:type="character" w:customStyle="1" w:styleId="Heading9Char">
    <w:name w:val="Heading 9 Char"/>
    <w:basedOn w:val="DefaultParagraphFont"/>
    <w:link w:val="Heading9"/>
    <w:uiPriority w:val="9"/>
    <w:rsid w:val="00566E31"/>
    <w:rPr>
      <w:rFonts w:asciiTheme="minorHAnsi" w:eastAsiaTheme="minorEastAsia" w:hAnsiTheme="minorHAnsi" w:cstheme="minorBidi"/>
      <w:b/>
      <w:kern w:val="32"/>
      <w:sz w:val="22"/>
      <w:szCs w:val="22"/>
      <w:u w:val="single"/>
      <w:lang w:bidi="ar-SA"/>
    </w:rPr>
  </w:style>
  <w:style w:type="paragraph" w:styleId="HTMLAddress">
    <w:name w:val="HTML Address"/>
    <w:basedOn w:val="Normal"/>
    <w:link w:val="HTMLAddressChar"/>
    <w:uiPriority w:val="99"/>
    <w:rsid w:val="00301152"/>
    <w:rPr>
      <w:i/>
      <w:iCs/>
    </w:rPr>
  </w:style>
  <w:style w:type="character" w:customStyle="1" w:styleId="HTMLAddressChar">
    <w:name w:val="HTML Address Char"/>
    <w:basedOn w:val="DefaultParagraphFont"/>
    <w:link w:val="HTMLAddress"/>
    <w:uiPriority w:val="99"/>
    <w:rsid w:val="00301152"/>
    <w:rPr>
      <w:i/>
      <w:iCs/>
      <w:sz w:val="26"/>
      <w:szCs w:val="24"/>
      <w:lang w:bidi="ar-SA"/>
    </w:rPr>
  </w:style>
  <w:style w:type="paragraph" w:styleId="HTMLPreformatted">
    <w:name w:val="HTML Preformatted"/>
    <w:basedOn w:val="Normal"/>
    <w:link w:val="HTMLPreformattedChar"/>
    <w:uiPriority w:val="99"/>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01152"/>
    <w:rPr>
      <w:rFonts w:ascii="Courier New" w:hAnsi="Courier New" w:cs="Courier New"/>
      <w:lang w:bidi="ar-SA"/>
    </w:rPr>
  </w:style>
  <w:style w:type="paragraph" w:styleId="Index1">
    <w:name w:val="index 1"/>
    <w:basedOn w:val="Normal"/>
    <w:next w:val="Normal"/>
    <w:uiPriority w:val="99"/>
    <w:semiHidden/>
    <w:rsid w:val="00301152"/>
    <w:pPr>
      <w:ind w:left="260" w:hanging="260"/>
    </w:pPr>
  </w:style>
  <w:style w:type="paragraph" w:styleId="Index2">
    <w:name w:val="index 2"/>
    <w:basedOn w:val="Normal"/>
    <w:next w:val="Normal"/>
    <w:uiPriority w:val="99"/>
    <w:semiHidden/>
    <w:rsid w:val="00301152"/>
    <w:pPr>
      <w:ind w:left="520" w:hanging="260"/>
    </w:pPr>
  </w:style>
  <w:style w:type="paragraph" w:styleId="Index3">
    <w:name w:val="index 3"/>
    <w:basedOn w:val="Normal"/>
    <w:next w:val="Normal"/>
    <w:uiPriority w:val="99"/>
    <w:semiHidden/>
    <w:rsid w:val="00301152"/>
    <w:pPr>
      <w:ind w:left="780" w:hanging="260"/>
    </w:pPr>
  </w:style>
  <w:style w:type="paragraph" w:styleId="Index4">
    <w:name w:val="index 4"/>
    <w:basedOn w:val="Normal"/>
    <w:next w:val="Normal"/>
    <w:uiPriority w:val="99"/>
    <w:semiHidden/>
    <w:rsid w:val="00301152"/>
    <w:pPr>
      <w:ind w:left="1040" w:hanging="260"/>
    </w:pPr>
  </w:style>
  <w:style w:type="paragraph" w:styleId="Index5">
    <w:name w:val="index 5"/>
    <w:basedOn w:val="Normal"/>
    <w:next w:val="Normal"/>
    <w:uiPriority w:val="99"/>
    <w:semiHidden/>
    <w:rsid w:val="00301152"/>
    <w:pPr>
      <w:ind w:left="1300" w:hanging="260"/>
    </w:pPr>
  </w:style>
  <w:style w:type="paragraph" w:styleId="Index6">
    <w:name w:val="index 6"/>
    <w:basedOn w:val="Normal"/>
    <w:next w:val="Normal"/>
    <w:uiPriority w:val="99"/>
    <w:semiHidden/>
    <w:rsid w:val="00301152"/>
    <w:pPr>
      <w:ind w:left="1560" w:hanging="260"/>
    </w:pPr>
  </w:style>
  <w:style w:type="paragraph" w:styleId="Index7">
    <w:name w:val="index 7"/>
    <w:basedOn w:val="Normal"/>
    <w:next w:val="Normal"/>
    <w:uiPriority w:val="99"/>
    <w:semiHidden/>
    <w:rsid w:val="00301152"/>
    <w:pPr>
      <w:ind w:left="1820" w:hanging="260"/>
    </w:pPr>
  </w:style>
  <w:style w:type="paragraph" w:styleId="Index8">
    <w:name w:val="index 8"/>
    <w:basedOn w:val="Normal"/>
    <w:next w:val="Normal"/>
    <w:uiPriority w:val="99"/>
    <w:semiHidden/>
    <w:rsid w:val="00301152"/>
    <w:pPr>
      <w:ind w:left="2080" w:hanging="260"/>
    </w:pPr>
  </w:style>
  <w:style w:type="paragraph" w:styleId="Index9">
    <w:name w:val="index 9"/>
    <w:basedOn w:val="Normal"/>
    <w:next w:val="Normal"/>
    <w:uiPriority w:val="99"/>
    <w:semiHidden/>
    <w:rsid w:val="00301152"/>
    <w:pPr>
      <w:ind w:left="2340" w:hanging="260"/>
    </w:pPr>
  </w:style>
  <w:style w:type="paragraph" w:styleId="IndexHeading">
    <w:name w:val="index heading"/>
    <w:basedOn w:val="Normal"/>
    <w:next w:val="Index1"/>
    <w:uiPriority w:val="99"/>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uiPriority w:val="99"/>
    <w:rsid w:val="00301152"/>
    <w:pPr>
      <w:ind w:left="360" w:hanging="360"/>
    </w:pPr>
  </w:style>
  <w:style w:type="paragraph" w:styleId="List2">
    <w:name w:val="List 2"/>
    <w:basedOn w:val="Normal"/>
    <w:uiPriority w:val="99"/>
    <w:rsid w:val="00301152"/>
    <w:pPr>
      <w:ind w:left="720" w:hanging="360"/>
    </w:pPr>
  </w:style>
  <w:style w:type="paragraph" w:styleId="List3">
    <w:name w:val="List 3"/>
    <w:basedOn w:val="Normal"/>
    <w:uiPriority w:val="99"/>
    <w:rsid w:val="00301152"/>
    <w:pPr>
      <w:ind w:left="1080" w:hanging="360"/>
    </w:pPr>
  </w:style>
  <w:style w:type="paragraph" w:styleId="List4">
    <w:name w:val="List 4"/>
    <w:basedOn w:val="Normal"/>
    <w:uiPriority w:val="99"/>
    <w:rsid w:val="00301152"/>
    <w:pPr>
      <w:ind w:left="1440" w:hanging="360"/>
    </w:pPr>
  </w:style>
  <w:style w:type="paragraph" w:styleId="List5">
    <w:name w:val="List 5"/>
    <w:basedOn w:val="Normal"/>
    <w:uiPriority w:val="99"/>
    <w:rsid w:val="00301152"/>
    <w:pPr>
      <w:ind w:left="1800" w:hanging="360"/>
    </w:pPr>
  </w:style>
  <w:style w:type="paragraph" w:styleId="ListBullet">
    <w:name w:val="List Bullet"/>
    <w:basedOn w:val="Normal"/>
    <w:uiPriority w:val="99"/>
    <w:rsid w:val="00301152"/>
    <w:pPr>
      <w:numPr>
        <w:numId w:val="2"/>
      </w:numPr>
    </w:pPr>
  </w:style>
  <w:style w:type="paragraph" w:styleId="ListBullet2">
    <w:name w:val="List Bullet 2"/>
    <w:basedOn w:val="Normal"/>
    <w:uiPriority w:val="99"/>
    <w:rsid w:val="00301152"/>
    <w:pPr>
      <w:numPr>
        <w:numId w:val="3"/>
      </w:numPr>
    </w:pPr>
  </w:style>
  <w:style w:type="paragraph" w:styleId="ListBullet3">
    <w:name w:val="List Bullet 3"/>
    <w:basedOn w:val="Normal"/>
    <w:uiPriority w:val="99"/>
    <w:rsid w:val="00301152"/>
    <w:pPr>
      <w:numPr>
        <w:numId w:val="4"/>
      </w:numPr>
    </w:pPr>
  </w:style>
  <w:style w:type="paragraph" w:styleId="ListBullet4">
    <w:name w:val="List Bullet 4"/>
    <w:basedOn w:val="Normal"/>
    <w:uiPriority w:val="99"/>
    <w:rsid w:val="00301152"/>
    <w:pPr>
      <w:numPr>
        <w:numId w:val="5"/>
      </w:numPr>
    </w:pPr>
  </w:style>
  <w:style w:type="paragraph" w:styleId="ListBullet5">
    <w:name w:val="List Bullet 5"/>
    <w:basedOn w:val="Normal"/>
    <w:uiPriority w:val="99"/>
    <w:rsid w:val="00301152"/>
    <w:pPr>
      <w:numPr>
        <w:numId w:val="6"/>
      </w:numPr>
    </w:pPr>
  </w:style>
  <w:style w:type="paragraph" w:styleId="ListContinue">
    <w:name w:val="List Continue"/>
    <w:basedOn w:val="Normal"/>
    <w:uiPriority w:val="99"/>
    <w:semiHidden/>
    <w:rsid w:val="00301152"/>
    <w:pPr>
      <w:spacing w:after="120"/>
      <w:ind w:left="360"/>
    </w:pPr>
  </w:style>
  <w:style w:type="paragraph" w:styleId="ListContinue2">
    <w:name w:val="List Continue 2"/>
    <w:basedOn w:val="Normal"/>
    <w:uiPriority w:val="99"/>
    <w:rsid w:val="00301152"/>
    <w:pPr>
      <w:spacing w:after="120"/>
      <w:ind w:left="720"/>
    </w:pPr>
  </w:style>
  <w:style w:type="paragraph" w:styleId="ListContinue3">
    <w:name w:val="List Continue 3"/>
    <w:basedOn w:val="Normal"/>
    <w:uiPriority w:val="99"/>
    <w:rsid w:val="00301152"/>
    <w:pPr>
      <w:spacing w:after="120"/>
      <w:ind w:left="1080"/>
    </w:pPr>
  </w:style>
  <w:style w:type="paragraph" w:styleId="ListContinue4">
    <w:name w:val="List Continue 4"/>
    <w:basedOn w:val="Normal"/>
    <w:uiPriority w:val="99"/>
    <w:rsid w:val="00301152"/>
    <w:pPr>
      <w:spacing w:after="120"/>
      <w:ind w:left="1440"/>
    </w:pPr>
  </w:style>
  <w:style w:type="paragraph" w:styleId="ListContinue5">
    <w:name w:val="List Continue 5"/>
    <w:basedOn w:val="Normal"/>
    <w:uiPriority w:val="99"/>
    <w:rsid w:val="00301152"/>
    <w:pPr>
      <w:spacing w:after="120"/>
      <w:ind w:left="1800"/>
    </w:pPr>
  </w:style>
  <w:style w:type="paragraph" w:styleId="ListNumber">
    <w:name w:val="List Number"/>
    <w:basedOn w:val="Normal"/>
    <w:uiPriority w:val="99"/>
    <w:rsid w:val="00301152"/>
    <w:pPr>
      <w:numPr>
        <w:numId w:val="7"/>
      </w:numPr>
    </w:pPr>
  </w:style>
  <w:style w:type="paragraph" w:styleId="ListNumber2">
    <w:name w:val="List Number 2"/>
    <w:basedOn w:val="Normal"/>
    <w:uiPriority w:val="99"/>
    <w:rsid w:val="00301152"/>
    <w:pPr>
      <w:numPr>
        <w:numId w:val="8"/>
      </w:numPr>
    </w:pPr>
  </w:style>
  <w:style w:type="paragraph" w:styleId="ListNumber3">
    <w:name w:val="List Number 3"/>
    <w:basedOn w:val="Normal"/>
    <w:uiPriority w:val="99"/>
    <w:rsid w:val="00301152"/>
    <w:pPr>
      <w:numPr>
        <w:numId w:val="9"/>
      </w:numPr>
    </w:pPr>
  </w:style>
  <w:style w:type="paragraph" w:styleId="ListNumber4">
    <w:name w:val="List Number 4"/>
    <w:basedOn w:val="Normal"/>
    <w:uiPriority w:val="99"/>
    <w:rsid w:val="00301152"/>
    <w:pPr>
      <w:numPr>
        <w:numId w:val="10"/>
      </w:numPr>
    </w:pPr>
  </w:style>
  <w:style w:type="paragraph" w:styleId="ListNumber5">
    <w:name w:val="List Number 5"/>
    <w:basedOn w:val="Normal"/>
    <w:uiPriority w:val="99"/>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uiPriority w:val="99"/>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uiPriority w:val="99"/>
    <w:semiHidden/>
    <w:rsid w:val="00301152"/>
    <w:rPr>
      <w:rFonts w:ascii="Courier New" w:hAnsi="Courier New" w:cs="Courier New"/>
      <w:lang w:bidi="ar-SA"/>
    </w:rPr>
  </w:style>
  <w:style w:type="paragraph" w:styleId="MessageHeader">
    <w:name w:val="Message Header"/>
    <w:basedOn w:val="Normal"/>
    <w:link w:val="MessageHeaderChar"/>
    <w:uiPriority w:val="99"/>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tabs>
        <w:tab w:val="left" w:leader="dot" w:pos="9648"/>
      </w:tabs>
      <w:ind w:left="1440"/>
    </w:pPr>
    <w:rPr>
      <w:szCs w:val="26"/>
    </w:rPr>
  </w:style>
  <w:style w:type="paragraph" w:customStyle="1" w:styleId="myTOC7">
    <w:name w:val="myTOC 7"/>
    <w:basedOn w:val="Normal"/>
    <w:next w:val="Normal"/>
    <w:rsid w:val="00301152"/>
    <w:pPr>
      <w:tabs>
        <w:tab w:val="left" w:leader="dot" w:pos="9648"/>
      </w:tabs>
      <w:ind w:left="1728"/>
    </w:pPr>
    <w:rPr>
      <w:szCs w:val="26"/>
    </w:rPr>
  </w:style>
  <w:style w:type="paragraph" w:customStyle="1" w:styleId="myTOC8">
    <w:name w:val="myTOC 8"/>
    <w:basedOn w:val="Normal"/>
    <w:next w:val="Normal"/>
    <w:rsid w:val="00301152"/>
    <w:pPr>
      <w:tabs>
        <w:tab w:val="left" w:leader="dot" w:pos="9648"/>
      </w:tabs>
      <w:ind w:left="2016"/>
    </w:pPr>
    <w:rPr>
      <w:szCs w:val="26"/>
    </w:rPr>
  </w:style>
  <w:style w:type="paragraph" w:customStyle="1" w:styleId="myTOC9">
    <w:name w:val="myTOC 9"/>
    <w:basedOn w:val="Normal"/>
    <w:next w:val="Normal"/>
    <w:rsid w:val="00301152"/>
    <w:pPr>
      <w:tabs>
        <w:tab w:val="left" w:leader="dot" w:pos="9648"/>
      </w:tabs>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uiPriority w:val="99"/>
    <w:rsid w:val="00301152"/>
    <w:pPr>
      <w:ind w:left="720"/>
    </w:pPr>
  </w:style>
  <w:style w:type="paragraph" w:styleId="NoteHeading">
    <w:name w:val="Note Heading"/>
    <w:basedOn w:val="Normal"/>
    <w:next w:val="Normal"/>
    <w:link w:val="NoteHeadingChar"/>
    <w:uiPriority w:val="99"/>
    <w:rsid w:val="00301152"/>
  </w:style>
  <w:style w:type="character" w:customStyle="1" w:styleId="NoteHeadingChar">
    <w:name w:val="Note Heading Char"/>
    <w:basedOn w:val="DefaultParagraphFont"/>
    <w:link w:val="NoteHeading"/>
    <w:uiPriority w:val="99"/>
    <w:rsid w:val="00301152"/>
    <w:rPr>
      <w:sz w:val="26"/>
      <w:szCs w:val="24"/>
      <w:lang w:bidi="ar-SA"/>
    </w:rPr>
  </w:style>
  <w:style w:type="paragraph" w:styleId="PlainText">
    <w:name w:val="Plain Text"/>
    <w:basedOn w:val="Normal"/>
    <w:link w:val="PlainTextChar"/>
    <w:uiPriority w:val="99"/>
    <w:rsid w:val="00301152"/>
    <w:rPr>
      <w:rFonts w:ascii="Courier New" w:hAnsi="Courier New" w:cs="Courier New"/>
      <w:sz w:val="20"/>
      <w:szCs w:val="20"/>
    </w:rPr>
  </w:style>
  <w:style w:type="character" w:customStyle="1" w:styleId="PlainTextChar">
    <w:name w:val="Plain Text Char"/>
    <w:basedOn w:val="DefaultParagraphFont"/>
    <w:link w:val="PlainText"/>
    <w:uiPriority w:val="99"/>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uiPriority w:val="99"/>
    <w:rsid w:val="00301152"/>
  </w:style>
  <w:style w:type="character" w:customStyle="1" w:styleId="SalutationChar">
    <w:name w:val="Salutation Char"/>
    <w:basedOn w:val="DefaultParagraphFont"/>
    <w:link w:val="Salutation"/>
    <w:uiPriority w:val="99"/>
    <w:rsid w:val="00301152"/>
    <w:rPr>
      <w:sz w:val="26"/>
      <w:szCs w:val="24"/>
      <w:lang w:bidi="ar-SA"/>
    </w:rPr>
  </w:style>
  <w:style w:type="paragraph" w:styleId="Signature">
    <w:name w:val="Signature"/>
    <w:basedOn w:val="Normal"/>
    <w:link w:val="SignatureChar"/>
    <w:uiPriority w:val="99"/>
    <w:rsid w:val="00301152"/>
    <w:pPr>
      <w:ind w:left="4320"/>
    </w:pPr>
  </w:style>
  <w:style w:type="character" w:customStyle="1" w:styleId="SignatureChar">
    <w:name w:val="Signature Char"/>
    <w:basedOn w:val="DefaultParagraphFont"/>
    <w:link w:val="Signature"/>
    <w:uiPriority w:val="99"/>
    <w:rsid w:val="00301152"/>
    <w:rPr>
      <w:sz w:val="26"/>
      <w:szCs w:val="24"/>
      <w:lang w:bidi="ar-SA"/>
    </w:rPr>
  </w:style>
  <w:style w:type="paragraph" w:styleId="Subtitle">
    <w:name w:val="Subtitle"/>
    <w:basedOn w:val="Normal"/>
    <w:link w:val="SubtitleChar"/>
    <w:uiPriority w:val="11"/>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11"/>
    <w:rsid w:val="00301152"/>
    <w:rPr>
      <w:rFonts w:ascii="Arial" w:hAnsi="Arial" w:cs="Arial"/>
      <w:sz w:val="24"/>
      <w:szCs w:val="24"/>
      <w:lang w:bidi="ar-SA"/>
    </w:rPr>
  </w:style>
  <w:style w:type="paragraph" w:styleId="TableofAuthorities">
    <w:name w:val="table of authorities"/>
    <w:basedOn w:val="Normal"/>
    <w:next w:val="Normal"/>
    <w:uiPriority w:val="99"/>
    <w:semiHidden/>
    <w:rsid w:val="00301152"/>
    <w:pPr>
      <w:ind w:left="260" w:hanging="260"/>
    </w:pPr>
  </w:style>
  <w:style w:type="paragraph" w:styleId="TableofFigures">
    <w:name w:val="table of figures"/>
    <w:basedOn w:val="Normal"/>
    <w:next w:val="Normal"/>
    <w:uiPriority w:val="99"/>
    <w:semiHidden/>
    <w:rsid w:val="00301152"/>
    <w:pPr>
      <w:ind w:left="520" w:hanging="520"/>
    </w:pPr>
  </w:style>
  <w:style w:type="paragraph" w:styleId="Title">
    <w:name w:val="Title"/>
    <w:basedOn w:val="Normal"/>
    <w:link w:val="TitleChar"/>
    <w:uiPriority w:val="10"/>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301152"/>
    <w:rPr>
      <w:rFonts w:ascii="Arial" w:hAnsi="Arial" w:cs="Arial"/>
      <w:b/>
      <w:bCs/>
      <w:kern w:val="28"/>
      <w:sz w:val="32"/>
      <w:szCs w:val="32"/>
      <w:lang w:bidi="ar-SA"/>
    </w:rPr>
  </w:style>
  <w:style w:type="paragraph" w:styleId="TOAHeading">
    <w:name w:val="toa heading"/>
    <w:basedOn w:val="Normal"/>
    <w:next w:val="Normal"/>
    <w:uiPriority w:val="99"/>
    <w:semiHidden/>
    <w:rsid w:val="00301152"/>
    <w:pPr>
      <w:spacing w:before="120"/>
    </w:pPr>
    <w:rPr>
      <w:rFonts w:ascii="Arial" w:hAnsi="Arial" w:cs="Arial"/>
      <w:b/>
      <w:bCs/>
      <w:sz w:val="24"/>
    </w:rPr>
  </w:style>
  <w:style w:type="paragraph" w:styleId="TOC1">
    <w:name w:val="toc 1"/>
    <w:basedOn w:val="Normal"/>
    <w:next w:val="Normal"/>
    <w:uiPriority w:val="39"/>
    <w:semiHidden/>
    <w:rsid w:val="00301152"/>
  </w:style>
  <w:style w:type="paragraph" w:styleId="TOC2">
    <w:name w:val="toc 2"/>
    <w:basedOn w:val="Normal"/>
    <w:next w:val="Normal"/>
    <w:uiPriority w:val="39"/>
    <w:semiHidden/>
    <w:rsid w:val="00301152"/>
    <w:pPr>
      <w:ind w:left="260"/>
    </w:pPr>
  </w:style>
  <w:style w:type="paragraph" w:styleId="TOC3">
    <w:name w:val="toc 3"/>
    <w:basedOn w:val="Normal"/>
    <w:next w:val="Normal"/>
    <w:uiPriority w:val="39"/>
    <w:semiHidden/>
    <w:rsid w:val="00301152"/>
    <w:pPr>
      <w:ind w:left="520"/>
    </w:pPr>
  </w:style>
  <w:style w:type="paragraph" w:styleId="TOC4">
    <w:name w:val="toc 4"/>
    <w:basedOn w:val="Normal"/>
    <w:next w:val="Normal"/>
    <w:uiPriority w:val="39"/>
    <w:semiHidden/>
    <w:rsid w:val="00301152"/>
    <w:pPr>
      <w:ind w:left="780"/>
    </w:pPr>
  </w:style>
  <w:style w:type="paragraph" w:styleId="TOC5">
    <w:name w:val="toc 5"/>
    <w:basedOn w:val="Normal"/>
    <w:next w:val="Normal"/>
    <w:uiPriority w:val="39"/>
    <w:semiHidden/>
    <w:rsid w:val="00301152"/>
    <w:pPr>
      <w:ind w:left="1040"/>
    </w:pPr>
  </w:style>
  <w:style w:type="paragraph" w:styleId="TOC6">
    <w:name w:val="toc 6"/>
    <w:basedOn w:val="Normal"/>
    <w:next w:val="Normal"/>
    <w:uiPriority w:val="39"/>
    <w:semiHidden/>
    <w:rsid w:val="00301152"/>
    <w:pPr>
      <w:ind w:left="1300"/>
    </w:pPr>
  </w:style>
  <w:style w:type="paragraph" w:styleId="TOC7">
    <w:name w:val="toc 7"/>
    <w:basedOn w:val="Normal"/>
    <w:next w:val="Normal"/>
    <w:uiPriority w:val="39"/>
    <w:semiHidden/>
    <w:rsid w:val="00301152"/>
    <w:pPr>
      <w:ind w:left="1560"/>
    </w:pPr>
  </w:style>
  <w:style w:type="paragraph" w:styleId="TOC8">
    <w:name w:val="toc 8"/>
    <w:basedOn w:val="Normal"/>
    <w:next w:val="Normal"/>
    <w:uiPriority w:val="39"/>
    <w:semiHidden/>
    <w:rsid w:val="00301152"/>
    <w:pPr>
      <w:ind w:left="1820"/>
    </w:pPr>
  </w:style>
  <w:style w:type="paragraph" w:styleId="TOC9">
    <w:name w:val="toc 9"/>
    <w:basedOn w:val="Normal"/>
    <w:next w:val="Normal"/>
    <w:uiPriority w:val="39"/>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styleId="SubtleEmphasis">
    <w:name w:val="Subtle Emphasis"/>
    <w:uiPriority w:val="19"/>
    <w:qFormat/>
    <w:rsid w:val="002B4D58"/>
    <w:rPr>
      <w:i/>
      <w:iCs/>
    </w:rPr>
  </w:style>
  <w:style w:type="character" w:styleId="Emphasis">
    <w:name w:val="Emphasis"/>
    <w:uiPriority w:val="20"/>
    <w:qFormat/>
    <w:rsid w:val="002B4D58"/>
    <w:rPr>
      <w:b/>
      <w:bCs/>
      <w:i/>
      <w:iCs/>
      <w:spacing w:val="10"/>
      <w:bdr w:val="none" w:sz="0" w:space="0" w:color="auto"/>
      <w:shd w:val="clear" w:color="auto" w:fill="auto"/>
    </w:rPr>
  </w:style>
  <w:style w:type="character" w:styleId="IntenseEmphasis">
    <w:name w:val="Intense Emphasis"/>
    <w:uiPriority w:val="21"/>
    <w:qFormat/>
    <w:rsid w:val="002B4D58"/>
    <w:rPr>
      <w:b/>
      <w:bCs/>
    </w:rPr>
  </w:style>
  <w:style w:type="character" w:styleId="Strong">
    <w:name w:val="Strong"/>
    <w:uiPriority w:val="22"/>
    <w:qFormat/>
    <w:rsid w:val="002B4D58"/>
    <w:rPr>
      <w:b/>
      <w:bCs/>
    </w:rPr>
  </w:style>
  <w:style w:type="character" w:styleId="SubtleReference">
    <w:name w:val="Subtle Reference"/>
    <w:uiPriority w:val="31"/>
    <w:qFormat/>
    <w:rsid w:val="002B4D58"/>
    <w:rPr>
      <w:smallCaps/>
    </w:rPr>
  </w:style>
  <w:style w:type="character" w:styleId="IntenseReference">
    <w:name w:val="Intense Reference"/>
    <w:uiPriority w:val="32"/>
    <w:qFormat/>
    <w:rsid w:val="002B4D58"/>
    <w:rPr>
      <w:smallCaps/>
      <w:spacing w:val="5"/>
      <w:u w:val="single"/>
    </w:rPr>
  </w:style>
  <w:style w:type="character" w:styleId="BookTitle">
    <w:name w:val="Book Title"/>
    <w:uiPriority w:val="33"/>
    <w:qFormat/>
    <w:rsid w:val="002B4D58"/>
    <w:rPr>
      <w:i/>
      <w:iCs/>
      <w:smallCaps/>
      <w:spacing w:val="5"/>
    </w:rPr>
  </w:style>
  <w:style w:type="character" w:styleId="FollowedHyperlink">
    <w:name w:val="FollowedHyperlink"/>
    <w:basedOn w:val="DefaultParagraphFont"/>
    <w:uiPriority w:val="99"/>
    <w:unhideWhenUsed/>
    <w:rsid w:val="002B4D58"/>
    <w:rPr>
      <w:color w:val="800080" w:themeColor="followedHyperlink"/>
      <w:u w:val="single"/>
    </w:rPr>
  </w:style>
  <w:style w:type="character" w:customStyle="1" w:styleId="FootnoteTextChar">
    <w:name w:val="Footnote Text Char"/>
    <w:aliases w:val="fn Char1,Footnote Text Char1 Char2,Footnote Text Char Char Char2,Footnote Text Char1 Char Char1,Footnote Text Char Char Char Char1,Footnote Text Char Char1 Char1,Footnote Text Char1 Char Char Char1 Char1,Style 13 Char,Style 14 Char"/>
    <w:basedOn w:val="DefaultParagraphFont"/>
    <w:link w:val="FootnoteText"/>
    <w:uiPriority w:val="99"/>
    <w:rsid w:val="002B4D58"/>
    <w:rPr>
      <w:sz w:val="26"/>
      <w:lang w:bidi="ar-SA"/>
    </w:rPr>
  </w:style>
  <w:style w:type="character" w:customStyle="1" w:styleId="FootnoteTextChar2">
    <w:name w:val="Footnote Text Char2"/>
    <w:aliases w:val="Footnote Text Char Char2,fn Char,Footnote Text Char1 Char1,Footnote Text Char Char Char1,Footnote Text Char1 Char Char,Footnote Text Char Char Char Char,Footnote Text Char Char1 Char,Footnote Text Char1 Char Char Char1 Char,ft Char"/>
    <w:basedOn w:val="DefaultParagraphFont"/>
    <w:rsid w:val="002B4D58"/>
    <w:rPr>
      <w:sz w:val="26"/>
      <w:lang w:val="en-US" w:eastAsia="en-US" w:bidi="ar-SA"/>
    </w:rPr>
  </w:style>
  <w:style w:type="character" w:customStyle="1" w:styleId="HeaderChar">
    <w:name w:val="Header Char"/>
    <w:basedOn w:val="DefaultParagraphFont"/>
    <w:link w:val="Header"/>
    <w:rsid w:val="002B4D58"/>
    <w:rPr>
      <w:sz w:val="26"/>
      <w:szCs w:val="24"/>
      <w:lang w:bidi="ar-SA"/>
    </w:rPr>
  </w:style>
  <w:style w:type="character" w:customStyle="1" w:styleId="FooterChar">
    <w:name w:val="Footer Char"/>
    <w:basedOn w:val="DefaultParagraphFont"/>
    <w:link w:val="Footer"/>
    <w:rsid w:val="002B4D58"/>
    <w:rPr>
      <w:sz w:val="26"/>
      <w:szCs w:val="24"/>
      <w:lang w:bidi="ar-SA"/>
    </w:rPr>
  </w:style>
  <w:style w:type="paragraph" w:customStyle="1" w:styleId="CM1">
    <w:name w:val="CM1"/>
    <w:basedOn w:val="Normal"/>
    <w:next w:val="Normal"/>
    <w:rsid w:val="002B4D58"/>
    <w:pPr>
      <w:widowControl w:val="0"/>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CM14">
    <w:name w:val="CM14"/>
    <w:basedOn w:val="Normal"/>
    <w:next w:val="Normal"/>
    <w:rsid w:val="002B4D58"/>
    <w:pPr>
      <w:widowControl w:val="0"/>
      <w:autoSpaceDE w:val="0"/>
      <w:autoSpaceDN w:val="0"/>
      <w:adjustRightInd w:val="0"/>
    </w:pPr>
    <w:rPr>
      <w:rFonts w:ascii="Times New Roman" w:eastAsia="Times New Roman" w:hAnsi="Times New Roman" w:cs="Times New Roman"/>
      <w:sz w:val="24"/>
      <w:szCs w:val="24"/>
    </w:rPr>
  </w:style>
  <w:style w:type="character" w:customStyle="1" w:styleId="costarpage">
    <w:name w:val="co_starpage"/>
    <w:basedOn w:val="DefaultParagraphFont"/>
    <w:rsid w:val="002B4D58"/>
  </w:style>
  <w:style w:type="character" w:customStyle="1" w:styleId="apple-converted-space">
    <w:name w:val="apple-converted-space"/>
    <w:basedOn w:val="DefaultParagraphFont"/>
    <w:rsid w:val="002B4D58"/>
  </w:style>
  <w:style w:type="character" w:styleId="CommentReference">
    <w:name w:val="annotation reference"/>
    <w:basedOn w:val="DefaultParagraphFont"/>
    <w:uiPriority w:val="99"/>
    <w:semiHidden/>
    <w:unhideWhenUsed/>
    <w:rsid w:val="002B4D58"/>
    <w:rPr>
      <w:sz w:val="16"/>
      <w:szCs w:val="16"/>
    </w:rPr>
  </w:style>
  <w:style w:type="character" w:customStyle="1" w:styleId="FERCparanumberChar">
    <w:name w:val="FERC paranumber Char"/>
    <w:link w:val="FERCparanumber"/>
    <w:locked/>
    <w:rsid w:val="002B4D58"/>
    <w:rPr>
      <w:rFonts w:eastAsiaTheme="minorEastAsia" w:cstheme="minorBidi"/>
      <w:sz w:val="26"/>
      <w:szCs w:val="22"/>
      <w:lang w:bidi="ar-SA"/>
    </w:rPr>
  </w:style>
  <w:style w:type="paragraph" w:styleId="Revision">
    <w:name w:val="Revision"/>
    <w:hidden/>
    <w:uiPriority w:val="99"/>
    <w:semiHidden/>
    <w:rsid w:val="002B4D58"/>
    <w:pPr>
      <w:spacing w:after="200" w:line="276" w:lineRule="auto"/>
    </w:pPr>
    <w:rPr>
      <w:rFonts w:asciiTheme="minorHAnsi" w:eastAsiaTheme="minorEastAsia" w:hAnsiTheme="minorHAnsi" w:cstheme="minorBidi"/>
      <w:sz w:val="22"/>
      <w:szCs w:val="22"/>
      <w:lang w:bidi="ar-SA"/>
    </w:rPr>
  </w:style>
  <w:style w:type="character" w:customStyle="1" w:styleId="a">
    <w:name w:val="a"/>
    <w:basedOn w:val="DefaultParagraphFont"/>
    <w:rsid w:val="002B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84066">
      <w:bodyDiv w:val="1"/>
      <w:marLeft w:val="0"/>
      <w:marRight w:val="0"/>
      <w:marTop w:val="0"/>
      <w:marBottom w:val="0"/>
      <w:divBdr>
        <w:top w:val="none" w:sz="0" w:space="0" w:color="auto"/>
        <w:left w:val="none" w:sz="0" w:space="0" w:color="auto"/>
        <w:bottom w:val="none" w:sz="0" w:space="0" w:color="auto"/>
        <w:right w:val="none" w:sz="0" w:space="0" w:color="auto"/>
      </w:divBdr>
    </w:div>
    <w:div w:id="852498017">
      <w:bodyDiv w:val="1"/>
      <w:marLeft w:val="0"/>
      <w:marRight w:val="0"/>
      <w:marTop w:val="0"/>
      <w:marBottom w:val="0"/>
      <w:divBdr>
        <w:top w:val="none" w:sz="0" w:space="0" w:color="auto"/>
        <w:left w:val="none" w:sz="0" w:space="0" w:color="auto"/>
        <w:bottom w:val="none" w:sz="0" w:space="0" w:color="auto"/>
        <w:right w:val="none" w:sz="0" w:space="0" w:color="auto"/>
      </w:divBdr>
    </w:div>
    <w:div w:id="1259486870">
      <w:bodyDiv w:val="1"/>
      <w:marLeft w:val="0"/>
      <w:marRight w:val="0"/>
      <w:marTop w:val="0"/>
      <w:marBottom w:val="0"/>
      <w:divBdr>
        <w:top w:val="none" w:sz="0" w:space="0" w:color="auto"/>
        <w:left w:val="none" w:sz="0" w:space="0" w:color="auto"/>
        <w:bottom w:val="none" w:sz="0" w:space="0" w:color="auto"/>
        <w:right w:val="none" w:sz="0" w:space="0" w:color="auto"/>
      </w:divBdr>
      <w:divsChild>
        <w:div w:id="1868830964">
          <w:marLeft w:val="0"/>
          <w:marRight w:val="0"/>
          <w:marTop w:val="0"/>
          <w:marBottom w:val="0"/>
          <w:divBdr>
            <w:top w:val="none" w:sz="0" w:space="0" w:color="auto"/>
            <w:left w:val="single" w:sz="6" w:space="0" w:color="BBBBBB"/>
            <w:bottom w:val="single" w:sz="6" w:space="0" w:color="BBBBBB"/>
            <w:right w:val="single" w:sz="6" w:space="0" w:color="BBBBBB"/>
          </w:divBdr>
          <w:divsChild>
            <w:div w:id="1745764376">
              <w:marLeft w:val="0"/>
              <w:marRight w:val="0"/>
              <w:marTop w:val="0"/>
              <w:marBottom w:val="0"/>
              <w:divBdr>
                <w:top w:val="none" w:sz="0" w:space="0" w:color="auto"/>
                <w:left w:val="none" w:sz="0" w:space="0" w:color="auto"/>
                <w:bottom w:val="none" w:sz="0" w:space="0" w:color="auto"/>
                <w:right w:val="none" w:sz="0" w:space="0" w:color="auto"/>
              </w:divBdr>
              <w:divsChild>
                <w:div w:id="124322185">
                  <w:marLeft w:val="0"/>
                  <w:marRight w:val="0"/>
                  <w:marTop w:val="0"/>
                  <w:marBottom w:val="0"/>
                  <w:divBdr>
                    <w:top w:val="none" w:sz="0" w:space="0" w:color="auto"/>
                    <w:left w:val="none" w:sz="0" w:space="0" w:color="auto"/>
                    <w:bottom w:val="none" w:sz="0" w:space="0" w:color="auto"/>
                    <w:right w:val="none" w:sz="0" w:space="0" w:color="auto"/>
                  </w:divBdr>
                  <w:divsChild>
                    <w:div w:id="1935505703">
                      <w:marLeft w:val="0"/>
                      <w:marRight w:val="0"/>
                      <w:marTop w:val="0"/>
                      <w:marBottom w:val="0"/>
                      <w:divBdr>
                        <w:top w:val="none" w:sz="0" w:space="0" w:color="auto"/>
                        <w:left w:val="none" w:sz="0" w:space="0" w:color="auto"/>
                        <w:bottom w:val="none" w:sz="0" w:space="0" w:color="auto"/>
                        <w:right w:val="none" w:sz="0" w:space="0" w:color="auto"/>
                      </w:divBdr>
                      <w:divsChild>
                        <w:div w:id="1271668027">
                          <w:marLeft w:val="0"/>
                          <w:marRight w:val="0"/>
                          <w:marTop w:val="0"/>
                          <w:marBottom w:val="0"/>
                          <w:divBdr>
                            <w:top w:val="none" w:sz="0" w:space="0" w:color="auto"/>
                            <w:left w:val="none" w:sz="0" w:space="0" w:color="auto"/>
                            <w:bottom w:val="none" w:sz="0" w:space="0" w:color="auto"/>
                            <w:right w:val="none" w:sz="0" w:space="0" w:color="auto"/>
                          </w:divBdr>
                          <w:divsChild>
                            <w:div w:id="344745970">
                              <w:marLeft w:val="0"/>
                              <w:marRight w:val="0"/>
                              <w:marTop w:val="0"/>
                              <w:marBottom w:val="0"/>
                              <w:divBdr>
                                <w:top w:val="none" w:sz="0" w:space="0" w:color="auto"/>
                                <w:left w:val="none" w:sz="0" w:space="0" w:color="auto"/>
                                <w:bottom w:val="none" w:sz="0" w:space="0" w:color="auto"/>
                                <w:right w:val="none" w:sz="0" w:space="0" w:color="auto"/>
                              </w:divBdr>
                              <w:divsChild>
                                <w:div w:id="1398745198">
                                  <w:marLeft w:val="0"/>
                                  <w:marRight w:val="0"/>
                                  <w:marTop w:val="0"/>
                                  <w:marBottom w:val="0"/>
                                  <w:divBdr>
                                    <w:top w:val="none" w:sz="0" w:space="0" w:color="auto"/>
                                    <w:left w:val="none" w:sz="0" w:space="0" w:color="auto"/>
                                    <w:bottom w:val="none" w:sz="0" w:space="0" w:color="auto"/>
                                    <w:right w:val="none" w:sz="0" w:space="0" w:color="auto"/>
                                  </w:divBdr>
                                  <w:divsChild>
                                    <w:div w:id="583756906">
                                      <w:marLeft w:val="0"/>
                                      <w:marRight w:val="0"/>
                                      <w:marTop w:val="135"/>
                                      <w:marBottom w:val="0"/>
                                      <w:divBdr>
                                        <w:top w:val="none" w:sz="0" w:space="0" w:color="auto"/>
                                        <w:left w:val="none" w:sz="0" w:space="0" w:color="auto"/>
                                        <w:bottom w:val="none" w:sz="0" w:space="0" w:color="auto"/>
                                        <w:right w:val="none" w:sz="0" w:space="0" w:color="auto"/>
                                      </w:divBdr>
                                      <w:divsChild>
                                        <w:div w:id="1720543750">
                                          <w:marLeft w:val="450"/>
                                          <w:marRight w:val="0"/>
                                          <w:marTop w:val="0"/>
                                          <w:marBottom w:val="0"/>
                                          <w:divBdr>
                                            <w:top w:val="none" w:sz="0" w:space="0" w:color="auto"/>
                                            <w:left w:val="none" w:sz="0" w:space="0" w:color="auto"/>
                                            <w:bottom w:val="none" w:sz="0" w:space="0" w:color="auto"/>
                                            <w:right w:val="none" w:sz="0" w:space="0" w:color="auto"/>
                                          </w:divBdr>
                                          <w:divsChild>
                                            <w:div w:id="14417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94715">
                  <w:marLeft w:val="0"/>
                  <w:marRight w:val="0"/>
                  <w:marTop w:val="0"/>
                  <w:marBottom w:val="0"/>
                  <w:divBdr>
                    <w:top w:val="none" w:sz="0" w:space="0" w:color="auto"/>
                    <w:left w:val="none" w:sz="0" w:space="0" w:color="auto"/>
                    <w:bottom w:val="none" w:sz="0" w:space="0" w:color="auto"/>
                    <w:right w:val="none" w:sz="0" w:space="0" w:color="auto"/>
                  </w:divBdr>
                  <w:divsChild>
                    <w:div w:id="383144844">
                      <w:marLeft w:val="0"/>
                      <w:marRight w:val="0"/>
                      <w:marTop w:val="0"/>
                      <w:marBottom w:val="0"/>
                      <w:divBdr>
                        <w:top w:val="none" w:sz="0" w:space="0" w:color="auto"/>
                        <w:left w:val="none" w:sz="0" w:space="0" w:color="auto"/>
                        <w:bottom w:val="none" w:sz="0" w:space="0" w:color="auto"/>
                        <w:right w:val="none" w:sz="0" w:space="0" w:color="auto"/>
                      </w:divBdr>
                      <w:divsChild>
                        <w:div w:id="1538589109">
                          <w:marLeft w:val="0"/>
                          <w:marRight w:val="0"/>
                          <w:marTop w:val="0"/>
                          <w:marBottom w:val="0"/>
                          <w:divBdr>
                            <w:top w:val="none" w:sz="0" w:space="0" w:color="auto"/>
                            <w:left w:val="none" w:sz="0" w:space="0" w:color="auto"/>
                            <w:bottom w:val="none" w:sz="0" w:space="0" w:color="auto"/>
                            <w:right w:val="none" w:sz="0" w:space="0" w:color="auto"/>
                          </w:divBdr>
                        </w:div>
                      </w:divsChild>
                    </w:div>
                    <w:div w:id="392581890">
                      <w:marLeft w:val="-2685"/>
                      <w:marRight w:val="0"/>
                      <w:marTop w:val="495"/>
                      <w:marBottom w:val="0"/>
                      <w:divBdr>
                        <w:top w:val="none" w:sz="0" w:space="0" w:color="auto"/>
                        <w:left w:val="none" w:sz="0" w:space="0" w:color="auto"/>
                        <w:bottom w:val="none" w:sz="0" w:space="0" w:color="auto"/>
                        <w:right w:val="none" w:sz="0" w:space="0" w:color="auto"/>
                      </w:divBdr>
                      <w:divsChild>
                        <w:div w:id="713579674">
                          <w:marLeft w:val="0"/>
                          <w:marRight w:val="0"/>
                          <w:marTop w:val="0"/>
                          <w:marBottom w:val="0"/>
                          <w:divBdr>
                            <w:top w:val="none" w:sz="0" w:space="0" w:color="auto"/>
                            <w:left w:val="none" w:sz="0" w:space="0" w:color="auto"/>
                            <w:bottom w:val="none" w:sz="0" w:space="0" w:color="auto"/>
                            <w:right w:val="none" w:sz="0" w:space="0" w:color="auto"/>
                          </w:divBdr>
                          <w:divsChild>
                            <w:div w:id="328295045">
                              <w:marLeft w:val="0"/>
                              <w:marRight w:val="0"/>
                              <w:marTop w:val="0"/>
                              <w:marBottom w:val="0"/>
                              <w:divBdr>
                                <w:top w:val="none" w:sz="0" w:space="0" w:color="auto"/>
                                <w:left w:val="none" w:sz="0" w:space="0" w:color="auto"/>
                                <w:bottom w:val="none" w:sz="0" w:space="0" w:color="auto"/>
                                <w:right w:val="none" w:sz="0" w:space="0" w:color="auto"/>
                              </w:divBdr>
                              <w:divsChild>
                                <w:div w:id="189690805">
                                  <w:marLeft w:val="0"/>
                                  <w:marRight w:val="0"/>
                                  <w:marTop w:val="0"/>
                                  <w:marBottom w:val="0"/>
                                  <w:divBdr>
                                    <w:top w:val="none" w:sz="0" w:space="0" w:color="auto"/>
                                    <w:left w:val="none" w:sz="0" w:space="0" w:color="auto"/>
                                    <w:bottom w:val="none" w:sz="0" w:space="0" w:color="auto"/>
                                    <w:right w:val="none" w:sz="0" w:space="0" w:color="auto"/>
                                  </w:divBdr>
                                  <w:divsChild>
                                    <w:div w:id="1454013642">
                                      <w:marLeft w:val="0"/>
                                      <w:marRight w:val="0"/>
                                      <w:marTop w:val="0"/>
                                      <w:marBottom w:val="0"/>
                                      <w:divBdr>
                                        <w:top w:val="none" w:sz="0" w:space="0" w:color="auto"/>
                                        <w:left w:val="none" w:sz="0" w:space="0" w:color="auto"/>
                                        <w:bottom w:val="none" w:sz="0" w:space="0" w:color="auto"/>
                                        <w:right w:val="none" w:sz="0" w:space="0" w:color="auto"/>
                                      </w:divBdr>
                                      <w:divsChild>
                                        <w:div w:id="2003777312">
                                          <w:marLeft w:val="0"/>
                                          <w:marRight w:val="0"/>
                                          <w:marTop w:val="0"/>
                                          <w:marBottom w:val="0"/>
                                          <w:divBdr>
                                            <w:top w:val="none" w:sz="0" w:space="0" w:color="auto"/>
                                            <w:left w:val="none" w:sz="0" w:space="0" w:color="auto"/>
                                            <w:bottom w:val="none" w:sz="0" w:space="0" w:color="auto"/>
                                            <w:right w:val="none" w:sz="0" w:space="0" w:color="auto"/>
                                          </w:divBdr>
                                        </w:div>
                                        <w:div w:id="2083940688">
                                          <w:marLeft w:val="0"/>
                                          <w:marRight w:val="0"/>
                                          <w:marTop w:val="0"/>
                                          <w:marBottom w:val="0"/>
                                          <w:divBdr>
                                            <w:top w:val="none" w:sz="0" w:space="0" w:color="auto"/>
                                            <w:left w:val="none" w:sz="0" w:space="0" w:color="auto"/>
                                            <w:bottom w:val="none" w:sz="0" w:space="0" w:color="auto"/>
                                            <w:right w:val="none" w:sz="0" w:space="0" w:color="auto"/>
                                          </w:divBdr>
                                          <w:divsChild>
                                            <w:div w:id="420179695">
                                              <w:marLeft w:val="0"/>
                                              <w:marRight w:val="0"/>
                                              <w:marTop w:val="0"/>
                                              <w:marBottom w:val="0"/>
                                              <w:divBdr>
                                                <w:top w:val="none" w:sz="0" w:space="0" w:color="auto"/>
                                                <w:left w:val="none" w:sz="0" w:space="0" w:color="auto"/>
                                                <w:bottom w:val="none" w:sz="0" w:space="0" w:color="auto"/>
                                                <w:right w:val="none" w:sz="0" w:space="0" w:color="auto"/>
                                              </w:divBdr>
                                              <w:divsChild>
                                                <w:div w:id="27612006">
                                                  <w:marLeft w:val="0"/>
                                                  <w:marRight w:val="0"/>
                                                  <w:marTop w:val="0"/>
                                                  <w:marBottom w:val="0"/>
                                                  <w:divBdr>
                                                    <w:top w:val="single" w:sz="6" w:space="2" w:color="C9C9C9"/>
                                                    <w:left w:val="single" w:sz="6" w:space="8" w:color="C9C9C9"/>
                                                    <w:bottom w:val="single" w:sz="6" w:space="2" w:color="C9C9C9"/>
                                                    <w:right w:val="single" w:sz="6" w:space="8" w:color="C9C9C9"/>
                                                  </w:divBdr>
                                                </w:div>
                                                <w:div w:id="680275668">
                                                  <w:marLeft w:val="0"/>
                                                  <w:marRight w:val="0"/>
                                                  <w:marTop w:val="0"/>
                                                  <w:marBottom w:val="0"/>
                                                  <w:divBdr>
                                                    <w:top w:val="single" w:sz="6" w:space="2" w:color="D1D1D1"/>
                                                    <w:left w:val="single" w:sz="6" w:space="3" w:color="D1D1D1"/>
                                                    <w:bottom w:val="single" w:sz="6" w:space="2" w:color="D1D1D1"/>
                                                    <w:right w:val="single" w:sz="6" w:space="3" w:color="D1D1D1"/>
                                                  </w:divBdr>
                                                </w:div>
                                              </w:divsChild>
                                            </w:div>
                                            <w:div w:id="866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20948">
                          <w:marLeft w:val="0"/>
                          <w:marRight w:val="0"/>
                          <w:marTop w:val="0"/>
                          <w:marBottom w:val="0"/>
                          <w:divBdr>
                            <w:top w:val="none" w:sz="0" w:space="0" w:color="auto"/>
                            <w:left w:val="none" w:sz="0" w:space="0" w:color="auto"/>
                            <w:bottom w:val="none" w:sz="0" w:space="0" w:color="auto"/>
                            <w:right w:val="none" w:sz="0" w:space="0" w:color="auto"/>
                          </w:divBdr>
                          <w:divsChild>
                            <w:div w:id="10390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325">
                      <w:marLeft w:val="0"/>
                      <w:marRight w:val="0"/>
                      <w:marTop w:val="0"/>
                      <w:marBottom w:val="0"/>
                      <w:divBdr>
                        <w:top w:val="none" w:sz="0" w:space="0" w:color="auto"/>
                        <w:left w:val="none" w:sz="0" w:space="0" w:color="auto"/>
                        <w:bottom w:val="none" w:sz="0" w:space="0" w:color="auto"/>
                        <w:right w:val="none" w:sz="0" w:space="0" w:color="auto"/>
                      </w:divBdr>
                      <w:divsChild>
                        <w:div w:id="1181317647">
                          <w:marLeft w:val="0"/>
                          <w:marRight w:val="0"/>
                          <w:marTop w:val="0"/>
                          <w:marBottom w:val="0"/>
                          <w:divBdr>
                            <w:top w:val="none" w:sz="0" w:space="0" w:color="auto"/>
                            <w:left w:val="none" w:sz="0" w:space="0" w:color="auto"/>
                            <w:bottom w:val="none" w:sz="0" w:space="0" w:color="auto"/>
                            <w:right w:val="none" w:sz="0" w:space="0" w:color="auto"/>
                          </w:divBdr>
                          <w:divsChild>
                            <w:div w:id="1038432889">
                              <w:marLeft w:val="0"/>
                              <w:marRight w:val="0"/>
                              <w:marTop w:val="0"/>
                              <w:marBottom w:val="0"/>
                              <w:divBdr>
                                <w:top w:val="none" w:sz="0" w:space="0" w:color="auto"/>
                                <w:left w:val="none" w:sz="0" w:space="0" w:color="auto"/>
                                <w:bottom w:val="none" w:sz="0" w:space="0" w:color="auto"/>
                                <w:right w:val="none" w:sz="0" w:space="0" w:color="auto"/>
                              </w:divBdr>
                              <w:divsChild>
                                <w:div w:id="363868163">
                                  <w:marLeft w:val="0"/>
                                  <w:marRight w:val="0"/>
                                  <w:marTop w:val="0"/>
                                  <w:marBottom w:val="0"/>
                                  <w:divBdr>
                                    <w:top w:val="none" w:sz="0" w:space="0" w:color="auto"/>
                                    <w:left w:val="none" w:sz="0" w:space="0" w:color="auto"/>
                                    <w:bottom w:val="none" w:sz="0" w:space="0" w:color="auto"/>
                                    <w:right w:val="none" w:sz="0" w:space="0" w:color="auto"/>
                                  </w:divBdr>
                                  <w:divsChild>
                                    <w:div w:id="1070886577">
                                      <w:marLeft w:val="0"/>
                                      <w:marRight w:val="0"/>
                                      <w:marTop w:val="0"/>
                                      <w:marBottom w:val="0"/>
                                      <w:divBdr>
                                        <w:top w:val="none" w:sz="0" w:space="0" w:color="auto"/>
                                        <w:left w:val="none" w:sz="0" w:space="0" w:color="auto"/>
                                        <w:bottom w:val="none" w:sz="0" w:space="0" w:color="auto"/>
                                        <w:right w:val="none" w:sz="0" w:space="0" w:color="auto"/>
                                      </w:divBdr>
                                    </w:div>
                                  </w:divsChild>
                                </w:div>
                                <w:div w:id="1330250260">
                                  <w:marLeft w:val="0"/>
                                  <w:marRight w:val="0"/>
                                  <w:marTop w:val="0"/>
                                  <w:marBottom w:val="0"/>
                                  <w:divBdr>
                                    <w:top w:val="none" w:sz="0" w:space="0" w:color="auto"/>
                                    <w:left w:val="none" w:sz="0" w:space="0" w:color="auto"/>
                                    <w:bottom w:val="none" w:sz="0" w:space="0" w:color="auto"/>
                                    <w:right w:val="none" w:sz="0" w:space="0" w:color="auto"/>
                                  </w:divBdr>
                                  <w:divsChild>
                                    <w:div w:id="201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9910">
                      <w:marLeft w:val="0"/>
                      <w:marRight w:val="0"/>
                      <w:marTop w:val="0"/>
                      <w:marBottom w:val="0"/>
                      <w:divBdr>
                        <w:top w:val="none" w:sz="0" w:space="0" w:color="auto"/>
                        <w:left w:val="none" w:sz="0" w:space="0" w:color="auto"/>
                        <w:bottom w:val="none" w:sz="0" w:space="0" w:color="auto"/>
                        <w:right w:val="none" w:sz="0" w:space="0" w:color="auto"/>
                      </w:divBdr>
                      <w:divsChild>
                        <w:div w:id="418870672">
                          <w:marLeft w:val="0"/>
                          <w:marRight w:val="0"/>
                          <w:marTop w:val="0"/>
                          <w:marBottom w:val="0"/>
                          <w:divBdr>
                            <w:top w:val="single" w:sz="6" w:space="2" w:color="C9C9C9"/>
                            <w:left w:val="single" w:sz="6" w:space="0" w:color="C9C9C9"/>
                            <w:bottom w:val="single" w:sz="6" w:space="2" w:color="C9C9C9"/>
                            <w:right w:val="single" w:sz="6" w:space="0" w:color="C9C9C9"/>
                          </w:divBdr>
                          <w:divsChild>
                            <w:div w:id="2221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669">
                      <w:marLeft w:val="0"/>
                      <w:marRight w:val="0"/>
                      <w:marTop w:val="0"/>
                      <w:marBottom w:val="0"/>
                      <w:divBdr>
                        <w:top w:val="none" w:sz="0" w:space="0" w:color="auto"/>
                        <w:left w:val="none" w:sz="0" w:space="0" w:color="auto"/>
                        <w:bottom w:val="none" w:sz="0" w:space="0" w:color="auto"/>
                        <w:right w:val="none" w:sz="0" w:space="0" w:color="auto"/>
                      </w:divBdr>
                      <w:divsChild>
                        <w:div w:id="2084063699">
                          <w:marLeft w:val="0"/>
                          <w:marRight w:val="0"/>
                          <w:marTop w:val="0"/>
                          <w:marBottom w:val="0"/>
                          <w:divBdr>
                            <w:top w:val="none" w:sz="0" w:space="0" w:color="auto"/>
                            <w:left w:val="none" w:sz="0" w:space="0" w:color="auto"/>
                            <w:bottom w:val="none" w:sz="0" w:space="0" w:color="auto"/>
                            <w:right w:val="none" w:sz="0" w:space="0" w:color="auto"/>
                          </w:divBdr>
                        </w:div>
                      </w:divsChild>
                    </w:div>
                    <w:div w:id="1854879737">
                      <w:marLeft w:val="0"/>
                      <w:marRight w:val="0"/>
                      <w:marTop w:val="0"/>
                      <w:marBottom w:val="0"/>
                      <w:divBdr>
                        <w:top w:val="none" w:sz="0" w:space="0" w:color="auto"/>
                        <w:left w:val="none" w:sz="0" w:space="0" w:color="auto"/>
                        <w:bottom w:val="none" w:sz="0" w:space="0" w:color="auto"/>
                        <w:right w:val="none" w:sz="0" w:space="0" w:color="auto"/>
                      </w:divBdr>
                      <w:divsChild>
                        <w:div w:id="87120848">
                          <w:marLeft w:val="0"/>
                          <w:marRight w:val="0"/>
                          <w:marTop w:val="0"/>
                          <w:marBottom w:val="0"/>
                          <w:divBdr>
                            <w:top w:val="none" w:sz="0" w:space="0" w:color="auto"/>
                            <w:left w:val="none" w:sz="0" w:space="0" w:color="auto"/>
                            <w:bottom w:val="none" w:sz="0" w:space="0" w:color="auto"/>
                            <w:right w:val="none" w:sz="0" w:space="0" w:color="auto"/>
                          </w:divBdr>
                          <w:divsChild>
                            <w:div w:id="995455878">
                              <w:marLeft w:val="0"/>
                              <w:marRight w:val="0"/>
                              <w:marTop w:val="0"/>
                              <w:marBottom w:val="0"/>
                              <w:divBdr>
                                <w:top w:val="none" w:sz="0" w:space="0" w:color="auto"/>
                                <w:left w:val="none" w:sz="0" w:space="0" w:color="auto"/>
                                <w:bottom w:val="none" w:sz="0" w:space="0" w:color="auto"/>
                                <w:right w:val="none" w:sz="0" w:space="0" w:color="auto"/>
                              </w:divBdr>
                              <w:divsChild>
                                <w:div w:id="19271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8820">
                      <w:marLeft w:val="0"/>
                      <w:marRight w:val="0"/>
                      <w:marTop w:val="495"/>
                      <w:marBottom w:val="0"/>
                      <w:divBdr>
                        <w:top w:val="none" w:sz="0" w:space="0" w:color="auto"/>
                        <w:left w:val="none" w:sz="0" w:space="0" w:color="auto"/>
                        <w:bottom w:val="none" w:sz="0" w:space="0" w:color="auto"/>
                        <w:right w:val="none" w:sz="0" w:space="0" w:color="auto"/>
                      </w:divBdr>
                      <w:divsChild>
                        <w:div w:id="2121607350">
                          <w:marLeft w:val="2730"/>
                          <w:marRight w:val="2835"/>
                          <w:marTop w:val="0"/>
                          <w:marBottom w:val="0"/>
                          <w:divBdr>
                            <w:top w:val="none" w:sz="0" w:space="0" w:color="auto"/>
                            <w:left w:val="none" w:sz="0" w:space="0" w:color="auto"/>
                            <w:bottom w:val="none" w:sz="0" w:space="0" w:color="auto"/>
                            <w:right w:val="none" w:sz="0" w:space="0" w:color="auto"/>
                          </w:divBdr>
                          <w:divsChild>
                            <w:div w:id="17465299">
                              <w:marLeft w:val="0"/>
                              <w:marRight w:val="0"/>
                              <w:marTop w:val="0"/>
                              <w:marBottom w:val="0"/>
                              <w:divBdr>
                                <w:top w:val="none" w:sz="0" w:space="0" w:color="auto"/>
                                <w:left w:val="none" w:sz="0" w:space="0" w:color="auto"/>
                                <w:bottom w:val="none" w:sz="0" w:space="0" w:color="auto"/>
                                <w:right w:val="none" w:sz="0" w:space="0" w:color="auto"/>
                              </w:divBdr>
                            </w:div>
                            <w:div w:id="1452213264">
                              <w:marLeft w:val="0"/>
                              <w:marRight w:val="0"/>
                              <w:marTop w:val="0"/>
                              <w:marBottom w:val="0"/>
                              <w:divBdr>
                                <w:top w:val="none" w:sz="0" w:space="0" w:color="auto"/>
                                <w:left w:val="none" w:sz="0" w:space="0" w:color="auto"/>
                                <w:bottom w:val="none" w:sz="0" w:space="0" w:color="auto"/>
                                <w:right w:val="none" w:sz="0" w:space="0" w:color="auto"/>
                              </w:divBdr>
                              <w:divsChild>
                                <w:div w:id="1075318046">
                                  <w:marLeft w:val="0"/>
                                  <w:marRight w:val="4440"/>
                                  <w:marTop w:val="0"/>
                                  <w:marBottom w:val="0"/>
                                  <w:divBdr>
                                    <w:top w:val="none" w:sz="0" w:space="0" w:color="auto"/>
                                    <w:left w:val="none" w:sz="0" w:space="0" w:color="auto"/>
                                    <w:bottom w:val="none" w:sz="0" w:space="0" w:color="auto"/>
                                    <w:right w:val="none" w:sz="0" w:space="0" w:color="auto"/>
                                  </w:divBdr>
                                  <w:divsChild>
                                    <w:div w:id="1549955487">
                                      <w:marLeft w:val="0"/>
                                      <w:marRight w:val="0"/>
                                      <w:marTop w:val="0"/>
                                      <w:marBottom w:val="0"/>
                                      <w:divBdr>
                                        <w:top w:val="none" w:sz="0" w:space="0" w:color="auto"/>
                                        <w:left w:val="none" w:sz="0" w:space="0" w:color="auto"/>
                                        <w:bottom w:val="none" w:sz="0" w:space="0" w:color="auto"/>
                                        <w:right w:val="none" w:sz="0" w:space="0" w:color="auto"/>
                                      </w:divBdr>
                                      <w:divsChild>
                                        <w:div w:id="334380829">
                                          <w:marLeft w:val="0"/>
                                          <w:marRight w:val="0"/>
                                          <w:marTop w:val="0"/>
                                          <w:marBottom w:val="0"/>
                                          <w:divBdr>
                                            <w:top w:val="none" w:sz="0" w:space="0" w:color="auto"/>
                                            <w:left w:val="none" w:sz="0" w:space="0" w:color="auto"/>
                                            <w:bottom w:val="none" w:sz="0" w:space="0" w:color="auto"/>
                                            <w:right w:val="none" w:sz="0" w:space="0" w:color="auto"/>
                                          </w:divBdr>
                                          <w:divsChild>
                                            <w:div w:id="74129163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0675">
                              <w:marLeft w:val="-4440"/>
                              <w:marRight w:val="0"/>
                              <w:marTop w:val="0"/>
                              <w:marBottom w:val="0"/>
                              <w:divBdr>
                                <w:top w:val="none" w:sz="0" w:space="0" w:color="auto"/>
                                <w:left w:val="none" w:sz="0" w:space="0" w:color="auto"/>
                                <w:bottom w:val="none" w:sz="0" w:space="0" w:color="auto"/>
                                <w:right w:val="none" w:sz="0" w:space="0" w:color="auto"/>
                              </w:divBdr>
                            </w:div>
                            <w:div w:id="19034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0746">
      <w:bodyDiv w:val="1"/>
      <w:marLeft w:val="0"/>
      <w:marRight w:val="0"/>
      <w:marTop w:val="0"/>
      <w:marBottom w:val="0"/>
      <w:divBdr>
        <w:top w:val="none" w:sz="0" w:space="0" w:color="auto"/>
        <w:left w:val="none" w:sz="0" w:space="0" w:color="auto"/>
        <w:bottom w:val="none" w:sz="0" w:space="0" w:color="auto"/>
        <w:right w:val="none" w:sz="0" w:space="0" w:color="auto"/>
      </w:divBdr>
    </w:div>
    <w:div w:id="1590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ublic.referenceroom@ferc.gov" TargetMode="External"/><Relationship Id="rId2" Type="http://schemas.openxmlformats.org/officeDocument/2006/relationships/customXml" Target="../customXml/item2.xml"/><Relationship Id="rId16" Type="http://schemas.openxmlformats.org/officeDocument/2006/relationships/hyperlink" Target="mailto:ferconlinesupport@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er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69C9-1B1C-46F1-AA41-BFBCB64C208E}">
  <ds:schemaRefs>
    <ds:schemaRef ds:uri="http://schemas.microsoft.com/office/2006/metadata/properties"/>
  </ds:schemaRefs>
</ds:datastoreItem>
</file>

<file path=customXml/itemProps2.xml><?xml version="1.0" encoding="utf-8"?>
<ds:datastoreItem xmlns:ds="http://schemas.openxmlformats.org/officeDocument/2006/customXml" ds:itemID="{49EB04DE-AD5A-4BDC-B917-87B058FE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E89E4C-4A18-471C-B4A2-2D25B0F10AE4}">
  <ds:schemaRefs>
    <ds:schemaRef ds:uri="http://schemas.microsoft.com/sharepoint/v3/contenttype/forms"/>
  </ds:schemaRefs>
</ds:datastoreItem>
</file>

<file path=customXml/itemProps4.xml><?xml version="1.0" encoding="utf-8"?>
<ds:datastoreItem xmlns:ds="http://schemas.openxmlformats.org/officeDocument/2006/customXml" ds:itemID="{91C52AC3-55D9-430B-A32F-578C83AA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Commission Order</vt:lpstr>
    </vt:vector>
  </TitlesOfParts>
  <Manager/>
  <Company/>
  <LinksUpToDate>false</LinksUpToDate>
  <CharactersWithSpaces>46825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2016-05-23T15:20:00Z</dcterms:created>
  <dcterms:modified xsi:type="dcterms:W3CDTF">2016-05-23T15:20:00Z</dcterms:modified>
  <cp:category/>
  <dc:identifier/>
  <cp:contentStatus/>
  <cp:version/>
</cp:coreProperties>
</file>