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7E62E" w14:textId="77777777" w:rsidR="00EB3E6F" w:rsidRPr="00FC79BA" w:rsidRDefault="00FD66F1" w:rsidP="00FC79BA">
      <w:pPr>
        <w:tabs>
          <w:tab w:val="left" w:pos="1800"/>
        </w:tabs>
        <w:spacing w:after="0" w:line="240" w:lineRule="auto"/>
        <w:jc w:val="center"/>
        <w:rPr>
          <w:rFonts w:ascii="Times New Roman" w:hAnsi="Times New Roman" w:cs="Times New Roman"/>
          <w:sz w:val="24"/>
          <w:szCs w:val="24"/>
        </w:rPr>
      </w:pPr>
      <w:r w:rsidRPr="00FC79BA">
        <w:rPr>
          <w:rFonts w:ascii="Times New Roman" w:hAnsi="Times New Roman" w:cs="Times New Roman"/>
          <w:sz w:val="24"/>
          <w:szCs w:val="24"/>
        </w:rPr>
        <w:t>Supporting Statement</w:t>
      </w:r>
      <w:r w:rsidR="00032244" w:rsidRPr="00FC79BA">
        <w:rPr>
          <w:rFonts w:ascii="Times New Roman" w:hAnsi="Times New Roman" w:cs="Times New Roman"/>
          <w:sz w:val="24"/>
          <w:szCs w:val="24"/>
        </w:rPr>
        <w:t xml:space="preserve"> for</w:t>
      </w:r>
    </w:p>
    <w:p w14:paraId="6EB64A00" w14:textId="77777777" w:rsidR="00032244" w:rsidRPr="00235B37" w:rsidRDefault="003B3B61" w:rsidP="00FC79BA">
      <w:pPr>
        <w:spacing w:after="0" w:line="240" w:lineRule="auto"/>
        <w:jc w:val="center"/>
        <w:rPr>
          <w:rFonts w:ascii="Times New Roman" w:hAnsi="Times New Roman" w:cs="Times New Roman"/>
          <w:b/>
          <w:sz w:val="24"/>
          <w:szCs w:val="24"/>
        </w:rPr>
      </w:pPr>
      <w:r w:rsidRPr="00FC79BA">
        <w:rPr>
          <w:rFonts w:ascii="Times New Roman" w:hAnsi="Times New Roman" w:cs="Times New Roman"/>
          <w:b/>
          <w:sz w:val="24"/>
          <w:szCs w:val="24"/>
        </w:rPr>
        <w:t>FERC-516</w:t>
      </w:r>
      <w:r w:rsidRPr="000022C9">
        <w:rPr>
          <w:rFonts w:ascii="Times New Roman" w:hAnsi="Times New Roman" w:cs="Times New Roman"/>
          <w:b/>
          <w:sz w:val="24"/>
          <w:szCs w:val="24"/>
        </w:rPr>
        <w:t xml:space="preserve"> </w:t>
      </w:r>
      <w:r w:rsidR="00FC79BA" w:rsidRPr="000022C9">
        <w:rPr>
          <w:rFonts w:ascii="Times New Roman" w:hAnsi="Times New Roman" w:cs="Times New Roman"/>
          <w:b/>
          <w:sz w:val="24"/>
          <w:szCs w:val="24"/>
        </w:rPr>
        <w:t>(</w:t>
      </w:r>
      <w:r w:rsidRPr="00235B37">
        <w:rPr>
          <w:rFonts w:ascii="Times New Roman" w:hAnsi="Times New Roman" w:cs="Times New Roman"/>
          <w:b/>
          <w:sz w:val="24"/>
          <w:szCs w:val="24"/>
        </w:rPr>
        <w:t>Electric Rate Schedules and Tariff Filings</w:t>
      </w:r>
      <w:r w:rsidR="00FC79BA" w:rsidRPr="00235B37">
        <w:rPr>
          <w:rFonts w:ascii="Times New Roman" w:hAnsi="Times New Roman" w:cs="Times New Roman"/>
          <w:b/>
          <w:sz w:val="24"/>
          <w:szCs w:val="24"/>
        </w:rPr>
        <w:t>), FERC-519 (Application under Federal Power Act Section 203)</w:t>
      </w:r>
      <w:r w:rsidR="0005589B">
        <w:rPr>
          <w:rFonts w:ascii="Times New Roman" w:hAnsi="Times New Roman" w:cs="Times New Roman"/>
          <w:b/>
          <w:sz w:val="24"/>
          <w:szCs w:val="24"/>
        </w:rPr>
        <w:t>,</w:t>
      </w:r>
      <w:r w:rsidR="00FC79BA" w:rsidRPr="00235B37">
        <w:rPr>
          <w:rFonts w:ascii="Times New Roman" w:hAnsi="Times New Roman" w:cs="Times New Roman"/>
          <w:b/>
          <w:sz w:val="24"/>
          <w:szCs w:val="24"/>
        </w:rPr>
        <w:t xml:space="preserve"> and FERC-555 (Preservation of Records for Public Utilities and Licensees, Natural Gas and Oil Pipeline Companies),</w:t>
      </w:r>
    </w:p>
    <w:p w14:paraId="6241D34A" w14:textId="77777777" w:rsidR="003B3B61" w:rsidRPr="000022C9" w:rsidRDefault="00032244" w:rsidP="000022C9">
      <w:pPr>
        <w:spacing w:after="0" w:line="240" w:lineRule="auto"/>
        <w:jc w:val="center"/>
        <w:rPr>
          <w:rFonts w:ascii="Times New Roman" w:hAnsi="Times New Roman" w:cs="Times New Roman"/>
          <w:sz w:val="24"/>
          <w:szCs w:val="24"/>
        </w:rPr>
      </w:pPr>
      <w:r w:rsidRPr="00235B37">
        <w:rPr>
          <w:rFonts w:ascii="Times New Roman" w:hAnsi="Times New Roman" w:cs="Times New Roman"/>
          <w:b/>
          <w:sz w:val="24"/>
          <w:szCs w:val="24"/>
        </w:rPr>
        <w:t xml:space="preserve">as modified by </w:t>
      </w:r>
      <w:r w:rsidR="003B3B61" w:rsidRPr="00235B37">
        <w:rPr>
          <w:rFonts w:ascii="Times New Roman" w:hAnsi="Times New Roman" w:cs="Times New Roman"/>
          <w:b/>
          <w:sz w:val="24"/>
          <w:szCs w:val="24"/>
        </w:rPr>
        <w:t xml:space="preserve">the </w:t>
      </w:r>
      <w:r w:rsidR="00FC79BA" w:rsidRPr="00235B37">
        <w:rPr>
          <w:rFonts w:ascii="Times New Roman" w:hAnsi="Times New Roman" w:cs="Times New Roman"/>
          <w:b/>
          <w:sz w:val="24"/>
          <w:szCs w:val="24"/>
        </w:rPr>
        <w:t>Policy Statement</w:t>
      </w:r>
      <w:r w:rsidR="003B3B61" w:rsidRPr="00235B37">
        <w:rPr>
          <w:rFonts w:ascii="Times New Roman" w:hAnsi="Times New Roman" w:cs="Times New Roman"/>
          <w:b/>
          <w:sz w:val="24"/>
          <w:szCs w:val="24"/>
        </w:rPr>
        <w:t xml:space="preserve"> in Docket </w:t>
      </w:r>
      <w:r w:rsidRPr="00235B37">
        <w:rPr>
          <w:rFonts w:ascii="Times New Roman" w:hAnsi="Times New Roman" w:cs="Times New Roman"/>
          <w:b/>
          <w:sz w:val="24"/>
          <w:szCs w:val="24"/>
        </w:rPr>
        <w:t xml:space="preserve">No. </w:t>
      </w:r>
      <w:r w:rsidR="00FC79BA" w:rsidRPr="00235B37">
        <w:rPr>
          <w:rFonts w:ascii="Times New Roman" w:hAnsi="Times New Roman" w:cs="Times New Roman"/>
          <w:b/>
          <w:sz w:val="24"/>
          <w:szCs w:val="24"/>
        </w:rPr>
        <w:t>PL15-3-000</w:t>
      </w:r>
    </w:p>
    <w:p w14:paraId="1253B04D" w14:textId="77777777" w:rsidR="00FD66F1" w:rsidRPr="00BE41AD" w:rsidRDefault="00FD66F1" w:rsidP="00F210B7">
      <w:pPr>
        <w:spacing w:after="0" w:line="240" w:lineRule="auto"/>
        <w:rPr>
          <w:rFonts w:ascii="Times New Roman" w:hAnsi="Times New Roman" w:cs="Times New Roman"/>
          <w:sz w:val="24"/>
          <w:szCs w:val="24"/>
        </w:rPr>
      </w:pPr>
    </w:p>
    <w:p w14:paraId="2F9F3B76" w14:textId="77777777" w:rsidR="0005589B" w:rsidRDefault="00F8440A" w:rsidP="00F210B7">
      <w:pPr>
        <w:spacing w:after="0" w:line="240" w:lineRule="auto"/>
        <w:rPr>
          <w:rFonts w:ascii="Times New Roman" w:hAnsi="Times New Roman" w:cs="Times New Roman"/>
          <w:sz w:val="24"/>
          <w:szCs w:val="24"/>
        </w:rPr>
      </w:pPr>
      <w:r w:rsidRPr="00BE41AD">
        <w:rPr>
          <w:rFonts w:ascii="Times New Roman" w:hAnsi="Times New Roman" w:cs="Times New Roman"/>
          <w:sz w:val="24"/>
          <w:szCs w:val="24"/>
        </w:rPr>
        <w:t>The Federal Energy Regulatory Commission (Commission or FERC) requests that the Office of Management a</w:t>
      </w:r>
      <w:r w:rsidR="00B27783" w:rsidRPr="00BE41AD">
        <w:rPr>
          <w:rFonts w:ascii="Times New Roman" w:hAnsi="Times New Roman" w:cs="Times New Roman"/>
          <w:sz w:val="24"/>
          <w:szCs w:val="24"/>
        </w:rPr>
        <w:t xml:space="preserve">nd Budget (OMB) review </w:t>
      </w:r>
      <w:r w:rsidR="00FC79BA">
        <w:rPr>
          <w:rFonts w:ascii="Times New Roman" w:hAnsi="Times New Roman" w:cs="Times New Roman"/>
          <w:sz w:val="24"/>
          <w:szCs w:val="24"/>
        </w:rPr>
        <w:t>and approve the changes made in the Policy Statement in Docket No. PL15-3-000.</w:t>
      </w:r>
      <w:r w:rsidR="00235B37" w:rsidRPr="00235B37">
        <w:rPr>
          <w:rStyle w:val="FootnoteReference"/>
          <w:rFonts w:ascii="Times New Roman" w:hAnsi="Times New Roman" w:cs="Times New Roman"/>
          <w:sz w:val="24"/>
          <w:szCs w:val="24"/>
          <w:vertAlign w:val="superscript"/>
        </w:rPr>
        <w:footnoteReference w:id="1"/>
      </w:r>
      <w:r w:rsidR="00FC79BA">
        <w:rPr>
          <w:rFonts w:ascii="Times New Roman" w:hAnsi="Times New Roman" w:cs="Times New Roman"/>
          <w:sz w:val="24"/>
          <w:szCs w:val="24"/>
        </w:rPr>
        <w:t xml:space="preserve">  </w:t>
      </w:r>
      <w:r w:rsidRPr="00BE41AD">
        <w:rPr>
          <w:rFonts w:ascii="Times New Roman" w:hAnsi="Times New Roman" w:cs="Times New Roman"/>
          <w:sz w:val="24"/>
          <w:szCs w:val="24"/>
        </w:rPr>
        <w:t xml:space="preserve">This consolidated supporting statement will be submitted to OMB under </w:t>
      </w:r>
      <w:r w:rsidR="00FC79BA">
        <w:rPr>
          <w:rFonts w:ascii="Times New Roman" w:hAnsi="Times New Roman" w:cs="Times New Roman"/>
          <w:sz w:val="24"/>
          <w:szCs w:val="24"/>
        </w:rPr>
        <w:t>three</w:t>
      </w:r>
      <w:r w:rsidRPr="00BE41AD">
        <w:rPr>
          <w:rFonts w:ascii="Times New Roman" w:hAnsi="Times New Roman" w:cs="Times New Roman"/>
          <w:sz w:val="24"/>
          <w:szCs w:val="24"/>
        </w:rPr>
        <w:t xml:space="preserve"> Information Collection</w:t>
      </w:r>
      <w:r w:rsidRPr="00F210B7">
        <w:rPr>
          <w:rFonts w:ascii="Times New Roman" w:hAnsi="Times New Roman" w:cs="Times New Roman"/>
          <w:sz w:val="24"/>
          <w:szCs w:val="24"/>
        </w:rPr>
        <w:t xml:space="preserve"> Requests</w:t>
      </w:r>
      <w:r w:rsidR="00FC79BA">
        <w:rPr>
          <w:rFonts w:ascii="Times New Roman" w:hAnsi="Times New Roman" w:cs="Times New Roman"/>
          <w:sz w:val="24"/>
          <w:szCs w:val="24"/>
        </w:rPr>
        <w:t>,</w:t>
      </w:r>
      <w:r w:rsidR="002E48FD" w:rsidRPr="00F210B7">
        <w:rPr>
          <w:rFonts w:ascii="Times New Roman" w:hAnsi="Times New Roman" w:cs="Times New Roman"/>
          <w:sz w:val="24"/>
          <w:szCs w:val="24"/>
        </w:rPr>
        <w:t xml:space="preserve"> one each</w:t>
      </w:r>
      <w:bookmarkStart w:id="0" w:name="_GoBack"/>
      <w:bookmarkEnd w:id="0"/>
      <w:r w:rsidR="002E48FD" w:rsidRPr="00F210B7">
        <w:rPr>
          <w:rFonts w:ascii="Times New Roman" w:hAnsi="Times New Roman" w:cs="Times New Roman"/>
          <w:sz w:val="24"/>
          <w:szCs w:val="24"/>
        </w:rPr>
        <w:t xml:space="preserve"> for</w:t>
      </w:r>
      <w:r w:rsidR="00143B4B">
        <w:rPr>
          <w:rFonts w:ascii="Times New Roman" w:hAnsi="Times New Roman" w:cs="Times New Roman"/>
          <w:sz w:val="24"/>
          <w:szCs w:val="24"/>
        </w:rPr>
        <w:t xml:space="preserve"> </w:t>
      </w:r>
      <w:r w:rsidR="008848EF">
        <w:rPr>
          <w:rFonts w:ascii="Times New Roman" w:hAnsi="Times New Roman" w:cs="Times New Roman"/>
          <w:sz w:val="24"/>
          <w:szCs w:val="24"/>
        </w:rPr>
        <w:t xml:space="preserve">the </w:t>
      </w:r>
      <w:r w:rsidR="00F1498C">
        <w:rPr>
          <w:rFonts w:ascii="Times New Roman" w:hAnsi="Times New Roman" w:cs="Times New Roman"/>
          <w:sz w:val="24"/>
          <w:szCs w:val="24"/>
        </w:rPr>
        <w:t xml:space="preserve">existing </w:t>
      </w:r>
      <w:r w:rsidR="00143B4B">
        <w:rPr>
          <w:rFonts w:ascii="Times New Roman" w:hAnsi="Times New Roman" w:cs="Times New Roman"/>
          <w:sz w:val="24"/>
          <w:szCs w:val="24"/>
        </w:rPr>
        <w:t>collection affected by the Policy Statement</w:t>
      </w:r>
      <w:r w:rsidR="00FC79BA">
        <w:rPr>
          <w:rFonts w:ascii="Times New Roman" w:hAnsi="Times New Roman" w:cs="Times New Roman"/>
          <w:sz w:val="24"/>
          <w:szCs w:val="24"/>
        </w:rPr>
        <w:t>:</w:t>
      </w:r>
    </w:p>
    <w:p w14:paraId="0AB8EE45" w14:textId="77777777" w:rsidR="00FC79BA" w:rsidRDefault="00FC79BA" w:rsidP="00F210B7">
      <w:pPr>
        <w:spacing w:after="0" w:line="240" w:lineRule="auto"/>
        <w:rPr>
          <w:rFonts w:ascii="Times New Roman" w:hAnsi="Times New Roman" w:cs="Times New Roman"/>
          <w:sz w:val="24"/>
          <w:szCs w:val="24"/>
        </w:rPr>
      </w:pPr>
    </w:p>
    <w:p w14:paraId="73997CB8" w14:textId="77777777" w:rsidR="0005589B" w:rsidRDefault="0005589B" w:rsidP="00235B37">
      <w:pPr>
        <w:pStyle w:val="ListParagraph"/>
        <w:numPr>
          <w:ilvl w:val="0"/>
          <w:numId w:val="9"/>
        </w:num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FERC-516 (Electric Rate Schedules and Tariff Fil</w:t>
      </w:r>
      <w:r w:rsidRPr="000022C9">
        <w:rPr>
          <w:rFonts w:ascii="Times New Roman" w:hAnsi="Times New Roman" w:cs="Times New Roman"/>
          <w:sz w:val="24"/>
          <w:szCs w:val="24"/>
        </w:rPr>
        <w:t>ings)</w:t>
      </w:r>
    </w:p>
    <w:p w14:paraId="62528CC3" w14:textId="77777777" w:rsidR="0005589B" w:rsidRDefault="0005589B" w:rsidP="00235B37">
      <w:pPr>
        <w:pStyle w:val="ListParagraph"/>
        <w:numPr>
          <w:ilvl w:val="0"/>
          <w:numId w:val="9"/>
        </w:num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 xml:space="preserve">FERC-519 (Application under Federal Power Act Section 203) and </w:t>
      </w:r>
    </w:p>
    <w:p w14:paraId="13EF00AA" w14:textId="77777777" w:rsidR="00F8440A" w:rsidRPr="00235B37" w:rsidRDefault="0005589B" w:rsidP="00235B37">
      <w:pPr>
        <w:pStyle w:val="ListParagraph"/>
        <w:numPr>
          <w:ilvl w:val="0"/>
          <w:numId w:val="9"/>
        </w:num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FERC-555 (Preservation of Records for Public Utilities and Licensees, Natural Gas and Oil Pipeline Companies),</w:t>
      </w:r>
      <w:r w:rsidR="003E7B94" w:rsidRPr="00235B37">
        <w:rPr>
          <w:rFonts w:ascii="Times New Roman" w:hAnsi="Times New Roman" w:cs="Times New Roman"/>
          <w:sz w:val="24"/>
          <w:szCs w:val="24"/>
        </w:rPr>
        <w:t xml:space="preserve"> </w:t>
      </w:r>
    </w:p>
    <w:p w14:paraId="52F93BD8" w14:textId="77777777" w:rsidR="0002242D" w:rsidRPr="00F210B7" w:rsidRDefault="00CC7AEC" w:rsidP="00F210B7">
      <w:pPr>
        <w:spacing w:after="0" w:line="240" w:lineRule="auto"/>
        <w:rPr>
          <w:rFonts w:ascii="Times New Roman" w:hAnsi="Times New Roman" w:cs="Times New Roman"/>
          <w:sz w:val="24"/>
          <w:szCs w:val="24"/>
        </w:rPr>
      </w:pPr>
      <w:r w:rsidRPr="00CC7AEC">
        <w:rPr>
          <w:rFonts w:ascii="Times New Roman" w:hAnsi="Times New Roman" w:cs="Times New Roman"/>
          <w:sz w:val="24"/>
          <w:szCs w:val="24"/>
        </w:rPr>
        <w:t xml:space="preserve">  </w:t>
      </w:r>
    </w:p>
    <w:p w14:paraId="3E79AF40" w14:textId="77777777" w:rsidR="00A72E7B" w:rsidRDefault="00A72E7B"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CIRCUMSTANCES THAT MAKE THE COLLECTION OF INFORMATION NECESSARY</w:t>
      </w:r>
    </w:p>
    <w:p w14:paraId="5D4505A9" w14:textId="77777777" w:rsidR="00B42796" w:rsidRPr="00F210B7" w:rsidRDefault="00B42796" w:rsidP="00B42796">
      <w:pPr>
        <w:pStyle w:val="ListParagraph"/>
        <w:spacing w:after="0" w:line="240" w:lineRule="auto"/>
        <w:ind w:left="360"/>
        <w:rPr>
          <w:rFonts w:ascii="Times New Roman" w:hAnsi="Times New Roman" w:cs="Times New Roman"/>
          <w:b/>
          <w:sz w:val="24"/>
          <w:szCs w:val="24"/>
        </w:rPr>
      </w:pPr>
    </w:p>
    <w:p w14:paraId="3BF71550" w14:textId="77777777" w:rsidR="00A72E7B" w:rsidRPr="00F210B7" w:rsidRDefault="00CC7AEC" w:rsidP="00F210B7">
      <w:pPr>
        <w:spacing w:after="0" w:line="240" w:lineRule="auto"/>
        <w:rPr>
          <w:rFonts w:ascii="Times New Roman" w:hAnsi="Times New Roman" w:cs="Times New Roman"/>
          <w:sz w:val="24"/>
          <w:szCs w:val="24"/>
        </w:rPr>
      </w:pPr>
      <w:r w:rsidRPr="00CC7AEC">
        <w:rPr>
          <w:rFonts w:ascii="Times New Roman" w:hAnsi="Times New Roman" w:cs="Times New Roman"/>
          <w:sz w:val="24"/>
          <w:szCs w:val="24"/>
        </w:rPr>
        <w:t>The Commission issues this Policy Statement in Docket No. PL15-3 to provide guidance regarding future implementation of hold harmless commitments offered by applicants as ratepayer protection mechanisms to mitigate adverse effects on rates that may result from transactions that are subject to section 203 of the Federal Power Act (FPA).  First, the Commission clarifies the scope and definition of the costs that should be subject to hold harmless commitments.  Second, the Commission adopts the proposal that applicants offering hold harmless commitments should implement controls and procedures to track the costs from which customers will be held harmless.  The Commission identifies the types of controls and procedures that applicants offering hold harmless commitments should implement.  Third, the Commission declines to adopt its proposal to no longer accept hold harmless commitments that are limited in duration.  Fourth, the Commission clarifies that, in connection with certain types of FPA section 203 transactions, an applicant may be able to demonstrate that the transaction will not have an adverse effect on rates without the need to make any hold harmless commitment.</w:t>
      </w:r>
    </w:p>
    <w:p w14:paraId="10F96DA4" w14:textId="77777777" w:rsidR="00CC7AEC" w:rsidRDefault="00CC7AEC" w:rsidP="00F210B7">
      <w:pPr>
        <w:spacing w:after="0" w:line="240" w:lineRule="auto"/>
        <w:rPr>
          <w:rFonts w:ascii="Times New Roman" w:hAnsi="Times New Roman" w:cs="Times New Roman"/>
          <w:b/>
          <w:sz w:val="24"/>
          <w:szCs w:val="24"/>
        </w:rPr>
      </w:pPr>
    </w:p>
    <w:p w14:paraId="4BEFDC4F" w14:textId="77777777" w:rsidR="00F14038" w:rsidRPr="00F210B7" w:rsidRDefault="00307830" w:rsidP="00F210B7">
      <w:pPr>
        <w:spacing w:after="0" w:line="240" w:lineRule="auto"/>
        <w:rPr>
          <w:rFonts w:ascii="Times New Roman" w:hAnsi="Times New Roman" w:cs="Times New Roman"/>
          <w:sz w:val="24"/>
          <w:szCs w:val="24"/>
        </w:rPr>
      </w:pPr>
      <w:r w:rsidRPr="00F210B7">
        <w:rPr>
          <w:rFonts w:ascii="Times New Roman" w:hAnsi="Times New Roman" w:cs="Times New Roman"/>
          <w:b/>
          <w:sz w:val="24"/>
          <w:szCs w:val="24"/>
        </w:rPr>
        <w:t xml:space="preserve">FERC-516.  </w:t>
      </w:r>
      <w:r w:rsidR="00F81142" w:rsidRPr="00F210B7">
        <w:rPr>
          <w:rFonts w:ascii="Times New Roman" w:hAnsi="Times New Roman" w:cs="Times New Roman"/>
          <w:sz w:val="24"/>
          <w:szCs w:val="24"/>
        </w:rPr>
        <w:t>The Federal Power Act Section 205</w:t>
      </w:r>
      <w:r w:rsidR="00F81142" w:rsidRPr="00F210B7">
        <w:rPr>
          <w:rStyle w:val="FootnoteReference"/>
          <w:rFonts w:ascii="Times New Roman" w:hAnsi="Times New Roman" w:cs="Times New Roman"/>
          <w:sz w:val="24"/>
          <w:szCs w:val="24"/>
          <w:vertAlign w:val="superscript"/>
        </w:rPr>
        <w:footnoteReference w:id="2"/>
      </w:r>
      <w:r w:rsidR="00F14038" w:rsidRPr="00F210B7">
        <w:rPr>
          <w:rFonts w:ascii="Times New Roman" w:hAnsi="Times New Roman" w:cs="Times New Roman"/>
          <w:sz w:val="24"/>
          <w:szCs w:val="24"/>
        </w:rPr>
        <w:t xml:space="preserve"> requires the Federal Energy Regulatory Commission to ensure that the rates and charges for the wholesale</w:t>
      </w:r>
      <w:r w:rsidR="00B047E2" w:rsidRPr="00F210B7">
        <w:rPr>
          <w:rFonts w:ascii="Times New Roman" w:hAnsi="Times New Roman" w:cs="Times New Roman"/>
          <w:sz w:val="24"/>
          <w:szCs w:val="24"/>
        </w:rPr>
        <w:t xml:space="preserve"> sale of electric energy are</w:t>
      </w:r>
      <w:r w:rsidR="00F14038" w:rsidRPr="00F210B7">
        <w:rPr>
          <w:rFonts w:ascii="Times New Roman" w:hAnsi="Times New Roman" w:cs="Times New Roman"/>
          <w:sz w:val="24"/>
          <w:szCs w:val="24"/>
        </w:rPr>
        <w:t xml:space="preserve"> just </w:t>
      </w:r>
      <w:r w:rsidR="00F14038" w:rsidRPr="00F210B7">
        <w:rPr>
          <w:rFonts w:ascii="Times New Roman" w:hAnsi="Times New Roman" w:cs="Times New Roman"/>
          <w:sz w:val="24"/>
          <w:szCs w:val="24"/>
        </w:rPr>
        <w:lastRenderedPageBreak/>
        <w:t xml:space="preserve">and reasonable.  Section 205 also requires that the rules and regulations affecting or pertaining to the rates and charges for the wholesale sale of electric energy be just and reasonable.  </w:t>
      </w:r>
    </w:p>
    <w:p w14:paraId="4BE39139" w14:textId="77777777" w:rsidR="00307830" w:rsidRPr="00F210B7" w:rsidRDefault="00307830" w:rsidP="00F210B7">
      <w:pPr>
        <w:spacing w:after="0" w:line="240" w:lineRule="auto"/>
        <w:rPr>
          <w:rFonts w:ascii="Times New Roman" w:hAnsi="Times New Roman" w:cs="Times New Roman"/>
          <w:sz w:val="24"/>
          <w:szCs w:val="24"/>
        </w:rPr>
      </w:pPr>
    </w:p>
    <w:p w14:paraId="74471F54" w14:textId="77777777" w:rsidR="00CC7AEC" w:rsidRDefault="00CC7AEC" w:rsidP="00F210B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FERC-519.  </w:t>
      </w:r>
      <w:r w:rsidRPr="00235B37">
        <w:rPr>
          <w:rFonts w:ascii="Times New Roman" w:hAnsi="Times New Roman" w:cs="Times New Roman"/>
          <w:sz w:val="24"/>
          <w:szCs w:val="24"/>
        </w:rPr>
        <w:t>According to Section 203 of the FPA, FERC approval is required for transactions in which a public utility disposes of jurisdictional facilities, merges such facilities with facilities owned by another person, or acquires the securities of another public utility.  Under the statute, FERC must find that the proposed transaction will be consistent with the public interest.</w:t>
      </w:r>
      <w:r w:rsidRPr="00CC7AEC">
        <w:rPr>
          <w:rFonts w:ascii="Times New Roman" w:hAnsi="Times New Roman" w:cs="Times New Roman"/>
          <w:b/>
          <w:sz w:val="24"/>
          <w:szCs w:val="24"/>
        </w:rPr>
        <w:t xml:space="preserve">  </w:t>
      </w:r>
    </w:p>
    <w:p w14:paraId="6789E1BC" w14:textId="77777777" w:rsidR="00CC7AEC" w:rsidRDefault="00CC7AEC" w:rsidP="00F210B7">
      <w:pPr>
        <w:spacing w:after="0" w:line="240" w:lineRule="auto"/>
        <w:rPr>
          <w:rFonts w:ascii="Times New Roman" w:hAnsi="Times New Roman" w:cs="Times New Roman"/>
          <w:b/>
          <w:sz w:val="24"/>
          <w:szCs w:val="24"/>
        </w:rPr>
      </w:pPr>
    </w:p>
    <w:p w14:paraId="2FA5CBD4" w14:textId="77777777" w:rsidR="00CC7AEC" w:rsidRPr="00235B37" w:rsidRDefault="00CC7AEC" w:rsidP="00F210B7">
      <w:pPr>
        <w:spacing w:after="0" w:line="240" w:lineRule="auto"/>
        <w:rPr>
          <w:rFonts w:ascii="Times New Roman" w:hAnsi="Times New Roman" w:cs="Times New Roman"/>
          <w:sz w:val="24"/>
          <w:szCs w:val="24"/>
        </w:rPr>
      </w:pPr>
      <w:r>
        <w:rPr>
          <w:rFonts w:ascii="Times New Roman" w:hAnsi="Times New Roman" w:cs="Times New Roman"/>
          <w:b/>
          <w:sz w:val="24"/>
          <w:szCs w:val="24"/>
        </w:rPr>
        <w:t>FERC-555.</w:t>
      </w:r>
      <w:r w:rsidRPr="00CC7AEC">
        <w:t xml:space="preserve"> </w:t>
      </w:r>
      <w:r>
        <w:t xml:space="preserve"> </w:t>
      </w:r>
      <w:r w:rsidRPr="00235B37">
        <w:rPr>
          <w:rFonts w:ascii="Times New Roman" w:hAnsi="Times New Roman" w:cs="Times New Roman"/>
          <w:sz w:val="24"/>
          <w:szCs w:val="24"/>
        </w:rPr>
        <w:t xml:space="preserve">Both the </w:t>
      </w:r>
      <w:r w:rsidR="00056BCA">
        <w:rPr>
          <w:rFonts w:ascii="Times New Roman" w:hAnsi="Times New Roman" w:cs="Times New Roman"/>
          <w:sz w:val="24"/>
          <w:szCs w:val="24"/>
        </w:rPr>
        <w:t>FPA</w:t>
      </w:r>
      <w:r w:rsidRPr="00235B37">
        <w:rPr>
          <w:rFonts w:ascii="Times New Roman" w:hAnsi="Times New Roman" w:cs="Times New Roman"/>
          <w:sz w:val="24"/>
          <w:szCs w:val="24"/>
        </w:rPr>
        <w:t xml:space="preserve"> and the Natural Gas Act require jurisdictional companies to keep records that the Commission may prescribe "as necessary or appropriate for purposes of administration" of these acts.  In 1977, the Commission assumed jurisdiction over transportation of oil by oil pipeline companies from the Interstate Commerce Commission under 705(a) of the Department of Energy Organization Act.  Section 20 of the Interstate Commerce Act requires oil pipeline companies to keep records that the Commission determines are necessary to effectively regulate those companies.  </w:t>
      </w:r>
    </w:p>
    <w:p w14:paraId="06895864" w14:textId="77777777" w:rsidR="00EB3E6F" w:rsidRPr="00F210B7" w:rsidRDefault="00EB3E6F" w:rsidP="00F210B7">
      <w:pPr>
        <w:spacing w:after="0" w:line="240" w:lineRule="auto"/>
        <w:rPr>
          <w:rFonts w:ascii="Times New Roman" w:hAnsi="Times New Roman" w:cs="Times New Roman"/>
          <w:sz w:val="24"/>
          <w:szCs w:val="24"/>
        </w:rPr>
      </w:pPr>
    </w:p>
    <w:p w14:paraId="5E1095AB" w14:textId="77777777" w:rsidR="00A72E7B" w:rsidRPr="00F210B7" w:rsidRDefault="00EB3E6F"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HOW, BY WHOM, AND FOR WHAT PURPOSE THE INFORMATION IS TO BE USED AND THE CONSEQUENCES OF NOT COLLECTING THE INFORMATION</w:t>
      </w:r>
    </w:p>
    <w:p w14:paraId="3D4ABACE" w14:textId="77777777" w:rsidR="00EB3E6F" w:rsidRPr="00F210B7" w:rsidRDefault="00EB3E6F" w:rsidP="00F210B7">
      <w:pPr>
        <w:spacing w:after="0" w:line="240" w:lineRule="auto"/>
        <w:rPr>
          <w:rFonts w:ascii="Times New Roman" w:hAnsi="Times New Roman" w:cs="Times New Roman"/>
          <w:sz w:val="24"/>
          <w:szCs w:val="24"/>
        </w:rPr>
      </w:pPr>
    </w:p>
    <w:p w14:paraId="76ED4A13" w14:textId="77777777" w:rsidR="004276A5" w:rsidRPr="00F210B7" w:rsidRDefault="004276A5" w:rsidP="00F210B7">
      <w:pPr>
        <w:spacing w:after="0" w:line="240" w:lineRule="auto"/>
        <w:rPr>
          <w:rFonts w:ascii="Times New Roman" w:hAnsi="Times New Roman" w:cs="Times New Roman"/>
          <w:sz w:val="24"/>
          <w:szCs w:val="24"/>
        </w:rPr>
      </w:pPr>
      <w:r w:rsidRPr="00F210B7">
        <w:rPr>
          <w:rFonts w:ascii="Times New Roman" w:hAnsi="Times New Roman" w:cs="Times New Roman"/>
          <w:b/>
          <w:sz w:val="24"/>
          <w:szCs w:val="24"/>
        </w:rPr>
        <w:t>FERC-516</w:t>
      </w:r>
      <w:r w:rsidRPr="00F210B7">
        <w:rPr>
          <w:rFonts w:ascii="Times New Roman" w:hAnsi="Times New Roman" w:cs="Times New Roman"/>
          <w:sz w:val="24"/>
          <w:szCs w:val="24"/>
        </w:rPr>
        <w:t xml:space="preserve">.  The </w:t>
      </w:r>
      <w:r w:rsidR="0012649C">
        <w:rPr>
          <w:rFonts w:ascii="Times New Roman" w:hAnsi="Times New Roman" w:cs="Times New Roman"/>
          <w:sz w:val="24"/>
          <w:szCs w:val="24"/>
        </w:rPr>
        <w:t>information collected in the FERC-516 pursuant to the Policy Statement, allows the Commission to ensure that the commitments accepted in prior applications are adhered to and continue to be consistent with the public interest</w:t>
      </w:r>
      <w:r w:rsidR="00C44E3A">
        <w:rPr>
          <w:rFonts w:ascii="Times New Roman" w:hAnsi="Times New Roman" w:cs="Times New Roman"/>
          <w:sz w:val="24"/>
          <w:szCs w:val="24"/>
        </w:rPr>
        <w:t xml:space="preserve"> and be found to be just and reasonable</w:t>
      </w:r>
      <w:r w:rsidR="0012649C">
        <w:rPr>
          <w:rFonts w:ascii="Times New Roman" w:hAnsi="Times New Roman" w:cs="Times New Roman"/>
          <w:sz w:val="24"/>
          <w:szCs w:val="24"/>
        </w:rPr>
        <w:t>.</w:t>
      </w:r>
      <w:r w:rsidRPr="00F210B7">
        <w:rPr>
          <w:rFonts w:ascii="Times New Roman" w:hAnsi="Times New Roman" w:cs="Times New Roman"/>
          <w:sz w:val="24"/>
          <w:szCs w:val="24"/>
        </w:rPr>
        <w:t xml:space="preserve">    </w:t>
      </w:r>
    </w:p>
    <w:p w14:paraId="083FA18F" w14:textId="77777777" w:rsidR="0025203F" w:rsidRPr="00F210B7" w:rsidRDefault="0025203F" w:rsidP="00F210B7">
      <w:pPr>
        <w:spacing w:after="0" w:line="240" w:lineRule="auto"/>
        <w:rPr>
          <w:rFonts w:ascii="Times New Roman" w:hAnsi="Times New Roman" w:cs="Times New Roman"/>
          <w:sz w:val="24"/>
          <w:szCs w:val="24"/>
        </w:rPr>
      </w:pPr>
    </w:p>
    <w:p w14:paraId="0C2598BC" w14:textId="77777777" w:rsidR="00941480" w:rsidRPr="00235B37" w:rsidRDefault="00941480" w:rsidP="0094148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FERC-519.  </w:t>
      </w:r>
      <w:r w:rsidRPr="00235B37">
        <w:rPr>
          <w:rFonts w:ascii="Times New Roman" w:hAnsi="Times New Roman" w:cs="Times New Roman"/>
          <w:sz w:val="24"/>
          <w:szCs w:val="24"/>
        </w:rPr>
        <w:t xml:space="preserve">The information collected under the FERC-519 enables the Commission to meet its statutory responsibilities regarding public utility disposition, merger, consolidation of facilities, purchase, or acquisition oversight and enforcement in accordance with the FPA as referenced above.  </w:t>
      </w:r>
    </w:p>
    <w:p w14:paraId="1961171A" w14:textId="77777777" w:rsidR="00941480" w:rsidRPr="00235B37" w:rsidRDefault="00941480" w:rsidP="00941480">
      <w:pPr>
        <w:spacing w:after="0" w:line="240" w:lineRule="auto"/>
        <w:rPr>
          <w:rFonts w:ascii="Times New Roman" w:hAnsi="Times New Roman" w:cs="Times New Roman"/>
          <w:sz w:val="24"/>
          <w:szCs w:val="24"/>
        </w:rPr>
      </w:pPr>
    </w:p>
    <w:p w14:paraId="3CBFF9C4" w14:textId="77777777" w:rsidR="00941480" w:rsidRPr="00235B37" w:rsidRDefault="00941480" w:rsidP="00941480">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The required information includes descriptions of corporate attributes of the party or parties to the proposed transaction (e.g. a sale, lease, or other disposition, merger, or consolidation of facilities, or purchase of other acquisition of the securities of a public utility and the facilities or other property involved in the transaction), statements about effect of the transaction, and the applicant’s proof that the transaction will be consistent with the public interest.</w:t>
      </w:r>
    </w:p>
    <w:p w14:paraId="2BDDAC52" w14:textId="77777777" w:rsidR="00941480" w:rsidRDefault="00941480" w:rsidP="00F210B7">
      <w:pPr>
        <w:spacing w:after="0" w:line="240" w:lineRule="auto"/>
        <w:rPr>
          <w:rFonts w:ascii="Times New Roman" w:hAnsi="Times New Roman" w:cs="Times New Roman"/>
          <w:b/>
          <w:sz w:val="24"/>
          <w:szCs w:val="24"/>
        </w:rPr>
      </w:pPr>
    </w:p>
    <w:p w14:paraId="722890A4" w14:textId="77777777" w:rsidR="00D67A64" w:rsidRPr="00235B37" w:rsidRDefault="00D67A64" w:rsidP="00D67A6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FERC-555. </w:t>
      </w:r>
      <w:r w:rsidRPr="00235B37">
        <w:rPr>
          <w:rFonts w:ascii="Times New Roman" w:hAnsi="Times New Roman" w:cs="Times New Roman"/>
          <w:sz w:val="24"/>
          <w:szCs w:val="24"/>
        </w:rPr>
        <w:t xml:space="preserve"> The official records maintained by jurisdictional companies in accordance with the Schedules provided in the Code of Federal Regulations (CFR) Title 18 Parts 125, 225 and 356 are used by these companies as the basis for rate filings and reports for the Commission.  In addition, the records are used by the Commission's audit and compliance staffs during the periodic compliance reviews and special analyses performed as deemed necessary by the Commission.</w:t>
      </w:r>
    </w:p>
    <w:p w14:paraId="1941CF07" w14:textId="77777777" w:rsidR="00D67A64" w:rsidRPr="00235B37" w:rsidRDefault="00D67A64" w:rsidP="00D67A64">
      <w:pPr>
        <w:spacing w:after="0" w:line="240" w:lineRule="auto"/>
        <w:rPr>
          <w:rFonts w:ascii="Times New Roman" w:hAnsi="Times New Roman" w:cs="Times New Roman"/>
          <w:sz w:val="24"/>
          <w:szCs w:val="24"/>
        </w:rPr>
      </w:pPr>
    </w:p>
    <w:p w14:paraId="0CB0054E"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 xml:space="preserve">In general, FERC's regulations require jurisdictional companies to maintain the following types of records: </w:t>
      </w:r>
    </w:p>
    <w:p w14:paraId="57C838EE"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Corporate</w:t>
      </w:r>
    </w:p>
    <w:p w14:paraId="373CFA1F"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lastRenderedPageBreak/>
        <w:t>•</w:t>
      </w:r>
      <w:r w:rsidRPr="00235B37">
        <w:rPr>
          <w:rFonts w:ascii="Times New Roman" w:hAnsi="Times New Roman" w:cs="Times New Roman"/>
          <w:sz w:val="24"/>
          <w:szCs w:val="24"/>
        </w:rPr>
        <w:tab/>
        <w:t>Information Technology Management</w:t>
      </w:r>
    </w:p>
    <w:p w14:paraId="3954542C"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General Accounting</w:t>
      </w:r>
    </w:p>
    <w:p w14:paraId="732DFED0"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Personnel and Payroll</w:t>
      </w:r>
    </w:p>
    <w:p w14:paraId="469561CE"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Transportation</w:t>
      </w:r>
    </w:p>
    <w:p w14:paraId="6BD5F992"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Tariffs and Rates</w:t>
      </w:r>
    </w:p>
    <w:p w14:paraId="0AD438CC"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Insurance</w:t>
      </w:r>
    </w:p>
    <w:p w14:paraId="0A93AD2C"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Operations and Maintenance</w:t>
      </w:r>
    </w:p>
    <w:p w14:paraId="5E673A43"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Plant and Depreciation</w:t>
      </w:r>
    </w:p>
    <w:p w14:paraId="39330EE8"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Purchase and Stores</w:t>
      </w:r>
    </w:p>
    <w:p w14:paraId="76CFA9B4"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Revenue Accounting and Collection</w:t>
      </w:r>
    </w:p>
    <w:p w14:paraId="17AE4CEA"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Tax</w:t>
      </w:r>
    </w:p>
    <w:p w14:paraId="14C95D7D"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Treasury</w:t>
      </w:r>
    </w:p>
    <w:p w14:paraId="0C144BE5"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w:t>
      </w:r>
      <w:r w:rsidRPr="00235B37">
        <w:rPr>
          <w:rFonts w:ascii="Times New Roman" w:hAnsi="Times New Roman" w:cs="Times New Roman"/>
          <w:sz w:val="24"/>
          <w:szCs w:val="24"/>
        </w:rPr>
        <w:tab/>
        <w:t>Miscellaneous</w:t>
      </w:r>
    </w:p>
    <w:p w14:paraId="01B04E9C" w14:textId="77777777" w:rsidR="00D67A64" w:rsidRPr="00235B37" w:rsidRDefault="00D67A64" w:rsidP="00D67A64">
      <w:pPr>
        <w:spacing w:after="0" w:line="240" w:lineRule="auto"/>
        <w:rPr>
          <w:rFonts w:ascii="Times New Roman" w:hAnsi="Times New Roman" w:cs="Times New Roman"/>
          <w:sz w:val="24"/>
          <w:szCs w:val="24"/>
        </w:rPr>
      </w:pPr>
    </w:p>
    <w:p w14:paraId="63C475E9" w14:textId="77777777" w:rsidR="00D67A64"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See 18 CFR Parts 125, 225, and 356 for the specific items and retention periods.</w:t>
      </w:r>
    </w:p>
    <w:p w14:paraId="02EC512E" w14:textId="77777777" w:rsidR="00D67A64" w:rsidRPr="00235B37" w:rsidRDefault="00D67A64" w:rsidP="00D67A64">
      <w:pPr>
        <w:spacing w:after="0" w:line="240" w:lineRule="auto"/>
        <w:rPr>
          <w:rFonts w:ascii="Times New Roman" w:hAnsi="Times New Roman" w:cs="Times New Roman"/>
          <w:sz w:val="24"/>
          <w:szCs w:val="24"/>
        </w:rPr>
      </w:pPr>
    </w:p>
    <w:p w14:paraId="3EF2FA8C" w14:textId="77777777" w:rsidR="00941480" w:rsidRPr="00235B37" w:rsidRDefault="00D67A64" w:rsidP="00D67A64">
      <w:pPr>
        <w:spacing w:after="0" w:line="240" w:lineRule="auto"/>
        <w:rPr>
          <w:rFonts w:ascii="Times New Roman" w:hAnsi="Times New Roman" w:cs="Times New Roman"/>
          <w:sz w:val="24"/>
          <w:szCs w:val="24"/>
        </w:rPr>
      </w:pPr>
      <w:r w:rsidRPr="00235B37">
        <w:rPr>
          <w:rFonts w:ascii="Times New Roman" w:hAnsi="Times New Roman" w:cs="Times New Roman"/>
          <w:sz w:val="24"/>
          <w:szCs w:val="24"/>
        </w:rPr>
        <w:t>The information contained in Parts 125, 225, and 356 is used by jurisdictional companies to determine the minimum length of time to maintain their records subject to the requirements of the Commission.</w:t>
      </w:r>
    </w:p>
    <w:p w14:paraId="0A82A67B" w14:textId="77777777" w:rsidR="009208A7" w:rsidRDefault="009208A7" w:rsidP="00F210B7">
      <w:pPr>
        <w:spacing w:after="0" w:line="240" w:lineRule="auto"/>
        <w:rPr>
          <w:rFonts w:ascii="Times New Roman" w:hAnsi="Times New Roman" w:cs="Times New Roman"/>
          <w:b/>
          <w:sz w:val="24"/>
          <w:szCs w:val="24"/>
        </w:rPr>
      </w:pPr>
    </w:p>
    <w:p w14:paraId="51396A17" w14:textId="77777777" w:rsidR="009208A7" w:rsidRDefault="009208A7" w:rsidP="00F210B7">
      <w:pPr>
        <w:spacing w:after="0" w:line="240" w:lineRule="auto"/>
        <w:rPr>
          <w:rFonts w:ascii="Times New Roman" w:hAnsi="Times New Roman" w:cs="Times New Roman"/>
          <w:b/>
          <w:sz w:val="24"/>
          <w:szCs w:val="24"/>
        </w:rPr>
      </w:pPr>
    </w:p>
    <w:p w14:paraId="22A7D10B" w14:textId="77777777" w:rsidR="009208A7" w:rsidRPr="00235B37" w:rsidRDefault="009208A7" w:rsidP="00F210B7">
      <w:pPr>
        <w:spacing w:after="0" w:line="240" w:lineRule="auto"/>
        <w:rPr>
          <w:rFonts w:ascii="Times New Roman" w:hAnsi="Times New Roman" w:cs="Times New Roman"/>
          <w:sz w:val="24"/>
          <w:szCs w:val="24"/>
        </w:rPr>
      </w:pPr>
      <w:r w:rsidRPr="00007DEB">
        <w:rPr>
          <w:rFonts w:ascii="Times New Roman" w:hAnsi="Times New Roman" w:cs="Times New Roman"/>
          <w:b/>
          <w:sz w:val="24"/>
          <w:szCs w:val="24"/>
        </w:rPr>
        <w:t>In general,</w:t>
      </w:r>
      <w:r w:rsidRPr="00235B37">
        <w:rPr>
          <w:rFonts w:ascii="Times New Roman" w:hAnsi="Times New Roman" w:cs="Times New Roman"/>
          <w:sz w:val="24"/>
          <w:szCs w:val="24"/>
        </w:rPr>
        <w:t xml:space="preserve"> </w:t>
      </w:r>
      <w:r w:rsidR="00007DEB">
        <w:rPr>
          <w:rFonts w:ascii="Times New Roman" w:hAnsi="Times New Roman" w:cs="Times New Roman"/>
          <w:sz w:val="24"/>
          <w:szCs w:val="24"/>
        </w:rPr>
        <w:t xml:space="preserve">the requirements in </w:t>
      </w:r>
      <w:r w:rsidRPr="00235B37">
        <w:rPr>
          <w:rFonts w:ascii="Times New Roman" w:hAnsi="Times New Roman" w:cs="Times New Roman"/>
          <w:sz w:val="24"/>
          <w:szCs w:val="24"/>
        </w:rPr>
        <w:t xml:space="preserve">these </w:t>
      </w:r>
      <w:r w:rsidR="00007DEB">
        <w:rPr>
          <w:rFonts w:ascii="Times New Roman" w:hAnsi="Times New Roman" w:cs="Times New Roman"/>
          <w:sz w:val="24"/>
          <w:szCs w:val="24"/>
        </w:rPr>
        <w:t xml:space="preserve">three </w:t>
      </w:r>
      <w:r w:rsidRPr="00235B37">
        <w:rPr>
          <w:rFonts w:ascii="Times New Roman" w:hAnsi="Times New Roman" w:cs="Times New Roman"/>
          <w:sz w:val="24"/>
          <w:szCs w:val="24"/>
        </w:rPr>
        <w:t xml:space="preserve">information collections </w:t>
      </w:r>
      <w:r>
        <w:rPr>
          <w:rFonts w:ascii="Times New Roman" w:hAnsi="Times New Roman" w:cs="Times New Roman"/>
          <w:sz w:val="24"/>
          <w:szCs w:val="24"/>
        </w:rPr>
        <w:t>(reporting and recordkeeping requirements) are</w:t>
      </w:r>
      <w:r w:rsidRPr="00235B37">
        <w:rPr>
          <w:rFonts w:ascii="Times New Roman" w:hAnsi="Times New Roman" w:cs="Times New Roman"/>
          <w:sz w:val="24"/>
          <w:szCs w:val="24"/>
        </w:rPr>
        <w:t xml:space="preserve"> the minimum necessary to comply with the statutes.  If this information were not collected</w:t>
      </w:r>
      <w:r>
        <w:rPr>
          <w:rFonts w:ascii="Times New Roman" w:hAnsi="Times New Roman" w:cs="Times New Roman"/>
          <w:sz w:val="24"/>
          <w:szCs w:val="24"/>
        </w:rPr>
        <w:t xml:space="preserve"> or retained</w:t>
      </w:r>
      <w:r w:rsidRPr="00235B37">
        <w:rPr>
          <w:rFonts w:ascii="Times New Roman" w:hAnsi="Times New Roman" w:cs="Times New Roman"/>
          <w:sz w:val="24"/>
          <w:szCs w:val="24"/>
        </w:rPr>
        <w:t>, there would be no data available to determine whether violations of the law</w:t>
      </w:r>
      <w:r w:rsidR="000022C9">
        <w:rPr>
          <w:rFonts w:ascii="Times New Roman" w:hAnsi="Times New Roman" w:cs="Times New Roman"/>
          <w:sz w:val="24"/>
          <w:szCs w:val="24"/>
        </w:rPr>
        <w:t>s</w:t>
      </w:r>
      <w:r w:rsidRPr="00235B37">
        <w:rPr>
          <w:rFonts w:ascii="Times New Roman" w:hAnsi="Times New Roman" w:cs="Times New Roman"/>
          <w:sz w:val="24"/>
          <w:szCs w:val="24"/>
        </w:rPr>
        <w:t xml:space="preserve"> had occurred.</w:t>
      </w:r>
    </w:p>
    <w:p w14:paraId="1B0B60ED" w14:textId="77777777" w:rsidR="004276A5" w:rsidRPr="00F210B7" w:rsidRDefault="004276A5" w:rsidP="00F210B7">
      <w:pPr>
        <w:spacing w:after="0" w:line="240" w:lineRule="auto"/>
        <w:rPr>
          <w:rFonts w:ascii="Times New Roman" w:hAnsi="Times New Roman" w:cs="Times New Roman"/>
          <w:sz w:val="24"/>
          <w:szCs w:val="24"/>
        </w:rPr>
      </w:pPr>
    </w:p>
    <w:p w14:paraId="1E9213FB" w14:textId="77777777" w:rsidR="00EB3E6F" w:rsidRPr="00F210B7" w:rsidRDefault="00EB3E6F"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DESCRIBE ANY CONSIDERATION OF THE USE OF IMPROVED INFORMATION TECHNOLOGY TO REDUCE THE BURDEN AND TECHNICAL OR LEGAL OBSTACLES TO REDUCING BURDEN</w:t>
      </w:r>
    </w:p>
    <w:p w14:paraId="65153A48" w14:textId="77777777" w:rsidR="00EB3E6F" w:rsidRPr="00F210B7" w:rsidRDefault="00EB3E6F" w:rsidP="00F210B7">
      <w:pPr>
        <w:spacing w:after="0" w:line="240" w:lineRule="auto"/>
        <w:rPr>
          <w:rFonts w:ascii="Times New Roman" w:hAnsi="Times New Roman" w:cs="Times New Roman"/>
          <w:sz w:val="24"/>
          <w:szCs w:val="24"/>
        </w:rPr>
      </w:pPr>
    </w:p>
    <w:p w14:paraId="7A69BB89" w14:textId="77777777" w:rsidR="000022C9" w:rsidRDefault="0025203F" w:rsidP="00F210B7">
      <w:pPr>
        <w:spacing w:after="0" w:line="240" w:lineRule="auto"/>
        <w:rPr>
          <w:rFonts w:ascii="Times New Roman" w:hAnsi="Times New Roman" w:cs="Times New Roman"/>
          <w:sz w:val="24"/>
          <w:szCs w:val="24"/>
        </w:rPr>
      </w:pPr>
      <w:r w:rsidRPr="00F210B7">
        <w:rPr>
          <w:rFonts w:ascii="Times New Roman" w:hAnsi="Times New Roman" w:cs="Times New Roman"/>
          <w:b/>
          <w:sz w:val="24"/>
          <w:szCs w:val="24"/>
        </w:rPr>
        <w:t xml:space="preserve">FERC-516.  </w:t>
      </w:r>
      <w:r w:rsidRPr="00F210B7">
        <w:rPr>
          <w:rFonts w:ascii="Times New Roman" w:hAnsi="Times New Roman" w:cs="Times New Roman"/>
          <w:sz w:val="24"/>
          <w:szCs w:val="24"/>
        </w:rPr>
        <w:t>FERC</w:t>
      </w:r>
      <w:r w:rsidR="004D7DA8" w:rsidRPr="00F210B7">
        <w:rPr>
          <w:rFonts w:ascii="Times New Roman" w:hAnsi="Times New Roman" w:cs="Times New Roman"/>
          <w:sz w:val="24"/>
          <w:szCs w:val="24"/>
        </w:rPr>
        <w:t xml:space="preserve"> </w:t>
      </w:r>
      <w:r w:rsidR="00466C57" w:rsidRPr="00F210B7">
        <w:rPr>
          <w:rFonts w:ascii="Times New Roman" w:hAnsi="Times New Roman" w:cs="Times New Roman"/>
          <w:sz w:val="24"/>
          <w:szCs w:val="24"/>
        </w:rPr>
        <w:t>implement</w:t>
      </w:r>
      <w:r w:rsidRPr="00F210B7">
        <w:rPr>
          <w:rFonts w:ascii="Times New Roman" w:hAnsi="Times New Roman" w:cs="Times New Roman"/>
          <w:sz w:val="24"/>
          <w:szCs w:val="24"/>
        </w:rPr>
        <w:t>ed</w:t>
      </w:r>
      <w:r w:rsidR="004D7DA8" w:rsidRPr="00F210B7">
        <w:rPr>
          <w:rFonts w:ascii="Times New Roman" w:hAnsi="Times New Roman" w:cs="Times New Roman"/>
          <w:sz w:val="24"/>
          <w:szCs w:val="24"/>
        </w:rPr>
        <w:t xml:space="preserve"> </w:t>
      </w:r>
      <w:r w:rsidRPr="00F210B7">
        <w:rPr>
          <w:rFonts w:ascii="Times New Roman" w:hAnsi="Times New Roman" w:cs="Times New Roman"/>
          <w:sz w:val="24"/>
          <w:szCs w:val="24"/>
        </w:rPr>
        <w:t>its</w:t>
      </w:r>
      <w:r w:rsidR="00466C57" w:rsidRPr="00F210B7">
        <w:rPr>
          <w:rFonts w:ascii="Times New Roman" w:hAnsi="Times New Roman" w:cs="Times New Roman"/>
          <w:sz w:val="24"/>
          <w:szCs w:val="24"/>
        </w:rPr>
        <w:t xml:space="preserve"> eTariff system (fully implemented in 2010) for the electronic filing of tariffs. </w:t>
      </w:r>
    </w:p>
    <w:p w14:paraId="454C7FBD" w14:textId="77777777" w:rsidR="000022C9" w:rsidRDefault="000022C9" w:rsidP="00F210B7">
      <w:pPr>
        <w:spacing w:after="0" w:line="240" w:lineRule="auto"/>
        <w:rPr>
          <w:rFonts w:ascii="Times New Roman" w:hAnsi="Times New Roman" w:cs="Times New Roman"/>
          <w:sz w:val="24"/>
          <w:szCs w:val="24"/>
        </w:rPr>
      </w:pPr>
    </w:p>
    <w:p w14:paraId="22CD5100" w14:textId="77777777" w:rsidR="000022C9" w:rsidRDefault="000022C9" w:rsidP="00F210B7">
      <w:pPr>
        <w:spacing w:after="0" w:line="240" w:lineRule="auto"/>
        <w:rPr>
          <w:rFonts w:ascii="Times New Roman" w:hAnsi="Times New Roman" w:cs="Times New Roman"/>
          <w:sz w:val="24"/>
          <w:szCs w:val="24"/>
        </w:rPr>
      </w:pPr>
      <w:r w:rsidRPr="00235B37">
        <w:rPr>
          <w:rFonts w:ascii="Times New Roman" w:hAnsi="Times New Roman" w:cs="Times New Roman"/>
          <w:b/>
          <w:sz w:val="24"/>
          <w:szCs w:val="24"/>
        </w:rPr>
        <w:t>FERC-519.</w:t>
      </w:r>
      <w:r>
        <w:rPr>
          <w:rFonts w:ascii="Times New Roman" w:hAnsi="Times New Roman" w:cs="Times New Roman"/>
          <w:sz w:val="24"/>
          <w:szCs w:val="24"/>
        </w:rPr>
        <w:t xml:space="preserve">  The data can be filed electronically.</w:t>
      </w:r>
    </w:p>
    <w:p w14:paraId="39A93096" w14:textId="77777777" w:rsidR="00EB3E6F" w:rsidRPr="00F210B7" w:rsidRDefault="00466C57"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 </w:t>
      </w:r>
    </w:p>
    <w:p w14:paraId="2AB9BE30" w14:textId="77777777" w:rsidR="0025203F" w:rsidRPr="00F210B7" w:rsidRDefault="000022C9" w:rsidP="00F210B7">
      <w:pPr>
        <w:spacing w:after="0" w:line="240" w:lineRule="auto"/>
        <w:rPr>
          <w:rFonts w:ascii="Times New Roman" w:hAnsi="Times New Roman" w:cs="Times New Roman"/>
          <w:sz w:val="24"/>
          <w:szCs w:val="24"/>
        </w:rPr>
      </w:pPr>
      <w:r w:rsidRPr="00235B37">
        <w:rPr>
          <w:rFonts w:ascii="Times New Roman" w:hAnsi="Times New Roman" w:cs="Times New Roman"/>
          <w:b/>
          <w:sz w:val="24"/>
          <w:szCs w:val="24"/>
        </w:rPr>
        <w:t>FERC-555.</w:t>
      </w:r>
      <w:r>
        <w:rPr>
          <w:rFonts w:ascii="Times New Roman" w:hAnsi="Times New Roman" w:cs="Times New Roman"/>
          <w:sz w:val="24"/>
          <w:szCs w:val="24"/>
        </w:rPr>
        <w:t xml:space="preserve">  </w:t>
      </w:r>
      <w:r w:rsidRPr="000022C9">
        <w:rPr>
          <w:rFonts w:ascii="Times New Roman" w:hAnsi="Times New Roman" w:cs="Times New Roman"/>
          <w:sz w:val="24"/>
          <w:szCs w:val="24"/>
        </w:rPr>
        <w:t>The Commission's regulations state that the storage media selected must have a life expectancy at least equal to the applicable record retention period unless there is a quality transfer of the data from one media to another with no loss of data.  The Commission purposefully does not mandate a specific media type to allow companies flexibility in the selection of media which would provide the ability to adapt quickly to changes in technology without the necessity of obtaining Commission approval of the use of media not provided for in the regulations.  The Commission believes that the current regulations provide for efficiencies and savings from reduced retention periods and unrestricted use of storage media</w:t>
      </w:r>
      <w:r w:rsidR="00056BCA">
        <w:rPr>
          <w:rFonts w:ascii="Times New Roman" w:hAnsi="Times New Roman" w:cs="Times New Roman"/>
          <w:sz w:val="24"/>
          <w:szCs w:val="24"/>
        </w:rPr>
        <w:t>.</w:t>
      </w:r>
    </w:p>
    <w:p w14:paraId="32C20D28" w14:textId="77777777" w:rsidR="00466C57" w:rsidRPr="00F210B7" w:rsidRDefault="00466C57" w:rsidP="00F210B7">
      <w:pPr>
        <w:spacing w:after="0" w:line="240" w:lineRule="auto"/>
        <w:rPr>
          <w:rFonts w:ascii="Times New Roman" w:hAnsi="Times New Roman" w:cs="Times New Roman"/>
          <w:sz w:val="24"/>
          <w:szCs w:val="24"/>
        </w:rPr>
      </w:pPr>
    </w:p>
    <w:p w14:paraId="597F8994" w14:textId="77777777" w:rsidR="00EB3E6F" w:rsidRPr="00F210B7" w:rsidRDefault="00EB3E6F"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lastRenderedPageBreak/>
        <w:t>DESCRIBE EFFORTS TO IDENTIF</w:t>
      </w:r>
      <w:r w:rsidR="00074DC8" w:rsidRPr="00F210B7">
        <w:rPr>
          <w:rFonts w:ascii="Times New Roman" w:hAnsi="Times New Roman" w:cs="Times New Roman"/>
          <w:b/>
          <w:sz w:val="24"/>
          <w:szCs w:val="24"/>
        </w:rPr>
        <w:t>Y</w:t>
      </w:r>
      <w:r w:rsidRPr="00F210B7">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0CCDC8A3" w14:textId="77777777" w:rsidR="00EB3E6F" w:rsidRPr="00F210B7" w:rsidRDefault="00EB3E6F" w:rsidP="00F210B7">
      <w:pPr>
        <w:spacing w:after="0" w:line="240" w:lineRule="auto"/>
        <w:rPr>
          <w:rFonts w:ascii="Times New Roman" w:hAnsi="Times New Roman" w:cs="Times New Roman"/>
          <w:sz w:val="24"/>
          <w:szCs w:val="24"/>
        </w:rPr>
      </w:pPr>
    </w:p>
    <w:p w14:paraId="4D96CED6" w14:textId="77777777" w:rsidR="00EB3E6F" w:rsidRPr="00F210B7" w:rsidRDefault="00466C57"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FERC rules and data requirements are periodically reviewed in conjunction with OMB clearance expiration dates.  This includes a review of FERC's regulations and data requirements to identify duplication.  The information to be submitted, generated, </w:t>
      </w:r>
      <w:r w:rsidR="000022C9">
        <w:rPr>
          <w:rFonts w:ascii="Times New Roman" w:hAnsi="Times New Roman" w:cs="Times New Roman"/>
          <w:sz w:val="24"/>
          <w:szCs w:val="24"/>
        </w:rPr>
        <w:t>retained</w:t>
      </w:r>
      <w:r w:rsidRPr="00F210B7">
        <w:rPr>
          <w:rFonts w:ascii="Times New Roman" w:hAnsi="Times New Roman" w:cs="Times New Roman"/>
          <w:sz w:val="24"/>
          <w:szCs w:val="24"/>
        </w:rPr>
        <w:t xml:space="preserve">, </w:t>
      </w:r>
      <w:r w:rsidR="001348AC" w:rsidRPr="00F210B7">
        <w:rPr>
          <w:rFonts w:ascii="Times New Roman" w:hAnsi="Times New Roman" w:cs="Times New Roman"/>
          <w:sz w:val="24"/>
          <w:szCs w:val="24"/>
        </w:rPr>
        <w:t xml:space="preserve">or posted, pursuant to this </w:t>
      </w:r>
      <w:r w:rsidR="000022C9">
        <w:rPr>
          <w:rFonts w:ascii="Times New Roman" w:hAnsi="Times New Roman" w:cs="Times New Roman"/>
          <w:sz w:val="24"/>
          <w:szCs w:val="24"/>
        </w:rPr>
        <w:t>Policy Statement</w:t>
      </w:r>
      <w:r w:rsidRPr="00F210B7">
        <w:rPr>
          <w:rFonts w:ascii="Times New Roman" w:hAnsi="Times New Roman" w:cs="Times New Roman"/>
          <w:sz w:val="24"/>
          <w:szCs w:val="24"/>
        </w:rPr>
        <w:t xml:space="preserve"> is not readi</w:t>
      </w:r>
      <w:r w:rsidR="001348AC" w:rsidRPr="00F210B7">
        <w:rPr>
          <w:rFonts w:ascii="Times New Roman" w:hAnsi="Times New Roman" w:cs="Times New Roman"/>
          <w:sz w:val="24"/>
          <w:szCs w:val="24"/>
        </w:rPr>
        <w:t>ly available from other</w:t>
      </w:r>
      <w:r w:rsidR="00F8681E" w:rsidRPr="00F210B7">
        <w:rPr>
          <w:rFonts w:ascii="Times New Roman" w:hAnsi="Times New Roman" w:cs="Times New Roman"/>
          <w:sz w:val="24"/>
          <w:szCs w:val="24"/>
        </w:rPr>
        <w:t xml:space="preserve"> sources</w:t>
      </w:r>
      <w:r w:rsidRPr="00F210B7">
        <w:rPr>
          <w:rFonts w:ascii="Times New Roman" w:hAnsi="Times New Roman" w:cs="Times New Roman"/>
          <w:sz w:val="24"/>
          <w:szCs w:val="24"/>
        </w:rPr>
        <w:t>.</w:t>
      </w:r>
    </w:p>
    <w:p w14:paraId="2D89B55F" w14:textId="77777777" w:rsidR="00466C57" w:rsidRPr="00F210B7" w:rsidRDefault="00466C57" w:rsidP="00F210B7">
      <w:pPr>
        <w:spacing w:after="0" w:line="240" w:lineRule="auto"/>
        <w:rPr>
          <w:rFonts w:ascii="Times New Roman" w:hAnsi="Times New Roman" w:cs="Times New Roman"/>
          <w:sz w:val="24"/>
          <w:szCs w:val="24"/>
        </w:rPr>
      </w:pPr>
    </w:p>
    <w:p w14:paraId="16FFB7E2" w14:textId="77777777" w:rsidR="00EB3E6F" w:rsidRPr="00F210B7" w:rsidRDefault="00EB3E6F"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METHODS USED TO MINIMIZE THE BURDEN IN COLLECTION OF INFORMATION INVOLVING SMALL ENTITIES</w:t>
      </w:r>
    </w:p>
    <w:p w14:paraId="6B3E1FAF" w14:textId="77777777" w:rsidR="00C50C77" w:rsidRPr="00F210B7" w:rsidRDefault="00C50C77" w:rsidP="00F210B7">
      <w:pPr>
        <w:spacing w:after="0" w:line="240" w:lineRule="auto"/>
        <w:rPr>
          <w:rFonts w:ascii="Times New Roman" w:hAnsi="Times New Roman" w:cs="Times New Roman"/>
          <w:sz w:val="24"/>
          <w:szCs w:val="24"/>
        </w:rPr>
      </w:pPr>
    </w:p>
    <w:p w14:paraId="49525A76" w14:textId="77777777" w:rsidR="00EB3E6F" w:rsidRPr="00F210B7" w:rsidRDefault="001348AC"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The Commission does consider waivers for small entities, which serves as an option for small entities to reduce their burden.  The Commission grants these waivers on a case-by-case basis.</w:t>
      </w:r>
    </w:p>
    <w:p w14:paraId="77652B45" w14:textId="77777777" w:rsidR="001348AC" w:rsidRDefault="001348AC" w:rsidP="00F210B7">
      <w:pPr>
        <w:spacing w:after="0" w:line="240" w:lineRule="auto"/>
        <w:rPr>
          <w:rFonts w:ascii="Times New Roman" w:hAnsi="Times New Roman" w:cs="Times New Roman"/>
          <w:sz w:val="24"/>
          <w:szCs w:val="24"/>
        </w:rPr>
      </w:pPr>
    </w:p>
    <w:p w14:paraId="7F39DE10" w14:textId="77777777" w:rsidR="00C44E3A" w:rsidRPr="005D3EA1" w:rsidRDefault="00C44E3A" w:rsidP="00F210B7">
      <w:pPr>
        <w:spacing w:after="0" w:line="240" w:lineRule="auto"/>
        <w:rPr>
          <w:rFonts w:ascii="Times New Roman" w:hAnsi="Times New Roman" w:cs="Times New Roman"/>
          <w:sz w:val="24"/>
          <w:szCs w:val="24"/>
        </w:rPr>
      </w:pPr>
      <w:r>
        <w:rPr>
          <w:rFonts w:ascii="Times New Roman" w:hAnsi="Times New Roman" w:cs="Times New Roman"/>
          <w:b/>
          <w:sz w:val="24"/>
          <w:szCs w:val="24"/>
        </w:rPr>
        <w:t>FERC-516.</w:t>
      </w:r>
      <w:r w:rsidR="004B3F9A" w:rsidRPr="004B3F9A">
        <w:rPr>
          <w:rFonts w:ascii="Times New Roman" w:hAnsi="Times New Roman" w:cs="Times New Roman"/>
          <w:b/>
          <w:sz w:val="24"/>
          <w:szCs w:val="24"/>
        </w:rPr>
        <w:t xml:space="preserve"> </w:t>
      </w:r>
      <w:r w:rsidR="004B3F9A" w:rsidRPr="004A30A3">
        <w:rPr>
          <w:rFonts w:ascii="Times New Roman" w:hAnsi="Times New Roman" w:cs="Times New Roman"/>
          <w:sz w:val="24"/>
          <w:szCs w:val="24"/>
        </w:rPr>
        <w:t xml:space="preserve">Small entities will typically not be affected by the Policy Statement.  Small entities are generally not in a position to file a FERC-516 which would </w:t>
      </w:r>
      <w:r w:rsidR="004007A5" w:rsidRPr="004A30A3">
        <w:rPr>
          <w:rFonts w:ascii="Times New Roman" w:hAnsi="Times New Roman" w:cs="Times New Roman"/>
          <w:sz w:val="24"/>
          <w:szCs w:val="24"/>
        </w:rPr>
        <w:t xml:space="preserve">be subject to </w:t>
      </w:r>
      <w:r w:rsidR="004B3F9A" w:rsidRPr="004A30A3">
        <w:rPr>
          <w:rFonts w:ascii="Times New Roman" w:hAnsi="Times New Roman" w:cs="Times New Roman"/>
          <w:sz w:val="24"/>
          <w:szCs w:val="24"/>
        </w:rPr>
        <w:t>hold harmless ratepayer protection</w:t>
      </w:r>
      <w:r w:rsidR="004007A5" w:rsidRPr="004A30A3">
        <w:rPr>
          <w:rFonts w:ascii="Times New Roman" w:hAnsi="Times New Roman" w:cs="Times New Roman"/>
          <w:sz w:val="24"/>
          <w:szCs w:val="24"/>
        </w:rPr>
        <w:t xml:space="preserve"> which is the subject of the Policy Statement</w:t>
      </w:r>
      <w:r w:rsidR="004B3F9A" w:rsidRPr="004A30A3">
        <w:rPr>
          <w:rFonts w:ascii="Times New Roman" w:hAnsi="Times New Roman" w:cs="Times New Roman"/>
          <w:sz w:val="24"/>
          <w:szCs w:val="24"/>
        </w:rPr>
        <w:t>.</w:t>
      </w:r>
    </w:p>
    <w:p w14:paraId="6A091082" w14:textId="77777777" w:rsidR="00C44E3A" w:rsidRDefault="00C44E3A" w:rsidP="00F210B7">
      <w:pPr>
        <w:spacing w:after="0" w:line="240" w:lineRule="auto"/>
        <w:rPr>
          <w:rFonts w:ascii="Times New Roman" w:hAnsi="Times New Roman" w:cs="Times New Roman"/>
          <w:sz w:val="24"/>
          <w:szCs w:val="24"/>
        </w:rPr>
      </w:pPr>
    </w:p>
    <w:p w14:paraId="78CB3F70" w14:textId="77777777" w:rsidR="00C44E3A" w:rsidRDefault="00C44E3A" w:rsidP="00F210B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FERC-519.   </w:t>
      </w:r>
      <w:r w:rsidRPr="004A30A3">
        <w:rPr>
          <w:rFonts w:ascii="Times New Roman" w:hAnsi="Times New Roman" w:cs="Times New Roman"/>
          <w:sz w:val="24"/>
          <w:szCs w:val="24"/>
        </w:rPr>
        <w:t>Small entities will typically not be affected by the Policy Statement.  Small entities are generally not in a position to file a FERC-5</w:t>
      </w:r>
      <w:r w:rsidR="004B3F9A" w:rsidRPr="004A30A3">
        <w:rPr>
          <w:rFonts w:ascii="Times New Roman" w:hAnsi="Times New Roman" w:cs="Times New Roman"/>
          <w:sz w:val="24"/>
          <w:szCs w:val="24"/>
        </w:rPr>
        <w:t>19</w:t>
      </w:r>
      <w:r w:rsidR="003650E5" w:rsidRPr="004A30A3">
        <w:rPr>
          <w:rFonts w:ascii="Times New Roman" w:hAnsi="Times New Roman" w:cs="Times New Roman"/>
          <w:sz w:val="24"/>
          <w:szCs w:val="24"/>
        </w:rPr>
        <w:t>.</w:t>
      </w:r>
      <w:r w:rsidRPr="004A30A3">
        <w:rPr>
          <w:rFonts w:ascii="Times New Roman" w:hAnsi="Times New Roman" w:cs="Times New Roman"/>
          <w:sz w:val="24"/>
          <w:szCs w:val="24"/>
        </w:rPr>
        <w:t xml:space="preserve"> </w:t>
      </w:r>
      <w:r w:rsidR="003650E5" w:rsidRPr="004A30A3">
        <w:rPr>
          <w:rFonts w:ascii="Times New Roman" w:hAnsi="Times New Roman" w:cs="Times New Roman"/>
          <w:sz w:val="24"/>
          <w:szCs w:val="24"/>
        </w:rPr>
        <w:t xml:space="preserve"> Additionally </w:t>
      </w:r>
      <w:r w:rsidRPr="004A30A3">
        <w:rPr>
          <w:rFonts w:ascii="Times New Roman" w:hAnsi="Times New Roman" w:cs="Times New Roman"/>
          <w:sz w:val="24"/>
          <w:szCs w:val="24"/>
        </w:rPr>
        <w:t>it may not be necessary in many cases to show that the particular transaction has no adverse effect on rates</w:t>
      </w:r>
      <w:r w:rsidR="003650E5" w:rsidRPr="004A30A3">
        <w:rPr>
          <w:rFonts w:ascii="Times New Roman" w:hAnsi="Times New Roman" w:cs="Times New Roman"/>
          <w:sz w:val="24"/>
          <w:szCs w:val="24"/>
        </w:rPr>
        <w:t xml:space="preserve"> because most small entities lack captive customers that require rate protection</w:t>
      </w:r>
      <w:r w:rsidRPr="004A30A3">
        <w:rPr>
          <w:rFonts w:ascii="Times New Roman" w:hAnsi="Times New Roman" w:cs="Times New Roman"/>
          <w:sz w:val="24"/>
          <w:szCs w:val="24"/>
        </w:rPr>
        <w:t>.  The Policy Statement provides other avenues to make such a showing.</w:t>
      </w:r>
    </w:p>
    <w:p w14:paraId="284DA154" w14:textId="77777777" w:rsidR="004B3F9A" w:rsidRDefault="004B3F9A" w:rsidP="00F210B7">
      <w:pPr>
        <w:spacing w:after="0" w:line="240" w:lineRule="auto"/>
        <w:rPr>
          <w:rFonts w:ascii="Times New Roman" w:hAnsi="Times New Roman" w:cs="Times New Roman"/>
          <w:b/>
          <w:sz w:val="24"/>
          <w:szCs w:val="24"/>
        </w:rPr>
      </w:pPr>
    </w:p>
    <w:p w14:paraId="4532CDE3" w14:textId="77777777" w:rsidR="004B3F9A" w:rsidRDefault="004B3F9A" w:rsidP="00F210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FERC-555.  </w:t>
      </w:r>
      <w:r w:rsidRPr="004A30A3">
        <w:rPr>
          <w:rFonts w:ascii="Times New Roman" w:hAnsi="Times New Roman" w:cs="Times New Roman"/>
          <w:sz w:val="24"/>
          <w:szCs w:val="24"/>
        </w:rPr>
        <w:t>There is no change to FERC-555 for those entities that do not make hold ha</w:t>
      </w:r>
      <w:r w:rsidR="00365732" w:rsidRPr="004A30A3">
        <w:rPr>
          <w:rFonts w:ascii="Times New Roman" w:hAnsi="Times New Roman" w:cs="Times New Roman"/>
          <w:sz w:val="24"/>
          <w:szCs w:val="24"/>
        </w:rPr>
        <w:t>r</w:t>
      </w:r>
      <w:r w:rsidRPr="004A30A3">
        <w:rPr>
          <w:rFonts w:ascii="Times New Roman" w:hAnsi="Times New Roman" w:cs="Times New Roman"/>
          <w:sz w:val="24"/>
          <w:szCs w:val="24"/>
        </w:rPr>
        <w:t>mless commitments in connection with their section 203 applications.</w:t>
      </w:r>
    </w:p>
    <w:p w14:paraId="4911440C" w14:textId="77777777" w:rsidR="00C44E3A" w:rsidRPr="00F210B7" w:rsidRDefault="00C44E3A" w:rsidP="00F210B7">
      <w:pPr>
        <w:spacing w:after="0" w:line="240" w:lineRule="auto"/>
        <w:rPr>
          <w:rFonts w:ascii="Times New Roman" w:hAnsi="Times New Roman" w:cs="Times New Roman"/>
          <w:sz w:val="24"/>
          <w:szCs w:val="24"/>
        </w:rPr>
      </w:pPr>
    </w:p>
    <w:p w14:paraId="366C5E3F" w14:textId="77777777" w:rsidR="00EB3E6F" w:rsidRPr="00F210B7" w:rsidRDefault="00EB3E6F"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CONSEQUENCE TO FEDERAL PROGRAM IF COLLECTION WERE CONDUCTED LESS FREQUENTLY</w:t>
      </w:r>
    </w:p>
    <w:p w14:paraId="76686136" w14:textId="77777777" w:rsidR="008352B4" w:rsidRPr="00F210B7" w:rsidRDefault="008352B4" w:rsidP="00F210B7">
      <w:pPr>
        <w:spacing w:after="0" w:line="240" w:lineRule="auto"/>
        <w:rPr>
          <w:rFonts w:ascii="Times New Roman" w:hAnsi="Times New Roman" w:cs="Times New Roman"/>
          <w:b/>
          <w:sz w:val="24"/>
          <w:szCs w:val="24"/>
        </w:rPr>
      </w:pPr>
    </w:p>
    <w:p w14:paraId="1D665C04" w14:textId="77777777" w:rsidR="00F95A9B" w:rsidRPr="00F210B7" w:rsidRDefault="00F95A9B" w:rsidP="00F210B7">
      <w:pPr>
        <w:spacing w:after="0" w:line="240" w:lineRule="auto"/>
        <w:rPr>
          <w:rFonts w:ascii="Times New Roman" w:hAnsi="Times New Roman" w:cs="Times New Roman"/>
          <w:sz w:val="24"/>
          <w:szCs w:val="24"/>
        </w:rPr>
      </w:pPr>
      <w:r w:rsidRPr="00F210B7">
        <w:rPr>
          <w:rFonts w:ascii="Times New Roman" w:hAnsi="Times New Roman" w:cs="Times New Roman"/>
          <w:b/>
          <w:sz w:val="24"/>
          <w:szCs w:val="24"/>
        </w:rPr>
        <w:t xml:space="preserve">FERC-516.  </w:t>
      </w:r>
      <w:r w:rsidRPr="00F210B7">
        <w:rPr>
          <w:rFonts w:ascii="Times New Roman" w:hAnsi="Times New Roman" w:cs="Times New Roman"/>
          <w:sz w:val="24"/>
          <w:szCs w:val="24"/>
        </w:rPr>
        <w:t xml:space="preserve">FERC requires this information (much of which is unaffected by this </w:t>
      </w:r>
      <w:r w:rsidR="00190397">
        <w:rPr>
          <w:rFonts w:ascii="Times New Roman" w:hAnsi="Times New Roman" w:cs="Times New Roman"/>
          <w:sz w:val="24"/>
          <w:szCs w:val="24"/>
        </w:rPr>
        <w:t>Policy Statement</w:t>
      </w:r>
      <w:r w:rsidRPr="00F210B7">
        <w:rPr>
          <w:rFonts w:ascii="Times New Roman" w:hAnsi="Times New Roman" w:cs="Times New Roman"/>
          <w:sz w:val="24"/>
          <w:szCs w:val="24"/>
        </w:rPr>
        <w:t xml:space="preserve">) in order to perform its mandated oversight and review responsibilities with respect to electric market-based rates being just and reasonable.  Without this information, the Commission would be unable to meet its statutory responsibility under Section 205 of the FPA to ensure electric utility rates and tariffs are just and reasonable.  Failing to meet this responsibility </w:t>
      </w:r>
      <w:r w:rsidR="007F2F2F" w:rsidRPr="00F210B7">
        <w:rPr>
          <w:rFonts w:ascii="Times New Roman" w:hAnsi="Times New Roman" w:cs="Times New Roman"/>
          <w:sz w:val="24"/>
          <w:szCs w:val="24"/>
        </w:rPr>
        <w:t>c</w:t>
      </w:r>
      <w:r w:rsidRPr="00F210B7">
        <w:rPr>
          <w:rFonts w:ascii="Times New Roman" w:hAnsi="Times New Roman" w:cs="Times New Roman"/>
          <w:sz w:val="24"/>
          <w:szCs w:val="24"/>
        </w:rPr>
        <w:t>ould result in public utilities charging rates that are not just and reasonable.</w:t>
      </w:r>
    </w:p>
    <w:p w14:paraId="7AE4C19E" w14:textId="77777777" w:rsidR="00F95A9B" w:rsidRPr="00F210B7" w:rsidRDefault="00F95A9B" w:rsidP="00F210B7">
      <w:pPr>
        <w:spacing w:after="0" w:line="240" w:lineRule="auto"/>
        <w:rPr>
          <w:rFonts w:ascii="Times New Roman" w:hAnsi="Times New Roman" w:cs="Times New Roman"/>
          <w:b/>
          <w:sz w:val="24"/>
          <w:szCs w:val="24"/>
        </w:rPr>
      </w:pPr>
    </w:p>
    <w:p w14:paraId="34E4C522" w14:textId="77777777" w:rsidR="00CF759C" w:rsidRDefault="001B0006" w:rsidP="00F210B7">
      <w:pPr>
        <w:spacing w:after="0" w:line="240" w:lineRule="auto"/>
        <w:rPr>
          <w:rFonts w:ascii="Times New Roman" w:hAnsi="Times New Roman" w:cs="Times New Roman"/>
          <w:sz w:val="24"/>
          <w:szCs w:val="24"/>
        </w:rPr>
      </w:pPr>
      <w:r w:rsidRPr="00235B37">
        <w:rPr>
          <w:rFonts w:ascii="Times New Roman" w:hAnsi="Times New Roman" w:cs="Times New Roman"/>
          <w:b/>
          <w:sz w:val="24"/>
          <w:szCs w:val="24"/>
        </w:rPr>
        <w:t>FERC-519.</w:t>
      </w:r>
      <w:r>
        <w:rPr>
          <w:rFonts w:ascii="Times New Roman" w:hAnsi="Times New Roman" w:cs="Times New Roman"/>
          <w:sz w:val="24"/>
          <w:szCs w:val="24"/>
        </w:rPr>
        <w:t xml:space="preserve">  </w:t>
      </w:r>
      <w:r w:rsidRPr="001B0006">
        <w:rPr>
          <w:rFonts w:ascii="Times New Roman" w:hAnsi="Times New Roman" w:cs="Times New Roman"/>
          <w:sz w:val="24"/>
          <w:szCs w:val="24"/>
        </w:rPr>
        <w:t>FPA Section 203 requires a filing on the occasion that a public utility proposes to dispose of jurisdictional facilities, merge such facilities, or acquire the securities of another public utility.  If the collection was not conducted before the proposed transaction was consummated, the Commission would be unable to perform its mandated oversight and review responsibilities with respect to facilities, mergers and securities transactions.</w:t>
      </w:r>
    </w:p>
    <w:p w14:paraId="476B7135" w14:textId="77777777" w:rsidR="001B0006" w:rsidRDefault="001B0006" w:rsidP="00F210B7">
      <w:pPr>
        <w:spacing w:after="0" w:line="240" w:lineRule="auto"/>
        <w:rPr>
          <w:rFonts w:ascii="Times New Roman" w:hAnsi="Times New Roman" w:cs="Times New Roman"/>
          <w:sz w:val="24"/>
          <w:szCs w:val="24"/>
        </w:rPr>
      </w:pPr>
    </w:p>
    <w:p w14:paraId="7FE2DF82" w14:textId="77777777" w:rsidR="001B0006" w:rsidRDefault="001B0006" w:rsidP="00F210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FERC-555.  </w:t>
      </w:r>
      <w:r w:rsidRPr="00235B37">
        <w:rPr>
          <w:rFonts w:ascii="Times New Roman" w:hAnsi="Times New Roman" w:cs="Times New Roman"/>
          <w:sz w:val="24"/>
          <w:szCs w:val="24"/>
        </w:rPr>
        <w:t>These records are not filed with the Commission but are retained by jurisdictional companies to be used as previously noted.  Absent the availability of obtaining these records, the Commission would not be able to carry out its regulatory responsibilities as authorized by the Federal Power Act, the Natural Gas Act and the Interstate Commerce Act.</w:t>
      </w:r>
    </w:p>
    <w:p w14:paraId="3DA57596" w14:textId="77777777" w:rsidR="001B0006" w:rsidRPr="00F210B7" w:rsidRDefault="001B0006" w:rsidP="00F210B7">
      <w:pPr>
        <w:spacing w:after="0" w:line="240" w:lineRule="auto"/>
        <w:rPr>
          <w:rFonts w:ascii="Times New Roman" w:hAnsi="Times New Roman" w:cs="Times New Roman"/>
          <w:sz w:val="24"/>
          <w:szCs w:val="24"/>
        </w:rPr>
      </w:pPr>
    </w:p>
    <w:p w14:paraId="0F9CE2F9" w14:textId="77777777" w:rsidR="00EB3E6F" w:rsidRPr="00F210B7" w:rsidRDefault="00EB3E6F"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EXPLAIN ANY SPECIAL CIRCUMSTANCES RELATING TO THE INFORMATION COLLECTION</w:t>
      </w:r>
    </w:p>
    <w:p w14:paraId="10BC1804" w14:textId="77777777" w:rsidR="008352B4" w:rsidRPr="00F210B7" w:rsidRDefault="008352B4" w:rsidP="00F210B7">
      <w:pPr>
        <w:pStyle w:val="ListParagraph"/>
        <w:spacing w:after="0" w:line="240" w:lineRule="auto"/>
        <w:ind w:left="360"/>
        <w:rPr>
          <w:rFonts w:ascii="Times New Roman" w:hAnsi="Times New Roman" w:cs="Times New Roman"/>
          <w:b/>
          <w:sz w:val="24"/>
          <w:szCs w:val="24"/>
        </w:rPr>
      </w:pPr>
    </w:p>
    <w:p w14:paraId="1AF215B7" w14:textId="77777777" w:rsidR="00EB3E6F" w:rsidRDefault="008D310F" w:rsidP="00F210B7">
      <w:pPr>
        <w:spacing w:after="0" w:line="240" w:lineRule="auto"/>
        <w:rPr>
          <w:rFonts w:ascii="Times New Roman" w:hAnsi="Times New Roman" w:cs="Times New Roman"/>
          <w:sz w:val="24"/>
          <w:szCs w:val="24"/>
        </w:rPr>
      </w:pPr>
      <w:r w:rsidRPr="00235B37">
        <w:rPr>
          <w:rFonts w:ascii="Times New Roman" w:hAnsi="Times New Roman" w:cs="Times New Roman"/>
          <w:b/>
          <w:sz w:val="24"/>
          <w:szCs w:val="24"/>
        </w:rPr>
        <w:t xml:space="preserve">FERC-516 </w:t>
      </w:r>
      <w:r w:rsidR="008352B4" w:rsidRPr="00235B37">
        <w:rPr>
          <w:rFonts w:ascii="Times New Roman" w:hAnsi="Times New Roman" w:cs="Times New Roman"/>
          <w:b/>
          <w:sz w:val="24"/>
          <w:szCs w:val="24"/>
        </w:rPr>
        <w:t>and FERC-</w:t>
      </w:r>
      <w:r w:rsidR="00A0019B" w:rsidRPr="00235B37">
        <w:rPr>
          <w:rFonts w:ascii="Times New Roman" w:hAnsi="Times New Roman" w:cs="Times New Roman"/>
          <w:b/>
          <w:sz w:val="24"/>
          <w:szCs w:val="24"/>
        </w:rPr>
        <w:t>519</w:t>
      </w:r>
      <w:r w:rsidR="00A0019B" w:rsidRPr="00235B37">
        <w:rPr>
          <w:rFonts w:ascii="Times New Roman" w:hAnsi="Times New Roman" w:cs="Times New Roman"/>
          <w:sz w:val="24"/>
          <w:szCs w:val="24"/>
        </w:rPr>
        <w:t xml:space="preserve"> </w:t>
      </w:r>
      <w:r w:rsidRPr="00235B37">
        <w:rPr>
          <w:rFonts w:ascii="Times New Roman" w:hAnsi="Times New Roman" w:cs="Times New Roman"/>
          <w:sz w:val="24"/>
          <w:szCs w:val="24"/>
        </w:rPr>
        <w:t>are consistent</w:t>
      </w:r>
      <w:r w:rsidRPr="00F210B7">
        <w:rPr>
          <w:rFonts w:ascii="Times New Roman" w:hAnsi="Times New Roman" w:cs="Times New Roman"/>
          <w:sz w:val="24"/>
          <w:szCs w:val="24"/>
        </w:rPr>
        <w:t xml:space="preserve"> with the guidelines in 5 CFR 1320.5(d).</w:t>
      </w:r>
    </w:p>
    <w:p w14:paraId="5437D32A" w14:textId="77777777" w:rsidR="00A0019B" w:rsidRDefault="00A0019B" w:rsidP="00F210B7">
      <w:pPr>
        <w:spacing w:after="0" w:line="240" w:lineRule="auto"/>
        <w:rPr>
          <w:rFonts w:ascii="Times New Roman" w:hAnsi="Times New Roman" w:cs="Times New Roman"/>
          <w:sz w:val="24"/>
          <w:szCs w:val="24"/>
        </w:rPr>
      </w:pPr>
    </w:p>
    <w:p w14:paraId="7CACC93F" w14:textId="77777777" w:rsidR="00A0019B" w:rsidRPr="00F210B7" w:rsidRDefault="00A0019B" w:rsidP="00F210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FERC-555.  </w:t>
      </w:r>
      <w:r w:rsidRPr="00A0019B">
        <w:rPr>
          <w:rFonts w:ascii="Times New Roman" w:hAnsi="Times New Roman" w:cs="Times New Roman"/>
          <w:sz w:val="24"/>
          <w:szCs w:val="24"/>
        </w:rPr>
        <w:t xml:space="preserve">The Commission needs sufficient data available for scrutiny in order to carry out its regulatory mandates. For rate case filings, it is imperative that the Commission, and its staff, have access to supporting rate-case documentation, as well as documentation that might be pertinent to complaint proceedings.  For these reasons, many record schedules are set for longer than the three year period generally applicable </w:t>
      </w:r>
      <w:r>
        <w:rPr>
          <w:rFonts w:ascii="Times New Roman" w:hAnsi="Times New Roman" w:cs="Times New Roman"/>
          <w:sz w:val="24"/>
          <w:szCs w:val="24"/>
        </w:rPr>
        <w:t xml:space="preserve">and described in </w:t>
      </w:r>
      <w:r w:rsidR="00615DD1">
        <w:rPr>
          <w:rFonts w:ascii="Times New Roman" w:hAnsi="Times New Roman" w:cs="Times New Roman"/>
          <w:sz w:val="24"/>
          <w:szCs w:val="24"/>
        </w:rPr>
        <w:t>5 CFR 1320.5(d)</w:t>
      </w:r>
      <w:r w:rsidRPr="00A0019B">
        <w:rPr>
          <w:rFonts w:ascii="Times New Roman" w:hAnsi="Times New Roman" w:cs="Times New Roman"/>
          <w:sz w:val="24"/>
          <w:szCs w:val="24"/>
        </w:rPr>
        <w:t>.</w:t>
      </w:r>
    </w:p>
    <w:p w14:paraId="0BB171AC" w14:textId="77777777" w:rsidR="008D310F" w:rsidRPr="00F210B7" w:rsidRDefault="008D310F" w:rsidP="00F210B7">
      <w:pPr>
        <w:spacing w:after="0" w:line="240" w:lineRule="auto"/>
        <w:rPr>
          <w:rFonts w:ascii="Times New Roman" w:hAnsi="Times New Roman" w:cs="Times New Roman"/>
          <w:sz w:val="24"/>
          <w:szCs w:val="24"/>
        </w:rPr>
      </w:pPr>
    </w:p>
    <w:p w14:paraId="316289A9" w14:textId="77777777" w:rsidR="00EB3E6F" w:rsidRPr="00F210B7" w:rsidRDefault="00EB3E6F"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DESCRIBE EFFORTS TO CONSULT OUTSIDE THE AGENCY: SUMMARIZE PUBLIC COMMENTS AND THE AGENCY’S RESPONSE</w:t>
      </w:r>
    </w:p>
    <w:p w14:paraId="2C47D863" w14:textId="77777777" w:rsidR="00F132A1" w:rsidRPr="00F210B7" w:rsidRDefault="00F132A1" w:rsidP="00F210B7">
      <w:pPr>
        <w:spacing w:after="0" w:line="240" w:lineRule="auto"/>
        <w:rPr>
          <w:rFonts w:ascii="Times New Roman" w:hAnsi="Times New Roman" w:cs="Times New Roman"/>
          <w:sz w:val="24"/>
          <w:szCs w:val="24"/>
        </w:rPr>
      </w:pPr>
    </w:p>
    <w:p w14:paraId="5B450616" w14:textId="77777777" w:rsidR="00277386" w:rsidRDefault="00235B37" w:rsidP="00F210B7">
      <w:pPr>
        <w:spacing w:after="0" w:line="240" w:lineRule="auto"/>
        <w:rPr>
          <w:rFonts w:ascii="Times New Roman" w:hAnsi="Times New Roman" w:cs="Times New Roman"/>
          <w:sz w:val="24"/>
          <w:szCs w:val="24"/>
        </w:rPr>
      </w:pPr>
      <w:r>
        <w:rPr>
          <w:rFonts w:ascii="Times New Roman" w:hAnsi="Times New Roman" w:cs="Times New Roman"/>
          <w:sz w:val="24"/>
          <w:szCs w:val="24"/>
        </w:rPr>
        <w:t>The Proposed Policy Statement</w:t>
      </w:r>
      <w:r w:rsidR="00CD19EB">
        <w:rPr>
          <w:rFonts w:ascii="Times New Roman" w:hAnsi="Times New Roman" w:cs="Times New Roman"/>
          <w:sz w:val="24"/>
          <w:szCs w:val="24"/>
        </w:rPr>
        <w:t xml:space="preserve"> was issued 1/22/2015 for public comment.  The Commission received 10 public comments</w:t>
      </w:r>
      <w:r w:rsidR="003650E5">
        <w:rPr>
          <w:rFonts w:ascii="Times New Roman" w:hAnsi="Times New Roman" w:cs="Times New Roman"/>
          <w:sz w:val="24"/>
          <w:szCs w:val="24"/>
        </w:rPr>
        <w:t>.</w:t>
      </w:r>
      <w:r w:rsidR="003650E5" w:rsidRPr="003650E5">
        <w:rPr>
          <w:rFonts w:ascii="Times New Roman" w:eastAsia="Times New Roman" w:hAnsi="Times New Roman" w:cs="Times New Roman"/>
          <w:sz w:val="26"/>
          <w:szCs w:val="24"/>
        </w:rPr>
        <w:t xml:space="preserve"> </w:t>
      </w:r>
      <w:r w:rsidR="003650E5" w:rsidRPr="003650E5">
        <w:rPr>
          <w:rFonts w:ascii="Times New Roman" w:hAnsi="Times New Roman" w:cs="Times New Roman"/>
          <w:sz w:val="24"/>
          <w:szCs w:val="24"/>
        </w:rPr>
        <w:t>EEI and EPSA contend that the Commission should not require tracking and inclusion of costs incurred prior to the announcement because doing so would be premature, burdensome, and costly.</w:t>
      </w:r>
      <w:r w:rsidR="003650E5" w:rsidRPr="003650E5">
        <w:rPr>
          <w:rFonts w:ascii="Times New Roman" w:hAnsi="Times New Roman" w:cs="Times New Roman"/>
          <w:b/>
          <w:sz w:val="24"/>
          <w:szCs w:val="24"/>
          <w:vertAlign w:val="superscript"/>
        </w:rPr>
        <w:footnoteReference w:id="3"/>
      </w:r>
      <w:r w:rsidR="003650E5" w:rsidRPr="003650E5">
        <w:rPr>
          <w:rFonts w:ascii="Times New Roman" w:hAnsi="Times New Roman" w:cs="Times New Roman"/>
          <w:sz w:val="24"/>
          <w:szCs w:val="24"/>
        </w:rPr>
        <w:t xml:space="preserve">  EEI states that long term strategic planning including investigating potential transactions is part of the routine daily operations of any company and should not be singled out for separate tracking, which it asserts would be unwieldy and misleading because staff would conceivable have to bill their time separately for every potential project or transaction they analyze, just in case that project or transaction came to fruition.</w:t>
      </w:r>
      <w:r w:rsidR="003650E5" w:rsidRPr="003650E5">
        <w:rPr>
          <w:rFonts w:ascii="Times New Roman" w:hAnsi="Times New Roman" w:cs="Times New Roman"/>
          <w:b/>
          <w:sz w:val="24"/>
          <w:szCs w:val="24"/>
          <w:vertAlign w:val="superscript"/>
        </w:rPr>
        <w:footnoteReference w:id="4"/>
      </w:r>
      <w:r w:rsidR="003650E5" w:rsidRPr="003650E5">
        <w:rPr>
          <w:rFonts w:ascii="Times New Roman" w:hAnsi="Times New Roman" w:cs="Times New Roman"/>
          <w:sz w:val="24"/>
          <w:szCs w:val="24"/>
        </w:rPr>
        <w:t xml:space="preserve">  EEI states that the burden of this proposal exceeds the benefits due to the number of transactions that may be explored and could provide a disincentive for companies to investigate transactions that could ultimately benefit customers.</w:t>
      </w:r>
      <w:r w:rsidR="003650E5" w:rsidRPr="003650E5">
        <w:rPr>
          <w:rFonts w:ascii="Times New Roman" w:hAnsi="Times New Roman" w:cs="Times New Roman"/>
          <w:b/>
          <w:sz w:val="24"/>
          <w:szCs w:val="24"/>
          <w:vertAlign w:val="superscript"/>
        </w:rPr>
        <w:footnoteReference w:id="5"/>
      </w:r>
    </w:p>
    <w:p w14:paraId="020755B5" w14:textId="77777777" w:rsidR="00E03C4A" w:rsidRDefault="00E03C4A" w:rsidP="00F210B7">
      <w:pPr>
        <w:spacing w:after="0" w:line="240" w:lineRule="auto"/>
        <w:rPr>
          <w:rFonts w:ascii="Times New Roman" w:hAnsi="Times New Roman" w:cs="Times New Roman"/>
          <w:sz w:val="24"/>
          <w:szCs w:val="24"/>
        </w:rPr>
      </w:pPr>
    </w:p>
    <w:p w14:paraId="6E6FC0D1" w14:textId="77777777" w:rsidR="00E03C4A" w:rsidRPr="0002248A" w:rsidRDefault="00E03C4A" w:rsidP="004E3683">
      <w:pPr>
        <w:spacing w:after="0" w:line="240" w:lineRule="auto"/>
        <w:rPr>
          <w:rFonts w:ascii="Times New Roman" w:hAnsi="Times New Roman" w:cs="Times New Roman"/>
          <w:sz w:val="24"/>
          <w:szCs w:val="24"/>
        </w:rPr>
      </w:pPr>
      <w:r w:rsidRPr="004A30A3">
        <w:rPr>
          <w:rFonts w:ascii="Times New Roman" w:hAnsi="Times New Roman" w:cs="Times New Roman"/>
          <w:sz w:val="24"/>
          <w:szCs w:val="24"/>
        </w:rPr>
        <w:t xml:space="preserve">The Commission responded explaining its concern “is that an applicant will use its existing employees to both perform normal utility activities as well as transaction-related activities and not make a distinction between the two activities.  As a result, the applicant would recover transaction-related labor costs without demonstrating that they are offset by benefits.  Thus, an appropriate labor cost allocation is needed to ensure the applicant’s ratepayers are not paying for transaction-related activities without a showing of offsetting benefits.”  </w:t>
      </w:r>
    </w:p>
    <w:p w14:paraId="5044F761" w14:textId="77777777" w:rsidR="00235B37" w:rsidRPr="00F210B7" w:rsidRDefault="00235B37" w:rsidP="00F210B7">
      <w:pPr>
        <w:spacing w:after="0" w:line="240" w:lineRule="auto"/>
        <w:rPr>
          <w:rFonts w:ascii="Times New Roman" w:hAnsi="Times New Roman" w:cs="Times New Roman"/>
          <w:sz w:val="24"/>
          <w:szCs w:val="24"/>
        </w:rPr>
      </w:pPr>
    </w:p>
    <w:p w14:paraId="00D332E9" w14:textId="77777777" w:rsidR="00EB3E6F" w:rsidRPr="00F210B7" w:rsidRDefault="00F8681E"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The </w:t>
      </w:r>
      <w:r w:rsidR="00F50467">
        <w:rPr>
          <w:rFonts w:ascii="Times New Roman" w:hAnsi="Times New Roman" w:cs="Times New Roman"/>
          <w:sz w:val="24"/>
          <w:szCs w:val="24"/>
        </w:rPr>
        <w:t xml:space="preserve">final </w:t>
      </w:r>
      <w:r w:rsidR="00235B37">
        <w:rPr>
          <w:rFonts w:ascii="Times New Roman" w:hAnsi="Times New Roman" w:cs="Times New Roman"/>
          <w:sz w:val="24"/>
          <w:szCs w:val="24"/>
        </w:rPr>
        <w:t>Policy Statement</w:t>
      </w:r>
      <w:r w:rsidRPr="00F210B7">
        <w:rPr>
          <w:rFonts w:ascii="Times New Roman" w:hAnsi="Times New Roman" w:cs="Times New Roman"/>
          <w:sz w:val="24"/>
          <w:szCs w:val="24"/>
        </w:rPr>
        <w:t xml:space="preserve"> </w:t>
      </w:r>
      <w:r w:rsidR="00F50467">
        <w:rPr>
          <w:rFonts w:ascii="Times New Roman" w:hAnsi="Times New Roman" w:cs="Times New Roman"/>
          <w:sz w:val="24"/>
          <w:szCs w:val="24"/>
        </w:rPr>
        <w:t xml:space="preserve">addresses all of the public comments and </w:t>
      </w:r>
      <w:r w:rsidRPr="00F210B7">
        <w:rPr>
          <w:rFonts w:ascii="Times New Roman" w:hAnsi="Times New Roman" w:cs="Times New Roman"/>
          <w:sz w:val="24"/>
          <w:szCs w:val="24"/>
        </w:rPr>
        <w:t xml:space="preserve">will </w:t>
      </w:r>
      <w:r w:rsidR="00EE558F">
        <w:rPr>
          <w:rFonts w:ascii="Times New Roman" w:hAnsi="Times New Roman" w:cs="Times New Roman"/>
          <w:sz w:val="24"/>
          <w:szCs w:val="24"/>
        </w:rPr>
        <w:t xml:space="preserve">also </w:t>
      </w:r>
      <w:r w:rsidRPr="00F210B7">
        <w:rPr>
          <w:rFonts w:ascii="Times New Roman" w:hAnsi="Times New Roman" w:cs="Times New Roman"/>
          <w:sz w:val="24"/>
          <w:szCs w:val="24"/>
        </w:rPr>
        <w:t>be published in the Federal Register</w:t>
      </w:r>
      <w:r w:rsidR="00950A03">
        <w:rPr>
          <w:rFonts w:ascii="Times New Roman" w:hAnsi="Times New Roman" w:cs="Times New Roman"/>
          <w:sz w:val="24"/>
          <w:szCs w:val="24"/>
        </w:rPr>
        <w:t xml:space="preserve"> on 5/26/2016</w:t>
      </w:r>
      <w:r w:rsidRPr="00F210B7">
        <w:rPr>
          <w:rFonts w:ascii="Times New Roman" w:hAnsi="Times New Roman" w:cs="Times New Roman"/>
          <w:sz w:val="24"/>
          <w:szCs w:val="24"/>
        </w:rPr>
        <w:t>.</w:t>
      </w:r>
    </w:p>
    <w:p w14:paraId="4154D2FC" w14:textId="77777777" w:rsidR="00286C9B" w:rsidRPr="00F210B7" w:rsidRDefault="00286C9B" w:rsidP="00F210B7">
      <w:pPr>
        <w:spacing w:after="0" w:line="240" w:lineRule="auto"/>
        <w:rPr>
          <w:rFonts w:ascii="Times New Roman" w:hAnsi="Times New Roman" w:cs="Times New Roman"/>
          <w:sz w:val="24"/>
          <w:szCs w:val="24"/>
        </w:rPr>
      </w:pPr>
    </w:p>
    <w:p w14:paraId="6E2EEC2E" w14:textId="77777777" w:rsidR="00EB3E6F" w:rsidRPr="00F210B7" w:rsidRDefault="00D80FBD"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EXPLAIN ANY PAYMENT OR GIFTS TO RESPONDENTS</w:t>
      </w:r>
    </w:p>
    <w:p w14:paraId="192795D4" w14:textId="77777777" w:rsidR="00D80FBD" w:rsidRPr="00F210B7" w:rsidRDefault="00D80FBD" w:rsidP="00F210B7">
      <w:pPr>
        <w:spacing w:after="0" w:line="240" w:lineRule="auto"/>
        <w:rPr>
          <w:rFonts w:ascii="Times New Roman" w:hAnsi="Times New Roman" w:cs="Times New Roman"/>
          <w:sz w:val="24"/>
          <w:szCs w:val="24"/>
        </w:rPr>
      </w:pPr>
    </w:p>
    <w:p w14:paraId="1EAB95E6" w14:textId="77777777" w:rsidR="00D80FBD" w:rsidRPr="00F210B7" w:rsidRDefault="008D310F"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There are no payments or gifts to respondents associated with these collections.</w:t>
      </w:r>
    </w:p>
    <w:p w14:paraId="37A24EA7" w14:textId="77777777" w:rsidR="008D310F" w:rsidRPr="00F210B7" w:rsidRDefault="008D310F" w:rsidP="00F210B7">
      <w:pPr>
        <w:spacing w:after="0" w:line="240" w:lineRule="auto"/>
        <w:rPr>
          <w:rFonts w:ascii="Times New Roman" w:hAnsi="Times New Roman" w:cs="Times New Roman"/>
          <w:sz w:val="24"/>
          <w:szCs w:val="24"/>
        </w:rPr>
      </w:pPr>
    </w:p>
    <w:p w14:paraId="68B03C0D" w14:textId="77777777" w:rsidR="00D80FBD" w:rsidRPr="00F210B7" w:rsidRDefault="00D80FBD"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DESCRIBE ANY ASSURANCE OF CONFIDENTIALITY PROVIDED TO RESPONDENTS</w:t>
      </w:r>
    </w:p>
    <w:p w14:paraId="4BFCA154" w14:textId="77777777" w:rsidR="00D80FBD" w:rsidRPr="00F210B7" w:rsidRDefault="00D80FBD" w:rsidP="00F210B7">
      <w:pPr>
        <w:spacing w:after="0" w:line="240" w:lineRule="auto"/>
        <w:rPr>
          <w:rFonts w:ascii="Times New Roman" w:hAnsi="Times New Roman" w:cs="Times New Roman"/>
          <w:sz w:val="24"/>
          <w:szCs w:val="24"/>
        </w:rPr>
      </w:pPr>
    </w:p>
    <w:p w14:paraId="35C5EEDB" w14:textId="77777777" w:rsidR="00D80FBD" w:rsidRPr="00F210B7" w:rsidRDefault="00EE558F" w:rsidP="00F210B7">
      <w:pPr>
        <w:spacing w:after="0" w:line="240" w:lineRule="auto"/>
        <w:rPr>
          <w:rFonts w:ascii="Times New Roman" w:hAnsi="Times New Roman" w:cs="Times New Roman"/>
          <w:sz w:val="24"/>
          <w:szCs w:val="24"/>
        </w:rPr>
      </w:pPr>
      <w:r>
        <w:rPr>
          <w:rFonts w:ascii="Times New Roman" w:hAnsi="Times New Roman" w:cs="Times New Roman"/>
          <w:sz w:val="24"/>
          <w:szCs w:val="24"/>
        </w:rPr>
        <w:t>Generally, the d</w:t>
      </w:r>
      <w:r w:rsidR="00286C9B" w:rsidRPr="00F210B7">
        <w:rPr>
          <w:rFonts w:ascii="Times New Roman" w:hAnsi="Times New Roman" w:cs="Times New Roman"/>
          <w:sz w:val="24"/>
          <w:szCs w:val="24"/>
        </w:rPr>
        <w:t>ata</w:t>
      </w:r>
      <w:r w:rsidR="008D310F" w:rsidRPr="00F210B7">
        <w:rPr>
          <w:rFonts w:ascii="Times New Roman" w:hAnsi="Times New Roman" w:cs="Times New Roman"/>
          <w:sz w:val="24"/>
          <w:szCs w:val="24"/>
        </w:rPr>
        <w:t xml:space="preserve">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p>
    <w:p w14:paraId="05690B26" w14:textId="77777777" w:rsidR="008D310F" w:rsidRPr="00F210B7" w:rsidRDefault="008D310F" w:rsidP="00F210B7">
      <w:pPr>
        <w:spacing w:after="0" w:line="240" w:lineRule="auto"/>
        <w:rPr>
          <w:rFonts w:ascii="Times New Roman" w:hAnsi="Times New Roman" w:cs="Times New Roman"/>
          <w:sz w:val="24"/>
          <w:szCs w:val="24"/>
        </w:rPr>
      </w:pPr>
    </w:p>
    <w:p w14:paraId="29DD5E23" w14:textId="77777777" w:rsidR="00D80FBD" w:rsidRPr="00F210B7" w:rsidRDefault="00D80FBD"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 xml:space="preserve">PROVIDE </w:t>
      </w:r>
      <w:r w:rsidR="004C5E0E" w:rsidRPr="00F210B7">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2C713A6F" w14:textId="77777777" w:rsidR="00D80FBD" w:rsidRPr="00F210B7" w:rsidRDefault="00D80FBD" w:rsidP="00F210B7">
      <w:pPr>
        <w:spacing w:after="0" w:line="240" w:lineRule="auto"/>
        <w:rPr>
          <w:rFonts w:ascii="Times New Roman" w:hAnsi="Times New Roman" w:cs="Times New Roman"/>
          <w:sz w:val="24"/>
          <w:szCs w:val="24"/>
        </w:rPr>
      </w:pPr>
    </w:p>
    <w:p w14:paraId="0EDB8660" w14:textId="77777777" w:rsidR="00D80FBD" w:rsidRPr="00F210B7" w:rsidRDefault="0074195A"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There are no questions of a sensitive nature in the reporting </w:t>
      </w:r>
      <w:r w:rsidR="00235B37">
        <w:rPr>
          <w:rFonts w:ascii="Times New Roman" w:hAnsi="Times New Roman" w:cs="Times New Roman"/>
          <w:sz w:val="24"/>
          <w:szCs w:val="24"/>
        </w:rPr>
        <w:t xml:space="preserve">or recordkeeping </w:t>
      </w:r>
      <w:r w:rsidRPr="00F210B7">
        <w:rPr>
          <w:rFonts w:ascii="Times New Roman" w:hAnsi="Times New Roman" w:cs="Times New Roman"/>
          <w:sz w:val="24"/>
          <w:szCs w:val="24"/>
        </w:rPr>
        <w:t>requirements.</w:t>
      </w:r>
    </w:p>
    <w:p w14:paraId="16BEC062" w14:textId="77777777" w:rsidR="0074195A" w:rsidRPr="00F210B7" w:rsidRDefault="0074195A" w:rsidP="00F210B7">
      <w:pPr>
        <w:spacing w:after="0" w:line="240" w:lineRule="auto"/>
        <w:rPr>
          <w:rFonts w:ascii="Times New Roman" w:hAnsi="Times New Roman" w:cs="Times New Roman"/>
          <w:sz w:val="24"/>
          <w:szCs w:val="24"/>
        </w:rPr>
      </w:pPr>
    </w:p>
    <w:p w14:paraId="2EE72939" w14:textId="77777777" w:rsidR="00D80FBD" w:rsidRPr="00F210B7" w:rsidRDefault="00D80FBD"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ESTIMATED BURDEN OF COLLECTION OF INFORMATION</w:t>
      </w:r>
    </w:p>
    <w:p w14:paraId="75253D54" w14:textId="77777777" w:rsidR="00EE558F" w:rsidRPr="00EE558F" w:rsidRDefault="00EE558F" w:rsidP="00DE58BE">
      <w:pPr>
        <w:pStyle w:val="FERCparanumber"/>
        <w:numPr>
          <w:ilvl w:val="0"/>
          <w:numId w:val="0"/>
        </w:numPr>
        <w:spacing w:line="240" w:lineRule="auto"/>
      </w:pPr>
      <w:r w:rsidRPr="00EE558F">
        <w:t xml:space="preserve">The following table shows the Commission’s estimates for the additional </w:t>
      </w:r>
      <w:r w:rsidR="00036295">
        <w:t xml:space="preserve">annual </w:t>
      </w:r>
      <w:r w:rsidRPr="00EE558F">
        <w:t>burden and cost,</w:t>
      </w:r>
      <w:r w:rsidRPr="00EE558F">
        <w:rPr>
          <w:b/>
          <w:szCs w:val="26"/>
          <w:vertAlign w:val="superscript"/>
        </w:rPr>
        <w:footnoteReference w:id="6"/>
      </w:r>
      <w:r w:rsidRPr="00EE558F">
        <w:t xml:space="preserve"> as contained in the Policy Statement: </w:t>
      </w:r>
    </w:p>
    <w:p w14:paraId="30AEC69D" w14:textId="77777777" w:rsidR="00EE558F" w:rsidRPr="00EE558F" w:rsidRDefault="00EE558F" w:rsidP="00DE58BE">
      <w:pPr>
        <w:widowControl w:val="0"/>
        <w:tabs>
          <w:tab w:val="num" w:pos="720"/>
        </w:tabs>
        <w:autoSpaceDE w:val="0"/>
        <w:autoSpaceDN w:val="0"/>
        <w:adjustRightInd w:val="0"/>
        <w:spacing w:after="0" w:line="240" w:lineRule="auto"/>
        <w:rPr>
          <w:rFonts w:ascii="Times New Roman" w:eastAsia="Times New Roman" w:hAnsi="Times New Roman" w:cs="Times New Roman"/>
          <w:b/>
          <w:sz w:val="26"/>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649"/>
        <w:gridCol w:w="1562"/>
        <w:gridCol w:w="1404"/>
        <w:gridCol w:w="1392"/>
        <w:gridCol w:w="1567"/>
      </w:tblGrid>
      <w:tr w:rsidR="00EE558F" w:rsidRPr="00EE558F" w14:paraId="562CDA27" w14:textId="77777777" w:rsidTr="00F1498C">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14:paraId="3C063BB1"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Revisions, in the Policy Statement in Docket No. PL15-3</w:t>
            </w:r>
          </w:p>
        </w:tc>
      </w:tr>
      <w:tr w:rsidR="00EE558F" w:rsidRPr="00EE558F" w14:paraId="49698E53" w14:textId="77777777" w:rsidTr="00F1498C">
        <w:trPr>
          <w:cantSplit/>
        </w:trPr>
        <w:tc>
          <w:tcPr>
            <w:tcW w:w="934"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1B9F6BE"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 xml:space="preserve">Requirements </w:t>
            </w:r>
          </w:p>
          <w:p w14:paraId="263B9212"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p>
        </w:tc>
        <w:tc>
          <w:tcPr>
            <w:tcW w:w="88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65F751C"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Number and Type of Respondents</w:t>
            </w:r>
          </w:p>
          <w:p w14:paraId="271C9255"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(1)</w:t>
            </w:r>
          </w:p>
        </w:tc>
        <w:tc>
          <w:tcPr>
            <w:tcW w:w="840"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E269495"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Number of Responses per Respondent</w:t>
            </w:r>
          </w:p>
          <w:p w14:paraId="791ED977"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(2)</w:t>
            </w:r>
          </w:p>
        </w:tc>
        <w:tc>
          <w:tcPr>
            <w:tcW w:w="74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F89930E"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Total Number of Responses (1)*(2)=(3)</w:t>
            </w:r>
          </w:p>
        </w:tc>
        <w:tc>
          <w:tcPr>
            <w:tcW w:w="74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BDB5E6C"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Average Burden Hours &amp; Cost Per Response</w:t>
            </w:r>
          </w:p>
          <w:p w14:paraId="39C22303"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(4)</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67C5F265"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Total Burden Hours &amp; Total Cost</w:t>
            </w:r>
          </w:p>
          <w:p w14:paraId="2FF0F165" w14:textId="77777777" w:rsidR="00EE558F" w:rsidRPr="00EE558F" w:rsidRDefault="00EE558F" w:rsidP="00EE558F">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(3)*(4)</w:t>
            </w:r>
          </w:p>
        </w:tc>
      </w:tr>
      <w:tr w:rsidR="00EE558F" w:rsidRPr="004E3683" w14:paraId="4D5CB8EC" w14:textId="77777777" w:rsidTr="00F1498C">
        <w:trPr>
          <w:cantSplit/>
        </w:trPr>
        <w:tc>
          <w:tcPr>
            <w:tcW w:w="934" w:type="pct"/>
            <w:tcBorders>
              <w:top w:val="single" w:sz="4" w:space="0" w:color="auto"/>
              <w:left w:val="single" w:sz="4" w:space="0" w:color="auto"/>
              <w:bottom w:val="single" w:sz="4" w:space="0" w:color="auto"/>
              <w:right w:val="single" w:sz="4" w:space="0" w:color="auto"/>
            </w:tcBorders>
          </w:tcPr>
          <w:p w14:paraId="7185EFCC" w14:textId="77777777" w:rsidR="00EE558F" w:rsidRPr="00EE558F" w:rsidRDefault="00EE558F" w:rsidP="00EE558F">
            <w:pPr>
              <w:widowControl w:val="0"/>
              <w:autoSpaceDE w:val="0"/>
              <w:autoSpaceDN w:val="0"/>
              <w:adjustRightInd w:val="0"/>
              <w:spacing w:after="0" w:line="240" w:lineRule="auto"/>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FERC-519 (FPA Section 203 Filings)</w:t>
            </w:r>
            <w:r w:rsidR="00C51264" w:rsidRPr="004E3683">
              <w:rPr>
                <w:rStyle w:val="FootnoteReference"/>
                <w:rFonts w:ascii="Times New Roman" w:eastAsia="Times New Roman" w:hAnsi="Times New Roman" w:cs="Times New Roman"/>
                <w:sz w:val="26"/>
                <w:szCs w:val="26"/>
                <w:vertAlign w:val="superscript"/>
                <w:lang w:bidi="he-IL"/>
              </w:rPr>
              <w:footnoteReference w:id="7"/>
            </w:r>
          </w:p>
        </w:tc>
        <w:tc>
          <w:tcPr>
            <w:tcW w:w="887" w:type="pct"/>
            <w:tcBorders>
              <w:top w:val="single" w:sz="4" w:space="0" w:color="auto"/>
              <w:left w:val="single" w:sz="4" w:space="0" w:color="auto"/>
              <w:bottom w:val="single" w:sz="4" w:space="0" w:color="auto"/>
              <w:right w:val="single" w:sz="4" w:space="0" w:color="auto"/>
            </w:tcBorders>
            <w:vAlign w:val="bottom"/>
          </w:tcPr>
          <w:p w14:paraId="3A4D69A8"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18</w:t>
            </w:r>
          </w:p>
        </w:tc>
        <w:tc>
          <w:tcPr>
            <w:tcW w:w="840" w:type="pct"/>
            <w:tcBorders>
              <w:top w:val="single" w:sz="4" w:space="0" w:color="auto"/>
              <w:left w:val="single" w:sz="4" w:space="0" w:color="auto"/>
              <w:bottom w:val="single" w:sz="4" w:space="0" w:color="auto"/>
              <w:right w:val="single" w:sz="4" w:space="0" w:color="auto"/>
            </w:tcBorders>
            <w:vAlign w:val="bottom"/>
          </w:tcPr>
          <w:p w14:paraId="46DB384F"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w:t>
            </w:r>
          </w:p>
        </w:tc>
        <w:tc>
          <w:tcPr>
            <w:tcW w:w="747" w:type="pct"/>
            <w:tcBorders>
              <w:top w:val="single" w:sz="4" w:space="0" w:color="auto"/>
              <w:left w:val="single" w:sz="4" w:space="0" w:color="auto"/>
              <w:bottom w:val="single" w:sz="4" w:space="0" w:color="auto"/>
              <w:right w:val="single" w:sz="4" w:space="0" w:color="auto"/>
            </w:tcBorders>
            <w:vAlign w:val="bottom"/>
          </w:tcPr>
          <w:p w14:paraId="630C0637"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18</w:t>
            </w:r>
          </w:p>
        </w:tc>
        <w:tc>
          <w:tcPr>
            <w:tcW w:w="749" w:type="pct"/>
            <w:tcBorders>
              <w:top w:val="single" w:sz="4" w:space="0" w:color="auto"/>
              <w:left w:val="single" w:sz="4" w:space="0" w:color="auto"/>
              <w:bottom w:val="single" w:sz="4" w:space="0" w:color="auto"/>
              <w:right w:val="single" w:sz="4" w:space="0" w:color="auto"/>
            </w:tcBorders>
            <w:vAlign w:val="bottom"/>
          </w:tcPr>
          <w:p w14:paraId="5F574BD0"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 xml:space="preserve">20 hrs.; </w:t>
            </w:r>
          </w:p>
          <w:p w14:paraId="3304509E"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$1,440</w:t>
            </w:r>
          </w:p>
        </w:tc>
        <w:tc>
          <w:tcPr>
            <w:tcW w:w="843" w:type="pct"/>
            <w:tcBorders>
              <w:top w:val="single" w:sz="4" w:space="0" w:color="auto"/>
              <w:left w:val="single" w:sz="4" w:space="0" w:color="auto"/>
              <w:bottom w:val="single" w:sz="4" w:space="0" w:color="auto"/>
              <w:right w:val="single" w:sz="4" w:space="0" w:color="auto"/>
            </w:tcBorders>
            <w:vAlign w:val="bottom"/>
          </w:tcPr>
          <w:p w14:paraId="47958002"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360 hrs.; $25,920</w:t>
            </w:r>
          </w:p>
        </w:tc>
      </w:tr>
      <w:tr w:rsidR="00EE558F" w:rsidRPr="004E3683" w14:paraId="2A02A100" w14:textId="77777777" w:rsidTr="00F1498C">
        <w:trPr>
          <w:cantSplit/>
        </w:trPr>
        <w:tc>
          <w:tcPr>
            <w:tcW w:w="934" w:type="pct"/>
            <w:tcBorders>
              <w:top w:val="single" w:sz="4" w:space="0" w:color="auto"/>
              <w:left w:val="single" w:sz="4" w:space="0" w:color="auto"/>
              <w:bottom w:val="single" w:sz="4" w:space="0" w:color="auto"/>
              <w:right w:val="single" w:sz="4" w:space="0" w:color="auto"/>
            </w:tcBorders>
          </w:tcPr>
          <w:p w14:paraId="792F1AA9" w14:textId="77777777" w:rsidR="00EE558F" w:rsidRPr="00EE558F" w:rsidRDefault="00EE558F" w:rsidP="00EE558F">
            <w:pPr>
              <w:widowControl w:val="0"/>
              <w:autoSpaceDE w:val="0"/>
              <w:autoSpaceDN w:val="0"/>
              <w:adjustRightInd w:val="0"/>
              <w:spacing w:after="0" w:line="240" w:lineRule="auto"/>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FERC-516 (FPA Section 205, Rate and Tariff Filings)</w:t>
            </w:r>
            <w:r w:rsidRPr="00EE558F">
              <w:rPr>
                <w:rFonts w:ascii="Times New Roman" w:eastAsia="Times New Roman" w:hAnsi="Times New Roman" w:cs="Times New Roman"/>
                <w:b/>
                <w:sz w:val="26"/>
                <w:szCs w:val="26"/>
                <w:vertAlign w:val="superscript"/>
                <w:lang w:bidi="he-IL"/>
              </w:rPr>
              <w:t xml:space="preserve"> </w:t>
            </w:r>
          </w:p>
        </w:tc>
        <w:tc>
          <w:tcPr>
            <w:tcW w:w="887" w:type="pct"/>
            <w:tcBorders>
              <w:top w:val="single" w:sz="4" w:space="0" w:color="auto"/>
              <w:left w:val="single" w:sz="4" w:space="0" w:color="auto"/>
              <w:bottom w:val="single" w:sz="4" w:space="0" w:color="auto"/>
              <w:right w:val="single" w:sz="4" w:space="0" w:color="auto"/>
            </w:tcBorders>
            <w:vAlign w:val="bottom"/>
          </w:tcPr>
          <w:p w14:paraId="1F1EB8F0"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w:t>
            </w:r>
          </w:p>
        </w:tc>
        <w:tc>
          <w:tcPr>
            <w:tcW w:w="840" w:type="pct"/>
            <w:tcBorders>
              <w:top w:val="single" w:sz="4" w:space="0" w:color="auto"/>
              <w:left w:val="single" w:sz="4" w:space="0" w:color="auto"/>
              <w:bottom w:val="single" w:sz="4" w:space="0" w:color="auto"/>
              <w:right w:val="single" w:sz="4" w:space="0" w:color="auto"/>
            </w:tcBorders>
            <w:vAlign w:val="bottom"/>
          </w:tcPr>
          <w:p w14:paraId="78A98642"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w:t>
            </w:r>
          </w:p>
        </w:tc>
        <w:tc>
          <w:tcPr>
            <w:tcW w:w="747" w:type="pct"/>
            <w:tcBorders>
              <w:top w:val="single" w:sz="4" w:space="0" w:color="auto"/>
              <w:left w:val="single" w:sz="4" w:space="0" w:color="auto"/>
              <w:bottom w:val="single" w:sz="4" w:space="0" w:color="auto"/>
              <w:right w:val="single" w:sz="4" w:space="0" w:color="auto"/>
            </w:tcBorders>
            <w:vAlign w:val="bottom"/>
          </w:tcPr>
          <w:p w14:paraId="1A907F3A"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w:t>
            </w:r>
            <w:r w:rsidRPr="00EE558F">
              <w:rPr>
                <w:rFonts w:ascii="Times New Roman" w:eastAsia="Times New Roman" w:hAnsi="Times New Roman" w:cs="Times New Roman"/>
                <w:b/>
                <w:sz w:val="26"/>
                <w:szCs w:val="26"/>
                <w:vertAlign w:val="superscript"/>
              </w:rPr>
              <w:footnoteReference w:id="8"/>
            </w:r>
          </w:p>
        </w:tc>
        <w:tc>
          <w:tcPr>
            <w:tcW w:w="749" w:type="pct"/>
            <w:tcBorders>
              <w:top w:val="single" w:sz="4" w:space="0" w:color="auto"/>
              <w:left w:val="single" w:sz="4" w:space="0" w:color="auto"/>
              <w:bottom w:val="single" w:sz="4" w:space="0" w:color="auto"/>
              <w:right w:val="single" w:sz="4" w:space="0" w:color="auto"/>
            </w:tcBorders>
            <w:vAlign w:val="bottom"/>
          </w:tcPr>
          <w:p w14:paraId="346D8141"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103.26 hrs.;</w:t>
            </w:r>
          </w:p>
          <w:p w14:paraId="68046264"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$7,434.72</w:t>
            </w:r>
          </w:p>
        </w:tc>
        <w:tc>
          <w:tcPr>
            <w:tcW w:w="843" w:type="pct"/>
            <w:tcBorders>
              <w:top w:val="single" w:sz="4" w:space="0" w:color="auto"/>
              <w:left w:val="single" w:sz="4" w:space="0" w:color="auto"/>
              <w:bottom w:val="single" w:sz="4" w:space="0" w:color="auto"/>
              <w:right w:val="single" w:sz="4" w:space="0" w:color="auto"/>
            </w:tcBorders>
            <w:vAlign w:val="bottom"/>
          </w:tcPr>
          <w:p w14:paraId="0B3F96FC"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103.26 hrs.;</w:t>
            </w:r>
          </w:p>
          <w:p w14:paraId="218FF04E"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$7,434.72</w:t>
            </w:r>
          </w:p>
        </w:tc>
      </w:tr>
      <w:tr w:rsidR="00EE558F" w:rsidRPr="00EE558F" w14:paraId="663094E9" w14:textId="77777777" w:rsidTr="00F1498C">
        <w:trPr>
          <w:cantSplit/>
        </w:trPr>
        <w:tc>
          <w:tcPr>
            <w:tcW w:w="934" w:type="pct"/>
            <w:tcBorders>
              <w:top w:val="single" w:sz="4" w:space="0" w:color="auto"/>
              <w:left w:val="single" w:sz="4" w:space="0" w:color="auto"/>
              <w:bottom w:val="single" w:sz="4" w:space="0" w:color="auto"/>
              <w:right w:val="single" w:sz="4" w:space="0" w:color="auto"/>
            </w:tcBorders>
            <w:hideMark/>
          </w:tcPr>
          <w:p w14:paraId="41E74D79" w14:textId="77777777" w:rsidR="00EE558F" w:rsidRPr="00EE558F" w:rsidRDefault="00EE558F" w:rsidP="00EE558F">
            <w:pPr>
              <w:widowControl w:val="0"/>
              <w:autoSpaceDE w:val="0"/>
              <w:autoSpaceDN w:val="0"/>
              <w:adjustRightInd w:val="0"/>
              <w:spacing w:after="0" w:line="240" w:lineRule="auto"/>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 xml:space="preserve">FERC-555, Record Retention </w:t>
            </w:r>
            <w:r w:rsidR="00BC3BFB" w:rsidRPr="004E3683">
              <w:rPr>
                <w:rStyle w:val="FootnoteReference"/>
                <w:rFonts w:ascii="Times New Roman" w:eastAsia="Times New Roman" w:hAnsi="Times New Roman" w:cs="Times New Roman"/>
                <w:sz w:val="26"/>
                <w:szCs w:val="26"/>
                <w:vertAlign w:val="superscript"/>
                <w:lang w:bidi="he-IL"/>
              </w:rPr>
              <w:footnoteReference w:id="9"/>
            </w:r>
          </w:p>
        </w:tc>
        <w:tc>
          <w:tcPr>
            <w:tcW w:w="887" w:type="pct"/>
            <w:tcBorders>
              <w:top w:val="single" w:sz="4" w:space="0" w:color="auto"/>
              <w:left w:val="single" w:sz="4" w:space="0" w:color="auto"/>
              <w:bottom w:val="single" w:sz="4" w:space="0" w:color="auto"/>
              <w:right w:val="single" w:sz="4" w:space="0" w:color="auto"/>
            </w:tcBorders>
            <w:vAlign w:val="bottom"/>
          </w:tcPr>
          <w:p w14:paraId="6193F7F1"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18</w:t>
            </w:r>
          </w:p>
        </w:tc>
        <w:tc>
          <w:tcPr>
            <w:tcW w:w="840" w:type="pct"/>
            <w:tcBorders>
              <w:top w:val="single" w:sz="4" w:space="0" w:color="auto"/>
              <w:left w:val="single" w:sz="4" w:space="0" w:color="auto"/>
              <w:bottom w:val="single" w:sz="4" w:space="0" w:color="auto"/>
              <w:right w:val="single" w:sz="4" w:space="0" w:color="auto"/>
            </w:tcBorders>
            <w:vAlign w:val="bottom"/>
          </w:tcPr>
          <w:p w14:paraId="049BC25A"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w:t>
            </w:r>
          </w:p>
        </w:tc>
        <w:tc>
          <w:tcPr>
            <w:tcW w:w="747" w:type="pct"/>
            <w:tcBorders>
              <w:top w:val="single" w:sz="4" w:space="0" w:color="auto"/>
              <w:left w:val="single" w:sz="4" w:space="0" w:color="auto"/>
              <w:bottom w:val="single" w:sz="4" w:space="0" w:color="auto"/>
              <w:right w:val="single" w:sz="4" w:space="0" w:color="auto"/>
            </w:tcBorders>
            <w:vAlign w:val="bottom"/>
          </w:tcPr>
          <w:p w14:paraId="667BBC74"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18</w:t>
            </w:r>
          </w:p>
        </w:tc>
        <w:tc>
          <w:tcPr>
            <w:tcW w:w="749" w:type="pct"/>
            <w:tcBorders>
              <w:top w:val="single" w:sz="4" w:space="0" w:color="auto"/>
              <w:left w:val="single" w:sz="4" w:space="0" w:color="auto"/>
              <w:bottom w:val="single" w:sz="4" w:space="0" w:color="auto"/>
              <w:right w:val="single" w:sz="4" w:space="0" w:color="auto"/>
            </w:tcBorders>
            <w:vAlign w:val="bottom"/>
          </w:tcPr>
          <w:p w14:paraId="33F98C1A"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4 hrs.;</w:t>
            </w:r>
          </w:p>
          <w:p w14:paraId="078092BF"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$288</w:t>
            </w:r>
          </w:p>
        </w:tc>
        <w:tc>
          <w:tcPr>
            <w:tcW w:w="843" w:type="pct"/>
            <w:tcBorders>
              <w:top w:val="single" w:sz="4" w:space="0" w:color="auto"/>
              <w:left w:val="single" w:sz="4" w:space="0" w:color="auto"/>
              <w:bottom w:val="single" w:sz="4" w:space="0" w:color="auto"/>
              <w:right w:val="single" w:sz="4" w:space="0" w:color="auto"/>
            </w:tcBorders>
            <w:vAlign w:val="bottom"/>
          </w:tcPr>
          <w:p w14:paraId="6A8A5FEF"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72 hrs.;</w:t>
            </w:r>
          </w:p>
          <w:p w14:paraId="598F36A7"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EE558F">
              <w:rPr>
                <w:rFonts w:ascii="Times New Roman" w:eastAsia="Times New Roman" w:hAnsi="Times New Roman" w:cs="Times New Roman"/>
                <w:sz w:val="26"/>
                <w:szCs w:val="26"/>
                <w:lang w:bidi="he-IL"/>
              </w:rPr>
              <w:t>$5,184</w:t>
            </w:r>
          </w:p>
        </w:tc>
      </w:tr>
      <w:tr w:rsidR="00EE558F" w:rsidRPr="004E3683" w14:paraId="22F4B089" w14:textId="77777777" w:rsidTr="00F1498C">
        <w:trPr>
          <w:cantSplit/>
          <w:trHeight w:val="485"/>
        </w:trPr>
        <w:tc>
          <w:tcPr>
            <w:tcW w:w="934" w:type="pct"/>
            <w:tcBorders>
              <w:top w:val="single" w:sz="4" w:space="0" w:color="auto"/>
              <w:left w:val="single" w:sz="4" w:space="0" w:color="auto"/>
              <w:bottom w:val="single" w:sz="4" w:space="0" w:color="auto"/>
              <w:right w:val="single" w:sz="4" w:space="0" w:color="auto"/>
            </w:tcBorders>
            <w:hideMark/>
          </w:tcPr>
          <w:p w14:paraId="70CD8C3A" w14:textId="77777777" w:rsidR="00EE558F" w:rsidRPr="00EE558F" w:rsidRDefault="00EE558F" w:rsidP="00EE558F">
            <w:pPr>
              <w:widowControl w:val="0"/>
              <w:autoSpaceDE w:val="0"/>
              <w:autoSpaceDN w:val="0"/>
              <w:adjustRightInd w:val="0"/>
              <w:spacing w:after="0" w:line="240" w:lineRule="auto"/>
              <w:rPr>
                <w:rFonts w:ascii="Times New Roman" w:eastAsia="Times New Roman" w:hAnsi="Times New Roman" w:cs="Times New Roman"/>
                <w:b/>
                <w:sz w:val="26"/>
                <w:szCs w:val="26"/>
                <w:lang w:bidi="he-IL"/>
              </w:rPr>
            </w:pPr>
            <w:r w:rsidRPr="00EE558F">
              <w:rPr>
                <w:rFonts w:ascii="Times New Roman" w:eastAsia="Times New Roman" w:hAnsi="Times New Roman" w:cs="Times New Roman"/>
                <w:b/>
                <w:sz w:val="26"/>
                <w:szCs w:val="26"/>
                <w:lang w:bidi="he-IL"/>
              </w:rPr>
              <w:t xml:space="preserve">TOTAL </w:t>
            </w:r>
          </w:p>
        </w:tc>
        <w:tc>
          <w:tcPr>
            <w:tcW w:w="3223" w:type="pct"/>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18898841" w14:textId="77777777" w:rsidR="00EE558F" w:rsidRPr="00EE558F"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p>
        </w:tc>
        <w:tc>
          <w:tcPr>
            <w:tcW w:w="843" w:type="pct"/>
            <w:tcBorders>
              <w:top w:val="single" w:sz="4" w:space="0" w:color="auto"/>
              <w:left w:val="single" w:sz="4" w:space="0" w:color="auto"/>
              <w:bottom w:val="single" w:sz="4" w:space="0" w:color="auto"/>
              <w:right w:val="single" w:sz="4" w:space="0" w:color="auto"/>
            </w:tcBorders>
            <w:vAlign w:val="bottom"/>
          </w:tcPr>
          <w:p w14:paraId="6F3CF0C4"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 xml:space="preserve">535.26 hrs.; </w:t>
            </w:r>
          </w:p>
          <w:p w14:paraId="0FED702A" w14:textId="77777777" w:rsidR="00EE558F" w:rsidRPr="004E3683" w:rsidRDefault="00EE558F" w:rsidP="00EE558F">
            <w:pPr>
              <w:widowControl w:val="0"/>
              <w:autoSpaceDE w:val="0"/>
              <w:autoSpaceDN w:val="0"/>
              <w:adjustRightInd w:val="0"/>
              <w:spacing w:after="0" w:line="240" w:lineRule="auto"/>
              <w:jc w:val="right"/>
              <w:rPr>
                <w:rFonts w:ascii="Times New Roman" w:eastAsia="Times New Roman" w:hAnsi="Times New Roman" w:cs="Times New Roman"/>
                <w:sz w:val="26"/>
                <w:szCs w:val="26"/>
                <w:lang w:bidi="he-IL"/>
              </w:rPr>
            </w:pPr>
            <w:r w:rsidRPr="004E3683">
              <w:rPr>
                <w:rFonts w:ascii="Times New Roman" w:eastAsia="Times New Roman" w:hAnsi="Times New Roman" w:cs="Times New Roman"/>
                <w:sz w:val="26"/>
                <w:szCs w:val="26"/>
                <w:lang w:bidi="he-IL"/>
              </w:rPr>
              <w:t>$38,538.72</w:t>
            </w:r>
          </w:p>
        </w:tc>
      </w:tr>
    </w:tbl>
    <w:p w14:paraId="202530DE" w14:textId="77777777" w:rsidR="008D310F" w:rsidRPr="00F210B7" w:rsidRDefault="008D310F" w:rsidP="00F210B7">
      <w:pPr>
        <w:spacing w:after="0" w:line="240" w:lineRule="auto"/>
        <w:rPr>
          <w:rFonts w:ascii="Times New Roman" w:hAnsi="Times New Roman" w:cs="Times New Roman"/>
          <w:sz w:val="24"/>
          <w:szCs w:val="24"/>
        </w:rPr>
      </w:pPr>
    </w:p>
    <w:p w14:paraId="4DD077DC" w14:textId="77777777" w:rsidR="00D80FBD" w:rsidRPr="00F210B7" w:rsidRDefault="00E636D7"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ESTIMATE OF THE TOTAL ANNUAL COST BURDEN TO RESPONDENTS</w:t>
      </w:r>
    </w:p>
    <w:p w14:paraId="51930A23" w14:textId="77777777" w:rsidR="00E636D7" w:rsidRPr="00F210B7" w:rsidRDefault="00E636D7" w:rsidP="00F210B7">
      <w:pPr>
        <w:spacing w:after="0" w:line="240" w:lineRule="auto"/>
        <w:rPr>
          <w:rFonts w:ascii="Times New Roman" w:hAnsi="Times New Roman" w:cs="Times New Roman"/>
          <w:sz w:val="24"/>
          <w:szCs w:val="24"/>
        </w:rPr>
      </w:pPr>
    </w:p>
    <w:p w14:paraId="10F8CB0B" w14:textId="77777777" w:rsidR="00E636D7" w:rsidRPr="00F210B7" w:rsidRDefault="0074195A"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There are no non-labor costs associated with the </w:t>
      </w:r>
      <w:r w:rsidR="001613CE">
        <w:rPr>
          <w:rFonts w:ascii="Times New Roman" w:hAnsi="Times New Roman" w:cs="Times New Roman"/>
          <w:sz w:val="24"/>
          <w:szCs w:val="24"/>
        </w:rPr>
        <w:t>Policy Statement in PL15-3</w:t>
      </w:r>
      <w:r w:rsidR="00CD78AF" w:rsidRPr="00F210B7">
        <w:rPr>
          <w:rFonts w:ascii="Times New Roman" w:hAnsi="Times New Roman" w:cs="Times New Roman"/>
          <w:sz w:val="24"/>
          <w:szCs w:val="24"/>
        </w:rPr>
        <w:t>.</w:t>
      </w:r>
      <w:r w:rsidR="00E837B2" w:rsidRPr="00F210B7">
        <w:rPr>
          <w:rFonts w:ascii="Times New Roman" w:hAnsi="Times New Roman" w:cs="Times New Roman"/>
          <w:sz w:val="24"/>
          <w:szCs w:val="24"/>
        </w:rPr>
        <w:t xml:space="preserve">  </w:t>
      </w:r>
      <w:r w:rsidRPr="00F210B7">
        <w:rPr>
          <w:rFonts w:ascii="Times New Roman" w:hAnsi="Times New Roman" w:cs="Times New Roman"/>
          <w:sz w:val="24"/>
          <w:szCs w:val="24"/>
        </w:rPr>
        <w:t xml:space="preserve">All of the costs </w:t>
      </w:r>
      <w:r w:rsidR="00853662">
        <w:rPr>
          <w:rFonts w:ascii="Times New Roman" w:hAnsi="Times New Roman" w:cs="Times New Roman"/>
          <w:sz w:val="24"/>
          <w:szCs w:val="24"/>
        </w:rPr>
        <w:t xml:space="preserve">related to </w:t>
      </w:r>
      <w:r w:rsidRPr="00F210B7">
        <w:rPr>
          <w:rFonts w:ascii="Times New Roman" w:hAnsi="Times New Roman" w:cs="Times New Roman"/>
          <w:sz w:val="24"/>
          <w:szCs w:val="24"/>
        </w:rPr>
        <w:t>the</w:t>
      </w:r>
      <w:r w:rsidR="00E837B2" w:rsidRPr="00F210B7">
        <w:rPr>
          <w:rFonts w:ascii="Times New Roman" w:hAnsi="Times New Roman" w:cs="Times New Roman"/>
          <w:sz w:val="24"/>
          <w:szCs w:val="24"/>
        </w:rPr>
        <w:t xml:space="preserve"> </w:t>
      </w:r>
      <w:r w:rsidR="001613CE">
        <w:rPr>
          <w:rFonts w:ascii="Times New Roman" w:hAnsi="Times New Roman" w:cs="Times New Roman"/>
          <w:sz w:val="24"/>
          <w:szCs w:val="24"/>
        </w:rPr>
        <w:t>Policy Statement</w:t>
      </w:r>
      <w:r w:rsidRPr="00F210B7">
        <w:rPr>
          <w:rFonts w:ascii="Times New Roman" w:hAnsi="Times New Roman" w:cs="Times New Roman"/>
          <w:sz w:val="24"/>
          <w:szCs w:val="24"/>
        </w:rPr>
        <w:t xml:space="preserve"> are associated with labor </w:t>
      </w:r>
      <w:r w:rsidR="008A5C6B" w:rsidRPr="00F210B7">
        <w:rPr>
          <w:rFonts w:ascii="Times New Roman" w:hAnsi="Times New Roman" w:cs="Times New Roman"/>
          <w:sz w:val="24"/>
          <w:szCs w:val="24"/>
        </w:rPr>
        <w:t>(burden hours), are ad</w:t>
      </w:r>
      <w:r w:rsidR="00615DD1">
        <w:rPr>
          <w:rFonts w:ascii="Times New Roman" w:hAnsi="Times New Roman" w:cs="Times New Roman"/>
          <w:sz w:val="24"/>
          <w:szCs w:val="24"/>
        </w:rPr>
        <w:t>dressed in Questions 12 and 15</w:t>
      </w:r>
      <w:r w:rsidRPr="00F210B7">
        <w:rPr>
          <w:rFonts w:ascii="Times New Roman" w:hAnsi="Times New Roman" w:cs="Times New Roman"/>
          <w:sz w:val="24"/>
          <w:szCs w:val="24"/>
        </w:rPr>
        <w:t>.</w:t>
      </w:r>
    </w:p>
    <w:p w14:paraId="33920ECF" w14:textId="77777777" w:rsidR="0074195A" w:rsidRPr="00F210B7" w:rsidRDefault="0074195A" w:rsidP="00F210B7">
      <w:pPr>
        <w:spacing w:after="0" w:line="240" w:lineRule="auto"/>
        <w:rPr>
          <w:rFonts w:ascii="Times New Roman" w:hAnsi="Times New Roman" w:cs="Times New Roman"/>
          <w:sz w:val="24"/>
          <w:szCs w:val="24"/>
        </w:rPr>
      </w:pPr>
    </w:p>
    <w:p w14:paraId="054EDC51" w14:textId="77777777" w:rsidR="00E636D7" w:rsidRPr="00F210B7" w:rsidRDefault="00A276F5"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ESTIMATED ANNUALIZED COST TO FEDERAL GOVERNMENT</w:t>
      </w:r>
    </w:p>
    <w:p w14:paraId="3D66BCFC" w14:textId="77777777" w:rsidR="00A276F5" w:rsidRPr="00F210B7" w:rsidRDefault="00A276F5" w:rsidP="00F210B7">
      <w:pPr>
        <w:spacing w:after="0" w:line="240" w:lineRule="auto"/>
        <w:rPr>
          <w:rFonts w:ascii="Times New Roman" w:hAnsi="Times New Roman" w:cs="Times New Roman"/>
          <w:sz w:val="24"/>
          <w:szCs w:val="24"/>
        </w:rPr>
      </w:pPr>
    </w:p>
    <w:p w14:paraId="296CD3CF" w14:textId="77777777" w:rsidR="00A276F5" w:rsidRPr="00F210B7" w:rsidRDefault="00630A34"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The estimated </w:t>
      </w:r>
      <w:r w:rsidR="00502A86">
        <w:rPr>
          <w:rFonts w:ascii="Times New Roman" w:hAnsi="Times New Roman" w:cs="Times New Roman"/>
          <w:sz w:val="24"/>
          <w:szCs w:val="24"/>
        </w:rPr>
        <w:t xml:space="preserve">additional </w:t>
      </w:r>
      <w:r w:rsidRPr="00F210B7">
        <w:rPr>
          <w:rFonts w:ascii="Times New Roman" w:hAnsi="Times New Roman" w:cs="Times New Roman"/>
          <w:sz w:val="24"/>
          <w:szCs w:val="24"/>
        </w:rPr>
        <w:t>annualized cost</w:t>
      </w:r>
      <w:r w:rsidR="009471F7">
        <w:rPr>
          <w:rFonts w:ascii="Times New Roman" w:hAnsi="Times New Roman" w:cs="Times New Roman"/>
          <w:sz w:val="24"/>
          <w:szCs w:val="24"/>
        </w:rPr>
        <w:t>s</w:t>
      </w:r>
      <w:r w:rsidR="00502A86" w:rsidRPr="00615DD1">
        <w:rPr>
          <w:rStyle w:val="FootnoteReference"/>
          <w:rFonts w:ascii="Times New Roman" w:hAnsi="Times New Roman" w:cs="Times New Roman"/>
          <w:sz w:val="24"/>
          <w:szCs w:val="24"/>
          <w:vertAlign w:val="superscript"/>
        </w:rPr>
        <w:footnoteReference w:id="10"/>
      </w:r>
      <w:r w:rsidRPr="00F210B7">
        <w:rPr>
          <w:rFonts w:ascii="Times New Roman" w:hAnsi="Times New Roman" w:cs="Times New Roman"/>
          <w:sz w:val="24"/>
          <w:szCs w:val="24"/>
        </w:rPr>
        <w:t xml:space="preserve"> to the Federal Government </w:t>
      </w:r>
      <w:r w:rsidR="00502A86">
        <w:rPr>
          <w:rFonts w:ascii="Times New Roman" w:hAnsi="Times New Roman" w:cs="Times New Roman"/>
          <w:sz w:val="24"/>
          <w:szCs w:val="24"/>
        </w:rPr>
        <w:t>related to</w:t>
      </w:r>
      <w:r w:rsidR="00502A86" w:rsidRPr="00F210B7">
        <w:rPr>
          <w:rFonts w:ascii="Times New Roman" w:hAnsi="Times New Roman" w:cs="Times New Roman"/>
          <w:sz w:val="24"/>
          <w:szCs w:val="24"/>
        </w:rPr>
        <w:t xml:space="preserve"> </w:t>
      </w:r>
      <w:r w:rsidR="001B3E94" w:rsidRPr="00F210B7">
        <w:rPr>
          <w:rFonts w:ascii="Times New Roman" w:hAnsi="Times New Roman" w:cs="Times New Roman"/>
          <w:sz w:val="24"/>
          <w:szCs w:val="24"/>
        </w:rPr>
        <w:t xml:space="preserve">the </w:t>
      </w:r>
      <w:r w:rsidR="00A5667D">
        <w:rPr>
          <w:rFonts w:ascii="Times New Roman" w:hAnsi="Times New Roman" w:cs="Times New Roman"/>
          <w:sz w:val="24"/>
          <w:szCs w:val="24"/>
        </w:rPr>
        <w:t>Policy Statement</w:t>
      </w:r>
      <w:r w:rsidR="00D05661" w:rsidRPr="00F210B7">
        <w:rPr>
          <w:rFonts w:ascii="Times New Roman" w:hAnsi="Times New Roman" w:cs="Times New Roman"/>
          <w:sz w:val="24"/>
          <w:szCs w:val="24"/>
        </w:rPr>
        <w:t xml:space="preserve"> </w:t>
      </w:r>
      <w:r w:rsidR="001B3E94" w:rsidRPr="00F210B7">
        <w:rPr>
          <w:rFonts w:ascii="Times New Roman" w:hAnsi="Times New Roman" w:cs="Times New Roman"/>
          <w:sz w:val="24"/>
          <w:szCs w:val="24"/>
        </w:rPr>
        <w:t xml:space="preserve">in </w:t>
      </w:r>
      <w:r w:rsidR="00A5667D">
        <w:rPr>
          <w:rFonts w:ascii="Times New Roman" w:hAnsi="Times New Roman" w:cs="Times New Roman"/>
          <w:sz w:val="24"/>
          <w:szCs w:val="24"/>
        </w:rPr>
        <w:t>PL15-3</w:t>
      </w:r>
      <w:r w:rsidRPr="00F210B7">
        <w:rPr>
          <w:rFonts w:ascii="Times New Roman" w:hAnsi="Times New Roman" w:cs="Times New Roman"/>
          <w:sz w:val="24"/>
          <w:szCs w:val="24"/>
        </w:rPr>
        <w:t xml:space="preserve"> </w:t>
      </w:r>
      <w:r w:rsidR="009471F7">
        <w:rPr>
          <w:rFonts w:ascii="Times New Roman" w:hAnsi="Times New Roman" w:cs="Times New Roman"/>
          <w:sz w:val="24"/>
          <w:szCs w:val="24"/>
        </w:rPr>
        <w:t>and the associated reporting and recordkeeping requirements follow.</w:t>
      </w:r>
    </w:p>
    <w:p w14:paraId="4F0671E2" w14:textId="77777777" w:rsidR="00630A34" w:rsidRPr="00F210B7" w:rsidRDefault="00630A34" w:rsidP="00F210B7">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F210B7" w14:paraId="03D3749B" w14:textId="77777777" w:rsidTr="00A80014">
        <w:tc>
          <w:tcPr>
            <w:tcW w:w="3182" w:type="dxa"/>
            <w:tcBorders>
              <w:top w:val="single" w:sz="4" w:space="0" w:color="auto"/>
              <w:left w:val="single" w:sz="4" w:space="0" w:color="auto"/>
              <w:bottom w:val="single" w:sz="4" w:space="0" w:color="auto"/>
              <w:right w:val="single" w:sz="4" w:space="0" w:color="auto"/>
            </w:tcBorders>
            <w:shd w:val="clear" w:color="auto" w:fill="CCCCCC"/>
          </w:tcPr>
          <w:p w14:paraId="454BC218" w14:textId="77777777" w:rsidR="00630A34" w:rsidRPr="00F210B7" w:rsidRDefault="00630A34" w:rsidP="00F210B7">
            <w:pPr>
              <w:spacing w:after="0" w:line="240" w:lineRule="auto"/>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0661E824" w14:textId="77777777" w:rsidR="00630A34" w:rsidRPr="00F210B7" w:rsidRDefault="00EA5ADE" w:rsidP="00F210B7">
            <w:pPr>
              <w:spacing w:after="0" w:line="240" w:lineRule="auto"/>
              <w:rPr>
                <w:rFonts w:ascii="Times New Roman" w:hAnsi="Times New Roman" w:cs="Times New Roman"/>
                <w:b/>
                <w:sz w:val="24"/>
                <w:szCs w:val="24"/>
              </w:rPr>
            </w:pPr>
            <w:r w:rsidRPr="00F210B7">
              <w:rPr>
                <w:rFonts w:ascii="Times New Roman" w:hAnsi="Times New Roman" w:cs="Times New Roman"/>
                <w:b/>
                <w:sz w:val="24"/>
                <w:szCs w:val="24"/>
              </w:rPr>
              <w:t xml:space="preserve">Federal </w:t>
            </w:r>
            <w:r w:rsidR="00630A34" w:rsidRPr="00F210B7">
              <w:rPr>
                <w:rFonts w:ascii="Times New Roman" w:hAnsi="Times New Roman" w:cs="Times New Roman"/>
                <w:b/>
                <w:sz w:val="24"/>
                <w:szCs w:val="24"/>
              </w:rPr>
              <w:t xml:space="preserve">Employee </w:t>
            </w:r>
            <w:r w:rsidRPr="00F210B7">
              <w:rPr>
                <w:rFonts w:ascii="Times New Roman" w:hAnsi="Times New Roman" w:cs="Times New Roman"/>
                <w:b/>
                <w:sz w:val="24"/>
                <w:szCs w:val="24"/>
              </w:rPr>
              <w:t>Hours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75136340" w14:textId="77777777" w:rsidR="00630A34" w:rsidRPr="00F210B7" w:rsidRDefault="00630A34" w:rsidP="00F210B7">
            <w:pPr>
              <w:spacing w:after="0" w:line="240" w:lineRule="auto"/>
              <w:rPr>
                <w:rFonts w:ascii="Times New Roman" w:hAnsi="Times New Roman" w:cs="Times New Roman"/>
                <w:b/>
                <w:sz w:val="24"/>
                <w:szCs w:val="24"/>
              </w:rPr>
            </w:pPr>
            <w:r w:rsidRPr="00F210B7">
              <w:rPr>
                <w:rFonts w:ascii="Times New Roman" w:hAnsi="Times New Roman" w:cs="Times New Roman"/>
                <w:b/>
                <w:sz w:val="24"/>
                <w:szCs w:val="24"/>
              </w:rPr>
              <w:t>Estimated Annual Federal Cost</w:t>
            </w:r>
          </w:p>
        </w:tc>
      </w:tr>
      <w:tr w:rsidR="001B3E94" w:rsidRPr="00F210B7" w14:paraId="76C81569" w14:textId="77777777" w:rsidTr="00363749">
        <w:tc>
          <w:tcPr>
            <w:tcW w:w="9378" w:type="dxa"/>
            <w:gridSpan w:val="3"/>
            <w:tcBorders>
              <w:top w:val="single" w:sz="4" w:space="0" w:color="auto"/>
              <w:left w:val="single" w:sz="4" w:space="0" w:color="auto"/>
              <w:bottom w:val="single" w:sz="4" w:space="0" w:color="auto"/>
              <w:right w:val="single" w:sz="4" w:space="0" w:color="auto"/>
            </w:tcBorders>
          </w:tcPr>
          <w:p w14:paraId="622D1694" w14:textId="77777777" w:rsidR="001B3E94" w:rsidRPr="00F210B7" w:rsidRDefault="001B3E94" w:rsidP="00F210B7">
            <w:pPr>
              <w:spacing w:after="0" w:line="240" w:lineRule="auto"/>
              <w:jc w:val="center"/>
              <w:rPr>
                <w:rFonts w:ascii="Times New Roman" w:hAnsi="Times New Roman" w:cs="Times New Roman"/>
                <w:b/>
                <w:sz w:val="24"/>
                <w:szCs w:val="24"/>
              </w:rPr>
            </w:pPr>
            <w:r w:rsidRPr="00F210B7">
              <w:rPr>
                <w:rFonts w:ascii="Times New Roman" w:hAnsi="Times New Roman" w:cs="Times New Roman"/>
                <w:b/>
                <w:sz w:val="24"/>
                <w:szCs w:val="24"/>
              </w:rPr>
              <w:t>FERC-516</w:t>
            </w:r>
          </w:p>
        </w:tc>
      </w:tr>
      <w:tr w:rsidR="00630A34" w:rsidRPr="00F210B7" w14:paraId="019D0BDD" w14:textId="77777777" w:rsidTr="00983086">
        <w:tc>
          <w:tcPr>
            <w:tcW w:w="3182" w:type="dxa"/>
            <w:tcBorders>
              <w:top w:val="single" w:sz="4" w:space="0" w:color="auto"/>
              <w:left w:val="single" w:sz="4" w:space="0" w:color="auto"/>
              <w:bottom w:val="single" w:sz="4" w:space="0" w:color="auto"/>
              <w:right w:val="single" w:sz="4" w:space="0" w:color="auto"/>
            </w:tcBorders>
            <w:hideMark/>
          </w:tcPr>
          <w:p w14:paraId="74EA61B1" w14:textId="77777777" w:rsidR="00630A34" w:rsidRPr="00F210B7" w:rsidRDefault="00630A34" w:rsidP="00B67D7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5EB2A994" w14:textId="77777777" w:rsidR="00630A34" w:rsidRPr="00066FF6" w:rsidRDefault="003626C1" w:rsidP="003626C1">
            <w:pPr>
              <w:spacing w:after="0" w:line="240" w:lineRule="auto"/>
              <w:jc w:val="right"/>
              <w:rPr>
                <w:rFonts w:ascii="Times New Roman" w:hAnsi="Times New Roman" w:cs="Times New Roman"/>
                <w:sz w:val="24"/>
                <w:szCs w:val="24"/>
              </w:rPr>
            </w:pPr>
            <w:r w:rsidRPr="00066FF6">
              <w:rPr>
                <w:rFonts w:ascii="Times New Roman" w:hAnsi="Times New Roman" w:cs="Times New Roman"/>
                <w:sz w:val="24"/>
                <w:szCs w:val="24"/>
              </w:rPr>
              <w:t>120</w:t>
            </w:r>
            <w:r w:rsidR="00B272F3" w:rsidRPr="00066FF6">
              <w:rPr>
                <w:rStyle w:val="FootnoteReference"/>
                <w:rFonts w:ascii="Times New Roman" w:hAnsi="Times New Roman" w:cs="Times New Roman"/>
                <w:sz w:val="24"/>
                <w:szCs w:val="24"/>
                <w:vertAlign w:val="superscript"/>
              </w:rPr>
              <w:footnoteReference w:id="11"/>
            </w:r>
          </w:p>
        </w:tc>
        <w:tc>
          <w:tcPr>
            <w:tcW w:w="2995" w:type="dxa"/>
            <w:tcBorders>
              <w:top w:val="single" w:sz="4" w:space="0" w:color="auto"/>
              <w:left w:val="single" w:sz="4" w:space="0" w:color="auto"/>
              <w:bottom w:val="single" w:sz="4" w:space="0" w:color="auto"/>
              <w:right w:val="single" w:sz="4" w:space="0" w:color="auto"/>
            </w:tcBorders>
            <w:vAlign w:val="bottom"/>
            <w:hideMark/>
          </w:tcPr>
          <w:p w14:paraId="07206A5C" w14:textId="77777777" w:rsidR="00630A34" w:rsidRPr="00066FF6" w:rsidRDefault="004B3F9A" w:rsidP="004B3F9A">
            <w:pPr>
              <w:spacing w:after="0" w:line="240" w:lineRule="auto"/>
              <w:jc w:val="right"/>
              <w:rPr>
                <w:rFonts w:ascii="Times New Roman" w:hAnsi="Times New Roman" w:cs="Times New Roman"/>
                <w:sz w:val="24"/>
                <w:szCs w:val="24"/>
              </w:rPr>
            </w:pPr>
            <w:r w:rsidRPr="00066FF6">
              <w:rPr>
                <w:rFonts w:ascii="Times New Roman" w:hAnsi="Times New Roman" w:cs="Times New Roman"/>
                <w:sz w:val="24"/>
                <w:szCs w:val="24"/>
              </w:rPr>
              <w:t>$8,640</w:t>
            </w:r>
          </w:p>
        </w:tc>
      </w:tr>
      <w:tr w:rsidR="001B3E94" w:rsidRPr="00F210B7" w14:paraId="7839A273" w14:textId="77777777" w:rsidTr="00453AFF">
        <w:tc>
          <w:tcPr>
            <w:tcW w:w="3182" w:type="dxa"/>
            <w:tcBorders>
              <w:top w:val="single" w:sz="4" w:space="0" w:color="auto"/>
              <w:left w:val="single" w:sz="4" w:space="0" w:color="auto"/>
              <w:bottom w:val="single" w:sz="4" w:space="0" w:color="auto"/>
              <w:right w:val="single" w:sz="4" w:space="0" w:color="auto"/>
            </w:tcBorders>
          </w:tcPr>
          <w:p w14:paraId="00DCD8DB" w14:textId="77777777" w:rsidR="001B3E94" w:rsidRPr="00F210B7" w:rsidRDefault="001B3E94"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PRA</w:t>
            </w:r>
            <w:r w:rsidRPr="00F210B7">
              <w:rPr>
                <w:rFonts w:ascii="Times New Roman" w:hAnsi="Times New Roman" w:cs="Times New Roman"/>
                <w:sz w:val="24"/>
                <w:szCs w:val="24"/>
                <w:vertAlign w:val="superscript"/>
              </w:rPr>
              <w:footnoteReference w:id="12"/>
            </w:r>
            <w:r w:rsidRPr="00F210B7">
              <w:rPr>
                <w:rFonts w:ascii="Times New Roman" w:hAnsi="Times New Roman" w:cs="Times New Roman"/>
                <w:sz w:val="24"/>
                <w:szCs w:val="24"/>
              </w:rPr>
              <w:t xml:space="preserve"> Administrative Cost (for FERC-516)</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780C8C" w14:textId="77777777" w:rsidR="001B3E94" w:rsidRPr="00F210B7" w:rsidRDefault="001B3E94" w:rsidP="00F210B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1F8624AC" w14:textId="77777777" w:rsidR="001B3E94" w:rsidRPr="00F210B7" w:rsidRDefault="00C138F2"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$5,193</w:t>
            </w:r>
          </w:p>
        </w:tc>
      </w:tr>
      <w:tr w:rsidR="00D306DD" w:rsidRPr="00F210B7" w14:paraId="05287AE7" w14:textId="77777777" w:rsidTr="00453AFF">
        <w:tc>
          <w:tcPr>
            <w:tcW w:w="3182" w:type="dxa"/>
            <w:tcBorders>
              <w:top w:val="single" w:sz="4" w:space="0" w:color="auto"/>
              <w:left w:val="single" w:sz="4" w:space="0" w:color="auto"/>
              <w:bottom w:val="single" w:sz="4" w:space="0" w:color="auto"/>
              <w:right w:val="single" w:sz="4" w:space="0" w:color="auto"/>
            </w:tcBorders>
          </w:tcPr>
          <w:p w14:paraId="561A14AB" w14:textId="77777777" w:rsidR="00D306DD" w:rsidRPr="00F210B7" w:rsidRDefault="00D306DD" w:rsidP="00F210B7">
            <w:pPr>
              <w:spacing w:after="0" w:line="240" w:lineRule="auto"/>
              <w:rPr>
                <w:rFonts w:ascii="Times New Roman" w:hAnsi="Times New Roman" w:cs="Times New Roman"/>
                <w:i/>
                <w:sz w:val="24"/>
                <w:szCs w:val="24"/>
              </w:rPr>
            </w:pPr>
            <w:r w:rsidRPr="00F210B7">
              <w:rPr>
                <w:rFonts w:ascii="Times New Roman" w:hAnsi="Times New Roman" w:cs="Times New Roman"/>
                <w:i/>
                <w:sz w:val="24"/>
                <w:szCs w:val="24"/>
              </w:rPr>
              <w:t>Sub-Total for FERC-516</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97C228" w14:textId="77777777" w:rsidR="00D306DD" w:rsidRPr="00F210B7" w:rsidRDefault="00D306DD" w:rsidP="00F210B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760050CB" w14:textId="77777777" w:rsidR="00D306DD" w:rsidRPr="00F210B7" w:rsidRDefault="00066FF6" w:rsidP="00F210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$13,833</w:t>
            </w:r>
          </w:p>
        </w:tc>
      </w:tr>
      <w:tr w:rsidR="001B3E94" w:rsidRPr="00F210B7" w14:paraId="77965B11" w14:textId="77777777" w:rsidTr="00363749">
        <w:tc>
          <w:tcPr>
            <w:tcW w:w="9378" w:type="dxa"/>
            <w:gridSpan w:val="3"/>
            <w:tcBorders>
              <w:top w:val="single" w:sz="4" w:space="0" w:color="auto"/>
              <w:left w:val="single" w:sz="4" w:space="0" w:color="auto"/>
              <w:bottom w:val="single" w:sz="4" w:space="0" w:color="auto"/>
              <w:right w:val="single" w:sz="4" w:space="0" w:color="auto"/>
            </w:tcBorders>
          </w:tcPr>
          <w:p w14:paraId="7CFFACD5" w14:textId="77777777" w:rsidR="001B3E94" w:rsidRPr="00F210B7" w:rsidRDefault="001B3E94" w:rsidP="00CC07EA">
            <w:pPr>
              <w:spacing w:after="0" w:line="240" w:lineRule="auto"/>
              <w:jc w:val="center"/>
              <w:rPr>
                <w:rFonts w:ascii="Times New Roman" w:hAnsi="Times New Roman" w:cs="Times New Roman"/>
                <w:b/>
                <w:sz w:val="24"/>
                <w:szCs w:val="24"/>
              </w:rPr>
            </w:pPr>
            <w:r w:rsidRPr="00F210B7">
              <w:rPr>
                <w:rFonts w:ascii="Times New Roman" w:hAnsi="Times New Roman" w:cs="Times New Roman"/>
                <w:b/>
                <w:sz w:val="24"/>
                <w:szCs w:val="24"/>
              </w:rPr>
              <w:t>FERC-</w:t>
            </w:r>
            <w:r w:rsidR="00CC07EA">
              <w:rPr>
                <w:rFonts w:ascii="Times New Roman" w:hAnsi="Times New Roman" w:cs="Times New Roman"/>
                <w:b/>
                <w:sz w:val="24"/>
                <w:szCs w:val="24"/>
              </w:rPr>
              <w:t>519</w:t>
            </w:r>
          </w:p>
        </w:tc>
      </w:tr>
      <w:tr w:rsidR="001B3E94" w:rsidRPr="0077481D" w14:paraId="1645BD9D" w14:textId="77777777" w:rsidTr="00983086">
        <w:tc>
          <w:tcPr>
            <w:tcW w:w="3182" w:type="dxa"/>
            <w:tcBorders>
              <w:top w:val="single" w:sz="4" w:space="0" w:color="auto"/>
              <w:left w:val="single" w:sz="4" w:space="0" w:color="auto"/>
              <w:bottom w:val="single" w:sz="4" w:space="0" w:color="auto"/>
              <w:right w:val="single" w:sz="4" w:space="0" w:color="auto"/>
            </w:tcBorders>
          </w:tcPr>
          <w:p w14:paraId="5E308666" w14:textId="77777777" w:rsidR="001B3E94" w:rsidRPr="00F210B7" w:rsidRDefault="00CC07EA" w:rsidP="00F210B7">
            <w:pPr>
              <w:spacing w:after="0" w:line="240" w:lineRule="auto"/>
              <w:rPr>
                <w:rFonts w:ascii="Times New Roman" w:hAnsi="Times New Roman" w:cs="Times New Roman"/>
                <w:sz w:val="24"/>
                <w:szCs w:val="24"/>
              </w:rPr>
            </w:pPr>
            <w:r w:rsidRPr="00CC07EA">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tcPr>
          <w:p w14:paraId="06A0CE33" w14:textId="77777777" w:rsidR="001B3E94" w:rsidRPr="004E3683" w:rsidRDefault="00D83C5A" w:rsidP="003626C1">
            <w:pPr>
              <w:spacing w:after="0" w:line="240" w:lineRule="auto"/>
              <w:jc w:val="right"/>
              <w:rPr>
                <w:rFonts w:ascii="Times New Roman" w:hAnsi="Times New Roman" w:cs="Times New Roman"/>
                <w:sz w:val="24"/>
                <w:szCs w:val="24"/>
              </w:rPr>
            </w:pPr>
            <w:r w:rsidRPr="004E3683">
              <w:rPr>
                <w:rFonts w:ascii="Times New Roman" w:hAnsi="Times New Roman" w:cs="Times New Roman"/>
                <w:sz w:val="24"/>
                <w:szCs w:val="24"/>
              </w:rPr>
              <w:t>0</w:t>
            </w:r>
            <w:r w:rsidR="003626C1" w:rsidRPr="004E3683">
              <w:rPr>
                <w:rStyle w:val="FootnoteReference"/>
                <w:rFonts w:ascii="Times New Roman" w:hAnsi="Times New Roman" w:cs="Times New Roman"/>
                <w:sz w:val="24"/>
                <w:szCs w:val="24"/>
                <w:vertAlign w:val="superscript"/>
              </w:rPr>
              <w:footnoteReference w:id="13"/>
            </w:r>
          </w:p>
        </w:tc>
        <w:tc>
          <w:tcPr>
            <w:tcW w:w="2995" w:type="dxa"/>
            <w:tcBorders>
              <w:top w:val="single" w:sz="4" w:space="0" w:color="auto"/>
              <w:left w:val="single" w:sz="4" w:space="0" w:color="auto"/>
              <w:bottom w:val="single" w:sz="4" w:space="0" w:color="auto"/>
              <w:right w:val="single" w:sz="4" w:space="0" w:color="auto"/>
            </w:tcBorders>
            <w:vAlign w:val="bottom"/>
          </w:tcPr>
          <w:p w14:paraId="62133784" w14:textId="77777777" w:rsidR="001B3E94" w:rsidRPr="004E3683" w:rsidRDefault="00D83C5A" w:rsidP="00F210B7">
            <w:pPr>
              <w:spacing w:after="0" w:line="240" w:lineRule="auto"/>
              <w:jc w:val="right"/>
              <w:rPr>
                <w:rFonts w:ascii="Times New Roman" w:hAnsi="Times New Roman" w:cs="Times New Roman"/>
                <w:sz w:val="24"/>
                <w:szCs w:val="24"/>
              </w:rPr>
            </w:pPr>
            <w:r w:rsidRPr="004E3683">
              <w:rPr>
                <w:rFonts w:ascii="Times New Roman" w:hAnsi="Times New Roman" w:cs="Times New Roman"/>
                <w:sz w:val="24"/>
                <w:szCs w:val="24"/>
              </w:rPr>
              <w:t>0</w:t>
            </w:r>
          </w:p>
        </w:tc>
      </w:tr>
      <w:tr w:rsidR="001B3E94" w:rsidRPr="00F210B7" w14:paraId="2F4F790D" w14:textId="77777777" w:rsidTr="00983086">
        <w:tc>
          <w:tcPr>
            <w:tcW w:w="3182" w:type="dxa"/>
            <w:tcBorders>
              <w:top w:val="single" w:sz="4" w:space="0" w:color="auto"/>
              <w:left w:val="single" w:sz="4" w:space="0" w:color="auto"/>
              <w:bottom w:val="single" w:sz="4" w:space="0" w:color="auto"/>
              <w:right w:val="single" w:sz="4" w:space="0" w:color="auto"/>
            </w:tcBorders>
          </w:tcPr>
          <w:p w14:paraId="0C87F0C7" w14:textId="77777777" w:rsidR="001B3E94" w:rsidRPr="00F210B7" w:rsidRDefault="001B3E94" w:rsidP="00CC07EA">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PRA Administrative Cost (for FERC-</w:t>
            </w:r>
            <w:r w:rsidR="00CC07EA">
              <w:rPr>
                <w:rFonts w:ascii="Times New Roman" w:hAnsi="Times New Roman" w:cs="Times New Roman"/>
                <w:sz w:val="24"/>
                <w:szCs w:val="24"/>
              </w:rPr>
              <w:t>519</w:t>
            </w:r>
            <w:r w:rsidR="00583B41" w:rsidRPr="00F210B7">
              <w:rPr>
                <w:rFonts w:ascii="Times New Roman" w:hAnsi="Times New Roman" w:cs="Times New Roman"/>
                <w:sz w:val="24"/>
                <w:szCs w:val="24"/>
              </w:rPr>
              <w: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562CB35F" w14:textId="77777777" w:rsidR="001B3E94" w:rsidRPr="00F210B7" w:rsidRDefault="001B3E94" w:rsidP="00F210B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0BEA1C61" w14:textId="77777777" w:rsidR="001B3E94" w:rsidRPr="00F210B7" w:rsidRDefault="00C138F2"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$5,193</w:t>
            </w:r>
          </w:p>
        </w:tc>
      </w:tr>
      <w:tr w:rsidR="00D306DD" w:rsidRPr="00F210B7" w14:paraId="72A1D38A" w14:textId="77777777" w:rsidTr="00983086">
        <w:tc>
          <w:tcPr>
            <w:tcW w:w="3182" w:type="dxa"/>
            <w:tcBorders>
              <w:top w:val="single" w:sz="4" w:space="0" w:color="auto"/>
              <w:left w:val="single" w:sz="4" w:space="0" w:color="auto"/>
              <w:bottom w:val="single" w:sz="4" w:space="0" w:color="auto"/>
              <w:right w:val="single" w:sz="4" w:space="0" w:color="auto"/>
            </w:tcBorders>
          </w:tcPr>
          <w:p w14:paraId="16E3A9F6" w14:textId="77777777" w:rsidR="00D306DD" w:rsidRPr="00F210B7" w:rsidRDefault="00D306DD" w:rsidP="00CC07EA">
            <w:pPr>
              <w:spacing w:after="0" w:line="240" w:lineRule="auto"/>
              <w:rPr>
                <w:rFonts w:ascii="Times New Roman" w:hAnsi="Times New Roman" w:cs="Times New Roman"/>
                <w:i/>
                <w:sz w:val="24"/>
                <w:szCs w:val="24"/>
              </w:rPr>
            </w:pPr>
            <w:r w:rsidRPr="00F210B7">
              <w:rPr>
                <w:rFonts w:ascii="Times New Roman" w:hAnsi="Times New Roman" w:cs="Times New Roman"/>
                <w:i/>
                <w:sz w:val="24"/>
                <w:szCs w:val="24"/>
              </w:rPr>
              <w:t>Sub-Total for FERC-</w:t>
            </w:r>
            <w:r w:rsidR="00CC07EA">
              <w:rPr>
                <w:rFonts w:ascii="Times New Roman" w:hAnsi="Times New Roman" w:cs="Times New Roman"/>
                <w:i/>
                <w:sz w:val="24"/>
                <w:szCs w:val="24"/>
              </w:rPr>
              <w:t>519</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36FC0BB9" w14:textId="77777777" w:rsidR="00D306DD" w:rsidRPr="00F210B7" w:rsidRDefault="00D306DD" w:rsidP="00F210B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7E5A8B60" w14:textId="77777777" w:rsidR="00D306DD" w:rsidRPr="00F210B7" w:rsidRDefault="0077481D" w:rsidP="0077481D">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w:t>
            </w:r>
            <w:r>
              <w:rPr>
                <w:rFonts w:ascii="Times New Roman" w:hAnsi="Times New Roman" w:cs="Times New Roman"/>
                <w:sz w:val="24"/>
                <w:szCs w:val="24"/>
              </w:rPr>
              <w:t>5,193</w:t>
            </w:r>
          </w:p>
        </w:tc>
      </w:tr>
      <w:tr w:rsidR="00CC07EA" w:rsidRPr="00F210B7" w14:paraId="40E6C86A" w14:textId="77777777" w:rsidTr="00F32494">
        <w:trPr>
          <w:trHeight w:val="305"/>
        </w:trPr>
        <w:tc>
          <w:tcPr>
            <w:tcW w:w="9378" w:type="dxa"/>
            <w:gridSpan w:val="3"/>
            <w:tcBorders>
              <w:top w:val="single" w:sz="4" w:space="0" w:color="auto"/>
              <w:left w:val="single" w:sz="4" w:space="0" w:color="auto"/>
              <w:bottom w:val="single" w:sz="4" w:space="0" w:color="auto"/>
              <w:right w:val="single" w:sz="4" w:space="0" w:color="auto"/>
            </w:tcBorders>
          </w:tcPr>
          <w:p w14:paraId="453D441A" w14:textId="77777777" w:rsidR="00CC07EA" w:rsidRDefault="00CC07EA" w:rsidP="000B562B">
            <w:pPr>
              <w:spacing w:after="0" w:line="240" w:lineRule="auto"/>
              <w:jc w:val="center"/>
              <w:rPr>
                <w:rFonts w:ascii="Times New Roman" w:hAnsi="Times New Roman" w:cs="Times New Roman"/>
                <w:i/>
                <w:sz w:val="24"/>
                <w:szCs w:val="24"/>
              </w:rPr>
            </w:pPr>
            <w:r w:rsidRPr="00F210B7">
              <w:rPr>
                <w:rFonts w:ascii="Times New Roman" w:hAnsi="Times New Roman" w:cs="Times New Roman"/>
                <w:b/>
                <w:sz w:val="24"/>
                <w:szCs w:val="24"/>
              </w:rPr>
              <w:t>FERC-</w:t>
            </w:r>
            <w:r>
              <w:rPr>
                <w:rFonts w:ascii="Times New Roman" w:hAnsi="Times New Roman" w:cs="Times New Roman"/>
                <w:b/>
                <w:sz w:val="24"/>
                <w:szCs w:val="24"/>
              </w:rPr>
              <w:t>555</w:t>
            </w:r>
          </w:p>
          <w:p w14:paraId="5A6A73BC" w14:textId="77777777" w:rsidR="00CC07EA" w:rsidRDefault="00CC07EA" w:rsidP="000B562B">
            <w:pPr>
              <w:spacing w:after="0" w:line="240" w:lineRule="auto"/>
              <w:jc w:val="center"/>
              <w:rPr>
                <w:rFonts w:ascii="Times New Roman" w:hAnsi="Times New Roman" w:cs="Times New Roman"/>
                <w:sz w:val="24"/>
                <w:szCs w:val="24"/>
              </w:rPr>
            </w:pPr>
          </w:p>
        </w:tc>
      </w:tr>
      <w:tr w:rsidR="00CC07EA" w:rsidRPr="00F210B7" w14:paraId="559B9CC4" w14:textId="77777777" w:rsidTr="00F32494">
        <w:tc>
          <w:tcPr>
            <w:tcW w:w="3182" w:type="dxa"/>
            <w:tcBorders>
              <w:top w:val="single" w:sz="4" w:space="0" w:color="auto"/>
              <w:left w:val="single" w:sz="4" w:space="0" w:color="auto"/>
              <w:bottom w:val="single" w:sz="4" w:space="0" w:color="auto"/>
              <w:right w:val="single" w:sz="4" w:space="0" w:color="auto"/>
            </w:tcBorders>
          </w:tcPr>
          <w:p w14:paraId="70A37188" w14:textId="77777777" w:rsidR="00CC07EA" w:rsidRPr="00F32494" w:rsidRDefault="00CC07EA">
            <w:pPr>
              <w:spacing w:after="0" w:line="240" w:lineRule="auto"/>
              <w:rPr>
                <w:rFonts w:ascii="Times New Roman" w:hAnsi="Times New Roman" w:cs="Times New Roman"/>
                <w:i/>
                <w:sz w:val="24"/>
                <w:szCs w:val="24"/>
              </w:rPr>
            </w:pPr>
            <w:r w:rsidRPr="00F32494">
              <w:rPr>
                <w:rFonts w:ascii="Times New Roman" w:hAnsi="Times New Roman" w:cs="Times New Roman"/>
                <w:sz w:val="24"/>
                <w:szCs w:val="24"/>
              </w:rPr>
              <w:t>Analysis and Review of records (e.g., audits)</w:t>
            </w:r>
            <w:r w:rsidR="00C801DD" w:rsidRPr="004E3683">
              <w:rPr>
                <w:rStyle w:val="FootnoteReference"/>
                <w:rFonts w:ascii="Times New Roman" w:hAnsi="Times New Roman" w:cs="Times New Roman"/>
                <w:sz w:val="24"/>
                <w:szCs w:val="24"/>
                <w:vertAlign w:val="superscript"/>
              </w:rPr>
              <w:footnoteReference w:id="14"/>
            </w:r>
          </w:p>
        </w:tc>
        <w:tc>
          <w:tcPr>
            <w:tcW w:w="3201" w:type="dxa"/>
            <w:tcBorders>
              <w:top w:val="single" w:sz="4" w:space="0" w:color="auto"/>
              <w:left w:val="single" w:sz="4" w:space="0" w:color="auto"/>
              <w:bottom w:val="single" w:sz="4" w:space="0" w:color="auto"/>
              <w:right w:val="single" w:sz="4" w:space="0" w:color="auto"/>
            </w:tcBorders>
            <w:shd w:val="clear" w:color="auto" w:fill="auto"/>
            <w:vAlign w:val="bottom"/>
          </w:tcPr>
          <w:p w14:paraId="4947653E" w14:textId="77777777" w:rsidR="00CC07EA" w:rsidRPr="004E3683" w:rsidRDefault="00B272F3" w:rsidP="00CC07EA">
            <w:pPr>
              <w:spacing w:after="0" w:line="240" w:lineRule="auto"/>
              <w:jc w:val="right"/>
              <w:rPr>
                <w:rFonts w:ascii="Times New Roman" w:hAnsi="Times New Roman" w:cs="Times New Roman"/>
                <w:sz w:val="24"/>
                <w:szCs w:val="24"/>
              </w:rPr>
            </w:pPr>
            <w:r w:rsidRPr="004E3683">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tcPr>
          <w:p w14:paraId="5303D8A9" w14:textId="77777777" w:rsidR="00CC07EA" w:rsidRPr="004E3683" w:rsidRDefault="003626C1" w:rsidP="00CC07EA">
            <w:pPr>
              <w:spacing w:after="0" w:line="240" w:lineRule="auto"/>
              <w:jc w:val="right"/>
              <w:rPr>
                <w:rFonts w:ascii="Times New Roman" w:hAnsi="Times New Roman" w:cs="Times New Roman"/>
                <w:sz w:val="24"/>
                <w:szCs w:val="24"/>
              </w:rPr>
            </w:pPr>
            <w:r w:rsidRPr="004E3683">
              <w:rPr>
                <w:rFonts w:ascii="Times New Roman" w:hAnsi="Times New Roman" w:cs="Times New Roman"/>
                <w:sz w:val="24"/>
                <w:szCs w:val="24"/>
              </w:rPr>
              <w:t>0</w:t>
            </w:r>
          </w:p>
        </w:tc>
      </w:tr>
      <w:tr w:rsidR="00CC07EA" w:rsidRPr="00F210B7" w14:paraId="1C6247FD" w14:textId="77777777" w:rsidTr="00983086">
        <w:tc>
          <w:tcPr>
            <w:tcW w:w="3182" w:type="dxa"/>
            <w:tcBorders>
              <w:top w:val="single" w:sz="4" w:space="0" w:color="auto"/>
              <w:left w:val="single" w:sz="4" w:space="0" w:color="auto"/>
              <w:bottom w:val="single" w:sz="4" w:space="0" w:color="auto"/>
              <w:right w:val="single" w:sz="4" w:space="0" w:color="auto"/>
            </w:tcBorders>
          </w:tcPr>
          <w:p w14:paraId="4DD9EF15" w14:textId="77777777" w:rsidR="00CC07EA" w:rsidRDefault="00CC07EA" w:rsidP="000B562B">
            <w:pPr>
              <w:spacing w:after="0" w:line="240" w:lineRule="auto"/>
              <w:rPr>
                <w:rFonts w:ascii="Times New Roman" w:hAnsi="Times New Roman" w:cs="Times New Roman"/>
                <w:i/>
                <w:sz w:val="24"/>
                <w:szCs w:val="24"/>
              </w:rPr>
            </w:pPr>
            <w:r w:rsidRPr="00F210B7">
              <w:rPr>
                <w:rFonts w:ascii="Times New Roman" w:hAnsi="Times New Roman" w:cs="Times New Roman"/>
                <w:sz w:val="24"/>
                <w:szCs w:val="24"/>
              </w:rPr>
              <w:t>PRA Administrative Cost (for FERC-</w:t>
            </w:r>
            <w:r>
              <w:rPr>
                <w:rFonts w:ascii="Times New Roman" w:hAnsi="Times New Roman" w:cs="Times New Roman"/>
                <w:sz w:val="24"/>
                <w:szCs w:val="24"/>
              </w:rPr>
              <w:t>555</w:t>
            </w:r>
            <w:r w:rsidRPr="00F210B7">
              <w:rPr>
                <w:rFonts w:ascii="Times New Roman" w:hAnsi="Times New Roman" w:cs="Times New Roman"/>
                <w:sz w:val="24"/>
                <w:szCs w:val="24"/>
              </w:rPr>
              <w: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3CB5D757" w14:textId="77777777" w:rsidR="00CC07EA" w:rsidRPr="00F210B7" w:rsidRDefault="00CC07EA" w:rsidP="00CC07EA">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2712EEDC" w14:textId="77777777" w:rsidR="00CC07EA" w:rsidRDefault="00CC07EA" w:rsidP="00CC07EA">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$5,193</w:t>
            </w:r>
          </w:p>
        </w:tc>
      </w:tr>
      <w:tr w:rsidR="00CC07EA" w:rsidRPr="00F210B7" w14:paraId="0D32EB79" w14:textId="77777777" w:rsidTr="00D306DD">
        <w:tc>
          <w:tcPr>
            <w:tcW w:w="3182" w:type="dxa"/>
            <w:tcBorders>
              <w:top w:val="single" w:sz="4" w:space="0" w:color="auto"/>
              <w:left w:val="single" w:sz="4" w:space="0" w:color="auto"/>
              <w:bottom w:val="single" w:sz="4" w:space="0" w:color="auto"/>
              <w:right w:val="single" w:sz="4" w:space="0" w:color="auto"/>
            </w:tcBorders>
            <w:hideMark/>
          </w:tcPr>
          <w:p w14:paraId="01707521" w14:textId="77777777" w:rsidR="00CC07EA" w:rsidRPr="00F210B7" w:rsidRDefault="00CC07EA" w:rsidP="00F32494">
            <w:pPr>
              <w:spacing w:after="0" w:line="240" w:lineRule="auto"/>
              <w:rPr>
                <w:rFonts w:ascii="Times New Roman" w:hAnsi="Times New Roman" w:cs="Times New Roman"/>
                <w:b/>
                <w:sz w:val="24"/>
                <w:szCs w:val="24"/>
              </w:rPr>
            </w:pPr>
            <w:r w:rsidRPr="00F210B7">
              <w:rPr>
                <w:rFonts w:ascii="Times New Roman" w:hAnsi="Times New Roman" w:cs="Times New Roman"/>
                <w:i/>
                <w:sz w:val="24"/>
                <w:szCs w:val="24"/>
              </w:rPr>
              <w:t>Sub-Total for FERC-</w:t>
            </w:r>
            <w:r w:rsidR="00F32494">
              <w:rPr>
                <w:rFonts w:ascii="Times New Roman" w:hAnsi="Times New Roman" w:cs="Times New Roman"/>
                <w:i/>
                <w:sz w:val="24"/>
                <w:szCs w:val="24"/>
              </w:rPr>
              <w:t>555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14:paraId="524A19A7" w14:textId="77777777" w:rsidR="00CC07EA" w:rsidRPr="00F210B7" w:rsidRDefault="00CC07EA" w:rsidP="00CC07EA">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hideMark/>
          </w:tcPr>
          <w:p w14:paraId="7FC6EB04" w14:textId="77777777" w:rsidR="00CC07EA" w:rsidRPr="00F210B7" w:rsidRDefault="0077481D" w:rsidP="0077481D">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w:t>
            </w:r>
            <w:r>
              <w:rPr>
                <w:rFonts w:ascii="Times New Roman" w:hAnsi="Times New Roman" w:cs="Times New Roman"/>
                <w:sz w:val="24"/>
                <w:szCs w:val="24"/>
              </w:rPr>
              <w:t>5,193</w:t>
            </w:r>
          </w:p>
        </w:tc>
      </w:tr>
      <w:tr w:rsidR="00F32494" w:rsidRPr="005F294C" w14:paraId="06BAE6DC" w14:textId="77777777" w:rsidTr="00F32494">
        <w:tc>
          <w:tcPr>
            <w:tcW w:w="3182" w:type="dxa"/>
            <w:tcBorders>
              <w:top w:val="single" w:sz="4" w:space="0" w:color="auto"/>
              <w:left w:val="single" w:sz="4" w:space="0" w:color="auto"/>
              <w:bottom w:val="single" w:sz="4" w:space="0" w:color="auto"/>
              <w:right w:val="single" w:sz="4" w:space="0" w:color="auto"/>
            </w:tcBorders>
          </w:tcPr>
          <w:p w14:paraId="75802D89" w14:textId="77777777" w:rsidR="00F32494" w:rsidRPr="00F32494" w:rsidRDefault="00F32494" w:rsidP="00F32494">
            <w:pPr>
              <w:spacing w:after="0" w:line="240" w:lineRule="auto"/>
              <w:rPr>
                <w:rFonts w:ascii="Times New Roman" w:hAnsi="Times New Roman" w:cs="Times New Roman"/>
                <w:b/>
                <w:sz w:val="24"/>
                <w:szCs w:val="24"/>
              </w:rPr>
            </w:pPr>
            <w:r>
              <w:rPr>
                <w:rFonts w:ascii="Times New Roman" w:hAnsi="Times New Roman" w:cs="Times New Roman"/>
                <w:b/>
                <w:sz w:val="24"/>
                <w:szCs w:val="24"/>
              </w:rPr>
              <w:t>Total FERC Cost, related to info. collection requirements in Policy Statement in PL15-3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tcPr>
          <w:p w14:paraId="515FE3E5" w14:textId="77777777" w:rsidR="00F32494" w:rsidRPr="00F210B7" w:rsidRDefault="00F32494" w:rsidP="00CC07EA">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shd w:val="clear" w:color="auto" w:fill="auto"/>
            <w:vAlign w:val="bottom"/>
          </w:tcPr>
          <w:p w14:paraId="66B69D3C" w14:textId="77777777" w:rsidR="00F32494" w:rsidRPr="005F294C" w:rsidRDefault="0077481D" w:rsidP="00CC07EA">
            <w:pPr>
              <w:spacing w:after="0" w:line="240" w:lineRule="auto"/>
              <w:jc w:val="right"/>
              <w:rPr>
                <w:rFonts w:ascii="Times New Roman" w:hAnsi="Times New Roman" w:cs="Times New Roman"/>
                <w:sz w:val="24"/>
                <w:szCs w:val="24"/>
                <w:highlight w:val="green"/>
              </w:rPr>
            </w:pPr>
            <w:r>
              <w:rPr>
                <w:rFonts w:ascii="Times New Roman" w:hAnsi="Times New Roman" w:cs="Times New Roman"/>
                <w:sz w:val="24"/>
                <w:szCs w:val="24"/>
              </w:rPr>
              <w:t>$24,219</w:t>
            </w:r>
          </w:p>
        </w:tc>
      </w:tr>
    </w:tbl>
    <w:p w14:paraId="4B373427" w14:textId="77777777" w:rsidR="00983086" w:rsidRPr="00F210B7" w:rsidRDefault="00983086" w:rsidP="00F210B7">
      <w:pPr>
        <w:spacing w:after="0" w:line="240" w:lineRule="auto"/>
        <w:rPr>
          <w:rFonts w:ascii="Times New Roman" w:hAnsi="Times New Roman" w:cs="Times New Roman"/>
          <w:sz w:val="24"/>
          <w:szCs w:val="24"/>
        </w:rPr>
      </w:pPr>
    </w:p>
    <w:p w14:paraId="1FD898C8" w14:textId="77777777" w:rsidR="00154181" w:rsidRPr="004E3683" w:rsidRDefault="006B437C" w:rsidP="00F210B7">
      <w:pPr>
        <w:spacing w:after="0" w:line="240" w:lineRule="auto"/>
        <w:rPr>
          <w:rFonts w:ascii="Times New Roman" w:hAnsi="Times New Roman" w:cs="Times New Roman"/>
          <w:sz w:val="24"/>
          <w:szCs w:val="24"/>
        </w:rPr>
      </w:pPr>
      <w:r w:rsidRPr="004E3683">
        <w:rPr>
          <w:rFonts w:ascii="Times New Roman" w:hAnsi="Times New Roman" w:cs="Times New Roman"/>
          <w:sz w:val="24"/>
          <w:szCs w:val="24"/>
        </w:rPr>
        <w:t xml:space="preserve">These additional costs </w:t>
      </w:r>
      <w:r w:rsidR="00C12232" w:rsidRPr="004E3683">
        <w:rPr>
          <w:rFonts w:ascii="Times New Roman" w:hAnsi="Times New Roman" w:cs="Times New Roman"/>
          <w:sz w:val="24"/>
          <w:szCs w:val="24"/>
        </w:rPr>
        <w:t xml:space="preserve">for the </w:t>
      </w:r>
      <w:r w:rsidR="00F32494" w:rsidRPr="004E3683">
        <w:rPr>
          <w:rFonts w:ascii="Times New Roman" w:hAnsi="Times New Roman" w:cs="Times New Roman"/>
          <w:sz w:val="24"/>
          <w:szCs w:val="24"/>
        </w:rPr>
        <w:t>Policy Statement in PL15-3</w:t>
      </w:r>
      <w:r w:rsidR="00C12232" w:rsidRPr="004E3683">
        <w:rPr>
          <w:rFonts w:ascii="Times New Roman" w:hAnsi="Times New Roman" w:cs="Times New Roman"/>
          <w:sz w:val="24"/>
          <w:szCs w:val="24"/>
        </w:rPr>
        <w:t xml:space="preserve"> </w:t>
      </w:r>
      <w:r w:rsidR="00212C35" w:rsidRPr="004E3683">
        <w:rPr>
          <w:rFonts w:ascii="Times New Roman" w:hAnsi="Times New Roman" w:cs="Times New Roman"/>
          <w:sz w:val="24"/>
          <w:szCs w:val="24"/>
        </w:rPr>
        <w:t xml:space="preserve">(above) </w:t>
      </w:r>
      <w:r w:rsidRPr="004E3683">
        <w:rPr>
          <w:rFonts w:ascii="Times New Roman" w:hAnsi="Times New Roman" w:cs="Times New Roman"/>
          <w:sz w:val="24"/>
          <w:szCs w:val="24"/>
        </w:rPr>
        <w:t>will be added to the existing Federal</w:t>
      </w:r>
      <w:r w:rsidR="001C1550" w:rsidRPr="004E3683">
        <w:rPr>
          <w:rFonts w:ascii="Times New Roman" w:hAnsi="Times New Roman" w:cs="Times New Roman"/>
          <w:sz w:val="24"/>
          <w:szCs w:val="24"/>
        </w:rPr>
        <w:t xml:space="preserve"> costs for</w:t>
      </w:r>
    </w:p>
    <w:p w14:paraId="5369F79D" w14:textId="77777777" w:rsidR="00154181" w:rsidRPr="004E3683" w:rsidRDefault="00154181" w:rsidP="000863C4">
      <w:pPr>
        <w:pStyle w:val="ListParagraph"/>
        <w:numPr>
          <w:ilvl w:val="0"/>
          <w:numId w:val="5"/>
        </w:numPr>
        <w:spacing w:after="0" w:line="240" w:lineRule="auto"/>
        <w:rPr>
          <w:rFonts w:ascii="Times New Roman" w:hAnsi="Times New Roman" w:cs="Times New Roman"/>
          <w:sz w:val="24"/>
          <w:szCs w:val="24"/>
        </w:rPr>
      </w:pPr>
      <w:r w:rsidRPr="004E3683">
        <w:rPr>
          <w:rFonts w:ascii="Times New Roman" w:hAnsi="Times New Roman" w:cs="Times New Roman"/>
          <w:sz w:val="24"/>
          <w:szCs w:val="24"/>
        </w:rPr>
        <w:t xml:space="preserve">FERC-516, of </w:t>
      </w:r>
      <w:r w:rsidR="001C1550" w:rsidRPr="004E3683">
        <w:rPr>
          <w:rFonts w:ascii="Times New Roman" w:hAnsi="Times New Roman" w:cs="Times New Roman"/>
          <w:sz w:val="24"/>
          <w:szCs w:val="24"/>
        </w:rPr>
        <w:t>$</w:t>
      </w:r>
      <w:r w:rsidR="000863C4" w:rsidRPr="004E3683">
        <w:rPr>
          <w:rFonts w:ascii="Times New Roman" w:hAnsi="Times New Roman" w:cs="Times New Roman"/>
          <w:sz w:val="24"/>
          <w:szCs w:val="24"/>
        </w:rPr>
        <w:t>2,843,101</w:t>
      </w:r>
      <w:r w:rsidR="00027B20" w:rsidRPr="004E3683">
        <w:rPr>
          <w:rFonts w:ascii="Times New Roman" w:hAnsi="Times New Roman" w:cs="Times New Roman"/>
          <w:sz w:val="24"/>
          <w:szCs w:val="24"/>
        </w:rPr>
        <w:t>,</w:t>
      </w:r>
      <w:r w:rsidRPr="004E3683">
        <w:rPr>
          <w:rFonts w:ascii="Times New Roman" w:hAnsi="Times New Roman" w:cs="Times New Roman"/>
          <w:sz w:val="24"/>
          <w:szCs w:val="24"/>
        </w:rPr>
        <w:t xml:space="preserve"> giving a new total of </w:t>
      </w:r>
      <w:r w:rsidR="00212C35" w:rsidRPr="004E3683">
        <w:rPr>
          <w:rFonts w:ascii="Times New Roman" w:hAnsi="Times New Roman" w:cs="Times New Roman"/>
          <w:sz w:val="24"/>
          <w:szCs w:val="24"/>
        </w:rPr>
        <w:t>$2,856,934</w:t>
      </w:r>
    </w:p>
    <w:p w14:paraId="234D1C67" w14:textId="77777777" w:rsidR="00983086" w:rsidRDefault="00F32494" w:rsidP="00F210B7">
      <w:pPr>
        <w:pStyle w:val="ListParagraph"/>
        <w:numPr>
          <w:ilvl w:val="0"/>
          <w:numId w:val="5"/>
        </w:numPr>
        <w:spacing w:after="0" w:line="240" w:lineRule="auto"/>
        <w:rPr>
          <w:rFonts w:ascii="Times New Roman" w:hAnsi="Times New Roman" w:cs="Times New Roman"/>
          <w:sz w:val="24"/>
          <w:szCs w:val="24"/>
        </w:rPr>
      </w:pPr>
      <w:r w:rsidRPr="004E3683">
        <w:rPr>
          <w:rFonts w:ascii="Times New Roman" w:hAnsi="Times New Roman" w:cs="Times New Roman"/>
          <w:sz w:val="24"/>
          <w:szCs w:val="24"/>
        </w:rPr>
        <w:t xml:space="preserve">FERC-519, </w:t>
      </w:r>
      <w:r w:rsidR="00D51135" w:rsidRPr="004E3683">
        <w:rPr>
          <w:rFonts w:ascii="Times New Roman" w:hAnsi="Times New Roman" w:cs="Times New Roman"/>
          <w:sz w:val="24"/>
          <w:szCs w:val="24"/>
        </w:rPr>
        <w:t xml:space="preserve">of $1,186,322, giving a new total of </w:t>
      </w:r>
      <w:r w:rsidR="00212C35" w:rsidRPr="004E3683">
        <w:rPr>
          <w:rFonts w:ascii="Times New Roman" w:hAnsi="Times New Roman" w:cs="Times New Roman"/>
          <w:sz w:val="24"/>
          <w:szCs w:val="24"/>
        </w:rPr>
        <w:t>$1,191,515</w:t>
      </w:r>
    </w:p>
    <w:p w14:paraId="60475124" w14:textId="77777777" w:rsidR="001759FD" w:rsidRPr="001759FD" w:rsidRDefault="00F32494" w:rsidP="001759FD">
      <w:pPr>
        <w:pStyle w:val="ListParagraph"/>
        <w:numPr>
          <w:ilvl w:val="0"/>
          <w:numId w:val="5"/>
        </w:numPr>
        <w:spacing w:after="0" w:line="240" w:lineRule="auto"/>
        <w:rPr>
          <w:rFonts w:ascii="Times New Roman" w:hAnsi="Times New Roman" w:cs="Times New Roman"/>
          <w:sz w:val="24"/>
          <w:szCs w:val="24"/>
        </w:rPr>
      </w:pPr>
      <w:r w:rsidRPr="001759FD">
        <w:rPr>
          <w:rFonts w:ascii="Times New Roman" w:hAnsi="Times New Roman" w:cs="Times New Roman"/>
          <w:sz w:val="24"/>
          <w:szCs w:val="24"/>
        </w:rPr>
        <w:t>FERC-555</w:t>
      </w:r>
      <w:r w:rsidR="0035064C" w:rsidRPr="004E3683">
        <w:rPr>
          <w:rStyle w:val="FootnoteReference"/>
          <w:rFonts w:ascii="Times New Roman" w:hAnsi="Times New Roman" w:cs="Times New Roman"/>
          <w:sz w:val="24"/>
          <w:szCs w:val="24"/>
          <w:vertAlign w:val="superscript"/>
        </w:rPr>
        <w:footnoteReference w:id="15"/>
      </w:r>
      <w:r w:rsidRPr="001759FD">
        <w:rPr>
          <w:rFonts w:ascii="Times New Roman" w:hAnsi="Times New Roman" w:cs="Times New Roman"/>
          <w:sz w:val="24"/>
          <w:szCs w:val="24"/>
        </w:rPr>
        <w:t xml:space="preserve">, </w:t>
      </w:r>
      <w:r w:rsidR="00C801DD" w:rsidRPr="001759FD">
        <w:rPr>
          <w:rFonts w:ascii="Times New Roman" w:hAnsi="Times New Roman" w:cs="Times New Roman"/>
          <w:sz w:val="24"/>
          <w:szCs w:val="24"/>
        </w:rPr>
        <w:t>$10,</w:t>
      </w:r>
      <w:r w:rsidR="00212C35" w:rsidRPr="001759FD">
        <w:rPr>
          <w:rFonts w:ascii="Times New Roman" w:hAnsi="Times New Roman" w:cs="Times New Roman"/>
          <w:sz w:val="24"/>
          <w:szCs w:val="24"/>
        </w:rPr>
        <w:t>760,218</w:t>
      </w:r>
      <w:r w:rsidR="00027B20" w:rsidRPr="001759FD">
        <w:rPr>
          <w:rFonts w:ascii="Times New Roman" w:hAnsi="Times New Roman" w:cs="Times New Roman"/>
          <w:sz w:val="24"/>
          <w:szCs w:val="24"/>
        </w:rPr>
        <w:t>, giving a new total of $10,765,411</w:t>
      </w:r>
      <w:r w:rsidR="00C801DD" w:rsidRPr="001759FD">
        <w:rPr>
          <w:rFonts w:ascii="Times New Roman" w:hAnsi="Times New Roman" w:cs="Times New Roman"/>
          <w:sz w:val="24"/>
          <w:szCs w:val="24"/>
        </w:rPr>
        <w:t xml:space="preserve"> </w:t>
      </w:r>
    </w:p>
    <w:p w14:paraId="2B00B4FC" w14:textId="77777777" w:rsidR="001759FD" w:rsidRDefault="001759FD" w:rsidP="004E3683">
      <w:pPr>
        <w:spacing w:after="0" w:line="240" w:lineRule="auto"/>
        <w:rPr>
          <w:rFonts w:ascii="Times New Roman" w:hAnsi="Times New Roman" w:cs="Times New Roman"/>
          <w:sz w:val="24"/>
          <w:szCs w:val="24"/>
        </w:rPr>
      </w:pPr>
    </w:p>
    <w:p w14:paraId="552BF865" w14:textId="77777777" w:rsidR="00630A34" w:rsidRPr="004E3683" w:rsidRDefault="006B437C" w:rsidP="004E3683">
      <w:pPr>
        <w:spacing w:after="0" w:line="240" w:lineRule="auto"/>
        <w:rPr>
          <w:rFonts w:ascii="Times New Roman" w:hAnsi="Times New Roman" w:cs="Times New Roman"/>
          <w:sz w:val="24"/>
          <w:szCs w:val="24"/>
        </w:rPr>
      </w:pPr>
      <w:r w:rsidRPr="004E3683">
        <w:rPr>
          <w:rFonts w:ascii="Times New Roman" w:hAnsi="Times New Roman" w:cs="Times New Roman"/>
          <w:sz w:val="24"/>
          <w:szCs w:val="24"/>
        </w:rPr>
        <w:t>The Commission bases its estimate</w:t>
      </w:r>
      <w:r w:rsidR="005F294C" w:rsidRPr="004E3683">
        <w:rPr>
          <w:rFonts w:ascii="Times New Roman" w:hAnsi="Times New Roman" w:cs="Times New Roman"/>
          <w:sz w:val="24"/>
          <w:szCs w:val="24"/>
        </w:rPr>
        <w:t>s</w:t>
      </w:r>
      <w:r w:rsidRPr="004E3683">
        <w:rPr>
          <w:rFonts w:ascii="Times New Roman" w:hAnsi="Times New Roman" w:cs="Times New Roman"/>
          <w:sz w:val="24"/>
          <w:szCs w:val="24"/>
        </w:rPr>
        <w:t xml:space="preserve"> of the </w:t>
      </w:r>
      <w:r w:rsidR="005F294C" w:rsidRPr="004E3683">
        <w:rPr>
          <w:rFonts w:ascii="Times New Roman" w:hAnsi="Times New Roman" w:cs="Times New Roman"/>
          <w:sz w:val="24"/>
          <w:szCs w:val="24"/>
        </w:rPr>
        <w:t xml:space="preserve">costs for </w:t>
      </w:r>
      <w:r w:rsidRPr="004E3683">
        <w:rPr>
          <w:rFonts w:ascii="Times New Roman" w:hAnsi="Times New Roman" w:cs="Times New Roman"/>
          <w:sz w:val="24"/>
          <w:szCs w:val="24"/>
        </w:rPr>
        <w:t xml:space="preserve">‘Analysis and Processing of filings’ </w:t>
      </w:r>
      <w:r w:rsidR="005F294C" w:rsidRPr="004E3683">
        <w:rPr>
          <w:rFonts w:ascii="Times New Roman" w:hAnsi="Times New Roman" w:cs="Times New Roman"/>
          <w:sz w:val="24"/>
          <w:szCs w:val="24"/>
        </w:rPr>
        <w:t>and ‘analysis and review of records’</w:t>
      </w:r>
      <w:r w:rsidRPr="004E3683">
        <w:rPr>
          <w:rFonts w:ascii="Times New Roman" w:hAnsi="Times New Roman" w:cs="Times New Roman"/>
          <w:sz w:val="24"/>
          <w:szCs w:val="24"/>
        </w:rPr>
        <w:t xml:space="preserve"> to the Federal Government on salaries and benefits for professional and clerical support.  This estimated cost represents staff analysis, decision making, and review of any actual filings </w:t>
      </w:r>
      <w:r w:rsidR="005F294C" w:rsidRPr="004E3683">
        <w:rPr>
          <w:rFonts w:ascii="Times New Roman" w:hAnsi="Times New Roman" w:cs="Times New Roman"/>
          <w:sz w:val="24"/>
          <w:szCs w:val="24"/>
        </w:rPr>
        <w:t xml:space="preserve">submitted and records retained </w:t>
      </w:r>
      <w:r w:rsidRPr="004E3683">
        <w:rPr>
          <w:rFonts w:ascii="Times New Roman" w:hAnsi="Times New Roman" w:cs="Times New Roman"/>
          <w:sz w:val="24"/>
          <w:szCs w:val="24"/>
        </w:rPr>
        <w:t>in response to the information collection</w:t>
      </w:r>
      <w:r w:rsidR="00AB4B12" w:rsidRPr="004E3683">
        <w:rPr>
          <w:rFonts w:ascii="Times New Roman" w:hAnsi="Times New Roman" w:cs="Times New Roman"/>
          <w:sz w:val="24"/>
          <w:szCs w:val="24"/>
        </w:rPr>
        <w:t>s</w:t>
      </w:r>
      <w:r w:rsidRPr="004E3683">
        <w:rPr>
          <w:rFonts w:ascii="Times New Roman" w:hAnsi="Times New Roman" w:cs="Times New Roman"/>
          <w:sz w:val="24"/>
          <w:szCs w:val="24"/>
        </w:rPr>
        <w:t xml:space="preserve">.  </w:t>
      </w:r>
    </w:p>
    <w:p w14:paraId="12E51429" w14:textId="77777777" w:rsidR="006B437C" w:rsidRPr="00F210B7" w:rsidRDefault="006B437C" w:rsidP="00F210B7">
      <w:pPr>
        <w:spacing w:after="0" w:line="240" w:lineRule="auto"/>
        <w:rPr>
          <w:rFonts w:ascii="Times New Roman" w:hAnsi="Times New Roman" w:cs="Times New Roman"/>
          <w:sz w:val="24"/>
          <w:szCs w:val="24"/>
        </w:rPr>
      </w:pPr>
    </w:p>
    <w:p w14:paraId="794317B9" w14:textId="77777777" w:rsidR="00A276F5" w:rsidRPr="00053F87" w:rsidRDefault="00A276F5" w:rsidP="00F210B7">
      <w:pPr>
        <w:pStyle w:val="ListParagraph"/>
        <w:numPr>
          <w:ilvl w:val="0"/>
          <w:numId w:val="1"/>
        </w:numPr>
        <w:spacing w:after="0" w:line="240" w:lineRule="auto"/>
        <w:ind w:left="360"/>
        <w:rPr>
          <w:rFonts w:ascii="Times New Roman" w:hAnsi="Times New Roman" w:cs="Times New Roman"/>
          <w:b/>
          <w:sz w:val="24"/>
          <w:szCs w:val="24"/>
        </w:rPr>
      </w:pPr>
      <w:r w:rsidRPr="00053F87">
        <w:rPr>
          <w:rFonts w:ascii="Times New Roman" w:hAnsi="Times New Roman" w:cs="Times New Roman"/>
          <w:b/>
          <w:sz w:val="24"/>
          <w:szCs w:val="24"/>
        </w:rPr>
        <w:t>REASONS FOR CHANGES IN BURDEN INCLUDING THE NEED FOR ANY INCREASE</w:t>
      </w:r>
    </w:p>
    <w:p w14:paraId="1DF20234" w14:textId="77777777" w:rsidR="00225490" w:rsidRPr="00F210B7" w:rsidRDefault="00225490" w:rsidP="00F210B7">
      <w:pPr>
        <w:pStyle w:val="ListParagraph"/>
        <w:spacing w:after="0" w:line="240" w:lineRule="auto"/>
        <w:ind w:left="360"/>
        <w:rPr>
          <w:rFonts w:ascii="Times New Roman" w:hAnsi="Times New Roman" w:cs="Times New Roman"/>
          <w:b/>
          <w:sz w:val="24"/>
          <w:szCs w:val="24"/>
        </w:rPr>
      </w:pPr>
    </w:p>
    <w:p w14:paraId="684B513E" w14:textId="77777777" w:rsidR="00B26F67" w:rsidRDefault="00D53231" w:rsidP="00B26F6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The </w:t>
      </w:r>
      <w:r w:rsidR="00FF62CA">
        <w:rPr>
          <w:rFonts w:ascii="Times New Roman" w:hAnsi="Times New Roman" w:cs="Times New Roman"/>
          <w:sz w:val="24"/>
          <w:szCs w:val="24"/>
        </w:rPr>
        <w:t xml:space="preserve">majority of the </w:t>
      </w:r>
      <w:r w:rsidRPr="00F210B7">
        <w:rPr>
          <w:rFonts w:ascii="Times New Roman" w:hAnsi="Times New Roman" w:cs="Times New Roman"/>
          <w:sz w:val="24"/>
          <w:szCs w:val="24"/>
        </w:rPr>
        <w:t>current estimated OMB-approved burden</w:t>
      </w:r>
      <w:r w:rsidR="00B26F67">
        <w:rPr>
          <w:rFonts w:ascii="Times New Roman" w:hAnsi="Times New Roman" w:cs="Times New Roman"/>
          <w:sz w:val="24"/>
          <w:szCs w:val="24"/>
        </w:rPr>
        <w:t xml:space="preserve">s </w:t>
      </w:r>
      <w:r w:rsidR="00FF62CA">
        <w:rPr>
          <w:rFonts w:ascii="Times New Roman" w:hAnsi="Times New Roman" w:cs="Times New Roman"/>
          <w:sz w:val="24"/>
          <w:szCs w:val="24"/>
        </w:rPr>
        <w:t xml:space="preserve">for FERC-516, -519, and -555 </w:t>
      </w:r>
      <w:r w:rsidR="00B26F67">
        <w:rPr>
          <w:rFonts w:ascii="Times New Roman" w:hAnsi="Times New Roman" w:cs="Times New Roman"/>
          <w:sz w:val="24"/>
          <w:szCs w:val="24"/>
        </w:rPr>
        <w:t xml:space="preserve">are </w:t>
      </w:r>
      <w:r w:rsidRPr="00F210B7">
        <w:rPr>
          <w:rFonts w:ascii="Times New Roman" w:hAnsi="Times New Roman" w:cs="Times New Roman"/>
          <w:sz w:val="24"/>
          <w:szCs w:val="24"/>
        </w:rPr>
        <w:t>not affected by th</w:t>
      </w:r>
      <w:r w:rsidR="000067DA">
        <w:rPr>
          <w:rFonts w:ascii="Times New Roman" w:hAnsi="Times New Roman" w:cs="Times New Roman"/>
          <w:sz w:val="24"/>
          <w:szCs w:val="24"/>
        </w:rPr>
        <w:t>e</w:t>
      </w:r>
      <w:r w:rsidRPr="00F210B7">
        <w:rPr>
          <w:rFonts w:ascii="Times New Roman" w:hAnsi="Times New Roman" w:cs="Times New Roman"/>
          <w:sz w:val="24"/>
          <w:szCs w:val="24"/>
        </w:rPr>
        <w:t xml:space="preserve"> </w:t>
      </w:r>
      <w:r w:rsidR="003115DC">
        <w:rPr>
          <w:rFonts w:ascii="Times New Roman" w:hAnsi="Times New Roman" w:cs="Times New Roman"/>
          <w:sz w:val="24"/>
          <w:szCs w:val="24"/>
        </w:rPr>
        <w:t>Policy Statement in PL15-3</w:t>
      </w:r>
      <w:r w:rsidR="00B26F67">
        <w:rPr>
          <w:rFonts w:ascii="Times New Roman" w:hAnsi="Times New Roman" w:cs="Times New Roman"/>
          <w:sz w:val="24"/>
          <w:szCs w:val="24"/>
        </w:rPr>
        <w:t>.</w:t>
      </w:r>
    </w:p>
    <w:p w14:paraId="2C7894E3" w14:textId="77777777" w:rsidR="001303B6" w:rsidRPr="00F210B7" w:rsidRDefault="001303B6" w:rsidP="00B26F67">
      <w:pPr>
        <w:spacing w:after="0" w:line="240" w:lineRule="auto"/>
        <w:rPr>
          <w:rFonts w:ascii="Times New Roman" w:hAnsi="Times New Roman" w:cs="Times New Roman"/>
          <w:sz w:val="24"/>
          <w:szCs w:val="24"/>
        </w:rPr>
      </w:pPr>
    </w:p>
    <w:p w14:paraId="28F48861" w14:textId="77777777" w:rsidR="00333102" w:rsidRDefault="00333102" w:rsidP="00F210B7">
      <w:pPr>
        <w:spacing w:after="0" w:line="240" w:lineRule="auto"/>
        <w:rPr>
          <w:rFonts w:ascii="Times New Roman" w:eastAsia="Times New Roman" w:hAnsi="Times New Roman" w:cs="Times New Roman"/>
          <w:sz w:val="24"/>
          <w:szCs w:val="24"/>
        </w:rPr>
      </w:pPr>
      <w:r w:rsidRPr="00F210B7">
        <w:rPr>
          <w:rFonts w:ascii="Times New Roman" w:eastAsia="Times New Roman" w:hAnsi="Times New Roman" w:cs="Times New Roman"/>
          <w:sz w:val="24"/>
          <w:szCs w:val="24"/>
        </w:rPr>
        <w:t xml:space="preserve">Below, we discuss the </w:t>
      </w:r>
      <w:r w:rsidR="00B26F67">
        <w:rPr>
          <w:rFonts w:ascii="Times New Roman" w:eastAsia="Times New Roman" w:hAnsi="Times New Roman" w:cs="Times New Roman"/>
          <w:sz w:val="24"/>
          <w:szCs w:val="24"/>
        </w:rPr>
        <w:t xml:space="preserve">reasons and </w:t>
      </w:r>
      <w:r w:rsidRPr="00F210B7">
        <w:rPr>
          <w:rFonts w:ascii="Times New Roman" w:eastAsia="Times New Roman" w:hAnsi="Times New Roman" w:cs="Times New Roman"/>
          <w:sz w:val="24"/>
          <w:szCs w:val="24"/>
        </w:rPr>
        <w:t xml:space="preserve">expected increases in burden as a result of this </w:t>
      </w:r>
      <w:r w:rsidR="002A7D49">
        <w:rPr>
          <w:rFonts w:ascii="Times New Roman" w:eastAsia="Times New Roman" w:hAnsi="Times New Roman" w:cs="Times New Roman"/>
          <w:sz w:val="24"/>
          <w:szCs w:val="24"/>
        </w:rPr>
        <w:t>Policy Statement</w:t>
      </w:r>
      <w:r w:rsidRPr="00F210B7">
        <w:rPr>
          <w:rFonts w:ascii="Times New Roman" w:eastAsia="Times New Roman" w:hAnsi="Times New Roman" w:cs="Times New Roman"/>
          <w:sz w:val="24"/>
          <w:szCs w:val="24"/>
        </w:rPr>
        <w:t xml:space="preserve">.  </w:t>
      </w:r>
    </w:p>
    <w:p w14:paraId="4820C8C1" w14:textId="77777777" w:rsidR="002A7D49" w:rsidRDefault="002A7D49" w:rsidP="00F210B7">
      <w:pPr>
        <w:spacing w:after="0" w:line="240" w:lineRule="auto"/>
        <w:rPr>
          <w:rFonts w:ascii="Times New Roman" w:eastAsia="Times New Roman" w:hAnsi="Times New Roman" w:cs="Times New Roman"/>
          <w:b/>
          <w:sz w:val="24"/>
          <w:szCs w:val="24"/>
        </w:rPr>
      </w:pPr>
    </w:p>
    <w:p w14:paraId="2CC273F3" w14:textId="08912539" w:rsidR="002A7D49" w:rsidRPr="00DA797F" w:rsidRDefault="002A7D49" w:rsidP="00F210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FERC-516.</w:t>
      </w:r>
      <w:r w:rsidR="00F06920">
        <w:rPr>
          <w:rFonts w:ascii="Times New Roman" w:eastAsia="Times New Roman" w:hAnsi="Times New Roman" w:cs="Times New Roman"/>
          <w:b/>
          <w:sz w:val="24"/>
          <w:szCs w:val="24"/>
        </w:rPr>
        <w:t xml:space="preserve">  </w:t>
      </w:r>
      <w:r w:rsidR="00F06920" w:rsidRPr="00DA797F">
        <w:rPr>
          <w:rFonts w:ascii="Times New Roman" w:eastAsia="Times New Roman" w:hAnsi="Times New Roman" w:cs="Times New Roman"/>
          <w:sz w:val="24"/>
          <w:szCs w:val="24"/>
        </w:rPr>
        <w:t>Entities that previously recovered costs of their hold harmless commitment without additional scrutiny will now be required to prepare a filing to justify the recovery of such cos</w:t>
      </w:r>
      <w:r w:rsidR="00C4797F" w:rsidRPr="00DA797F">
        <w:rPr>
          <w:rFonts w:ascii="Times New Roman" w:eastAsia="Times New Roman" w:hAnsi="Times New Roman" w:cs="Times New Roman"/>
          <w:sz w:val="24"/>
          <w:szCs w:val="24"/>
        </w:rPr>
        <w:t>ts.  Preparing</w:t>
      </w:r>
      <w:r w:rsidR="00F06920" w:rsidRPr="00DA797F">
        <w:rPr>
          <w:rFonts w:ascii="Times New Roman" w:eastAsia="Times New Roman" w:hAnsi="Times New Roman" w:cs="Times New Roman"/>
          <w:sz w:val="24"/>
          <w:szCs w:val="24"/>
        </w:rPr>
        <w:t xml:space="preserve"> such a filing will increase the burden on</w:t>
      </w:r>
      <w:r w:rsidR="00C4797F" w:rsidRPr="00DA797F">
        <w:rPr>
          <w:rFonts w:ascii="Times New Roman" w:eastAsia="Times New Roman" w:hAnsi="Times New Roman" w:cs="Times New Roman"/>
          <w:sz w:val="24"/>
          <w:szCs w:val="24"/>
        </w:rPr>
        <w:t xml:space="preserve"> those entities who wish to recover certain transaction-related costs and show the effected rate to be just and reasonable.</w:t>
      </w:r>
      <w:r w:rsidR="007E4040">
        <w:rPr>
          <w:rFonts w:ascii="Times New Roman" w:eastAsia="Times New Roman" w:hAnsi="Times New Roman" w:cs="Times New Roman"/>
          <w:sz w:val="24"/>
          <w:szCs w:val="24"/>
        </w:rPr>
        <w:t xml:space="preserve">  </w:t>
      </w:r>
      <w:r w:rsidR="00DC6F8E">
        <w:rPr>
          <w:rFonts w:ascii="Times New Roman" w:eastAsia="Times New Roman" w:hAnsi="Times New Roman" w:cs="Times New Roman"/>
          <w:sz w:val="24"/>
          <w:szCs w:val="24"/>
        </w:rPr>
        <w:t xml:space="preserve">We estimate that the Commission will see fewer hold harmless commitments going forward, as it </w:t>
      </w:r>
      <w:r w:rsidR="006373B7">
        <w:rPr>
          <w:rFonts w:ascii="Times New Roman" w:eastAsia="Times New Roman" w:hAnsi="Times New Roman" w:cs="Times New Roman"/>
          <w:sz w:val="24"/>
          <w:szCs w:val="24"/>
        </w:rPr>
        <w:t>is</w:t>
      </w:r>
      <w:r w:rsidR="00DC6F8E">
        <w:rPr>
          <w:rFonts w:ascii="Times New Roman" w:eastAsia="Times New Roman" w:hAnsi="Times New Roman" w:cs="Times New Roman"/>
          <w:sz w:val="24"/>
          <w:szCs w:val="24"/>
        </w:rPr>
        <w:t xml:space="preserve"> clear that a hold harmless commitment may not be needed in many cases.  We also believe that some entities will make clear that they will not recover any costs subject to their hold harmless commitment and therefore will not be subject to this policy. This combined with our experience in receiving filings leads us to </w:t>
      </w:r>
      <w:r w:rsidR="007E4040">
        <w:rPr>
          <w:rFonts w:ascii="Times New Roman" w:eastAsia="Times New Roman" w:hAnsi="Times New Roman" w:cs="Times New Roman"/>
          <w:sz w:val="24"/>
          <w:szCs w:val="24"/>
        </w:rPr>
        <w:t xml:space="preserve">estimate one additional </w:t>
      </w:r>
      <w:r w:rsidR="0009507D">
        <w:rPr>
          <w:rFonts w:ascii="Times New Roman" w:eastAsia="Times New Roman" w:hAnsi="Times New Roman" w:cs="Times New Roman"/>
          <w:sz w:val="24"/>
          <w:szCs w:val="24"/>
        </w:rPr>
        <w:t xml:space="preserve">FERC-516 </w:t>
      </w:r>
      <w:r w:rsidR="007E4040">
        <w:rPr>
          <w:rFonts w:ascii="Times New Roman" w:eastAsia="Times New Roman" w:hAnsi="Times New Roman" w:cs="Times New Roman"/>
          <w:sz w:val="24"/>
          <w:szCs w:val="24"/>
        </w:rPr>
        <w:t>filing per year.</w:t>
      </w:r>
    </w:p>
    <w:p w14:paraId="3AE6F0F8" w14:textId="77777777" w:rsidR="002A7D49" w:rsidRDefault="002A7D49" w:rsidP="00F210B7">
      <w:pPr>
        <w:spacing w:after="0" w:line="240" w:lineRule="auto"/>
        <w:rPr>
          <w:rFonts w:ascii="Times New Roman" w:eastAsia="Times New Roman" w:hAnsi="Times New Roman" w:cs="Times New Roman"/>
          <w:b/>
          <w:sz w:val="24"/>
          <w:szCs w:val="24"/>
        </w:rPr>
      </w:pPr>
    </w:p>
    <w:p w14:paraId="48B71CB4" w14:textId="77777777" w:rsidR="002A7D49" w:rsidRDefault="002A7D49" w:rsidP="00F210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FERC-519.</w:t>
      </w:r>
      <w:r w:rsidR="00C4797F">
        <w:rPr>
          <w:rFonts w:ascii="Times New Roman" w:eastAsia="Times New Roman" w:hAnsi="Times New Roman" w:cs="Times New Roman"/>
          <w:b/>
          <w:sz w:val="24"/>
          <w:szCs w:val="24"/>
        </w:rPr>
        <w:t xml:space="preserve">  </w:t>
      </w:r>
      <w:r w:rsidR="00C4797F" w:rsidRPr="00DA797F">
        <w:rPr>
          <w:rFonts w:ascii="Times New Roman" w:eastAsia="Times New Roman" w:hAnsi="Times New Roman" w:cs="Times New Roman"/>
          <w:sz w:val="24"/>
          <w:szCs w:val="24"/>
        </w:rPr>
        <w:t>Entities pursuing section 203 transactions will maintain the same burden</w:t>
      </w:r>
      <w:r w:rsidR="00320DFC">
        <w:rPr>
          <w:rFonts w:ascii="Times New Roman" w:eastAsia="Times New Roman" w:hAnsi="Times New Roman" w:cs="Times New Roman"/>
          <w:sz w:val="24"/>
          <w:szCs w:val="24"/>
        </w:rPr>
        <w:t xml:space="preserve"> to demonstrate that their proposed transaction has no adverse effect on rates.  The increased burden will only apply to entities that disagree and then must justify a different categorization of transaction-related costs.  Applicants must formulate which costs they must account for and express those in advance.</w:t>
      </w:r>
      <w:r w:rsidR="00C4797F" w:rsidRPr="00DA797F">
        <w:rPr>
          <w:rFonts w:ascii="Times New Roman" w:eastAsia="Times New Roman" w:hAnsi="Times New Roman" w:cs="Times New Roman"/>
          <w:sz w:val="24"/>
          <w:szCs w:val="24"/>
        </w:rPr>
        <w:t xml:space="preserve"> </w:t>
      </w:r>
      <w:r w:rsidR="007E4040">
        <w:rPr>
          <w:rFonts w:ascii="Times New Roman" w:eastAsia="Times New Roman" w:hAnsi="Times New Roman" w:cs="Times New Roman"/>
          <w:sz w:val="24"/>
          <w:szCs w:val="24"/>
        </w:rPr>
        <w:t>We estimate as additional 20 hours of burden for 18 of these filings (and related respondents) per year</w:t>
      </w:r>
      <w:r w:rsidR="0071003F">
        <w:rPr>
          <w:rFonts w:ascii="Times New Roman" w:eastAsia="Times New Roman" w:hAnsi="Times New Roman" w:cs="Times New Roman"/>
          <w:sz w:val="24"/>
          <w:szCs w:val="24"/>
        </w:rPr>
        <w:t>; the number of filings is not changing</w:t>
      </w:r>
      <w:r w:rsidR="007E4040">
        <w:rPr>
          <w:rFonts w:ascii="Times New Roman" w:eastAsia="Times New Roman" w:hAnsi="Times New Roman" w:cs="Times New Roman"/>
          <w:sz w:val="24"/>
          <w:szCs w:val="24"/>
        </w:rPr>
        <w:t>.</w:t>
      </w:r>
    </w:p>
    <w:p w14:paraId="33D51197" w14:textId="77777777" w:rsidR="002A7D49" w:rsidRDefault="002A7D49" w:rsidP="00F210B7">
      <w:pPr>
        <w:spacing w:after="0" w:line="240" w:lineRule="auto"/>
        <w:rPr>
          <w:rFonts w:ascii="Times New Roman" w:eastAsia="Times New Roman" w:hAnsi="Times New Roman" w:cs="Times New Roman"/>
          <w:b/>
          <w:sz w:val="24"/>
          <w:szCs w:val="24"/>
        </w:rPr>
      </w:pPr>
    </w:p>
    <w:p w14:paraId="10108C6D" w14:textId="77777777" w:rsidR="002A7D49" w:rsidRPr="00F210B7" w:rsidRDefault="002A7D49" w:rsidP="00F210B7">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FERC-555.</w:t>
      </w:r>
      <w:r w:rsidR="007E4040">
        <w:rPr>
          <w:rFonts w:ascii="Times New Roman" w:eastAsia="Times New Roman" w:hAnsi="Times New Roman" w:cs="Times New Roman"/>
          <w:b/>
          <w:sz w:val="24"/>
          <w:szCs w:val="24"/>
        </w:rPr>
        <w:t xml:space="preserve">  </w:t>
      </w:r>
      <w:r w:rsidR="007E4040">
        <w:rPr>
          <w:rFonts w:ascii="Times New Roman" w:eastAsia="Times New Roman" w:hAnsi="Times New Roman" w:cs="Times New Roman"/>
          <w:sz w:val="24"/>
          <w:szCs w:val="24"/>
        </w:rPr>
        <w:t>We estimate an additional 4 hours of burden per year related to records retention for 18 of the respondents.</w:t>
      </w:r>
      <w:r w:rsidR="002F41D6">
        <w:rPr>
          <w:rFonts w:ascii="Times New Roman" w:eastAsia="Times New Roman" w:hAnsi="Times New Roman" w:cs="Times New Roman"/>
          <w:sz w:val="24"/>
          <w:szCs w:val="24"/>
        </w:rPr>
        <w:t xml:space="preserve">  The number of responses and respondents are not changing.</w:t>
      </w:r>
    </w:p>
    <w:p w14:paraId="65E7D869" w14:textId="77777777" w:rsidR="00220CB1" w:rsidRPr="00F210B7" w:rsidRDefault="00220CB1" w:rsidP="00F210B7">
      <w:pPr>
        <w:spacing w:after="0" w:line="240" w:lineRule="auto"/>
        <w:rPr>
          <w:rFonts w:ascii="Times New Roman" w:hAnsi="Times New Roman" w:cs="Times New Roman"/>
          <w:sz w:val="24"/>
          <w:szCs w:val="24"/>
        </w:rPr>
      </w:pPr>
    </w:p>
    <w:p w14:paraId="0A66116F" w14:textId="77777777" w:rsidR="001303B6" w:rsidRPr="00F210B7" w:rsidRDefault="001303B6" w:rsidP="00F210B7">
      <w:pPr>
        <w:spacing w:after="0" w:line="240" w:lineRule="auto"/>
        <w:rPr>
          <w:rFonts w:ascii="Times New Roman" w:hAnsi="Times New Roman" w:cs="Times New Roman"/>
          <w:sz w:val="24"/>
          <w:szCs w:val="24"/>
        </w:rPr>
      </w:pPr>
    </w:p>
    <w:p w14:paraId="08B78846" w14:textId="77777777" w:rsidR="003316E0" w:rsidRPr="00F210B7" w:rsidRDefault="001303B6" w:rsidP="00F210B7">
      <w:pPr>
        <w:spacing w:after="0" w:line="240" w:lineRule="auto"/>
        <w:rPr>
          <w:rFonts w:ascii="Times New Roman" w:hAnsi="Times New Roman" w:cs="Times New Roman"/>
          <w:sz w:val="24"/>
          <w:szCs w:val="24"/>
        </w:rPr>
      </w:pPr>
      <w:r w:rsidRPr="00F210B7">
        <w:rPr>
          <w:rFonts w:ascii="Times New Roman" w:hAnsi="Times New Roman" w:cs="Times New Roman"/>
          <w:b/>
          <w:sz w:val="24"/>
          <w:szCs w:val="24"/>
        </w:rPr>
        <w:t xml:space="preserve">Summary.  </w:t>
      </w:r>
      <w:r w:rsidR="00D76508" w:rsidRPr="00F210B7">
        <w:rPr>
          <w:rFonts w:ascii="Times New Roman" w:hAnsi="Times New Roman" w:cs="Times New Roman"/>
          <w:sz w:val="24"/>
          <w:szCs w:val="24"/>
        </w:rPr>
        <w:t>The following table show</w:t>
      </w:r>
      <w:r w:rsidR="00B26F67">
        <w:rPr>
          <w:rFonts w:ascii="Times New Roman" w:hAnsi="Times New Roman" w:cs="Times New Roman"/>
          <w:sz w:val="24"/>
          <w:szCs w:val="24"/>
        </w:rPr>
        <w:t>s</w:t>
      </w:r>
      <w:r w:rsidR="00B95800" w:rsidRPr="00F210B7">
        <w:rPr>
          <w:rFonts w:ascii="Times New Roman" w:hAnsi="Times New Roman" w:cs="Times New Roman"/>
          <w:sz w:val="24"/>
          <w:szCs w:val="24"/>
        </w:rPr>
        <w:t xml:space="preserve"> </w:t>
      </w:r>
      <w:r w:rsidR="00AB2354" w:rsidRPr="00F210B7">
        <w:rPr>
          <w:rFonts w:ascii="Times New Roman" w:hAnsi="Times New Roman" w:cs="Times New Roman"/>
          <w:sz w:val="24"/>
          <w:szCs w:val="24"/>
        </w:rPr>
        <w:t xml:space="preserve">the current OMB-approved inventory, as well as </w:t>
      </w:r>
      <w:r w:rsidR="00D76508" w:rsidRPr="00F210B7">
        <w:rPr>
          <w:rFonts w:ascii="Times New Roman" w:hAnsi="Times New Roman" w:cs="Times New Roman"/>
          <w:sz w:val="24"/>
          <w:szCs w:val="24"/>
        </w:rPr>
        <w:t xml:space="preserve">the </w:t>
      </w:r>
      <w:r w:rsidR="0007704B" w:rsidRPr="00F210B7">
        <w:rPr>
          <w:rFonts w:ascii="Times New Roman" w:hAnsi="Times New Roman" w:cs="Times New Roman"/>
          <w:sz w:val="24"/>
          <w:szCs w:val="24"/>
        </w:rPr>
        <w:t xml:space="preserve">estimated annual </w:t>
      </w:r>
      <w:r w:rsidR="00D76508" w:rsidRPr="00F210B7">
        <w:rPr>
          <w:rFonts w:ascii="Times New Roman" w:hAnsi="Times New Roman" w:cs="Times New Roman"/>
          <w:sz w:val="24"/>
          <w:szCs w:val="24"/>
        </w:rPr>
        <w:t xml:space="preserve">impact of the changes discussed </w:t>
      </w:r>
      <w:r w:rsidR="00B432B9" w:rsidRPr="00F210B7">
        <w:rPr>
          <w:rFonts w:ascii="Times New Roman" w:hAnsi="Times New Roman" w:cs="Times New Roman"/>
          <w:sz w:val="24"/>
          <w:szCs w:val="24"/>
        </w:rPr>
        <w:t xml:space="preserve">in this </w:t>
      </w:r>
      <w:r w:rsidR="002A7D49">
        <w:rPr>
          <w:rFonts w:ascii="Times New Roman" w:hAnsi="Times New Roman" w:cs="Times New Roman"/>
          <w:sz w:val="24"/>
          <w:szCs w:val="24"/>
        </w:rPr>
        <w:t>Policy Statement in PL15-3</w:t>
      </w:r>
      <w:r w:rsidR="00333796" w:rsidRPr="00F210B7">
        <w:rPr>
          <w:rFonts w:ascii="Times New Roman" w:hAnsi="Times New Roman" w:cs="Times New Roman"/>
          <w:sz w:val="24"/>
          <w:szCs w:val="24"/>
        </w:rPr>
        <w:t xml:space="preserve"> </w:t>
      </w:r>
      <w:r w:rsidR="00521FFF" w:rsidRPr="00F210B7">
        <w:rPr>
          <w:rFonts w:ascii="Times New Roman" w:hAnsi="Times New Roman" w:cs="Times New Roman"/>
          <w:sz w:val="24"/>
          <w:szCs w:val="24"/>
        </w:rPr>
        <w:t xml:space="preserve">and </w:t>
      </w:r>
      <w:r w:rsidR="00B432B9" w:rsidRPr="00F210B7">
        <w:rPr>
          <w:rFonts w:ascii="Times New Roman" w:hAnsi="Times New Roman" w:cs="Times New Roman"/>
          <w:sz w:val="24"/>
          <w:szCs w:val="24"/>
        </w:rPr>
        <w:t>supporting statement</w:t>
      </w:r>
      <w:r w:rsidR="00D76508" w:rsidRPr="00F210B7">
        <w:rPr>
          <w:rFonts w:ascii="Times New Roman" w:hAnsi="Times New Roman" w:cs="Times New Roman"/>
          <w:sz w:val="24"/>
          <w:szCs w:val="24"/>
        </w:rPr>
        <w:t>.</w:t>
      </w:r>
    </w:p>
    <w:p w14:paraId="03F39AB5" w14:textId="77777777" w:rsidR="00D76508" w:rsidRPr="00F210B7" w:rsidRDefault="00D76508" w:rsidP="00F210B7">
      <w:pPr>
        <w:spacing w:after="0" w:line="240" w:lineRule="auto"/>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F210B7" w14:paraId="55565A7A" w14:textId="77777777" w:rsidTr="00A80014">
        <w:trPr>
          <w:trHeight w:val="870"/>
        </w:trPr>
        <w:tc>
          <w:tcPr>
            <w:tcW w:w="2589" w:type="dxa"/>
            <w:shd w:val="clear" w:color="auto" w:fill="D9D9D9"/>
            <w:vAlign w:val="bottom"/>
          </w:tcPr>
          <w:p w14:paraId="3382CADA" w14:textId="77777777" w:rsidR="003316E0" w:rsidRPr="00F210B7" w:rsidRDefault="003316E0" w:rsidP="00F210B7">
            <w:pPr>
              <w:spacing w:after="0" w:line="240" w:lineRule="auto"/>
              <w:rPr>
                <w:rFonts w:ascii="Times New Roman" w:hAnsi="Times New Roman" w:cs="Times New Roman"/>
                <w:b/>
                <w:sz w:val="24"/>
                <w:szCs w:val="24"/>
              </w:rPr>
            </w:pPr>
          </w:p>
        </w:tc>
        <w:tc>
          <w:tcPr>
            <w:tcW w:w="1779" w:type="dxa"/>
            <w:shd w:val="clear" w:color="auto" w:fill="D9D9D9"/>
            <w:vAlign w:val="bottom"/>
          </w:tcPr>
          <w:p w14:paraId="3BACD068" w14:textId="77777777" w:rsidR="003316E0" w:rsidRPr="00F210B7" w:rsidRDefault="003316E0" w:rsidP="00F210B7">
            <w:pPr>
              <w:spacing w:after="0" w:line="240" w:lineRule="auto"/>
              <w:rPr>
                <w:rFonts w:ascii="Times New Roman" w:hAnsi="Times New Roman" w:cs="Times New Roman"/>
                <w:b/>
                <w:sz w:val="24"/>
                <w:szCs w:val="24"/>
              </w:rPr>
            </w:pPr>
            <w:r w:rsidRPr="00F210B7">
              <w:rPr>
                <w:rFonts w:ascii="Times New Roman" w:hAnsi="Times New Roman" w:cs="Times New Roman"/>
                <w:b/>
                <w:sz w:val="24"/>
                <w:szCs w:val="24"/>
              </w:rPr>
              <w:t>Total Request</w:t>
            </w:r>
            <w:r w:rsidR="00B0407D">
              <w:rPr>
                <w:rFonts w:ascii="Times New Roman" w:hAnsi="Times New Roman" w:cs="Times New Roman"/>
                <w:b/>
                <w:sz w:val="24"/>
                <w:szCs w:val="24"/>
              </w:rPr>
              <w:t xml:space="preserve"> (rounded)</w:t>
            </w:r>
          </w:p>
        </w:tc>
        <w:tc>
          <w:tcPr>
            <w:tcW w:w="1959" w:type="dxa"/>
            <w:shd w:val="clear" w:color="auto" w:fill="D9D9D9"/>
            <w:vAlign w:val="bottom"/>
          </w:tcPr>
          <w:p w14:paraId="6FC3FCFF" w14:textId="77777777" w:rsidR="003316E0" w:rsidRPr="00F210B7" w:rsidRDefault="003316E0" w:rsidP="00F210B7">
            <w:pPr>
              <w:spacing w:after="0" w:line="240" w:lineRule="auto"/>
              <w:rPr>
                <w:rFonts w:ascii="Times New Roman" w:hAnsi="Times New Roman" w:cs="Times New Roman"/>
                <w:b/>
                <w:sz w:val="24"/>
                <w:szCs w:val="24"/>
              </w:rPr>
            </w:pPr>
            <w:r w:rsidRPr="00F210B7">
              <w:rPr>
                <w:rFonts w:ascii="Times New Roman" w:hAnsi="Times New Roman" w:cs="Times New Roman"/>
                <w:b/>
                <w:sz w:val="24"/>
                <w:szCs w:val="24"/>
              </w:rPr>
              <w:t>Previously Approved</w:t>
            </w:r>
          </w:p>
        </w:tc>
        <w:tc>
          <w:tcPr>
            <w:tcW w:w="1683" w:type="dxa"/>
            <w:shd w:val="clear" w:color="auto" w:fill="D9D9D9"/>
            <w:vAlign w:val="bottom"/>
          </w:tcPr>
          <w:p w14:paraId="4CCDACF6" w14:textId="77777777" w:rsidR="003316E0" w:rsidRPr="00F210B7" w:rsidRDefault="003316E0" w:rsidP="00F210B7">
            <w:pPr>
              <w:spacing w:after="0" w:line="240" w:lineRule="auto"/>
              <w:rPr>
                <w:rFonts w:ascii="Times New Roman" w:hAnsi="Times New Roman" w:cs="Times New Roman"/>
                <w:b/>
                <w:sz w:val="24"/>
                <w:szCs w:val="24"/>
              </w:rPr>
            </w:pPr>
            <w:r w:rsidRPr="00F210B7">
              <w:rPr>
                <w:rFonts w:ascii="Times New Roman" w:hAnsi="Times New Roman" w:cs="Times New Roman"/>
                <w:b/>
                <w:sz w:val="24"/>
                <w:szCs w:val="24"/>
              </w:rPr>
              <w:t>Change due to Adjustment in Estimate</w:t>
            </w:r>
          </w:p>
        </w:tc>
        <w:tc>
          <w:tcPr>
            <w:tcW w:w="1357" w:type="dxa"/>
            <w:shd w:val="clear" w:color="auto" w:fill="D9D9D9"/>
            <w:vAlign w:val="bottom"/>
          </w:tcPr>
          <w:p w14:paraId="0971299E" w14:textId="77777777" w:rsidR="003316E0" w:rsidRPr="00F210B7" w:rsidRDefault="003316E0" w:rsidP="00F210B7">
            <w:pPr>
              <w:spacing w:after="0" w:line="240" w:lineRule="auto"/>
              <w:rPr>
                <w:rFonts w:ascii="Times New Roman" w:hAnsi="Times New Roman" w:cs="Times New Roman"/>
                <w:b/>
                <w:sz w:val="24"/>
                <w:szCs w:val="24"/>
              </w:rPr>
            </w:pPr>
            <w:r w:rsidRPr="00F210B7">
              <w:rPr>
                <w:rFonts w:ascii="Times New Roman" w:hAnsi="Times New Roman" w:cs="Times New Roman"/>
                <w:b/>
                <w:sz w:val="24"/>
                <w:szCs w:val="24"/>
              </w:rPr>
              <w:t>Change Due to Agency Discretion</w:t>
            </w:r>
            <w:r w:rsidR="00B0407D">
              <w:rPr>
                <w:rFonts w:ascii="Times New Roman" w:hAnsi="Times New Roman" w:cs="Times New Roman"/>
                <w:b/>
                <w:sz w:val="24"/>
                <w:szCs w:val="24"/>
              </w:rPr>
              <w:t xml:space="preserve"> (rounded)</w:t>
            </w:r>
          </w:p>
        </w:tc>
      </w:tr>
      <w:tr w:rsidR="002A7D49" w:rsidRPr="00F210B7" w14:paraId="7FEB89AD" w14:textId="77777777" w:rsidTr="002A7D49">
        <w:trPr>
          <w:trHeight w:val="591"/>
        </w:trPr>
        <w:tc>
          <w:tcPr>
            <w:tcW w:w="9367" w:type="dxa"/>
            <w:gridSpan w:val="5"/>
            <w:vAlign w:val="bottom"/>
          </w:tcPr>
          <w:p w14:paraId="6CD9F07B" w14:textId="77777777" w:rsidR="002A7D49" w:rsidRPr="002A7D49" w:rsidRDefault="002A7D49" w:rsidP="002A7D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FERC-516</w:t>
            </w:r>
          </w:p>
        </w:tc>
      </w:tr>
      <w:tr w:rsidR="003316E0" w:rsidRPr="00F210B7" w14:paraId="018D6813" w14:textId="77777777" w:rsidTr="00A80014">
        <w:trPr>
          <w:trHeight w:val="591"/>
        </w:trPr>
        <w:tc>
          <w:tcPr>
            <w:tcW w:w="2589" w:type="dxa"/>
          </w:tcPr>
          <w:p w14:paraId="0A0DC0BD" w14:textId="77777777" w:rsidR="003316E0" w:rsidRPr="00F210B7" w:rsidRDefault="003316E0"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Number of Responses</w:t>
            </w:r>
          </w:p>
        </w:tc>
        <w:tc>
          <w:tcPr>
            <w:tcW w:w="1779" w:type="dxa"/>
            <w:vAlign w:val="center"/>
          </w:tcPr>
          <w:p w14:paraId="4CA7D51F" w14:textId="77777777" w:rsidR="003316E0" w:rsidRPr="00F210B7" w:rsidRDefault="00DA00FA" w:rsidP="00912AEE">
            <w:pPr>
              <w:spacing w:after="0" w:line="240" w:lineRule="auto"/>
              <w:jc w:val="right"/>
              <w:rPr>
                <w:rFonts w:ascii="Times New Roman" w:hAnsi="Times New Roman" w:cs="Times New Roman"/>
                <w:sz w:val="24"/>
                <w:szCs w:val="24"/>
              </w:rPr>
            </w:pPr>
            <w:r w:rsidRPr="00330D28">
              <w:rPr>
                <w:rFonts w:ascii="Times New Roman" w:hAnsi="Times New Roman" w:cs="Times New Roman"/>
                <w:sz w:val="24"/>
                <w:szCs w:val="24"/>
              </w:rPr>
              <w:t>5,807</w:t>
            </w:r>
          </w:p>
        </w:tc>
        <w:tc>
          <w:tcPr>
            <w:tcW w:w="1959" w:type="dxa"/>
            <w:vAlign w:val="center"/>
          </w:tcPr>
          <w:p w14:paraId="5DA7E485" w14:textId="77777777" w:rsidR="003316E0" w:rsidRPr="00F210B7" w:rsidRDefault="00DA00FA" w:rsidP="00F210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5,806</w:t>
            </w:r>
          </w:p>
        </w:tc>
        <w:tc>
          <w:tcPr>
            <w:tcW w:w="1683" w:type="dxa"/>
            <w:vAlign w:val="center"/>
          </w:tcPr>
          <w:p w14:paraId="0CF6AF7E" w14:textId="77777777" w:rsidR="003316E0" w:rsidRPr="00F210B7" w:rsidRDefault="003316E0"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357" w:type="dxa"/>
            <w:vAlign w:val="center"/>
          </w:tcPr>
          <w:p w14:paraId="6EB71AD6" w14:textId="77777777" w:rsidR="003316E0" w:rsidRPr="00F210B7" w:rsidRDefault="00C63B6A" w:rsidP="0031776E">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w:t>
            </w:r>
            <w:r w:rsidR="0031776E">
              <w:rPr>
                <w:rFonts w:ascii="Times New Roman" w:hAnsi="Times New Roman" w:cs="Times New Roman"/>
                <w:sz w:val="24"/>
                <w:szCs w:val="24"/>
              </w:rPr>
              <w:t>1</w:t>
            </w:r>
          </w:p>
        </w:tc>
      </w:tr>
      <w:tr w:rsidR="003316E0" w:rsidRPr="00F210B7" w14:paraId="007E4A4B" w14:textId="77777777" w:rsidTr="00A80014">
        <w:trPr>
          <w:trHeight w:val="575"/>
        </w:trPr>
        <w:tc>
          <w:tcPr>
            <w:tcW w:w="2589" w:type="dxa"/>
          </w:tcPr>
          <w:p w14:paraId="28DE5CC6" w14:textId="77777777" w:rsidR="003316E0" w:rsidRPr="00F210B7" w:rsidRDefault="003316E0"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Time Burden (Hr</w:t>
            </w:r>
            <w:r w:rsidR="005879AF">
              <w:rPr>
                <w:rFonts w:ascii="Times New Roman" w:hAnsi="Times New Roman" w:cs="Times New Roman"/>
                <w:sz w:val="24"/>
                <w:szCs w:val="24"/>
              </w:rPr>
              <w:t>.</w:t>
            </w:r>
            <w:r w:rsidRPr="00F210B7">
              <w:rPr>
                <w:rFonts w:ascii="Times New Roman" w:hAnsi="Times New Roman" w:cs="Times New Roman"/>
                <w:sz w:val="24"/>
                <w:szCs w:val="24"/>
              </w:rPr>
              <w:t>)</w:t>
            </w:r>
          </w:p>
        </w:tc>
        <w:tc>
          <w:tcPr>
            <w:tcW w:w="1779" w:type="dxa"/>
            <w:vAlign w:val="center"/>
          </w:tcPr>
          <w:p w14:paraId="7599D06D" w14:textId="17D05506" w:rsidR="003316E0" w:rsidRPr="00F210B7" w:rsidRDefault="00DA00FA" w:rsidP="00B04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499,907</w:t>
            </w:r>
          </w:p>
        </w:tc>
        <w:tc>
          <w:tcPr>
            <w:tcW w:w="1959" w:type="dxa"/>
            <w:vAlign w:val="center"/>
          </w:tcPr>
          <w:p w14:paraId="28DDC94B" w14:textId="77777777" w:rsidR="003316E0" w:rsidRPr="00F210B7" w:rsidRDefault="00DA00FA" w:rsidP="00F210B7">
            <w:pPr>
              <w:spacing w:after="0" w:line="240" w:lineRule="auto"/>
              <w:jc w:val="right"/>
              <w:rPr>
                <w:rFonts w:ascii="Times New Roman" w:hAnsi="Times New Roman" w:cs="Times New Roman"/>
                <w:sz w:val="24"/>
                <w:szCs w:val="24"/>
              </w:rPr>
            </w:pPr>
            <w:r w:rsidRPr="00DA00FA">
              <w:rPr>
                <w:rFonts w:ascii="Times New Roman" w:hAnsi="Times New Roman" w:cs="Times New Roman"/>
                <w:sz w:val="24"/>
                <w:szCs w:val="24"/>
              </w:rPr>
              <w:t>499,804</w:t>
            </w:r>
          </w:p>
        </w:tc>
        <w:tc>
          <w:tcPr>
            <w:tcW w:w="1683" w:type="dxa"/>
            <w:vAlign w:val="center"/>
          </w:tcPr>
          <w:p w14:paraId="5F7FFC77" w14:textId="77777777" w:rsidR="003316E0" w:rsidRPr="00F210B7" w:rsidRDefault="003316E0"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357" w:type="dxa"/>
            <w:vAlign w:val="center"/>
          </w:tcPr>
          <w:p w14:paraId="4C05403D" w14:textId="2E5A9315" w:rsidR="003316E0" w:rsidRPr="00F210B7" w:rsidRDefault="00C63B6A" w:rsidP="00B0407D">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w:t>
            </w:r>
            <w:r w:rsidR="0031776E" w:rsidRPr="0031776E">
              <w:rPr>
                <w:rFonts w:ascii="Times New Roman" w:hAnsi="Times New Roman" w:cs="Times New Roman"/>
                <w:sz w:val="24"/>
                <w:szCs w:val="24"/>
              </w:rPr>
              <w:t>103</w:t>
            </w:r>
          </w:p>
        </w:tc>
      </w:tr>
      <w:tr w:rsidR="003316E0" w:rsidRPr="00F210B7" w14:paraId="5CF111C1" w14:textId="77777777" w:rsidTr="00A80014">
        <w:trPr>
          <w:trHeight w:val="295"/>
        </w:trPr>
        <w:tc>
          <w:tcPr>
            <w:tcW w:w="2589" w:type="dxa"/>
          </w:tcPr>
          <w:p w14:paraId="07F4C277" w14:textId="77777777" w:rsidR="003316E0" w:rsidRPr="00F210B7" w:rsidRDefault="003316E0"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Cost Burden ($)</w:t>
            </w:r>
          </w:p>
        </w:tc>
        <w:tc>
          <w:tcPr>
            <w:tcW w:w="1779" w:type="dxa"/>
            <w:vAlign w:val="center"/>
          </w:tcPr>
          <w:p w14:paraId="53D510F1" w14:textId="77777777" w:rsidR="003316E0" w:rsidRPr="00F210B7" w:rsidRDefault="003316E0"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959" w:type="dxa"/>
            <w:vAlign w:val="center"/>
          </w:tcPr>
          <w:p w14:paraId="2FF7DE5B" w14:textId="77777777" w:rsidR="003316E0" w:rsidRPr="00F210B7" w:rsidRDefault="003316E0"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683" w:type="dxa"/>
            <w:vAlign w:val="center"/>
          </w:tcPr>
          <w:p w14:paraId="531A2153" w14:textId="77777777" w:rsidR="003316E0" w:rsidRPr="00F210B7" w:rsidRDefault="003316E0"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357" w:type="dxa"/>
            <w:vAlign w:val="center"/>
          </w:tcPr>
          <w:p w14:paraId="2C7D45F2" w14:textId="77777777" w:rsidR="003316E0" w:rsidRPr="00F210B7" w:rsidRDefault="00C63B6A" w:rsidP="00F210B7">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r>
      <w:tr w:rsidR="002A7D49" w:rsidRPr="00F210B7" w14:paraId="5143ABB9" w14:textId="77777777" w:rsidTr="00F1498C">
        <w:trPr>
          <w:trHeight w:val="295"/>
        </w:trPr>
        <w:tc>
          <w:tcPr>
            <w:tcW w:w="9367" w:type="dxa"/>
            <w:gridSpan w:val="5"/>
          </w:tcPr>
          <w:p w14:paraId="274305D6" w14:textId="77777777" w:rsidR="002A7D49" w:rsidRPr="00F210B7" w:rsidRDefault="002A7D49" w:rsidP="002A7D49">
            <w:pPr>
              <w:spacing w:after="0" w:line="240" w:lineRule="auto"/>
              <w:jc w:val="center"/>
              <w:rPr>
                <w:rFonts w:ascii="Times New Roman" w:hAnsi="Times New Roman" w:cs="Times New Roman"/>
                <w:sz w:val="24"/>
                <w:szCs w:val="24"/>
              </w:rPr>
            </w:pPr>
            <w:r w:rsidRPr="002A7D49">
              <w:rPr>
                <w:rFonts w:ascii="Times New Roman" w:hAnsi="Times New Roman" w:cs="Times New Roman"/>
                <w:b/>
                <w:sz w:val="24"/>
                <w:szCs w:val="24"/>
              </w:rPr>
              <w:t>FERC-519</w:t>
            </w:r>
          </w:p>
        </w:tc>
      </w:tr>
      <w:tr w:rsidR="002A7D49" w:rsidRPr="00F210B7" w14:paraId="2CD5A00C" w14:textId="77777777" w:rsidTr="00A80014">
        <w:trPr>
          <w:trHeight w:val="295"/>
        </w:trPr>
        <w:tc>
          <w:tcPr>
            <w:tcW w:w="2589" w:type="dxa"/>
          </w:tcPr>
          <w:p w14:paraId="2C1FAEE7" w14:textId="77777777" w:rsidR="002A7D49" w:rsidRDefault="002A7D49" w:rsidP="002A7D49">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Number of Responses</w:t>
            </w:r>
          </w:p>
        </w:tc>
        <w:tc>
          <w:tcPr>
            <w:tcW w:w="1779" w:type="dxa"/>
            <w:vAlign w:val="center"/>
          </w:tcPr>
          <w:p w14:paraId="56858D76" w14:textId="77777777" w:rsidR="002A7D49" w:rsidRPr="00F210B7" w:rsidRDefault="00520CD8" w:rsidP="002A7D49">
            <w:pPr>
              <w:spacing w:after="0" w:line="240" w:lineRule="auto"/>
              <w:jc w:val="right"/>
              <w:rPr>
                <w:rFonts w:ascii="Times New Roman" w:hAnsi="Times New Roman" w:cs="Times New Roman"/>
                <w:sz w:val="24"/>
                <w:szCs w:val="24"/>
              </w:rPr>
            </w:pPr>
            <w:r w:rsidRPr="00520CD8">
              <w:rPr>
                <w:rFonts w:ascii="Times New Roman" w:hAnsi="Times New Roman" w:cs="Times New Roman"/>
                <w:sz w:val="24"/>
                <w:szCs w:val="24"/>
              </w:rPr>
              <w:t>141</w:t>
            </w:r>
          </w:p>
        </w:tc>
        <w:tc>
          <w:tcPr>
            <w:tcW w:w="1959" w:type="dxa"/>
            <w:vAlign w:val="center"/>
          </w:tcPr>
          <w:p w14:paraId="5C90D4E3" w14:textId="77777777" w:rsidR="002A7D49" w:rsidRPr="00F210B7" w:rsidRDefault="00DA00FA"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141</w:t>
            </w:r>
          </w:p>
        </w:tc>
        <w:tc>
          <w:tcPr>
            <w:tcW w:w="1683" w:type="dxa"/>
            <w:vAlign w:val="center"/>
          </w:tcPr>
          <w:p w14:paraId="3B43ED52" w14:textId="77777777" w:rsidR="002A7D49" w:rsidRPr="00F210B7" w:rsidRDefault="002A7D49"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37F428FF" w14:textId="77777777" w:rsidR="002A7D49" w:rsidRDefault="00520CD8"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2A7D49" w:rsidRPr="00F210B7" w14:paraId="1723DBC3" w14:textId="77777777" w:rsidTr="00A80014">
        <w:trPr>
          <w:trHeight w:val="295"/>
        </w:trPr>
        <w:tc>
          <w:tcPr>
            <w:tcW w:w="2589" w:type="dxa"/>
          </w:tcPr>
          <w:p w14:paraId="1A69A4EF" w14:textId="77777777" w:rsidR="002A7D49" w:rsidRPr="00F210B7" w:rsidRDefault="002A7D49" w:rsidP="002A7D49">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Time Burden (Hr</w:t>
            </w:r>
            <w:r>
              <w:rPr>
                <w:rFonts w:ascii="Times New Roman" w:hAnsi="Times New Roman" w:cs="Times New Roman"/>
                <w:sz w:val="24"/>
                <w:szCs w:val="24"/>
              </w:rPr>
              <w:t>.</w:t>
            </w:r>
            <w:r w:rsidRPr="00F210B7">
              <w:rPr>
                <w:rFonts w:ascii="Times New Roman" w:hAnsi="Times New Roman" w:cs="Times New Roman"/>
                <w:sz w:val="24"/>
                <w:szCs w:val="24"/>
              </w:rPr>
              <w:t>)</w:t>
            </w:r>
          </w:p>
        </w:tc>
        <w:tc>
          <w:tcPr>
            <w:tcW w:w="1779" w:type="dxa"/>
            <w:vAlign w:val="center"/>
          </w:tcPr>
          <w:p w14:paraId="61E91D9E" w14:textId="77777777" w:rsidR="002A7D49" w:rsidRPr="00F210B7" w:rsidRDefault="00DA00FA"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56,055</w:t>
            </w:r>
          </w:p>
        </w:tc>
        <w:tc>
          <w:tcPr>
            <w:tcW w:w="1959" w:type="dxa"/>
            <w:vAlign w:val="center"/>
          </w:tcPr>
          <w:p w14:paraId="47222A76" w14:textId="77777777" w:rsidR="002A7D49" w:rsidRPr="00F210B7" w:rsidRDefault="00DA00FA" w:rsidP="002A7D49">
            <w:pPr>
              <w:spacing w:after="0" w:line="240" w:lineRule="auto"/>
              <w:jc w:val="right"/>
              <w:rPr>
                <w:rFonts w:ascii="Times New Roman" w:hAnsi="Times New Roman" w:cs="Times New Roman"/>
                <w:sz w:val="24"/>
                <w:szCs w:val="24"/>
              </w:rPr>
            </w:pPr>
            <w:r w:rsidRPr="00DA00FA">
              <w:rPr>
                <w:rFonts w:ascii="Times New Roman" w:hAnsi="Times New Roman" w:cs="Times New Roman"/>
                <w:sz w:val="24"/>
                <w:szCs w:val="24"/>
              </w:rPr>
              <w:t>55,695</w:t>
            </w:r>
          </w:p>
        </w:tc>
        <w:tc>
          <w:tcPr>
            <w:tcW w:w="1683" w:type="dxa"/>
            <w:vAlign w:val="center"/>
          </w:tcPr>
          <w:p w14:paraId="04C3D892" w14:textId="77777777" w:rsidR="002A7D49" w:rsidRPr="00F210B7" w:rsidRDefault="002A7D49"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68581B80" w14:textId="77777777" w:rsidR="002A7D49" w:rsidRPr="00F210B7" w:rsidRDefault="0031776E"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+360</w:t>
            </w:r>
          </w:p>
        </w:tc>
      </w:tr>
      <w:tr w:rsidR="002A7D49" w:rsidRPr="00F210B7" w14:paraId="1F4508DB" w14:textId="77777777" w:rsidTr="00A80014">
        <w:trPr>
          <w:trHeight w:val="295"/>
        </w:trPr>
        <w:tc>
          <w:tcPr>
            <w:tcW w:w="2589" w:type="dxa"/>
          </w:tcPr>
          <w:p w14:paraId="55B28EA5" w14:textId="77777777" w:rsidR="002A7D49" w:rsidRPr="00F210B7" w:rsidRDefault="002A7D49" w:rsidP="002A7D49">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Cost Burden ($)</w:t>
            </w:r>
          </w:p>
        </w:tc>
        <w:tc>
          <w:tcPr>
            <w:tcW w:w="1779" w:type="dxa"/>
            <w:vAlign w:val="center"/>
          </w:tcPr>
          <w:p w14:paraId="3E1742BB" w14:textId="77777777" w:rsidR="002A7D49" w:rsidRPr="00F210B7" w:rsidRDefault="002A7D49" w:rsidP="002A7D49">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959" w:type="dxa"/>
            <w:vAlign w:val="center"/>
          </w:tcPr>
          <w:p w14:paraId="1D67E444" w14:textId="77777777" w:rsidR="002A7D49" w:rsidRPr="00F210B7" w:rsidRDefault="002A7D49" w:rsidP="002A7D49">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683" w:type="dxa"/>
            <w:vAlign w:val="center"/>
          </w:tcPr>
          <w:p w14:paraId="35ACC07F" w14:textId="77777777" w:rsidR="002A7D49" w:rsidRPr="00F210B7" w:rsidRDefault="002A7D49" w:rsidP="002A7D49">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357" w:type="dxa"/>
            <w:vAlign w:val="center"/>
          </w:tcPr>
          <w:p w14:paraId="3F61A007" w14:textId="77777777" w:rsidR="002A7D49" w:rsidRPr="00F210B7" w:rsidRDefault="002A7D49" w:rsidP="002A7D49">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r>
      <w:tr w:rsidR="002A7D49" w:rsidRPr="00F210B7" w14:paraId="3CEE9036" w14:textId="77777777" w:rsidTr="00F1498C">
        <w:trPr>
          <w:trHeight w:val="295"/>
        </w:trPr>
        <w:tc>
          <w:tcPr>
            <w:tcW w:w="9367" w:type="dxa"/>
            <w:gridSpan w:val="5"/>
          </w:tcPr>
          <w:p w14:paraId="36718B02" w14:textId="77777777" w:rsidR="002A7D49" w:rsidRPr="002A7D49" w:rsidRDefault="002A7D49" w:rsidP="002A7D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FERC-555</w:t>
            </w:r>
          </w:p>
        </w:tc>
      </w:tr>
      <w:tr w:rsidR="002A7D49" w:rsidRPr="00F210B7" w14:paraId="7E288146" w14:textId="77777777" w:rsidTr="00A80014">
        <w:trPr>
          <w:trHeight w:val="295"/>
        </w:trPr>
        <w:tc>
          <w:tcPr>
            <w:tcW w:w="2589" w:type="dxa"/>
          </w:tcPr>
          <w:p w14:paraId="271F4235" w14:textId="77777777" w:rsidR="002A7D49" w:rsidRDefault="002A7D49" w:rsidP="002A7D49">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Number of Responses</w:t>
            </w:r>
          </w:p>
        </w:tc>
        <w:tc>
          <w:tcPr>
            <w:tcW w:w="1779" w:type="dxa"/>
            <w:vAlign w:val="center"/>
          </w:tcPr>
          <w:p w14:paraId="753BB5E1" w14:textId="77777777" w:rsidR="002A7D49" w:rsidRPr="00F210B7" w:rsidRDefault="00A6084D"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509</w:t>
            </w:r>
          </w:p>
        </w:tc>
        <w:tc>
          <w:tcPr>
            <w:tcW w:w="1959" w:type="dxa"/>
            <w:vAlign w:val="center"/>
          </w:tcPr>
          <w:p w14:paraId="0EBD75A6" w14:textId="77777777" w:rsidR="002A7D49" w:rsidRPr="00F210B7" w:rsidRDefault="00F726B9"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509</w:t>
            </w:r>
          </w:p>
        </w:tc>
        <w:tc>
          <w:tcPr>
            <w:tcW w:w="1683" w:type="dxa"/>
            <w:vAlign w:val="center"/>
          </w:tcPr>
          <w:p w14:paraId="15570CFE" w14:textId="77777777" w:rsidR="002A7D49" w:rsidRPr="00F210B7" w:rsidRDefault="002A7D49"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479A1BC7" w14:textId="77777777" w:rsidR="002A7D49" w:rsidRDefault="00A6084D"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2A7D49" w:rsidRPr="00F210B7" w14:paraId="626E8B6F" w14:textId="77777777" w:rsidTr="00A80014">
        <w:trPr>
          <w:trHeight w:val="295"/>
        </w:trPr>
        <w:tc>
          <w:tcPr>
            <w:tcW w:w="2589" w:type="dxa"/>
          </w:tcPr>
          <w:p w14:paraId="72F44E6A" w14:textId="77777777" w:rsidR="002A7D49" w:rsidRDefault="002A7D49" w:rsidP="002A7D49">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Time Burden (Hr</w:t>
            </w:r>
            <w:r>
              <w:rPr>
                <w:rFonts w:ascii="Times New Roman" w:hAnsi="Times New Roman" w:cs="Times New Roman"/>
                <w:sz w:val="24"/>
                <w:szCs w:val="24"/>
              </w:rPr>
              <w:t>.</w:t>
            </w:r>
            <w:r w:rsidRPr="00F210B7">
              <w:rPr>
                <w:rFonts w:ascii="Times New Roman" w:hAnsi="Times New Roman" w:cs="Times New Roman"/>
                <w:sz w:val="24"/>
                <w:szCs w:val="24"/>
              </w:rPr>
              <w:t>)</w:t>
            </w:r>
          </w:p>
        </w:tc>
        <w:tc>
          <w:tcPr>
            <w:tcW w:w="1779" w:type="dxa"/>
            <w:vAlign w:val="center"/>
          </w:tcPr>
          <w:p w14:paraId="21713F9B" w14:textId="77777777" w:rsidR="002A7D49" w:rsidRPr="00F210B7" w:rsidRDefault="00F726B9"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2,656,034</w:t>
            </w:r>
          </w:p>
        </w:tc>
        <w:tc>
          <w:tcPr>
            <w:tcW w:w="1959" w:type="dxa"/>
            <w:vAlign w:val="center"/>
          </w:tcPr>
          <w:p w14:paraId="10A1E3F8" w14:textId="77777777" w:rsidR="002A7D49" w:rsidRPr="00F210B7" w:rsidRDefault="00F726B9" w:rsidP="002A7D49">
            <w:pPr>
              <w:spacing w:after="0" w:line="240" w:lineRule="auto"/>
              <w:jc w:val="right"/>
              <w:rPr>
                <w:rFonts w:ascii="Times New Roman" w:hAnsi="Times New Roman" w:cs="Times New Roman"/>
                <w:sz w:val="24"/>
                <w:szCs w:val="24"/>
              </w:rPr>
            </w:pPr>
            <w:r w:rsidRPr="00F726B9">
              <w:rPr>
                <w:rFonts w:ascii="Times New Roman" w:hAnsi="Times New Roman" w:cs="Times New Roman"/>
                <w:sz w:val="24"/>
                <w:szCs w:val="24"/>
              </w:rPr>
              <w:t>2,655,962</w:t>
            </w:r>
          </w:p>
        </w:tc>
        <w:tc>
          <w:tcPr>
            <w:tcW w:w="1683" w:type="dxa"/>
            <w:vAlign w:val="center"/>
          </w:tcPr>
          <w:p w14:paraId="2DB35F96" w14:textId="77777777" w:rsidR="002A7D49" w:rsidRPr="00F210B7" w:rsidRDefault="002A7D49"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5566C3B3" w14:textId="77777777" w:rsidR="002A7D49" w:rsidRDefault="0031776E"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+72</w:t>
            </w:r>
          </w:p>
        </w:tc>
      </w:tr>
      <w:tr w:rsidR="002A7D49" w:rsidRPr="00F210B7" w14:paraId="7B916249" w14:textId="77777777" w:rsidTr="00A80014">
        <w:trPr>
          <w:trHeight w:val="295"/>
        </w:trPr>
        <w:tc>
          <w:tcPr>
            <w:tcW w:w="2589" w:type="dxa"/>
          </w:tcPr>
          <w:p w14:paraId="45E80042" w14:textId="77777777" w:rsidR="002A7D49" w:rsidRDefault="002A7D49" w:rsidP="002A7D49">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Annual Cost Burden ($)</w:t>
            </w:r>
          </w:p>
        </w:tc>
        <w:tc>
          <w:tcPr>
            <w:tcW w:w="1779" w:type="dxa"/>
            <w:vAlign w:val="center"/>
          </w:tcPr>
          <w:p w14:paraId="705EC322" w14:textId="77777777" w:rsidR="002A7D49" w:rsidRPr="00F210B7" w:rsidRDefault="00ED1FD0"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A00FA" w:rsidRPr="00DA00FA">
              <w:rPr>
                <w:rFonts w:ascii="Times New Roman" w:hAnsi="Times New Roman" w:cs="Times New Roman"/>
                <w:sz w:val="24"/>
                <w:szCs w:val="24"/>
              </w:rPr>
              <w:t>78,242,971</w:t>
            </w:r>
          </w:p>
        </w:tc>
        <w:tc>
          <w:tcPr>
            <w:tcW w:w="1959" w:type="dxa"/>
            <w:vAlign w:val="center"/>
          </w:tcPr>
          <w:p w14:paraId="7E70E369" w14:textId="77777777" w:rsidR="002A7D49" w:rsidRPr="00F210B7" w:rsidRDefault="00ED1FD0" w:rsidP="002A7D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A00FA" w:rsidRPr="00DA00FA">
              <w:rPr>
                <w:rFonts w:ascii="Times New Roman" w:hAnsi="Times New Roman" w:cs="Times New Roman"/>
                <w:sz w:val="24"/>
                <w:szCs w:val="24"/>
              </w:rPr>
              <w:t>78,242,971</w:t>
            </w:r>
          </w:p>
        </w:tc>
        <w:tc>
          <w:tcPr>
            <w:tcW w:w="1683" w:type="dxa"/>
            <w:vAlign w:val="center"/>
          </w:tcPr>
          <w:p w14:paraId="4BD14148" w14:textId="77777777" w:rsidR="002A7D49" w:rsidRPr="00F210B7" w:rsidRDefault="002A7D49" w:rsidP="002A7D49">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c>
          <w:tcPr>
            <w:tcW w:w="1357" w:type="dxa"/>
            <w:vAlign w:val="center"/>
          </w:tcPr>
          <w:p w14:paraId="35C25706" w14:textId="77777777" w:rsidR="002A7D49" w:rsidRDefault="002A7D49" w:rsidP="002A7D49">
            <w:pPr>
              <w:spacing w:after="0" w:line="240" w:lineRule="auto"/>
              <w:jc w:val="right"/>
              <w:rPr>
                <w:rFonts w:ascii="Times New Roman" w:hAnsi="Times New Roman" w:cs="Times New Roman"/>
                <w:sz w:val="24"/>
                <w:szCs w:val="24"/>
              </w:rPr>
            </w:pPr>
            <w:r w:rsidRPr="00F210B7">
              <w:rPr>
                <w:rFonts w:ascii="Times New Roman" w:hAnsi="Times New Roman" w:cs="Times New Roman"/>
                <w:sz w:val="24"/>
                <w:szCs w:val="24"/>
              </w:rPr>
              <w:t>0</w:t>
            </w:r>
          </w:p>
        </w:tc>
      </w:tr>
    </w:tbl>
    <w:p w14:paraId="137473F2" w14:textId="77777777" w:rsidR="003316E0" w:rsidRPr="00F210B7" w:rsidRDefault="003316E0" w:rsidP="00F210B7">
      <w:pPr>
        <w:spacing w:after="0" w:line="240" w:lineRule="auto"/>
        <w:rPr>
          <w:rFonts w:ascii="Times New Roman" w:hAnsi="Times New Roman" w:cs="Times New Roman"/>
          <w:sz w:val="24"/>
          <w:szCs w:val="24"/>
        </w:rPr>
      </w:pPr>
    </w:p>
    <w:p w14:paraId="7590D444" w14:textId="77777777" w:rsidR="00A276F5" w:rsidRPr="00F210B7" w:rsidRDefault="00414F32"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TIME SCHEDULE FOR PUBLICATION OF DATA</w:t>
      </w:r>
    </w:p>
    <w:p w14:paraId="502C2E3C" w14:textId="77777777" w:rsidR="00414F32" w:rsidRPr="00F210B7" w:rsidRDefault="00414F32" w:rsidP="00F210B7">
      <w:pPr>
        <w:spacing w:after="0" w:line="240" w:lineRule="auto"/>
        <w:rPr>
          <w:rFonts w:ascii="Times New Roman" w:hAnsi="Times New Roman" w:cs="Times New Roman"/>
          <w:sz w:val="24"/>
          <w:szCs w:val="24"/>
        </w:rPr>
      </w:pPr>
    </w:p>
    <w:p w14:paraId="49F6A59D" w14:textId="77777777" w:rsidR="00414F32" w:rsidRDefault="003515F8"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 xml:space="preserve">Unless confidential treatment is sought, the FERC-516 </w:t>
      </w:r>
      <w:r w:rsidR="001B1141">
        <w:rPr>
          <w:rFonts w:ascii="Times New Roman" w:hAnsi="Times New Roman" w:cs="Times New Roman"/>
          <w:sz w:val="24"/>
          <w:szCs w:val="24"/>
        </w:rPr>
        <w:t>and FERC-519 are publicly available.  FERC-555 covers records retention and is not submitted to FERC.</w:t>
      </w:r>
    </w:p>
    <w:p w14:paraId="163C4E81" w14:textId="77777777" w:rsidR="001B1141" w:rsidRPr="00F210B7" w:rsidRDefault="001B1141" w:rsidP="00F210B7">
      <w:pPr>
        <w:spacing w:after="0" w:line="240" w:lineRule="auto"/>
        <w:rPr>
          <w:rFonts w:ascii="Times New Roman" w:hAnsi="Times New Roman" w:cs="Times New Roman"/>
          <w:sz w:val="24"/>
          <w:szCs w:val="24"/>
        </w:rPr>
      </w:pPr>
    </w:p>
    <w:p w14:paraId="229C75DE" w14:textId="77777777" w:rsidR="00414F32" w:rsidRPr="00F210B7" w:rsidRDefault="00414F32"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DISPLAY OF EXPIRATION DATE</w:t>
      </w:r>
    </w:p>
    <w:p w14:paraId="676298AB" w14:textId="77777777" w:rsidR="00F50384" w:rsidRPr="00F210B7" w:rsidRDefault="00F50384" w:rsidP="00F210B7">
      <w:pPr>
        <w:spacing w:after="0" w:line="240" w:lineRule="auto"/>
        <w:rPr>
          <w:rFonts w:ascii="Times New Roman" w:hAnsi="Times New Roman" w:cs="Times New Roman"/>
          <w:sz w:val="24"/>
          <w:szCs w:val="24"/>
        </w:rPr>
      </w:pPr>
    </w:p>
    <w:p w14:paraId="4C87BBDA" w14:textId="77777777" w:rsidR="00F50384" w:rsidRPr="00F210B7" w:rsidRDefault="00F50384"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The clearance information and expiration date</w:t>
      </w:r>
      <w:r w:rsidR="001D5974" w:rsidRPr="00F210B7">
        <w:rPr>
          <w:rFonts w:ascii="Times New Roman" w:hAnsi="Times New Roman" w:cs="Times New Roman"/>
          <w:sz w:val="24"/>
          <w:szCs w:val="24"/>
        </w:rPr>
        <w:t>s</w:t>
      </w:r>
      <w:r w:rsidRPr="00F210B7">
        <w:rPr>
          <w:rFonts w:ascii="Times New Roman" w:hAnsi="Times New Roman" w:cs="Times New Roman"/>
          <w:sz w:val="24"/>
          <w:szCs w:val="24"/>
        </w:rPr>
        <w:t xml:space="preserve"> are available at </w:t>
      </w:r>
      <w:hyperlink r:id="rId12" w:history="1">
        <w:r w:rsidRPr="00F210B7">
          <w:rPr>
            <w:rStyle w:val="Hyperlink"/>
            <w:rFonts w:ascii="Times New Roman" w:hAnsi="Times New Roman" w:cs="Times New Roman"/>
            <w:sz w:val="24"/>
            <w:szCs w:val="24"/>
          </w:rPr>
          <w:t>http://www.ferc.gov/docs-filing/info-collections.asp</w:t>
        </w:r>
      </w:hyperlink>
      <w:r w:rsidRPr="00F210B7">
        <w:rPr>
          <w:rFonts w:ascii="Times New Roman" w:hAnsi="Times New Roman" w:cs="Times New Roman"/>
          <w:sz w:val="24"/>
          <w:szCs w:val="24"/>
        </w:rPr>
        <w:t xml:space="preserve">. </w:t>
      </w:r>
    </w:p>
    <w:p w14:paraId="0E3E6AF9" w14:textId="77777777" w:rsidR="00197A36" w:rsidRPr="00F210B7" w:rsidRDefault="00197A36" w:rsidP="00F210B7">
      <w:pPr>
        <w:spacing w:after="0" w:line="240" w:lineRule="auto"/>
        <w:rPr>
          <w:rFonts w:ascii="Times New Roman" w:hAnsi="Times New Roman" w:cs="Times New Roman"/>
          <w:sz w:val="24"/>
          <w:szCs w:val="24"/>
        </w:rPr>
      </w:pPr>
    </w:p>
    <w:p w14:paraId="0B9A7E98" w14:textId="77777777" w:rsidR="00414F32" w:rsidRPr="00F210B7" w:rsidRDefault="00414F32" w:rsidP="00F210B7">
      <w:pPr>
        <w:pStyle w:val="ListParagraph"/>
        <w:numPr>
          <w:ilvl w:val="0"/>
          <w:numId w:val="1"/>
        </w:numPr>
        <w:spacing w:after="0" w:line="240" w:lineRule="auto"/>
        <w:ind w:left="360"/>
        <w:rPr>
          <w:rFonts w:ascii="Times New Roman" w:hAnsi="Times New Roman" w:cs="Times New Roman"/>
          <w:b/>
          <w:sz w:val="24"/>
          <w:szCs w:val="24"/>
        </w:rPr>
      </w:pPr>
      <w:r w:rsidRPr="00F210B7">
        <w:rPr>
          <w:rFonts w:ascii="Times New Roman" w:hAnsi="Times New Roman" w:cs="Times New Roman"/>
          <w:b/>
          <w:sz w:val="24"/>
          <w:szCs w:val="24"/>
        </w:rPr>
        <w:t>EXCEPTIONS TO THE CERTIFICATION STATEMENT</w:t>
      </w:r>
    </w:p>
    <w:p w14:paraId="40F7402C" w14:textId="77777777" w:rsidR="000E34F4" w:rsidRPr="00F210B7" w:rsidRDefault="000E34F4" w:rsidP="00F210B7">
      <w:pPr>
        <w:spacing w:after="0" w:line="240" w:lineRule="auto"/>
        <w:rPr>
          <w:rFonts w:ascii="Times New Roman" w:hAnsi="Times New Roman" w:cs="Times New Roman"/>
          <w:b/>
          <w:sz w:val="24"/>
          <w:szCs w:val="24"/>
        </w:rPr>
      </w:pPr>
    </w:p>
    <w:p w14:paraId="68659F3D" w14:textId="77777777" w:rsidR="00414F32" w:rsidRPr="00F210B7" w:rsidRDefault="00F8681E" w:rsidP="00F210B7">
      <w:pPr>
        <w:spacing w:after="0" w:line="240" w:lineRule="auto"/>
        <w:rPr>
          <w:rFonts w:ascii="Times New Roman" w:hAnsi="Times New Roman" w:cs="Times New Roman"/>
          <w:sz w:val="24"/>
          <w:szCs w:val="24"/>
        </w:rPr>
      </w:pPr>
      <w:r w:rsidRPr="00F210B7">
        <w:rPr>
          <w:rFonts w:ascii="Times New Roman" w:hAnsi="Times New Roman" w:cs="Times New Roman"/>
          <w:sz w:val="24"/>
          <w:szCs w:val="24"/>
        </w:rPr>
        <w:t>There are no exceptions.</w:t>
      </w:r>
      <w:r w:rsidR="005F7B6C">
        <w:rPr>
          <w:rFonts w:ascii="Times New Roman" w:hAnsi="Times New Roman" w:cs="Times New Roman"/>
          <w:sz w:val="24"/>
          <w:szCs w:val="24"/>
        </w:rPr>
        <w:t xml:space="preserve"> </w:t>
      </w:r>
    </w:p>
    <w:sectPr w:rsidR="00414F32" w:rsidRPr="00F210B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70053" w14:textId="77777777" w:rsidR="00043367" w:rsidRDefault="00043367" w:rsidP="00FD66F1">
      <w:pPr>
        <w:spacing w:after="0" w:line="240" w:lineRule="auto"/>
      </w:pPr>
      <w:r>
        <w:separator/>
      </w:r>
    </w:p>
  </w:endnote>
  <w:endnote w:type="continuationSeparator" w:id="0">
    <w:p w14:paraId="6B282FF0" w14:textId="77777777" w:rsidR="00043367" w:rsidRDefault="00043367"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noProof/>
      </w:rPr>
    </w:sdtEndPr>
    <w:sdtContent>
      <w:p w14:paraId="0522D0D4" w14:textId="77777777" w:rsidR="00F1498C" w:rsidRDefault="00F1498C">
        <w:pPr>
          <w:pStyle w:val="Footer"/>
          <w:jc w:val="right"/>
        </w:pPr>
        <w:r>
          <w:fldChar w:fldCharType="begin"/>
        </w:r>
        <w:r>
          <w:instrText xml:space="preserve"> PAGE   \* MERGEFORMAT </w:instrText>
        </w:r>
        <w:r>
          <w:fldChar w:fldCharType="separate"/>
        </w:r>
        <w:r w:rsidR="007A1190">
          <w:rPr>
            <w:noProof/>
          </w:rPr>
          <w:t>9</w:t>
        </w:r>
        <w:r>
          <w:rPr>
            <w:noProof/>
          </w:rPr>
          <w:fldChar w:fldCharType="end"/>
        </w:r>
      </w:p>
    </w:sdtContent>
  </w:sdt>
  <w:p w14:paraId="23B1FDA1" w14:textId="77777777" w:rsidR="00F1498C" w:rsidRDefault="00F14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C4B1" w14:textId="77777777" w:rsidR="00043367" w:rsidRDefault="00043367" w:rsidP="00FD66F1">
      <w:pPr>
        <w:spacing w:after="0" w:line="240" w:lineRule="auto"/>
      </w:pPr>
      <w:r>
        <w:separator/>
      </w:r>
    </w:p>
  </w:footnote>
  <w:footnote w:type="continuationSeparator" w:id="0">
    <w:p w14:paraId="0DF51089" w14:textId="77777777" w:rsidR="00043367" w:rsidRDefault="00043367" w:rsidP="00FD66F1">
      <w:pPr>
        <w:spacing w:after="0" w:line="240" w:lineRule="auto"/>
      </w:pPr>
      <w:r>
        <w:continuationSeparator/>
      </w:r>
    </w:p>
  </w:footnote>
  <w:footnote w:id="1">
    <w:p w14:paraId="28EA68A9" w14:textId="77777777" w:rsidR="00F1498C" w:rsidRDefault="00F1498C">
      <w:pPr>
        <w:pStyle w:val="FootnoteText"/>
        <w:rPr>
          <w:sz w:val="24"/>
          <w:szCs w:val="24"/>
        </w:rPr>
      </w:pPr>
      <w:r w:rsidRPr="00235B37">
        <w:rPr>
          <w:rStyle w:val="FootnoteReference"/>
          <w:sz w:val="24"/>
          <w:szCs w:val="24"/>
        </w:rPr>
        <w:footnoteRef/>
      </w:r>
      <w:r w:rsidRPr="00235B37">
        <w:rPr>
          <w:sz w:val="24"/>
          <w:szCs w:val="24"/>
        </w:rPr>
        <w:t xml:space="preserve">The Proposed Policy Statement Hold Harmless Commitments (issued 1/22/2015) is available at </w:t>
      </w:r>
      <w:hyperlink r:id="rId1" w:history="1">
        <w:r w:rsidRPr="00235B37">
          <w:rPr>
            <w:rStyle w:val="Hyperlink"/>
            <w:sz w:val="24"/>
            <w:szCs w:val="24"/>
          </w:rPr>
          <w:t>http://elibrary.ferc.gov/idmws/common/opennat.asp?fileID=13747468</w:t>
        </w:r>
      </w:hyperlink>
      <w:r>
        <w:rPr>
          <w:sz w:val="24"/>
          <w:szCs w:val="24"/>
        </w:rPr>
        <w:t xml:space="preserve"> and at 80 FR 4231 (1/27/2015).  T</w:t>
      </w:r>
      <w:r w:rsidRPr="00235B37">
        <w:rPr>
          <w:sz w:val="24"/>
          <w:szCs w:val="24"/>
        </w:rPr>
        <w:t xml:space="preserve">he related News Release is posted </w:t>
      </w:r>
      <w:r>
        <w:rPr>
          <w:sz w:val="24"/>
          <w:szCs w:val="24"/>
        </w:rPr>
        <w:t xml:space="preserve">in FERC’s eLibrary </w:t>
      </w:r>
      <w:r w:rsidRPr="00235B37">
        <w:rPr>
          <w:sz w:val="24"/>
          <w:szCs w:val="24"/>
        </w:rPr>
        <w:t xml:space="preserve">at </w:t>
      </w:r>
      <w:hyperlink r:id="rId2" w:history="1">
        <w:r w:rsidR="008848EF" w:rsidRPr="003074D0">
          <w:rPr>
            <w:rStyle w:val="Hyperlink"/>
            <w:sz w:val="24"/>
            <w:szCs w:val="24"/>
          </w:rPr>
          <w:t>http://elibrary.ferc.gov/idmws/common/opennat.asp?fileID=13747711</w:t>
        </w:r>
      </w:hyperlink>
      <w:r w:rsidRPr="00235B37">
        <w:rPr>
          <w:sz w:val="24"/>
          <w:szCs w:val="24"/>
        </w:rPr>
        <w:t>.</w:t>
      </w:r>
    </w:p>
    <w:p w14:paraId="43BDF310" w14:textId="77777777" w:rsidR="008848EF" w:rsidRPr="00235B37" w:rsidRDefault="008848EF">
      <w:pPr>
        <w:pStyle w:val="FootnoteText"/>
        <w:rPr>
          <w:sz w:val="24"/>
          <w:szCs w:val="24"/>
        </w:rPr>
      </w:pPr>
      <w:r>
        <w:rPr>
          <w:sz w:val="24"/>
          <w:szCs w:val="24"/>
        </w:rPr>
        <w:t xml:space="preserve">The Policy Statement (issued 5/19/2016) is posted at </w:t>
      </w:r>
      <w:r w:rsidRPr="008848EF">
        <w:rPr>
          <w:sz w:val="24"/>
          <w:szCs w:val="24"/>
        </w:rPr>
        <w:t>http://elibrary.ferc.gov/idmws/common/opennat.asp?fileID=14251967</w:t>
      </w:r>
      <w:r>
        <w:rPr>
          <w:sz w:val="24"/>
          <w:szCs w:val="24"/>
        </w:rPr>
        <w:t>.</w:t>
      </w:r>
    </w:p>
  </w:footnote>
  <w:footnote w:id="2">
    <w:p w14:paraId="69227438" w14:textId="77777777" w:rsidR="00F1498C" w:rsidRPr="00137CA8" w:rsidRDefault="00F1498C">
      <w:pPr>
        <w:pStyle w:val="FootnoteText"/>
        <w:rPr>
          <w:sz w:val="24"/>
          <w:szCs w:val="24"/>
        </w:rPr>
      </w:pPr>
      <w:r w:rsidRPr="00137CA8">
        <w:rPr>
          <w:rStyle w:val="FootnoteReference"/>
          <w:sz w:val="24"/>
          <w:szCs w:val="24"/>
        </w:rPr>
        <w:footnoteRef/>
      </w:r>
      <w:r w:rsidRPr="00137CA8">
        <w:rPr>
          <w:sz w:val="24"/>
          <w:szCs w:val="24"/>
        </w:rPr>
        <w:t xml:space="preserve"> 16 U.S.C. 824d(a)</w:t>
      </w:r>
    </w:p>
  </w:footnote>
  <w:footnote w:id="3">
    <w:p w14:paraId="69D16627" w14:textId="77777777" w:rsidR="003650E5" w:rsidRPr="004E3683" w:rsidRDefault="003650E5" w:rsidP="003650E5">
      <w:pPr>
        <w:pStyle w:val="FootnoteText"/>
        <w:rPr>
          <w:sz w:val="24"/>
          <w:szCs w:val="24"/>
        </w:rPr>
      </w:pPr>
      <w:r w:rsidRPr="004E3683">
        <w:rPr>
          <w:rStyle w:val="FootnoteReference"/>
          <w:sz w:val="24"/>
          <w:szCs w:val="24"/>
        </w:rPr>
        <w:footnoteRef/>
      </w:r>
      <w:r w:rsidRPr="004E3683">
        <w:rPr>
          <w:sz w:val="24"/>
          <w:szCs w:val="24"/>
        </w:rPr>
        <w:t xml:space="preserve"> </w:t>
      </w:r>
      <w:r w:rsidRPr="004E3683">
        <w:rPr>
          <w:i/>
          <w:sz w:val="24"/>
          <w:szCs w:val="24"/>
        </w:rPr>
        <w:t xml:space="preserve">See </w:t>
      </w:r>
      <w:r w:rsidRPr="004E3683">
        <w:rPr>
          <w:sz w:val="24"/>
          <w:szCs w:val="24"/>
        </w:rPr>
        <w:t>EPSA Comments at 4-6 (“Such a commitment is tantamount to asking a couple who are only on a second date to pick out their wedding china.”); EEI Comments at 14.</w:t>
      </w:r>
    </w:p>
  </w:footnote>
  <w:footnote w:id="4">
    <w:p w14:paraId="2148CFE5" w14:textId="77777777" w:rsidR="003650E5" w:rsidRPr="004E3683" w:rsidRDefault="003650E5" w:rsidP="003650E5">
      <w:pPr>
        <w:pStyle w:val="FootnoteText"/>
        <w:rPr>
          <w:sz w:val="24"/>
          <w:szCs w:val="24"/>
        </w:rPr>
      </w:pPr>
      <w:r w:rsidRPr="004E3683">
        <w:rPr>
          <w:rStyle w:val="FootnoteReference"/>
          <w:sz w:val="24"/>
          <w:szCs w:val="24"/>
        </w:rPr>
        <w:footnoteRef/>
      </w:r>
      <w:r w:rsidRPr="004E3683">
        <w:rPr>
          <w:sz w:val="24"/>
          <w:szCs w:val="24"/>
        </w:rPr>
        <w:t xml:space="preserve"> EEI Comments at 14.</w:t>
      </w:r>
    </w:p>
  </w:footnote>
  <w:footnote w:id="5">
    <w:p w14:paraId="015C42FC" w14:textId="77777777" w:rsidR="003650E5" w:rsidRDefault="003650E5" w:rsidP="003650E5">
      <w:pPr>
        <w:pStyle w:val="FootnoteText"/>
      </w:pPr>
      <w:r w:rsidRPr="004E3683">
        <w:rPr>
          <w:rStyle w:val="FootnoteReference"/>
          <w:sz w:val="24"/>
          <w:szCs w:val="24"/>
        </w:rPr>
        <w:footnoteRef/>
      </w:r>
      <w:r w:rsidRPr="004E3683">
        <w:rPr>
          <w:sz w:val="24"/>
          <w:szCs w:val="24"/>
        </w:rPr>
        <w:t xml:space="preserve"> EEI Comments at 15.</w:t>
      </w:r>
    </w:p>
  </w:footnote>
  <w:footnote w:id="6">
    <w:p w14:paraId="4B827944" w14:textId="77777777" w:rsidR="00F1498C" w:rsidRPr="004E3683" w:rsidRDefault="00F1498C" w:rsidP="00EE558F">
      <w:pPr>
        <w:pStyle w:val="FootnoteText"/>
        <w:rPr>
          <w:sz w:val="24"/>
          <w:szCs w:val="24"/>
        </w:rPr>
      </w:pPr>
      <w:r w:rsidRPr="004E3683">
        <w:rPr>
          <w:rStyle w:val="FootnoteReference"/>
          <w:sz w:val="24"/>
          <w:szCs w:val="24"/>
        </w:rPr>
        <w:footnoteRef/>
      </w:r>
      <w:r w:rsidRPr="004E3683">
        <w:rPr>
          <w:sz w:val="24"/>
          <w:szCs w:val="24"/>
        </w:rPr>
        <w:t xml:space="preserve"> The hourly cost figures are based on data for salary plus benefits.  The Commission staff thinks that industry is similarly situated to FERC in terms of the average cost of a full time employee.  Therefore, we are using the 2015 FERC hourly average for salary plus benefits of $72 per hour.</w:t>
      </w:r>
    </w:p>
  </w:footnote>
  <w:footnote w:id="7">
    <w:p w14:paraId="6772F6A0" w14:textId="77777777" w:rsidR="00C51264" w:rsidRDefault="00C51264">
      <w:pPr>
        <w:pStyle w:val="FootnoteText"/>
      </w:pPr>
      <w:r w:rsidRPr="004E3683">
        <w:rPr>
          <w:rStyle w:val="FootnoteReference"/>
          <w:sz w:val="24"/>
          <w:szCs w:val="24"/>
        </w:rPr>
        <w:footnoteRef/>
      </w:r>
      <w:r w:rsidRPr="004E3683">
        <w:rPr>
          <w:sz w:val="24"/>
          <w:szCs w:val="24"/>
        </w:rPr>
        <w:t xml:space="preserve"> Commission staff estimates that, due to the Policy Statement, 18 of the FPA Section 203 filings will take 20 additional burden hours.  The estimated number of filings is not changing.</w:t>
      </w:r>
    </w:p>
  </w:footnote>
  <w:footnote w:id="8">
    <w:p w14:paraId="406C4406" w14:textId="77777777" w:rsidR="00F1498C" w:rsidRPr="00A5667D" w:rsidRDefault="00F1498C" w:rsidP="00EE558F">
      <w:pPr>
        <w:pStyle w:val="FootnoteText"/>
        <w:rPr>
          <w:sz w:val="24"/>
          <w:szCs w:val="24"/>
        </w:rPr>
      </w:pPr>
      <w:r w:rsidRPr="00A5667D">
        <w:rPr>
          <w:rStyle w:val="FootnoteReference"/>
          <w:sz w:val="24"/>
          <w:szCs w:val="24"/>
        </w:rPr>
        <w:footnoteRef/>
      </w:r>
      <w:r w:rsidRPr="00A5667D">
        <w:rPr>
          <w:sz w:val="24"/>
          <w:szCs w:val="24"/>
        </w:rPr>
        <w:t xml:space="preserve"> Commission staff estimates that one </w:t>
      </w:r>
      <w:r w:rsidR="00C51264">
        <w:rPr>
          <w:sz w:val="24"/>
          <w:szCs w:val="24"/>
        </w:rPr>
        <w:t xml:space="preserve">additional </w:t>
      </w:r>
      <w:r w:rsidRPr="00A5667D">
        <w:rPr>
          <w:sz w:val="24"/>
          <w:szCs w:val="24"/>
        </w:rPr>
        <w:t>FPA section 205 filing may be made annually subject to the Policy Statement.</w:t>
      </w:r>
    </w:p>
  </w:footnote>
  <w:footnote w:id="9">
    <w:p w14:paraId="147A633D" w14:textId="77777777" w:rsidR="00BC3BFB" w:rsidRPr="004E3683" w:rsidRDefault="00BC3BFB">
      <w:pPr>
        <w:pStyle w:val="FootnoteText"/>
        <w:rPr>
          <w:sz w:val="24"/>
          <w:szCs w:val="24"/>
        </w:rPr>
      </w:pPr>
      <w:r w:rsidRPr="004E3683">
        <w:rPr>
          <w:rStyle w:val="FootnoteReference"/>
          <w:sz w:val="24"/>
          <w:szCs w:val="24"/>
        </w:rPr>
        <w:footnoteRef/>
      </w:r>
      <w:r w:rsidRPr="004E3683">
        <w:rPr>
          <w:sz w:val="24"/>
          <w:szCs w:val="24"/>
        </w:rPr>
        <w:t xml:space="preserve"> This represents </w:t>
      </w:r>
      <w:r>
        <w:rPr>
          <w:sz w:val="24"/>
          <w:szCs w:val="24"/>
        </w:rPr>
        <w:t xml:space="preserve">4 </w:t>
      </w:r>
      <w:r w:rsidRPr="004E3683">
        <w:rPr>
          <w:sz w:val="24"/>
          <w:szCs w:val="24"/>
        </w:rPr>
        <w:t>additional hours for 18 respondents; the number of respondents and responses are not changing.</w:t>
      </w:r>
    </w:p>
  </w:footnote>
  <w:footnote w:id="10">
    <w:p w14:paraId="363DD275" w14:textId="77777777" w:rsidR="00F1498C" w:rsidRDefault="00F1498C">
      <w:pPr>
        <w:pStyle w:val="FootnoteText"/>
      </w:pPr>
      <w:r w:rsidRPr="00B67D77">
        <w:rPr>
          <w:rStyle w:val="FootnoteReference"/>
          <w:sz w:val="24"/>
          <w:szCs w:val="24"/>
        </w:rPr>
        <w:footnoteRef/>
      </w:r>
      <w:r>
        <w:t xml:space="preserve"> </w:t>
      </w:r>
      <w:r w:rsidRPr="00E837B2">
        <w:rPr>
          <w:sz w:val="24"/>
          <w:szCs w:val="24"/>
        </w:rPr>
        <w:t xml:space="preserve">The federal cost of </w:t>
      </w:r>
      <w:r>
        <w:rPr>
          <w:sz w:val="24"/>
          <w:szCs w:val="24"/>
        </w:rPr>
        <w:t>‘</w:t>
      </w:r>
      <w:r w:rsidRPr="00E837B2">
        <w:rPr>
          <w:sz w:val="24"/>
          <w:szCs w:val="24"/>
        </w:rPr>
        <w:t>analysis and processing of filings</w:t>
      </w:r>
      <w:r>
        <w:rPr>
          <w:sz w:val="24"/>
          <w:szCs w:val="24"/>
        </w:rPr>
        <w:t>’</w:t>
      </w:r>
      <w:r w:rsidRPr="00E837B2">
        <w:rPr>
          <w:sz w:val="24"/>
          <w:szCs w:val="24"/>
        </w:rPr>
        <w:t xml:space="preserve"> </w:t>
      </w:r>
      <w:r w:rsidR="00615DD1">
        <w:rPr>
          <w:sz w:val="24"/>
          <w:szCs w:val="24"/>
        </w:rPr>
        <w:t xml:space="preserve">and ‘analysis and review of records’ </w:t>
      </w:r>
      <w:r w:rsidRPr="00E837B2">
        <w:rPr>
          <w:sz w:val="24"/>
          <w:szCs w:val="24"/>
        </w:rPr>
        <w:t>is based upon FERC’s 2015 FTE (full time equivalent) average salary plus benefits of $149,489 (or $72 per hour).</w:t>
      </w:r>
    </w:p>
  </w:footnote>
  <w:footnote w:id="11">
    <w:p w14:paraId="7CBFAE4A" w14:textId="77777777" w:rsidR="00B272F3" w:rsidRPr="00235B37" w:rsidRDefault="00B272F3" w:rsidP="00B272F3">
      <w:pPr>
        <w:pStyle w:val="FootnoteText"/>
        <w:rPr>
          <w:sz w:val="24"/>
          <w:szCs w:val="24"/>
          <w:highlight w:val="green"/>
        </w:rPr>
      </w:pPr>
      <w:r w:rsidRPr="00614AEF">
        <w:rPr>
          <w:rStyle w:val="FootnoteReference"/>
          <w:sz w:val="24"/>
          <w:szCs w:val="24"/>
        </w:rPr>
        <w:footnoteRef/>
      </w:r>
      <w:r w:rsidRPr="00614AEF">
        <w:rPr>
          <w:sz w:val="24"/>
          <w:szCs w:val="24"/>
        </w:rPr>
        <w:t xml:space="preserve"> As discussed under Question</w:t>
      </w:r>
      <w:r w:rsidR="00D71B6F">
        <w:rPr>
          <w:sz w:val="24"/>
          <w:szCs w:val="24"/>
        </w:rPr>
        <w:t>s 12 and</w:t>
      </w:r>
      <w:r w:rsidRPr="00614AEF">
        <w:rPr>
          <w:sz w:val="24"/>
          <w:szCs w:val="24"/>
        </w:rPr>
        <w:t xml:space="preserve"> 15, our burden estimate assumes one </w:t>
      </w:r>
      <w:r w:rsidR="00D71B6F">
        <w:rPr>
          <w:sz w:val="24"/>
          <w:szCs w:val="24"/>
        </w:rPr>
        <w:t xml:space="preserve">additional </w:t>
      </w:r>
      <w:r w:rsidRPr="00614AEF">
        <w:rPr>
          <w:sz w:val="24"/>
          <w:szCs w:val="24"/>
        </w:rPr>
        <w:t>filing per year pursuant to the guidance in the Policy Statement</w:t>
      </w:r>
      <w:r w:rsidR="003626C1" w:rsidRPr="00614AEF">
        <w:rPr>
          <w:sz w:val="24"/>
          <w:szCs w:val="24"/>
        </w:rPr>
        <w:t>, which would take Commission staff 120 collective hours to analyze and process.</w:t>
      </w:r>
    </w:p>
  </w:footnote>
  <w:footnote w:id="12">
    <w:p w14:paraId="608E3A47" w14:textId="77777777" w:rsidR="00F1498C" w:rsidRPr="00E83044" w:rsidRDefault="00F1498C" w:rsidP="001B3E94">
      <w:pPr>
        <w:pStyle w:val="FootnoteText"/>
        <w:rPr>
          <w:sz w:val="22"/>
          <w:szCs w:val="22"/>
        </w:rPr>
      </w:pPr>
      <w:r w:rsidRPr="00B67D77">
        <w:rPr>
          <w:rStyle w:val="FootnoteReference"/>
          <w:sz w:val="24"/>
          <w:szCs w:val="24"/>
        </w:rPr>
        <w:footnoteRef/>
      </w:r>
      <w:r w:rsidRPr="00B67D77">
        <w:rPr>
          <w:sz w:val="24"/>
          <w:szCs w:val="24"/>
        </w:rP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Policy Statement), and other changes to the collection.</w:t>
      </w:r>
      <w:r w:rsidRPr="00225490">
        <w:rPr>
          <w:sz w:val="24"/>
          <w:szCs w:val="24"/>
        </w:rPr>
        <w:t> </w:t>
      </w:r>
    </w:p>
  </w:footnote>
  <w:footnote w:id="13">
    <w:p w14:paraId="4B5E9720" w14:textId="77777777" w:rsidR="003626C1" w:rsidRPr="004E3683" w:rsidRDefault="003626C1">
      <w:pPr>
        <w:pStyle w:val="FootnoteText"/>
        <w:rPr>
          <w:sz w:val="24"/>
          <w:szCs w:val="24"/>
        </w:rPr>
      </w:pPr>
      <w:r w:rsidRPr="004E3683">
        <w:rPr>
          <w:rStyle w:val="FootnoteReference"/>
          <w:sz w:val="24"/>
          <w:szCs w:val="24"/>
        </w:rPr>
        <w:footnoteRef/>
      </w:r>
      <w:r w:rsidRPr="004E3683">
        <w:rPr>
          <w:sz w:val="24"/>
          <w:szCs w:val="24"/>
        </w:rPr>
        <w:t xml:space="preserve"> Commission staff anticipates no increase in </w:t>
      </w:r>
      <w:r w:rsidR="0035064C" w:rsidRPr="004E3683">
        <w:rPr>
          <w:sz w:val="24"/>
          <w:szCs w:val="24"/>
        </w:rPr>
        <w:t>FERC staff time</w:t>
      </w:r>
      <w:r w:rsidRPr="004E3683">
        <w:rPr>
          <w:sz w:val="24"/>
          <w:szCs w:val="24"/>
        </w:rPr>
        <w:t xml:space="preserve"> </w:t>
      </w:r>
      <w:r w:rsidR="00D71B6F">
        <w:rPr>
          <w:sz w:val="24"/>
          <w:szCs w:val="24"/>
        </w:rPr>
        <w:t>because</w:t>
      </w:r>
      <w:r w:rsidRPr="004E3683">
        <w:rPr>
          <w:sz w:val="24"/>
          <w:szCs w:val="24"/>
        </w:rPr>
        <w:t xml:space="preserve"> the Policy Statement clarifies an existing aspect of some applications.</w:t>
      </w:r>
      <w:r w:rsidR="0035064C" w:rsidRPr="00F94210">
        <w:rPr>
          <w:sz w:val="24"/>
          <w:szCs w:val="24"/>
        </w:rPr>
        <w:t xml:space="preserve">  The number of applications is not changing.</w:t>
      </w:r>
    </w:p>
  </w:footnote>
  <w:footnote w:id="14">
    <w:p w14:paraId="06D87E98" w14:textId="77777777" w:rsidR="00C801DD" w:rsidRPr="004E3683" w:rsidRDefault="00C801DD">
      <w:pPr>
        <w:pStyle w:val="FootnoteText"/>
        <w:rPr>
          <w:sz w:val="24"/>
          <w:szCs w:val="24"/>
        </w:rPr>
      </w:pPr>
      <w:r w:rsidRPr="004E3683">
        <w:rPr>
          <w:rStyle w:val="FootnoteReference"/>
          <w:sz w:val="24"/>
          <w:szCs w:val="24"/>
        </w:rPr>
        <w:footnoteRef/>
      </w:r>
      <w:r w:rsidRPr="004E3683">
        <w:rPr>
          <w:sz w:val="24"/>
          <w:szCs w:val="24"/>
        </w:rPr>
        <w:t xml:space="preserve"> There will be no additional cost to FERC audit staff as a result of PL15-3.</w:t>
      </w:r>
    </w:p>
  </w:footnote>
  <w:footnote w:id="15">
    <w:p w14:paraId="3A7D4A23" w14:textId="77777777" w:rsidR="0035064C" w:rsidRDefault="0035064C">
      <w:pPr>
        <w:pStyle w:val="FootnoteText"/>
      </w:pPr>
      <w:r w:rsidRPr="004E3683">
        <w:rPr>
          <w:rStyle w:val="FootnoteReference"/>
          <w:sz w:val="24"/>
          <w:szCs w:val="24"/>
        </w:rPr>
        <w:footnoteRef/>
      </w:r>
      <w:r w:rsidRPr="004E3683">
        <w:rPr>
          <w:sz w:val="24"/>
          <w:szCs w:val="24"/>
        </w:rPr>
        <w:t xml:space="preserve"> </w:t>
      </w:r>
      <w:r w:rsidR="00F94210" w:rsidRPr="004E3683">
        <w:rPr>
          <w:sz w:val="24"/>
          <w:szCs w:val="24"/>
        </w:rPr>
        <w:t xml:space="preserve">The estimates for FERC staff for analysis and review </w:t>
      </w:r>
      <w:r w:rsidR="003040C0" w:rsidRPr="004E3683">
        <w:rPr>
          <w:sz w:val="24"/>
          <w:szCs w:val="24"/>
        </w:rPr>
        <w:t xml:space="preserve">(audits) </w:t>
      </w:r>
      <w:r w:rsidR="00F94210" w:rsidRPr="004E3683">
        <w:rPr>
          <w:sz w:val="24"/>
          <w:szCs w:val="24"/>
        </w:rPr>
        <w:t xml:space="preserve">of </w:t>
      </w:r>
      <w:r w:rsidR="00E5525B" w:rsidRPr="004E3683">
        <w:rPr>
          <w:sz w:val="24"/>
          <w:szCs w:val="24"/>
        </w:rPr>
        <w:t xml:space="preserve">FERC-555 </w:t>
      </w:r>
      <w:r w:rsidR="00F94210" w:rsidRPr="004E3683">
        <w:rPr>
          <w:sz w:val="24"/>
          <w:szCs w:val="24"/>
        </w:rPr>
        <w:t xml:space="preserve">records were inadvertently omitted from ICR 201312-1902-003 (approved by OMB 5/27/2014).  As </w:t>
      </w:r>
      <w:r w:rsidR="00E5525B" w:rsidRPr="004E3683">
        <w:rPr>
          <w:sz w:val="24"/>
          <w:szCs w:val="24"/>
        </w:rPr>
        <w:t xml:space="preserve">of </w:t>
      </w:r>
      <w:r w:rsidR="00F94210" w:rsidRPr="004E3683">
        <w:rPr>
          <w:sz w:val="24"/>
          <w:szCs w:val="24"/>
        </w:rPr>
        <w:t xml:space="preserve">May 2016, </w:t>
      </w:r>
      <w:r w:rsidRPr="004E3683">
        <w:rPr>
          <w:sz w:val="24"/>
          <w:szCs w:val="24"/>
        </w:rPr>
        <w:t>Commission staff estimates that approximately 71</w:t>
      </w:r>
      <w:r w:rsidR="00AB7220">
        <w:rPr>
          <w:sz w:val="24"/>
          <w:szCs w:val="24"/>
        </w:rPr>
        <w:t>.98</w:t>
      </w:r>
      <w:r w:rsidRPr="004E3683">
        <w:rPr>
          <w:sz w:val="24"/>
          <w:szCs w:val="24"/>
        </w:rPr>
        <w:t xml:space="preserve"> FTEs work on financial audits</w:t>
      </w:r>
      <w:r w:rsidR="00F94210" w:rsidRPr="004E3683">
        <w:rPr>
          <w:sz w:val="24"/>
          <w:szCs w:val="24"/>
        </w:rPr>
        <w:t xml:space="preserve"> at a cost of $</w:t>
      </w:r>
      <w:r w:rsidR="00AB7220" w:rsidRPr="00AB7220">
        <w:rPr>
          <w:sz w:val="24"/>
          <w:szCs w:val="24"/>
        </w:rPr>
        <w:t>10,760,218</w:t>
      </w:r>
      <w:r w:rsidR="00AB7220" w:rsidRPr="00AB7220" w:rsidDel="00AB7220">
        <w:rPr>
          <w:sz w:val="24"/>
          <w:szCs w:val="24"/>
        </w:rPr>
        <w:t xml:space="preserve"> </w:t>
      </w:r>
      <w:r w:rsidR="00F94210" w:rsidRPr="004E3683">
        <w:rPr>
          <w:sz w:val="24"/>
          <w:szCs w:val="24"/>
        </w:rPr>
        <w:t>(</w:t>
      </w:r>
      <w:r w:rsidR="00560B96">
        <w:rPr>
          <w:sz w:val="24"/>
          <w:szCs w:val="24"/>
        </w:rPr>
        <w:t xml:space="preserve">using the 2015 figure of </w:t>
      </w:r>
      <w:r w:rsidR="00F94210" w:rsidRPr="004E3683">
        <w:rPr>
          <w:sz w:val="24"/>
          <w:szCs w:val="24"/>
        </w:rPr>
        <w:t xml:space="preserve">$149,489 per </w:t>
      </w:r>
      <w:r w:rsidR="00560B96">
        <w:rPr>
          <w:sz w:val="24"/>
          <w:szCs w:val="24"/>
        </w:rPr>
        <w:t xml:space="preserve">FERC </w:t>
      </w:r>
      <w:r w:rsidR="00F94210" w:rsidRPr="004E3683">
        <w:rPr>
          <w:sz w:val="24"/>
          <w:szCs w:val="24"/>
        </w:rPr>
        <w:t>FTE per year)</w:t>
      </w:r>
      <w:r w:rsidRPr="004E3683">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BCD49" w14:textId="77777777" w:rsidR="00F1498C" w:rsidRDefault="00F1498C" w:rsidP="00AD3DE5">
    <w:pPr>
      <w:pStyle w:val="Header"/>
      <w:rPr>
        <w:rFonts w:ascii="Times New Roman" w:hAnsi="Times New Roman" w:cs="Times New Roman"/>
        <w:sz w:val="24"/>
        <w:szCs w:val="24"/>
      </w:rPr>
    </w:pPr>
    <w:r w:rsidRPr="00C91306">
      <w:rPr>
        <w:rFonts w:ascii="Times New Roman" w:hAnsi="Times New Roman" w:cs="Times New Roman"/>
        <w:sz w:val="24"/>
        <w:szCs w:val="24"/>
      </w:rPr>
      <w:t xml:space="preserve">FERC-516, FERC-519, and FERC-555 (OMB Control Nos. 1902-0096, 1902-0082, and 1902-0098), as modified in the </w:t>
    </w:r>
    <w:r w:rsidRPr="00A154C4">
      <w:rPr>
        <w:rFonts w:ascii="Times New Roman" w:hAnsi="Times New Roman" w:cs="Times New Roman"/>
        <w:sz w:val="24"/>
        <w:szCs w:val="24"/>
      </w:rPr>
      <w:t>Policy Statement (</w:t>
    </w:r>
    <w:r w:rsidRPr="004E3683">
      <w:rPr>
        <w:rFonts w:ascii="Times New Roman" w:hAnsi="Times New Roman" w:cs="Times New Roman"/>
        <w:sz w:val="24"/>
        <w:szCs w:val="24"/>
      </w:rPr>
      <w:t xml:space="preserve">issued </w:t>
    </w:r>
    <w:r w:rsidR="00A154C4" w:rsidRPr="004E3683">
      <w:rPr>
        <w:rFonts w:ascii="Times New Roman" w:hAnsi="Times New Roman" w:cs="Times New Roman"/>
        <w:sz w:val="24"/>
        <w:szCs w:val="24"/>
      </w:rPr>
      <w:t>5/19/2016)</w:t>
    </w:r>
    <w:r w:rsidR="00A154C4" w:rsidRPr="00A154C4">
      <w:rPr>
        <w:rFonts w:ascii="Times New Roman" w:hAnsi="Times New Roman" w:cs="Times New Roman"/>
        <w:sz w:val="24"/>
        <w:szCs w:val="24"/>
      </w:rPr>
      <w:t xml:space="preserve"> </w:t>
    </w:r>
    <w:r w:rsidRPr="00A154C4">
      <w:rPr>
        <w:rFonts w:ascii="Times New Roman" w:hAnsi="Times New Roman" w:cs="Times New Roman"/>
        <w:sz w:val="24"/>
        <w:szCs w:val="24"/>
      </w:rPr>
      <w:t>in</w:t>
    </w:r>
    <w:r w:rsidRPr="00C91306">
      <w:rPr>
        <w:rFonts w:ascii="Times New Roman" w:hAnsi="Times New Roman" w:cs="Times New Roman"/>
        <w:sz w:val="24"/>
        <w:szCs w:val="24"/>
      </w:rPr>
      <w:t xml:space="preserve"> Docket No. PL15-3-000 </w:t>
    </w:r>
  </w:p>
  <w:p w14:paraId="22CF392C" w14:textId="072A0911" w:rsidR="00B0407D" w:rsidRPr="00C91306" w:rsidRDefault="00B0407D" w:rsidP="00AD3DE5">
    <w:pPr>
      <w:pStyle w:val="Header"/>
      <w:rPr>
        <w:rFonts w:ascii="Times New Roman" w:hAnsi="Times New Roman" w:cs="Times New Roman"/>
        <w:sz w:val="24"/>
        <w:szCs w:val="24"/>
      </w:rPr>
    </w:pPr>
    <w:r>
      <w:rPr>
        <w:rFonts w:ascii="Times New Roman" w:hAnsi="Times New Roman" w:cs="Times New Roman"/>
        <w:sz w:val="24"/>
        <w:szCs w:val="24"/>
      </w:rPr>
      <w:t xml:space="preserve">(updated </w:t>
    </w:r>
    <w:r w:rsidR="001C71DD">
      <w:rPr>
        <w:rFonts w:ascii="Times New Roman" w:hAnsi="Times New Roman" w:cs="Times New Roman"/>
        <w:sz w:val="24"/>
        <w:szCs w:val="24"/>
      </w:rPr>
      <w:t>for FERC-516 only, 8/16/2016)</w:t>
    </w:r>
  </w:p>
  <w:p w14:paraId="02D103B0" w14:textId="77777777" w:rsidR="00F1498C" w:rsidRDefault="00F14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17CC7"/>
    <w:multiLevelType w:val="hybridMultilevel"/>
    <w:tmpl w:val="95D6A3D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35C929B5"/>
    <w:multiLevelType w:val="hybridMultilevel"/>
    <w:tmpl w:val="A476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16067"/>
    <w:multiLevelType w:val="hybridMultilevel"/>
    <w:tmpl w:val="1A021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44F7C"/>
    <w:multiLevelType w:val="hybridMultilevel"/>
    <w:tmpl w:val="F71E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E4DD3"/>
    <w:multiLevelType w:val="hybridMultilevel"/>
    <w:tmpl w:val="024C69D0"/>
    <w:lvl w:ilvl="0" w:tplc="00BCA344">
      <w:start w:val="1"/>
      <w:numFmt w:val="decimal"/>
      <w:pStyle w:val="FERCparanumber"/>
      <w:lvlText w:val="%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022C9"/>
    <w:rsid w:val="000036F6"/>
    <w:rsid w:val="000067DA"/>
    <w:rsid w:val="00007DEB"/>
    <w:rsid w:val="0001731F"/>
    <w:rsid w:val="0002242D"/>
    <w:rsid w:val="0002248A"/>
    <w:rsid w:val="00027B20"/>
    <w:rsid w:val="00032244"/>
    <w:rsid w:val="00035845"/>
    <w:rsid w:val="00036295"/>
    <w:rsid w:val="00043367"/>
    <w:rsid w:val="00053F87"/>
    <w:rsid w:val="00055815"/>
    <w:rsid w:val="0005589B"/>
    <w:rsid w:val="00056BCA"/>
    <w:rsid w:val="00061218"/>
    <w:rsid w:val="00066FF6"/>
    <w:rsid w:val="00074DC8"/>
    <w:rsid w:val="0007704B"/>
    <w:rsid w:val="000863C4"/>
    <w:rsid w:val="0009507D"/>
    <w:rsid w:val="000A3506"/>
    <w:rsid w:val="000B0C37"/>
    <w:rsid w:val="000B562B"/>
    <w:rsid w:val="000D16AE"/>
    <w:rsid w:val="000E34F4"/>
    <w:rsid w:val="000F0997"/>
    <w:rsid w:val="000F34E5"/>
    <w:rsid w:val="000F6D3C"/>
    <w:rsid w:val="001016AE"/>
    <w:rsid w:val="0011419F"/>
    <w:rsid w:val="00120592"/>
    <w:rsid w:val="00122655"/>
    <w:rsid w:val="0012649C"/>
    <w:rsid w:val="001303B6"/>
    <w:rsid w:val="001348AC"/>
    <w:rsid w:val="00137BA9"/>
    <w:rsid w:val="00137CA8"/>
    <w:rsid w:val="00140264"/>
    <w:rsid w:val="00143103"/>
    <w:rsid w:val="00143B4B"/>
    <w:rsid w:val="00154181"/>
    <w:rsid w:val="00155FCD"/>
    <w:rsid w:val="001606B6"/>
    <w:rsid w:val="001613CE"/>
    <w:rsid w:val="001678D3"/>
    <w:rsid w:val="001739D7"/>
    <w:rsid w:val="001749D8"/>
    <w:rsid w:val="001759FD"/>
    <w:rsid w:val="00181727"/>
    <w:rsid w:val="00185730"/>
    <w:rsid w:val="00190397"/>
    <w:rsid w:val="00195A2A"/>
    <w:rsid w:val="00197A36"/>
    <w:rsid w:val="001A407E"/>
    <w:rsid w:val="001B0006"/>
    <w:rsid w:val="001B1141"/>
    <w:rsid w:val="001B3E94"/>
    <w:rsid w:val="001C1550"/>
    <w:rsid w:val="001C1E51"/>
    <w:rsid w:val="001C71DD"/>
    <w:rsid w:val="001D5696"/>
    <w:rsid w:val="001D5974"/>
    <w:rsid w:val="001E0A2D"/>
    <w:rsid w:val="001F41AB"/>
    <w:rsid w:val="001F76EF"/>
    <w:rsid w:val="00212C35"/>
    <w:rsid w:val="00214798"/>
    <w:rsid w:val="00220CB1"/>
    <w:rsid w:val="00221141"/>
    <w:rsid w:val="00221E48"/>
    <w:rsid w:val="002244B4"/>
    <w:rsid w:val="00225490"/>
    <w:rsid w:val="00230C1A"/>
    <w:rsid w:val="00235B37"/>
    <w:rsid w:val="0025203F"/>
    <w:rsid w:val="00255CCF"/>
    <w:rsid w:val="0026674D"/>
    <w:rsid w:val="00277386"/>
    <w:rsid w:val="0028361F"/>
    <w:rsid w:val="00286C9B"/>
    <w:rsid w:val="002A7D49"/>
    <w:rsid w:val="002B13E2"/>
    <w:rsid w:val="002D6F4E"/>
    <w:rsid w:val="002E48FD"/>
    <w:rsid w:val="002F41D6"/>
    <w:rsid w:val="003040C0"/>
    <w:rsid w:val="00307830"/>
    <w:rsid w:val="003115DC"/>
    <w:rsid w:val="00313383"/>
    <w:rsid w:val="00316732"/>
    <w:rsid w:val="0031776E"/>
    <w:rsid w:val="00320DFC"/>
    <w:rsid w:val="00322057"/>
    <w:rsid w:val="00323532"/>
    <w:rsid w:val="00330D28"/>
    <w:rsid w:val="003316E0"/>
    <w:rsid w:val="00333102"/>
    <w:rsid w:val="00333796"/>
    <w:rsid w:val="0035064C"/>
    <w:rsid w:val="003515F8"/>
    <w:rsid w:val="003626C1"/>
    <w:rsid w:val="00363749"/>
    <w:rsid w:val="003650E5"/>
    <w:rsid w:val="00365732"/>
    <w:rsid w:val="00375A3D"/>
    <w:rsid w:val="003804AA"/>
    <w:rsid w:val="003818DD"/>
    <w:rsid w:val="003B3B61"/>
    <w:rsid w:val="003D375C"/>
    <w:rsid w:val="003E13F3"/>
    <w:rsid w:val="003E3BA7"/>
    <w:rsid w:val="003E6BD9"/>
    <w:rsid w:val="003E7B94"/>
    <w:rsid w:val="004007A5"/>
    <w:rsid w:val="0040502E"/>
    <w:rsid w:val="00414E08"/>
    <w:rsid w:val="00414F32"/>
    <w:rsid w:val="00425D3F"/>
    <w:rsid w:val="004276A5"/>
    <w:rsid w:val="00430191"/>
    <w:rsid w:val="00430C17"/>
    <w:rsid w:val="00453AFF"/>
    <w:rsid w:val="00466C57"/>
    <w:rsid w:val="004715C5"/>
    <w:rsid w:val="00482F51"/>
    <w:rsid w:val="00490C7A"/>
    <w:rsid w:val="00490E60"/>
    <w:rsid w:val="004A1241"/>
    <w:rsid w:val="004A30A3"/>
    <w:rsid w:val="004A7AC8"/>
    <w:rsid w:val="004B3F9A"/>
    <w:rsid w:val="004B569E"/>
    <w:rsid w:val="004C4C89"/>
    <w:rsid w:val="004C5E0E"/>
    <w:rsid w:val="004D1639"/>
    <w:rsid w:val="004D7DA8"/>
    <w:rsid w:val="004E0C39"/>
    <w:rsid w:val="004E3683"/>
    <w:rsid w:val="004F6977"/>
    <w:rsid w:val="00502A86"/>
    <w:rsid w:val="00503C58"/>
    <w:rsid w:val="00514929"/>
    <w:rsid w:val="00520CD8"/>
    <w:rsid w:val="00521FFF"/>
    <w:rsid w:val="00522F69"/>
    <w:rsid w:val="0052465D"/>
    <w:rsid w:val="0053287C"/>
    <w:rsid w:val="00543331"/>
    <w:rsid w:val="00545515"/>
    <w:rsid w:val="005474BF"/>
    <w:rsid w:val="0055290C"/>
    <w:rsid w:val="0055400E"/>
    <w:rsid w:val="005574C0"/>
    <w:rsid w:val="00560B96"/>
    <w:rsid w:val="00563F31"/>
    <w:rsid w:val="00570685"/>
    <w:rsid w:val="00571C5E"/>
    <w:rsid w:val="00571EC8"/>
    <w:rsid w:val="00574076"/>
    <w:rsid w:val="0057700F"/>
    <w:rsid w:val="00583B41"/>
    <w:rsid w:val="005879AF"/>
    <w:rsid w:val="0059452A"/>
    <w:rsid w:val="005A2792"/>
    <w:rsid w:val="005B77CE"/>
    <w:rsid w:val="005C615A"/>
    <w:rsid w:val="005C627A"/>
    <w:rsid w:val="005D235C"/>
    <w:rsid w:val="005D3EA1"/>
    <w:rsid w:val="005D73E9"/>
    <w:rsid w:val="005F0F3A"/>
    <w:rsid w:val="005F1C3C"/>
    <w:rsid w:val="005F294C"/>
    <w:rsid w:val="005F7B6C"/>
    <w:rsid w:val="00605B9C"/>
    <w:rsid w:val="00613521"/>
    <w:rsid w:val="00614AEF"/>
    <w:rsid w:val="00615A5C"/>
    <w:rsid w:val="00615DD1"/>
    <w:rsid w:val="006166FA"/>
    <w:rsid w:val="00630A34"/>
    <w:rsid w:val="00632BBE"/>
    <w:rsid w:val="00634171"/>
    <w:rsid w:val="006373B7"/>
    <w:rsid w:val="0065061F"/>
    <w:rsid w:val="00664BC0"/>
    <w:rsid w:val="006715B2"/>
    <w:rsid w:val="00690136"/>
    <w:rsid w:val="006A1014"/>
    <w:rsid w:val="006A395D"/>
    <w:rsid w:val="006A4AD1"/>
    <w:rsid w:val="006B437C"/>
    <w:rsid w:val="006D2F3E"/>
    <w:rsid w:val="006F1311"/>
    <w:rsid w:val="0070799F"/>
    <w:rsid w:val="0071003F"/>
    <w:rsid w:val="00730DDB"/>
    <w:rsid w:val="00734A55"/>
    <w:rsid w:val="00735019"/>
    <w:rsid w:val="0074195A"/>
    <w:rsid w:val="00773AEB"/>
    <w:rsid w:val="0077481D"/>
    <w:rsid w:val="00783817"/>
    <w:rsid w:val="00787670"/>
    <w:rsid w:val="007A1190"/>
    <w:rsid w:val="007A2F92"/>
    <w:rsid w:val="007A6939"/>
    <w:rsid w:val="007B6BFF"/>
    <w:rsid w:val="007D0FC9"/>
    <w:rsid w:val="007D7136"/>
    <w:rsid w:val="007E4040"/>
    <w:rsid w:val="007E7C0F"/>
    <w:rsid w:val="007E7DED"/>
    <w:rsid w:val="007F0747"/>
    <w:rsid w:val="007F2F2F"/>
    <w:rsid w:val="007F74B4"/>
    <w:rsid w:val="0080035A"/>
    <w:rsid w:val="00833F31"/>
    <w:rsid w:val="008352B4"/>
    <w:rsid w:val="00843A92"/>
    <w:rsid w:val="00853662"/>
    <w:rsid w:val="00857577"/>
    <w:rsid w:val="008619E1"/>
    <w:rsid w:val="00862AA0"/>
    <w:rsid w:val="00863ABD"/>
    <w:rsid w:val="008725DB"/>
    <w:rsid w:val="00876F75"/>
    <w:rsid w:val="008848EF"/>
    <w:rsid w:val="008876CE"/>
    <w:rsid w:val="008911E8"/>
    <w:rsid w:val="00893F1F"/>
    <w:rsid w:val="008A1B1F"/>
    <w:rsid w:val="008A21A4"/>
    <w:rsid w:val="008A5C6B"/>
    <w:rsid w:val="008A76A0"/>
    <w:rsid w:val="008B505F"/>
    <w:rsid w:val="008B703B"/>
    <w:rsid w:val="008C238C"/>
    <w:rsid w:val="008C288D"/>
    <w:rsid w:val="008D310F"/>
    <w:rsid w:val="008D5387"/>
    <w:rsid w:val="008D68E5"/>
    <w:rsid w:val="008E70CD"/>
    <w:rsid w:val="008E7899"/>
    <w:rsid w:val="00912AEE"/>
    <w:rsid w:val="00913A8B"/>
    <w:rsid w:val="009206BC"/>
    <w:rsid w:val="009208A7"/>
    <w:rsid w:val="00923812"/>
    <w:rsid w:val="009273BA"/>
    <w:rsid w:val="00936070"/>
    <w:rsid w:val="00940395"/>
    <w:rsid w:val="00941480"/>
    <w:rsid w:val="00945F72"/>
    <w:rsid w:val="009471F7"/>
    <w:rsid w:val="00950A03"/>
    <w:rsid w:val="00950ECA"/>
    <w:rsid w:val="009551BD"/>
    <w:rsid w:val="0097014D"/>
    <w:rsid w:val="00970FE4"/>
    <w:rsid w:val="009772C9"/>
    <w:rsid w:val="00983086"/>
    <w:rsid w:val="009B0872"/>
    <w:rsid w:val="009B2085"/>
    <w:rsid w:val="009D030F"/>
    <w:rsid w:val="009D0EA4"/>
    <w:rsid w:val="009E1190"/>
    <w:rsid w:val="009E7CA3"/>
    <w:rsid w:val="00A0019B"/>
    <w:rsid w:val="00A017AB"/>
    <w:rsid w:val="00A03E2E"/>
    <w:rsid w:val="00A13882"/>
    <w:rsid w:val="00A154C4"/>
    <w:rsid w:val="00A276F5"/>
    <w:rsid w:val="00A3140F"/>
    <w:rsid w:val="00A555AB"/>
    <w:rsid w:val="00A5667D"/>
    <w:rsid w:val="00A56DF5"/>
    <w:rsid w:val="00A6084D"/>
    <w:rsid w:val="00A63343"/>
    <w:rsid w:val="00A6617C"/>
    <w:rsid w:val="00A72E7B"/>
    <w:rsid w:val="00A73D3C"/>
    <w:rsid w:val="00A80014"/>
    <w:rsid w:val="00A82FE5"/>
    <w:rsid w:val="00A961BD"/>
    <w:rsid w:val="00A96B65"/>
    <w:rsid w:val="00AA16E6"/>
    <w:rsid w:val="00AA38DB"/>
    <w:rsid w:val="00AB2354"/>
    <w:rsid w:val="00AB4B12"/>
    <w:rsid w:val="00AB7220"/>
    <w:rsid w:val="00AD14B6"/>
    <w:rsid w:val="00AD3DE5"/>
    <w:rsid w:val="00AE619C"/>
    <w:rsid w:val="00AF7B73"/>
    <w:rsid w:val="00B0407D"/>
    <w:rsid w:val="00B047E2"/>
    <w:rsid w:val="00B07E9B"/>
    <w:rsid w:val="00B12D79"/>
    <w:rsid w:val="00B2084A"/>
    <w:rsid w:val="00B26F67"/>
    <w:rsid w:val="00B272F3"/>
    <w:rsid w:val="00B27783"/>
    <w:rsid w:val="00B42796"/>
    <w:rsid w:val="00B432B9"/>
    <w:rsid w:val="00B44020"/>
    <w:rsid w:val="00B67D77"/>
    <w:rsid w:val="00B95800"/>
    <w:rsid w:val="00BA1C7D"/>
    <w:rsid w:val="00BA573A"/>
    <w:rsid w:val="00BA7C56"/>
    <w:rsid w:val="00BB49E4"/>
    <w:rsid w:val="00BC248C"/>
    <w:rsid w:val="00BC3BFB"/>
    <w:rsid w:val="00BD46DC"/>
    <w:rsid w:val="00BE41AD"/>
    <w:rsid w:val="00C01698"/>
    <w:rsid w:val="00C12232"/>
    <w:rsid w:val="00C138F2"/>
    <w:rsid w:val="00C1497D"/>
    <w:rsid w:val="00C33EDB"/>
    <w:rsid w:val="00C44E3A"/>
    <w:rsid w:val="00C45647"/>
    <w:rsid w:val="00C4797F"/>
    <w:rsid w:val="00C50C77"/>
    <w:rsid w:val="00C510DD"/>
    <w:rsid w:val="00C51264"/>
    <w:rsid w:val="00C63B6A"/>
    <w:rsid w:val="00C70115"/>
    <w:rsid w:val="00C731F6"/>
    <w:rsid w:val="00C801DD"/>
    <w:rsid w:val="00C86BAE"/>
    <w:rsid w:val="00C91306"/>
    <w:rsid w:val="00C92F65"/>
    <w:rsid w:val="00CA495F"/>
    <w:rsid w:val="00CA59C3"/>
    <w:rsid w:val="00CB2454"/>
    <w:rsid w:val="00CC07EA"/>
    <w:rsid w:val="00CC7AEC"/>
    <w:rsid w:val="00CD19EB"/>
    <w:rsid w:val="00CD4D54"/>
    <w:rsid w:val="00CD78AF"/>
    <w:rsid w:val="00CE7EDE"/>
    <w:rsid w:val="00CF759C"/>
    <w:rsid w:val="00D04207"/>
    <w:rsid w:val="00D05661"/>
    <w:rsid w:val="00D05A67"/>
    <w:rsid w:val="00D075A0"/>
    <w:rsid w:val="00D27D93"/>
    <w:rsid w:val="00D306DD"/>
    <w:rsid w:val="00D3230F"/>
    <w:rsid w:val="00D349D4"/>
    <w:rsid w:val="00D355BD"/>
    <w:rsid w:val="00D51135"/>
    <w:rsid w:val="00D5257D"/>
    <w:rsid w:val="00D53231"/>
    <w:rsid w:val="00D63A1A"/>
    <w:rsid w:val="00D67A64"/>
    <w:rsid w:val="00D71B6F"/>
    <w:rsid w:val="00D7505E"/>
    <w:rsid w:val="00D76508"/>
    <w:rsid w:val="00D80FBD"/>
    <w:rsid w:val="00D838CB"/>
    <w:rsid w:val="00D83C5A"/>
    <w:rsid w:val="00D95509"/>
    <w:rsid w:val="00D9639B"/>
    <w:rsid w:val="00DA00FA"/>
    <w:rsid w:val="00DA797F"/>
    <w:rsid w:val="00DB55A1"/>
    <w:rsid w:val="00DC4ADE"/>
    <w:rsid w:val="00DC4E36"/>
    <w:rsid w:val="00DC6F8E"/>
    <w:rsid w:val="00DD1976"/>
    <w:rsid w:val="00DE58BE"/>
    <w:rsid w:val="00E03105"/>
    <w:rsid w:val="00E03C4A"/>
    <w:rsid w:val="00E11CA6"/>
    <w:rsid w:val="00E14565"/>
    <w:rsid w:val="00E20612"/>
    <w:rsid w:val="00E5525B"/>
    <w:rsid w:val="00E636D7"/>
    <w:rsid w:val="00E837B2"/>
    <w:rsid w:val="00E87A4F"/>
    <w:rsid w:val="00E90B32"/>
    <w:rsid w:val="00E95455"/>
    <w:rsid w:val="00EA5ADE"/>
    <w:rsid w:val="00EA752C"/>
    <w:rsid w:val="00EB374E"/>
    <w:rsid w:val="00EB3E6F"/>
    <w:rsid w:val="00EB4FE8"/>
    <w:rsid w:val="00EC5C05"/>
    <w:rsid w:val="00ED1FD0"/>
    <w:rsid w:val="00ED5560"/>
    <w:rsid w:val="00EE558F"/>
    <w:rsid w:val="00F06920"/>
    <w:rsid w:val="00F1100F"/>
    <w:rsid w:val="00F118DB"/>
    <w:rsid w:val="00F12DC2"/>
    <w:rsid w:val="00F132A1"/>
    <w:rsid w:val="00F14038"/>
    <w:rsid w:val="00F1498C"/>
    <w:rsid w:val="00F152DF"/>
    <w:rsid w:val="00F16AFE"/>
    <w:rsid w:val="00F210B7"/>
    <w:rsid w:val="00F22CFE"/>
    <w:rsid w:val="00F23AEA"/>
    <w:rsid w:val="00F271D4"/>
    <w:rsid w:val="00F32494"/>
    <w:rsid w:val="00F50384"/>
    <w:rsid w:val="00F50467"/>
    <w:rsid w:val="00F5436F"/>
    <w:rsid w:val="00F632B6"/>
    <w:rsid w:val="00F67CD4"/>
    <w:rsid w:val="00F725E6"/>
    <w:rsid w:val="00F726B9"/>
    <w:rsid w:val="00F74C9B"/>
    <w:rsid w:val="00F80112"/>
    <w:rsid w:val="00F81142"/>
    <w:rsid w:val="00F83035"/>
    <w:rsid w:val="00F8440A"/>
    <w:rsid w:val="00F8681E"/>
    <w:rsid w:val="00F900EF"/>
    <w:rsid w:val="00F91ADD"/>
    <w:rsid w:val="00F94210"/>
    <w:rsid w:val="00F95A9B"/>
    <w:rsid w:val="00F95CFB"/>
    <w:rsid w:val="00FB5060"/>
    <w:rsid w:val="00FB7B6F"/>
    <w:rsid w:val="00FC1005"/>
    <w:rsid w:val="00FC79BA"/>
    <w:rsid w:val="00FD66F1"/>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0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 w:type="paragraph" w:customStyle="1" w:styleId="FERCparanumber">
    <w:name w:val="FERC paranumber"/>
    <w:basedOn w:val="Normal"/>
    <w:link w:val="FERCparanumberChar1"/>
    <w:qFormat/>
    <w:rsid w:val="00195A2A"/>
    <w:pPr>
      <w:numPr>
        <w:numId w:val="8"/>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1">
    <w:name w:val="FERC paranumber Char1"/>
    <w:link w:val="FERCparanumber"/>
    <w:rsid w:val="00195A2A"/>
    <w:rPr>
      <w:rFonts w:ascii="Times New Roman" w:eastAsia="Times New Roman" w:hAnsi="Times New Roman" w:cs="Times New Roman"/>
      <w:sz w:val="26"/>
      <w:szCs w:val="24"/>
    </w:rPr>
  </w:style>
  <w:style w:type="character" w:customStyle="1" w:styleId="FERCparanumberChar">
    <w:name w:val="FERC paranumber Char"/>
    <w:locked/>
    <w:rsid w:val="00EE558F"/>
    <w:rPr>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8447">
      <w:bodyDiv w:val="1"/>
      <w:marLeft w:val="0"/>
      <w:marRight w:val="0"/>
      <w:marTop w:val="0"/>
      <w:marBottom w:val="0"/>
      <w:divBdr>
        <w:top w:val="none" w:sz="0" w:space="0" w:color="auto"/>
        <w:left w:val="none" w:sz="0" w:space="0" w:color="auto"/>
        <w:bottom w:val="none" w:sz="0" w:space="0" w:color="auto"/>
        <w:right w:val="none" w:sz="0" w:space="0" w:color="auto"/>
      </w:divBdr>
    </w:div>
    <w:div w:id="1271623192">
      <w:bodyDiv w:val="1"/>
      <w:marLeft w:val="0"/>
      <w:marRight w:val="0"/>
      <w:marTop w:val="0"/>
      <w:marBottom w:val="0"/>
      <w:divBdr>
        <w:top w:val="none" w:sz="0" w:space="0" w:color="auto"/>
        <w:left w:val="none" w:sz="0" w:space="0" w:color="auto"/>
        <w:bottom w:val="none" w:sz="0" w:space="0" w:color="auto"/>
        <w:right w:val="none" w:sz="0" w:space="0" w:color="auto"/>
      </w:divBdr>
    </w:div>
    <w:div w:id="1589919473">
      <w:bodyDiv w:val="1"/>
      <w:marLeft w:val="0"/>
      <w:marRight w:val="0"/>
      <w:marTop w:val="0"/>
      <w:marBottom w:val="0"/>
      <w:divBdr>
        <w:top w:val="none" w:sz="0" w:space="0" w:color="auto"/>
        <w:left w:val="none" w:sz="0" w:space="0" w:color="auto"/>
        <w:bottom w:val="none" w:sz="0" w:space="0" w:color="auto"/>
        <w:right w:val="none" w:sz="0" w:space="0" w:color="auto"/>
      </w:divBdr>
    </w:div>
    <w:div w:id="18305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library.ferc.gov/idmws/common/opennat.asp?fileID=13747711" TargetMode="External"/><Relationship Id="rId1" Type="http://schemas.openxmlformats.org/officeDocument/2006/relationships/hyperlink" Target="http://elibrary.ferc.gov/idmws/common/opennat.asp?fileID=13747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_x0031__x002e__x0020_Collection_x0020_Number>
    <Date xmlns="d6eefc7d-9817-4fa6-84d5-3bc009be21b8">2016-08-16T00:00:00-04:00</Date>
    <Status xmlns="d6eefc7d-9817-4fa6-84d5-3bc009be21b8">Final</Status>
    <_x0032__x002e__x0020_Docket_x0020_Number xmlns="d6eefc7d-9817-4fa6-84d5-3bc009be21b8" xsi:nil="true"/>
    <_x0032__x002e__x0020_Collection_x0020_Number xmlns="d6eefc7d-9817-4fa6-84d5-3bc009be21b8">519</_x0032__x002e__x0020_Collection_x0020_Number>
    <_x0031__x002e__x0020_Docket_x0020_Number xmlns="d6eefc7d-9817-4fa6-84d5-3bc009be21b8">PL15-3</_x0031__x002e__x0020_Docket_x0020_Number>
    <_x0033__x002e__x0020_Collection_x0020_Number xmlns="d6eefc7d-9817-4fa6-84d5-3bc009be21b8">555</_x0033__x002e__x0020_Collection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B739-0B3E-4739-8196-EA869ABE06D0}">
  <ds:schemaRefs>
    <ds:schemaRef ds:uri="http://schemas.microsoft.com/office/2006/metadata/customXsn"/>
  </ds:schemaRefs>
</ds:datastoreItem>
</file>

<file path=customXml/itemProps2.xml><?xml version="1.0" encoding="utf-8"?>
<ds:datastoreItem xmlns:ds="http://schemas.openxmlformats.org/officeDocument/2006/customXml" ds:itemID="{7ABA2FB1-48C5-4617-B080-3D1A30F5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D7520-8211-4FE9-90CB-A629A66FAF69}">
  <ds:schemaRefs>
    <ds:schemaRef ds:uri="http://purl.org/dc/dcmitype/"/>
    <ds:schemaRef ds:uri="http://schemas.microsoft.com/office/2006/documentManagement/types"/>
    <ds:schemaRef ds:uri="http://schemas.microsoft.com/office/2006/metadata/properties"/>
    <ds:schemaRef ds:uri="d6eefc7d-9817-4fa6-84d5-3bc009be21b8"/>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E94EA07-CDED-43EA-BBED-4C1336EA2FB2}">
  <ds:schemaRefs>
    <ds:schemaRef ds:uri="http://schemas.microsoft.com/sharepoint/v3/contenttype/forms"/>
  </ds:schemaRefs>
</ds:datastoreItem>
</file>

<file path=customXml/itemProps5.xml><?xml version="1.0" encoding="utf-8"?>
<ds:datastoreItem xmlns:ds="http://schemas.openxmlformats.org/officeDocument/2006/customXml" ds:itemID="{609D3222-9BD7-4952-B1FB-A4351A33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OEMR response to OMB comments/questions_draft for final policy statement</vt:lpstr>
    </vt:vector>
  </TitlesOfParts>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OEMR response to OMB comments/questions_draft for final policy statement</dc:title>
  <dc:creator/>
  <cp:lastModifiedBy/>
  <cp:revision>1</cp:revision>
  <dcterms:created xsi:type="dcterms:W3CDTF">2016-08-16T14:53:00Z</dcterms:created>
  <dcterms:modified xsi:type="dcterms:W3CDTF">2016-08-16T14:55:00Z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