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8362" w14:textId="56931ADF" w:rsidR="00A02ACA" w:rsidRPr="008863C8" w:rsidRDefault="008863C8" w:rsidP="007422B0">
      <w:pPr>
        <w:tabs>
          <w:tab w:val="left" w:pos="720"/>
          <w:tab w:val="left" w:pos="1440"/>
          <w:tab w:val="left" w:pos="4320"/>
          <w:tab w:val="left" w:pos="5040"/>
          <w:tab w:val="left" w:pos="5760"/>
          <w:tab w:val="left" w:pos="6480"/>
          <w:tab w:val="left" w:pos="7200"/>
        </w:tabs>
        <w:jc w:val="center"/>
      </w:pPr>
      <w:bookmarkStart w:id="0" w:name="_GoBack"/>
      <w:bookmarkEnd w:id="0"/>
      <w:r>
        <w:t>152 FERC ¶ 61,208</w:t>
      </w:r>
    </w:p>
    <w:p w14:paraId="69634A19" w14:textId="77777777" w:rsidR="007422B0" w:rsidRPr="003C520E" w:rsidRDefault="007422B0" w:rsidP="007422B0">
      <w:pPr>
        <w:tabs>
          <w:tab w:val="left" w:pos="720"/>
          <w:tab w:val="left" w:pos="1440"/>
          <w:tab w:val="left" w:pos="4320"/>
          <w:tab w:val="left" w:pos="5040"/>
          <w:tab w:val="left" w:pos="5760"/>
          <w:tab w:val="left" w:pos="6480"/>
          <w:tab w:val="left" w:pos="7200"/>
        </w:tabs>
        <w:jc w:val="center"/>
      </w:pPr>
      <w:r w:rsidRPr="003C520E">
        <w:t>UNITED STATES OF AMERICA</w:t>
      </w:r>
    </w:p>
    <w:p w14:paraId="211E98E5" w14:textId="77777777" w:rsidR="007422B0" w:rsidRPr="003C520E" w:rsidRDefault="007422B0" w:rsidP="007422B0">
      <w:pPr>
        <w:tabs>
          <w:tab w:val="left" w:pos="720"/>
          <w:tab w:val="left" w:pos="1440"/>
          <w:tab w:val="left" w:pos="4320"/>
          <w:tab w:val="left" w:pos="5040"/>
          <w:tab w:val="left" w:pos="5760"/>
          <w:tab w:val="left" w:pos="6480"/>
          <w:tab w:val="left" w:pos="7200"/>
        </w:tabs>
        <w:jc w:val="center"/>
      </w:pPr>
      <w:r w:rsidRPr="003C520E">
        <w:t>FEDERAL ENERGY REGULATORY COMMISSION</w:t>
      </w:r>
    </w:p>
    <w:p w14:paraId="2DDC4DAD" w14:textId="77777777" w:rsidR="00E859EA" w:rsidRDefault="00E859EA" w:rsidP="007D2C2D">
      <w:pPr>
        <w:jc w:val="center"/>
      </w:pPr>
    </w:p>
    <w:p w14:paraId="779CC06F" w14:textId="77777777" w:rsidR="00E859EA" w:rsidRDefault="00E859EA" w:rsidP="007D2C2D">
      <w:pPr>
        <w:jc w:val="center"/>
      </w:pPr>
      <w:r>
        <w:t xml:space="preserve">18 CFR Part </w:t>
      </w:r>
      <w:r w:rsidR="007422B0">
        <w:t>39</w:t>
      </w:r>
    </w:p>
    <w:p w14:paraId="538F5351" w14:textId="77777777" w:rsidR="00E859EA" w:rsidRDefault="00E859EA" w:rsidP="007D2C2D">
      <w:pPr>
        <w:jc w:val="center"/>
      </w:pPr>
    </w:p>
    <w:p w14:paraId="3C7C20F8" w14:textId="77777777" w:rsidR="00E859EA" w:rsidRDefault="00E859EA" w:rsidP="007D2C2D">
      <w:pPr>
        <w:jc w:val="center"/>
      </w:pPr>
      <w:r>
        <w:t>[Docket No.</w:t>
      </w:r>
      <w:r w:rsidR="007422B0">
        <w:t xml:space="preserve"> RM15-</w:t>
      </w:r>
      <w:r w:rsidR="00B910AC">
        <w:t>25</w:t>
      </w:r>
      <w:r w:rsidR="007422B0">
        <w:t>-000</w:t>
      </w:r>
      <w:r>
        <w:t>]</w:t>
      </w:r>
    </w:p>
    <w:p w14:paraId="01099C12" w14:textId="77777777" w:rsidR="00E859EA" w:rsidRDefault="00E859EA" w:rsidP="007D2C2D">
      <w:pPr>
        <w:jc w:val="center"/>
      </w:pPr>
    </w:p>
    <w:p w14:paraId="68B50713" w14:textId="77777777" w:rsidR="007422B0" w:rsidRDefault="007422B0" w:rsidP="007422B0">
      <w:pPr>
        <w:jc w:val="center"/>
      </w:pPr>
      <w:r>
        <w:t xml:space="preserve">Availability of Certain North American Electric Reliability Corporation </w:t>
      </w:r>
    </w:p>
    <w:p w14:paraId="03DD4803" w14:textId="77777777" w:rsidR="00E859EA" w:rsidRDefault="007422B0" w:rsidP="006251CC">
      <w:pPr>
        <w:spacing w:after="240"/>
        <w:jc w:val="center"/>
      </w:pPr>
      <w:r>
        <w:t>Data</w:t>
      </w:r>
      <w:r w:rsidR="00D40C01">
        <w:t>b</w:t>
      </w:r>
      <w:r>
        <w:t xml:space="preserve">ases to </w:t>
      </w:r>
      <w:r w:rsidR="003F0525">
        <w:t xml:space="preserve">the </w:t>
      </w:r>
      <w:r>
        <w:t>Commission</w:t>
      </w:r>
    </w:p>
    <w:p w14:paraId="5B204D71" w14:textId="625A2D61" w:rsidR="00E859EA" w:rsidRDefault="00CF0F24" w:rsidP="00CF0F24">
      <w:pPr>
        <w:widowControl/>
        <w:jc w:val="center"/>
      </w:pPr>
      <w:r w:rsidRPr="00CF0F24">
        <w:t>(Issued September 17, 2015)</w:t>
      </w:r>
    </w:p>
    <w:p w14:paraId="388BDA0D" w14:textId="77777777" w:rsidR="00CF0F24" w:rsidRPr="00CF0F24" w:rsidRDefault="00CF0F24" w:rsidP="00CF0F24">
      <w:pPr>
        <w:widowControl/>
      </w:pPr>
    </w:p>
    <w:p w14:paraId="0147C44B" w14:textId="77777777" w:rsidR="00E859EA" w:rsidRDefault="00E859EA" w:rsidP="007D2C2D">
      <w:pPr>
        <w:spacing w:line="480" w:lineRule="auto"/>
      </w:pPr>
      <w:r>
        <w:rPr>
          <w:u w:val="single"/>
        </w:rPr>
        <w:t>AGENCY</w:t>
      </w:r>
      <w:r>
        <w:t>:  Federal Energy Regulatory Commission.</w:t>
      </w:r>
    </w:p>
    <w:p w14:paraId="3942155D" w14:textId="77777777" w:rsidR="00E859EA" w:rsidRDefault="00E859EA" w:rsidP="007D2C2D">
      <w:pPr>
        <w:spacing w:line="480" w:lineRule="auto"/>
      </w:pPr>
      <w:r>
        <w:rPr>
          <w:u w:val="single"/>
        </w:rPr>
        <w:t>ACTION</w:t>
      </w:r>
      <w:r w:rsidR="00000CC9">
        <w:t>:  Notice of proposed r</w:t>
      </w:r>
      <w:r>
        <w:t>ulemaking.</w:t>
      </w:r>
    </w:p>
    <w:p w14:paraId="373A5965" w14:textId="177E9571" w:rsidR="007422B0" w:rsidRDefault="00E859EA" w:rsidP="002A4D1C">
      <w:pPr>
        <w:pStyle w:val="FERCparanumber"/>
        <w:numPr>
          <w:ilvl w:val="0"/>
          <w:numId w:val="0"/>
        </w:numPr>
      </w:pPr>
      <w:r>
        <w:rPr>
          <w:u w:val="single"/>
        </w:rPr>
        <w:t>SUMMARY</w:t>
      </w:r>
      <w:r>
        <w:t xml:space="preserve">:  </w:t>
      </w:r>
      <w:r w:rsidR="00B1691F">
        <w:t xml:space="preserve">The </w:t>
      </w:r>
      <w:r w:rsidR="00000CC9">
        <w:t xml:space="preserve">Federal Energy Regulatory </w:t>
      </w:r>
      <w:r w:rsidR="00B1691F">
        <w:t xml:space="preserve">Commission </w:t>
      </w:r>
      <w:r w:rsidR="00000CC9">
        <w:t>(Commission) proposes</w:t>
      </w:r>
      <w:r w:rsidR="00B1691F">
        <w:t xml:space="preserve"> to </w:t>
      </w:r>
      <w:r w:rsidR="00000CC9">
        <w:rPr>
          <w:szCs w:val="26"/>
        </w:rPr>
        <w:t>amend its regulations</w:t>
      </w:r>
      <w:r w:rsidR="003E2C1B">
        <w:rPr>
          <w:szCs w:val="26"/>
        </w:rPr>
        <w:t xml:space="preserve"> to require the North American Electric Reliability Corporation (NERC) to provide </w:t>
      </w:r>
      <w:r w:rsidR="003F0525">
        <w:rPr>
          <w:szCs w:val="26"/>
        </w:rPr>
        <w:t xml:space="preserve">the </w:t>
      </w:r>
      <w:r w:rsidR="00B1691F" w:rsidRPr="0063130E">
        <w:rPr>
          <w:szCs w:val="26"/>
        </w:rPr>
        <w:t>Commission</w:t>
      </w:r>
      <w:r w:rsidR="001C575A">
        <w:rPr>
          <w:szCs w:val="26"/>
        </w:rPr>
        <w:t>, and Commission</w:t>
      </w:r>
      <w:r w:rsidR="008E0047">
        <w:rPr>
          <w:szCs w:val="26"/>
        </w:rPr>
        <w:t xml:space="preserve"> </w:t>
      </w:r>
      <w:r w:rsidR="003E2C1B">
        <w:rPr>
          <w:szCs w:val="26"/>
        </w:rPr>
        <w:t>staff</w:t>
      </w:r>
      <w:r w:rsidR="003F0525">
        <w:rPr>
          <w:szCs w:val="26"/>
        </w:rPr>
        <w:t>,</w:t>
      </w:r>
      <w:r w:rsidR="003E2C1B">
        <w:rPr>
          <w:szCs w:val="26"/>
        </w:rPr>
        <w:t xml:space="preserve"> with </w:t>
      </w:r>
      <w:r w:rsidR="00B1691F" w:rsidRPr="0063130E">
        <w:rPr>
          <w:szCs w:val="26"/>
        </w:rPr>
        <w:t xml:space="preserve">access, on a non-public and ongoing basis, to </w:t>
      </w:r>
      <w:r w:rsidR="00B1691F">
        <w:rPr>
          <w:szCs w:val="26"/>
        </w:rPr>
        <w:t xml:space="preserve">certain </w:t>
      </w:r>
      <w:r w:rsidR="00D40C01">
        <w:rPr>
          <w:szCs w:val="26"/>
        </w:rPr>
        <w:t>database</w:t>
      </w:r>
      <w:r w:rsidR="00B1691F">
        <w:rPr>
          <w:szCs w:val="26"/>
        </w:rPr>
        <w:t>s compiled and maintained by</w:t>
      </w:r>
      <w:r w:rsidR="003E2C1B">
        <w:rPr>
          <w:szCs w:val="26"/>
        </w:rPr>
        <w:t xml:space="preserve"> NERC.</w:t>
      </w:r>
      <w:r w:rsidR="00B1691F">
        <w:rPr>
          <w:szCs w:val="26"/>
        </w:rPr>
        <w:t xml:space="preserve"> </w:t>
      </w:r>
      <w:r w:rsidR="003E2C1B">
        <w:rPr>
          <w:szCs w:val="26"/>
        </w:rPr>
        <w:t xml:space="preserve"> </w:t>
      </w:r>
      <w:r w:rsidR="000D0CB7">
        <w:rPr>
          <w:szCs w:val="26"/>
        </w:rPr>
        <w:t>T</w:t>
      </w:r>
      <w:r w:rsidR="002A4D1C" w:rsidRPr="00014800">
        <w:rPr>
          <w:szCs w:val="26"/>
        </w:rPr>
        <w:t>he Commission</w:t>
      </w:r>
      <w:r w:rsidR="003E2C1B">
        <w:rPr>
          <w:szCs w:val="26"/>
        </w:rPr>
        <w:t>’s proposal applies</w:t>
      </w:r>
      <w:r w:rsidR="002A4D1C" w:rsidRPr="00014800">
        <w:rPr>
          <w:szCs w:val="26"/>
        </w:rPr>
        <w:t xml:space="preserve"> </w:t>
      </w:r>
      <w:r w:rsidR="006251CC">
        <w:rPr>
          <w:szCs w:val="26"/>
        </w:rPr>
        <w:t xml:space="preserve">to the following </w:t>
      </w:r>
      <w:r w:rsidR="002A4D1C" w:rsidRPr="00014800">
        <w:rPr>
          <w:szCs w:val="26"/>
        </w:rPr>
        <w:t xml:space="preserve">NERC </w:t>
      </w:r>
      <w:r w:rsidR="00D40C01">
        <w:rPr>
          <w:szCs w:val="26"/>
        </w:rPr>
        <w:t>database</w:t>
      </w:r>
      <w:r w:rsidR="002A4D1C" w:rsidRPr="00014800">
        <w:rPr>
          <w:szCs w:val="26"/>
        </w:rPr>
        <w:t xml:space="preserve">s:  (1) </w:t>
      </w:r>
      <w:r w:rsidR="00902318">
        <w:rPr>
          <w:szCs w:val="26"/>
        </w:rPr>
        <w:t xml:space="preserve">the </w:t>
      </w:r>
      <w:r w:rsidR="002A4D1C" w:rsidRPr="00014800">
        <w:rPr>
          <w:szCs w:val="26"/>
        </w:rPr>
        <w:t xml:space="preserve">Transmission Availability Data System, (2) </w:t>
      </w:r>
      <w:r w:rsidR="00902318">
        <w:rPr>
          <w:szCs w:val="26"/>
        </w:rPr>
        <w:t xml:space="preserve">the </w:t>
      </w:r>
      <w:r w:rsidR="002A4D1C" w:rsidRPr="00014800">
        <w:rPr>
          <w:szCs w:val="26"/>
        </w:rPr>
        <w:t>Generat</w:t>
      </w:r>
      <w:r w:rsidR="00A510B5">
        <w:rPr>
          <w:szCs w:val="26"/>
        </w:rPr>
        <w:t>ing</w:t>
      </w:r>
      <w:r w:rsidR="002A4D1C" w:rsidRPr="00014800">
        <w:rPr>
          <w:szCs w:val="26"/>
        </w:rPr>
        <w:t xml:space="preserve"> Availability Data System, and (3)</w:t>
      </w:r>
      <w:r w:rsidR="00834557">
        <w:rPr>
          <w:szCs w:val="26"/>
        </w:rPr>
        <w:t xml:space="preserve"> the</w:t>
      </w:r>
      <w:r w:rsidR="006251CC">
        <w:rPr>
          <w:szCs w:val="26"/>
        </w:rPr>
        <w:t xml:space="preserve"> protection</w:t>
      </w:r>
      <w:r w:rsidR="00F5243F">
        <w:rPr>
          <w:szCs w:val="26"/>
        </w:rPr>
        <w:t xml:space="preserve"> system misoperations</w:t>
      </w:r>
      <w:r w:rsidR="00834557" w:rsidRPr="00014800">
        <w:rPr>
          <w:szCs w:val="26"/>
        </w:rPr>
        <w:t xml:space="preserve"> </w:t>
      </w:r>
      <w:r w:rsidR="00D40C01">
        <w:rPr>
          <w:szCs w:val="26"/>
        </w:rPr>
        <w:t>database</w:t>
      </w:r>
      <w:r w:rsidR="000D0CB7">
        <w:rPr>
          <w:szCs w:val="26"/>
        </w:rPr>
        <w:t>.  Access to these</w:t>
      </w:r>
      <w:r w:rsidR="002A4D1C" w:rsidRPr="00014800">
        <w:rPr>
          <w:szCs w:val="26"/>
        </w:rPr>
        <w:t xml:space="preserve"> </w:t>
      </w:r>
      <w:r w:rsidR="00D40C01">
        <w:rPr>
          <w:szCs w:val="26"/>
        </w:rPr>
        <w:t>database</w:t>
      </w:r>
      <w:r w:rsidR="000D0CB7">
        <w:rPr>
          <w:szCs w:val="26"/>
        </w:rPr>
        <w:t>s</w:t>
      </w:r>
      <w:r w:rsidR="00366869">
        <w:rPr>
          <w:szCs w:val="26"/>
        </w:rPr>
        <w:t>, which will be limited to data regarding U.S. facilities,</w:t>
      </w:r>
      <w:r w:rsidR="002A4D1C" w:rsidRPr="00014800">
        <w:rPr>
          <w:szCs w:val="26"/>
        </w:rPr>
        <w:t xml:space="preserve"> will </w:t>
      </w:r>
      <w:r w:rsidR="003E2C1B">
        <w:rPr>
          <w:szCs w:val="26"/>
        </w:rPr>
        <w:t>provide</w:t>
      </w:r>
      <w:r w:rsidR="000D0CB7">
        <w:rPr>
          <w:szCs w:val="26"/>
        </w:rPr>
        <w:t xml:space="preserve"> the Commission</w:t>
      </w:r>
      <w:r w:rsidR="007079D7">
        <w:rPr>
          <w:szCs w:val="26"/>
        </w:rPr>
        <w:t xml:space="preserve"> with information necessary</w:t>
      </w:r>
      <w:r w:rsidR="000D0CB7">
        <w:rPr>
          <w:szCs w:val="26"/>
        </w:rPr>
        <w:t xml:space="preserve"> </w:t>
      </w:r>
      <w:r w:rsidR="007F50B0">
        <w:rPr>
          <w:szCs w:val="26"/>
        </w:rPr>
        <w:t>to determine the need</w:t>
      </w:r>
      <w:r w:rsidR="002A4D1C" w:rsidRPr="00014800">
        <w:rPr>
          <w:szCs w:val="26"/>
        </w:rPr>
        <w:t xml:space="preserve"> </w:t>
      </w:r>
      <w:r w:rsidR="007F50B0">
        <w:rPr>
          <w:szCs w:val="26"/>
        </w:rPr>
        <w:t xml:space="preserve">for </w:t>
      </w:r>
      <w:r w:rsidR="002A4D1C" w:rsidRPr="00014800">
        <w:rPr>
          <w:szCs w:val="26"/>
        </w:rPr>
        <w:t>new or modified Reli</w:t>
      </w:r>
      <w:r w:rsidR="000D0CB7">
        <w:rPr>
          <w:szCs w:val="26"/>
        </w:rPr>
        <w:t>ability Standards</w:t>
      </w:r>
      <w:r w:rsidR="007F50B0">
        <w:rPr>
          <w:szCs w:val="26"/>
        </w:rPr>
        <w:t xml:space="preserve"> </w:t>
      </w:r>
      <w:r w:rsidR="000D0CB7">
        <w:rPr>
          <w:szCs w:val="26"/>
        </w:rPr>
        <w:t xml:space="preserve">and </w:t>
      </w:r>
      <w:r w:rsidR="008251BE">
        <w:rPr>
          <w:szCs w:val="26"/>
        </w:rPr>
        <w:t xml:space="preserve">to better </w:t>
      </w:r>
      <w:r w:rsidR="00A510B5">
        <w:rPr>
          <w:szCs w:val="26"/>
        </w:rPr>
        <w:t xml:space="preserve">understand </w:t>
      </w:r>
      <w:r w:rsidR="002A4D1C" w:rsidRPr="00014800">
        <w:rPr>
          <w:szCs w:val="26"/>
        </w:rPr>
        <w:t>NERC</w:t>
      </w:r>
      <w:r w:rsidR="003E2C1B">
        <w:rPr>
          <w:szCs w:val="26"/>
        </w:rPr>
        <w:t>’s</w:t>
      </w:r>
      <w:r w:rsidR="002A4D1C" w:rsidRPr="00014800">
        <w:rPr>
          <w:szCs w:val="26"/>
        </w:rPr>
        <w:t xml:space="preserve"> </w:t>
      </w:r>
      <w:r w:rsidR="007F50B0">
        <w:rPr>
          <w:szCs w:val="26"/>
        </w:rPr>
        <w:t xml:space="preserve">periodic </w:t>
      </w:r>
      <w:r w:rsidR="002A4D1C" w:rsidRPr="00014800">
        <w:rPr>
          <w:szCs w:val="26"/>
        </w:rPr>
        <w:t>reliability and adequacy assessments</w:t>
      </w:r>
      <w:r w:rsidR="002A4D1C">
        <w:rPr>
          <w:szCs w:val="26"/>
        </w:rPr>
        <w:t>.</w:t>
      </w:r>
    </w:p>
    <w:p w14:paraId="54843701" w14:textId="77777777" w:rsidR="00E859EA" w:rsidRDefault="00E859EA" w:rsidP="007D2C2D">
      <w:pPr>
        <w:spacing w:line="480" w:lineRule="auto"/>
      </w:pPr>
      <w:r>
        <w:rPr>
          <w:u w:val="single"/>
        </w:rPr>
        <w:t>DATES</w:t>
      </w:r>
      <w:r>
        <w:t>:  Comments are due</w:t>
      </w:r>
      <w:r>
        <w:rPr>
          <w:b/>
        </w:rPr>
        <w:t xml:space="preserve"> [INSERT DATE </w:t>
      </w:r>
      <w:r w:rsidR="00B1691F">
        <w:rPr>
          <w:b/>
        </w:rPr>
        <w:t xml:space="preserve">60 </w:t>
      </w:r>
      <w:r w:rsidR="000B3D7A">
        <w:rPr>
          <w:b/>
        </w:rPr>
        <w:t xml:space="preserve">days </w:t>
      </w:r>
      <w:r>
        <w:rPr>
          <w:b/>
        </w:rPr>
        <w:t>after publication in the FEDERAL REGISTER]</w:t>
      </w:r>
      <w:r w:rsidR="000D0CB7">
        <w:rPr>
          <w:b/>
        </w:rPr>
        <w:t>.</w:t>
      </w:r>
    </w:p>
    <w:p w14:paraId="6F3F0DDB" w14:textId="77777777" w:rsidR="00E859EA" w:rsidRDefault="00E859EA" w:rsidP="007D2C2D">
      <w:pPr>
        <w:spacing w:line="480" w:lineRule="auto"/>
      </w:pPr>
      <w:r>
        <w:rPr>
          <w:u w:val="single"/>
        </w:rPr>
        <w:t>ADDRESSES</w:t>
      </w:r>
      <w:r>
        <w:t>:  C</w:t>
      </w:r>
      <w:r w:rsidRPr="00062A6A">
        <w:t>omments</w:t>
      </w:r>
      <w:r>
        <w:t>,</w:t>
      </w:r>
      <w:r w:rsidRPr="00062A6A">
        <w:t xml:space="preserve"> identified by docket number</w:t>
      </w:r>
      <w:r>
        <w:t>,</w:t>
      </w:r>
      <w:r w:rsidRPr="00062A6A">
        <w:t xml:space="preserve"> </w:t>
      </w:r>
      <w:r>
        <w:t>may be filed in the following ways:</w:t>
      </w:r>
      <w:r w:rsidRPr="00062A6A">
        <w:t xml:space="preserve"> </w:t>
      </w:r>
    </w:p>
    <w:p w14:paraId="61038B5C" w14:textId="30F04662" w:rsidR="00E859EA" w:rsidRDefault="00E859EA" w:rsidP="00E859EA">
      <w:pPr>
        <w:numPr>
          <w:ilvl w:val="0"/>
          <w:numId w:val="26"/>
        </w:numPr>
        <w:spacing w:line="480" w:lineRule="auto"/>
      </w:pPr>
      <w:r>
        <w:lastRenderedPageBreak/>
        <w:t xml:space="preserve">Electronic Filing through </w:t>
      </w:r>
      <w:r w:rsidRPr="008863C8">
        <w:t>http://www.ferc.gov</w:t>
      </w:r>
      <w:r>
        <w:t xml:space="preserve">.  </w:t>
      </w:r>
      <w:r w:rsidRPr="00062A6A">
        <w:t>Documents created electronically using word processing software should be filed in native applications or print-to-PDF format and not in a scanned format.</w:t>
      </w:r>
    </w:p>
    <w:p w14:paraId="60062B8D" w14:textId="5B0ACB79" w:rsidR="00E859EA" w:rsidRDefault="00E859EA" w:rsidP="00E859EA">
      <w:pPr>
        <w:numPr>
          <w:ilvl w:val="0"/>
          <w:numId w:val="26"/>
        </w:numPr>
        <w:spacing w:line="480" w:lineRule="auto"/>
      </w:pPr>
      <w:r>
        <w:t xml:space="preserve">Mail/Hand Delivery:  Those unable to file electronically may mail or hand-deliver comments to: </w:t>
      </w:r>
      <w:r w:rsidR="00E30F9B">
        <w:t xml:space="preserve"> </w:t>
      </w:r>
      <w:r>
        <w:t>Federal Energy Regulatory Commission, Secretary of the Commission, 888 First Street, NE, Washington, DC</w:t>
      </w:r>
      <w:r w:rsidR="00E30F9B">
        <w:t xml:space="preserve"> </w:t>
      </w:r>
      <w:r>
        <w:t xml:space="preserve"> 20426.</w:t>
      </w:r>
    </w:p>
    <w:p w14:paraId="67C1A5F9" w14:textId="482CC0F1" w:rsidR="00E859EA" w:rsidRPr="007973E8" w:rsidRDefault="00E859EA" w:rsidP="007D2C2D">
      <w:r w:rsidRPr="00593749">
        <w:rPr>
          <w:i/>
        </w:rPr>
        <w:t>Instructions</w:t>
      </w:r>
      <w:r w:rsidRPr="00593749">
        <w:t>: For detailed instructions on submitting comments and additional information on the rulemaking process,</w:t>
      </w:r>
      <w:r>
        <w:t xml:space="preserve"> see the Comment Procedures Section of this document</w:t>
      </w:r>
      <w:r w:rsidR="00E30F9B">
        <w:t>.</w:t>
      </w:r>
    </w:p>
    <w:p w14:paraId="0B0934ED" w14:textId="77777777" w:rsidR="00E859EA" w:rsidRDefault="00E859EA" w:rsidP="007D2C2D"/>
    <w:p w14:paraId="7B40180C" w14:textId="77777777" w:rsidR="00E859EA" w:rsidRDefault="00E859EA" w:rsidP="007D2C2D">
      <w:r>
        <w:rPr>
          <w:u w:val="single"/>
        </w:rPr>
        <w:t>FOR FURTHER INFORMATION CONTACT</w:t>
      </w:r>
      <w:r>
        <w:t>:</w:t>
      </w:r>
    </w:p>
    <w:p w14:paraId="64E78E27" w14:textId="77777777" w:rsidR="00E859EA" w:rsidRDefault="00E859EA" w:rsidP="007D2C2D"/>
    <w:p w14:paraId="22454982" w14:textId="77777777" w:rsidR="00E859EA" w:rsidRDefault="00366869" w:rsidP="007D2C2D">
      <w:r>
        <w:t>Raymond Orocco-John</w:t>
      </w:r>
      <w:r w:rsidR="000D0CB7">
        <w:t xml:space="preserve"> (Technical Information)</w:t>
      </w:r>
    </w:p>
    <w:p w14:paraId="5721C3D0" w14:textId="77777777" w:rsidR="000D0CB7" w:rsidRDefault="000D0CB7" w:rsidP="007D2C2D">
      <w:r>
        <w:t>Office of Electric Reliability</w:t>
      </w:r>
    </w:p>
    <w:p w14:paraId="4561D642" w14:textId="77777777" w:rsidR="000D0CB7" w:rsidRDefault="000D0CB7" w:rsidP="007D2C2D">
      <w:r>
        <w:t>Federal Energy Regulatory Commission</w:t>
      </w:r>
    </w:p>
    <w:p w14:paraId="556577B2" w14:textId="339DBE15" w:rsidR="009B421D" w:rsidRDefault="009B421D" w:rsidP="007D2C2D">
      <w:r>
        <w:t>888 First Street, NE</w:t>
      </w:r>
    </w:p>
    <w:p w14:paraId="30ADB9B6" w14:textId="77777777" w:rsidR="009B421D" w:rsidRDefault="009B421D" w:rsidP="007D2C2D">
      <w:r>
        <w:t>Washington, DC 20426</w:t>
      </w:r>
    </w:p>
    <w:p w14:paraId="13BA50FD" w14:textId="77777777" w:rsidR="009B421D" w:rsidRDefault="000D0CB7" w:rsidP="007D2C2D">
      <w:r>
        <w:t xml:space="preserve">Telephone: </w:t>
      </w:r>
      <w:r w:rsidR="009B421D">
        <w:t>(202) 502-6</w:t>
      </w:r>
      <w:r w:rsidR="00366869">
        <w:t>593</w:t>
      </w:r>
    </w:p>
    <w:p w14:paraId="6DC1B387" w14:textId="77777777" w:rsidR="000D0CB7" w:rsidRDefault="00366869" w:rsidP="007D2C2D">
      <w:r>
        <w:t>Raymond.O</w:t>
      </w:r>
      <w:r w:rsidRPr="00366869">
        <w:t>rocco-</w:t>
      </w:r>
      <w:r>
        <w:t>J</w:t>
      </w:r>
      <w:r w:rsidRPr="00366869">
        <w:t>ohn@ferc.gov</w:t>
      </w:r>
    </w:p>
    <w:p w14:paraId="3B113608" w14:textId="77777777" w:rsidR="009B421D" w:rsidRDefault="009B421D" w:rsidP="007D2C2D"/>
    <w:p w14:paraId="1E52B1A4" w14:textId="77777777" w:rsidR="000D0CB7" w:rsidRDefault="000D0CB7" w:rsidP="000D0CB7">
      <w:r>
        <w:t>Matthew Vlissides (Legal Information)</w:t>
      </w:r>
    </w:p>
    <w:p w14:paraId="6575A729" w14:textId="77777777" w:rsidR="000D0CB7" w:rsidRDefault="000D0CB7" w:rsidP="000D0CB7">
      <w:r>
        <w:t>Office of the General Counsel</w:t>
      </w:r>
    </w:p>
    <w:p w14:paraId="6D9AADC7" w14:textId="77777777" w:rsidR="000D0CB7" w:rsidRDefault="000D0CB7" w:rsidP="000D0CB7">
      <w:r>
        <w:t>Federal Energy Regulatory Commission</w:t>
      </w:r>
    </w:p>
    <w:p w14:paraId="62099BFC" w14:textId="77777777" w:rsidR="000D0CB7" w:rsidRDefault="000D0CB7" w:rsidP="000D0CB7">
      <w:r>
        <w:t>888 First Street, NE</w:t>
      </w:r>
    </w:p>
    <w:p w14:paraId="25B1F395" w14:textId="77777777" w:rsidR="000D0CB7" w:rsidRDefault="000D0CB7" w:rsidP="000D0CB7">
      <w:r>
        <w:t>Washington, DC 20426</w:t>
      </w:r>
    </w:p>
    <w:p w14:paraId="36DA5739" w14:textId="77777777" w:rsidR="000D0CB7" w:rsidRDefault="000D0CB7" w:rsidP="000D0CB7">
      <w:r>
        <w:t>Telephone: (202) 502-8408</w:t>
      </w:r>
    </w:p>
    <w:p w14:paraId="7150F31B" w14:textId="77777777" w:rsidR="00E859EA" w:rsidRDefault="000D0CB7" w:rsidP="000D0CB7">
      <w:r w:rsidRPr="00D95FD8">
        <w:t>Matthew.Vlissides@ferc.gov</w:t>
      </w:r>
      <w:r>
        <w:t xml:space="preserve"> </w:t>
      </w:r>
      <w:r w:rsidR="006A057C">
        <w:fldChar w:fldCharType="begin"/>
      </w:r>
      <w:r w:rsidR="00E859EA">
        <w:instrText xml:space="preserve"> MACROBUTTON  AcceptAllChangesInDoc </w:instrText>
      </w:r>
      <w:r w:rsidR="006A057C">
        <w:fldChar w:fldCharType="end"/>
      </w:r>
      <w:r w:rsidR="006A057C">
        <w:fldChar w:fldCharType="begin"/>
      </w:r>
      <w:r w:rsidR="00E859EA">
        <w:instrText xml:space="preserve"> MACROBUTTON  AcceptAllChangesInDoc </w:instrText>
      </w:r>
      <w:r w:rsidR="006A057C">
        <w:fldChar w:fldCharType="end"/>
      </w:r>
      <w:r>
        <w:t xml:space="preserve">  </w:t>
      </w:r>
    </w:p>
    <w:p w14:paraId="498B4500" w14:textId="77777777" w:rsidR="00E859EA" w:rsidRDefault="00E859EA" w:rsidP="007D2C2D"/>
    <w:p w14:paraId="7EE2E3F1" w14:textId="77777777" w:rsidR="00E859EA" w:rsidRDefault="00E859EA" w:rsidP="007D2C2D">
      <w:pPr>
        <w:sectPr w:rsidR="00E859EA" w:rsidSect="00CF0F24">
          <w:headerReference w:type="even" r:id="rId8"/>
          <w:headerReference w:type="default" r:id="rId9"/>
          <w:pgSz w:w="12240" w:h="15840"/>
          <w:pgMar w:top="1440" w:right="1440" w:bottom="1260" w:left="1440" w:header="720" w:footer="1440" w:gutter="0"/>
          <w:pgNumType w:fmt="numberInDash" w:start="1"/>
          <w:cols w:space="720"/>
          <w:noEndnote/>
          <w:titlePg/>
          <w:docGrid w:linePitch="354"/>
        </w:sectPr>
      </w:pPr>
      <w:r>
        <w:rPr>
          <w:u w:val="single"/>
        </w:rPr>
        <w:t>SUPPLEMENTARY INFORMATION</w:t>
      </w:r>
      <w:r>
        <w:t>:</w:t>
      </w:r>
    </w:p>
    <w:p w14:paraId="1B3D77AB" w14:textId="4F9EA03B" w:rsidR="00DE35E3" w:rsidRDefault="00DE35E3" w:rsidP="007D2C2D">
      <w:pPr>
        <w:jc w:val="center"/>
      </w:pPr>
      <w:r w:rsidRPr="00DE35E3">
        <w:lastRenderedPageBreak/>
        <w:t>152 FERC ¶ 61,208</w:t>
      </w:r>
    </w:p>
    <w:p w14:paraId="614F97AC" w14:textId="77777777" w:rsidR="00E859EA" w:rsidRDefault="00E859EA" w:rsidP="007D2C2D">
      <w:pPr>
        <w:jc w:val="center"/>
      </w:pPr>
      <w:r w:rsidRPr="00C10EF5">
        <w:t>UNITED</w:t>
      </w:r>
      <w:r>
        <w:t xml:space="preserve"> STATES OF AMERICA</w:t>
      </w:r>
    </w:p>
    <w:p w14:paraId="457A9CBE" w14:textId="77777777" w:rsidR="00E859EA" w:rsidRDefault="00E859EA" w:rsidP="007D2C2D">
      <w:pPr>
        <w:jc w:val="center"/>
      </w:pPr>
      <w:r>
        <w:t>FEDERAL ENERGY REGULATORY COMMISSION</w:t>
      </w:r>
    </w:p>
    <w:p w14:paraId="0BDBF726" w14:textId="77777777" w:rsidR="00E859EA" w:rsidRDefault="00E859EA" w:rsidP="007D2C2D"/>
    <w:p w14:paraId="10A52348" w14:textId="77777777" w:rsidR="00E859EA" w:rsidRDefault="00E859EA" w:rsidP="007D2C2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E859EA" w14:paraId="12DA2BEC" w14:textId="77777777" w:rsidTr="000937BB">
        <w:tc>
          <w:tcPr>
            <w:tcW w:w="5930" w:type="dxa"/>
            <w:shd w:val="clear" w:color="auto" w:fill="auto"/>
          </w:tcPr>
          <w:p w14:paraId="09089909" w14:textId="77777777" w:rsidR="00E859EA" w:rsidRDefault="000E7A63" w:rsidP="002F2473">
            <w:r>
              <w:t xml:space="preserve">Availability of Certain North American Electric Reliability Corporation </w:t>
            </w:r>
            <w:r w:rsidR="00D40C01">
              <w:t>Database</w:t>
            </w:r>
            <w:r>
              <w:t xml:space="preserve">s to </w:t>
            </w:r>
            <w:r w:rsidR="002F2473">
              <w:t xml:space="preserve">the </w:t>
            </w:r>
            <w:r>
              <w:t xml:space="preserve">Commission </w:t>
            </w:r>
          </w:p>
        </w:tc>
        <w:tc>
          <w:tcPr>
            <w:tcW w:w="1536" w:type="dxa"/>
            <w:shd w:val="clear" w:color="auto" w:fill="auto"/>
            <w:tcMar>
              <w:left w:w="72" w:type="dxa"/>
            </w:tcMar>
          </w:tcPr>
          <w:p w14:paraId="29E3A51E" w14:textId="77777777" w:rsidR="00E859EA" w:rsidRDefault="00E859EA" w:rsidP="007D2C2D">
            <w:pPr>
              <w:jc w:val="right"/>
            </w:pPr>
            <w:r>
              <w:t>Docket No.</w:t>
            </w:r>
          </w:p>
        </w:tc>
        <w:tc>
          <w:tcPr>
            <w:tcW w:w="1894" w:type="dxa"/>
            <w:shd w:val="clear" w:color="auto" w:fill="auto"/>
            <w:tcMar>
              <w:left w:w="144" w:type="dxa"/>
            </w:tcMar>
          </w:tcPr>
          <w:p w14:paraId="1D42483E" w14:textId="77777777" w:rsidR="00E859EA" w:rsidRDefault="000E7A63" w:rsidP="007D2C2D">
            <w:r>
              <w:t>RM15-</w:t>
            </w:r>
            <w:r w:rsidR="00B910AC">
              <w:t>25</w:t>
            </w:r>
            <w:r>
              <w:t>-000</w:t>
            </w:r>
          </w:p>
        </w:tc>
      </w:tr>
    </w:tbl>
    <w:p w14:paraId="56D3B574" w14:textId="77777777" w:rsidR="00E859EA" w:rsidRDefault="00E859EA" w:rsidP="007D2C2D"/>
    <w:p w14:paraId="12E5103D" w14:textId="77777777" w:rsidR="00E859EA" w:rsidRDefault="00E859EA" w:rsidP="007D2C2D"/>
    <w:p w14:paraId="78ACB99E" w14:textId="77777777" w:rsidR="00E859EA" w:rsidRDefault="00E859EA" w:rsidP="007D2C2D">
      <w:pPr>
        <w:jc w:val="center"/>
      </w:pPr>
      <w:r>
        <w:t>NOTICE OF PROPOSED RULEMAKING</w:t>
      </w:r>
    </w:p>
    <w:p w14:paraId="1559CADA" w14:textId="77777777" w:rsidR="00E859EA" w:rsidRDefault="00E859EA" w:rsidP="007D2C2D">
      <w:pPr>
        <w:jc w:val="center"/>
      </w:pPr>
    </w:p>
    <w:p w14:paraId="30C7C89D" w14:textId="7E982ED5" w:rsidR="00E859EA" w:rsidRDefault="00E30F9B" w:rsidP="00E30F9B">
      <w:pPr>
        <w:widowControl/>
        <w:jc w:val="center"/>
      </w:pPr>
      <w:r w:rsidRPr="00E30F9B">
        <w:t>(September 1</w:t>
      </w:r>
      <w:r>
        <w:t>7</w:t>
      </w:r>
      <w:r w:rsidRPr="00E30F9B">
        <w:t>, 2015)</w:t>
      </w:r>
    </w:p>
    <w:p w14:paraId="7B680A72" w14:textId="77777777" w:rsidR="00E859EA" w:rsidRDefault="00E859EA" w:rsidP="007D2C2D"/>
    <w:p w14:paraId="6165A854" w14:textId="6FECBA54" w:rsidR="0063130E" w:rsidRPr="00DE35E3" w:rsidRDefault="0063130E" w:rsidP="0063130E">
      <w:pPr>
        <w:pStyle w:val="FERCparanumber"/>
      </w:pPr>
      <w:r>
        <w:t xml:space="preserve">The Commission proposes to </w:t>
      </w:r>
      <w:r w:rsidRPr="00014800">
        <w:rPr>
          <w:szCs w:val="26"/>
        </w:rPr>
        <w:t>amend its regulations, pursuant to section 215 of the Federal Power Act (FPA),</w:t>
      </w:r>
      <w:r w:rsidRPr="00014800">
        <w:rPr>
          <w:b/>
          <w:bCs/>
          <w:sz w:val="17"/>
          <w:szCs w:val="17"/>
        </w:rPr>
        <w:t xml:space="preserve"> </w:t>
      </w:r>
      <w:r w:rsidR="000B3D7A">
        <w:rPr>
          <w:szCs w:val="26"/>
        </w:rPr>
        <w:t xml:space="preserve">to require the North American Electric Reliability Corporation (NERC), the Commission-certified Electric Reliability Organization (ERO), to provide </w:t>
      </w:r>
      <w:r w:rsidR="003F0525">
        <w:rPr>
          <w:szCs w:val="26"/>
        </w:rPr>
        <w:t xml:space="preserve">the </w:t>
      </w:r>
      <w:r w:rsidR="000B3D7A" w:rsidRPr="0063130E">
        <w:rPr>
          <w:szCs w:val="26"/>
        </w:rPr>
        <w:t>Commission</w:t>
      </w:r>
      <w:r w:rsidR="003F0525">
        <w:rPr>
          <w:szCs w:val="26"/>
        </w:rPr>
        <w:t xml:space="preserve">, and </w:t>
      </w:r>
      <w:r w:rsidR="001C575A">
        <w:rPr>
          <w:szCs w:val="26"/>
        </w:rPr>
        <w:t>Commission</w:t>
      </w:r>
      <w:r w:rsidR="000B3D7A" w:rsidRPr="0063130E">
        <w:rPr>
          <w:szCs w:val="26"/>
        </w:rPr>
        <w:t xml:space="preserve"> </w:t>
      </w:r>
      <w:r w:rsidR="000B3D7A">
        <w:rPr>
          <w:szCs w:val="26"/>
        </w:rPr>
        <w:t>staff</w:t>
      </w:r>
      <w:r w:rsidR="003F0525">
        <w:rPr>
          <w:szCs w:val="26"/>
        </w:rPr>
        <w:t>,</w:t>
      </w:r>
      <w:r w:rsidR="000B3D7A">
        <w:rPr>
          <w:szCs w:val="26"/>
        </w:rPr>
        <w:t xml:space="preserve"> with </w:t>
      </w:r>
      <w:r w:rsidR="000B3D7A" w:rsidRPr="0063130E">
        <w:rPr>
          <w:szCs w:val="26"/>
        </w:rPr>
        <w:t>access</w:t>
      </w:r>
      <w:r w:rsidR="00366869">
        <w:rPr>
          <w:szCs w:val="26"/>
        </w:rPr>
        <w:t xml:space="preserve"> (i.e., view and download data)</w:t>
      </w:r>
      <w:r w:rsidR="000B3D7A" w:rsidRPr="0063130E">
        <w:rPr>
          <w:szCs w:val="26"/>
        </w:rPr>
        <w:t xml:space="preserve">, on a non-public and ongoing basis, to </w:t>
      </w:r>
      <w:r w:rsidR="000B3D7A">
        <w:rPr>
          <w:szCs w:val="26"/>
        </w:rPr>
        <w:t xml:space="preserve">certain </w:t>
      </w:r>
      <w:r w:rsidR="00D40C01">
        <w:rPr>
          <w:szCs w:val="26"/>
        </w:rPr>
        <w:t>database</w:t>
      </w:r>
      <w:r w:rsidR="000B3D7A">
        <w:rPr>
          <w:szCs w:val="26"/>
        </w:rPr>
        <w:t>s compiled and maintained by NERC.  T</w:t>
      </w:r>
      <w:r w:rsidR="000B3D7A" w:rsidRPr="00014800">
        <w:rPr>
          <w:szCs w:val="26"/>
        </w:rPr>
        <w:t>he Commission</w:t>
      </w:r>
      <w:r w:rsidR="000B3D7A">
        <w:rPr>
          <w:szCs w:val="26"/>
        </w:rPr>
        <w:t xml:space="preserve">’s proposal applies </w:t>
      </w:r>
      <w:r w:rsidR="000B3D7A" w:rsidRPr="00014800">
        <w:rPr>
          <w:szCs w:val="26"/>
        </w:rPr>
        <w:t xml:space="preserve">to the following three NERC </w:t>
      </w:r>
      <w:r w:rsidR="00D40C01">
        <w:rPr>
          <w:szCs w:val="26"/>
        </w:rPr>
        <w:t>database</w:t>
      </w:r>
      <w:r w:rsidR="000B3D7A" w:rsidRPr="00014800">
        <w:rPr>
          <w:szCs w:val="26"/>
        </w:rPr>
        <w:t>s</w:t>
      </w:r>
      <w:r w:rsidR="00004784" w:rsidRPr="00014800">
        <w:rPr>
          <w:szCs w:val="26"/>
        </w:rPr>
        <w:t xml:space="preserve">:  (1) </w:t>
      </w:r>
      <w:r w:rsidR="00834557">
        <w:rPr>
          <w:szCs w:val="26"/>
        </w:rPr>
        <w:t xml:space="preserve">the </w:t>
      </w:r>
      <w:r w:rsidR="00004784" w:rsidRPr="00014800">
        <w:rPr>
          <w:szCs w:val="26"/>
        </w:rPr>
        <w:t xml:space="preserve">Transmission Availability Data System (TADS), (2) </w:t>
      </w:r>
      <w:r w:rsidR="00834557">
        <w:rPr>
          <w:szCs w:val="26"/>
        </w:rPr>
        <w:t xml:space="preserve">the </w:t>
      </w:r>
      <w:r w:rsidR="00004784" w:rsidRPr="00014800">
        <w:rPr>
          <w:szCs w:val="26"/>
        </w:rPr>
        <w:t>Generat</w:t>
      </w:r>
      <w:r w:rsidR="00A510B5">
        <w:rPr>
          <w:szCs w:val="26"/>
        </w:rPr>
        <w:t>ing</w:t>
      </w:r>
      <w:r w:rsidR="00004784" w:rsidRPr="00014800">
        <w:rPr>
          <w:szCs w:val="26"/>
        </w:rPr>
        <w:t xml:space="preserve"> Availability Data System (GADS), and (3) </w:t>
      </w:r>
      <w:r w:rsidR="00834557">
        <w:rPr>
          <w:szCs w:val="26"/>
        </w:rPr>
        <w:t xml:space="preserve">the </w:t>
      </w:r>
      <w:r w:rsidR="006251CC">
        <w:rPr>
          <w:szCs w:val="26"/>
        </w:rPr>
        <w:t xml:space="preserve">protection </w:t>
      </w:r>
      <w:r w:rsidR="00004784" w:rsidRPr="00014800">
        <w:rPr>
          <w:szCs w:val="26"/>
        </w:rPr>
        <w:t xml:space="preserve">system misoperations </w:t>
      </w:r>
      <w:r w:rsidR="00D40C01">
        <w:rPr>
          <w:szCs w:val="26"/>
        </w:rPr>
        <w:t>database</w:t>
      </w:r>
      <w:r w:rsidR="00004784" w:rsidRPr="00014800">
        <w:rPr>
          <w:szCs w:val="26"/>
        </w:rPr>
        <w:t xml:space="preserve">.  </w:t>
      </w:r>
      <w:r w:rsidR="000B3D7A">
        <w:rPr>
          <w:szCs w:val="26"/>
        </w:rPr>
        <w:t>Access to these</w:t>
      </w:r>
      <w:r w:rsidR="000B3D7A" w:rsidRPr="00014800">
        <w:rPr>
          <w:szCs w:val="26"/>
        </w:rPr>
        <w:t xml:space="preserve"> </w:t>
      </w:r>
      <w:r w:rsidR="00D40C01">
        <w:rPr>
          <w:szCs w:val="26"/>
        </w:rPr>
        <w:t>database</w:t>
      </w:r>
      <w:r w:rsidR="000B3D7A">
        <w:rPr>
          <w:szCs w:val="26"/>
        </w:rPr>
        <w:t>s</w:t>
      </w:r>
      <w:r w:rsidR="00366869">
        <w:rPr>
          <w:szCs w:val="26"/>
        </w:rPr>
        <w:t>, which will be limited to data regarding U.S. facilities,</w:t>
      </w:r>
      <w:r w:rsidR="00366869" w:rsidRPr="00014800">
        <w:rPr>
          <w:szCs w:val="26"/>
        </w:rPr>
        <w:t xml:space="preserve"> </w:t>
      </w:r>
      <w:r w:rsidR="000B3D7A" w:rsidRPr="00014800">
        <w:rPr>
          <w:szCs w:val="26"/>
        </w:rPr>
        <w:t xml:space="preserve">will </w:t>
      </w:r>
      <w:r w:rsidR="000B3D7A">
        <w:rPr>
          <w:szCs w:val="26"/>
        </w:rPr>
        <w:t>provide the Commission with information necessary for the Commission to</w:t>
      </w:r>
      <w:r w:rsidR="000B3D7A" w:rsidRPr="00014800">
        <w:rPr>
          <w:szCs w:val="26"/>
        </w:rPr>
        <w:t xml:space="preserve"> deter</w:t>
      </w:r>
      <w:r w:rsidR="000B3D7A">
        <w:rPr>
          <w:szCs w:val="26"/>
        </w:rPr>
        <w:t>mine</w:t>
      </w:r>
      <w:r w:rsidR="000B3D7A" w:rsidRPr="00014800">
        <w:rPr>
          <w:szCs w:val="26"/>
        </w:rPr>
        <w:t xml:space="preserve"> the </w:t>
      </w:r>
      <w:r w:rsidR="007F50B0">
        <w:rPr>
          <w:szCs w:val="26"/>
        </w:rPr>
        <w:t>need for</w:t>
      </w:r>
      <w:r w:rsidR="000B3D7A" w:rsidRPr="00014800">
        <w:rPr>
          <w:szCs w:val="26"/>
        </w:rPr>
        <w:t xml:space="preserve"> new or modified Reli</w:t>
      </w:r>
      <w:r w:rsidR="000B3D7A">
        <w:rPr>
          <w:szCs w:val="26"/>
        </w:rPr>
        <w:t>ability Standards</w:t>
      </w:r>
      <w:r w:rsidR="008251BE">
        <w:rPr>
          <w:szCs w:val="26"/>
        </w:rPr>
        <w:t xml:space="preserve"> and to better </w:t>
      </w:r>
      <w:r w:rsidR="00A510B5">
        <w:rPr>
          <w:szCs w:val="26"/>
        </w:rPr>
        <w:t>understand</w:t>
      </w:r>
      <w:r w:rsidR="00A510B5" w:rsidRPr="00014800">
        <w:rPr>
          <w:szCs w:val="26"/>
        </w:rPr>
        <w:t xml:space="preserve"> </w:t>
      </w:r>
      <w:r w:rsidR="000B3D7A" w:rsidRPr="00014800">
        <w:rPr>
          <w:szCs w:val="26"/>
        </w:rPr>
        <w:t>NERC</w:t>
      </w:r>
      <w:r w:rsidR="000B3D7A">
        <w:rPr>
          <w:szCs w:val="26"/>
        </w:rPr>
        <w:t>’s</w:t>
      </w:r>
      <w:r w:rsidR="000B3D7A" w:rsidRPr="00014800">
        <w:rPr>
          <w:szCs w:val="26"/>
        </w:rPr>
        <w:t xml:space="preserve"> </w:t>
      </w:r>
      <w:r w:rsidR="007F50B0">
        <w:rPr>
          <w:szCs w:val="26"/>
        </w:rPr>
        <w:t xml:space="preserve">periodic </w:t>
      </w:r>
      <w:r w:rsidR="000B3D7A" w:rsidRPr="00014800">
        <w:rPr>
          <w:szCs w:val="26"/>
        </w:rPr>
        <w:t>reliability and adequacy assessments</w:t>
      </w:r>
      <w:r w:rsidR="000B3D7A">
        <w:rPr>
          <w:szCs w:val="26"/>
        </w:rPr>
        <w:t>.</w:t>
      </w:r>
    </w:p>
    <w:p w14:paraId="1375EA4D" w14:textId="77777777" w:rsidR="00DE35E3" w:rsidRDefault="00DE35E3" w:rsidP="00DE35E3">
      <w:pPr>
        <w:pStyle w:val="FERCparanumber"/>
        <w:numPr>
          <w:ilvl w:val="0"/>
          <w:numId w:val="0"/>
        </w:numPr>
      </w:pPr>
    </w:p>
    <w:p w14:paraId="13F79488" w14:textId="77777777" w:rsidR="00E859EA" w:rsidRDefault="00E859EA" w:rsidP="00E859EA">
      <w:pPr>
        <w:pStyle w:val="Heading1"/>
        <w:numPr>
          <w:ilvl w:val="0"/>
          <w:numId w:val="27"/>
        </w:numPr>
      </w:pPr>
      <w:r>
        <w:lastRenderedPageBreak/>
        <w:t>Background</w:t>
      </w:r>
    </w:p>
    <w:p w14:paraId="1C09DC1B" w14:textId="77777777" w:rsidR="00014800" w:rsidRPr="008E0F58" w:rsidRDefault="00014800" w:rsidP="00014800">
      <w:pPr>
        <w:pStyle w:val="Heading2"/>
        <w:tabs>
          <w:tab w:val="clear" w:pos="1008"/>
          <w:tab w:val="num" w:pos="720"/>
          <w:tab w:val="num" w:pos="1440"/>
        </w:tabs>
        <w:autoSpaceDE/>
        <w:autoSpaceDN/>
        <w:adjustRightInd/>
        <w:ind w:left="1440" w:hanging="720"/>
      </w:pPr>
      <w:r>
        <w:t>Section 215 and Order No. 672</w:t>
      </w:r>
    </w:p>
    <w:p w14:paraId="414DC236" w14:textId="77777777" w:rsidR="00014800" w:rsidRPr="00EC731A" w:rsidRDefault="00014800" w:rsidP="00014800">
      <w:pPr>
        <w:pStyle w:val="FERCparanumber"/>
        <w:widowControl w:val="0"/>
        <w:tabs>
          <w:tab w:val="clear" w:pos="720"/>
        </w:tabs>
        <w:autoSpaceDE/>
        <w:autoSpaceDN/>
        <w:adjustRightInd/>
      </w:pPr>
      <w:r>
        <w:t>Se</w:t>
      </w:r>
      <w:r w:rsidR="00811DCD">
        <w:t xml:space="preserve">ction 215 of the FPA requires the </w:t>
      </w:r>
      <w:r>
        <w:t xml:space="preserve">ERO to develop mandatory and enforceable Reliability Standards, subject to Commission review and approval.  </w:t>
      </w:r>
      <w:r w:rsidRPr="009B4B4D">
        <w:rPr>
          <w:szCs w:val="26"/>
        </w:rPr>
        <w:t>Reliability Standards may be enforced by NERC, subject to Commission oversight, or by the Commission independently.</w:t>
      </w:r>
      <w:r w:rsidRPr="009B4B4D">
        <w:rPr>
          <w:b/>
          <w:szCs w:val="26"/>
          <w:vertAlign w:val="superscript"/>
        </w:rPr>
        <w:footnoteReference w:id="2"/>
      </w:r>
      <w:r w:rsidRPr="009B4B4D">
        <w:rPr>
          <w:szCs w:val="26"/>
        </w:rPr>
        <w:t xml:space="preserve">  </w:t>
      </w:r>
      <w:r w:rsidR="00366869">
        <w:rPr>
          <w:szCs w:val="26"/>
        </w:rPr>
        <w:t>In addition, section 215(g) of the FPA requires the ERO to conduct period</w:t>
      </w:r>
      <w:r w:rsidR="001062C4">
        <w:rPr>
          <w:szCs w:val="26"/>
        </w:rPr>
        <w:t>ic</w:t>
      </w:r>
      <w:r w:rsidR="00366869">
        <w:rPr>
          <w:szCs w:val="26"/>
        </w:rPr>
        <w:t xml:space="preserve"> assessments of the reliability and adequacy of the Bulk-Power System in North America.</w:t>
      </w:r>
      <w:r w:rsidR="00366869">
        <w:rPr>
          <w:rStyle w:val="FootnoteReference"/>
        </w:rPr>
        <w:footnoteReference w:id="3"/>
      </w:r>
      <w:r w:rsidR="00366869">
        <w:rPr>
          <w:szCs w:val="26"/>
        </w:rPr>
        <w:t xml:space="preserve">  </w:t>
      </w:r>
      <w:r w:rsidRPr="00661B73">
        <w:rPr>
          <w:szCs w:val="26"/>
        </w:rPr>
        <w:t>Pursuant to section 215 of the FPA, the Commission established a process to select and certify an ERO,</w:t>
      </w:r>
      <w:r w:rsidRPr="009B4B4D">
        <w:rPr>
          <w:b/>
          <w:szCs w:val="26"/>
          <w:vertAlign w:val="superscript"/>
        </w:rPr>
        <w:footnoteReference w:id="4"/>
      </w:r>
      <w:r w:rsidRPr="00661B73">
        <w:rPr>
          <w:szCs w:val="26"/>
        </w:rPr>
        <w:t xml:space="preserve"> and subsequently certified NERC.</w:t>
      </w:r>
      <w:r w:rsidRPr="009B4B4D">
        <w:rPr>
          <w:b/>
          <w:bCs/>
          <w:szCs w:val="26"/>
          <w:vertAlign w:val="superscript"/>
        </w:rPr>
        <w:footnoteReference w:id="5"/>
      </w:r>
      <w:r w:rsidRPr="00661B73">
        <w:rPr>
          <w:szCs w:val="26"/>
        </w:rPr>
        <w:t xml:space="preserve">  </w:t>
      </w:r>
    </w:p>
    <w:p w14:paraId="5F20799E" w14:textId="77777777" w:rsidR="00EC731A" w:rsidRPr="0010607E" w:rsidRDefault="00EC731A" w:rsidP="00EC731A">
      <w:pPr>
        <w:pStyle w:val="FERCparanumber"/>
      </w:pPr>
      <w:r w:rsidRPr="0010607E">
        <w:t>Se</w:t>
      </w:r>
      <w:r w:rsidR="00811DCD">
        <w:t>ction 39.2(d) of the Commission’s r</w:t>
      </w:r>
      <w:r w:rsidRPr="0010607E">
        <w:t>egulations requires NERC and each Regional Entity to “provide the Commission such information as is necessary to implement section 215 of the Federal Power Act.”</w:t>
      </w:r>
      <w:r w:rsidRPr="0010607E">
        <w:rPr>
          <w:rStyle w:val="FootnoteReference"/>
        </w:rPr>
        <w:footnoteReference w:id="6"/>
      </w:r>
      <w:r w:rsidRPr="0010607E">
        <w:t xml:space="preserve">  Section 39.2(d) of the Commission</w:t>
      </w:r>
      <w:r w:rsidR="00811DCD">
        <w:t>’s r</w:t>
      </w:r>
      <w:r w:rsidRPr="0010607E">
        <w:t xml:space="preserve">egulations also requires each </w:t>
      </w:r>
      <w:r w:rsidR="00811DCD">
        <w:t xml:space="preserve">user, </w:t>
      </w:r>
      <w:r w:rsidRPr="0010607E">
        <w:t xml:space="preserve">owner and operator of the Bulk-Power System </w:t>
      </w:r>
      <w:r w:rsidR="00811DCD">
        <w:t xml:space="preserve">within the United States (other than Alaska and Hawaii) </w:t>
      </w:r>
      <w:r w:rsidRPr="0010607E">
        <w:t xml:space="preserve">to provide the Commission, NERC and </w:t>
      </w:r>
      <w:r w:rsidR="00811DCD">
        <w:t xml:space="preserve">each </w:t>
      </w:r>
      <w:r w:rsidRPr="0010607E">
        <w:t xml:space="preserve">applicable Regional Entity </w:t>
      </w:r>
      <w:r w:rsidR="006E6192">
        <w:t xml:space="preserve">with </w:t>
      </w:r>
      <w:r w:rsidRPr="0010607E">
        <w:t>“such information as is necessary to implement section 215 of the Federal Power Act as determined by the Commission and set out in the Rules of the Electric Reliability Organization and each applicable Regional Entity.”</w:t>
      </w:r>
      <w:r w:rsidRPr="0010607E">
        <w:rPr>
          <w:rStyle w:val="FootnoteReference"/>
        </w:rPr>
        <w:footnoteReference w:id="7"/>
      </w:r>
    </w:p>
    <w:p w14:paraId="7BE680BB" w14:textId="77777777" w:rsidR="00EC731A" w:rsidRPr="0010607E" w:rsidRDefault="00EC731A" w:rsidP="00EC731A">
      <w:pPr>
        <w:pStyle w:val="FERCparanumber"/>
      </w:pPr>
      <w:r w:rsidRPr="0010607E">
        <w:t>T</w:t>
      </w:r>
      <w:r w:rsidRPr="0010607E">
        <w:rPr>
          <w:iCs/>
        </w:rPr>
        <w:t>he Commission promulgated s</w:t>
      </w:r>
      <w:r w:rsidRPr="0010607E">
        <w:t>ec</w:t>
      </w:r>
      <w:r w:rsidR="007D2C2D">
        <w:t xml:space="preserve">tion 39.2(d) of </w:t>
      </w:r>
      <w:r w:rsidR="00902800">
        <w:t>its</w:t>
      </w:r>
      <w:r w:rsidR="007D2C2D">
        <w:t xml:space="preserve"> r</w:t>
      </w:r>
      <w:r w:rsidRPr="0010607E">
        <w:t>egulations in Order No. 672</w:t>
      </w:r>
      <w:r w:rsidRPr="0010607E">
        <w:rPr>
          <w:iCs/>
        </w:rPr>
        <w:t>.</w:t>
      </w:r>
      <w:r w:rsidRPr="0010607E">
        <w:rPr>
          <w:rStyle w:val="FootnoteReference"/>
          <w:iCs/>
        </w:rPr>
        <w:footnoteReference w:id="8"/>
      </w:r>
      <w:r w:rsidRPr="0010607E">
        <w:rPr>
          <w:iCs/>
        </w:rPr>
        <w:t xml:space="preserve">  </w:t>
      </w:r>
      <w:r w:rsidR="000B3D7A">
        <w:t>The</w:t>
      </w:r>
      <w:r w:rsidRPr="0010607E">
        <w:t xml:space="preserve"> Commission </w:t>
      </w:r>
      <w:r w:rsidR="00CF5FDD">
        <w:t>explained</w:t>
      </w:r>
      <w:r w:rsidRPr="0010607E">
        <w:t xml:space="preserve"> </w:t>
      </w:r>
      <w:r w:rsidR="007D2C2D">
        <w:t xml:space="preserve">in Order No. 672 </w:t>
      </w:r>
      <w:r w:rsidRPr="0010607E">
        <w:t>that:</w:t>
      </w:r>
    </w:p>
    <w:p w14:paraId="54E57A12" w14:textId="77777777" w:rsidR="00417620" w:rsidRDefault="00EC731A" w:rsidP="003E2C1B">
      <w:pPr>
        <w:pStyle w:val="FERCparanumber"/>
        <w:numPr>
          <w:ilvl w:val="0"/>
          <w:numId w:val="0"/>
        </w:numPr>
        <w:spacing w:after="240" w:line="240" w:lineRule="auto"/>
        <w:ind w:left="1440" w:right="720"/>
      </w:pPr>
      <w:r w:rsidRPr="0010607E">
        <w:t xml:space="preserve">The Commission agrees . . . that, to fulfill its obligations under this Final Rule, the ERO or a Regional Entity will need access to certain data from users, owners and operators of the Bulk-Power System.  </w:t>
      </w:r>
      <w:r w:rsidRPr="00CF5FDD">
        <w:t>Further, the Comm</w:t>
      </w:r>
      <w:r w:rsidRPr="003E2C1B">
        <w:t>ission will need access to such information as is necessary to fulfill its oversight and enforcement roles under the statute.</w:t>
      </w:r>
      <w:r w:rsidRPr="003E2C1B">
        <w:rPr>
          <w:rStyle w:val="FootnoteReference"/>
          <w:iCs/>
        </w:rPr>
        <w:footnoteReference w:id="9"/>
      </w:r>
    </w:p>
    <w:p w14:paraId="0288F336" w14:textId="77777777" w:rsidR="00014800" w:rsidRDefault="00014800" w:rsidP="003E2C1B">
      <w:pPr>
        <w:pStyle w:val="Heading2"/>
        <w:tabs>
          <w:tab w:val="clear" w:pos="1008"/>
        </w:tabs>
        <w:ind w:left="1440" w:hanging="720"/>
      </w:pPr>
      <w:r>
        <w:t xml:space="preserve">NERC </w:t>
      </w:r>
      <w:r w:rsidR="00D40C01">
        <w:t>Database</w:t>
      </w:r>
      <w:r w:rsidR="006251CC">
        <w:t>s</w:t>
      </w:r>
    </w:p>
    <w:p w14:paraId="5AE71CF5" w14:textId="77777777" w:rsidR="003E2C1B" w:rsidRPr="00DE35E3" w:rsidRDefault="000B3D7A" w:rsidP="003E2C1B">
      <w:pPr>
        <w:pStyle w:val="FERCparanumber"/>
      </w:pPr>
      <w:r>
        <w:t xml:space="preserve">NERC </w:t>
      </w:r>
      <w:r w:rsidR="006251CC">
        <w:t>conducts</w:t>
      </w:r>
      <w:r w:rsidR="00417620">
        <w:t xml:space="preserve"> ongoing data collections from </w:t>
      </w:r>
      <w:r w:rsidR="00986DCC">
        <w:rPr>
          <w:szCs w:val="26"/>
        </w:rPr>
        <w:t xml:space="preserve">registered entities </w:t>
      </w:r>
      <w:r w:rsidR="006251CC">
        <w:rPr>
          <w:szCs w:val="26"/>
        </w:rPr>
        <w:t xml:space="preserve">to populate </w:t>
      </w:r>
      <w:r w:rsidR="00D40C01">
        <w:rPr>
          <w:szCs w:val="26"/>
        </w:rPr>
        <w:t>database</w:t>
      </w:r>
      <w:r w:rsidR="006251CC">
        <w:rPr>
          <w:szCs w:val="26"/>
        </w:rPr>
        <w:t xml:space="preserve">s for </w:t>
      </w:r>
      <w:r w:rsidR="00417620" w:rsidRPr="00417620">
        <w:rPr>
          <w:szCs w:val="26"/>
        </w:rPr>
        <w:t>transmission outage</w:t>
      </w:r>
      <w:r w:rsidR="006251CC">
        <w:rPr>
          <w:szCs w:val="26"/>
        </w:rPr>
        <w:t>s</w:t>
      </w:r>
      <w:r w:rsidR="00417620" w:rsidRPr="00417620">
        <w:rPr>
          <w:szCs w:val="26"/>
        </w:rPr>
        <w:t xml:space="preserve"> through TADS, generation outage</w:t>
      </w:r>
      <w:r w:rsidR="006251CC">
        <w:rPr>
          <w:szCs w:val="26"/>
        </w:rPr>
        <w:t xml:space="preserve">s </w:t>
      </w:r>
      <w:r w:rsidR="00417620" w:rsidRPr="00417620">
        <w:rPr>
          <w:szCs w:val="26"/>
        </w:rPr>
        <w:t xml:space="preserve">through GADS, and </w:t>
      </w:r>
      <w:r w:rsidR="006251CC">
        <w:rPr>
          <w:szCs w:val="26"/>
        </w:rPr>
        <w:t xml:space="preserve">protection </w:t>
      </w:r>
      <w:r w:rsidR="00417620" w:rsidRPr="00417620">
        <w:rPr>
          <w:szCs w:val="26"/>
        </w:rPr>
        <w:t xml:space="preserve">system misoperations through </w:t>
      </w:r>
      <w:r w:rsidR="00960E4E">
        <w:rPr>
          <w:szCs w:val="26"/>
        </w:rPr>
        <w:t>NERC’</w:t>
      </w:r>
      <w:r w:rsidR="003E2C1B">
        <w:rPr>
          <w:szCs w:val="26"/>
        </w:rPr>
        <w:t>s</w:t>
      </w:r>
      <w:r w:rsidR="006251CC">
        <w:rPr>
          <w:szCs w:val="26"/>
        </w:rPr>
        <w:t xml:space="preserve"> protection system</w:t>
      </w:r>
      <w:r w:rsidR="00960E4E">
        <w:rPr>
          <w:szCs w:val="26"/>
        </w:rPr>
        <w:t xml:space="preserve"> misoperations </w:t>
      </w:r>
      <w:r w:rsidR="00D40C01">
        <w:rPr>
          <w:szCs w:val="26"/>
        </w:rPr>
        <w:t>database</w:t>
      </w:r>
      <w:r w:rsidR="00417620" w:rsidRPr="00417620">
        <w:rPr>
          <w:szCs w:val="26"/>
        </w:rPr>
        <w:t xml:space="preserve">.  </w:t>
      </w:r>
      <w:r w:rsidR="00986DCC">
        <w:rPr>
          <w:szCs w:val="26"/>
        </w:rPr>
        <w:t xml:space="preserve">Each of these NERC </w:t>
      </w:r>
      <w:r w:rsidR="00D40C01">
        <w:rPr>
          <w:szCs w:val="26"/>
        </w:rPr>
        <w:t>database</w:t>
      </w:r>
      <w:r w:rsidR="007351B9">
        <w:rPr>
          <w:szCs w:val="26"/>
        </w:rPr>
        <w:t>s</w:t>
      </w:r>
      <w:r w:rsidR="00986DCC">
        <w:rPr>
          <w:szCs w:val="26"/>
        </w:rPr>
        <w:t xml:space="preserve"> is discussed below.</w:t>
      </w:r>
    </w:p>
    <w:p w14:paraId="2DAA50E8" w14:textId="77777777" w:rsidR="00DE35E3" w:rsidRDefault="00DE35E3" w:rsidP="00DE35E3">
      <w:pPr>
        <w:pStyle w:val="FERCparanumber"/>
        <w:numPr>
          <w:ilvl w:val="0"/>
          <w:numId w:val="0"/>
        </w:numPr>
        <w:rPr>
          <w:szCs w:val="26"/>
        </w:rPr>
      </w:pPr>
    </w:p>
    <w:p w14:paraId="79EEB250" w14:textId="77777777" w:rsidR="00DE35E3" w:rsidRPr="003E2C1B" w:rsidRDefault="00DE35E3" w:rsidP="00DE35E3">
      <w:pPr>
        <w:pStyle w:val="FERCparanumber"/>
        <w:numPr>
          <w:ilvl w:val="0"/>
          <w:numId w:val="0"/>
        </w:numPr>
      </w:pPr>
    </w:p>
    <w:p w14:paraId="6F4EC1A3" w14:textId="77777777" w:rsidR="00126458" w:rsidRPr="00CD5A56" w:rsidRDefault="00126458" w:rsidP="00986DCC">
      <w:pPr>
        <w:pStyle w:val="Heading3"/>
        <w:tabs>
          <w:tab w:val="clear" w:pos="1296"/>
        </w:tabs>
        <w:ind w:left="2160" w:hanging="720"/>
      </w:pPr>
      <w:r>
        <w:t>TADS Database</w:t>
      </w:r>
    </w:p>
    <w:p w14:paraId="3B678ADE" w14:textId="77777777" w:rsidR="00E0430B" w:rsidRPr="00E0430B" w:rsidRDefault="00986DCC" w:rsidP="00986DCC">
      <w:pPr>
        <w:pStyle w:val="FERCparanumber"/>
        <w:shd w:val="clear" w:color="auto" w:fill="FFFFFF"/>
        <w:autoSpaceDE/>
        <w:autoSpaceDN/>
        <w:adjustRightInd/>
        <w:spacing w:before="100" w:beforeAutospacing="1" w:after="100" w:afterAutospacing="1"/>
        <w:rPr>
          <w:color w:val="000000"/>
          <w:szCs w:val="26"/>
        </w:rPr>
      </w:pPr>
      <w:r w:rsidRPr="00986DCC">
        <w:rPr>
          <w:szCs w:val="26"/>
        </w:rPr>
        <w:t>NERC</w:t>
      </w:r>
      <w:r w:rsidR="002C591A" w:rsidRPr="00986DCC">
        <w:rPr>
          <w:szCs w:val="26"/>
        </w:rPr>
        <w:t xml:space="preserve"> </w:t>
      </w:r>
      <w:r w:rsidR="00384322">
        <w:rPr>
          <w:szCs w:val="26"/>
        </w:rPr>
        <w:t>began collecting</w:t>
      </w:r>
      <w:r w:rsidRPr="00986DCC">
        <w:rPr>
          <w:szCs w:val="26"/>
        </w:rPr>
        <w:t xml:space="preserve"> TADS </w:t>
      </w:r>
      <w:r w:rsidRPr="001062C4">
        <w:rPr>
          <w:szCs w:val="26"/>
        </w:rPr>
        <w:t xml:space="preserve">data </w:t>
      </w:r>
      <w:r w:rsidR="005A1093" w:rsidRPr="001062C4">
        <w:rPr>
          <w:szCs w:val="26"/>
        </w:rPr>
        <w:t xml:space="preserve">on a mandatory basis </w:t>
      </w:r>
      <w:r w:rsidRPr="001062C4">
        <w:rPr>
          <w:szCs w:val="26"/>
        </w:rPr>
        <w:t>i</w:t>
      </w:r>
      <w:r w:rsidR="002C591A" w:rsidRPr="001062C4">
        <w:rPr>
          <w:szCs w:val="26"/>
        </w:rPr>
        <w:t>n 2007</w:t>
      </w:r>
      <w:r w:rsidRPr="00986DCC">
        <w:rPr>
          <w:szCs w:val="26"/>
        </w:rPr>
        <w:t xml:space="preserve"> </w:t>
      </w:r>
      <w:r w:rsidR="00384322">
        <w:rPr>
          <w:szCs w:val="26"/>
        </w:rPr>
        <w:t>by issuing</w:t>
      </w:r>
      <w:r w:rsidR="009F4454" w:rsidRPr="00986DCC">
        <w:rPr>
          <w:szCs w:val="26"/>
        </w:rPr>
        <w:t xml:space="preserve"> a </w:t>
      </w:r>
      <w:r w:rsidR="00E00E25" w:rsidRPr="00986DCC">
        <w:rPr>
          <w:szCs w:val="26"/>
        </w:rPr>
        <w:t xml:space="preserve">Phase I </w:t>
      </w:r>
      <w:r w:rsidR="009F4454" w:rsidRPr="00986DCC">
        <w:rPr>
          <w:szCs w:val="26"/>
        </w:rPr>
        <w:t>data request pursuant to section 1600 of the NERC Rules of Procedure</w:t>
      </w:r>
      <w:r w:rsidRPr="00986DCC">
        <w:rPr>
          <w:szCs w:val="26"/>
        </w:rPr>
        <w:t>.</w:t>
      </w:r>
      <w:r w:rsidR="00384322">
        <w:rPr>
          <w:rStyle w:val="FootnoteReference"/>
        </w:rPr>
        <w:footnoteReference w:id="10"/>
      </w:r>
      <w:r w:rsidRPr="00986DCC">
        <w:rPr>
          <w:szCs w:val="26"/>
        </w:rPr>
        <w:t xml:space="preserve">  The request required</w:t>
      </w:r>
      <w:r w:rsidR="00384322">
        <w:rPr>
          <w:szCs w:val="26"/>
        </w:rPr>
        <w:t xml:space="preserve"> that</w:t>
      </w:r>
      <w:r w:rsidRPr="00986DCC">
        <w:rPr>
          <w:szCs w:val="26"/>
        </w:rPr>
        <w:t xml:space="preserve">, beginning </w:t>
      </w:r>
      <w:r w:rsidR="007F50B0">
        <w:rPr>
          <w:szCs w:val="26"/>
        </w:rPr>
        <w:t xml:space="preserve">in </w:t>
      </w:r>
      <w:r w:rsidRPr="00986DCC">
        <w:rPr>
          <w:szCs w:val="26"/>
        </w:rPr>
        <w:t>January 2008,</w:t>
      </w:r>
      <w:r w:rsidR="00384322">
        <w:rPr>
          <w:szCs w:val="26"/>
        </w:rPr>
        <w:t xml:space="preserve"> applicable entities </w:t>
      </w:r>
      <w:r w:rsidR="009F4454" w:rsidRPr="00986DCC">
        <w:rPr>
          <w:szCs w:val="26"/>
        </w:rPr>
        <w:t xml:space="preserve">provide </w:t>
      </w:r>
      <w:r w:rsidR="002C591A" w:rsidRPr="00986DCC">
        <w:rPr>
          <w:szCs w:val="26"/>
        </w:rPr>
        <w:t xml:space="preserve">certain </w:t>
      </w:r>
      <w:r w:rsidR="009F4454" w:rsidRPr="00986DCC">
        <w:rPr>
          <w:szCs w:val="26"/>
        </w:rPr>
        <w:t>d</w:t>
      </w:r>
      <w:r w:rsidR="00417620" w:rsidRPr="00986DCC">
        <w:rPr>
          <w:szCs w:val="26"/>
        </w:rPr>
        <w:t xml:space="preserve">ata for the TADS </w:t>
      </w:r>
      <w:r w:rsidR="00D40C01">
        <w:rPr>
          <w:szCs w:val="26"/>
        </w:rPr>
        <w:t>database</w:t>
      </w:r>
      <w:r w:rsidR="002C591A" w:rsidRPr="00986DCC">
        <w:rPr>
          <w:szCs w:val="26"/>
        </w:rPr>
        <w:t xml:space="preserve"> </w:t>
      </w:r>
      <w:r w:rsidR="00A20913" w:rsidRPr="00986DCC">
        <w:rPr>
          <w:szCs w:val="26"/>
        </w:rPr>
        <w:t>based on a common template</w:t>
      </w:r>
      <w:r w:rsidR="00417620" w:rsidRPr="00986DCC">
        <w:rPr>
          <w:szCs w:val="26"/>
        </w:rPr>
        <w:t>.</w:t>
      </w:r>
      <w:r w:rsidR="002602D1">
        <w:rPr>
          <w:rStyle w:val="FootnoteReference"/>
        </w:rPr>
        <w:footnoteReference w:id="11"/>
      </w:r>
      <w:r w:rsidR="00417620" w:rsidRPr="00986DCC">
        <w:rPr>
          <w:szCs w:val="26"/>
        </w:rPr>
        <w:t xml:space="preserve">  </w:t>
      </w:r>
      <w:r w:rsidR="002C591A" w:rsidRPr="00986DCC">
        <w:rPr>
          <w:szCs w:val="26"/>
        </w:rPr>
        <w:t xml:space="preserve">In 2010, NERC began </w:t>
      </w:r>
      <w:r w:rsidRPr="00986DCC">
        <w:rPr>
          <w:szCs w:val="26"/>
        </w:rPr>
        <w:t>collecting</w:t>
      </w:r>
      <w:r w:rsidR="002C591A" w:rsidRPr="00986DCC">
        <w:rPr>
          <w:szCs w:val="26"/>
        </w:rPr>
        <w:t xml:space="preserve"> Phase II TADS </w:t>
      </w:r>
      <w:r w:rsidR="00384322">
        <w:rPr>
          <w:szCs w:val="26"/>
        </w:rPr>
        <w:t>data</w:t>
      </w:r>
      <w:r w:rsidR="002C591A" w:rsidRPr="00986DCC">
        <w:rPr>
          <w:szCs w:val="26"/>
        </w:rPr>
        <w:t xml:space="preserve">, </w:t>
      </w:r>
      <w:r w:rsidRPr="00986DCC">
        <w:rPr>
          <w:szCs w:val="26"/>
        </w:rPr>
        <w:t xml:space="preserve">which </w:t>
      </w:r>
      <w:r w:rsidR="00F644D2">
        <w:rPr>
          <w:szCs w:val="26"/>
        </w:rPr>
        <w:t>include</w:t>
      </w:r>
      <w:r w:rsidR="002C591A" w:rsidRPr="00986DCC">
        <w:rPr>
          <w:szCs w:val="26"/>
        </w:rPr>
        <w:t xml:space="preserve"> additional fields of information on transmission outages.</w:t>
      </w:r>
      <w:r w:rsidR="00E0430B">
        <w:rPr>
          <w:rStyle w:val="FootnoteReference"/>
        </w:rPr>
        <w:footnoteReference w:id="12"/>
      </w:r>
      <w:r w:rsidR="00E0430B" w:rsidRPr="00E0430B">
        <w:rPr>
          <w:szCs w:val="26"/>
        </w:rPr>
        <w:t xml:space="preserve"> </w:t>
      </w:r>
      <w:r w:rsidR="002C591A" w:rsidRPr="00986DCC">
        <w:rPr>
          <w:szCs w:val="26"/>
        </w:rPr>
        <w:t xml:space="preserve">  </w:t>
      </w:r>
    </w:p>
    <w:p w14:paraId="0E473BD8" w14:textId="193A74B9" w:rsidR="00D33D26" w:rsidRPr="00DE35E3" w:rsidRDefault="002C591A" w:rsidP="004E600C">
      <w:pPr>
        <w:pStyle w:val="FERCparanumber"/>
        <w:shd w:val="clear" w:color="auto" w:fill="FFFFFF"/>
        <w:autoSpaceDE/>
        <w:autoSpaceDN/>
        <w:adjustRightInd/>
        <w:spacing w:before="100" w:beforeAutospacing="1" w:after="100" w:afterAutospacing="1"/>
        <w:rPr>
          <w:color w:val="000000"/>
          <w:szCs w:val="26"/>
        </w:rPr>
      </w:pPr>
      <w:r w:rsidRPr="00986DCC">
        <w:rPr>
          <w:szCs w:val="26"/>
        </w:rPr>
        <w:t xml:space="preserve">Currently, </w:t>
      </w:r>
      <w:r w:rsidR="00986DCC" w:rsidRPr="00986DCC">
        <w:rPr>
          <w:szCs w:val="26"/>
        </w:rPr>
        <w:t xml:space="preserve">the </w:t>
      </w:r>
      <w:r w:rsidRPr="00986DCC">
        <w:rPr>
          <w:color w:val="000000"/>
          <w:szCs w:val="26"/>
        </w:rPr>
        <w:t>TAD</w:t>
      </w:r>
      <w:r w:rsidR="00986DCC" w:rsidRPr="00986DCC">
        <w:rPr>
          <w:color w:val="000000"/>
          <w:szCs w:val="26"/>
        </w:rPr>
        <w:t xml:space="preserve">S </w:t>
      </w:r>
      <w:r w:rsidR="00D40C01">
        <w:rPr>
          <w:color w:val="000000"/>
          <w:szCs w:val="26"/>
        </w:rPr>
        <w:t>database</w:t>
      </w:r>
      <w:r w:rsidRPr="00986DCC">
        <w:rPr>
          <w:color w:val="000000"/>
          <w:szCs w:val="26"/>
        </w:rPr>
        <w:t xml:space="preserve"> </w:t>
      </w:r>
      <w:r w:rsidR="007D2C2D">
        <w:rPr>
          <w:color w:val="000000"/>
          <w:szCs w:val="26"/>
        </w:rPr>
        <w:t xml:space="preserve">compiles </w:t>
      </w:r>
      <w:r w:rsidRPr="00986DCC">
        <w:rPr>
          <w:color w:val="000000"/>
          <w:szCs w:val="26"/>
        </w:rPr>
        <w:t>transmission outage data in a common format for: </w:t>
      </w:r>
      <w:r w:rsidR="00986DCC" w:rsidRPr="00986DCC">
        <w:rPr>
          <w:color w:val="000000"/>
          <w:szCs w:val="26"/>
        </w:rPr>
        <w:t xml:space="preserve"> (1) </w:t>
      </w:r>
      <w:r w:rsidR="00986DCC">
        <w:rPr>
          <w:color w:val="000000"/>
          <w:szCs w:val="26"/>
        </w:rPr>
        <w:t>bulk electric system AC circuits (overhead and u</w:t>
      </w:r>
      <w:r w:rsidRPr="00986DCC">
        <w:rPr>
          <w:color w:val="000000"/>
          <w:szCs w:val="26"/>
        </w:rPr>
        <w:t>nderground);</w:t>
      </w:r>
      <w:r w:rsidR="00986DCC" w:rsidRPr="00986DCC">
        <w:rPr>
          <w:color w:val="000000"/>
          <w:szCs w:val="26"/>
        </w:rPr>
        <w:t xml:space="preserve"> (2)</w:t>
      </w:r>
      <w:r w:rsidR="00986DCC">
        <w:rPr>
          <w:color w:val="000000"/>
          <w:szCs w:val="26"/>
        </w:rPr>
        <w:t xml:space="preserve"> transmission t</w:t>
      </w:r>
      <w:r w:rsidRPr="00986DCC">
        <w:rPr>
          <w:color w:val="000000"/>
          <w:szCs w:val="26"/>
        </w:rPr>
        <w:t>ransformers (</w:t>
      </w:r>
      <w:r w:rsidR="00986DCC">
        <w:rPr>
          <w:color w:val="000000"/>
          <w:szCs w:val="26"/>
        </w:rPr>
        <w:t>except g</w:t>
      </w:r>
      <w:r w:rsidRPr="00986DCC">
        <w:rPr>
          <w:color w:val="000000"/>
          <w:szCs w:val="26"/>
        </w:rPr>
        <w:t>enerato</w:t>
      </w:r>
      <w:r w:rsidR="00986DCC">
        <w:rPr>
          <w:color w:val="000000"/>
          <w:szCs w:val="26"/>
        </w:rPr>
        <w:t>r step-up u</w:t>
      </w:r>
      <w:r w:rsidRPr="00986DCC">
        <w:rPr>
          <w:color w:val="000000"/>
          <w:szCs w:val="26"/>
        </w:rPr>
        <w:t>nits);</w:t>
      </w:r>
      <w:r w:rsidR="00986DCC">
        <w:rPr>
          <w:color w:val="000000"/>
          <w:szCs w:val="26"/>
        </w:rPr>
        <w:t xml:space="preserve"> (3) bulk electric system AC/DC back-to-back c</w:t>
      </w:r>
      <w:r w:rsidRPr="00986DCC">
        <w:rPr>
          <w:color w:val="000000"/>
          <w:szCs w:val="26"/>
        </w:rPr>
        <w:t>onverters;</w:t>
      </w:r>
      <w:r w:rsidR="00986DCC">
        <w:rPr>
          <w:color w:val="000000"/>
          <w:szCs w:val="26"/>
        </w:rPr>
        <w:t xml:space="preserve"> and (4) bulk electric system DC c</w:t>
      </w:r>
      <w:r w:rsidRPr="00986DCC">
        <w:rPr>
          <w:color w:val="000000"/>
          <w:szCs w:val="26"/>
        </w:rPr>
        <w:t>ircuits.</w:t>
      </w:r>
      <w:r w:rsidR="00E0430B">
        <w:rPr>
          <w:rStyle w:val="FootnoteReference"/>
          <w:color w:val="000000"/>
        </w:rPr>
        <w:footnoteReference w:id="13"/>
      </w:r>
      <w:r w:rsidR="00E0430B">
        <w:rPr>
          <w:color w:val="000000"/>
          <w:szCs w:val="26"/>
        </w:rPr>
        <w:t xml:space="preserve">  </w:t>
      </w:r>
      <w:r w:rsidR="00E73C0C" w:rsidRPr="00E0430B">
        <w:rPr>
          <w:szCs w:val="26"/>
        </w:rPr>
        <w:t xml:space="preserve">The </w:t>
      </w:r>
      <w:r w:rsidR="00986DCC" w:rsidRPr="00E0430B">
        <w:rPr>
          <w:szCs w:val="26"/>
        </w:rPr>
        <w:t xml:space="preserve">TADS </w:t>
      </w:r>
      <w:r w:rsidR="00E73C0C" w:rsidRPr="00E0430B">
        <w:rPr>
          <w:szCs w:val="26"/>
        </w:rPr>
        <w:t>data collection template includes the following</w:t>
      </w:r>
      <w:r w:rsidR="004D52E2" w:rsidRPr="00E0430B">
        <w:rPr>
          <w:szCs w:val="26"/>
        </w:rPr>
        <w:t xml:space="preserve"> </w:t>
      </w:r>
      <w:r w:rsidR="00384322" w:rsidRPr="00E0430B">
        <w:rPr>
          <w:szCs w:val="26"/>
        </w:rPr>
        <w:t xml:space="preserve">information </w:t>
      </w:r>
      <w:r w:rsidR="004D52E2" w:rsidRPr="00E0430B">
        <w:rPr>
          <w:szCs w:val="26"/>
        </w:rPr>
        <w:t xml:space="preserve">fields: </w:t>
      </w:r>
      <w:r w:rsidR="00D33D26" w:rsidRPr="00E0430B">
        <w:rPr>
          <w:szCs w:val="26"/>
        </w:rPr>
        <w:t xml:space="preserve"> </w:t>
      </w:r>
      <w:r w:rsidR="00986DCC" w:rsidRPr="00E0430B">
        <w:rPr>
          <w:szCs w:val="26"/>
        </w:rPr>
        <w:t xml:space="preserve">(1) </w:t>
      </w:r>
      <w:r w:rsidR="00D33D26" w:rsidRPr="00E0430B">
        <w:rPr>
          <w:szCs w:val="26"/>
        </w:rPr>
        <w:t>type of facilities,</w:t>
      </w:r>
      <w:r w:rsidR="00986DCC" w:rsidRPr="00E0430B">
        <w:rPr>
          <w:szCs w:val="26"/>
        </w:rPr>
        <w:t xml:space="preserve"> (2)</w:t>
      </w:r>
      <w:r w:rsidR="00D33D26" w:rsidRPr="00E0430B">
        <w:rPr>
          <w:szCs w:val="26"/>
        </w:rPr>
        <w:t xml:space="preserve"> </w:t>
      </w:r>
      <w:r w:rsidR="004D52E2" w:rsidRPr="00E0430B">
        <w:rPr>
          <w:szCs w:val="26"/>
        </w:rPr>
        <w:t xml:space="preserve">outage start </w:t>
      </w:r>
      <w:r w:rsidR="00D33D26" w:rsidRPr="00E0430B">
        <w:rPr>
          <w:szCs w:val="26"/>
        </w:rPr>
        <w:t xml:space="preserve">time </w:t>
      </w:r>
      <w:r w:rsidR="004D52E2" w:rsidRPr="00E0430B">
        <w:rPr>
          <w:szCs w:val="26"/>
        </w:rPr>
        <w:t>and duration</w:t>
      </w:r>
      <w:r w:rsidR="00D33D26" w:rsidRPr="00E0430B">
        <w:rPr>
          <w:szCs w:val="26"/>
        </w:rPr>
        <w:t xml:space="preserve">, </w:t>
      </w:r>
      <w:r w:rsidR="00986DCC" w:rsidRPr="00E0430B">
        <w:rPr>
          <w:szCs w:val="26"/>
        </w:rPr>
        <w:t xml:space="preserve">(3) </w:t>
      </w:r>
      <w:r w:rsidR="004D52E2" w:rsidRPr="00E0430B">
        <w:rPr>
          <w:szCs w:val="26"/>
        </w:rPr>
        <w:t xml:space="preserve">event type, </w:t>
      </w:r>
      <w:r w:rsidR="00986DCC" w:rsidRPr="00E0430B">
        <w:rPr>
          <w:szCs w:val="26"/>
        </w:rPr>
        <w:t xml:space="preserve">(4) </w:t>
      </w:r>
      <w:r w:rsidR="004D52E2" w:rsidRPr="00E0430B">
        <w:rPr>
          <w:szCs w:val="26"/>
        </w:rPr>
        <w:t xml:space="preserve">initiating cause code, and </w:t>
      </w:r>
      <w:r w:rsidR="00986DCC" w:rsidRPr="00E0430B">
        <w:rPr>
          <w:szCs w:val="26"/>
        </w:rPr>
        <w:t xml:space="preserve">(5) </w:t>
      </w:r>
      <w:r w:rsidR="004D52E2" w:rsidRPr="00E0430B">
        <w:rPr>
          <w:szCs w:val="26"/>
        </w:rPr>
        <w:t>sustained cause code (for sustained outages).</w:t>
      </w:r>
      <w:r w:rsidR="0043303C">
        <w:rPr>
          <w:rStyle w:val="FootnoteReference"/>
        </w:rPr>
        <w:footnoteReference w:id="14"/>
      </w:r>
      <w:r w:rsidR="004D52E2" w:rsidRPr="00E0430B">
        <w:rPr>
          <w:szCs w:val="26"/>
        </w:rPr>
        <w:t xml:space="preserve"> </w:t>
      </w:r>
      <w:r w:rsidR="00986DCC" w:rsidRPr="00E0430B">
        <w:rPr>
          <w:szCs w:val="26"/>
        </w:rPr>
        <w:t xml:space="preserve"> </w:t>
      </w:r>
      <w:r w:rsidR="00E0430B">
        <w:rPr>
          <w:szCs w:val="26"/>
        </w:rPr>
        <w:t>“C</w:t>
      </w:r>
      <w:r w:rsidR="00A32FB9" w:rsidRPr="00E0430B">
        <w:rPr>
          <w:szCs w:val="26"/>
        </w:rPr>
        <w:t xml:space="preserve">ause codes” for common </w:t>
      </w:r>
      <w:r w:rsidR="00F778C7" w:rsidRPr="00E0430B">
        <w:rPr>
          <w:szCs w:val="26"/>
        </w:rPr>
        <w:t>causes of transmission outages</w:t>
      </w:r>
      <w:r w:rsidR="00986DCC" w:rsidRPr="00E0430B">
        <w:rPr>
          <w:szCs w:val="26"/>
        </w:rPr>
        <w:t xml:space="preserve"> include</w:t>
      </w:r>
      <w:r w:rsidR="00A44F37" w:rsidRPr="00E0430B">
        <w:rPr>
          <w:szCs w:val="26"/>
        </w:rPr>
        <w:t xml:space="preserve">:  </w:t>
      </w:r>
      <w:r w:rsidR="00986DCC" w:rsidRPr="00E0430B">
        <w:rPr>
          <w:szCs w:val="26"/>
        </w:rPr>
        <w:t xml:space="preserve">(1) </w:t>
      </w:r>
      <w:r w:rsidR="008504AC">
        <w:rPr>
          <w:szCs w:val="26"/>
        </w:rPr>
        <w:t>lightning</w:t>
      </w:r>
      <w:r w:rsidR="00A44F37" w:rsidRPr="00E0430B">
        <w:rPr>
          <w:szCs w:val="26"/>
        </w:rPr>
        <w:t xml:space="preserve">, </w:t>
      </w:r>
      <w:r w:rsidR="00986DCC" w:rsidRPr="00E0430B">
        <w:rPr>
          <w:szCs w:val="26"/>
        </w:rPr>
        <w:t xml:space="preserve">(2) </w:t>
      </w:r>
      <w:r w:rsidR="00A44F37" w:rsidRPr="00E0430B">
        <w:rPr>
          <w:szCs w:val="26"/>
        </w:rPr>
        <w:t xml:space="preserve">fire, </w:t>
      </w:r>
      <w:r w:rsidR="00986DCC" w:rsidRPr="00E0430B">
        <w:rPr>
          <w:szCs w:val="26"/>
        </w:rPr>
        <w:t xml:space="preserve">(3) </w:t>
      </w:r>
      <w:r w:rsidR="00A44F37" w:rsidRPr="00E0430B">
        <w:rPr>
          <w:szCs w:val="26"/>
        </w:rPr>
        <w:t xml:space="preserve">vandalism, </w:t>
      </w:r>
      <w:r w:rsidR="00986DCC" w:rsidRPr="00E0430B">
        <w:rPr>
          <w:szCs w:val="26"/>
        </w:rPr>
        <w:t xml:space="preserve">(4) </w:t>
      </w:r>
      <w:r w:rsidR="00A44F37" w:rsidRPr="00E0430B">
        <w:rPr>
          <w:szCs w:val="26"/>
        </w:rPr>
        <w:t xml:space="preserve">failed equipment </w:t>
      </w:r>
      <w:r w:rsidR="00A44F37" w:rsidRPr="00DE35E3">
        <w:rPr>
          <w:szCs w:val="26"/>
        </w:rPr>
        <w:t xml:space="preserve">(with multiple sub-listings), </w:t>
      </w:r>
      <w:r w:rsidR="00986DCC" w:rsidRPr="00DE35E3">
        <w:rPr>
          <w:szCs w:val="26"/>
        </w:rPr>
        <w:t xml:space="preserve">(5) </w:t>
      </w:r>
      <w:r w:rsidR="00A44F37" w:rsidRPr="00DE35E3">
        <w:rPr>
          <w:szCs w:val="26"/>
        </w:rPr>
        <w:t>vegetation</w:t>
      </w:r>
      <w:r w:rsidR="00902800" w:rsidRPr="00DE35E3">
        <w:rPr>
          <w:szCs w:val="26"/>
        </w:rPr>
        <w:t>,</w:t>
      </w:r>
      <w:r w:rsidR="00A36E88" w:rsidRPr="00DE35E3">
        <w:rPr>
          <w:szCs w:val="26"/>
        </w:rPr>
        <w:t xml:space="preserve"> and </w:t>
      </w:r>
      <w:r w:rsidR="00986DCC" w:rsidRPr="00DE35E3">
        <w:rPr>
          <w:szCs w:val="26"/>
        </w:rPr>
        <w:t xml:space="preserve">(6) </w:t>
      </w:r>
      <w:r w:rsidR="00A36E88" w:rsidRPr="00DE35E3">
        <w:rPr>
          <w:szCs w:val="26"/>
        </w:rPr>
        <w:t>“unknown</w:t>
      </w:r>
      <w:r w:rsidR="00F778C7" w:rsidRPr="00DE35E3">
        <w:rPr>
          <w:szCs w:val="26"/>
        </w:rPr>
        <w:t>.</w:t>
      </w:r>
      <w:r w:rsidR="00A36E88" w:rsidRPr="00DE35E3">
        <w:rPr>
          <w:szCs w:val="26"/>
        </w:rPr>
        <w:t>”</w:t>
      </w:r>
      <w:r w:rsidR="0043303C">
        <w:rPr>
          <w:rStyle w:val="FootnoteReference"/>
        </w:rPr>
        <w:footnoteReference w:id="15"/>
      </w:r>
      <w:r w:rsidR="00F778C7" w:rsidRPr="00DE35E3">
        <w:rPr>
          <w:szCs w:val="26"/>
        </w:rPr>
        <w:t xml:space="preserve">  </w:t>
      </w:r>
      <w:r w:rsidR="00986DCC" w:rsidRPr="00DE35E3">
        <w:rPr>
          <w:szCs w:val="26"/>
        </w:rPr>
        <w:t>The</w:t>
      </w:r>
      <w:r w:rsidR="00EF7999" w:rsidRPr="00DE35E3">
        <w:rPr>
          <w:szCs w:val="26"/>
        </w:rPr>
        <w:t>re were 10,787 TADS events between 2012 and 2014</w:t>
      </w:r>
      <w:r w:rsidR="00F778C7" w:rsidRPr="00DE35E3">
        <w:rPr>
          <w:szCs w:val="26"/>
        </w:rPr>
        <w:t>.</w:t>
      </w:r>
      <w:r w:rsidR="0043303C">
        <w:rPr>
          <w:rStyle w:val="FootnoteReference"/>
        </w:rPr>
        <w:footnoteReference w:id="16"/>
      </w:r>
      <w:r w:rsidR="00F778C7" w:rsidRPr="00DE35E3">
        <w:rPr>
          <w:szCs w:val="26"/>
        </w:rPr>
        <w:t xml:space="preserve"> </w:t>
      </w:r>
    </w:p>
    <w:p w14:paraId="5DCF9519" w14:textId="77777777" w:rsidR="00D33D26" w:rsidRPr="00E30F9B" w:rsidRDefault="00D33D26" w:rsidP="00723AAA">
      <w:pPr>
        <w:pStyle w:val="FERCparanumber"/>
      </w:pPr>
      <w:r w:rsidRPr="00D33D26">
        <w:rPr>
          <w:color w:val="000000"/>
          <w:shd w:val="clear" w:color="auto" w:fill="FFFFFF"/>
        </w:rPr>
        <w:t>NERC use</w:t>
      </w:r>
      <w:r>
        <w:rPr>
          <w:color w:val="000000"/>
          <w:shd w:val="clear" w:color="auto" w:fill="FFFFFF"/>
        </w:rPr>
        <w:t>s</w:t>
      </w:r>
      <w:r w:rsidR="00986DCC">
        <w:rPr>
          <w:color w:val="000000"/>
          <w:shd w:val="clear" w:color="auto" w:fill="FFFFFF"/>
        </w:rPr>
        <w:t xml:space="preserve"> </w:t>
      </w:r>
      <w:r>
        <w:rPr>
          <w:color w:val="000000"/>
          <w:shd w:val="clear" w:color="auto" w:fill="FFFFFF"/>
        </w:rPr>
        <w:t>TADS</w:t>
      </w:r>
      <w:r w:rsidR="00986DCC">
        <w:rPr>
          <w:color w:val="000000"/>
          <w:shd w:val="clear" w:color="auto" w:fill="FFFFFF"/>
        </w:rPr>
        <w:t xml:space="preserve"> data </w:t>
      </w:r>
      <w:r w:rsidRPr="00D33D26">
        <w:rPr>
          <w:color w:val="000000"/>
          <w:shd w:val="clear" w:color="auto" w:fill="FFFFFF"/>
        </w:rPr>
        <w:t xml:space="preserve">to </w:t>
      </w:r>
      <w:r w:rsidR="006837CA">
        <w:rPr>
          <w:color w:val="000000"/>
          <w:shd w:val="clear" w:color="auto" w:fill="FFFFFF"/>
        </w:rPr>
        <w:t xml:space="preserve">develop transmission metrics </w:t>
      </w:r>
      <w:r w:rsidRPr="00D33D26">
        <w:rPr>
          <w:color w:val="000000"/>
          <w:shd w:val="clear" w:color="auto" w:fill="FFFFFF"/>
        </w:rPr>
        <w:t>t</w:t>
      </w:r>
      <w:r w:rsidR="006837CA">
        <w:rPr>
          <w:color w:val="000000"/>
          <w:shd w:val="clear" w:color="auto" w:fill="FFFFFF"/>
        </w:rPr>
        <w:t>o</w:t>
      </w:r>
      <w:r w:rsidRPr="00D33D26">
        <w:rPr>
          <w:color w:val="000000"/>
          <w:shd w:val="clear" w:color="auto" w:fill="FFFFFF"/>
        </w:rPr>
        <w:t xml:space="preserve"> analyze outage frequency, duration, causes, and other factors related to transmission outages.</w:t>
      </w:r>
      <w:r>
        <w:rPr>
          <w:rStyle w:val="FootnoteReference"/>
          <w:color w:val="000000"/>
          <w:shd w:val="clear" w:color="auto" w:fill="FFFFFF"/>
        </w:rPr>
        <w:footnoteReference w:id="17"/>
      </w:r>
      <w:r w:rsidRPr="00D33D26">
        <w:rPr>
          <w:color w:val="000000"/>
          <w:shd w:val="clear" w:color="auto" w:fill="FFFFFF"/>
        </w:rPr>
        <w:t xml:space="preserve"> </w:t>
      </w:r>
      <w:r w:rsidR="006837CA">
        <w:rPr>
          <w:color w:val="000000"/>
          <w:shd w:val="clear" w:color="auto" w:fill="FFFFFF"/>
        </w:rPr>
        <w:t xml:space="preserve"> </w:t>
      </w:r>
      <w:r w:rsidR="009461C7">
        <w:rPr>
          <w:color w:val="000000"/>
          <w:shd w:val="clear" w:color="auto" w:fill="FFFFFF"/>
        </w:rPr>
        <w:t>NERC also provides individual transmission owners with TADS metrics for their facilities.</w:t>
      </w:r>
      <w:r w:rsidR="00723AAA">
        <w:rPr>
          <w:rStyle w:val="FootnoteReference"/>
          <w:color w:val="000000"/>
          <w:shd w:val="clear" w:color="auto" w:fill="FFFFFF"/>
        </w:rPr>
        <w:footnoteReference w:id="18"/>
      </w:r>
      <w:r w:rsidR="009461C7">
        <w:rPr>
          <w:color w:val="000000"/>
          <w:shd w:val="clear" w:color="auto" w:fill="FFFFFF"/>
        </w:rPr>
        <w:t xml:space="preserve">  </w:t>
      </w:r>
      <w:r w:rsidRPr="00D33D26">
        <w:rPr>
          <w:color w:val="000000"/>
          <w:shd w:val="clear" w:color="auto" w:fill="FFFFFF"/>
        </w:rPr>
        <w:t>NERC issue</w:t>
      </w:r>
      <w:r>
        <w:rPr>
          <w:color w:val="000000"/>
          <w:shd w:val="clear" w:color="auto" w:fill="FFFFFF"/>
        </w:rPr>
        <w:t>s</w:t>
      </w:r>
      <w:r w:rsidRPr="00D33D26">
        <w:rPr>
          <w:color w:val="000000"/>
          <w:shd w:val="clear" w:color="auto" w:fill="FFFFFF"/>
        </w:rPr>
        <w:t xml:space="preserve"> an annual public report </w:t>
      </w:r>
      <w:r>
        <w:rPr>
          <w:color w:val="000000"/>
          <w:shd w:val="clear" w:color="auto" w:fill="FFFFFF"/>
        </w:rPr>
        <w:t xml:space="preserve">based on TADS data that </w:t>
      </w:r>
      <w:r w:rsidRPr="00D33D26">
        <w:rPr>
          <w:color w:val="000000"/>
          <w:shd w:val="clear" w:color="auto" w:fill="FFFFFF"/>
        </w:rPr>
        <w:t>show</w:t>
      </w:r>
      <w:r>
        <w:rPr>
          <w:color w:val="000000"/>
          <w:shd w:val="clear" w:color="auto" w:fill="FFFFFF"/>
        </w:rPr>
        <w:t>s</w:t>
      </w:r>
      <w:r w:rsidRPr="00D33D26">
        <w:rPr>
          <w:color w:val="000000"/>
          <w:shd w:val="clear" w:color="auto" w:fill="FFFFFF"/>
        </w:rPr>
        <w:t xml:space="preserve"> aggrega</w:t>
      </w:r>
      <w:r w:rsidR="006837CA">
        <w:rPr>
          <w:color w:val="000000"/>
          <w:shd w:val="clear" w:color="auto" w:fill="FFFFFF"/>
        </w:rPr>
        <w:t>te metrics for each NERC Region, with the u</w:t>
      </w:r>
      <w:r>
        <w:rPr>
          <w:color w:val="000000"/>
          <w:shd w:val="clear" w:color="auto" w:fill="FFFFFF"/>
        </w:rPr>
        <w:t>nderlying data typically accorded confidential treatment.</w:t>
      </w:r>
      <w:r w:rsidR="00723AAA">
        <w:rPr>
          <w:rStyle w:val="FootnoteReference"/>
          <w:color w:val="000000"/>
          <w:shd w:val="clear" w:color="auto" w:fill="FFFFFF"/>
        </w:rPr>
        <w:footnoteReference w:id="19"/>
      </w:r>
    </w:p>
    <w:p w14:paraId="7F97D2CB" w14:textId="77777777" w:rsidR="00293B9E" w:rsidRPr="00CD5A56" w:rsidRDefault="00B74A22" w:rsidP="00A270C3">
      <w:pPr>
        <w:pStyle w:val="Heading3"/>
        <w:tabs>
          <w:tab w:val="clear" w:pos="1296"/>
        </w:tabs>
        <w:ind w:left="1440" w:firstLine="0"/>
      </w:pPr>
      <w:r>
        <w:t>G</w:t>
      </w:r>
      <w:r w:rsidR="00293B9E">
        <w:t>ADS Database</w:t>
      </w:r>
    </w:p>
    <w:p w14:paraId="7E7EB977" w14:textId="77777777" w:rsidR="00B466F3" w:rsidRPr="005935FB" w:rsidRDefault="00FA1EBA" w:rsidP="00B466F3">
      <w:pPr>
        <w:pStyle w:val="FERCparanumber"/>
      </w:pPr>
      <w:r>
        <w:rPr>
          <w:szCs w:val="26"/>
        </w:rPr>
        <w:t>The collection of GADS data</w:t>
      </w:r>
      <w:r w:rsidRPr="00417620">
        <w:rPr>
          <w:szCs w:val="26"/>
        </w:rPr>
        <w:t xml:space="preserve"> has been mandatory since 2012</w:t>
      </w:r>
      <w:r w:rsidR="004C7B95">
        <w:rPr>
          <w:szCs w:val="26"/>
        </w:rPr>
        <w:t>,</w:t>
      </w:r>
      <w:r w:rsidR="007D2C2D">
        <w:rPr>
          <w:szCs w:val="26"/>
        </w:rPr>
        <w:t xml:space="preserve"> pursuant to a data request issued in accordance with </w:t>
      </w:r>
      <w:r w:rsidR="007D2C2D" w:rsidRPr="00986DCC">
        <w:rPr>
          <w:szCs w:val="26"/>
        </w:rPr>
        <w:t>section 1600 of the NERC Rules of Procedure</w:t>
      </w:r>
      <w:r w:rsidRPr="00417620">
        <w:rPr>
          <w:szCs w:val="26"/>
        </w:rPr>
        <w:t>.</w:t>
      </w:r>
      <w:r>
        <w:rPr>
          <w:rStyle w:val="FootnoteReference"/>
        </w:rPr>
        <w:footnoteReference w:id="20"/>
      </w:r>
      <w:r w:rsidRPr="00417620">
        <w:rPr>
          <w:szCs w:val="26"/>
        </w:rPr>
        <w:t xml:space="preserve"> </w:t>
      </w:r>
      <w:r>
        <w:rPr>
          <w:szCs w:val="26"/>
        </w:rPr>
        <w:t xml:space="preserve"> </w:t>
      </w:r>
      <w:r w:rsidR="00B466F3" w:rsidRPr="00D33D26">
        <w:rPr>
          <w:szCs w:val="26"/>
        </w:rPr>
        <w:t xml:space="preserve">The GADS </w:t>
      </w:r>
      <w:r w:rsidR="00D40C01">
        <w:rPr>
          <w:szCs w:val="26"/>
        </w:rPr>
        <w:t>database</w:t>
      </w:r>
      <w:r w:rsidR="00B466F3" w:rsidRPr="00417620">
        <w:rPr>
          <w:szCs w:val="26"/>
        </w:rPr>
        <w:t xml:space="preserve"> collects, records, and retrieves operating information on power plant availability, including event, performance, and design data.</w:t>
      </w:r>
      <w:r w:rsidR="00723AAA">
        <w:rPr>
          <w:rStyle w:val="FootnoteReference"/>
        </w:rPr>
        <w:footnoteReference w:id="21"/>
      </w:r>
      <w:r w:rsidR="00B466F3" w:rsidRPr="00417620">
        <w:rPr>
          <w:szCs w:val="26"/>
        </w:rPr>
        <w:t xml:space="preserve">  </w:t>
      </w:r>
      <w:r>
        <w:rPr>
          <w:szCs w:val="26"/>
        </w:rPr>
        <w:t xml:space="preserve">GADS data </w:t>
      </w:r>
      <w:r w:rsidR="000C6FA3">
        <w:rPr>
          <w:szCs w:val="26"/>
        </w:rPr>
        <w:t>are</w:t>
      </w:r>
      <w:r w:rsidR="00B466F3" w:rsidRPr="00417620">
        <w:rPr>
          <w:szCs w:val="26"/>
        </w:rPr>
        <w:t xml:space="preserve"> used to support equipment reliability and availability analyses, as well as benchmarking studies.</w:t>
      </w:r>
      <w:r w:rsidR="00723AAA">
        <w:rPr>
          <w:rStyle w:val="FootnoteReference"/>
        </w:rPr>
        <w:footnoteReference w:id="22"/>
      </w:r>
      <w:r w:rsidR="00B466F3" w:rsidRPr="00417620">
        <w:rPr>
          <w:szCs w:val="26"/>
        </w:rPr>
        <w:t xml:space="preserve">  </w:t>
      </w:r>
    </w:p>
    <w:p w14:paraId="5E9E16DF" w14:textId="77777777" w:rsidR="00B466F3" w:rsidRPr="00FA1EBA" w:rsidRDefault="00B466F3" w:rsidP="00FA1EBA">
      <w:pPr>
        <w:pStyle w:val="FERCparanumber"/>
        <w:rPr>
          <w:szCs w:val="26"/>
        </w:rPr>
      </w:pPr>
      <w:r w:rsidRPr="002C591A">
        <w:rPr>
          <w:szCs w:val="26"/>
        </w:rPr>
        <w:t xml:space="preserve">Currently, </w:t>
      </w:r>
      <w:r>
        <w:rPr>
          <w:szCs w:val="26"/>
        </w:rPr>
        <w:t>GADS</w:t>
      </w:r>
      <w:r w:rsidRPr="002C591A">
        <w:rPr>
          <w:color w:val="000000"/>
          <w:szCs w:val="26"/>
        </w:rPr>
        <w:t xml:space="preserve"> collects </w:t>
      </w:r>
      <w:r w:rsidR="000B380A">
        <w:rPr>
          <w:color w:val="000000"/>
          <w:szCs w:val="26"/>
        </w:rPr>
        <w:t xml:space="preserve">outage data pertaining to </w:t>
      </w:r>
      <w:r>
        <w:t>ten types of conventional generating units</w:t>
      </w:r>
      <w:r w:rsidR="000C6FA3">
        <w:t xml:space="preserve"> with capacity of</w:t>
      </w:r>
      <w:r>
        <w:t xml:space="preserve"> 20 MW and larger</w:t>
      </w:r>
      <w:r w:rsidR="000B380A">
        <w:t>, including</w:t>
      </w:r>
      <w:r>
        <w:t>:</w:t>
      </w:r>
      <w:r w:rsidR="000B380A">
        <w:t xml:space="preserve">  </w:t>
      </w:r>
      <w:r w:rsidR="006E6192">
        <w:t xml:space="preserve">(1) </w:t>
      </w:r>
      <w:r w:rsidR="000B380A">
        <w:t>f</w:t>
      </w:r>
      <w:r w:rsidRPr="000B380A">
        <w:rPr>
          <w:color w:val="000000"/>
          <w:szCs w:val="26"/>
        </w:rPr>
        <w:t>ossil steam including fluidized bed design</w:t>
      </w:r>
      <w:r w:rsidR="006E6192">
        <w:rPr>
          <w:color w:val="000000"/>
          <w:szCs w:val="26"/>
        </w:rPr>
        <w:t>; (2)</w:t>
      </w:r>
      <w:r w:rsidR="000B380A">
        <w:rPr>
          <w:color w:val="000000"/>
          <w:szCs w:val="26"/>
        </w:rPr>
        <w:t xml:space="preserve"> nuclear</w:t>
      </w:r>
      <w:r w:rsidR="006E6192">
        <w:rPr>
          <w:color w:val="000000"/>
          <w:szCs w:val="26"/>
        </w:rPr>
        <w:t>; (3)</w:t>
      </w:r>
      <w:r w:rsidRPr="000B380A">
        <w:rPr>
          <w:color w:val="000000"/>
          <w:szCs w:val="26"/>
        </w:rPr>
        <w:t xml:space="preserve"> </w:t>
      </w:r>
      <w:r w:rsidR="000B380A" w:rsidRPr="000B380A">
        <w:rPr>
          <w:color w:val="000000"/>
          <w:szCs w:val="26"/>
        </w:rPr>
        <w:t>g</w:t>
      </w:r>
      <w:r w:rsidRPr="000B380A">
        <w:rPr>
          <w:color w:val="000000"/>
          <w:szCs w:val="26"/>
        </w:rPr>
        <w:t>as turbines</w:t>
      </w:r>
      <w:r w:rsidR="00BB4910">
        <w:rPr>
          <w:color w:val="000000"/>
          <w:szCs w:val="26"/>
        </w:rPr>
        <w:t>/jet engin</w:t>
      </w:r>
      <w:r w:rsidR="00C913D8">
        <w:rPr>
          <w:color w:val="000000"/>
          <w:szCs w:val="26"/>
        </w:rPr>
        <w:t>es</w:t>
      </w:r>
      <w:r w:rsidR="006E6192">
        <w:rPr>
          <w:color w:val="000000"/>
          <w:szCs w:val="26"/>
        </w:rPr>
        <w:t>; (4)</w:t>
      </w:r>
      <w:r w:rsidR="000B380A">
        <w:rPr>
          <w:color w:val="000000"/>
          <w:szCs w:val="26"/>
        </w:rPr>
        <w:t xml:space="preserve"> i</w:t>
      </w:r>
      <w:r w:rsidRPr="000B380A">
        <w:rPr>
          <w:color w:val="000000"/>
          <w:szCs w:val="26"/>
        </w:rPr>
        <w:t>nternal combustion engines (diesel engines)</w:t>
      </w:r>
      <w:r w:rsidR="006E6192">
        <w:rPr>
          <w:color w:val="000000"/>
          <w:szCs w:val="26"/>
        </w:rPr>
        <w:t>; (5)</w:t>
      </w:r>
      <w:r w:rsidR="000B380A">
        <w:rPr>
          <w:color w:val="000000"/>
          <w:szCs w:val="26"/>
        </w:rPr>
        <w:t xml:space="preserve"> h</w:t>
      </w:r>
      <w:r w:rsidRPr="000B380A">
        <w:rPr>
          <w:color w:val="000000"/>
          <w:szCs w:val="26"/>
        </w:rPr>
        <w:t>ydro units/pumped storage</w:t>
      </w:r>
      <w:r w:rsidR="006E6192">
        <w:rPr>
          <w:color w:val="000000"/>
          <w:szCs w:val="26"/>
        </w:rPr>
        <w:t>; (6) combined cycle blocks and their related components;</w:t>
      </w:r>
      <w:r w:rsidR="000B380A">
        <w:rPr>
          <w:color w:val="000000"/>
          <w:szCs w:val="26"/>
        </w:rPr>
        <w:t xml:space="preserve"> </w:t>
      </w:r>
      <w:r w:rsidR="006E6192">
        <w:rPr>
          <w:color w:val="000000"/>
          <w:szCs w:val="26"/>
        </w:rPr>
        <w:t xml:space="preserve">(7) cogeneration blocks and their related components; (8) multi-boiler/multi-turbine units; (9) </w:t>
      </w:r>
      <w:r w:rsidR="000B380A">
        <w:rPr>
          <w:color w:val="000000"/>
          <w:szCs w:val="26"/>
        </w:rPr>
        <w:t>g</w:t>
      </w:r>
      <w:r w:rsidRPr="000B380A">
        <w:rPr>
          <w:color w:val="000000"/>
          <w:szCs w:val="26"/>
        </w:rPr>
        <w:t>eothermal units</w:t>
      </w:r>
      <w:r w:rsidR="006E6192">
        <w:rPr>
          <w:color w:val="000000"/>
          <w:szCs w:val="26"/>
        </w:rPr>
        <w:t xml:space="preserve">; and (10) </w:t>
      </w:r>
      <w:r w:rsidR="006E6192">
        <w:t>other miscellaneous conventional generating units (e.g.,  biomass, landfill gases)</w:t>
      </w:r>
      <w:r w:rsidR="000B380A">
        <w:rPr>
          <w:color w:val="000000"/>
          <w:szCs w:val="26"/>
        </w:rPr>
        <w:t>.</w:t>
      </w:r>
      <w:r w:rsidR="0040166C">
        <w:rPr>
          <w:rStyle w:val="FootnoteReference"/>
          <w:color w:val="000000"/>
        </w:rPr>
        <w:footnoteReference w:id="23"/>
      </w:r>
      <w:r w:rsidRPr="000B380A">
        <w:rPr>
          <w:color w:val="000000"/>
          <w:szCs w:val="26"/>
        </w:rPr>
        <w:t xml:space="preserve"> </w:t>
      </w:r>
      <w:r w:rsidR="000B380A">
        <w:rPr>
          <w:szCs w:val="26"/>
        </w:rPr>
        <w:t xml:space="preserve"> </w:t>
      </w:r>
      <w:r w:rsidRPr="000B380A">
        <w:rPr>
          <w:szCs w:val="26"/>
        </w:rPr>
        <w:t xml:space="preserve">The </w:t>
      </w:r>
      <w:r w:rsidR="0040166C">
        <w:rPr>
          <w:szCs w:val="26"/>
        </w:rPr>
        <w:t xml:space="preserve">GADS </w:t>
      </w:r>
      <w:r w:rsidRPr="000B380A">
        <w:rPr>
          <w:szCs w:val="26"/>
        </w:rPr>
        <w:t>data collection template includes the following d</w:t>
      </w:r>
      <w:r>
        <w:t>esign, event, and performance information:</w:t>
      </w:r>
      <w:r w:rsidR="0040166C">
        <w:t xml:space="preserve">  (1) design records, (2) event records and (3) performance records.</w:t>
      </w:r>
      <w:r>
        <w:rPr>
          <w:rStyle w:val="FootnoteReference"/>
        </w:rPr>
        <w:footnoteReference w:id="24"/>
      </w:r>
      <w:r w:rsidRPr="000B380A">
        <w:rPr>
          <w:szCs w:val="26"/>
        </w:rPr>
        <w:t xml:space="preserve">  </w:t>
      </w:r>
      <w:r w:rsidR="0040166C">
        <w:t>Design records refer to the c</w:t>
      </w:r>
      <w:r>
        <w:t xml:space="preserve">haracteristics of each unit such as GADS utility code, GADS unit code, NERC Regional Entity where the unit is located, name of the unit, commercial operating date, </w:t>
      </w:r>
      <w:r w:rsidR="000C6FA3">
        <w:t xml:space="preserve">and </w:t>
      </w:r>
      <w:r>
        <w:t>type of generating unit (fossil, combined cycle, etc.).</w:t>
      </w:r>
      <w:r w:rsidR="00C913D8">
        <w:rPr>
          <w:rStyle w:val="FootnoteReference"/>
        </w:rPr>
        <w:footnoteReference w:id="25"/>
      </w:r>
      <w:r w:rsidR="0040166C">
        <w:rPr>
          <w:szCs w:val="26"/>
        </w:rPr>
        <w:t xml:space="preserve">  </w:t>
      </w:r>
      <w:r>
        <w:t>E</w:t>
      </w:r>
      <w:r w:rsidR="0040166C">
        <w:t>vent records include i</w:t>
      </w:r>
      <w:r>
        <w:t>nformation about when and to what extent the generating unit could not generate power.</w:t>
      </w:r>
      <w:r w:rsidR="00C913D8">
        <w:rPr>
          <w:rStyle w:val="FootnoteReference"/>
        </w:rPr>
        <w:footnoteReference w:id="26"/>
      </w:r>
      <w:r>
        <w:t xml:space="preserve">  </w:t>
      </w:r>
      <w:r w:rsidR="0040166C">
        <w:t>Performance records refer to m</w:t>
      </w:r>
      <w:r>
        <w:t>onthly generation, unit</w:t>
      </w:r>
      <w:r w:rsidRPr="0040166C">
        <w:rPr>
          <w:rFonts w:ascii="Cambria Math" w:hAnsi="Cambria Math" w:cs="Cambria Math"/>
        </w:rPr>
        <w:t>‐</w:t>
      </w:r>
      <w:r>
        <w:t>attempted starts, actual starts, summary event</w:t>
      </w:r>
      <w:r w:rsidR="00FA1EBA">
        <w:t xml:space="preserve"> outage information</w:t>
      </w:r>
      <w:r w:rsidR="000C6FA3">
        <w:t>,</w:t>
      </w:r>
      <w:r w:rsidR="00FA1EBA">
        <w:t xml:space="preserve"> and fuels.</w:t>
      </w:r>
      <w:r w:rsidR="00C913D8">
        <w:rPr>
          <w:rStyle w:val="FootnoteReference"/>
        </w:rPr>
        <w:footnoteReference w:id="27"/>
      </w:r>
      <w:r w:rsidR="00FA1EBA">
        <w:t xml:space="preserve">  </w:t>
      </w:r>
      <w:r w:rsidRPr="00FA1EBA">
        <w:rPr>
          <w:szCs w:val="26"/>
        </w:rPr>
        <w:t>NERC has developed “cause codes” for</w:t>
      </w:r>
      <w:r w:rsidR="00BB4910">
        <w:rPr>
          <w:szCs w:val="26"/>
        </w:rPr>
        <w:t xml:space="preserve"> </w:t>
      </w:r>
      <w:r w:rsidRPr="00FA1EBA">
        <w:rPr>
          <w:szCs w:val="26"/>
        </w:rPr>
        <w:t>the identification o</w:t>
      </w:r>
      <w:r w:rsidR="00FA1EBA">
        <w:rPr>
          <w:szCs w:val="26"/>
        </w:rPr>
        <w:t>f common causes of unit outages</w:t>
      </w:r>
      <w:r w:rsidR="00D55C4F">
        <w:rPr>
          <w:szCs w:val="26"/>
        </w:rPr>
        <w:t xml:space="preserve"> </w:t>
      </w:r>
      <w:r w:rsidR="00D55C4F">
        <w:t>based on the type of generating unit.</w:t>
      </w:r>
      <w:r w:rsidR="00D55C4F">
        <w:rPr>
          <w:rStyle w:val="FootnoteReference"/>
        </w:rPr>
        <w:footnoteReference w:id="28"/>
      </w:r>
      <w:r w:rsidR="00D55C4F">
        <w:t xml:space="preserve">  For example, the </w:t>
      </w:r>
      <w:r w:rsidR="00366869">
        <w:t>cause codes</w:t>
      </w:r>
      <w:r w:rsidR="000C6FA3">
        <w:t xml:space="preserve"> </w:t>
      </w:r>
      <w:r w:rsidR="00D55C4F">
        <w:t>section for fossil steam units includes codes for the boiler, steam turbine, generator, balance of plant, pollution control equipment, external, regulatory, safety and environmental, personnel errors, and performance testing.</w:t>
      </w:r>
      <w:r w:rsidR="00D55C4F">
        <w:rPr>
          <w:rStyle w:val="FootnoteReference"/>
        </w:rPr>
        <w:footnoteReference w:id="29"/>
      </w:r>
      <w:r w:rsidR="00FA1EBA">
        <w:rPr>
          <w:szCs w:val="26"/>
        </w:rPr>
        <w:t xml:space="preserve"> </w:t>
      </w:r>
      <w:r w:rsidR="00D55C4F">
        <w:rPr>
          <w:szCs w:val="26"/>
        </w:rPr>
        <w:t xml:space="preserve"> </w:t>
      </w:r>
      <w:r w:rsidR="005F3936">
        <w:rPr>
          <w:szCs w:val="26"/>
        </w:rPr>
        <w:t>For 2011-2013, t</w:t>
      </w:r>
      <w:r w:rsidR="00D55C4F">
        <w:rPr>
          <w:szCs w:val="26"/>
        </w:rPr>
        <w:t>he GADS</w:t>
      </w:r>
      <w:r w:rsidRPr="00FA1EBA">
        <w:rPr>
          <w:szCs w:val="26"/>
        </w:rPr>
        <w:t xml:space="preserve"> </w:t>
      </w:r>
      <w:r w:rsidR="00BB4910">
        <w:rPr>
          <w:szCs w:val="26"/>
        </w:rPr>
        <w:t>database contains</w:t>
      </w:r>
      <w:r w:rsidRPr="00FA1EBA">
        <w:rPr>
          <w:szCs w:val="26"/>
        </w:rPr>
        <w:t xml:space="preserve"> </w:t>
      </w:r>
      <w:r w:rsidR="005F3936">
        <w:rPr>
          <w:szCs w:val="26"/>
        </w:rPr>
        <w:t>data from</w:t>
      </w:r>
      <w:r w:rsidR="008504AC">
        <w:rPr>
          <w:szCs w:val="26"/>
        </w:rPr>
        <w:t xml:space="preserve"> more than 5</w:t>
      </w:r>
      <w:r w:rsidRPr="00FA1EBA">
        <w:rPr>
          <w:szCs w:val="26"/>
        </w:rPr>
        <w:t>,000</w:t>
      </w:r>
      <w:r w:rsidR="008504AC">
        <w:rPr>
          <w:szCs w:val="26"/>
        </w:rPr>
        <w:t xml:space="preserve"> units</w:t>
      </w:r>
      <w:r w:rsidRPr="00FA1EBA">
        <w:rPr>
          <w:szCs w:val="26"/>
        </w:rPr>
        <w:t>.</w:t>
      </w:r>
      <w:r w:rsidR="00D55C4F">
        <w:rPr>
          <w:rStyle w:val="FootnoteReference"/>
        </w:rPr>
        <w:footnoteReference w:id="30"/>
      </w:r>
      <w:r w:rsidRPr="00FA1EBA">
        <w:rPr>
          <w:szCs w:val="26"/>
        </w:rPr>
        <w:t xml:space="preserve">  </w:t>
      </w:r>
    </w:p>
    <w:p w14:paraId="71E0409A" w14:textId="77777777" w:rsidR="005935FB" w:rsidRPr="00B74A22" w:rsidRDefault="00B466F3" w:rsidP="00B466F3">
      <w:pPr>
        <w:pStyle w:val="FERCparanumber"/>
      </w:pPr>
      <w:r w:rsidRPr="00D33D26">
        <w:rPr>
          <w:color w:val="000000"/>
          <w:shd w:val="clear" w:color="auto" w:fill="FFFFFF"/>
        </w:rPr>
        <w:t>NERC use</w:t>
      </w:r>
      <w:r>
        <w:rPr>
          <w:color w:val="000000"/>
          <w:shd w:val="clear" w:color="auto" w:fill="FFFFFF"/>
        </w:rPr>
        <w:t>s</w:t>
      </w:r>
      <w:r w:rsidR="00D55C4F">
        <w:rPr>
          <w:color w:val="000000"/>
          <w:shd w:val="clear" w:color="auto" w:fill="FFFFFF"/>
        </w:rPr>
        <w:t xml:space="preserve"> </w:t>
      </w:r>
      <w:r>
        <w:rPr>
          <w:color w:val="000000"/>
          <w:shd w:val="clear" w:color="auto" w:fill="FFFFFF"/>
        </w:rPr>
        <w:t xml:space="preserve">GADS </w:t>
      </w:r>
      <w:r w:rsidR="00D55C4F">
        <w:rPr>
          <w:color w:val="000000"/>
          <w:shd w:val="clear" w:color="auto" w:fill="FFFFFF"/>
        </w:rPr>
        <w:t>data</w:t>
      </w:r>
      <w:r w:rsidRPr="00D33D26">
        <w:rPr>
          <w:color w:val="000000"/>
          <w:shd w:val="clear" w:color="auto" w:fill="FFFFFF"/>
        </w:rPr>
        <w:t xml:space="preserve"> to </w:t>
      </w:r>
      <w:r>
        <w:t>measure generation reliability and publishes</w:t>
      </w:r>
      <w:r w:rsidRPr="00D33D26">
        <w:rPr>
          <w:color w:val="000000"/>
          <w:shd w:val="clear" w:color="auto" w:fill="FFFFFF"/>
        </w:rPr>
        <w:t xml:space="preserve"> aggregate </w:t>
      </w:r>
      <w:r>
        <w:rPr>
          <w:color w:val="000000"/>
          <w:shd w:val="clear" w:color="auto" w:fill="FFFFFF"/>
        </w:rPr>
        <w:t xml:space="preserve">performance </w:t>
      </w:r>
      <w:r w:rsidRPr="00D33D26">
        <w:rPr>
          <w:color w:val="000000"/>
          <w:shd w:val="clear" w:color="auto" w:fill="FFFFFF"/>
        </w:rPr>
        <w:t>metrics for each NERC Region</w:t>
      </w:r>
      <w:r>
        <w:rPr>
          <w:color w:val="000000"/>
          <w:shd w:val="clear" w:color="auto" w:fill="FFFFFF"/>
        </w:rPr>
        <w:t xml:space="preserve"> </w:t>
      </w:r>
      <w:r>
        <w:t xml:space="preserve">in </w:t>
      </w:r>
      <w:r w:rsidR="0042710B">
        <w:t xml:space="preserve">publicly available </w:t>
      </w:r>
      <w:r>
        <w:t>annual state of reliability and reliability assessment reports.</w:t>
      </w:r>
      <w:r w:rsidR="0042710B">
        <w:rPr>
          <w:rStyle w:val="FootnoteReference"/>
        </w:rPr>
        <w:footnoteReference w:id="31"/>
      </w:r>
      <w:r>
        <w:t xml:space="preserve">  </w:t>
      </w:r>
      <w:r w:rsidR="002B67AA">
        <w:rPr>
          <w:color w:val="000000"/>
          <w:shd w:val="clear" w:color="auto" w:fill="FFFFFF"/>
        </w:rPr>
        <w:t xml:space="preserve">The underlying </w:t>
      </w:r>
      <w:r>
        <w:rPr>
          <w:color w:val="000000"/>
          <w:shd w:val="clear" w:color="auto" w:fill="FFFFFF"/>
        </w:rPr>
        <w:t xml:space="preserve">data </w:t>
      </w:r>
      <w:r w:rsidR="000C6FA3">
        <w:rPr>
          <w:color w:val="000000"/>
          <w:shd w:val="clear" w:color="auto" w:fill="FFFFFF"/>
        </w:rPr>
        <w:t>are</w:t>
      </w:r>
      <w:r>
        <w:rPr>
          <w:color w:val="000000"/>
          <w:shd w:val="clear" w:color="auto" w:fill="FFFFFF"/>
        </w:rPr>
        <w:t xml:space="preserve"> typically accorded confidential treatment</w:t>
      </w:r>
      <w:r w:rsidR="000B380A">
        <w:rPr>
          <w:color w:val="000000"/>
          <w:shd w:val="clear" w:color="auto" w:fill="FFFFFF"/>
        </w:rPr>
        <w:t>.</w:t>
      </w:r>
    </w:p>
    <w:p w14:paraId="431B3ABF" w14:textId="77777777" w:rsidR="00B74A22" w:rsidRPr="00CD5A56" w:rsidRDefault="00B74A22" w:rsidP="00A270C3">
      <w:pPr>
        <w:pStyle w:val="Heading3"/>
        <w:tabs>
          <w:tab w:val="clear" w:pos="1296"/>
        </w:tabs>
        <w:ind w:left="1440" w:firstLine="0"/>
      </w:pPr>
      <w:r w:rsidRPr="00C7384D">
        <w:t xml:space="preserve">Protection System Misoperations </w:t>
      </w:r>
      <w:r>
        <w:t>Database</w:t>
      </w:r>
    </w:p>
    <w:p w14:paraId="06A99352" w14:textId="0495560D" w:rsidR="00A125AB" w:rsidRDefault="00914CBD" w:rsidP="00A125AB">
      <w:pPr>
        <w:pStyle w:val="FERCparanumber"/>
      </w:pPr>
      <w:r>
        <w:t>Protection s</w:t>
      </w:r>
      <w:r w:rsidR="00A125AB" w:rsidRPr="00C7384D">
        <w:t>ystem</w:t>
      </w:r>
      <w:r>
        <w:t xml:space="preserve"> misoperations data have been reported by transmission owners, g</w:t>
      </w:r>
      <w:r w:rsidR="00A125AB" w:rsidRPr="00C7384D">
        <w:t>enera</w:t>
      </w:r>
      <w:r>
        <w:t>tor o</w:t>
      </w:r>
      <w:r w:rsidR="00A125AB" w:rsidRPr="00C7384D">
        <w:t xml:space="preserve">wners </w:t>
      </w:r>
      <w:r>
        <w:t xml:space="preserve">and distribution providers </w:t>
      </w:r>
      <w:r w:rsidR="00A125AB">
        <w:t>on a mandatory basis since 2011</w:t>
      </w:r>
      <w:r>
        <w:t xml:space="preserve"> pursuant to Reliability Standard PRC-004</w:t>
      </w:r>
      <w:r w:rsidR="00A125AB" w:rsidRPr="00C7384D">
        <w:t>.</w:t>
      </w:r>
      <w:r w:rsidR="00A125AB" w:rsidRPr="0010607E">
        <w:rPr>
          <w:rStyle w:val="FootnoteReference"/>
        </w:rPr>
        <w:footnoteReference w:id="32"/>
      </w:r>
      <w:r>
        <w:t xml:space="preserve">  </w:t>
      </w:r>
      <w:r w:rsidR="00627182">
        <w:t xml:space="preserve">Following implementation of </w:t>
      </w:r>
      <w:r w:rsidR="00AC2A01">
        <w:t xml:space="preserve">Reliability Standard </w:t>
      </w:r>
      <w:r w:rsidR="000A5BF8">
        <w:t xml:space="preserve"> </w:t>
      </w:r>
      <w:r w:rsidR="00AC2A01">
        <w:t>PRC-004-4</w:t>
      </w:r>
      <w:r w:rsidR="0077071E">
        <w:t xml:space="preserve">, the obligation to report misoperation data </w:t>
      </w:r>
      <w:r w:rsidR="00AC2A01">
        <w:t xml:space="preserve">will be </w:t>
      </w:r>
      <w:r w:rsidR="0077071E">
        <w:t>made mandatory through a data request pursuant to section 1600 of the NERC Rules of Procedure.</w:t>
      </w:r>
      <w:r w:rsidR="00AC2A01">
        <w:rPr>
          <w:rStyle w:val="FootnoteReference"/>
        </w:rPr>
        <w:footnoteReference w:id="33"/>
      </w:r>
      <w:r w:rsidR="005A1093">
        <w:t xml:space="preserve">  </w:t>
      </w:r>
    </w:p>
    <w:p w14:paraId="328573C7" w14:textId="77777777" w:rsidR="0077071E" w:rsidRDefault="00A125AB" w:rsidP="00BB4910">
      <w:pPr>
        <w:pStyle w:val="FERCparanumber"/>
        <w:widowControl w:val="0"/>
      </w:pPr>
      <w:r w:rsidRPr="002C591A">
        <w:rPr>
          <w:szCs w:val="26"/>
        </w:rPr>
        <w:t xml:space="preserve">Currently, </w:t>
      </w:r>
      <w:r w:rsidR="0077071E">
        <w:rPr>
          <w:szCs w:val="26"/>
        </w:rPr>
        <w:t>the p</w:t>
      </w:r>
      <w:r w:rsidR="0077071E">
        <w:t>rotection system m</w:t>
      </w:r>
      <w:r w:rsidRPr="00C7384D">
        <w:t xml:space="preserve">isoperations </w:t>
      </w:r>
      <w:r w:rsidR="00D40C01">
        <w:t>database</w:t>
      </w:r>
      <w:r>
        <w:t xml:space="preserve"> </w:t>
      </w:r>
      <w:r w:rsidRPr="002C591A">
        <w:rPr>
          <w:color w:val="000000"/>
          <w:szCs w:val="26"/>
        </w:rPr>
        <w:t>collects</w:t>
      </w:r>
      <w:r>
        <w:rPr>
          <w:color w:val="000000"/>
          <w:szCs w:val="26"/>
        </w:rPr>
        <w:t xml:space="preserve"> more than 20 fields for a reportable </w:t>
      </w:r>
      <w:r w:rsidR="0077071E">
        <w:rPr>
          <w:color w:val="000000"/>
          <w:szCs w:val="26"/>
        </w:rPr>
        <w:t>m</w:t>
      </w:r>
      <w:r>
        <w:t>isop</w:t>
      </w:r>
      <w:r w:rsidR="007350AA">
        <w:t>e</w:t>
      </w:r>
      <w:r>
        <w:t>ratio</w:t>
      </w:r>
      <w:r w:rsidR="00EA7220">
        <w:t>n event</w:t>
      </w:r>
      <w:r w:rsidR="0077071E">
        <w:t>, including:  (1) misoperation d</w:t>
      </w:r>
      <w:r>
        <w:t>ate;</w:t>
      </w:r>
      <w:r w:rsidR="0077071E">
        <w:t xml:space="preserve"> (2) event d</w:t>
      </w:r>
      <w:r>
        <w:t xml:space="preserve">escription; </w:t>
      </w:r>
      <w:r w:rsidR="0077071E">
        <w:t>(3) protection systems/components that m</w:t>
      </w:r>
      <w:r>
        <w:t>isoperated;</w:t>
      </w:r>
      <w:r w:rsidR="0077071E">
        <w:t xml:space="preserve"> (4) equipment removed from service (permanently or t</w:t>
      </w:r>
      <w:r>
        <w:t xml:space="preserve">emporarily) as the result of the </w:t>
      </w:r>
      <w:r w:rsidR="0077071E">
        <w:t>m</w:t>
      </w:r>
      <w:r>
        <w:t>isoperation;</w:t>
      </w:r>
      <w:r w:rsidR="0077071E">
        <w:t xml:space="preserve"> (5) misoperation c</w:t>
      </w:r>
      <w:r>
        <w:t>ategory;</w:t>
      </w:r>
      <w:r w:rsidR="0077071E">
        <w:t xml:space="preserve"> and (6) cause(s) of m</w:t>
      </w:r>
      <w:r>
        <w:t>isoperat</w:t>
      </w:r>
      <w:r w:rsidR="0077071E">
        <w:t>ion.</w:t>
      </w:r>
      <w:r w:rsidR="00627182">
        <w:rPr>
          <w:rStyle w:val="FootnoteReference"/>
        </w:rPr>
        <w:footnoteReference w:id="34"/>
      </w:r>
      <w:r w:rsidR="0077071E">
        <w:t xml:space="preserve">  </w:t>
      </w:r>
      <w:r w:rsidR="005F3936">
        <w:t>For 2014, t</w:t>
      </w:r>
      <w:r w:rsidR="0077071E">
        <w:rPr>
          <w:szCs w:val="26"/>
        </w:rPr>
        <w:t xml:space="preserve">he protection system misoperations </w:t>
      </w:r>
      <w:r w:rsidR="00D40C01">
        <w:rPr>
          <w:szCs w:val="26"/>
        </w:rPr>
        <w:t>database</w:t>
      </w:r>
      <w:r w:rsidR="00BB4910">
        <w:rPr>
          <w:szCs w:val="26"/>
        </w:rPr>
        <w:t xml:space="preserve"> contains </w:t>
      </w:r>
      <w:r w:rsidR="005A1093" w:rsidRPr="00B910AC">
        <w:rPr>
          <w:szCs w:val="26"/>
        </w:rPr>
        <w:t>information on</w:t>
      </w:r>
      <w:r w:rsidR="005A1093">
        <w:rPr>
          <w:szCs w:val="26"/>
        </w:rPr>
        <w:t xml:space="preserve"> </w:t>
      </w:r>
      <w:r w:rsidR="005F3936">
        <w:rPr>
          <w:szCs w:val="26"/>
        </w:rPr>
        <w:t>approximately</w:t>
      </w:r>
      <w:r w:rsidR="0077071E">
        <w:rPr>
          <w:szCs w:val="26"/>
        </w:rPr>
        <w:t xml:space="preserve"> 2,000 m</w:t>
      </w:r>
      <w:r w:rsidRPr="0077071E">
        <w:rPr>
          <w:szCs w:val="26"/>
        </w:rPr>
        <w:t>isoperation</w:t>
      </w:r>
      <w:r w:rsidR="005A1093" w:rsidRPr="00B910AC">
        <w:rPr>
          <w:szCs w:val="26"/>
        </w:rPr>
        <w:t xml:space="preserve"> events</w:t>
      </w:r>
      <w:r w:rsidRPr="0077071E">
        <w:rPr>
          <w:szCs w:val="26"/>
        </w:rPr>
        <w:t>.</w:t>
      </w:r>
      <w:r w:rsidR="00EA7220">
        <w:rPr>
          <w:rStyle w:val="FootnoteReference"/>
        </w:rPr>
        <w:footnoteReference w:id="35"/>
      </w:r>
      <w:r w:rsidRPr="0077071E">
        <w:rPr>
          <w:szCs w:val="26"/>
        </w:rPr>
        <w:t xml:space="preserve">  </w:t>
      </w:r>
    </w:p>
    <w:p w14:paraId="44B75B9B" w14:textId="77777777" w:rsidR="005935FB" w:rsidRDefault="00627182" w:rsidP="00BB4910">
      <w:pPr>
        <w:pStyle w:val="FERCparanumber"/>
        <w:widowControl w:val="0"/>
      </w:pPr>
      <w:r>
        <w:t>Protection system misoperations have exacerbated the severity of most cascading power outages, having played a significant role in the August 14, 2003 Northeast blackout</w:t>
      </w:r>
      <w:r w:rsidR="000C6FA3">
        <w:t>, for example</w:t>
      </w:r>
      <w:r>
        <w:t>.</w:t>
      </w:r>
      <w:r>
        <w:rPr>
          <w:rStyle w:val="FootnoteReference"/>
        </w:rPr>
        <w:footnoteReference w:id="36"/>
      </w:r>
      <w:r>
        <w:t xml:space="preserve">  </w:t>
      </w:r>
      <w:r w:rsidR="0077071E">
        <w:t>NERC uses protection system m</w:t>
      </w:r>
      <w:r w:rsidR="00A125AB">
        <w:t>isoperation</w:t>
      </w:r>
      <w:r w:rsidR="0077071E">
        <w:t>s data to assess protection system performance and</w:t>
      </w:r>
      <w:r w:rsidR="00A125AB">
        <w:t xml:space="preserve"> trends in </w:t>
      </w:r>
      <w:r w:rsidR="0077071E">
        <w:t>protection s</w:t>
      </w:r>
      <w:r w:rsidR="00A125AB">
        <w:t xml:space="preserve">ystem performance that </w:t>
      </w:r>
      <w:r w:rsidR="0077071E">
        <w:t xml:space="preserve">may </w:t>
      </w:r>
      <w:r w:rsidR="00A125AB">
        <w:t>negatively impa</w:t>
      </w:r>
      <w:r w:rsidR="0077071E">
        <w:t>ct reliability.</w:t>
      </w:r>
      <w:r>
        <w:rPr>
          <w:rStyle w:val="FootnoteReference"/>
        </w:rPr>
        <w:footnoteReference w:id="37"/>
      </w:r>
      <w:r w:rsidR="0077071E">
        <w:t xml:space="preserve">  </w:t>
      </w:r>
      <w:r w:rsidR="00A125AB">
        <w:t>NERC publishes</w:t>
      </w:r>
      <w:r w:rsidR="0077071E">
        <w:rPr>
          <w:color w:val="000000"/>
          <w:shd w:val="clear" w:color="auto" w:fill="FFFFFF"/>
        </w:rPr>
        <w:t xml:space="preserve"> aggregate m</w:t>
      </w:r>
      <w:r w:rsidR="00A125AB" w:rsidRPr="0077071E">
        <w:rPr>
          <w:color w:val="000000"/>
          <w:shd w:val="clear" w:color="auto" w:fill="FFFFFF"/>
        </w:rPr>
        <w:t xml:space="preserve">isoperation information for each NERC Region </w:t>
      </w:r>
      <w:r w:rsidR="00A125AB">
        <w:t>in annual public state of reliability report</w:t>
      </w:r>
      <w:r w:rsidR="0077071E">
        <w:t>s, with the u</w:t>
      </w:r>
      <w:r w:rsidR="0077071E">
        <w:rPr>
          <w:color w:val="000000"/>
          <w:shd w:val="clear" w:color="auto" w:fill="FFFFFF"/>
        </w:rPr>
        <w:t xml:space="preserve">nderlying data </w:t>
      </w:r>
      <w:r w:rsidR="00A125AB" w:rsidRPr="0077071E">
        <w:rPr>
          <w:color w:val="000000"/>
          <w:shd w:val="clear" w:color="auto" w:fill="FFFFFF"/>
        </w:rPr>
        <w:t xml:space="preserve">typically </w:t>
      </w:r>
      <w:r w:rsidR="0077071E">
        <w:rPr>
          <w:color w:val="000000"/>
          <w:shd w:val="clear" w:color="auto" w:fill="FFFFFF"/>
        </w:rPr>
        <w:t xml:space="preserve">being </w:t>
      </w:r>
      <w:r w:rsidR="00A125AB" w:rsidRPr="0077071E">
        <w:rPr>
          <w:color w:val="000000"/>
          <w:shd w:val="clear" w:color="auto" w:fill="FFFFFF"/>
        </w:rPr>
        <w:t>accorded confidential treatment.</w:t>
      </w:r>
      <w:r w:rsidR="00EA7220">
        <w:rPr>
          <w:rStyle w:val="FootnoteReference"/>
          <w:color w:val="000000"/>
          <w:shd w:val="clear" w:color="auto" w:fill="FFFFFF"/>
        </w:rPr>
        <w:footnoteReference w:id="38"/>
      </w:r>
      <w:r w:rsidR="000F6CD5">
        <w:rPr>
          <w:color w:val="000000"/>
          <w:shd w:val="clear" w:color="auto" w:fill="FFFFFF"/>
        </w:rPr>
        <w:t xml:space="preserve"> </w:t>
      </w:r>
    </w:p>
    <w:p w14:paraId="494219A2" w14:textId="77777777" w:rsidR="00E859EA" w:rsidRDefault="00E859EA" w:rsidP="00E859EA">
      <w:pPr>
        <w:pStyle w:val="Heading1"/>
        <w:numPr>
          <w:ilvl w:val="0"/>
          <w:numId w:val="27"/>
        </w:numPr>
      </w:pPr>
      <w:r>
        <w:t>Discussion</w:t>
      </w:r>
    </w:p>
    <w:p w14:paraId="07DE2AE8" w14:textId="77777777" w:rsidR="003C59E6" w:rsidRDefault="00EF7196" w:rsidP="000327F6">
      <w:pPr>
        <w:pStyle w:val="FERCparanumber"/>
      </w:pPr>
      <w:r>
        <w:t xml:space="preserve">The Commission proposes to </w:t>
      </w:r>
      <w:r w:rsidR="00D63B8B">
        <w:t xml:space="preserve">amend the Commission’s regulations to </w:t>
      </w:r>
      <w:r>
        <w:t xml:space="preserve">require </w:t>
      </w:r>
      <w:r w:rsidR="002D1519">
        <w:t>NERC</w:t>
      </w:r>
      <w:r>
        <w:t xml:space="preserve"> to provide </w:t>
      </w:r>
      <w:r w:rsidR="003F0525">
        <w:t xml:space="preserve">the </w:t>
      </w:r>
      <w:r>
        <w:t>Commission</w:t>
      </w:r>
      <w:r w:rsidR="003F0525">
        <w:t xml:space="preserve">, and </w:t>
      </w:r>
      <w:r w:rsidR="001C575A">
        <w:t>Commission</w:t>
      </w:r>
      <w:r>
        <w:t xml:space="preserve"> staff</w:t>
      </w:r>
      <w:r w:rsidR="003F0525">
        <w:t>,</w:t>
      </w:r>
      <w:r>
        <w:t xml:space="preserve"> with access</w:t>
      </w:r>
      <w:r w:rsidR="00B910AC">
        <w:t xml:space="preserve"> (i.e., view and download data)</w:t>
      </w:r>
      <w:r w:rsidR="00E50C3C">
        <w:t>,</w:t>
      </w:r>
      <w:r>
        <w:t xml:space="preserve"> </w:t>
      </w:r>
      <w:r w:rsidR="00E50C3C">
        <w:t xml:space="preserve">on an ongoing and non-public basis, </w:t>
      </w:r>
      <w:r>
        <w:t>to the TADS, GADS</w:t>
      </w:r>
      <w:r w:rsidR="00833CA7">
        <w:t>,</w:t>
      </w:r>
      <w:r>
        <w:t xml:space="preserve"> and </w:t>
      </w:r>
      <w:r w:rsidR="0071798F">
        <w:t xml:space="preserve">protection system </w:t>
      </w:r>
      <w:r>
        <w:t xml:space="preserve">misoperations </w:t>
      </w:r>
      <w:r w:rsidR="00D40C01">
        <w:t>database</w:t>
      </w:r>
      <w:r>
        <w:t>s.</w:t>
      </w:r>
      <w:r w:rsidR="003C59E6">
        <w:t xml:space="preserve">  As discussed below, the Commission believes that access to the</w:t>
      </w:r>
      <w:r w:rsidR="0071798F">
        <w:t>se three</w:t>
      </w:r>
      <w:r w:rsidR="003C59E6">
        <w:t xml:space="preserve"> NERC </w:t>
      </w:r>
      <w:r w:rsidR="00D40C01">
        <w:t>database</w:t>
      </w:r>
      <w:r w:rsidR="003C59E6">
        <w:t>s</w:t>
      </w:r>
      <w:r w:rsidR="00F56FF2">
        <w:t>,</w:t>
      </w:r>
      <w:r w:rsidR="00B910AC" w:rsidRPr="00B910AC">
        <w:rPr>
          <w:szCs w:val="26"/>
        </w:rPr>
        <w:t xml:space="preserve"> </w:t>
      </w:r>
      <w:r w:rsidR="00B910AC">
        <w:rPr>
          <w:szCs w:val="26"/>
        </w:rPr>
        <w:t>which will be limited to data regarding U.S. facilities,</w:t>
      </w:r>
      <w:r w:rsidR="003C59E6">
        <w:t xml:space="preserve"> is necessary to carry out the Commission’s obligations under section 215 of the </w:t>
      </w:r>
      <w:r w:rsidR="007D177F">
        <w:t>FPA</w:t>
      </w:r>
      <w:r w:rsidR="003C59E6">
        <w:t xml:space="preserve">. </w:t>
      </w:r>
    </w:p>
    <w:p w14:paraId="7120AB98" w14:textId="77777777" w:rsidR="00271D22" w:rsidRDefault="00EF7196" w:rsidP="000327F6">
      <w:pPr>
        <w:pStyle w:val="FERCparanumber"/>
      </w:pPr>
      <w:r>
        <w:t xml:space="preserve">Under </w:t>
      </w:r>
      <w:r w:rsidR="00E50C3C">
        <w:t xml:space="preserve">section 215 of </w:t>
      </w:r>
      <w:r>
        <w:t xml:space="preserve">the FPA, the Commission </w:t>
      </w:r>
      <w:r w:rsidR="0030173B">
        <w:t>has jurisdiction over, and is responsible for oversight of, the activities and functions of the ERO and Regional Entities</w:t>
      </w:r>
      <w:r w:rsidR="003C59E6">
        <w:t xml:space="preserve"> in the United States</w:t>
      </w:r>
      <w:r w:rsidR="0030173B">
        <w:t>.</w:t>
      </w:r>
      <w:r w:rsidR="00D63B8B">
        <w:rPr>
          <w:rStyle w:val="FootnoteReference"/>
        </w:rPr>
        <w:footnoteReference w:id="39"/>
      </w:r>
      <w:r w:rsidR="0030173B">
        <w:t xml:space="preserve">  </w:t>
      </w:r>
      <w:r w:rsidR="00665B1A">
        <w:t xml:space="preserve">The development and maintenance of NERC </w:t>
      </w:r>
      <w:r w:rsidR="00D40C01">
        <w:t>database</w:t>
      </w:r>
      <w:r w:rsidR="00BB4910">
        <w:t xml:space="preserve">s such as TADS, </w:t>
      </w:r>
      <w:r w:rsidR="00665B1A">
        <w:t>GADS</w:t>
      </w:r>
      <w:r w:rsidR="00BB4910">
        <w:t>, and protection system misoperations</w:t>
      </w:r>
      <w:r w:rsidR="00665B1A">
        <w:t xml:space="preserve"> are section 215 jurisdictional activities.</w:t>
      </w:r>
      <w:r w:rsidR="00665B1A">
        <w:rPr>
          <w:rStyle w:val="FootnoteReference"/>
        </w:rPr>
        <w:footnoteReference w:id="40"/>
      </w:r>
      <w:r w:rsidR="00665B1A">
        <w:t xml:space="preserve">  </w:t>
      </w:r>
      <w:r w:rsidR="0030173B">
        <w:t xml:space="preserve">As explained in Order No. 672, access to </w:t>
      </w:r>
      <w:r w:rsidR="003C59E6">
        <w:t>relevant</w:t>
      </w:r>
      <w:r w:rsidR="0030173B">
        <w:t xml:space="preserve"> information</w:t>
      </w:r>
      <w:r w:rsidR="007F50B0">
        <w:t>, such as the information sought through this proposal,</w:t>
      </w:r>
      <w:r w:rsidR="0030173B">
        <w:t xml:space="preserve"> </w:t>
      </w:r>
      <w:r w:rsidR="003C59E6">
        <w:t xml:space="preserve">allows the Commission </w:t>
      </w:r>
      <w:r w:rsidR="0030173B" w:rsidRPr="0010607E">
        <w:t xml:space="preserve">to fulfill its </w:t>
      </w:r>
      <w:r w:rsidR="003C59E6">
        <w:t xml:space="preserve">statutory obligations under section 215 of the </w:t>
      </w:r>
      <w:r w:rsidR="007D177F">
        <w:t>FPA</w:t>
      </w:r>
      <w:r w:rsidR="0030173B">
        <w:t>.</w:t>
      </w:r>
      <w:r w:rsidR="001E1ECC">
        <w:rPr>
          <w:rStyle w:val="FootnoteReference"/>
        </w:rPr>
        <w:footnoteReference w:id="41"/>
      </w:r>
      <w:r w:rsidR="007D177F">
        <w:t xml:space="preserve">  </w:t>
      </w:r>
      <w:r w:rsidR="0013256A">
        <w:t>The Commission’s proposed regulation would require the three NERC databases (</w:t>
      </w:r>
      <w:r w:rsidR="0013256A" w:rsidRPr="001A6DE0">
        <w:t>i.e.</w:t>
      </w:r>
      <w:r w:rsidR="0013256A" w:rsidRPr="006C6E28">
        <w:rPr>
          <w:i/>
        </w:rPr>
        <w:t xml:space="preserve">, </w:t>
      </w:r>
      <w:r w:rsidR="0013256A">
        <w:t xml:space="preserve">the TADS, GADS, and protection system misoperations databases) to be made available to </w:t>
      </w:r>
      <w:r w:rsidR="003F0525">
        <w:t xml:space="preserve">the </w:t>
      </w:r>
      <w:r w:rsidR="0013256A">
        <w:t xml:space="preserve">Commission </w:t>
      </w:r>
      <w:r w:rsidR="00BB4910">
        <w:t>on a non-public and ongoing basis</w:t>
      </w:r>
      <w:r w:rsidR="0013256A">
        <w:t>.  This proposal comports with our authority because, as discussed below, access to the NERC databases is necessary to implement section 215.   Furthermore</w:t>
      </w:r>
      <w:r w:rsidR="007D177F">
        <w:t xml:space="preserve">, the Commission’s proposal is consistent with </w:t>
      </w:r>
      <w:r w:rsidR="00C8181A">
        <w:t xml:space="preserve">section </w:t>
      </w:r>
      <w:r w:rsidR="0030173B">
        <w:t xml:space="preserve">39.2(d) </w:t>
      </w:r>
      <w:r w:rsidR="007D177F">
        <w:t>of the Commission’s regulations because that provision</w:t>
      </w:r>
      <w:r w:rsidR="00BB4910">
        <w:t xml:space="preserve"> already</w:t>
      </w:r>
      <w:r w:rsidR="007D177F">
        <w:t xml:space="preserve"> requires the ERO and Regional Entities to “provide the Commission such information as is necessary to implement section 215 of the Federal Power Act.”</w:t>
      </w:r>
      <w:r w:rsidR="007D177F">
        <w:rPr>
          <w:rStyle w:val="FootnoteReference"/>
        </w:rPr>
        <w:footnoteReference w:id="42"/>
      </w:r>
    </w:p>
    <w:p w14:paraId="0D63D198" w14:textId="67B51A08" w:rsidR="00766D7E" w:rsidRDefault="007D177F" w:rsidP="003E28D1">
      <w:pPr>
        <w:pStyle w:val="FERCparanumber"/>
        <w:rPr>
          <w:szCs w:val="26"/>
        </w:rPr>
      </w:pPr>
      <w:r>
        <w:rPr>
          <w:color w:val="000000"/>
          <w:szCs w:val="26"/>
        </w:rPr>
        <w:t>A</w:t>
      </w:r>
      <w:r w:rsidR="003E28D1" w:rsidRPr="00AE24F7">
        <w:rPr>
          <w:color w:val="000000"/>
          <w:szCs w:val="26"/>
        </w:rPr>
        <w:t xml:space="preserve">ccess to </w:t>
      </w:r>
      <w:r w:rsidR="00F718CA">
        <w:rPr>
          <w:color w:val="000000"/>
          <w:szCs w:val="26"/>
        </w:rPr>
        <w:t>data</w:t>
      </w:r>
      <w:r w:rsidR="003E28D1" w:rsidRPr="00AE24F7">
        <w:rPr>
          <w:color w:val="000000"/>
          <w:szCs w:val="26"/>
        </w:rPr>
        <w:t xml:space="preserve"> collected by NERC</w:t>
      </w:r>
      <w:r w:rsidR="00A34B9A">
        <w:rPr>
          <w:color w:val="000000"/>
          <w:szCs w:val="26"/>
        </w:rPr>
        <w:t xml:space="preserve"> in the TADS, GADS, and</w:t>
      </w:r>
      <w:r w:rsidR="00F718CA">
        <w:rPr>
          <w:color w:val="000000"/>
          <w:szCs w:val="26"/>
        </w:rPr>
        <w:t xml:space="preserve"> protection system misoperation</w:t>
      </w:r>
      <w:r w:rsidR="00E4730B">
        <w:rPr>
          <w:color w:val="000000"/>
          <w:szCs w:val="26"/>
        </w:rPr>
        <w:t>s</w:t>
      </w:r>
      <w:r w:rsidR="00A34B9A">
        <w:rPr>
          <w:color w:val="000000"/>
          <w:szCs w:val="26"/>
        </w:rPr>
        <w:t xml:space="preserve"> </w:t>
      </w:r>
      <w:r w:rsidR="00D40C01">
        <w:rPr>
          <w:color w:val="000000"/>
          <w:szCs w:val="26"/>
        </w:rPr>
        <w:t>database</w:t>
      </w:r>
      <w:r w:rsidR="00A34B9A">
        <w:rPr>
          <w:color w:val="000000"/>
          <w:szCs w:val="26"/>
        </w:rPr>
        <w:t>s</w:t>
      </w:r>
      <w:r w:rsidR="00FF1858">
        <w:rPr>
          <w:color w:val="000000"/>
          <w:szCs w:val="26"/>
        </w:rPr>
        <w:t xml:space="preserve"> regarding U.S. facilities</w:t>
      </w:r>
      <w:r w:rsidR="00A34B9A">
        <w:rPr>
          <w:color w:val="000000"/>
          <w:szCs w:val="26"/>
        </w:rPr>
        <w:t xml:space="preserve"> is necessary to carry out the Commission’s statutory </w:t>
      </w:r>
      <w:r w:rsidR="00A34B9A">
        <w:rPr>
          <w:szCs w:val="26"/>
        </w:rPr>
        <w:t>authority:  (1)</w:t>
      </w:r>
      <w:r w:rsidR="00F718CA">
        <w:rPr>
          <w:szCs w:val="26"/>
        </w:rPr>
        <w:t xml:space="preserve"> </w:t>
      </w:r>
      <w:r w:rsidR="00833CA7">
        <w:rPr>
          <w:szCs w:val="26"/>
        </w:rPr>
        <w:t xml:space="preserve">to evaluate the need </w:t>
      </w:r>
      <w:r w:rsidR="00A34B9A">
        <w:rPr>
          <w:szCs w:val="26"/>
        </w:rPr>
        <w:t xml:space="preserve">to direct new or modified Reliability Standards under section 215(d)(5) of the FPA; </w:t>
      </w:r>
      <w:r w:rsidR="00360760">
        <w:rPr>
          <w:szCs w:val="26"/>
        </w:rPr>
        <w:t xml:space="preserve">and </w:t>
      </w:r>
      <w:r w:rsidR="00A34B9A">
        <w:rPr>
          <w:szCs w:val="26"/>
        </w:rPr>
        <w:t>(</w:t>
      </w:r>
      <w:r w:rsidR="00F718CA">
        <w:rPr>
          <w:szCs w:val="26"/>
        </w:rPr>
        <w:t>2</w:t>
      </w:r>
      <w:r w:rsidR="00A34B9A">
        <w:rPr>
          <w:szCs w:val="26"/>
        </w:rPr>
        <w:t xml:space="preserve">) to </w:t>
      </w:r>
      <w:r w:rsidR="00E0248A">
        <w:rPr>
          <w:szCs w:val="26"/>
        </w:rPr>
        <w:t xml:space="preserve">better understand </w:t>
      </w:r>
      <w:r w:rsidR="00A34B9A">
        <w:rPr>
          <w:szCs w:val="26"/>
        </w:rPr>
        <w:t>NERC’s</w:t>
      </w:r>
      <w:r w:rsidR="00F718CA">
        <w:rPr>
          <w:szCs w:val="26"/>
        </w:rPr>
        <w:t xml:space="preserve"> periodic</w:t>
      </w:r>
      <w:r w:rsidR="00A34B9A">
        <w:rPr>
          <w:szCs w:val="26"/>
        </w:rPr>
        <w:t xml:space="preserve"> </w:t>
      </w:r>
      <w:r w:rsidR="002B2CB5">
        <w:rPr>
          <w:szCs w:val="26"/>
        </w:rPr>
        <w:t xml:space="preserve">assessments and </w:t>
      </w:r>
      <w:r w:rsidR="00A34B9A">
        <w:rPr>
          <w:szCs w:val="26"/>
        </w:rPr>
        <w:t>reports</w:t>
      </w:r>
      <w:r w:rsidR="00B06C12">
        <w:rPr>
          <w:szCs w:val="26"/>
        </w:rPr>
        <w:t xml:space="preserve">, including </w:t>
      </w:r>
      <w:r w:rsidR="002B2CB5">
        <w:rPr>
          <w:szCs w:val="26"/>
        </w:rPr>
        <w:t>those</w:t>
      </w:r>
      <w:r w:rsidR="00B06C12">
        <w:rPr>
          <w:szCs w:val="26"/>
        </w:rPr>
        <w:t xml:space="preserve"> that may be requested by the Commission,</w:t>
      </w:r>
      <w:r w:rsidR="00A34B9A">
        <w:rPr>
          <w:szCs w:val="26"/>
        </w:rPr>
        <w:t xml:space="preserve"> regarding the reliability and adequacy of the Bulk-Power System</w:t>
      </w:r>
      <w:r w:rsidR="00766D7E" w:rsidRPr="00014800">
        <w:rPr>
          <w:szCs w:val="26"/>
        </w:rPr>
        <w:t xml:space="preserve"> </w:t>
      </w:r>
      <w:r w:rsidR="00A34B9A">
        <w:rPr>
          <w:szCs w:val="26"/>
        </w:rPr>
        <w:t>under section 215(g) of the FPA</w:t>
      </w:r>
      <w:r w:rsidR="00360760">
        <w:rPr>
          <w:szCs w:val="26"/>
        </w:rPr>
        <w:t>.</w:t>
      </w:r>
    </w:p>
    <w:p w14:paraId="496C72EF" w14:textId="47BCCF23" w:rsidR="00F718CA" w:rsidRPr="00F718CA" w:rsidRDefault="003E28D1" w:rsidP="003E28D1">
      <w:pPr>
        <w:pStyle w:val="FERCparanumber"/>
        <w:rPr>
          <w:szCs w:val="26"/>
        </w:rPr>
      </w:pPr>
      <w:r w:rsidRPr="00AE24F7">
        <w:rPr>
          <w:color w:val="000000"/>
          <w:szCs w:val="26"/>
        </w:rPr>
        <w:t xml:space="preserve">First, </w:t>
      </w:r>
      <w:r w:rsidR="00D5293D">
        <w:rPr>
          <w:color w:val="000000"/>
          <w:szCs w:val="26"/>
        </w:rPr>
        <w:t xml:space="preserve">the proposed access </w:t>
      </w:r>
      <w:r w:rsidR="00AE24F7" w:rsidRPr="00AE24F7">
        <w:rPr>
          <w:color w:val="000000"/>
          <w:szCs w:val="26"/>
        </w:rPr>
        <w:t xml:space="preserve">would inform </w:t>
      </w:r>
      <w:r w:rsidR="003F0525">
        <w:rPr>
          <w:color w:val="000000"/>
          <w:szCs w:val="26"/>
        </w:rPr>
        <w:t xml:space="preserve">the </w:t>
      </w:r>
      <w:r w:rsidR="00AE24F7" w:rsidRPr="00AE24F7">
        <w:rPr>
          <w:color w:val="000000"/>
          <w:szCs w:val="26"/>
        </w:rPr>
        <w:t xml:space="preserve">Commission </w:t>
      </w:r>
      <w:r w:rsidR="00FF7FDA">
        <w:rPr>
          <w:color w:val="000000"/>
          <w:szCs w:val="26"/>
        </w:rPr>
        <w:t>more quickly</w:t>
      </w:r>
      <w:r w:rsidR="00924C59">
        <w:rPr>
          <w:color w:val="000000"/>
          <w:szCs w:val="26"/>
        </w:rPr>
        <w:t>, directly and comprehensively</w:t>
      </w:r>
      <w:r w:rsidR="00FF7FDA">
        <w:rPr>
          <w:color w:val="000000"/>
          <w:szCs w:val="26"/>
        </w:rPr>
        <w:t xml:space="preserve"> </w:t>
      </w:r>
      <w:r w:rsidR="00D5293D">
        <w:rPr>
          <w:color w:val="000000"/>
          <w:szCs w:val="26"/>
        </w:rPr>
        <w:t xml:space="preserve">about reliability trends or reliability gaps that might require the Commission to direct the </w:t>
      </w:r>
      <w:r w:rsidR="00BB4910">
        <w:rPr>
          <w:color w:val="000000"/>
          <w:szCs w:val="26"/>
        </w:rPr>
        <w:t>ERO to develop</w:t>
      </w:r>
      <w:r w:rsidR="00AE24F7" w:rsidRPr="00AE24F7">
        <w:rPr>
          <w:color w:val="000000"/>
          <w:szCs w:val="26"/>
        </w:rPr>
        <w:t xml:space="preserve"> new or modified Reliability Standards.  </w:t>
      </w:r>
      <w:r w:rsidR="004B6908">
        <w:rPr>
          <w:color w:val="000000"/>
          <w:szCs w:val="26"/>
        </w:rPr>
        <w:t>Pursuant to section 215(d) of the FPA, the Commission has the responsibility of acting on proposed Reliability Standards developed by the ERO.  In addition, as set forth in section 215(d)(5) of the FPA, the Commission has authority to direct the ERO “to submit to the Commission a proposed reliability standard or modification to a reliability standard that addresses a specific matter if the Commission considers such a new or modified reliability standards appropriate to carry out [section 215].”</w:t>
      </w:r>
      <w:r w:rsidR="00D5293D">
        <w:rPr>
          <w:rStyle w:val="FootnoteReference"/>
          <w:color w:val="000000"/>
        </w:rPr>
        <w:footnoteReference w:id="43"/>
      </w:r>
      <w:r w:rsidR="004B6908">
        <w:rPr>
          <w:color w:val="000000"/>
          <w:szCs w:val="26"/>
        </w:rPr>
        <w:t xml:space="preserve">  </w:t>
      </w:r>
      <w:r w:rsidR="00F21F43">
        <w:rPr>
          <w:color w:val="000000"/>
          <w:szCs w:val="26"/>
        </w:rPr>
        <w:t xml:space="preserve">Therefore, with respect to the development of new </w:t>
      </w:r>
      <w:r w:rsidR="009C4F10">
        <w:rPr>
          <w:color w:val="000000"/>
          <w:szCs w:val="26"/>
        </w:rPr>
        <w:t>Reliability S</w:t>
      </w:r>
      <w:r w:rsidR="00F21F43">
        <w:rPr>
          <w:color w:val="000000"/>
          <w:szCs w:val="26"/>
        </w:rPr>
        <w:t xml:space="preserve">tandards or modification of existing </w:t>
      </w:r>
      <w:r w:rsidR="009C4F10">
        <w:rPr>
          <w:color w:val="000000"/>
          <w:szCs w:val="26"/>
        </w:rPr>
        <w:t>Reliability S</w:t>
      </w:r>
      <w:r w:rsidR="00F21F43">
        <w:rPr>
          <w:color w:val="000000"/>
          <w:szCs w:val="26"/>
        </w:rPr>
        <w:t xml:space="preserve">tandards, section 215(d) of the FPA tasks </w:t>
      </w:r>
      <w:r w:rsidR="00047BAA">
        <w:rPr>
          <w:color w:val="000000"/>
          <w:szCs w:val="26"/>
        </w:rPr>
        <w:t xml:space="preserve">both </w:t>
      </w:r>
      <w:r w:rsidR="00F21F43">
        <w:rPr>
          <w:color w:val="000000"/>
          <w:szCs w:val="26"/>
        </w:rPr>
        <w:t>the Commission</w:t>
      </w:r>
      <w:r w:rsidR="00047BAA">
        <w:rPr>
          <w:color w:val="000000"/>
          <w:szCs w:val="26"/>
        </w:rPr>
        <w:t xml:space="preserve"> and the ERO (i.e., NERC)</w:t>
      </w:r>
      <w:r w:rsidR="00F21F43">
        <w:rPr>
          <w:color w:val="000000"/>
          <w:szCs w:val="26"/>
        </w:rPr>
        <w:t xml:space="preserve"> with the</w:t>
      </w:r>
      <w:r w:rsidR="00617BB9">
        <w:rPr>
          <w:color w:val="000000"/>
          <w:szCs w:val="26"/>
        </w:rPr>
        <w:t xml:space="preserve"> </w:t>
      </w:r>
      <w:r w:rsidR="00F21F43">
        <w:rPr>
          <w:color w:val="000000"/>
          <w:szCs w:val="26"/>
        </w:rPr>
        <w:t xml:space="preserve">responsibility to monitor reliability trends or reliability gaps that might warrant the development or modification of a </w:t>
      </w:r>
      <w:r w:rsidR="009C4F10">
        <w:rPr>
          <w:color w:val="000000"/>
          <w:szCs w:val="26"/>
        </w:rPr>
        <w:t>Reliability S</w:t>
      </w:r>
      <w:r w:rsidR="00F21F43">
        <w:rPr>
          <w:color w:val="000000"/>
          <w:szCs w:val="26"/>
        </w:rPr>
        <w:t xml:space="preserve">tandard.  As discussed below, the data contained in the TADS, GADS, and protection systems misoperations databases </w:t>
      </w:r>
      <w:r w:rsidR="00617BB9">
        <w:rPr>
          <w:color w:val="000000"/>
          <w:szCs w:val="26"/>
        </w:rPr>
        <w:t>provide</w:t>
      </w:r>
      <w:r w:rsidR="00AE24F7" w:rsidRPr="00AE24F7">
        <w:rPr>
          <w:color w:val="000000"/>
          <w:szCs w:val="26"/>
        </w:rPr>
        <w:t xml:space="preserve"> insights regarding reliability performance</w:t>
      </w:r>
      <w:r w:rsidR="004B6908">
        <w:rPr>
          <w:color w:val="000000"/>
          <w:szCs w:val="26"/>
        </w:rPr>
        <w:t xml:space="preserve"> that </w:t>
      </w:r>
      <w:r w:rsidR="00617BB9">
        <w:rPr>
          <w:color w:val="000000"/>
          <w:szCs w:val="26"/>
        </w:rPr>
        <w:t>bear on</w:t>
      </w:r>
      <w:r w:rsidR="00AE24F7" w:rsidRPr="00AE24F7">
        <w:rPr>
          <w:color w:val="000000"/>
          <w:szCs w:val="26"/>
        </w:rPr>
        <w:t xml:space="preserve"> whether </w:t>
      </w:r>
      <w:r w:rsidR="00F718CA">
        <w:rPr>
          <w:color w:val="000000"/>
          <w:szCs w:val="26"/>
        </w:rPr>
        <w:t xml:space="preserve">existing Reliability Standards </w:t>
      </w:r>
      <w:r w:rsidR="00AE24F7" w:rsidRPr="00AE24F7">
        <w:rPr>
          <w:color w:val="000000"/>
          <w:szCs w:val="26"/>
        </w:rPr>
        <w:t>are effective</w:t>
      </w:r>
      <w:r w:rsidR="005B5911">
        <w:rPr>
          <w:color w:val="000000"/>
          <w:szCs w:val="26"/>
        </w:rPr>
        <w:t>;</w:t>
      </w:r>
      <w:r w:rsidR="00F718CA">
        <w:rPr>
          <w:color w:val="000000"/>
          <w:szCs w:val="26"/>
        </w:rPr>
        <w:t xml:space="preserve"> whether they </w:t>
      </w:r>
      <w:r w:rsidR="004B6908">
        <w:rPr>
          <w:color w:val="000000"/>
          <w:szCs w:val="26"/>
        </w:rPr>
        <w:t>require modification</w:t>
      </w:r>
      <w:r w:rsidR="005B5911">
        <w:rPr>
          <w:color w:val="000000"/>
          <w:szCs w:val="26"/>
        </w:rPr>
        <w:t>;</w:t>
      </w:r>
      <w:r w:rsidR="00F718CA">
        <w:rPr>
          <w:color w:val="000000"/>
          <w:szCs w:val="26"/>
        </w:rPr>
        <w:t xml:space="preserve"> or whether new Reliability Standards should be developed</w:t>
      </w:r>
      <w:r w:rsidR="00AE24F7" w:rsidRPr="00AE24F7">
        <w:rPr>
          <w:color w:val="000000"/>
          <w:szCs w:val="26"/>
        </w:rPr>
        <w:t>.</w:t>
      </w:r>
      <w:r w:rsidR="00617BB9">
        <w:rPr>
          <w:color w:val="000000"/>
          <w:szCs w:val="26"/>
        </w:rPr>
        <w:t xml:space="preserve">  </w:t>
      </w:r>
      <w:r w:rsidR="00047BAA">
        <w:rPr>
          <w:color w:val="000000"/>
          <w:szCs w:val="26"/>
        </w:rPr>
        <w:t>However</w:t>
      </w:r>
      <w:r w:rsidR="00617BB9">
        <w:rPr>
          <w:color w:val="000000"/>
          <w:szCs w:val="26"/>
        </w:rPr>
        <w:t>,</w:t>
      </w:r>
      <w:r w:rsidR="00047BAA">
        <w:rPr>
          <w:color w:val="000000"/>
          <w:szCs w:val="26"/>
        </w:rPr>
        <w:t xml:space="preserve"> currently the Commission does not have access to these databases, which are maintained by NERC to support its </w:t>
      </w:r>
      <w:r w:rsidR="009C4F10">
        <w:rPr>
          <w:color w:val="000000"/>
          <w:szCs w:val="26"/>
        </w:rPr>
        <w:t>Reliability S</w:t>
      </w:r>
      <w:r w:rsidR="00047BAA">
        <w:rPr>
          <w:color w:val="000000"/>
          <w:szCs w:val="26"/>
        </w:rPr>
        <w:t>tandards work pursuant to section 215(d), and we find</w:t>
      </w:r>
      <w:r w:rsidR="00617BB9">
        <w:rPr>
          <w:color w:val="000000"/>
          <w:szCs w:val="26"/>
        </w:rPr>
        <w:t xml:space="preserve"> it appropriate that the Commission </w:t>
      </w:r>
      <w:r w:rsidR="004767FA">
        <w:rPr>
          <w:color w:val="000000"/>
          <w:szCs w:val="26"/>
        </w:rPr>
        <w:t xml:space="preserve">also </w:t>
      </w:r>
      <w:r w:rsidR="00617BB9">
        <w:rPr>
          <w:color w:val="000000"/>
          <w:szCs w:val="26"/>
        </w:rPr>
        <w:t>have access to the</w:t>
      </w:r>
      <w:r w:rsidR="00047BAA">
        <w:rPr>
          <w:color w:val="000000"/>
          <w:szCs w:val="26"/>
        </w:rPr>
        <w:t>m</w:t>
      </w:r>
      <w:r w:rsidR="00617BB9">
        <w:rPr>
          <w:color w:val="000000"/>
          <w:szCs w:val="26"/>
        </w:rPr>
        <w:t xml:space="preserve"> to support the Commission’s </w:t>
      </w:r>
      <w:r w:rsidR="00502B40">
        <w:rPr>
          <w:color w:val="000000"/>
          <w:szCs w:val="26"/>
        </w:rPr>
        <w:t>assess</w:t>
      </w:r>
      <w:r w:rsidR="00DF734A">
        <w:rPr>
          <w:color w:val="000000"/>
          <w:szCs w:val="26"/>
        </w:rPr>
        <w:t>ment of</w:t>
      </w:r>
      <w:r w:rsidR="00502B40">
        <w:rPr>
          <w:color w:val="000000"/>
          <w:szCs w:val="26"/>
        </w:rPr>
        <w:t xml:space="preserve"> the effectiveness of existing </w:t>
      </w:r>
      <w:r w:rsidR="009C4F10">
        <w:rPr>
          <w:color w:val="000000"/>
          <w:szCs w:val="26"/>
        </w:rPr>
        <w:t>R</w:t>
      </w:r>
      <w:r w:rsidR="00502B40">
        <w:rPr>
          <w:color w:val="000000"/>
          <w:szCs w:val="26"/>
        </w:rPr>
        <w:t xml:space="preserve">eliability </w:t>
      </w:r>
      <w:r w:rsidR="009C4F10">
        <w:rPr>
          <w:color w:val="000000"/>
          <w:szCs w:val="26"/>
        </w:rPr>
        <w:t>S</w:t>
      </w:r>
      <w:r w:rsidR="00502B40">
        <w:rPr>
          <w:color w:val="000000"/>
          <w:szCs w:val="26"/>
        </w:rPr>
        <w:t>tandards</w:t>
      </w:r>
      <w:r w:rsidR="00617BB9">
        <w:rPr>
          <w:color w:val="000000"/>
          <w:szCs w:val="26"/>
        </w:rPr>
        <w:t>.</w:t>
      </w:r>
    </w:p>
    <w:p w14:paraId="608215EF" w14:textId="7B0D6EFA" w:rsidR="00F718CA" w:rsidRDefault="00617BB9" w:rsidP="003E28D1">
      <w:pPr>
        <w:pStyle w:val="FERCparanumber"/>
        <w:rPr>
          <w:szCs w:val="26"/>
        </w:rPr>
      </w:pPr>
      <w:r>
        <w:rPr>
          <w:szCs w:val="26"/>
        </w:rPr>
        <w:t>T</w:t>
      </w:r>
      <w:r w:rsidR="00F718CA">
        <w:rPr>
          <w:szCs w:val="26"/>
        </w:rPr>
        <w:t>he TADS, GADS</w:t>
      </w:r>
      <w:r w:rsidR="00833CA7">
        <w:rPr>
          <w:szCs w:val="26"/>
        </w:rPr>
        <w:t>,</w:t>
      </w:r>
      <w:r w:rsidR="00F718CA">
        <w:rPr>
          <w:szCs w:val="26"/>
        </w:rPr>
        <w:t xml:space="preserve"> and </w:t>
      </w:r>
      <w:r w:rsidR="00E4730B">
        <w:rPr>
          <w:szCs w:val="26"/>
        </w:rPr>
        <w:t>protection system misoperations</w:t>
      </w:r>
      <w:r w:rsidR="00F718CA">
        <w:rPr>
          <w:szCs w:val="26"/>
        </w:rPr>
        <w:t xml:space="preserve"> databases </w:t>
      </w:r>
      <w:r w:rsidR="000F56FF">
        <w:rPr>
          <w:szCs w:val="26"/>
        </w:rPr>
        <w:t>include important information regarding</w:t>
      </w:r>
      <w:r w:rsidR="003331E2">
        <w:rPr>
          <w:szCs w:val="26"/>
        </w:rPr>
        <w:t xml:space="preserve"> the need for </w:t>
      </w:r>
      <w:r w:rsidR="00F718CA">
        <w:rPr>
          <w:szCs w:val="26"/>
        </w:rPr>
        <w:t xml:space="preserve">new or modified </w:t>
      </w:r>
      <w:r w:rsidR="009C4F10">
        <w:rPr>
          <w:szCs w:val="26"/>
        </w:rPr>
        <w:t>R</w:t>
      </w:r>
      <w:r w:rsidR="00F718CA">
        <w:rPr>
          <w:szCs w:val="26"/>
        </w:rPr>
        <w:t xml:space="preserve">eliability </w:t>
      </w:r>
      <w:r w:rsidR="009C4F10">
        <w:rPr>
          <w:szCs w:val="26"/>
        </w:rPr>
        <w:t>S</w:t>
      </w:r>
      <w:r w:rsidR="00F718CA">
        <w:rPr>
          <w:szCs w:val="26"/>
        </w:rPr>
        <w:t xml:space="preserve">tandards.  </w:t>
      </w:r>
      <w:r>
        <w:rPr>
          <w:szCs w:val="26"/>
        </w:rPr>
        <w:t>For example, i</w:t>
      </w:r>
      <w:r w:rsidR="006A0F83">
        <w:rPr>
          <w:szCs w:val="26"/>
        </w:rPr>
        <w:t xml:space="preserve">n describing the importance of </w:t>
      </w:r>
      <w:r w:rsidR="003331E2">
        <w:rPr>
          <w:szCs w:val="26"/>
        </w:rPr>
        <w:t xml:space="preserve">mandatory </w:t>
      </w:r>
      <w:r w:rsidR="006A0F83">
        <w:rPr>
          <w:szCs w:val="26"/>
        </w:rPr>
        <w:t>TADS data</w:t>
      </w:r>
      <w:r w:rsidR="003331E2">
        <w:rPr>
          <w:szCs w:val="26"/>
        </w:rPr>
        <w:t xml:space="preserve"> collection</w:t>
      </w:r>
      <w:r w:rsidR="006A0F83">
        <w:rPr>
          <w:szCs w:val="26"/>
        </w:rPr>
        <w:t>, NERC</w:t>
      </w:r>
      <w:r w:rsidR="00F718CA">
        <w:rPr>
          <w:szCs w:val="26"/>
        </w:rPr>
        <w:t xml:space="preserve"> stated that:</w:t>
      </w:r>
    </w:p>
    <w:p w14:paraId="79906D3A" w14:textId="103F1A00" w:rsidR="00F718CA" w:rsidRDefault="00F718CA" w:rsidP="00F718CA">
      <w:pPr>
        <w:pStyle w:val="FERCparanumber"/>
        <w:numPr>
          <w:ilvl w:val="0"/>
          <w:numId w:val="0"/>
        </w:numPr>
        <w:spacing w:after="240" w:line="240" w:lineRule="auto"/>
        <w:ind w:left="720" w:right="720"/>
      </w:pPr>
      <w:r>
        <w:t xml:space="preserve">Whether a new standard is needed or whether an existing standard needs to be modified, sound data is needed for this purpose. </w:t>
      </w:r>
      <w:r w:rsidR="006A0F83">
        <w:t xml:space="preserve"> </w:t>
      </w:r>
      <w:r>
        <w:t>TADS data is intended to provide a basis for standards.</w:t>
      </w:r>
      <w:r>
        <w:rPr>
          <w:rStyle w:val="FootnoteReference"/>
        </w:rPr>
        <w:footnoteReference w:id="44"/>
      </w:r>
      <w:r>
        <w:t xml:space="preserve"> </w:t>
      </w:r>
    </w:p>
    <w:p w14:paraId="04A6DDA7" w14:textId="77777777" w:rsidR="001A6DE0" w:rsidRDefault="006A0F83" w:rsidP="00D81C5B">
      <w:pPr>
        <w:pStyle w:val="FERCparanumber"/>
        <w:numPr>
          <w:ilvl w:val="0"/>
          <w:numId w:val="0"/>
        </w:numPr>
      </w:pPr>
      <w:r>
        <w:rPr>
          <w:szCs w:val="26"/>
        </w:rPr>
        <w:t>Similarly, in justifying the need for mandatory GADS data reporting, NERC stated that GADS data “i</w:t>
      </w:r>
      <w:r>
        <w:t>s used to calculate important performance statistics and supports bulk power trend analysis by providing information on forced outages, maintenance outages, planned outages, and deratings …</w:t>
      </w:r>
      <w:r w:rsidR="003331E2">
        <w:t xml:space="preserve"> [</w:t>
      </w:r>
      <w:r>
        <w:t xml:space="preserve">the] GADS database is vital to support NERC in its </w:t>
      </w:r>
    </w:p>
    <w:p w14:paraId="4A9B4A9E" w14:textId="77777777" w:rsidR="001A6DE0" w:rsidRDefault="001A6DE0" w:rsidP="00D81C5B">
      <w:pPr>
        <w:pStyle w:val="FERCparanumber"/>
        <w:numPr>
          <w:ilvl w:val="0"/>
          <w:numId w:val="0"/>
        </w:numPr>
      </w:pPr>
    </w:p>
    <w:p w14:paraId="39EC737B" w14:textId="1091F61C" w:rsidR="00590288" w:rsidRDefault="006A0F83" w:rsidP="00D81C5B">
      <w:pPr>
        <w:pStyle w:val="FERCparanumber"/>
        <w:numPr>
          <w:ilvl w:val="0"/>
          <w:numId w:val="0"/>
        </w:numPr>
      </w:pPr>
      <w:r>
        <w:t>assessment of bulk power system reliability.”</w:t>
      </w:r>
      <w:r>
        <w:rPr>
          <w:rStyle w:val="FootnoteReference"/>
        </w:rPr>
        <w:footnoteReference w:id="45"/>
      </w:r>
      <w:r>
        <w:t xml:space="preserve">  With respect to </w:t>
      </w:r>
      <w:r w:rsidR="00E4730B">
        <w:t>protection system misoperations</w:t>
      </w:r>
      <w:r>
        <w:t xml:space="preserve"> data, NERC described that data as “providing several benefits to [bulk electric system] reliability and support[ing] NERC’s mission of ensuring the reliability of the [Bulk-Power System</w:t>
      </w:r>
      <w:r w:rsidR="003331E2">
        <w:t>]</w:t>
      </w:r>
      <w:r>
        <w:t xml:space="preserve"> in North America.”</w:t>
      </w:r>
      <w:r>
        <w:rPr>
          <w:rStyle w:val="FootnoteReference"/>
        </w:rPr>
        <w:footnoteReference w:id="46"/>
      </w:r>
      <w:r>
        <w:t xml:space="preserve">  Among other things, NERC stated that protection</w:t>
      </w:r>
      <w:r w:rsidR="005B5911">
        <w:t xml:space="preserve"> system</w:t>
      </w:r>
      <w:r>
        <w:t xml:space="preserve"> misoperation</w:t>
      </w:r>
      <w:r w:rsidR="005B5911">
        <w:t>s</w:t>
      </w:r>
      <w:r>
        <w:t xml:space="preserve"> data</w:t>
      </w:r>
      <w:r w:rsidR="003331E2">
        <w:t xml:space="preserve"> is used to “[i]dentify trends in Protection System performance that negatively impact reliability.”</w:t>
      </w:r>
      <w:r w:rsidR="003331E2">
        <w:rPr>
          <w:rStyle w:val="FootnoteReference"/>
        </w:rPr>
        <w:footnoteReference w:id="47"/>
      </w:r>
      <w:r w:rsidR="00617BB9">
        <w:t xml:space="preserve">  </w:t>
      </w:r>
      <w:r w:rsidR="005E408C">
        <w:t xml:space="preserve">Accordingly, just as the information in these databases supports NERC’s </w:t>
      </w:r>
      <w:r w:rsidR="009C4F10">
        <w:t>Reliability S</w:t>
      </w:r>
      <w:r w:rsidR="00FC002F">
        <w:t>tandards work</w:t>
      </w:r>
      <w:r w:rsidR="00EF6FA6">
        <w:t xml:space="preserve"> under section 215(d) of the FPA</w:t>
      </w:r>
      <w:r w:rsidR="005E408C">
        <w:t xml:space="preserve">, we find that the Commission’s access to these databases will </w:t>
      </w:r>
      <w:r w:rsidR="00FC002F">
        <w:t>further</w:t>
      </w:r>
      <w:r w:rsidR="005E408C">
        <w:t xml:space="preserve"> our </w:t>
      </w:r>
      <w:r w:rsidR="00AE71AC">
        <w:t>work</w:t>
      </w:r>
      <w:r w:rsidR="005E408C">
        <w:t xml:space="preserve"> under section 215(d)(5) </w:t>
      </w:r>
      <w:r w:rsidR="00EF6FA6">
        <w:t xml:space="preserve">of the FPA </w:t>
      </w:r>
      <w:r w:rsidR="005E408C">
        <w:t xml:space="preserve">to identify reliability issues that might necessitate the development or modification of </w:t>
      </w:r>
      <w:r w:rsidR="009C4F10">
        <w:t>R</w:t>
      </w:r>
      <w:r w:rsidR="005E408C">
        <w:t xml:space="preserve">eliability </w:t>
      </w:r>
      <w:r w:rsidR="009C4F10">
        <w:t>S</w:t>
      </w:r>
      <w:r w:rsidR="005E408C">
        <w:t>tandards.</w:t>
      </w:r>
    </w:p>
    <w:p w14:paraId="7406D10B" w14:textId="26B5D59C" w:rsidR="000327F6" w:rsidRDefault="003331E2" w:rsidP="00420344">
      <w:pPr>
        <w:pStyle w:val="FERCparanumberChar"/>
        <w:numPr>
          <w:ilvl w:val="0"/>
          <w:numId w:val="5"/>
        </w:numPr>
      </w:pPr>
      <w:r>
        <w:t>Second</w:t>
      </w:r>
      <w:r w:rsidR="00766D7E">
        <w:t xml:space="preserve">, access to </w:t>
      </w:r>
      <w:r w:rsidR="00766D7E">
        <w:rPr>
          <w:color w:val="000000"/>
          <w:szCs w:val="26"/>
        </w:rPr>
        <w:t xml:space="preserve">the </w:t>
      </w:r>
      <w:r>
        <w:rPr>
          <w:color w:val="000000"/>
          <w:szCs w:val="26"/>
        </w:rPr>
        <w:t>TADS, GADS</w:t>
      </w:r>
      <w:r w:rsidR="00833CA7">
        <w:rPr>
          <w:color w:val="000000"/>
          <w:szCs w:val="26"/>
        </w:rPr>
        <w:t>,</w:t>
      </w:r>
      <w:r>
        <w:rPr>
          <w:color w:val="000000"/>
          <w:szCs w:val="26"/>
        </w:rPr>
        <w:t xml:space="preserve"> and </w:t>
      </w:r>
      <w:r w:rsidR="00E4730B">
        <w:rPr>
          <w:color w:val="000000"/>
          <w:szCs w:val="26"/>
        </w:rPr>
        <w:t>protection system misoperations</w:t>
      </w:r>
      <w:r>
        <w:rPr>
          <w:color w:val="000000"/>
          <w:szCs w:val="26"/>
        </w:rPr>
        <w:t xml:space="preserve"> </w:t>
      </w:r>
      <w:r w:rsidR="00D40C01">
        <w:rPr>
          <w:color w:val="000000"/>
          <w:szCs w:val="26"/>
        </w:rPr>
        <w:t>database</w:t>
      </w:r>
      <w:r w:rsidR="00766D7E">
        <w:rPr>
          <w:color w:val="000000"/>
          <w:szCs w:val="26"/>
        </w:rPr>
        <w:t xml:space="preserve">s </w:t>
      </w:r>
      <w:r w:rsidR="00766D7E" w:rsidRPr="003E28D1">
        <w:rPr>
          <w:color w:val="000000"/>
          <w:szCs w:val="26"/>
        </w:rPr>
        <w:t>w</w:t>
      </w:r>
      <w:r w:rsidR="00C15836">
        <w:rPr>
          <w:color w:val="000000"/>
          <w:szCs w:val="26"/>
        </w:rPr>
        <w:t>ill assist</w:t>
      </w:r>
      <w:r w:rsidR="00766D7E" w:rsidRPr="00014800">
        <w:rPr>
          <w:szCs w:val="26"/>
        </w:rPr>
        <w:t xml:space="preserve"> </w:t>
      </w:r>
      <w:r>
        <w:rPr>
          <w:szCs w:val="26"/>
        </w:rPr>
        <w:t xml:space="preserve">the Commission with </w:t>
      </w:r>
      <w:r w:rsidR="00C15836">
        <w:rPr>
          <w:szCs w:val="26"/>
        </w:rPr>
        <w:t>its</w:t>
      </w:r>
      <w:r w:rsidR="008251BE">
        <w:rPr>
          <w:szCs w:val="26"/>
        </w:rPr>
        <w:t xml:space="preserve"> </w:t>
      </w:r>
      <w:r w:rsidR="001C58FB">
        <w:rPr>
          <w:szCs w:val="26"/>
        </w:rPr>
        <w:t xml:space="preserve">understanding </w:t>
      </w:r>
      <w:r w:rsidR="00C15836">
        <w:rPr>
          <w:szCs w:val="26"/>
        </w:rPr>
        <w:t>of</w:t>
      </w:r>
      <w:r w:rsidR="008251BE">
        <w:rPr>
          <w:szCs w:val="26"/>
        </w:rPr>
        <w:t xml:space="preserve"> </w:t>
      </w:r>
      <w:r w:rsidR="003714D3">
        <w:rPr>
          <w:szCs w:val="26"/>
        </w:rPr>
        <w:t xml:space="preserve">the </w:t>
      </w:r>
      <w:r>
        <w:rPr>
          <w:szCs w:val="26"/>
        </w:rPr>
        <w:t>reliability and</w:t>
      </w:r>
      <w:r w:rsidR="00766D7E" w:rsidRPr="00014800">
        <w:rPr>
          <w:szCs w:val="26"/>
        </w:rPr>
        <w:t xml:space="preserve"> adequacy assessments</w:t>
      </w:r>
      <w:r>
        <w:rPr>
          <w:szCs w:val="26"/>
        </w:rPr>
        <w:t xml:space="preserve"> periodically submitted by NERC </w:t>
      </w:r>
      <w:r w:rsidR="00D5293D">
        <w:rPr>
          <w:szCs w:val="26"/>
        </w:rPr>
        <w:t>pursuant to</w:t>
      </w:r>
      <w:r>
        <w:rPr>
          <w:szCs w:val="26"/>
        </w:rPr>
        <w:t xml:space="preserve"> section 215(g) of the </w:t>
      </w:r>
      <w:r w:rsidR="00D5293D">
        <w:rPr>
          <w:szCs w:val="26"/>
        </w:rPr>
        <w:t>FPA</w:t>
      </w:r>
      <w:r w:rsidR="00B06C12">
        <w:rPr>
          <w:szCs w:val="26"/>
        </w:rPr>
        <w:t xml:space="preserve">, as well as provide </w:t>
      </w:r>
      <w:r w:rsidR="00B06C12" w:rsidRPr="00420344">
        <w:t xml:space="preserve">the Commission </w:t>
      </w:r>
      <w:r w:rsidR="00B06C12">
        <w:rPr>
          <w:szCs w:val="26"/>
        </w:rPr>
        <w:t xml:space="preserve">with data that could support requests by the Commission for additional </w:t>
      </w:r>
      <w:r w:rsidR="002B2CB5">
        <w:rPr>
          <w:szCs w:val="26"/>
        </w:rPr>
        <w:t xml:space="preserve">assessments or </w:t>
      </w:r>
      <w:r w:rsidR="00B06C12">
        <w:rPr>
          <w:szCs w:val="26"/>
        </w:rPr>
        <w:t>reports from NERC under that section</w:t>
      </w:r>
      <w:r>
        <w:rPr>
          <w:szCs w:val="26"/>
        </w:rPr>
        <w:t>.</w:t>
      </w:r>
      <w:r w:rsidR="003714D3" w:rsidRPr="00420344">
        <w:t xml:space="preserve">  </w:t>
      </w:r>
      <w:r w:rsidR="003714D3">
        <w:rPr>
          <w:szCs w:val="26"/>
        </w:rPr>
        <w:t xml:space="preserve">The periodic reports, such as the annual state of reliability reports, </w:t>
      </w:r>
      <w:r w:rsidR="00B06C12">
        <w:rPr>
          <w:szCs w:val="26"/>
        </w:rPr>
        <w:t xml:space="preserve">currently </w:t>
      </w:r>
      <w:r w:rsidR="003714D3">
        <w:rPr>
          <w:szCs w:val="26"/>
        </w:rPr>
        <w:t xml:space="preserve">submitted by NERC draw heavily from these </w:t>
      </w:r>
      <w:r w:rsidR="00D40C01">
        <w:rPr>
          <w:szCs w:val="26"/>
        </w:rPr>
        <w:t>database</w:t>
      </w:r>
      <w:r w:rsidR="003714D3">
        <w:rPr>
          <w:szCs w:val="26"/>
        </w:rPr>
        <w:t>s</w:t>
      </w:r>
      <w:r w:rsidR="00BD1457">
        <w:rPr>
          <w:szCs w:val="26"/>
        </w:rPr>
        <w:t xml:space="preserve"> </w:t>
      </w:r>
      <w:r w:rsidR="00DF7DD9">
        <w:t xml:space="preserve">and provide </w:t>
      </w:r>
      <w:r w:rsidR="00BD1457">
        <w:rPr>
          <w:szCs w:val="26"/>
        </w:rPr>
        <w:t>an overview of reliability issues and trends identified through the analysis of those databases</w:t>
      </w:r>
      <w:r w:rsidR="003714D3">
        <w:rPr>
          <w:szCs w:val="26"/>
        </w:rPr>
        <w:t xml:space="preserve">.  </w:t>
      </w:r>
      <w:r w:rsidR="00BD1457">
        <w:rPr>
          <w:szCs w:val="26"/>
        </w:rPr>
        <w:t xml:space="preserve">While </w:t>
      </w:r>
      <w:r w:rsidR="00BD1457">
        <w:t>t</w:t>
      </w:r>
      <w:r w:rsidR="003714D3">
        <w:t>he aggregated TADS, GADS</w:t>
      </w:r>
      <w:r w:rsidR="00833CA7">
        <w:t>,</w:t>
      </w:r>
      <w:r w:rsidR="003714D3">
        <w:t xml:space="preserve"> and </w:t>
      </w:r>
      <w:r w:rsidR="00E4730B">
        <w:t>protection system misoperations</w:t>
      </w:r>
      <w:r w:rsidR="003714D3">
        <w:t xml:space="preserve"> data provided in</w:t>
      </w:r>
      <w:r w:rsidR="00652EDA">
        <w:t xml:space="preserve"> NERC’s periodic reports afford</w:t>
      </w:r>
      <w:r w:rsidR="003714D3">
        <w:t xml:space="preserve"> the Commission some </w:t>
      </w:r>
      <w:r w:rsidR="00BD1457">
        <w:t>insight into the</w:t>
      </w:r>
      <w:r w:rsidR="003714D3">
        <w:t xml:space="preserve"> reliability and adequacy trends</w:t>
      </w:r>
      <w:r w:rsidR="00924C59">
        <w:t xml:space="preserve"> </w:t>
      </w:r>
      <w:r w:rsidR="00BD1457">
        <w:t xml:space="preserve">identified by NERC, we believe that having direct access to the underlying data will assist the Commission in its </w:t>
      </w:r>
      <w:r w:rsidR="00E0248A">
        <w:t xml:space="preserve">understanding </w:t>
      </w:r>
      <w:r w:rsidR="00BD1457">
        <w:t xml:space="preserve">of the periodic reports, thereby </w:t>
      </w:r>
      <w:r w:rsidR="00BD1457" w:rsidRPr="00B06C12">
        <w:rPr>
          <w:color w:val="000000"/>
          <w:szCs w:val="26"/>
        </w:rPr>
        <w:t>helping</w:t>
      </w:r>
      <w:r w:rsidR="00BD1457" w:rsidRPr="00420344">
        <w:rPr>
          <w:color w:val="000000"/>
        </w:rPr>
        <w:t xml:space="preserve"> the Commission </w:t>
      </w:r>
      <w:r w:rsidR="00BD1457" w:rsidRPr="00B06C12">
        <w:rPr>
          <w:color w:val="000000"/>
          <w:szCs w:val="26"/>
        </w:rPr>
        <w:t xml:space="preserve">to monitor causes of outages and detect emerging reliability issues.  </w:t>
      </w:r>
    </w:p>
    <w:p w14:paraId="448E75E7" w14:textId="77777777" w:rsidR="00FB6E66" w:rsidRDefault="0071798F" w:rsidP="00FB6E66">
      <w:pPr>
        <w:pStyle w:val="FERCparanumberChar"/>
        <w:numPr>
          <w:ilvl w:val="0"/>
          <w:numId w:val="5"/>
        </w:numPr>
      </w:pPr>
      <w:r>
        <w:t xml:space="preserve">The Commission </w:t>
      </w:r>
      <w:r w:rsidR="00481A19" w:rsidRPr="00845EB8">
        <w:t>propose</w:t>
      </w:r>
      <w:r>
        <w:t>s</w:t>
      </w:r>
      <w:r w:rsidR="00CD3221">
        <w:t xml:space="preserve"> to locate the proposed </w:t>
      </w:r>
      <w:r w:rsidR="00481A19">
        <w:t xml:space="preserve">requirement within </w:t>
      </w:r>
      <w:r w:rsidR="00A10A27">
        <w:t>section</w:t>
      </w:r>
      <w:r w:rsidR="00A10A27" w:rsidRPr="00A457B9">
        <w:t xml:space="preserve"> </w:t>
      </w:r>
      <w:r w:rsidR="00CD3221" w:rsidRPr="00A457B9">
        <w:t>39</w:t>
      </w:r>
      <w:r w:rsidR="00A457B9" w:rsidRPr="00A457B9">
        <w:t>.11</w:t>
      </w:r>
      <w:r w:rsidR="00481A19">
        <w:t xml:space="preserve"> of </w:t>
      </w:r>
      <w:r w:rsidR="007F50B0">
        <w:t xml:space="preserve">the Commission’s </w:t>
      </w:r>
      <w:r w:rsidR="00481A19">
        <w:t xml:space="preserve">regulations, which governs </w:t>
      </w:r>
      <w:r w:rsidR="00A457B9">
        <w:t>the preparation and submission of reliability reports</w:t>
      </w:r>
      <w:r>
        <w:t>.</w:t>
      </w:r>
      <w:r w:rsidR="00C84878">
        <w:rPr>
          <w:rStyle w:val="FootnoteReference"/>
        </w:rPr>
        <w:footnoteReference w:id="48"/>
      </w:r>
      <w:r>
        <w:t xml:space="preserve">  We propose to </w:t>
      </w:r>
      <w:r w:rsidR="00A457B9">
        <w:t xml:space="preserve">add a new paragraph (c) that establishes a formal requirement that the ERO </w:t>
      </w:r>
      <w:r w:rsidR="00A457B9">
        <w:rPr>
          <w:szCs w:val="26"/>
        </w:rPr>
        <w:t xml:space="preserve">provide </w:t>
      </w:r>
      <w:r w:rsidR="003F0525">
        <w:rPr>
          <w:szCs w:val="26"/>
        </w:rPr>
        <w:t xml:space="preserve">the </w:t>
      </w:r>
      <w:r w:rsidR="00A457B9" w:rsidRPr="0063130E">
        <w:rPr>
          <w:szCs w:val="26"/>
        </w:rPr>
        <w:t xml:space="preserve">Commission </w:t>
      </w:r>
      <w:r w:rsidR="00A457B9">
        <w:rPr>
          <w:szCs w:val="26"/>
        </w:rPr>
        <w:t xml:space="preserve">with </w:t>
      </w:r>
      <w:r w:rsidR="00A457B9" w:rsidRPr="0063130E">
        <w:rPr>
          <w:szCs w:val="26"/>
        </w:rPr>
        <w:t>access, on a non-public and ongoing basis, to</w:t>
      </w:r>
      <w:r w:rsidR="00A457B9">
        <w:rPr>
          <w:szCs w:val="26"/>
        </w:rPr>
        <w:t xml:space="preserve"> the ERO’s TADS, GADS</w:t>
      </w:r>
      <w:r w:rsidR="00833CA7">
        <w:rPr>
          <w:szCs w:val="26"/>
        </w:rPr>
        <w:t>,</w:t>
      </w:r>
      <w:r w:rsidR="00A457B9">
        <w:rPr>
          <w:szCs w:val="26"/>
        </w:rPr>
        <w:t xml:space="preserve"> and </w:t>
      </w:r>
      <w:r w:rsidR="00E4730B">
        <w:rPr>
          <w:szCs w:val="26"/>
        </w:rPr>
        <w:t>protection system misoperations</w:t>
      </w:r>
      <w:r w:rsidR="00A457B9">
        <w:rPr>
          <w:szCs w:val="26"/>
        </w:rPr>
        <w:t xml:space="preserve"> </w:t>
      </w:r>
      <w:r w:rsidR="00D40C01">
        <w:rPr>
          <w:szCs w:val="26"/>
        </w:rPr>
        <w:t>database</w:t>
      </w:r>
      <w:r w:rsidR="00A457B9">
        <w:rPr>
          <w:szCs w:val="26"/>
        </w:rPr>
        <w:t>s</w:t>
      </w:r>
      <w:r>
        <w:rPr>
          <w:szCs w:val="26"/>
        </w:rPr>
        <w:t>, or any successor</w:t>
      </w:r>
      <w:r w:rsidR="00916335">
        <w:rPr>
          <w:szCs w:val="26"/>
        </w:rPr>
        <w:t xml:space="preserve"> databases</w:t>
      </w:r>
      <w:r>
        <w:rPr>
          <w:szCs w:val="26"/>
        </w:rPr>
        <w:t xml:space="preserve"> thereto</w:t>
      </w:r>
      <w:r w:rsidR="00A457B9">
        <w:rPr>
          <w:szCs w:val="26"/>
        </w:rPr>
        <w:t>.</w:t>
      </w:r>
    </w:p>
    <w:p w14:paraId="284DEFC4" w14:textId="7DD86713" w:rsidR="0071798F" w:rsidRPr="0071798F" w:rsidRDefault="002C25DE" w:rsidP="00FB6E66">
      <w:pPr>
        <w:pStyle w:val="FERCparanumber"/>
      </w:pPr>
      <w:r>
        <w:rPr>
          <w:szCs w:val="26"/>
        </w:rPr>
        <w:t>We also recognize that</w:t>
      </w:r>
      <w:r w:rsidR="00FB6E66">
        <w:rPr>
          <w:szCs w:val="26"/>
        </w:rPr>
        <w:t xml:space="preserve"> the Commission’s proposal </w:t>
      </w:r>
      <w:r>
        <w:rPr>
          <w:szCs w:val="26"/>
        </w:rPr>
        <w:t xml:space="preserve">might </w:t>
      </w:r>
      <w:r w:rsidR="00FB6E66">
        <w:rPr>
          <w:szCs w:val="26"/>
        </w:rPr>
        <w:t>raise confidentiality issues</w:t>
      </w:r>
      <w:r>
        <w:rPr>
          <w:szCs w:val="26"/>
        </w:rPr>
        <w:t xml:space="preserve"> regarding certain of the data contained in these databases.  Should the Commission</w:t>
      </w:r>
      <w:r w:rsidR="00B63B3F">
        <w:rPr>
          <w:szCs w:val="26"/>
        </w:rPr>
        <w:t xml:space="preserve"> collect an entity’s confidential information</w:t>
      </w:r>
      <w:r w:rsidR="00FB6E66">
        <w:rPr>
          <w:szCs w:val="26"/>
        </w:rPr>
        <w:t>, t</w:t>
      </w:r>
      <w:r w:rsidR="00FB6E66">
        <w:t xml:space="preserve">he Commission </w:t>
      </w:r>
      <w:r>
        <w:t xml:space="preserve">will </w:t>
      </w:r>
      <w:r w:rsidR="00FB6E66">
        <w:t>take appropriate steps, as provided for in our governing statutes and regulations,</w:t>
      </w:r>
      <w:r>
        <w:rPr>
          <w:rStyle w:val="FootnoteReference"/>
        </w:rPr>
        <w:footnoteReference w:id="49"/>
      </w:r>
      <w:r w:rsidR="00FB6E66">
        <w:t xml:space="preserve"> in handling </w:t>
      </w:r>
      <w:r w:rsidR="00B63B3F">
        <w:t xml:space="preserve">such </w:t>
      </w:r>
      <w:r w:rsidR="00FB6E66">
        <w:t>information.</w:t>
      </w:r>
    </w:p>
    <w:p w14:paraId="50F40BAB" w14:textId="77777777" w:rsidR="00481A19" w:rsidRPr="00443B3D" w:rsidRDefault="0058294E" w:rsidP="0058294E">
      <w:pPr>
        <w:pStyle w:val="FERCparanumberChar"/>
        <w:numPr>
          <w:ilvl w:val="0"/>
          <w:numId w:val="5"/>
        </w:numPr>
      </w:pPr>
      <w:r>
        <w:rPr>
          <w:szCs w:val="26"/>
        </w:rPr>
        <w:t>The Commission seeks comment from NERC and other interested entities on this proposal.</w:t>
      </w:r>
      <w:r w:rsidR="006519B0">
        <w:rPr>
          <w:szCs w:val="26"/>
        </w:rPr>
        <w:t xml:space="preserve">  Comments are due 60 days following publication of this notice of proposed rulemaking in the Federal Register.</w:t>
      </w:r>
    </w:p>
    <w:p w14:paraId="3D707451" w14:textId="77777777" w:rsidR="00E859EA" w:rsidRPr="00443B3D" w:rsidRDefault="00E859EA" w:rsidP="00E859EA">
      <w:pPr>
        <w:pStyle w:val="Heading1"/>
        <w:numPr>
          <w:ilvl w:val="0"/>
          <w:numId w:val="27"/>
        </w:numPr>
      </w:pPr>
      <w:r w:rsidRPr="00443B3D">
        <w:t>Information Collection Statement</w:t>
      </w:r>
      <w:r w:rsidR="00E43EAD">
        <w:t xml:space="preserve"> </w:t>
      </w:r>
    </w:p>
    <w:p w14:paraId="1E2B0F0F" w14:textId="77777777" w:rsidR="00E859EA" w:rsidRDefault="0018730E" w:rsidP="007D2C2D">
      <w:pPr>
        <w:pStyle w:val="FERCparanumber"/>
      </w:pPr>
      <w:r>
        <w:t>The Paperwork Reduction Act (PRA)</w:t>
      </w:r>
      <w:r>
        <w:rPr>
          <w:rStyle w:val="FootnoteReference"/>
        </w:rPr>
        <w:footnoteReference w:id="50"/>
      </w:r>
      <w:r>
        <w:t xml:space="preserve"> requires each federal agency to seek and obtain </w:t>
      </w:r>
      <w:r w:rsidRPr="004B3284">
        <w:t xml:space="preserve">Office of Management and Budget </w:t>
      </w:r>
      <w:r>
        <w:t>(OMB) approval before undertaking a collection of information directed to ten or more persons, or contained in a rule of general applicability.  The OMB</w:t>
      </w:r>
      <w:r w:rsidR="00D05C12">
        <w:t xml:space="preserve"> regulations require </w:t>
      </w:r>
      <w:r w:rsidR="00CC2E14">
        <w:t xml:space="preserve">the </w:t>
      </w:r>
      <w:r w:rsidR="00D05C12">
        <w:t>approval of certain information collection requirements imposed by agency rules.</w:t>
      </w:r>
      <w:r w:rsidR="00D05C12">
        <w:rPr>
          <w:rStyle w:val="FootnoteReference"/>
        </w:rPr>
        <w:footnoteReference w:id="51"/>
      </w:r>
      <w:r w:rsidR="00D05C12">
        <w:t xml:space="preserve">  Upon approval of a collection(s) of information, OMB will assign an OMB control number and an expiration date. </w:t>
      </w:r>
      <w:r w:rsidR="005B5911">
        <w:t xml:space="preserve"> </w:t>
      </w:r>
      <w:r w:rsidR="00D05C12">
        <w:t xml:space="preserve">Respondents subject to the filing requirements of an agency rule will not be penalized for failing to respond to these collections of information unless the collections of information display a valid OMB control number.  </w:t>
      </w:r>
    </w:p>
    <w:p w14:paraId="74ED7ECC" w14:textId="77777777" w:rsidR="00D05C12" w:rsidRDefault="00D05C12" w:rsidP="007D2C2D">
      <w:pPr>
        <w:pStyle w:val="FERCparanumber"/>
      </w:pPr>
      <w:r>
        <w:t xml:space="preserve">The Commission is submitting these reporting requirements to OMB for its review and approval under section 3507(d) of the PRA.  Comments are solicited on the Commission’s need for this information, </w:t>
      </w:r>
      <w:r w:rsidR="0018730E">
        <w:t xml:space="preserve">the estimated burden and cost imposed on </w:t>
      </w:r>
      <w:r w:rsidR="002954D5">
        <w:t xml:space="preserve">the ERO </w:t>
      </w:r>
      <w:r w:rsidR="0018730E">
        <w:t xml:space="preserve">of providing the </w:t>
      </w:r>
      <w:r w:rsidR="002954D5">
        <w:t xml:space="preserve">Commission </w:t>
      </w:r>
      <w:r w:rsidR="0018730E">
        <w:t xml:space="preserve">with ongoing access to the three databases, </w:t>
      </w:r>
      <w:r>
        <w:t xml:space="preserve">whether the information will have practical utility, ways to enhance the quality, utility, and clarity of the information to be </w:t>
      </w:r>
      <w:r w:rsidR="0018730E">
        <w:t>accessed,</w:t>
      </w:r>
      <w:r>
        <w:t xml:space="preserve"> and any suggested methods for minimizing the respondent’s burden.</w:t>
      </w:r>
    </w:p>
    <w:p w14:paraId="56265BD5" w14:textId="4523071A" w:rsidR="00A26FB2" w:rsidRDefault="00D05C12" w:rsidP="007D2C2D">
      <w:pPr>
        <w:pStyle w:val="FERCparanumber"/>
      </w:pPr>
      <w:r>
        <w:t>The Commission’s proposal would make TADS, GADS</w:t>
      </w:r>
      <w:r w:rsidR="00833CA7">
        <w:t>,</w:t>
      </w:r>
      <w:r>
        <w:t xml:space="preserve"> and </w:t>
      </w:r>
      <w:r w:rsidR="00E4730B">
        <w:t>protection system misoperations</w:t>
      </w:r>
      <w:r>
        <w:t xml:space="preserve"> data, currently collected by </w:t>
      </w:r>
      <w:r w:rsidR="002954D5">
        <w:t>the ERO</w:t>
      </w:r>
      <w:r>
        <w:t xml:space="preserve">, available to </w:t>
      </w:r>
      <w:r w:rsidR="003F0525">
        <w:t xml:space="preserve">the </w:t>
      </w:r>
      <w:r>
        <w:t>Commission</w:t>
      </w:r>
      <w:r w:rsidR="003F0525">
        <w:t xml:space="preserve">, and its </w:t>
      </w:r>
      <w:r>
        <w:t xml:space="preserve"> staff</w:t>
      </w:r>
      <w:r w:rsidR="003F0525">
        <w:t>,</w:t>
      </w:r>
      <w:r w:rsidR="00575AE2">
        <w:t xml:space="preserve"> on a non-public and ongoing basis</w:t>
      </w:r>
      <w:r>
        <w:t xml:space="preserve">.  The proposal would not require </w:t>
      </w:r>
      <w:r w:rsidR="00570366">
        <w:t xml:space="preserve">the </w:t>
      </w:r>
      <w:r w:rsidR="002954D5">
        <w:t>ERO</w:t>
      </w:r>
      <w:r>
        <w:t xml:space="preserve"> to collect new information, compile information into any kind of report, or </w:t>
      </w:r>
      <w:r w:rsidR="00963ABF">
        <w:t>reformulate</w:t>
      </w:r>
      <w:r>
        <w:t xml:space="preserve"> the raw data.</w:t>
      </w:r>
      <w:r w:rsidR="00250529">
        <w:t xml:space="preserve">  </w:t>
      </w:r>
      <w:r w:rsidR="00250529" w:rsidRPr="00250529">
        <w:t>The Commission also anticipates that it could be relatively straight-forward for the ERO to provide the Commission, and Commission staff, with access to TADS, GADS and misoperations data.  Various entities currently have access to these data via an existing web interface.  Providing the Commission, and Commission staff, with access may be as simple as creating log-on credentials for the web interface.</w:t>
      </w:r>
      <w:r>
        <w:t xml:space="preserve">  Accordingly, the Commission estimates that the </w:t>
      </w:r>
      <w:r w:rsidR="0018730E">
        <w:t>one-time</w:t>
      </w:r>
      <w:r>
        <w:t xml:space="preserve"> burden associated with compliance with this proposed rule is </w:t>
      </w:r>
      <w:r w:rsidRPr="00D05C12">
        <w:rPr>
          <w:i/>
        </w:rPr>
        <w:t>de minimis</w:t>
      </w:r>
      <w:r>
        <w:t xml:space="preserve"> and is limited to </w:t>
      </w:r>
      <w:r w:rsidR="002954D5">
        <w:t>the ERO</w:t>
      </w:r>
      <w:r>
        <w:t xml:space="preserve"> reviewing the Commission’s proposed regulation and providing Commission </w:t>
      </w:r>
      <w:r w:rsidR="00575AE2">
        <w:t xml:space="preserve">with </w:t>
      </w:r>
      <w:r>
        <w:t>access</w:t>
      </w:r>
      <w:r w:rsidR="00575AE2">
        <w:t xml:space="preserve"> to</w:t>
      </w:r>
      <w:r>
        <w:t xml:space="preserve"> the </w:t>
      </w:r>
      <w:r w:rsidR="0018730E">
        <w:t xml:space="preserve">existing </w:t>
      </w:r>
      <w:r>
        <w:t>TADS, GADS</w:t>
      </w:r>
      <w:r w:rsidR="00833CA7">
        <w:t>,</w:t>
      </w:r>
      <w:r>
        <w:t xml:space="preserve"> and </w:t>
      </w:r>
      <w:r w:rsidR="00E4730B">
        <w:t>protection system misoperations</w:t>
      </w:r>
      <w:r>
        <w:t xml:space="preserve"> </w:t>
      </w:r>
      <w:r w:rsidR="00D40C01">
        <w:t>database</w:t>
      </w:r>
      <w:r>
        <w:t>s.</w:t>
      </w:r>
    </w:p>
    <w:p w14:paraId="189DE0A9" w14:textId="428A5CF3" w:rsidR="001D5A57" w:rsidRDefault="0018730E" w:rsidP="007D2C2D">
      <w:pPr>
        <w:pStyle w:val="FERCparanumber"/>
      </w:pPr>
      <w:r>
        <w:t xml:space="preserve">The requirements for </w:t>
      </w:r>
      <w:r w:rsidR="002954D5">
        <w:t>the ERO</w:t>
      </w:r>
      <w:r>
        <w:t xml:space="preserve"> to provide data to the Commission are included in </w:t>
      </w:r>
      <w:r w:rsidR="001D5A57">
        <w:t xml:space="preserve">the existing FERC-725, Certification of Electric Reliability Organization; Procedures for Electric Reliability </w:t>
      </w:r>
      <w:r>
        <w:t xml:space="preserve">Standards </w:t>
      </w:r>
      <w:r w:rsidR="001D5A57">
        <w:t>(OMB Control No. 1902-0225).   FERC-725 includes information used by the Commission to implement the statutory provisions of section 215 of the FPA.</w:t>
      </w:r>
      <w:r>
        <w:t xml:space="preserve">  FERC-725 includes the burden, reporting and recordkeeping requirements associated with: </w:t>
      </w:r>
      <w:r w:rsidR="001A6DE0">
        <w:t xml:space="preserve"> </w:t>
      </w:r>
      <w:r>
        <w:t xml:space="preserve">(a) </w:t>
      </w:r>
      <w:r w:rsidRPr="00C60EEB">
        <w:t>Self Assessment and ERO Application</w:t>
      </w:r>
      <w:r>
        <w:t>, (b)</w:t>
      </w:r>
      <w:r w:rsidRPr="00C60EEB">
        <w:t xml:space="preserve"> Reliability Assessments</w:t>
      </w:r>
      <w:r>
        <w:t>, (c)</w:t>
      </w:r>
      <w:r w:rsidRPr="00C60EEB">
        <w:t xml:space="preserve"> Reliability Standards Development</w:t>
      </w:r>
      <w:r>
        <w:t>, (d)</w:t>
      </w:r>
      <w:r w:rsidRPr="00C60EEB">
        <w:t xml:space="preserve"> Reliability Compliance</w:t>
      </w:r>
      <w:r>
        <w:t>, (e)</w:t>
      </w:r>
      <w:r w:rsidRPr="00C60EEB">
        <w:t xml:space="preserve"> Stakeholder Survey</w:t>
      </w:r>
      <w:r>
        <w:t>, and (f)</w:t>
      </w:r>
      <w:r w:rsidRPr="00C60EEB">
        <w:t xml:space="preserve"> Other Reporting</w:t>
      </w:r>
      <w:r>
        <w:t>.  This notice of proposed rulemaking will be submitted to OMB for review under the PRA.</w:t>
      </w:r>
    </w:p>
    <w:p w14:paraId="7BC0648B" w14:textId="77777777" w:rsidR="001D5A57" w:rsidRDefault="001D5A57" w:rsidP="007D2C2D">
      <w:pPr>
        <w:pStyle w:val="FERCparanumber"/>
      </w:pPr>
      <w:r w:rsidRPr="001D5A57">
        <w:rPr>
          <w:u w:val="single"/>
        </w:rPr>
        <w:t>Internal review</w:t>
      </w:r>
      <w:r>
        <w:t xml:space="preserve">:  The Commission has reviewed the proposed </w:t>
      </w:r>
      <w:r w:rsidR="003E001B">
        <w:t xml:space="preserve">regulation </w:t>
      </w:r>
      <w:r>
        <w:t xml:space="preserve">and has determined that the </w:t>
      </w:r>
      <w:r w:rsidR="003E001B">
        <w:t>proposed regulation is</w:t>
      </w:r>
      <w:r>
        <w:t xml:space="preserve"> necessary to ensure the reliability and integrity of the Nation’s Bulk-Power System.</w:t>
      </w:r>
    </w:p>
    <w:p w14:paraId="1EDE2EB2" w14:textId="442A9435" w:rsidR="001D5A57" w:rsidRDefault="001D5A57" w:rsidP="001D5A57">
      <w:pPr>
        <w:pStyle w:val="FERCparanumber"/>
      </w:pPr>
      <w:r>
        <w:t xml:space="preserve">Interested persons may obtain information on the reporting requirements by contacting: </w:t>
      </w:r>
      <w:r w:rsidR="001C4054">
        <w:t xml:space="preserve"> </w:t>
      </w:r>
      <w:r>
        <w:t xml:space="preserve">Federal Energy Regulatory Commission, 888 First Street, NE, Washington, DC 20426 [Attention: </w:t>
      </w:r>
      <w:r w:rsidR="001C4054">
        <w:t xml:space="preserve"> </w:t>
      </w:r>
      <w:r>
        <w:t>Ellen Brown, Office of the Executive Director, e-mail: DataClearance@ferc.gov, Phone: (202) 502-8663, fax: (202) 273-0873].  Comments on the requirements of this rule may also be sent to the Office of Information and Regulatory Affairs, Office of Management and Budget, Washington, DC 20503 [Attention: Desk Officer for the Federal Energy Regulatory Commission].  For security reasons, comments should be sent by e-mail to OMB at oira_submission@omb.eop.gov.  Please refer</w:t>
      </w:r>
      <w:r w:rsidR="0018730E">
        <w:t xml:space="preserve">ence OMB Control No. 1902-0225 and </w:t>
      </w:r>
      <w:r>
        <w:t>FERC-725 in your submission.</w:t>
      </w:r>
    </w:p>
    <w:p w14:paraId="4CB2226D" w14:textId="77777777" w:rsidR="00E859EA" w:rsidRPr="00443B3D" w:rsidRDefault="00E859EA" w:rsidP="00E859EA">
      <w:pPr>
        <w:pStyle w:val="Heading1"/>
        <w:numPr>
          <w:ilvl w:val="0"/>
          <w:numId w:val="27"/>
        </w:numPr>
      </w:pPr>
      <w:r w:rsidRPr="00443B3D">
        <w:t>Environmental Analysis</w:t>
      </w:r>
    </w:p>
    <w:p w14:paraId="68DF9F8A" w14:textId="77777777" w:rsidR="00E859EA" w:rsidRDefault="00E859EA" w:rsidP="007D2C2D">
      <w:pPr>
        <w:pStyle w:val="FERCparanumber"/>
      </w:pPr>
      <w:r>
        <w:t>The Commission is required to prepare an Environmental Assessment or an Environmental Impact Statement for any action that may have a significant adverse effect on the human environment.</w:t>
      </w:r>
      <w:r>
        <w:rPr>
          <w:rStyle w:val="FootnoteReference"/>
        </w:rPr>
        <w:footnoteReference w:id="52"/>
      </w:r>
      <w:r w:rsidR="0000144B">
        <w:t xml:space="preserve">  The Commission has categorically excluded certain actions from this requirement as not having a significant effect on the human environment. Included in the exclusion are rules that are clarifying, corre</w:t>
      </w:r>
      <w:r w:rsidR="001D5A57">
        <w:t xml:space="preserve">ctive, or procedural or that do </w:t>
      </w:r>
      <w:r w:rsidR="0000144B">
        <w:t>not substantially change the effect of the regulations being amended.</w:t>
      </w:r>
      <w:r w:rsidR="0000144B">
        <w:rPr>
          <w:rStyle w:val="FootnoteReference"/>
        </w:rPr>
        <w:footnoteReference w:id="53"/>
      </w:r>
      <w:r w:rsidR="0000144B">
        <w:t xml:space="preserve">  The actions here fall within this categorical exclusion in the Commission’s regulations.</w:t>
      </w:r>
    </w:p>
    <w:p w14:paraId="65F85935" w14:textId="77777777" w:rsidR="00E859EA" w:rsidRPr="00443B3D" w:rsidRDefault="003E001B" w:rsidP="00E859EA">
      <w:pPr>
        <w:pStyle w:val="Heading1"/>
        <w:numPr>
          <w:ilvl w:val="0"/>
          <w:numId w:val="27"/>
        </w:numPr>
      </w:pPr>
      <w:r>
        <w:t xml:space="preserve">Regulatory Flexibility Act </w:t>
      </w:r>
    </w:p>
    <w:p w14:paraId="03832B90" w14:textId="77777777" w:rsidR="001D5A57" w:rsidRDefault="00E859EA" w:rsidP="007D2C2D">
      <w:pPr>
        <w:pStyle w:val="FERCparanumber"/>
      </w:pPr>
      <w:r>
        <w:t>The Regulatory Flexibility Act of 1980 (RFA)</w:t>
      </w:r>
      <w:r>
        <w:rPr>
          <w:rStyle w:val="FootnoteReference"/>
        </w:rPr>
        <w:footnoteReference w:id="54"/>
      </w:r>
      <w:r>
        <w:t xml:space="preserve"> generally requires a description and analysis of proposed rules that will have significant economic impact on a substa</w:t>
      </w:r>
      <w:r w:rsidR="001D5A57">
        <w:t>ntial number of small entities.</w:t>
      </w:r>
      <w:r w:rsidR="002A7DDE">
        <w:t xml:space="preserve">  </w:t>
      </w:r>
      <w:r w:rsidR="001D5A57">
        <w:t>The Small Business Administration (SBA) revised its size standard (effective January 22, 2014) for electric utilities from a standard based on megawatt hours to a standard based on the number of employees, including affiliates.</w:t>
      </w:r>
      <w:r w:rsidR="001D5A57">
        <w:rPr>
          <w:rStyle w:val="FootnoteReference"/>
        </w:rPr>
        <w:footnoteReference w:id="55"/>
      </w:r>
      <w:r w:rsidR="001D5A57">
        <w:t xml:space="preserve">  </w:t>
      </w:r>
    </w:p>
    <w:p w14:paraId="5A2AD69A" w14:textId="77777777" w:rsidR="003E001B" w:rsidRPr="00C30627" w:rsidRDefault="0018730E" w:rsidP="007D2C2D">
      <w:pPr>
        <w:pStyle w:val="FERCparanumber"/>
      </w:pPr>
      <w:r>
        <w:t>The Commission proposes to</w:t>
      </w:r>
      <w:r w:rsidR="003E001B">
        <w:t xml:space="preserve"> </w:t>
      </w:r>
      <w:r w:rsidR="003E001B">
        <w:rPr>
          <w:szCs w:val="26"/>
        </w:rPr>
        <w:t xml:space="preserve">amend the Commission’s regulations to require </w:t>
      </w:r>
      <w:r w:rsidR="00A0291F">
        <w:rPr>
          <w:szCs w:val="26"/>
        </w:rPr>
        <w:t>only the ERO (</w:t>
      </w:r>
      <w:r w:rsidR="00A0291F" w:rsidRPr="001C4054">
        <w:rPr>
          <w:szCs w:val="26"/>
        </w:rPr>
        <w:t>i.e.,</w:t>
      </w:r>
      <w:r w:rsidR="00A0291F">
        <w:rPr>
          <w:szCs w:val="26"/>
        </w:rPr>
        <w:t xml:space="preserve"> </w:t>
      </w:r>
      <w:r w:rsidR="003E001B">
        <w:rPr>
          <w:szCs w:val="26"/>
        </w:rPr>
        <w:t>NERC</w:t>
      </w:r>
      <w:r w:rsidR="00A0291F">
        <w:rPr>
          <w:szCs w:val="26"/>
        </w:rPr>
        <w:t>)</w:t>
      </w:r>
      <w:r w:rsidR="003E001B">
        <w:rPr>
          <w:szCs w:val="26"/>
        </w:rPr>
        <w:t xml:space="preserve"> to provide </w:t>
      </w:r>
      <w:r w:rsidR="003F0525">
        <w:rPr>
          <w:szCs w:val="26"/>
        </w:rPr>
        <w:t xml:space="preserve">the </w:t>
      </w:r>
      <w:r w:rsidR="003E001B" w:rsidRPr="0063130E">
        <w:rPr>
          <w:szCs w:val="26"/>
        </w:rPr>
        <w:t>Commission</w:t>
      </w:r>
      <w:r w:rsidR="003F0525">
        <w:rPr>
          <w:szCs w:val="26"/>
        </w:rPr>
        <w:t>,</w:t>
      </w:r>
      <w:r w:rsidR="008E0047">
        <w:rPr>
          <w:szCs w:val="26"/>
        </w:rPr>
        <w:t xml:space="preserve"> </w:t>
      </w:r>
      <w:r w:rsidR="003F0525">
        <w:rPr>
          <w:szCs w:val="26"/>
        </w:rPr>
        <w:t xml:space="preserve">and </w:t>
      </w:r>
      <w:r w:rsidR="001C575A">
        <w:rPr>
          <w:szCs w:val="26"/>
        </w:rPr>
        <w:t>Commission</w:t>
      </w:r>
      <w:r w:rsidR="003E001B" w:rsidRPr="0063130E">
        <w:rPr>
          <w:szCs w:val="26"/>
        </w:rPr>
        <w:t xml:space="preserve"> </w:t>
      </w:r>
      <w:r w:rsidR="003E001B">
        <w:rPr>
          <w:szCs w:val="26"/>
        </w:rPr>
        <w:t>staff</w:t>
      </w:r>
      <w:r w:rsidR="003F0525">
        <w:rPr>
          <w:szCs w:val="26"/>
        </w:rPr>
        <w:t>,</w:t>
      </w:r>
      <w:r w:rsidR="003E001B">
        <w:rPr>
          <w:szCs w:val="26"/>
        </w:rPr>
        <w:t xml:space="preserve"> with </w:t>
      </w:r>
      <w:r w:rsidR="003E001B" w:rsidRPr="0063130E">
        <w:rPr>
          <w:szCs w:val="26"/>
        </w:rPr>
        <w:t xml:space="preserve">access, on a non-public and ongoing basis, </w:t>
      </w:r>
      <w:r w:rsidR="003E001B">
        <w:t xml:space="preserve">to the </w:t>
      </w:r>
      <w:r w:rsidR="00A0291F">
        <w:t xml:space="preserve">existing </w:t>
      </w:r>
      <w:r w:rsidR="003E001B">
        <w:t>TADS, GADS</w:t>
      </w:r>
      <w:r w:rsidR="00833CA7">
        <w:t>,</w:t>
      </w:r>
      <w:r w:rsidR="003E001B">
        <w:t xml:space="preserve"> and protections system misoperation</w:t>
      </w:r>
      <w:r w:rsidR="005B5911">
        <w:t>s</w:t>
      </w:r>
      <w:r w:rsidR="003E001B">
        <w:t xml:space="preserve"> databases</w:t>
      </w:r>
      <w:r>
        <w:t xml:space="preserve">.  As discussed above, we estimate that the costs to the ERO associated with the Commission’s proposal will be </w:t>
      </w:r>
      <w:r>
        <w:rPr>
          <w:i/>
        </w:rPr>
        <w:t>de minimis</w:t>
      </w:r>
      <w:r>
        <w:t>.</w:t>
      </w:r>
      <w:r w:rsidR="003E001B">
        <w:t xml:space="preserve"> </w:t>
      </w:r>
      <w:r w:rsidR="001062C4">
        <w:t xml:space="preserve"> </w:t>
      </w:r>
      <w:r>
        <w:t>Accordingly</w:t>
      </w:r>
      <w:r w:rsidR="00A0291F">
        <w:t>,</w:t>
      </w:r>
      <w:r w:rsidR="003E001B">
        <w:t xml:space="preserve"> the Commission certifies that this proposal will not have a significant economic impact on a substantial number of small entities.</w:t>
      </w:r>
    </w:p>
    <w:p w14:paraId="3877C0FD" w14:textId="77777777" w:rsidR="00E859EA" w:rsidRPr="00443B3D" w:rsidRDefault="00E859EA" w:rsidP="00E859EA">
      <w:pPr>
        <w:pStyle w:val="Heading1"/>
        <w:numPr>
          <w:ilvl w:val="0"/>
          <w:numId w:val="27"/>
        </w:numPr>
      </w:pPr>
      <w:r w:rsidRPr="00443B3D">
        <w:t>Comment Procedures</w:t>
      </w:r>
    </w:p>
    <w:p w14:paraId="65338B17" w14:textId="77777777" w:rsidR="00E859EA" w:rsidRDefault="00E859EA" w:rsidP="007D2C2D">
      <w:pPr>
        <w:pStyle w:val="FERCparanumber"/>
      </w:pPr>
      <w:r>
        <w:t xml:space="preserve">The Commission invites interested persons to submit comments on the matters and issues proposed in this notice to be adopted, including any related matters or alternative proposals that commenters may wish to discuss.  Comments are due </w:t>
      </w:r>
      <w:r w:rsidRPr="005A7276">
        <w:t>[</w:t>
      </w:r>
      <w:r>
        <w:rPr>
          <w:b/>
        </w:rPr>
        <w:t xml:space="preserve">INSERT DATE </w:t>
      </w:r>
      <w:r w:rsidR="000B3D7A">
        <w:rPr>
          <w:b/>
        </w:rPr>
        <w:t xml:space="preserve">60 days </w:t>
      </w:r>
      <w:r>
        <w:rPr>
          <w:b/>
        </w:rPr>
        <w:t>after publication in the FEDERAL REGISTER</w:t>
      </w:r>
      <w:r w:rsidRPr="005A7276">
        <w:t>]</w:t>
      </w:r>
      <w:r>
        <w:t xml:space="preserve">.  Comments must refer to Docket No. </w:t>
      </w:r>
      <w:r w:rsidR="000B3D7A">
        <w:t>RM15-</w:t>
      </w:r>
      <w:r w:rsidR="00B910AC">
        <w:t>25</w:t>
      </w:r>
      <w:r w:rsidR="000B3D7A">
        <w:t>-000</w:t>
      </w:r>
      <w:r>
        <w:t>, and must include the commenter's name, the organization they represent, if applicable, and their address in their comments.</w:t>
      </w:r>
    </w:p>
    <w:p w14:paraId="056BE1C0" w14:textId="7CF8E615" w:rsidR="00E859EA" w:rsidRDefault="00E859EA" w:rsidP="007D2C2D">
      <w:pPr>
        <w:pStyle w:val="FERCparanumber"/>
      </w:pPr>
      <w:r>
        <w:t xml:space="preserve">The Commission encourages comments to be filed electronically via the eFiling link on the Commission's web site at </w:t>
      </w:r>
      <w:r w:rsidRPr="001C4054">
        <w:t>http://www.ferc.gov</w:t>
      </w:r>
      <w:r>
        <w:t xml:space="preserve">.  </w:t>
      </w:r>
      <w:r w:rsidRPr="00AD4410">
        <w:t>The Commission accepts most standard word processing formats</w:t>
      </w:r>
      <w:r>
        <w:t xml:space="preserve">.  </w:t>
      </w:r>
      <w:r w:rsidRPr="00062A6A">
        <w:t>Documents created electronically using word processing software should be filed in native applications or print-to-PDF format and not in a scanned format.</w:t>
      </w:r>
      <w:r>
        <w:t xml:space="preserve">  </w:t>
      </w:r>
      <w:r w:rsidRPr="00AD4410">
        <w:t>Commenters filing electronically do not need to make a paper filing.</w:t>
      </w:r>
    </w:p>
    <w:p w14:paraId="16C047E9" w14:textId="49E2D5CC" w:rsidR="00E859EA" w:rsidRPr="00C30627" w:rsidRDefault="00E859EA" w:rsidP="007D2C2D">
      <w:pPr>
        <w:pStyle w:val="FERCparanumber"/>
      </w:pPr>
      <w:r w:rsidRPr="00AD4410">
        <w:t xml:space="preserve">Commenters that are not able to file comments electronically must send an original of their comments to: </w:t>
      </w:r>
      <w:r w:rsidR="001C4054">
        <w:t xml:space="preserve"> </w:t>
      </w:r>
      <w:r w:rsidRPr="00AD4410">
        <w:t xml:space="preserve">Federal Energy Regulatory Commission, </w:t>
      </w:r>
      <w:r>
        <w:t>Secretary of the Commission</w:t>
      </w:r>
      <w:r w:rsidRPr="00AD4410">
        <w:t>, 888 First Street</w:t>
      </w:r>
      <w:r w:rsidR="001C4054">
        <w:t>,</w:t>
      </w:r>
      <w:r w:rsidRPr="00AD4410">
        <w:t xml:space="preserve"> NE, Washington, DC</w:t>
      </w:r>
      <w:r w:rsidR="001C4054">
        <w:t xml:space="preserve"> </w:t>
      </w:r>
      <w:r w:rsidRPr="00AD4410">
        <w:t xml:space="preserve"> 20426.</w:t>
      </w:r>
    </w:p>
    <w:p w14:paraId="69938238" w14:textId="77777777" w:rsidR="00E859EA" w:rsidRPr="00C30627" w:rsidRDefault="00E859EA" w:rsidP="007D2C2D">
      <w:pPr>
        <w:pStyle w:val="FERCparanumber"/>
      </w:pPr>
      <w: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5AF7909C" w14:textId="77777777" w:rsidR="00E859EA" w:rsidRPr="00443B3D" w:rsidRDefault="00E859EA" w:rsidP="00E859EA">
      <w:pPr>
        <w:pStyle w:val="Heading1"/>
        <w:numPr>
          <w:ilvl w:val="0"/>
          <w:numId w:val="27"/>
        </w:numPr>
      </w:pPr>
      <w:r w:rsidRPr="00443B3D">
        <w:t>Document Availability</w:t>
      </w:r>
    </w:p>
    <w:p w14:paraId="66738A95" w14:textId="6732F7E1" w:rsidR="00E859EA" w:rsidRDefault="00E859EA" w:rsidP="007D2C2D">
      <w:pPr>
        <w:pStyle w:val="FERCparanumber"/>
      </w:pPr>
      <w:r w:rsidRPr="00F53919">
        <w:t xml:space="preserve">In addition to publishing the full text of this document in the Federal Register, the Commission provides all interested persons an opportunity to view and/or print the contents of this document via the Internet through </w:t>
      </w:r>
      <w:r>
        <w:t>the Commission</w:t>
      </w:r>
      <w:r w:rsidRPr="00F53919">
        <w:t>'s Home Page (</w:t>
      </w:r>
      <w:r w:rsidRPr="001C4054">
        <w:t>http://www.ferc.gov</w:t>
      </w:r>
      <w:r w:rsidRPr="00F53919">
        <w:t xml:space="preserve">) and in </w:t>
      </w:r>
      <w:r>
        <w:t>the Commission</w:t>
      </w:r>
      <w:r w:rsidRPr="00F53919">
        <w:t>'s Public Reference Room during normal business hours (8:30 a.m. to 5:00 p.m. Eastern time) at 888 First Street, NE, Room 2A, Washington</w:t>
      </w:r>
      <w:r w:rsidR="001C4054">
        <w:t>,</w:t>
      </w:r>
      <w:r w:rsidRPr="00F53919">
        <w:t xml:space="preserve"> DC</w:t>
      </w:r>
      <w:r w:rsidR="001C4054">
        <w:t xml:space="preserve"> </w:t>
      </w:r>
      <w:r w:rsidRPr="00F53919">
        <w:t xml:space="preserve"> 20426.</w:t>
      </w:r>
    </w:p>
    <w:p w14:paraId="79987521" w14:textId="77777777" w:rsidR="00E859EA" w:rsidRDefault="00E859EA" w:rsidP="007D2C2D">
      <w:pPr>
        <w:pStyle w:val="FERCparanumber"/>
      </w:pPr>
      <w:r>
        <w:t>From the Commission's Home Page on the Internet, this information is available on eLibrary.  The full text of this document is available on eLibrary in PDF and Microsoft Word format for viewing</w:t>
      </w:r>
      <w:r w:rsidR="00A67376">
        <w:t xml:space="preserve">, printing, and/or downloading.  </w:t>
      </w:r>
      <w:r>
        <w:t>To access this document in eLibrary, type the docket number excluding the last three digits of this document in the docket number field.</w:t>
      </w:r>
    </w:p>
    <w:p w14:paraId="68D26E9E" w14:textId="749C031E" w:rsidR="00E859EA" w:rsidRPr="00C30627" w:rsidRDefault="00E859EA" w:rsidP="007D2C2D">
      <w:pPr>
        <w:pStyle w:val="FERCparanumber"/>
      </w:pPr>
      <w:r w:rsidRPr="005449C4">
        <w:t>User assistance is available for eLibrary and the</w:t>
      </w:r>
      <w:r>
        <w:t xml:space="preserve"> Commission</w:t>
      </w:r>
      <w:r w:rsidRPr="005449C4">
        <w:t xml:space="preserve">’s website during normal business hours from </w:t>
      </w:r>
      <w:r>
        <w:t>the Commission’s</w:t>
      </w:r>
      <w:r w:rsidRPr="005449C4">
        <w:t xml:space="preserve"> Online Support at 202-502-6652 (toll free at 1-866-208-3676) or e</w:t>
      </w:r>
      <w:r w:rsidR="00963ABF">
        <w:t>-</w:t>
      </w:r>
      <w:r w:rsidRPr="005449C4">
        <w:t xml:space="preserve">mail at </w:t>
      </w:r>
      <w:r w:rsidRPr="001C4054">
        <w:t>ferconlinesupport@ferc.gov</w:t>
      </w:r>
      <w:r w:rsidRPr="005449C4">
        <w:t xml:space="preserve">, or the Public Reference Room at (202) 502-8371, TTY (202)502-8659.  E-mail the Public Reference Room at </w:t>
      </w:r>
      <w:r w:rsidRPr="001C4054">
        <w:t>public.referenceroom@ferc.gov</w:t>
      </w:r>
      <w:r w:rsidRPr="005449C4">
        <w:t>.</w:t>
      </w:r>
    </w:p>
    <w:p w14:paraId="53666045" w14:textId="77777777" w:rsidR="00C51681" w:rsidRDefault="00C51681" w:rsidP="007D2C2D">
      <w:pPr>
        <w:rPr>
          <w:u w:val="single"/>
        </w:rPr>
      </w:pPr>
    </w:p>
    <w:p w14:paraId="06041342" w14:textId="77777777" w:rsidR="004E600C" w:rsidRDefault="004E600C" w:rsidP="007D2C2D">
      <w:pPr>
        <w:rPr>
          <w:u w:val="single"/>
        </w:rPr>
      </w:pPr>
    </w:p>
    <w:p w14:paraId="656374C9" w14:textId="77777777" w:rsidR="004E600C" w:rsidRDefault="004E600C" w:rsidP="007D2C2D">
      <w:pPr>
        <w:rPr>
          <w:u w:val="single"/>
        </w:rPr>
      </w:pPr>
    </w:p>
    <w:p w14:paraId="33842A7F" w14:textId="77777777" w:rsidR="004E600C" w:rsidRDefault="004E600C" w:rsidP="007D2C2D">
      <w:pPr>
        <w:rPr>
          <w:u w:val="single"/>
        </w:rPr>
      </w:pPr>
    </w:p>
    <w:p w14:paraId="705F1E0E" w14:textId="77777777" w:rsidR="004E600C" w:rsidRDefault="004E600C" w:rsidP="007D2C2D">
      <w:pPr>
        <w:rPr>
          <w:u w:val="single"/>
        </w:rPr>
      </w:pPr>
    </w:p>
    <w:p w14:paraId="0C10E9B6" w14:textId="77777777" w:rsidR="004E600C" w:rsidRDefault="004E600C" w:rsidP="007D2C2D">
      <w:pPr>
        <w:rPr>
          <w:u w:val="single"/>
        </w:rPr>
      </w:pPr>
    </w:p>
    <w:p w14:paraId="7FE2B0DF" w14:textId="77777777" w:rsidR="004E600C" w:rsidRDefault="004E600C" w:rsidP="007D2C2D">
      <w:pPr>
        <w:rPr>
          <w:u w:val="single"/>
        </w:rPr>
      </w:pPr>
    </w:p>
    <w:p w14:paraId="36A85F56" w14:textId="77777777" w:rsidR="004E600C" w:rsidRDefault="004E600C" w:rsidP="007D2C2D">
      <w:pPr>
        <w:rPr>
          <w:u w:val="single"/>
        </w:rPr>
      </w:pPr>
    </w:p>
    <w:p w14:paraId="745E37B0" w14:textId="77777777" w:rsidR="004E600C" w:rsidRDefault="004E600C" w:rsidP="007D2C2D">
      <w:pPr>
        <w:rPr>
          <w:u w:val="single"/>
        </w:rPr>
      </w:pPr>
    </w:p>
    <w:p w14:paraId="21E3F005" w14:textId="77777777" w:rsidR="003E001B" w:rsidRPr="00AA26B7" w:rsidRDefault="00E859EA" w:rsidP="007D2C2D">
      <w:pPr>
        <w:rPr>
          <w:szCs w:val="26"/>
          <w:u w:val="single"/>
        </w:rPr>
      </w:pPr>
      <w:r>
        <w:rPr>
          <w:u w:val="single"/>
        </w:rPr>
        <w:t>List of sub</w:t>
      </w:r>
      <w:r w:rsidRPr="00AA26B7">
        <w:rPr>
          <w:szCs w:val="26"/>
          <w:u w:val="single"/>
        </w:rPr>
        <w:t xml:space="preserve">jects in 18 CFR Part </w:t>
      </w:r>
      <w:r w:rsidR="003E001B" w:rsidRPr="00AA26B7">
        <w:rPr>
          <w:szCs w:val="26"/>
          <w:u w:val="single"/>
        </w:rPr>
        <w:t>39</w:t>
      </w:r>
    </w:p>
    <w:p w14:paraId="407BA730" w14:textId="77777777" w:rsidR="003E001B" w:rsidRPr="00AA26B7" w:rsidRDefault="003E001B" w:rsidP="007D2C2D">
      <w:pPr>
        <w:rPr>
          <w:szCs w:val="26"/>
          <w:u w:val="single"/>
        </w:rPr>
      </w:pPr>
    </w:p>
    <w:p w14:paraId="62C9BF31" w14:textId="77777777" w:rsidR="00E859EA" w:rsidRPr="00AA26B7" w:rsidRDefault="003E001B" w:rsidP="007D2C2D">
      <w:pPr>
        <w:rPr>
          <w:szCs w:val="26"/>
        </w:rPr>
      </w:pPr>
      <w:r w:rsidRPr="00AA26B7">
        <w:rPr>
          <w:szCs w:val="26"/>
        </w:rPr>
        <w:t>Electric power, and reporting and recordkeeping requirements</w:t>
      </w:r>
      <w:r w:rsidR="00E859EA" w:rsidRPr="00AA26B7">
        <w:rPr>
          <w:szCs w:val="26"/>
          <w:u w:val="single"/>
        </w:rPr>
        <w:t xml:space="preserve"> </w:t>
      </w:r>
    </w:p>
    <w:p w14:paraId="70B8A413" w14:textId="77777777" w:rsidR="00E859EA" w:rsidRPr="00AA26B7" w:rsidRDefault="00E859EA" w:rsidP="007D2C2D">
      <w:pPr>
        <w:rPr>
          <w:szCs w:val="26"/>
        </w:rPr>
      </w:pPr>
    </w:p>
    <w:p w14:paraId="73838B1D" w14:textId="2F817214" w:rsidR="00E859EA" w:rsidRPr="00AA26B7" w:rsidRDefault="00E859EA" w:rsidP="006C1303">
      <w:pPr>
        <w:ind w:left="3600" w:hanging="3600"/>
        <w:rPr>
          <w:szCs w:val="26"/>
        </w:rPr>
      </w:pPr>
      <w:r w:rsidRPr="00AA26B7">
        <w:rPr>
          <w:szCs w:val="26"/>
        </w:rPr>
        <w:t>By direction of the Commission.</w:t>
      </w:r>
      <w:r w:rsidR="006C1303">
        <w:rPr>
          <w:szCs w:val="26"/>
        </w:rPr>
        <w:t xml:space="preserve">  Commissioner LaFleur is concurring with a separate statement attached.</w:t>
      </w:r>
    </w:p>
    <w:p w14:paraId="187CCCA7" w14:textId="77777777" w:rsidR="00E859EA" w:rsidRPr="00AA26B7" w:rsidRDefault="00E859EA" w:rsidP="007D2C2D">
      <w:pPr>
        <w:rPr>
          <w:szCs w:val="26"/>
        </w:rPr>
      </w:pPr>
    </w:p>
    <w:p w14:paraId="06C3D28D" w14:textId="2CB54C38" w:rsidR="002A7DDE" w:rsidRDefault="001C4054" w:rsidP="001C4054">
      <w:pPr>
        <w:widowControl/>
        <w:rPr>
          <w:szCs w:val="26"/>
        </w:rPr>
      </w:pPr>
      <w:r w:rsidRPr="001C4054">
        <w:rPr>
          <w:szCs w:val="26"/>
        </w:rPr>
        <w:t>( S E A L )</w:t>
      </w:r>
      <w:r w:rsidR="00E859EA" w:rsidRPr="001C4054">
        <w:rPr>
          <w:szCs w:val="26"/>
        </w:rPr>
        <w:tab/>
      </w:r>
      <w:r w:rsidR="00E859EA" w:rsidRPr="001C4054">
        <w:rPr>
          <w:szCs w:val="26"/>
        </w:rPr>
        <w:tab/>
      </w:r>
      <w:r w:rsidR="00E859EA" w:rsidRPr="001C4054">
        <w:rPr>
          <w:szCs w:val="26"/>
        </w:rPr>
        <w:tab/>
      </w:r>
      <w:r w:rsidR="00E859EA" w:rsidRPr="001C4054">
        <w:rPr>
          <w:szCs w:val="26"/>
        </w:rPr>
        <w:tab/>
      </w:r>
      <w:r w:rsidR="00E859EA" w:rsidRPr="001C4054">
        <w:rPr>
          <w:szCs w:val="26"/>
        </w:rPr>
        <w:tab/>
      </w:r>
      <w:r w:rsidR="00E859EA" w:rsidRPr="001C4054">
        <w:rPr>
          <w:szCs w:val="26"/>
        </w:rPr>
        <w:tab/>
      </w:r>
    </w:p>
    <w:p w14:paraId="4239BAB7" w14:textId="3BBCC510" w:rsidR="001C4054" w:rsidRDefault="001C4054" w:rsidP="001C4054">
      <w:pPr>
        <w:widowControl/>
        <w:rPr>
          <w:szCs w:val="26"/>
        </w:rPr>
      </w:pPr>
    </w:p>
    <w:p w14:paraId="53E0D4B2" w14:textId="734CA15A" w:rsidR="001C4054" w:rsidRDefault="001C4054" w:rsidP="001C4054">
      <w:pPr>
        <w:widowControl/>
        <w:rPr>
          <w:szCs w:val="26"/>
        </w:rPr>
      </w:pPr>
    </w:p>
    <w:p w14:paraId="5DD70117" w14:textId="1C51B1E4" w:rsidR="001C4054" w:rsidRDefault="001C4054" w:rsidP="001C4054">
      <w:pPr>
        <w:widowControl/>
        <w:rPr>
          <w:szCs w:val="26"/>
        </w:rPr>
      </w:pPr>
    </w:p>
    <w:p w14:paraId="052225D7" w14:textId="0A124A74" w:rsidR="001C4054" w:rsidRDefault="001C4054" w:rsidP="001C4054">
      <w:pPr>
        <w:widowControl/>
        <w:rPr>
          <w:szCs w:val="26"/>
        </w:rPr>
      </w:pPr>
    </w:p>
    <w:p w14:paraId="7ABEF118" w14:textId="11EECDA0" w:rsidR="001C4054" w:rsidRPr="001C4054" w:rsidRDefault="001C4054" w:rsidP="001C4054">
      <w:pPr>
        <w:widowControl/>
        <w:ind w:firstLine="2606"/>
        <w:jc w:val="center"/>
      </w:pPr>
      <w:r w:rsidRPr="001C4054">
        <w:t>Nathaniel J. Davis, Sr.,</w:t>
      </w:r>
    </w:p>
    <w:p w14:paraId="0D88A185" w14:textId="1153209C" w:rsidR="001C4054" w:rsidRPr="001C4054" w:rsidRDefault="001C4054" w:rsidP="001C4054">
      <w:pPr>
        <w:widowControl/>
        <w:ind w:firstLine="2606"/>
        <w:jc w:val="center"/>
      </w:pPr>
      <w:r w:rsidRPr="001C4054">
        <w:t>Deputy Secretary.</w:t>
      </w:r>
    </w:p>
    <w:p w14:paraId="6C3A417A" w14:textId="77777777" w:rsidR="001C4054" w:rsidRPr="001C4054" w:rsidRDefault="001C4054" w:rsidP="001C4054">
      <w:pPr>
        <w:widowControl/>
        <w:rPr>
          <w:szCs w:val="26"/>
        </w:rPr>
      </w:pPr>
    </w:p>
    <w:p w14:paraId="21712153" w14:textId="77777777" w:rsidR="005B5911" w:rsidRDefault="005B5911" w:rsidP="007D2C2D">
      <w:pPr>
        <w:rPr>
          <w:szCs w:val="26"/>
        </w:rPr>
      </w:pPr>
    </w:p>
    <w:p w14:paraId="0C18262D" w14:textId="77777777" w:rsidR="005B5911" w:rsidRDefault="005B5911" w:rsidP="007D2C2D">
      <w:pPr>
        <w:rPr>
          <w:szCs w:val="26"/>
        </w:rPr>
      </w:pPr>
    </w:p>
    <w:p w14:paraId="647ACE9A" w14:textId="77777777" w:rsidR="008863C8" w:rsidRDefault="008863C8" w:rsidP="007D2C2D">
      <w:pPr>
        <w:rPr>
          <w:szCs w:val="26"/>
        </w:rPr>
      </w:pPr>
    </w:p>
    <w:p w14:paraId="5654D1DF" w14:textId="77777777" w:rsidR="008863C8" w:rsidRDefault="008863C8" w:rsidP="007D2C2D">
      <w:pPr>
        <w:rPr>
          <w:szCs w:val="26"/>
        </w:rPr>
      </w:pPr>
    </w:p>
    <w:p w14:paraId="0F042F62" w14:textId="77777777" w:rsidR="008863C8" w:rsidRDefault="008863C8" w:rsidP="007D2C2D">
      <w:pPr>
        <w:rPr>
          <w:szCs w:val="26"/>
        </w:rPr>
      </w:pPr>
    </w:p>
    <w:p w14:paraId="2E9A6E23" w14:textId="77777777" w:rsidR="008863C8" w:rsidRDefault="008863C8" w:rsidP="007D2C2D">
      <w:pPr>
        <w:rPr>
          <w:szCs w:val="26"/>
        </w:rPr>
      </w:pPr>
    </w:p>
    <w:p w14:paraId="757FFCA5" w14:textId="77777777" w:rsidR="008863C8" w:rsidRDefault="008863C8" w:rsidP="007D2C2D">
      <w:pPr>
        <w:rPr>
          <w:szCs w:val="26"/>
        </w:rPr>
      </w:pPr>
    </w:p>
    <w:p w14:paraId="4A0C2E2B" w14:textId="77777777" w:rsidR="008863C8" w:rsidRDefault="008863C8" w:rsidP="007D2C2D">
      <w:pPr>
        <w:rPr>
          <w:szCs w:val="26"/>
        </w:rPr>
      </w:pPr>
    </w:p>
    <w:p w14:paraId="5053F492" w14:textId="77777777" w:rsidR="008863C8" w:rsidRDefault="008863C8" w:rsidP="007D2C2D">
      <w:pPr>
        <w:rPr>
          <w:szCs w:val="26"/>
        </w:rPr>
      </w:pPr>
    </w:p>
    <w:p w14:paraId="3FDA73C9" w14:textId="77777777" w:rsidR="008863C8" w:rsidRDefault="008863C8" w:rsidP="007D2C2D">
      <w:pPr>
        <w:rPr>
          <w:szCs w:val="26"/>
        </w:rPr>
      </w:pPr>
    </w:p>
    <w:p w14:paraId="3A98AB54" w14:textId="77777777" w:rsidR="008863C8" w:rsidRDefault="008863C8" w:rsidP="007D2C2D">
      <w:pPr>
        <w:rPr>
          <w:szCs w:val="26"/>
        </w:rPr>
      </w:pPr>
    </w:p>
    <w:p w14:paraId="5D8B45C9" w14:textId="77777777" w:rsidR="004E600C" w:rsidRDefault="004E600C" w:rsidP="007D2C2D">
      <w:pPr>
        <w:rPr>
          <w:szCs w:val="26"/>
        </w:rPr>
      </w:pPr>
    </w:p>
    <w:p w14:paraId="43010AC2" w14:textId="77777777" w:rsidR="004E600C" w:rsidRDefault="004E600C" w:rsidP="007D2C2D">
      <w:pPr>
        <w:rPr>
          <w:szCs w:val="26"/>
        </w:rPr>
      </w:pPr>
    </w:p>
    <w:p w14:paraId="1A068D0B" w14:textId="77777777" w:rsidR="004E600C" w:rsidRDefault="004E600C" w:rsidP="007D2C2D">
      <w:pPr>
        <w:rPr>
          <w:szCs w:val="26"/>
        </w:rPr>
      </w:pPr>
    </w:p>
    <w:p w14:paraId="085DAD4D" w14:textId="77777777" w:rsidR="004E600C" w:rsidRDefault="004E600C" w:rsidP="007D2C2D">
      <w:pPr>
        <w:rPr>
          <w:szCs w:val="26"/>
        </w:rPr>
      </w:pPr>
    </w:p>
    <w:p w14:paraId="0CCE0F55" w14:textId="77777777" w:rsidR="004E600C" w:rsidRDefault="004E600C" w:rsidP="007D2C2D">
      <w:pPr>
        <w:rPr>
          <w:szCs w:val="26"/>
        </w:rPr>
      </w:pPr>
    </w:p>
    <w:p w14:paraId="582EF7BC" w14:textId="77777777" w:rsidR="004E600C" w:rsidRDefault="004E600C" w:rsidP="007D2C2D">
      <w:pPr>
        <w:rPr>
          <w:szCs w:val="26"/>
        </w:rPr>
      </w:pPr>
    </w:p>
    <w:p w14:paraId="1CE2C88E" w14:textId="77777777" w:rsidR="004E600C" w:rsidRDefault="004E600C" w:rsidP="007D2C2D">
      <w:pPr>
        <w:rPr>
          <w:szCs w:val="26"/>
        </w:rPr>
      </w:pPr>
    </w:p>
    <w:p w14:paraId="4334C095" w14:textId="77777777" w:rsidR="004E600C" w:rsidRDefault="004E600C" w:rsidP="007D2C2D">
      <w:pPr>
        <w:rPr>
          <w:szCs w:val="26"/>
        </w:rPr>
      </w:pPr>
    </w:p>
    <w:p w14:paraId="59CCFB87" w14:textId="77777777" w:rsidR="004E600C" w:rsidRDefault="004E600C" w:rsidP="007D2C2D">
      <w:pPr>
        <w:rPr>
          <w:szCs w:val="26"/>
        </w:rPr>
      </w:pPr>
    </w:p>
    <w:p w14:paraId="27DA5D5C" w14:textId="77777777" w:rsidR="004E600C" w:rsidRDefault="004E600C" w:rsidP="007D2C2D">
      <w:pPr>
        <w:rPr>
          <w:szCs w:val="26"/>
        </w:rPr>
      </w:pPr>
    </w:p>
    <w:p w14:paraId="7F3C5ACD" w14:textId="77777777" w:rsidR="004E600C" w:rsidRDefault="004E600C" w:rsidP="007D2C2D">
      <w:pPr>
        <w:rPr>
          <w:szCs w:val="26"/>
        </w:rPr>
      </w:pPr>
    </w:p>
    <w:p w14:paraId="49745625" w14:textId="77777777" w:rsidR="004E600C" w:rsidRDefault="004E600C" w:rsidP="007D2C2D">
      <w:pPr>
        <w:rPr>
          <w:szCs w:val="26"/>
        </w:rPr>
      </w:pPr>
    </w:p>
    <w:p w14:paraId="0F19A408" w14:textId="77777777" w:rsidR="004E600C" w:rsidRDefault="004E600C" w:rsidP="007D2C2D">
      <w:pPr>
        <w:rPr>
          <w:szCs w:val="26"/>
        </w:rPr>
      </w:pPr>
    </w:p>
    <w:p w14:paraId="65B69188" w14:textId="77777777" w:rsidR="004E600C" w:rsidRDefault="004E600C" w:rsidP="007D2C2D">
      <w:pPr>
        <w:rPr>
          <w:szCs w:val="26"/>
        </w:rPr>
      </w:pPr>
    </w:p>
    <w:p w14:paraId="0DF19008" w14:textId="77777777" w:rsidR="008863C8" w:rsidRDefault="008863C8" w:rsidP="007D2C2D">
      <w:pPr>
        <w:rPr>
          <w:szCs w:val="26"/>
        </w:rPr>
      </w:pPr>
    </w:p>
    <w:p w14:paraId="072F4692" w14:textId="77777777" w:rsidR="008863C8" w:rsidRDefault="008863C8" w:rsidP="007D2C2D">
      <w:pPr>
        <w:rPr>
          <w:szCs w:val="26"/>
        </w:rPr>
      </w:pPr>
    </w:p>
    <w:p w14:paraId="3BB30357" w14:textId="77777777" w:rsidR="008863C8" w:rsidRDefault="008863C8" w:rsidP="007D2C2D">
      <w:pPr>
        <w:rPr>
          <w:szCs w:val="26"/>
        </w:rPr>
      </w:pPr>
    </w:p>
    <w:p w14:paraId="157D4898" w14:textId="1F52147E" w:rsidR="00E859EA" w:rsidRPr="00AA26B7" w:rsidRDefault="00E859EA" w:rsidP="002F1DB1">
      <w:pPr>
        <w:spacing w:line="480" w:lineRule="auto"/>
        <w:rPr>
          <w:szCs w:val="26"/>
        </w:rPr>
      </w:pPr>
      <w:r w:rsidRPr="00AA26B7">
        <w:rPr>
          <w:szCs w:val="26"/>
        </w:rPr>
        <w:tab/>
        <w:t xml:space="preserve">In consideration of the foregoing, the Commission proposes to amend </w:t>
      </w:r>
      <w:r w:rsidR="00AA26B7" w:rsidRPr="00AA26B7">
        <w:rPr>
          <w:szCs w:val="26"/>
        </w:rPr>
        <w:t>Chapter I</w:t>
      </w:r>
      <w:r w:rsidRPr="00AA26B7">
        <w:rPr>
          <w:szCs w:val="26"/>
        </w:rPr>
        <w:t xml:space="preserve">, </w:t>
      </w:r>
      <w:r w:rsidR="00AA26B7" w:rsidRPr="00AA26B7">
        <w:rPr>
          <w:szCs w:val="26"/>
        </w:rPr>
        <w:t xml:space="preserve">Title 18, </w:t>
      </w:r>
      <w:r w:rsidR="00C51681">
        <w:rPr>
          <w:szCs w:val="26"/>
        </w:rPr>
        <w:t>P</w:t>
      </w:r>
      <w:r w:rsidR="00AA26B7" w:rsidRPr="00AA26B7">
        <w:rPr>
          <w:szCs w:val="26"/>
        </w:rPr>
        <w:t xml:space="preserve">art 39 of the </w:t>
      </w:r>
      <w:r w:rsidR="00AA26B7" w:rsidRPr="00AA26B7">
        <w:rPr>
          <w:szCs w:val="26"/>
          <w:u w:val="single"/>
        </w:rPr>
        <w:t>Code of Federal Regulations</w:t>
      </w:r>
      <w:r w:rsidR="00AA26B7" w:rsidRPr="00AA26B7">
        <w:rPr>
          <w:szCs w:val="26"/>
        </w:rPr>
        <w:t>, as follows:</w:t>
      </w:r>
    </w:p>
    <w:p w14:paraId="0256A432" w14:textId="77777777" w:rsidR="00E859EA" w:rsidRPr="00AA26B7" w:rsidRDefault="00AA26B7" w:rsidP="007D2C2D">
      <w:pPr>
        <w:rPr>
          <w:b/>
          <w:szCs w:val="26"/>
        </w:rPr>
      </w:pPr>
      <w:r w:rsidRPr="00AA26B7">
        <w:rPr>
          <w:b/>
          <w:szCs w:val="26"/>
        </w:rPr>
        <w:t>PART 39 – RULES CONCERNING CERTIFICATION OF THE ELECTRIC RELIABILITY ORGANIZATION; AND PROCEDURES FOR THE ESTABLISHMENT, APPROVAL, AND ENFORCEMENT OF ELECTRIC RELIABILITY STANDARDS</w:t>
      </w:r>
    </w:p>
    <w:p w14:paraId="50E5D5C0" w14:textId="77777777" w:rsidR="00AA26B7" w:rsidRPr="00AA26B7" w:rsidRDefault="00AA26B7" w:rsidP="007D2C2D">
      <w:pPr>
        <w:rPr>
          <w:b/>
          <w:szCs w:val="26"/>
        </w:rPr>
      </w:pPr>
    </w:p>
    <w:p w14:paraId="1C45FA73" w14:textId="77777777" w:rsidR="00AA26B7" w:rsidRPr="00AA26B7" w:rsidRDefault="00AA26B7" w:rsidP="007D2C2D">
      <w:pPr>
        <w:rPr>
          <w:szCs w:val="26"/>
        </w:rPr>
      </w:pPr>
      <w:r w:rsidRPr="00AA26B7">
        <w:rPr>
          <w:szCs w:val="26"/>
        </w:rPr>
        <w:t>1.</w:t>
      </w:r>
      <w:r w:rsidRPr="00AA26B7">
        <w:rPr>
          <w:szCs w:val="26"/>
        </w:rPr>
        <w:tab/>
        <w:t>The authority citation for part 39 continues to read as follows:</w:t>
      </w:r>
    </w:p>
    <w:p w14:paraId="43A5D423" w14:textId="77777777" w:rsidR="00AA26B7" w:rsidRPr="00AA26B7" w:rsidRDefault="00AA26B7" w:rsidP="007D2C2D">
      <w:pPr>
        <w:rPr>
          <w:szCs w:val="26"/>
        </w:rPr>
      </w:pPr>
      <w:r w:rsidRPr="00AA26B7">
        <w:rPr>
          <w:szCs w:val="26"/>
        </w:rPr>
        <w:tab/>
      </w:r>
    </w:p>
    <w:p w14:paraId="4BC80BB2" w14:textId="2AE8EBFC" w:rsidR="00AA26B7" w:rsidRPr="00AA26B7" w:rsidRDefault="00AA26B7" w:rsidP="00AA26B7">
      <w:pPr>
        <w:spacing w:line="480" w:lineRule="auto"/>
        <w:rPr>
          <w:szCs w:val="26"/>
        </w:rPr>
      </w:pPr>
      <w:r w:rsidRPr="00AA26B7">
        <w:rPr>
          <w:szCs w:val="26"/>
        </w:rPr>
        <w:tab/>
      </w:r>
      <w:r w:rsidRPr="00AA26B7">
        <w:rPr>
          <w:szCs w:val="26"/>
          <w:u w:val="single"/>
        </w:rPr>
        <w:t>Authority</w:t>
      </w:r>
      <w:r w:rsidRPr="00AA26B7">
        <w:rPr>
          <w:szCs w:val="26"/>
        </w:rPr>
        <w:t>: 16 U.S.C. 824o</w:t>
      </w:r>
      <w:r w:rsidR="00C51681">
        <w:rPr>
          <w:szCs w:val="26"/>
        </w:rPr>
        <w:t>.</w:t>
      </w:r>
    </w:p>
    <w:p w14:paraId="5475825B" w14:textId="77777777" w:rsidR="00AA26B7" w:rsidRDefault="00AA26B7" w:rsidP="00AA26B7">
      <w:pPr>
        <w:spacing w:line="480" w:lineRule="auto"/>
        <w:rPr>
          <w:szCs w:val="26"/>
        </w:rPr>
      </w:pPr>
      <w:r w:rsidRPr="00AA26B7">
        <w:rPr>
          <w:szCs w:val="26"/>
        </w:rPr>
        <w:t>2.</w:t>
      </w:r>
      <w:r w:rsidRPr="00AA26B7">
        <w:rPr>
          <w:szCs w:val="26"/>
        </w:rPr>
        <w:tab/>
        <w:t xml:space="preserve">Amend </w:t>
      </w:r>
      <w:r>
        <w:rPr>
          <w:szCs w:val="26"/>
        </w:rPr>
        <w:t>§ 39.11 to add paragraph (c) as follows:</w:t>
      </w:r>
    </w:p>
    <w:p w14:paraId="3B16BCF8" w14:textId="77777777" w:rsidR="00AA26B7" w:rsidRDefault="00AA26B7" w:rsidP="00AA26B7">
      <w:pPr>
        <w:spacing w:line="480" w:lineRule="auto"/>
        <w:rPr>
          <w:b/>
          <w:szCs w:val="26"/>
        </w:rPr>
      </w:pPr>
      <w:r w:rsidRPr="00AA26B7">
        <w:rPr>
          <w:b/>
          <w:szCs w:val="26"/>
        </w:rPr>
        <w:t>§</w:t>
      </w:r>
      <w:r>
        <w:rPr>
          <w:b/>
          <w:szCs w:val="26"/>
        </w:rPr>
        <w:t xml:space="preserve"> 39.11</w:t>
      </w:r>
      <w:r>
        <w:rPr>
          <w:b/>
          <w:szCs w:val="26"/>
        </w:rPr>
        <w:tab/>
        <w:t>Reliability reports.</w:t>
      </w:r>
    </w:p>
    <w:p w14:paraId="725C3CC0" w14:textId="77777777" w:rsidR="00AA26B7" w:rsidRPr="00AA26B7" w:rsidRDefault="00AA26B7" w:rsidP="00AA26B7">
      <w:pPr>
        <w:spacing w:line="480" w:lineRule="auto"/>
        <w:rPr>
          <w:szCs w:val="26"/>
        </w:rPr>
      </w:pPr>
      <w:r>
        <w:rPr>
          <w:b/>
          <w:szCs w:val="26"/>
        </w:rPr>
        <w:tab/>
      </w:r>
      <w:r w:rsidRPr="00AA26B7">
        <w:rPr>
          <w:szCs w:val="26"/>
        </w:rPr>
        <w:t>*</w:t>
      </w:r>
      <w:r w:rsidRPr="00AA26B7">
        <w:rPr>
          <w:szCs w:val="26"/>
        </w:rPr>
        <w:tab/>
      </w:r>
      <w:r w:rsidRPr="00AA26B7">
        <w:rPr>
          <w:szCs w:val="26"/>
        </w:rPr>
        <w:tab/>
        <w:t>*</w:t>
      </w:r>
      <w:r w:rsidRPr="00AA26B7">
        <w:rPr>
          <w:szCs w:val="26"/>
        </w:rPr>
        <w:tab/>
      </w:r>
      <w:r w:rsidRPr="00AA26B7">
        <w:rPr>
          <w:szCs w:val="26"/>
        </w:rPr>
        <w:tab/>
        <w:t>*</w:t>
      </w:r>
      <w:r w:rsidRPr="00AA26B7">
        <w:rPr>
          <w:szCs w:val="26"/>
        </w:rPr>
        <w:tab/>
      </w:r>
      <w:r w:rsidRPr="00AA26B7">
        <w:rPr>
          <w:szCs w:val="26"/>
        </w:rPr>
        <w:tab/>
        <w:t>*</w:t>
      </w:r>
    </w:p>
    <w:p w14:paraId="5793769A" w14:textId="71F75017" w:rsidR="00AA26B7" w:rsidRDefault="00AA26B7" w:rsidP="00AA26B7">
      <w:pPr>
        <w:spacing w:line="480" w:lineRule="auto"/>
        <w:rPr>
          <w:szCs w:val="26"/>
        </w:rPr>
      </w:pPr>
      <w:r>
        <w:rPr>
          <w:szCs w:val="26"/>
        </w:rPr>
        <w:t>(c)</w:t>
      </w:r>
      <w:r>
        <w:rPr>
          <w:szCs w:val="26"/>
        </w:rPr>
        <w:tab/>
        <w:t>The Electric Reliability Organization shall make avail</w:t>
      </w:r>
      <w:r w:rsidR="00BC57B3">
        <w:rPr>
          <w:szCs w:val="26"/>
        </w:rPr>
        <w:t xml:space="preserve">able to </w:t>
      </w:r>
      <w:r w:rsidR="003F0525">
        <w:rPr>
          <w:szCs w:val="26"/>
        </w:rPr>
        <w:t xml:space="preserve">the </w:t>
      </w:r>
      <w:r w:rsidR="00BC57B3">
        <w:rPr>
          <w:szCs w:val="26"/>
        </w:rPr>
        <w:t xml:space="preserve">Commission, on a non-public and </w:t>
      </w:r>
      <w:r>
        <w:rPr>
          <w:szCs w:val="26"/>
        </w:rPr>
        <w:t xml:space="preserve">ongoing basis, access to the </w:t>
      </w:r>
      <w:r w:rsidRPr="00014800">
        <w:rPr>
          <w:szCs w:val="26"/>
        </w:rPr>
        <w:t>Transmissio</w:t>
      </w:r>
      <w:r>
        <w:rPr>
          <w:szCs w:val="26"/>
        </w:rPr>
        <w:t xml:space="preserve">n Availability Data System, </w:t>
      </w:r>
      <w:r w:rsidRPr="00014800">
        <w:rPr>
          <w:szCs w:val="26"/>
        </w:rPr>
        <w:t>Generat</w:t>
      </w:r>
      <w:r w:rsidR="00A510B5">
        <w:rPr>
          <w:szCs w:val="26"/>
        </w:rPr>
        <w:t>ing</w:t>
      </w:r>
      <w:r w:rsidRPr="00014800">
        <w:rPr>
          <w:szCs w:val="26"/>
        </w:rPr>
        <w:t xml:space="preserve"> A</w:t>
      </w:r>
      <w:r w:rsidR="005F3936">
        <w:rPr>
          <w:szCs w:val="26"/>
        </w:rPr>
        <w:t>vailability Data System, and p</w:t>
      </w:r>
      <w:r>
        <w:rPr>
          <w:szCs w:val="26"/>
        </w:rPr>
        <w:t>rotection</w:t>
      </w:r>
      <w:r w:rsidRPr="00014800">
        <w:rPr>
          <w:szCs w:val="26"/>
        </w:rPr>
        <w:t xml:space="preserve"> </w:t>
      </w:r>
      <w:r w:rsidR="005F3936">
        <w:rPr>
          <w:szCs w:val="26"/>
        </w:rPr>
        <w:t>system m</w:t>
      </w:r>
      <w:r w:rsidRPr="00014800">
        <w:rPr>
          <w:szCs w:val="26"/>
        </w:rPr>
        <w:t>isoperation</w:t>
      </w:r>
      <w:r w:rsidR="002F1DB1">
        <w:rPr>
          <w:szCs w:val="26"/>
        </w:rPr>
        <w:t>s</w:t>
      </w:r>
      <w:r w:rsidRPr="00014800">
        <w:rPr>
          <w:szCs w:val="26"/>
        </w:rPr>
        <w:t xml:space="preserve"> </w:t>
      </w:r>
      <w:r w:rsidR="00D40C01">
        <w:rPr>
          <w:szCs w:val="26"/>
        </w:rPr>
        <w:t>database</w:t>
      </w:r>
      <w:r>
        <w:rPr>
          <w:szCs w:val="26"/>
        </w:rPr>
        <w:t xml:space="preserve">s, or any successor </w:t>
      </w:r>
      <w:r w:rsidR="00D40C01">
        <w:rPr>
          <w:szCs w:val="26"/>
        </w:rPr>
        <w:t>database</w:t>
      </w:r>
      <w:r>
        <w:rPr>
          <w:szCs w:val="26"/>
        </w:rPr>
        <w:t>s thereto.</w:t>
      </w:r>
    </w:p>
    <w:p w14:paraId="7A24B9E3" w14:textId="77777777" w:rsidR="00C51681" w:rsidRDefault="00C51681" w:rsidP="00AA26B7">
      <w:pPr>
        <w:spacing w:line="480" w:lineRule="auto"/>
        <w:rPr>
          <w:szCs w:val="26"/>
        </w:rPr>
        <w:sectPr w:rsidR="00C51681" w:rsidSect="00E859EA">
          <w:headerReference w:type="default" r:id="rId10"/>
          <w:pgSz w:w="12240" w:h="15840"/>
          <w:pgMar w:top="1440" w:right="1440" w:bottom="1440" w:left="1440" w:header="720" w:footer="1440" w:gutter="0"/>
          <w:pgNumType w:fmt="numberInDash" w:start="1"/>
          <w:cols w:space="720"/>
          <w:noEndnote/>
          <w:titlePg/>
          <w:docGrid w:linePitch="354"/>
        </w:sectPr>
      </w:pPr>
    </w:p>
    <w:p w14:paraId="04C45BD5" w14:textId="77777777" w:rsidR="00C51681" w:rsidRPr="00C078E0" w:rsidRDefault="00C51681" w:rsidP="00BB7C82">
      <w:pPr>
        <w:jc w:val="center"/>
        <w:rPr>
          <w:szCs w:val="26"/>
        </w:rPr>
      </w:pPr>
      <w:r w:rsidRPr="00C078E0">
        <w:rPr>
          <w:szCs w:val="26"/>
        </w:rPr>
        <w:t>UNITED STATES OF AMERICA</w:t>
      </w:r>
    </w:p>
    <w:p w14:paraId="7C03ABD4" w14:textId="77777777" w:rsidR="00C51681" w:rsidRPr="00C078E0" w:rsidRDefault="00C51681" w:rsidP="00BB7C82">
      <w:pPr>
        <w:jc w:val="center"/>
        <w:rPr>
          <w:szCs w:val="26"/>
        </w:rPr>
      </w:pPr>
      <w:r w:rsidRPr="00C078E0">
        <w:rPr>
          <w:szCs w:val="26"/>
        </w:rPr>
        <w:t>FEDERAL ENERGY REGULATORY COMMISSION</w:t>
      </w:r>
    </w:p>
    <w:p w14:paraId="33E3DFB9" w14:textId="77777777" w:rsidR="00C51681" w:rsidRPr="00C078E0" w:rsidRDefault="00C51681" w:rsidP="00BB7C82">
      <w:pPr>
        <w:jc w:val="center"/>
        <w:rPr>
          <w:szCs w:val="26"/>
        </w:rPr>
      </w:pPr>
    </w:p>
    <w:tbl>
      <w:tblPr>
        <w:tblW w:w="0" w:type="auto"/>
        <w:tblCellMar>
          <w:left w:w="0" w:type="dxa"/>
          <w:right w:w="0" w:type="dxa"/>
        </w:tblCellMar>
        <w:tblLook w:val="01E0" w:firstRow="1" w:lastRow="1" w:firstColumn="1" w:lastColumn="1" w:noHBand="0" w:noVBand="0"/>
      </w:tblPr>
      <w:tblGrid>
        <w:gridCol w:w="5408"/>
        <w:gridCol w:w="1451"/>
        <w:gridCol w:w="1781"/>
      </w:tblGrid>
      <w:tr w:rsidR="00C51681" w:rsidRPr="00C078E0" w14:paraId="06CDFE7C" w14:textId="77777777" w:rsidTr="00E044A5">
        <w:tc>
          <w:tcPr>
            <w:tcW w:w="5408" w:type="dxa"/>
            <w:shd w:val="clear" w:color="auto" w:fill="auto"/>
          </w:tcPr>
          <w:p w14:paraId="480A91DA" w14:textId="77777777" w:rsidR="00C51681" w:rsidRPr="00B60C82" w:rsidRDefault="00C51681" w:rsidP="00B60C82">
            <w:pPr>
              <w:spacing w:before="100" w:beforeAutospacing="1" w:after="100" w:afterAutospacing="1"/>
              <w:rPr>
                <w:szCs w:val="26"/>
              </w:rPr>
            </w:pPr>
            <w:r w:rsidRPr="00B60C82">
              <w:rPr>
                <w:szCs w:val="26"/>
              </w:rPr>
              <w:t>Availability of Certain North American Electric Reliability Corporation Databases to the Commission</w:t>
            </w:r>
          </w:p>
        </w:tc>
        <w:tc>
          <w:tcPr>
            <w:tcW w:w="1451" w:type="dxa"/>
            <w:shd w:val="clear" w:color="auto" w:fill="auto"/>
          </w:tcPr>
          <w:p w14:paraId="588A2346" w14:textId="77777777" w:rsidR="00C51681" w:rsidRPr="00C078E0" w:rsidRDefault="00C51681" w:rsidP="00E044A5">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rPr>
                <w:szCs w:val="26"/>
              </w:rPr>
            </w:pPr>
            <w:r w:rsidRPr="00C078E0">
              <w:rPr>
                <w:szCs w:val="26"/>
              </w:rPr>
              <w:t>Docket No.</w:t>
            </w:r>
          </w:p>
        </w:tc>
        <w:tc>
          <w:tcPr>
            <w:tcW w:w="1781" w:type="dxa"/>
            <w:shd w:val="clear" w:color="auto" w:fill="auto"/>
            <w:tcMar>
              <w:left w:w="144" w:type="dxa"/>
            </w:tcMar>
          </w:tcPr>
          <w:p w14:paraId="46780E6B" w14:textId="77777777" w:rsidR="00C51681" w:rsidRPr="00C078E0" w:rsidRDefault="00C51681" w:rsidP="006A1F3A">
            <w:pPr>
              <w:tabs>
                <w:tab w:val="left" w:pos="720"/>
                <w:tab w:val="left" w:pos="1440"/>
                <w:tab w:val="left" w:pos="2880"/>
                <w:tab w:val="left" w:pos="4320"/>
                <w:tab w:val="left" w:pos="5040"/>
                <w:tab w:val="left" w:pos="5760"/>
                <w:tab w:val="left" w:pos="6480"/>
                <w:tab w:val="left" w:pos="7200"/>
              </w:tabs>
              <w:spacing w:before="100" w:beforeAutospacing="1" w:after="100" w:afterAutospacing="1"/>
              <w:rPr>
                <w:szCs w:val="26"/>
              </w:rPr>
            </w:pPr>
            <w:r>
              <w:rPr>
                <w:szCs w:val="26"/>
              </w:rPr>
              <w:t>RM15-25-000</w:t>
            </w:r>
          </w:p>
        </w:tc>
      </w:tr>
    </w:tbl>
    <w:p w14:paraId="27A885D5" w14:textId="77777777" w:rsidR="00C51681" w:rsidRPr="00C078E0" w:rsidRDefault="00C51681" w:rsidP="00BB7C82">
      <w:pPr>
        <w:jc w:val="center"/>
        <w:rPr>
          <w:szCs w:val="26"/>
        </w:rPr>
      </w:pPr>
    </w:p>
    <w:p w14:paraId="07230B5B" w14:textId="77777777" w:rsidR="00C51681" w:rsidRPr="00C078E0" w:rsidRDefault="00C51681" w:rsidP="00BB7C82">
      <w:pPr>
        <w:jc w:val="center"/>
        <w:rPr>
          <w:szCs w:val="26"/>
        </w:rPr>
      </w:pPr>
      <w:r w:rsidRPr="00C078E0">
        <w:rPr>
          <w:szCs w:val="26"/>
        </w:rPr>
        <w:t>(Issued September 1</w:t>
      </w:r>
      <w:r>
        <w:rPr>
          <w:szCs w:val="26"/>
        </w:rPr>
        <w:t>7</w:t>
      </w:r>
      <w:r w:rsidRPr="00C078E0">
        <w:rPr>
          <w:szCs w:val="26"/>
        </w:rPr>
        <w:t>, 201</w:t>
      </w:r>
      <w:r>
        <w:rPr>
          <w:szCs w:val="26"/>
        </w:rPr>
        <w:t>5</w:t>
      </w:r>
      <w:r w:rsidRPr="00C078E0">
        <w:rPr>
          <w:szCs w:val="26"/>
        </w:rPr>
        <w:t>)</w:t>
      </w:r>
    </w:p>
    <w:p w14:paraId="667766C4" w14:textId="77777777" w:rsidR="00C51681" w:rsidRDefault="00C51681" w:rsidP="00BB7C82">
      <w:pPr>
        <w:spacing w:before="100" w:beforeAutospacing="1" w:after="100" w:afterAutospacing="1"/>
        <w:rPr>
          <w:i/>
          <w:szCs w:val="26"/>
        </w:rPr>
      </w:pPr>
      <w:r w:rsidRPr="00C078E0">
        <w:rPr>
          <w:szCs w:val="26"/>
        </w:rPr>
        <w:t xml:space="preserve">LaFLEUR, </w:t>
      </w:r>
      <w:r>
        <w:rPr>
          <w:szCs w:val="26"/>
        </w:rPr>
        <w:t>Commissioner</w:t>
      </w:r>
      <w:r w:rsidRPr="00C078E0">
        <w:rPr>
          <w:szCs w:val="26"/>
        </w:rPr>
        <w:t xml:space="preserve">, </w:t>
      </w:r>
      <w:r w:rsidRPr="00C078E0">
        <w:rPr>
          <w:i/>
          <w:szCs w:val="26"/>
        </w:rPr>
        <w:t>concurring:</w:t>
      </w:r>
    </w:p>
    <w:p w14:paraId="0DAE5CB3" w14:textId="77777777" w:rsidR="00C51681" w:rsidRDefault="00C51681" w:rsidP="0041415F">
      <w:pPr>
        <w:spacing w:before="100" w:beforeAutospacing="1" w:after="100" w:afterAutospacing="1"/>
        <w:ind w:firstLine="720"/>
        <w:rPr>
          <w:szCs w:val="26"/>
        </w:rPr>
      </w:pPr>
      <w:r>
        <w:rPr>
          <w:szCs w:val="26"/>
        </w:rPr>
        <w:t xml:space="preserve">Today’s order proposes to revise the Commission’s regulations to provide the Commission and its staff with access, on a non-public and ongoing basis, to three databases maintained by the North American Electric Reliability Corporation (NERC): (1) </w:t>
      </w:r>
      <w:r w:rsidRPr="00E07585">
        <w:rPr>
          <w:szCs w:val="26"/>
        </w:rPr>
        <w:t>the Transmission Availability Data System (TADS), (2) the Generat</w:t>
      </w:r>
      <w:r>
        <w:rPr>
          <w:szCs w:val="26"/>
        </w:rPr>
        <w:t>ing</w:t>
      </w:r>
      <w:r w:rsidRPr="00E07585">
        <w:rPr>
          <w:szCs w:val="26"/>
        </w:rPr>
        <w:t xml:space="preserve"> Availability Data System (GADS), and (3) the protection system misoperations database</w:t>
      </w:r>
      <w:r>
        <w:rPr>
          <w:szCs w:val="26"/>
        </w:rPr>
        <w:t xml:space="preserve">.  As explained in the order, the Commission concludes that access to these databases would support its work under section 215(d)(5) of the Federal Power Act (FPA) to monitor reliability trends and issues that may warrant the development of new or modified reliability standards.  </w:t>
      </w:r>
    </w:p>
    <w:p w14:paraId="7526FD4A" w14:textId="77777777" w:rsidR="00C51681" w:rsidRDefault="00C51681" w:rsidP="0041415F">
      <w:pPr>
        <w:spacing w:before="100" w:beforeAutospacing="1" w:after="100" w:afterAutospacing="1"/>
        <w:ind w:firstLine="720"/>
        <w:rPr>
          <w:szCs w:val="26"/>
        </w:rPr>
      </w:pPr>
      <w:r>
        <w:rPr>
          <w:szCs w:val="26"/>
        </w:rPr>
        <w:t xml:space="preserve">On rare occasions, the Commission has exercised its authority to direct NERC to develop new standards to address reliability risks not covered in existing standards, such as geomagnetic disturbances and physical security. While I do not expect the Commission to frequently invoke that authority going forward, I agree that the information in these databases would assist the Commission with its responsibilities under section 215(d)(5), as well as its understanding of NERC’s assessments under section 215(g).  Access to these databases could therefore support the Commission’s oversight of several steps of the reliability cycle, including event analysis, establishment of metrics, setting reliability priorities, and improving the standards development and review process.  </w:t>
      </w:r>
    </w:p>
    <w:p w14:paraId="58D025A8" w14:textId="77777777" w:rsidR="00C51681" w:rsidRDefault="00C51681" w:rsidP="0041415F">
      <w:pPr>
        <w:spacing w:before="100" w:beforeAutospacing="1" w:after="100" w:afterAutospacing="1"/>
        <w:ind w:firstLine="720"/>
        <w:rPr>
          <w:szCs w:val="26"/>
        </w:rPr>
      </w:pPr>
      <w:r>
        <w:rPr>
          <w:szCs w:val="26"/>
        </w:rPr>
        <w:t>I recognize, however, that under section 215 of the FPA, NERC and the Commission have a unique relationship, since Congress vested a significant amount of authority over the standards process in the Electric Reliability Organization (i.e., NERC) and clearly prescribed the Commission’s oversight role.  I</w:t>
      </w:r>
      <w:r w:rsidRPr="006920A6">
        <w:rPr>
          <w:szCs w:val="26"/>
        </w:rPr>
        <w:t xml:space="preserve">t is important that we recognize the distinction between that oversight role and NERC’s primary responsibility to monitor reliability issues and propose standards to address them.  </w:t>
      </w:r>
      <w:r>
        <w:rPr>
          <w:szCs w:val="26"/>
        </w:rPr>
        <w:t xml:space="preserve">Ultimately, I believe our efforts </w:t>
      </w:r>
    </w:p>
    <w:p w14:paraId="035B9F6F" w14:textId="77777777" w:rsidR="00C51681" w:rsidRDefault="00C51681" w:rsidP="00C51681">
      <w:pPr>
        <w:spacing w:before="100" w:beforeAutospacing="1" w:after="100" w:afterAutospacing="1"/>
        <w:rPr>
          <w:szCs w:val="26"/>
        </w:rPr>
      </w:pPr>
    </w:p>
    <w:p w14:paraId="6D0020D1" w14:textId="77777777" w:rsidR="00C51681" w:rsidRDefault="00C51681" w:rsidP="00C51681">
      <w:pPr>
        <w:spacing w:before="100" w:beforeAutospacing="1" w:after="100" w:afterAutospacing="1"/>
        <w:rPr>
          <w:szCs w:val="26"/>
        </w:rPr>
      </w:pPr>
    </w:p>
    <w:p w14:paraId="73CFFDE9" w14:textId="44417420" w:rsidR="00C51681" w:rsidRDefault="00C51681" w:rsidP="00C51681">
      <w:pPr>
        <w:spacing w:before="100" w:beforeAutospacing="1" w:after="100" w:afterAutospacing="1"/>
        <w:rPr>
          <w:szCs w:val="26"/>
        </w:rPr>
      </w:pPr>
      <w:r>
        <w:rPr>
          <w:szCs w:val="26"/>
        </w:rPr>
        <w:t xml:space="preserve">to sustain and improve the reliability of the bulk electric system are furthered by mutual trust and shared priorities between the Commission and NERC.  </w:t>
      </w:r>
    </w:p>
    <w:p w14:paraId="0D4CC191" w14:textId="77777777" w:rsidR="00C51681" w:rsidRPr="0041415F" w:rsidRDefault="00C51681" w:rsidP="0041415F">
      <w:pPr>
        <w:spacing w:before="100" w:beforeAutospacing="1" w:after="100" w:afterAutospacing="1"/>
        <w:ind w:firstLine="720"/>
        <w:rPr>
          <w:szCs w:val="26"/>
        </w:rPr>
      </w:pPr>
      <w:r>
        <w:rPr>
          <w:szCs w:val="26"/>
        </w:rPr>
        <w:t xml:space="preserve">I understand that today’s proposal might be controversial within the NERC community.  I therefore welcome comment on the proposal, including any potential issues or concerns not identified in the NOPR, to provide a full record for the Commission to consider in deciding whether to proceed to a final rule.  </w:t>
      </w:r>
    </w:p>
    <w:p w14:paraId="54AA9D22" w14:textId="77777777" w:rsidR="00C51681" w:rsidRPr="00C078E0" w:rsidRDefault="00C51681" w:rsidP="00BD5BBD">
      <w:pPr>
        <w:pStyle w:val="ListParagraph"/>
        <w:rPr>
          <w:szCs w:val="26"/>
        </w:rPr>
      </w:pPr>
      <w:r w:rsidRPr="00C078E0">
        <w:rPr>
          <w:szCs w:val="26"/>
        </w:rPr>
        <w:t>Accordingly, I respectfully concur.</w:t>
      </w:r>
    </w:p>
    <w:p w14:paraId="305B09CE" w14:textId="77777777" w:rsidR="00C51681" w:rsidRPr="00C078E0" w:rsidRDefault="00C51681" w:rsidP="00BD5BBD">
      <w:pPr>
        <w:pStyle w:val="ListParagraph"/>
        <w:rPr>
          <w:szCs w:val="26"/>
        </w:rPr>
      </w:pPr>
    </w:p>
    <w:p w14:paraId="2F93DF41" w14:textId="77777777" w:rsidR="00C51681" w:rsidRPr="00C078E0" w:rsidRDefault="00C51681" w:rsidP="000D5053">
      <w:pPr>
        <w:rPr>
          <w:rFonts w:eastAsia="Calibri"/>
          <w:szCs w:val="26"/>
        </w:rPr>
      </w:pPr>
      <w:r w:rsidRPr="00C078E0">
        <w:rPr>
          <w:rFonts w:eastAsia="Calibri"/>
          <w:szCs w:val="26"/>
        </w:rPr>
        <w:t xml:space="preserve">     _______________________          </w:t>
      </w:r>
      <w:r w:rsidRPr="00C078E0">
        <w:rPr>
          <w:rFonts w:eastAsia="Calibri"/>
          <w:szCs w:val="26"/>
        </w:rPr>
        <w:tab/>
      </w:r>
      <w:r w:rsidRPr="00C078E0">
        <w:rPr>
          <w:rFonts w:eastAsia="Calibri"/>
          <w:szCs w:val="26"/>
        </w:rPr>
        <w:tab/>
      </w:r>
      <w:r w:rsidRPr="00C078E0">
        <w:rPr>
          <w:rFonts w:eastAsia="Calibri"/>
          <w:szCs w:val="26"/>
        </w:rPr>
        <w:tab/>
      </w:r>
    </w:p>
    <w:p w14:paraId="56E89C06" w14:textId="77777777" w:rsidR="00C51681" w:rsidRPr="00C078E0" w:rsidRDefault="00C51681" w:rsidP="00CA1197">
      <w:pPr>
        <w:ind w:left="720" w:hanging="720"/>
        <w:rPr>
          <w:szCs w:val="26"/>
        </w:rPr>
      </w:pPr>
      <w:r w:rsidRPr="00C078E0">
        <w:rPr>
          <w:szCs w:val="26"/>
        </w:rPr>
        <w:t xml:space="preserve">    Cheryl A. LaFleur</w:t>
      </w:r>
      <w:r w:rsidRPr="00C078E0">
        <w:rPr>
          <w:rFonts w:eastAsia="Calibri"/>
          <w:szCs w:val="26"/>
        </w:rPr>
        <w:tab/>
        <w:t xml:space="preserve">     </w:t>
      </w:r>
      <w:r w:rsidRPr="00C078E0">
        <w:rPr>
          <w:szCs w:val="26"/>
        </w:rPr>
        <w:t xml:space="preserve">                             </w:t>
      </w:r>
    </w:p>
    <w:p w14:paraId="34B68319" w14:textId="77777777" w:rsidR="00C51681" w:rsidRPr="00C078E0" w:rsidRDefault="00C51681" w:rsidP="00C078E0">
      <w:r w:rsidRPr="00C078E0">
        <w:rPr>
          <w:szCs w:val="26"/>
        </w:rPr>
        <w:t xml:space="preserve">    </w:t>
      </w:r>
      <w:r>
        <w:rPr>
          <w:rFonts w:eastAsia="Calibri"/>
          <w:szCs w:val="26"/>
        </w:rPr>
        <w:t>Commissioner</w:t>
      </w:r>
      <w:r w:rsidRPr="00C078E0">
        <w:rPr>
          <w:rFonts w:eastAsia="Calibri"/>
          <w:szCs w:val="26"/>
        </w:rPr>
        <w:t xml:space="preserve">    </w:t>
      </w:r>
    </w:p>
    <w:p w14:paraId="44B1DD97" w14:textId="33DB2B9B" w:rsidR="00C51681" w:rsidRPr="00AA26B7" w:rsidRDefault="00C51681" w:rsidP="00AA26B7">
      <w:pPr>
        <w:spacing w:line="480" w:lineRule="auto"/>
        <w:rPr>
          <w:szCs w:val="26"/>
        </w:rPr>
      </w:pPr>
    </w:p>
    <w:p w14:paraId="4F39DE84" w14:textId="77777777" w:rsidR="00E859EA" w:rsidRDefault="00E859EA" w:rsidP="007D2C2D">
      <w:pPr>
        <w:pStyle w:val="FERCparanumber"/>
        <w:numPr>
          <w:ilvl w:val="0"/>
          <w:numId w:val="0"/>
        </w:numPr>
      </w:pPr>
    </w:p>
    <w:p w14:paraId="7A1A4F5B" w14:textId="77777777" w:rsidR="00E859EA" w:rsidRPr="00F9542A" w:rsidRDefault="00E859EA" w:rsidP="007D2C2D"/>
    <w:p w14:paraId="5E635B5B" w14:textId="77777777" w:rsidR="00E859EA" w:rsidRPr="00AF31E6" w:rsidRDefault="00E859EA" w:rsidP="007D2C2D"/>
    <w:p w14:paraId="24B4914B" w14:textId="77777777" w:rsidR="00E859EA" w:rsidRPr="00435317" w:rsidRDefault="00E859EA" w:rsidP="007D2C2D"/>
    <w:p w14:paraId="3E36BEEA" w14:textId="77777777" w:rsidR="00E859EA" w:rsidRPr="007B684F" w:rsidRDefault="00E859EA" w:rsidP="007D2C2D"/>
    <w:p w14:paraId="5546FA96" w14:textId="77777777" w:rsidR="005B19E1" w:rsidRPr="0014077F" w:rsidRDefault="005B19E1" w:rsidP="0014077F"/>
    <w:sectPr w:rsidR="005B19E1" w:rsidRPr="0014077F" w:rsidSect="00E859EA">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0548F" w14:textId="77777777" w:rsidR="00CA25A9" w:rsidRDefault="00CA25A9">
      <w:r>
        <w:separator/>
      </w:r>
    </w:p>
  </w:endnote>
  <w:endnote w:type="continuationSeparator" w:id="0">
    <w:p w14:paraId="4E565CDD" w14:textId="77777777" w:rsidR="00CA25A9" w:rsidRDefault="00CA25A9">
      <w:r>
        <w:continuationSeparator/>
      </w:r>
    </w:p>
  </w:endnote>
  <w:endnote w:type="continuationNotice" w:id="1">
    <w:p w14:paraId="34D076FD" w14:textId="77777777" w:rsidR="00CA25A9" w:rsidRDefault="00CA2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C7C1B" w14:textId="77777777" w:rsidR="00CA25A9" w:rsidRDefault="00CA25A9">
      <w:r>
        <w:separator/>
      </w:r>
    </w:p>
  </w:footnote>
  <w:footnote w:type="continuationSeparator" w:id="0">
    <w:p w14:paraId="30CBA9A8" w14:textId="77777777" w:rsidR="00CA25A9" w:rsidRDefault="00CA25A9">
      <w:r>
        <w:continuationSeparator/>
      </w:r>
    </w:p>
  </w:footnote>
  <w:footnote w:type="continuationNotice" w:id="1">
    <w:p w14:paraId="5C5340EE" w14:textId="77777777" w:rsidR="00CA25A9" w:rsidRPr="00E30F9B" w:rsidRDefault="00CA25A9" w:rsidP="00E30F9B">
      <w:pPr>
        <w:pStyle w:val="Footer"/>
        <w:jc w:val="right"/>
      </w:pPr>
      <w:r w:rsidRPr="00E30F9B">
        <w:t>(continued ...)</w:t>
      </w:r>
    </w:p>
  </w:footnote>
  <w:footnote w:id="2">
    <w:p w14:paraId="1F0835B2" w14:textId="77777777" w:rsidR="007F50B0" w:rsidRDefault="007F50B0" w:rsidP="00384322">
      <w:pPr>
        <w:pStyle w:val="FootnoteText"/>
        <w:spacing w:after="240"/>
      </w:pPr>
      <w:r>
        <w:rPr>
          <w:rStyle w:val="FootnoteReference"/>
        </w:rPr>
        <w:footnoteRef/>
      </w:r>
      <w:r>
        <w:rPr>
          <w:lang w:val="es-ES"/>
        </w:rPr>
        <w:t xml:space="preserve"> 16 U.S.C. 824o(e).</w:t>
      </w:r>
    </w:p>
  </w:footnote>
  <w:footnote w:id="3">
    <w:p w14:paraId="1900A20B" w14:textId="77777777" w:rsidR="00366869" w:rsidRPr="00366869" w:rsidRDefault="00366869">
      <w:pPr>
        <w:pStyle w:val="FootnoteText"/>
      </w:pPr>
      <w:r>
        <w:rPr>
          <w:rStyle w:val="FootnoteReference"/>
        </w:rPr>
        <w:footnoteRef/>
      </w:r>
      <w:r>
        <w:t xml:space="preserve"> </w:t>
      </w:r>
      <w:r>
        <w:rPr>
          <w:i/>
        </w:rPr>
        <w:t>Id.</w:t>
      </w:r>
      <w:r>
        <w:t xml:space="preserve"> 824o(g).</w:t>
      </w:r>
    </w:p>
  </w:footnote>
  <w:footnote w:id="4">
    <w:p w14:paraId="48553233" w14:textId="77777777" w:rsidR="007F50B0" w:rsidRPr="00E4612A" w:rsidRDefault="007F50B0" w:rsidP="00384322">
      <w:pPr>
        <w:pStyle w:val="FootnoteText"/>
        <w:spacing w:after="240"/>
        <w:rPr>
          <w:szCs w:val="26"/>
        </w:rPr>
      </w:pPr>
      <w:r w:rsidRPr="00E4612A">
        <w:rPr>
          <w:rStyle w:val="FootnoteReference"/>
        </w:rPr>
        <w:footnoteRef/>
      </w:r>
      <w:r w:rsidRPr="00E4612A">
        <w:rPr>
          <w:szCs w:val="26"/>
        </w:rPr>
        <w:t xml:space="preserve"> </w:t>
      </w:r>
      <w:r w:rsidRPr="00E4612A">
        <w:rPr>
          <w:i/>
          <w:szCs w:val="26"/>
        </w:rPr>
        <w:t>Rules Concerning Certification of the Electric Reliability Organization; and Procedures for the Establishment, Approval, and Enforcement of Electric Reliability Standards</w:t>
      </w:r>
      <w:r w:rsidRPr="00E4612A">
        <w:rPr>
          <w:szCs w:val="26"/>
        </w:rPr>
        <w:t xml:space="preserve">, Order No. 672, FERC Stats. &amp; Regs. ¶ 31,204, </w:t>
      </w:r>
      <w:r w:rsidRPr="00E4612A">
        <w:rPr>
          <w:i/>
          <w:szCs w:val="26"/>
        </w:rPr>
        <w:t>order on reh’g</w:t>
      </w:r>
      <w:r w:rsidRPr="00E4612A">
        <w:rPr>
          <w:szCs w:val="26"/>
        </w:rPr>
        <w:t>, Order No. 672</w:t>
      </w:r>
      <w:r w:rsidRPr="00E4612A">
        <w:rPr>
          <w:szCs w:val="26"/>
        </w:rPr>
        <w:noBreakHyphen/>
        <w:t>A, FERC Stats. &amp; Regs. ¶ 31,212 (2006).</w:t>
      </w:r>
    </w:p>
  </w:footnote>
  <w:footnote w:id="5">
    <w:p w14:paraId="07739CD5" w14:textId="77777777" w:rsidR="007F50B0" w:rsidRPr="00E4612A" w:rsidRDefault="007F50B0" w:rsidP="00384322">
      <w:pPr>
        <w:pStyle w:val="FootnoteText"/>
        <w:spacing w:after="240"/>
        <w:rPr>
          <w:szCs w:val="26"/>
        </w:rPr>
      </w:pPr>
      <w:r>
        <w:rPr>
          <w:rStyle w:val="FootnoteReference"/>
        </w:rPr>
        <w:footnoteRef/>
      </w:r>
      <w:r>
        <w:t xml:space="preserve"> </w:t>
      </w:r>
      <w:r w:rsidRPr="00E4612A">
        <w:rPr>
          <w:i/>
          <w:szCs w:val="26"/>
        </w:rPr>
        <w:t>North American Electric Reliability Corp.</w:t>
      </w:r>
      <w:r w:rsidRPr="00E4612A">
        <w:rPr>
          <w:szCs w:val="26"/>
        </w:rPr>
        <w:t xml:space="preserve">, 116 FERC ¶ 61,062, </w:t>
      </w:r>
      <w:r w:rsidRPr="00E4612A">
        <w:rPr>
          <w:i/>
          <w:szCs w:val="26"/>
        </w:rPr>
        <w:t xml:space="preserve">order on reh’g  </w:t>
      </w:r>
      <w:r>
        <w:rPr>
          <w:i/>
          <w:szCs w:val="26"/>
        </w:rPr>
        <w:t>and</w:t>
      </w:r>
      <w:r w:rsidRPr="00E4612A">
        <w:rPr>
          <w:i/>
          <w:szCs w:val="26"/>
        </w:rPr>
        <w:t xml:space="preserve"> compliance</w:t>
      </w:r>
      <w:r w:rsidRPr="00E4612A">
        <w:rPr>
          <w:szCs w:val="26"/>
        </w:rPr>
        <w:t xml:space="preserve">, 117 FERC ¶ 61,126 (2006), </w:t>
      </w:r>
      <w:r>
        <w:rPr>
          <w:i/>
          <w:szCs w:val="26"/>
        </w:rPr>
        <w:t>aff’d</w:t>
      </w:r>
      <w:r w:rsidRPr="00E4612A">
        <w:rPr>
          <w:i/>
          <w:szCs w:val="26"/>
        </w:rPr>
        <w:t xml:space="preserve"> sub nom. Alcoa, Inc. v. FERC</w:t>
      </w:r>
      <w:r w:rsidRPr="00E4612A">
        <w:rPr>
          <w:szCs w:val="26"/>
        </w:rPr>
        <w:t>, 564 F.3d 1342 (D.C. Cir. 2009).</w:t>
      </w:r>
    </w:p>
  </w:footnote>
  <w:footnote w:id="6">
    <w:p w14:paraId="795443BC" w14:textId="77777777" w:rsidR="007F50B0" w:rsidRPr="00BA7254" w:rsidRDefault="007F50B0" w:rsidP="00384322">
      <w:pPr>
        <w:pStyle w:val="FootnoteText"/>
        <w:spacing w:after="240"/>
        <w:rPr>
          <w:szCs w:val="26"/>
        </w:rPr>
      </w:pPr>
      <w:r w:rsidRPr="00BA7254">
        <w:rPr>
          <w:rStyle w:val="FootnoteReference"/>
        </w:rPr>
        <w:footnoteRef/>
      </w:r>
      <w:r w:rsidR="00EC3F88">
        <w:rPr>
          <w:szCs w:val="26"/>
        </w:rPr>
        <w:t xml:space="preserve"> 18 CFR</w:t>
      </w:r>
      <w:r w:rsidR="005B5911">
        <w:rPr>
          <w:szCs w:val="26"/>
        </w:rPr>
        <w:t xml:space="preserve"> </w:t>
      </w:r>
      <w:r>
        <w:rPr>
          <w:szCs w:val="26"/>
        </w:rPr>
        <w:t>39.2(d)</w:t>
      </w:r>
      <w:r w:rsidRPr="00BA7254">
        <w:rPr>
          <w:szCs w:val="26"/>
        </w:rPr>
        <w:t>.</w:t>
      </w:r>
    </w:p>
  </w:footnote>
  <w:footnote w:id="7">
    <w:p w14:paraId="30B77185" w14:textId="77777777" w:rsidR="007F50B0" w:rsidRPr="00BA7254" w:rsidRDefault="007F50B0" w:rsidP="00384322">
      <w:pPr>
        <w:pStyle w:val="FootnoteText"/>
        <w:spacing w:after="240"/>
        <w:rPr>
          <w:szCs w:val="26"/>
        </w:rPr>
      </w:pPr>
      <w:r w:rsidRPr="00BA7254">
        <w:rPr>
          <w:rStyle w:val="FootnoteReference"/>
        </w:rPr>
        <w:footnoteRef/>
      </w:r>
      <w:r w:rsidRPr="00BA7254">
        <w:rPr>
          <w:szCs w:val="26"/>
        </w:rPr>
        <w:t xml:space="preserve"> </w:t>
      </w:r>
      <w:r w:rsidRPr="00893481">
        <w:rPr>
          <w:i/>
          <w:szCs w:val="26"/>
        </w:rPr>
        <w:t>Id</w:t>
      </w:r>
      <w:r>
        <w:rPr>
          <w:szCs w:val="26"/>
        </w:rPr>
        <w:t>.</w:t>
      </w:r>
    </w:p>
  </w:footnote>
  <w:footnote w:id="8">
    <w:p w14:paraId="088AB64A" w14:textId="77777777" w:rsidR="007F50B0" w:rsidRPr="00BA7254" w:rsidRDefault="007F50B0" w:rsidP="00384322">
      <w:pPr>
        <w:pStyle w:val="FootnoteText"/>
        <w:spacing w:after="240"/>
        <w:rPr>
          <w:szCs w:val="26"/>
        </w:rPr>
      </w:pPr>
      <w:r w:rsidRPr="00BA7254">
        <w:rPr>
          <w:rStyle w:val="FootnoteReference"/>
        </w:rPr>
        <w:footnoteRef/>
      </w:r>
      <w:r w:rsidRPr="00BA7254">
        <w:rPr>
          <w:szCs w:val="26"/>
        </w:rPr>
        <w:t xml:space="preserve"> Order No. 672, FERC Stats. &amp; Regs. ¶ 31,204 at P 114</w:t>
      </w:r>
      <w:r>
        <w:rPr>
          <w:szCs w:val="26"/>
        </w:rPr>
        <w:t>.</w:t>
      </w:r>
    </w:p>
  </w:footnote>
  <w:footnote w:id="9">
    <w:p w14:paraId="4C7FE67C" w14:textId="77777777" w:rsidR="007F50B0" w:rsidRPr="00BA7254" w:rsidRDefault="007F50B0" w:rsidP="00384322">
      <w:pPr>
        <w:pStyle w:val="FootnoteText"/>
        <w:spacing w:after="240"/>
        <w:rPr>
          <w:szCs w:val="26"/>
        </w:rPr>
      </w:pPr>
      <w:r w:rsidRPr="00BA7254">
        <w:rPr>
          <w:rStyle w:val="FootnoteReference"/>
        </w:rPr>
        <w:footnoteRef/>
      </w:r>
      <w:r w:rsidRPr="00BA7254">
        <w:rPr>
          <w:szCs w:val="26"/>
        </w:rPr>
        <w:t xml:space="preserve"> </w:t>
      </w:r>
      <w:r w:rsidRPr="00893481">
        <w:rPr>
          <w:i/>
          <w:szCs w:val="26"/>
        </w:rPr>
        <w:t>Id</w:t>
      </w:r>
      <w:r>
        <w:rPr>
          <w:szCs w:val="26"/>
        </w:rPr>
        <w:t xml:space="preserve">. </w:t>
      </w:r>
    </w:p>
  </w:footnote>
  <w:footnote w:id="10">
    <w:p w14:paraId="61BA0653" w14:textId="77777777" w:rsidR="007F50B0" w:rsidRPr="00DF07F9" w:rsidRDefault="007F50B0">
      <w:pPr>
        <w:pStyle w:val="FootnoteText"/>
      </w:pPr>
      <w:r>
        <w:rPr>
          <w:rStyle w:val="FootnoteReference"/>
        </w:rPr>
        <w:footnoteRef/>
      </w:r>
      <w:r>
        <w:t xml:space="preserve"> </w:t>
      </w:r>
      <w:r>
        <w:rPr>
          <w:i/>
        </w:rPr>
        <w:t>See</w:t>
      </w:r>
      <w:r>
        <w:t xml:space="preserve"> </w:t>
      </w:r>
      <w:r>
        <w:rPr>
          <w:i/>
        </w:rPr>
        <w:t>generally</w:t>
      </w:r>
      <w:r>
        <w:t xml:space="preserve"> NERC, Summary of Phase I TADS Data Collection (November 9, 2007), </w:t>
      </w:r>
      <w:r>
        <w:rPr>
          <w:i/>
        </w:rPr>
        <w:t>available at</w:t>
      </w:r>
      <w:r>
        <w:t xml:space="preserve"> </w:t>
      </w:r>
      <w:r w:rsidR="00127743" w:rsidRPr="00127743">
        <w:t>http://www.nerc.com/pa/RAPA/tads/TADSTF%20Archives%20DL/TADS_Data_Request_Summary.pdf</w:t>
      </w:r>
      <w:r w:rsidR="00127743">
        <w:t>.</w:t>
      </w:r>
    </w:p>
  </w:footnote>
  <w:footnote w:id="11">
    <w:p w14:paraId="389191D8" w14:textId="77777777" w:rsidR="007F50B0" w:rsidRPr="00DF07F9" w:rsidRDefault="007F50B0" w:rsidP="00384322">
      <w:pPr>
        <w:pStyle w:val="FootnoteText"/>
        <w:spacing w:after="24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12">
    <w:p w14:paraId="4394D054" w14:textId="77777777" w:rsidR="007F50B0" w:rsidRPr="00E0430B" w:rsidRDefault="007F50B0" w:rsidP="00E0430B">
      <w:pPr>
        <w:pStyle w:val="FootnoteText"/>
      </w:pPr>
      <w:r>
        <w:rPr>
          <w:rStyle w:val="FootnoteReference"/>
        </w:rPr>
        <w:footnoteRef/>
      </w:r>
      <w:r>
        <w:t xml:space="preserve"> </w:t>
      </w:r>
      <w:r>
        <w:rPr>
          <w:i/>
        </w:rPr>
        <w:t>See generally</w:t>
      </w:r>
      <w:r>
        <w:t xml:space="preserve"> NERC, Transmission Availability Data System Phase II Final Report (September 11, 2008), </w:t>
      </w:r>
      <w:r>
        <w:rPr>
          <w:i/>
        </w:rPr>
        <w:t>available at</w:t>
      </w:r>
      <w:r>
        <w:t xml:space="preserve"> </w:t>
      </w:r>
      <w:r w:rsidR="00127743" w:rsidRPr="00127743">
        <w:t>http://www.nerc.com/pa/RAPA/tads/TransmissionAvailabilityDataSyatemRF/TADS_Phase_II_Final_Report_091108.pdf</w:t>
      </w:r>
      <w:r w:rsidR="00127743">
        <w:t>.</w:t>
      </w:r>
    </w:p>
  </w:footnote>
  <w:footnote w:id="13">
    <w:p w14:paraId="3F08FD95" w14:textId="77777777" w:rsidR="007F50B0" w:rsidRDefault="007F50B0">
      <w:pPr>
        <w:pStyle w:val="FootnoteText"/>
      </w:pPr>
      <w:r>
        <w:rPr>
          <w:rStyle w:val="FootnoteReference"/>
        </w:rPr>
        <w:footnoteRef/>
      </w:r>
      <w:r>
        <w:t xml:space="preserve"> </w:t>
      </w:r>
      <w:r w:rsidRPr="00D33D26">
        <w:rPr>
          <w:i/>
        </w:rPr>
        <w:t>See</w:t>
      </w:r>
      <w:r>
        <w:t xml:space="preserve"> NERC TADS Home Page, </w:t>
      </w:r>
      <w:r w:rsidR="002D7201">
        <w:rPr>
          <w:i/>
        </w:rPr>
        <w:t xml:space="preserve">available at </w:t>
      </w:r>
      <w:r w:rsidR="002D7201" w:rsidRPr="002D7201">
        <w:t>http://www.nerc.com/pa/RAPA/tads/Pages/default.aspx</w:t>
      </w:r>
      <w:r w:rsidR="006E6192">
        <w:t>.</w:t>
      </w:r>
    </w:p>
  </w:footnote>
  <w:footnote w:id="14">
    <w:p w14:paraId="56F51984" w14:textId="77777777" w:rsidR="007F50B0" w:rsidRPr="00127743" w:rsidRDefault="007F50B0">
      <w:pPr>
        <w:pStyle w:val="FootnoteText"/>
      </w:pPr>
      <w:r>
        <w:rPr>
          <w:rStyle w:val="FootnoteReference"/>
        </w:rPr>
        <w:footnoteRef/>
      </w:r>
      <w:r>
        <w:t xml:space="preserve"> </w:t>
      </w:r>
      <w:r>
        <w:rPr>
          <w:i/>
        </w:rPr>
        <w:t>See</w:t>
      </w:r>
      <w:r>
        <w:t xml:space="preserve"> Transmission Availability Data System (TADS) Data Reporting Instruction Manual (August 1, 2014), </w:t>
      </w:r>
      <w:r>
        <w:rPr>
          <w:i/>
        </w:rPr>
        <w:t xml:space="preserve">available at </w:t>
      </w:r>
      <w:r w:rsidR="00127743" w:rsidRPr="00127743">
        <w:t>http://www.nerc.com/pa/RAPA/tads/Documents/2015_TADS_DRI.pdf</w:t>
      </w:r>
      <w:r w:rsidR="00127743">
        <w:t>.</w:t>
      </w:r>
    </w:p>
  </w:footnote>
  <w:footnote w:id="15">
    <w:p w14:paraId="13E0B55F" w14:textId="77777777" w:rsidR="007F50B0" w:rsidRPr="0043303C" w:rsidRDefault="007F50B0">
      <w:pPr>
        <w:pStyle w:val="FootnoteText"/>
      </w:pPr>
      <w:r>
        <w:rPr>
          <w:rStyle w:val="FootnoteReference"/>
        </w:rPr>
        <w:footnoteRef/>
      </w:r>
      <w:r>
        <w:t xml:space="preserve"> </w:t>
      </w:r>
      <w:r w:rsidR="008504AC" w:rsidRPr="00E21535">
        <w:rPr>
          <w:i/>
        </w:rPr>
        <w:t>See</w:t>
      </w:r>
      <w:r w:rsidR="008504AC">
        <w:t xml:space="preserve"> Transmission Availability Data System Definitions (August 1, 2014), </w:t>
      </w:r>
      <w:r w:rsidR="008504AC" w:rsidRPr="00E21535">
        <w:rPr>
          <w:i/>
        </w:rPr>
        <w:t>available at</w:t>
      </w:r>
      <w:r w:rsidR="008504AC">
        <w:t xml:space="preserve"> </w:t>
      </w:r>
      <w:r w:rsidR="002D7201" w:rsidRPr="002D7201">
        <w:t>http://www.nerc.com/pa/RAPA/tads/Documents/2015_TADS_Appendix_7.pdf</w:t>
      </w:r>
      <w:r w:rsidR="002D7201">
        <w:t>.</w:t>
      </w:r>
    </w:p>
  </w:footnote>
  <w:footnote w:id="16">
    <w:p w14:paraId="2E9ABDE0" w14:textId="77777777" w:rsidR="007F50B0" w:rsidRDefault="007F50B0">
      <w:pPr>
        <w:pStyle w:val="FootnoteText"/>
      </w:pPr>
      <w:r>
        <w:rPr>
          <w:rStyle w:val="FootnoteReference"/>
        </w:rPr>
        <w:footnoteRef/>
      </w:r>
      <w:r>
        <w:t xml:space="preserve"> </w:t>
      </w:r>
      <w:r w:rsidR="00EF7999">
        <w:rPr>
          <w:i/>
        </w:rPr>
        <w:t>See</w:t>
      </w:r>
      <w:r w:rsidR="00EF7999">
        <w:t xml:space="preserve">, </w:t>
      </w:r>
      <w:r w:rsidR="00EF7999">
        <w:rPr>
          <w:i/>
        </w:rPr>
        <w:t>e.g.</w:t>
      </w:r>
      <w:r w:rsidR="00EF7999">
        <w:t xml:space="preserve">, NERC, State of Reliability 2015, Appendix A (Statistical Analysis for Risk Issue Identification and Transmission Outage Severity Analysis) at 86 (May 2015), </w:t>
      </w:r>
      <w:r w:rsidR="00EF7999">
        <w:rPr>
          <w:i/>
        </w:rPr>
        <w:t xml:space="preserve">available at </w:t>
      </w:r>
      <w:r w:rsidR="002D7201" w:rsidRPr="002D7201">
        <w:t>http://www.nerc.com/pa/RAPA/PA/Performance%20Analysis%20DL/2015%20State%20of%20Reliability.pdf</w:t>
      </w:r>
      <w:r w:rsidR="002D7201">
        <w:t>.</w:t>
      </w:r>
    </w:p>
  </w:footnote>
  <w:footnote w:id="17">
    <w:p w14:paraId="01731558" w14:textId="77777777" w:rsidR="007F50B0" w:rsidRPr="0043303C" w:rsidRDefault="007F50B0">
      <w:pPr>
        <w:pStyle w:val="FootnoteText"/>
        <w:rPr>
          <w:i/>
        </w:rPr>
      </w:pPr>
      <w:r>
        <w:rPr>
          <w:rStyle w:val="FootnoteReference"/>
        </w:rPr>
        <w:footnoteRef/>
      </w:r>
      <w:r>
        <w:t xml:space="preserve"> </w:t>
      </w:r>
      <w:r w:rsidRPr="00D33D26">
        <w:rPr>
          <w:i/>
        </w:rPr>
        <w:t>See</w:t>
      </w:r>
      <w:r w:rsidR="002D7201">
        <w:t xml:space="preserve"> NERC TADS Home Page.</w:t>
      </w:r>
    </w:p>
  </w:footnote>
  <w:footnote w:id="18">
    <w:p w14:paraId="370671B7" w14:textId="77777777" w:rsidR="007F50B0" w:rsidRPr="00723AAA" w:rsidRDefault="007F50B0">
      <w:pPr>
        <w:pStyle w:val="FootnoteText"/>
        <w:rPr>
          <w:i/>
        </w:rPr>
      </w:pPr>
      <w:r>
        <w:rPr>
          <w:rStyle w:val="FootnoteReference"/>
        </w:rPr>
        <w:footnoteRef/>
      </w:r>
      <w:r>
        <w:t xml:space="preserve"> </w:t>
      </w:r>
      <w:r>
        <w:rPr>
          <w:i/>
        </w:rPr>
        <w:t>Id.</w:t>
      </w:r>
    </w:p>
  </w:footnote>
  <w:footnote w:id="19">
    <w:p w14:paraId="0D453B6C" w14:textId="77777777" w:rsidR="007F50B0" w:rsidRPr="00723AAA" w:rsidRDefault="007F50B0">
      <w:pPr>
        <w:pStyle w:val="FootnoteText"/>
        <w:rPr>
          <w:i/>
        </w:rPr>
      </w:pPr>
      <w:r>
        <w:rPr>
          <w:rStyle w:val="FootnoteReference"/>
        </w:rPr>
        <w:footnoteRef/>
      </w:r>
      <w:r>
        <w:t xml:space="preserve"> </w:t>
      </w:r>
      <w:r>
        <w:rPr>
          <w:i/>
        </w:rPr>
        <w:t>Id.</w:t>
      </w:r>
    </w:p>
  </w:footnote>
  <w:footnote w:id="20">
    <w:p w14:paraId="3405572E" w14:textId="77777777" w:rsidR="007F50B0" w:rsidRDefault="007F50B0" w:rsidP="00FA1EBA">
      <w:pPr>
        <w:pStyle w:val="FootnoteText"/>
      </w:pPr>
      <w:r>
        <w:rPr>
          <w:rStyle w:val="FootnoteReference"/>
        </w:rPr>
        <w:footnoteRef/>
      </w:r>
      <w:r>
        <w:t xml:space="preserve"> </w:t>
      </w:r>
      <w:r w:rsidRPr="00861390">
        <w:rPr>
          <w:i/>
        </w:rPr>
        <w:t>See</w:t>
      </w:r>
      <w:r>
        <w:t xml:space="preserve"> NERC, Generating Availability Data System Mandatory Reporting of Conventional Generation Performance Data at 2 (July 2011), </w:t>
      </w:r>
      <w:r w:rsidRPr="00723AAA">
        <w:rPr>
          <w:i/>
        </w:rPr>
        <w:t xml:space="preserve">available at </w:t>
      </w:r>
      <w:r w:rsidRPr="007D2C2D">
        <w:t>http://www.nerc.com/pa/RAPA/gads/MandatoryGADS/Revised_Final_Draft_GADSTF_Recommendation_Report.pdf</w:t>
      </w:r>
      <w:r>
        <w:t xml:space="preserve">; </w:t>
      </w:r>
      <w:r>
        <w:rPr>
          <w:i/>
        </w:rPr>
        <w:t>s</w:t>
      </w:r>
      <w:r w:rsidRPr="00D33D26">
        <w:rPr>
          <w:i/>
        </w:rPr>
        <w:t>ee</w:t>
      </w:r>
      <w:r>
        <w:t xml:space="preserve"> </w:t>
      </w:r>
      <w:r>
        <w:rPr>
          <w:i/>
        </w:rPr>
        <w:t>also</w:t>
      </w:r>
      <w:r>
        <w:t xml:space="preserve"> NERC GADS Home Page, </w:t>
      </w:r>
      <w:r>
        <w:rPr>
          <w:i/>
        </w:rPr>
        <w:t xml:space="preserve">available at </w:t>
      </w:r>
      <w:r w:rsidRPr="00723AAA">
        <w:t>http://www.nerc.com/pa/RAPA/gads/Pages/default.aspx</w:t>
      </w:r>
      <w:r>
        <w:t>.</w:t>
      </w:r>
    </w:p>
  </w:footnote>
  <w:footnote w:id="21">
    <w:p w14:paraId="4BEE5B59" w14:textId="77777777" w:rsidR="007F50B0" w:rsidRPr="00723AAA" w:rsidRDefault="007F50B0">
      <w:pPr>
        <w:pStyle w:val="FootnoteText"/>
      </w:pPr>
      <w:r>
        <w:rPr>
          <w:rStyle w:val="FootnoteReference"/>
        </w:rPr>
        <w:footnoteRef/>
      </w:r>
      <w:r>
        <w:t xml:space="preserve"> </w:t>
      </w:r>
      <w:r w:rsidRPr="00D33D26">
        <w:rPr>
          <w:i/>
        </w:rPr>
        <w:t>See</w:t>
      </w:r>
      <w:r>
        <w:t xml:space="preserve"> NERC GADS Home Page.</w:t>
      </w:r>
    </w:p>
  </w:footnote>
  <w:footnote w:id="22">
    <w:p w14:paraId="123344CB" w14:textId="77777777" w:rsidR="007F50B0" w:rsidRPr="00723AAA" w:rsidRDefault="007F50B0">
      <w:pPr>
        <w:pStyle w:val="FootnoteText"/>
      </w:pPr>
      <w:r>
        <w:rPr>
          <w:rStyle w:val="FootnoteReference"/>
        </w:rPr>
        <w:footnoteRef/>
      </w:r>
      <w:r>
        <w:t xml:space="preserve"> </w:t>
      </w:r>
      <w:r>
        <w:rPr>
          <w:i/>
        </w:rPr>
        <w:t>Id.</w:t>
      </w:r>
    </w:p>
  </w:footnote>
  <w:footnote w:id="23">
    <w:p w14:paraId="53E2E2F5" w14:textId="77777777" w:rsidR="007F50B0" w:rsidRPr="0040166C" w:rsidRDefault="007F50B0">
      <w:pPr>
        <w:pStyle w:val="FootnoteText"/>
      </w:pPr>
      <w:r>
        <w:rPr>
          <w:rStyle w:val="FootnoteReference"/>
        </w:rPr>
        <w:footnoteRef/>
      </w:r>
      <w:r>
        <w:t xml:space="preserve"> Generating Availability Data System Mandatory Reporting of Conventional Generation Performance Data at 15.</w:t>
      </w:r>
    </w:p>
  </w:footnote>
  <w:footnote w:id="24">
    <w:p w14:paraId="4229A838" w14:textId="77777777" w:rsidR="007F50B0" w:rsidRPr="0040166C" w:rsidRDefault="007F50B0" w:rsidP="00B466F3">
      <w:pPr>
        <w:pStyle w:val="FootnoteText"/>
      </w:pPr>
      <w:r>
        <w:rPr>
          <w:rStyle w:val="FootnoteReference"/>
        </w:rPr>
        <w:footnoteRef/>
      </w:r>
      <w:r>
        <w:t xml:space="preserve"> </w:t>
      </w:r>
      <w:r>
        <w:rPr>
          <w:i/>
        </w:rPr>
        <w:t>Id.</w:t>
      </w:r>
      <w:r w:rsidR="00C913D8">
        <w:rPr>
          <w:i/>
        </w:rPr>
        <w:t xml:space="preserve">, </w:t>
      </w:r>
      <w:r w:rsidR="00C913D8">
        <w:t>Appendix V (Rules of Procedure Section 1600 Justification)</w:t>
      </w:r>
      <w:r>
        <w:rPr>
          <w:i/>
        </w:rPr>
        <w:t xml:space="preserve"> </w:t>
      </w:r>
      <w:r>
        <w:t xml:space="preserve">at 35.  </w:t>
      </w:r>
    </w:p>
  </w:footnote>
  <w:footnote w:id="25">
    <w:p w14:paraId="532756AB" w14:textId="77777777" w:rsidR="00C913D8" w:rsidRPr="00C913D8" w:rsidRDefault="00C913D8">
      <w:pPr>
        <w:pStyle w:val="FootnoteText"/>
      </w:pPr>
      <w:r>
        <w:rPr>
          <w:rStyle w:val="FootnoteReference"/>
        </w:rPr>
        <w:footnoteRef/>
      </w:r>
      <w:r>
        <w:t xml:space="preserve"> </w:t>
      </w:r>
      <w:r>
        <w:rPr>
          <w:i/>
        </w:rPr>
        <w:t>Id.</w:t>
      </w:r>
    </w:p>
  </w:footnote>
  <w:footnote w:id="26">
    <w:p w14:paraId="2734AE4C" w14:textId="77777777" w:rsidR="00C913D8" w:rsidRPr="00C913D8" w:rsidRDefault="00C913D8">
      <w:pPr>
        <w:pStyle w:val="FootnoteText"/>
        <w:rPr>
          <w:i/>
        </w:rPr>
      </w:pPr>
      <w:r>
        <w:rPr>
          <w:rStyle w:val="FootnoteReference"/>
        </w:rPr>
        <w:footnoteRef/>
      </w:r>
      <w:r>
        <w:t xml:space="preserve"> </w:t>
      </w:r>
      <w:r>
        <w:rPr>
          <w:i/>
        </w:rPr>
        <w:t>Id.</w:t>
      </w:r>
    </w:p>
  </w:footnote>
  <w:footnote w:id="27">
    <w:p w14:paraId="2B0F5AB9" w14:textId="77777777" w:rsidR="00C913D8" w:rsidRPr="00C913D8" w:rsidRDefault="00C913D8">
      <w:pPr>
        <w:pStyle w:val="FootnoteText"/>
        <w:rPr>
          <w:i/>
        </w:rPr>
      </w:pPr>
      <w:r>
        <w:rPr>
          <w:rStyle w:val="FootnoteReference"/>
        </w:rPr>
        <w:footnoteRef/>
      </w:r>
      <w:r>
        <w:t xml:space="preserve"> </w:t>
      </w:r>
      <w:r>
        <w:rPr>
          <w:i/>
        </w:rPr>
        <w:t>Id.</w:t>
      </w:r>
    </w:p>
  </w:footnote>
  <w:footnote w:id="28">
    <w:p w14:paraId="07183F21" w14:textId="77777777" w:rsidR="007F50B0" w:rsidRPr="00D55C4F" w:rsidRDefault="007F50B0">
      <w:pPr>
        <w:pStyle w:val="FootnoteText"/>
      </w:pPr>
      <w:r>
        <w:rPr>
          <w:rStyle w:val="FootnoteReference"/>
        </w:rPr>
        <w:footnoteRef/>
      </w:r>
      <w:r>
        <w:t xml:space="preserve"> NERC, Generating Availability Data System Data Reporting Instructions (January1, 2015), Appendix B (Index to System/Component Cause Codes) at 1, </w:t>
      </w:r>
      <w:r>
        <w:rPr>
          <w:i/>
        </w:rPr>
        <w:t xml:space="preserve">available at </w:t>
      </w:r>
      <w:r w:rsidR="002D7201" w:rsidRPr="002D7201">
        <w:t>http://www.nerc.com/pa/RAPA/gads/DataReportingInstructions/Appendix_B1_Fossil_Steam_Unit_Cause_Codes.pdf</w:t>
      </w:r>
      <w:r w:rsidR="002D7201">
        <w:t>.</w:t>
      </w:r>
    </w:p>
  </w:footnote>
  <w:footnote w:id="29">
    <w:p w14:paraId="483A993F" w14:textId="77777777" w:rsidR="007F50B0" w:rsidRPr="00D55C4F" w:rsidRDefault="007F50B0">
      <w:pPr>
        <w:pStyle w:val="FootnoteText"/>
      </w:pPr>
      <w:r>
        <w:rPr>
          <w:rStyle w:val="FootnoteReference"/>
        </w:rPr>
        <w:footnoteRef/>
      </w:r>
      <w:r>
        <w:t xml:space="preserve"> </w:t>
      </w:r>
      <w:r>
        <w:rPr>
          <w:i/>
        </w:rPr>
        <w:t>Id.</w:t>
      </w:r>
    </w:p>
  </w:footnote>
  <w:footnote w:id="30">
    <w:p w14:paraId="0B15F1F0" w14:textId="77777777" w:rsidR="007F50B0" w:rsidRDefault="007F50B0">
      <w:pPr>
        <w:pStyle w:val="FootnoteText"/>
      </w:pPr>
      <w:r>
        <w:rPr>
          <w:rStyle w:val="FootnoteReference"/>
        </w:rPr>
        <w:footnoteRef/>
      </w:r>
      <w:r>
        <w:t xml:space="preserve"> </w:t>
      </w:r>
      <w:r w:rsidR="008504AC">
        <w:t xml:space="preserve">State of Reliability 2015, </w:t>
      </w:r>
      <w:r w:rsidR="005F3936">
        <w:t xml:space="preserve">Appendix B (Analysis of Generation Data) </w:t>
      </w:r>
      <w:r w:rsidR="008504AC">
        <w:t>at 107</w:t>
      </w:r>
      <w:r w:rsidR="00EF7999">
        <w:t>.</w:t>
      </w:r>
    </w:p>
  </w:footnote>
  <w:footnote w:id="31">
    <w:p w14:paraId="63EF34D0" w14:textId="77777777" w:rsidR="007F50B0" w:rsidRPr="0042710B" w:rsidRDefault="007F50B0">
      <w:pPr>
        <w:pStyle w:val="FootnoteText"/>
      </w:pPr>
      <w:r>
        <w:rPr>
          <w:rStyle w:val="FootnoteReference"/>
        </w:rPr>
        <w:footnoteRef/>
      </w:r>
      <w:r>
        <w:t xml:space="preserve"> </w:t>
      </w:r>
      <w:r>
        <w:rPr>
          <w:i/>
        </w:rPr>
        <w:t>See</w:t>
      </w:r>
      <w:r>
        <w:t xml:space="preserve">, </w:t>
      </w:r>
      <w:r>
        <w:rPr>
          <w:i/>
        </w:rPr>
        <w:t>e.g.</w:t>
      </w:r>
      <w:r>
        <w:t>,</w:t>
      </w:r>
      <w:r w:rsidR="008504AC">
        <w:t xml:space="preserve"> </w:t>
      </w:r>
      <w:r w:rsidR="008504AC">
        <w:rPr>
          <w:i/>
        </w:rPr>
        <w:t>id.</w:t>
      </w:r>
      <w:r>
        <w:t xml:space="preserve">, Appendix </w:t>
      </w:r>
      <w:r w:rsidR="008504AC">
        <w:t>B (Analysis of Generation Data).</w:t>
      </w:r>
    </w:p>
  </w:footnote>
  <w:footnote w:id="32">
    <w:p w14:paraId="6ACA0B57" w14:textId="0BC6787E" w:rsidR="007F50B0" w:rsidRPr="00620477" w:rsidRDefault="007F50B0" w:rsidP="00A125AB">
      <w:pPr>
        <w:spacing w:after="120"/>
        <w:ind w:firstLine="720"/>
        <w:rPr>
          <w:szCs w:val="26"/>
        </w:rPr>
      </w:pPr>
      <w:r w:rsidRPr="00BA7254">
        <w:rPr>
          <w:rStyle w:val="FootnoteReference"/>
        </w:rPr>
        <w:footnoteRef/>
      </w:r>
      <w:r w:rsidRPr="00BA7254">
        <w:rPr>
          <w:szCs w:val="26"/>
        </w:rPr>
        <w:t xml:space="preserve"> </w:t>
      </w:r>
      <w:r>
        <w:rPr>
          <w:iCs/>
          <w:szCs w:val="26"/>
        </w:rPr>
        <w:t xml:space="preserve">The Commission approved </w:t>
      </w:r>
      <w:r w:rsidRPr="00BA7254">
        <w:rPr>
          <w:szCs w:val="26"/>
        </w:rPr>
        <w:t xml:space="preserve">Reliability </w:t>
      </w:r>
      <w:r>
        <w:rPr>
          <w:iCs/>
          <w:szCs w:val="26"/>
        </w:rPr>
        <w:t>Standard PRC-004-1 (</w:t>
      </w:r>
      <w:r w:rsidRPr="00A81779">
        <w:rPr>
          <w:iCs/>
          <w:szCs w:val="26"/>
        </w:rPr>
        <w:t>Analysis and Reporting of Transmission Protection System Misoperations</w:t>
      </w:r>
      <w:r>
        <w:rPr>
          <w:iCs/>
          <w:szCs w:val="26"/>
        </w:rPr>
        <w:t>)</w:t>
      </w:r>
      <w:r w:rsidRPr="00A81779">
        <w:rPr>
          <w:iCs/>
          <w:szCs w:val="26"/>
        </w:rPr>
        <w:t xml:space="preserve"> </w:t>
      </w:r>
      <w:r>
        <w:rPr>
          <w:iCs/>
          <w:szCs w:val="26"/>
        </w:rPr>
        <w:t xml:space="preserve">in Order No. 693.  </w:t>
      </w:r>
      <w:r w:rsidRPr="007350AA">
        <w:rPr>
          <w:i/>
        </w:rPr>
        <w:t>Mandatory Reliability Standards for the Bulk-Power System</w:t>
      </w:r>
      <w:r>
        <w:t xml:space="preserve">, Order No. 693, FERC Stats. &amp; Regs. ¶ 31,242, at PP 1467-1469, </w:t>
      </w:r>
      <w:r w:rsidRPr="00914CBD">
        <w:rPr>
          <w:i/>
        </w:rPr>
        <w:t>order on reh’g</w:t>
      </w:r>
      <w:r>
        <w:t xml:space="preserve">, Order No. 693-A, 120 FERC </w:t>
      </w:r>
      <w:r w:rsidR="00E30F9B">
        <w:t xml:space="preserve">            </w:t>
      </w:r>
      <w:r>
        <w:t xml:space="preserve">¶ 61,053 (2007).  The Commission subsequently approved the following revisions and interpretations to Reliability Standard PRC-004, which was renamed </w:t>
      </w:r>
      <w:r w:rsidRPr="00A81779">
        <w:t>Analysis and Mitigation of Transmission and Generation Protection System Misoperations</w:t>
      </w:r>
      <w:r>
        <w:t xml:space="preserve">:  Reliability Standards PRC-004-1a, PRC-004-2, PRC-004-2a, PRC-004-2.1a, PRC-004-2.1(i)a, PRC-004-3, and PRC-004-4.  </w:t>
      </w:r>
      <w:r w:rsidRPr="00620477">
        <w:rPr>
          <w:i/>
        </w:rPr>
        <w:t xml:space="preserve">See </w:t>
      </w:r>
      <w:r>
        <w:rPr>
          <w:i/>
        </w:rPr>
        <w:t xml:space="preserve">North American Electric Reliability </w:t>
      </w:r>
      <w:r w:rsidRPr="009707E7">
        <w:t>Corporation</w:t>
      </w:r>
      <w:r>
        <w:t xml:space="preserve">, 136 FERC ¶ 61,208 (2011) (approving interpretation resulting in Reliability Standard PRC-004-1a and Reliability Standard PRC-004-2a); </w:t>
      </w:r>
      <w:r w:rsidRPr="004A40C7">
        <w:rPr>
          <w:i/>
        </w:rPr>
        <w:t>North</w:t>
      </w:r>
      <w:r w:rsidRPr="009707E7">
        <w:rPr>
          <w:i/>
        </w:rPr>
        <w:t xml:space="preserve"> American Electric Reliability Corp.</w:t>
      </w:r>
      <w:r>
        <w:t xml:space="preserve">, 134 FERC ¶ 61,015 (2011) (approving Reliability Standard PRC-004-2); </w:t>
      </w:r>
      <w:r w:rsidRPr="00620477">
        <w:rPr>
          <w:i/>
        </w:rPr>
        <w:t>Generator Requirements at the Transmission Interface</w:t>
      </w:r>
      <w:r>
        <w:t xml:space="preserve">, Order No. 785, 144 FERC ¶ 61,221 (2012) (approving Reliability Standard PRC-004-2.1a); </w:t>
      </w:r>
      <w:r w:rsidRPr="00620477">
        <w:rPr>
          <w:i/>
        </w:rPr>
        <w:t>North American Electric Reliability Corp.</w:t>
      </w:r>
      <w:r>
        <w:t xml:space="preserve">, 151 FERC ¶ 61,129 (2015) (approving Reliability Standard PRC-004-3); </w:t>
      </w:r>
      <w:r w:rsidR="001A6DE0">
        <w:t xml:space="preserve">      </w:t>
      </w:r>
      <w:r>
        <w:rPr>
          <w:i/>
        </w:rPr>
        <w:t>North American Electric Reliability Corporation</w:t>
      </w:r>
      <w:r>
        <w:t>, 151 FERC ¶ 61,186 (2015) (approving Reliability Standards PRC-004-2.1(i)a and PRC-004-4).</w:t>
      </w:r>
    </w:p>
  </w:footnote>
  <w:footnote w:id="33">
    <w:p w14:paraId="64220B81" w14:textId="77777777" w:rsidR="007F50B0" w:rsidRPr="00AC2A01" w:rsidRDefault="007F50B0">
      <w:pPr>
        <w:pStyle w:val="FootnoteText"/>
        <w:rPr>
          <w:i/>
        </w:rPr>
      </w:pPr>
      <w:r>
        <w:rPr>
          <w:rStyle w:val="FootnoteReference"/>
        </w:rPr>
        <w:footnoteRef/>
      </w:r>
      <w:r>
        <w:t xml:space="preserve"> </w:t>
      </w:r>
      <w:r w:rsidRPr="00AC2A01">
        <w:rPr>
          <w:i/>
        </w:rPr>
        <w:t>See</w:t>
      </w:r>
      <w:r>
        <w:t xml:space="preserve"> </w:t>
      </w:r>
      <w:r>
        <w:rPr>
          <w:i/>
        </w:rPr>
        <w:t>generally</w:t>
      </w:r>
      <w:r>
        <w:t xml:space="preserve"> </w:t>
      </w:r>
      <w:r w:rsidRPr="00AC2A01">
        <w:t>NERC</w:t>
      </w:r>
      <w:r>
        <w:t xml:space="preserve">, Request for Data or Information Protection System Misoperation Data Collection (August 14, 2014), </w:t>
      </w:r>
      <w:r>
        <w:rPr>
          <w:i/>
        </w:rPr>
        <w:t xml:space="preserve">available at </w:t>
      </w:r>
      <w:r w:rsidR="005A1093" w:rsidRPr="00A67376">
        <w:t>http://www.nerc.com/pa/RAPA/ProctectionSystemMisoperations/PRC-004-3%20Section%201600%20Data%20Request_20140729.pdf</w:t>
      </w:r>
      <w:r w:rsidR="002D7201">
        <w:t>.</w:t>
      </w:r>
      <w:r w:rsidR="00B910AC">
        <w:t xml:space="preserve">  Reliability Standard PRC-004-4 will become enforceable on July 1, 2016.</w:t>
      </w:r>
    </w:p>
  </w:footnote>
  <w:footnote w:id="34">
    <w:p w14:paraId="09203A4B" w14:textId="77777777" w:rsidR="007F50B0" w:rsidRPr="00627182" w:rsidRDefault="007F50B0">
      <w:pPr>
        <w:pStyle w:val="FootnoteText"/>
      </w:pPr>
      <w:r>
        <w:rPr>
          <w:rStyle w:val="FootnoteReference"/>
        </w:rPr>
        <w:footnoteRef/>
      </w:r>
      <w:r>
        <w:t xml:space="preserve"> </w:t>
      </w:r>
      <w:r>
        <w:rPr>
          <w:i/>
        </w:rPr>
        <w:t xml:space="preserve">Id. </w:t>
      </w:r>
      <w:r>
        <w:t>at 13-14</w:t>
      </w:r>
      <w:r>
        <w:rPr>
          <w:i/>
        </w:rPr>
        <w:t>; s</w:t>
      </w:r>
      <w:r w:rsidRPr="00627182">
        <w:rPr>
          <w:i/>
        </w:rPr>
        <w:t>ee</w:t>
      </w:r>
      <w:r>
        <w:rPr>
          <w:i/>
        </w:rPr>
        <w:t xml:space="preserve"> also</w:t>
      </w:r>
      <w:r>
        <w:t xml:space="preserve"> </w:t>
      </w:r>
      <w:r w:rsidRPr="00627182">
        <w:t>NERC</w:t>
      </w:r>
      <w:r>
        <w:t xml:space="preserve">, Protection System Misoperations Home Page, </w:t>
      </w:r>
      <w:r>
        <w:rPr>
          <w:i/>
        </w:rPr>
        <w:t xml:space="preserve">available at </w:t>
      </w:r>
      <w:r w:rsidR="002D7201" w:rsidRPr="002D7201">
        <w:t>http://www.nerc.com/pa/RAPA/ri/Pages/ProtectionSystemMisoperations.aspx</w:t>
      </w:r>
      <w:r w:rsidR="002D7201">
        <w:t>.</w:t>
      </w:r>
    </w:p>
  </w:footnote>
  <w:footnote w:id="35">
    <w:p w14:paraId="34690E56" w14:textId="77777777" w:rsidR="007F50B0" w:rsidRDefault="007F50B0">
      <w:pPr>
        <w:pStyle w:val="FootnoteText"/>
      </w:pPr>
      <w:r>
        <w:rPr>
          <w:rStyle w:val="FootnoteReference"/>
        </w:rPr>
        <w:footnoteRef/>
      </w:r>
      <w:r>
        <w:t xml:space="preserve"> </w:t>
      </w:r>
      <w:r w:rsidR="005F3936">
        <w:t>State of Reliability 2015 at 47.</w:t>
      </w:r>
    </w:p>
  </w:footnote>
  <w:footnote w:id="36">
    <w:p w14:paraId="3D57D0D5" w14:textId="77777777" w:rsidR="007F50B0" w:rsidRPr="00627182" w:rsidRDefault="007F50B0" w:rsidP="00627182">
      <w:pPr>
        <w:pStyle w:val="FootnoteText"/>
      </w:pPr>
      <w:r>
        <w:rPr>
          <w:rStyle w:val="FootnoteReference"/>
        </w:rPr>
        <w:footnoteRef/>
      </w:r>
      <w:r>
        <w:t xml:space="preserve"> </w:t>
      </w:r>
      <w:r w:rsidRPr="00AC76AD">
        <w:rPr>
          <w:i/>
        </w:rPr>
        <w:t>See</w:t>
      </w:r>
      <w:r>
        <w:t xml:space="preserve"> </w:t>
      </w:r>
      <w:r w:rsidRPr="00AC76AD">
        <w:t>Request</w:t>
      </w:r>
      <w:r>
        <w:t xml:space="preserve"> for Data or Information Protection System Misoperation Data Collection at 5.</w:t>
      </w:r>
    </w:p>
  </w:footnote>
  <w:footnote w:id="37">
    <w:p w14:paraId="6CF3622E" w14:textId="77777777" w:rsidR="007F50B0" w:rsidRDefault="007F50B0" w:rsidP="00627182">
      <w:pPr>
        <w:pStyle w:val="FootnoteText"/>
      </w:pPr>
      <w:r>
        <w:rPr>
          <w:rStyle w:val="FootnoteReference"/>
        </w:rPr>
        <w:footnoteRef/>
      </w:r>
      <w:r>
        <w:t xml:space="preserve"> </w:t>
      </w:r>
      <w:r w:rsidRPr="00C77336">
        <w:rPr>
          <w:i/>
        </w:rPr>
        <w:t>See</w:t>
      </w:r>
      <w:r>
        <w:t xml:space="preserve"> </w:t>
      </w:r>
      <w:r>
        <w:rPr>
          <w:i/>
        </w:rPr>
        <w:t xml:space="preserve">id. </w:t>
      </w:r>
      <w:r>
        <w:t>at 14.</w:t>
      </w:r>
    </w:p>
  </w:footnote>
  <w:footnote w:id="38">
    <w:p w14:paraId="500A60A4" w14:textId="77777777" w:rsidR="007F50B0" w:rsidRPr="00EA7220" w:rsidRDefault="007F50B0">
      <w:pPr>
        <w:pStyle w:val="FootnoteText"/>
        <w:rPr>
          <w:i/>
        </w:rPr>
      </w:pPr>
      <w:r>
        <w:rPr>
          <w:rStyle w:val="FootnoteReference"/>
        </w:rPr>
        <w:footnoteRef/>
      </w:r>
      <w:r>
        <w:t xml:space="preserve"> </w:t>
      </w:r>
      <w:r>
        <w:rPr>
          <w:i/>
        </w:rPr>
        <w:t>See</w:t>
      </w:r>
      <w:r>
        <w:t xml:space="preserve">, </w:t>
      </w:r>
      <w:r>
        <w:rPr>
          <w:i/>
        </w:rPr>
        <w:t>e.g.</w:t>
      </w:r>
      <w:r>
        <w:t xml:space="preserve">, </w:t>
      </w:r>
      <w:r w:rsidR="007A6AFA">
        <w:t xml:space="preserve">State of Reliability 2015 </w:t>
      </w:r>
      <w:r w:rsidR="0081379F">
        <w:t>at 45-48</w:t>
      </w:r>
      <w:r w:rsidR="007A6AFA">
        <w:t>.</w:t>
      </w:r>
    </w:p>
  </w:footnote>
  <w:footnote w:id="39">
    <w:p w14:paraId="392A5D01" w14:textId="77777777" w:rsidR="007F50B0" w:rsidRDefault="007F50B0">
      <w:pPr>
        <w:pStyle w:val="FootnoteText"/>
      </w:pPr>
      <w:r>
        <w:rPr>
          <w:rStyle w:val="FootnoteReference"/>
        </w:rPr>
        <w:footnoteRef/>
      </w:r>
      <w:r>
        <w:t xml:space="preserve"> 16 U.S.C. 824o(b) (“The Commission shall have jurisdiction, within the United States, over the ERO certified by the Commission … any regional entities, and all users, owners and operators of the bulk-power-system … for purposes of approving reliability standards established under this section and enforcing compliance with this section.”).</w:t>
      </w:r>
    </w:p>
  </w:footnote>
  <w:footnote w:id="40">
    <w:p w14:paraId="293EB8A5" w14:textId="77777777" w:rsidR="007F50B0" w:rsidRDefault="007F50B0" w:rsidP="00C42CB3">
      <w:pPr>
        <w:pStyle w:val="FootnoteText"/>
      </w:pPr>
      <w:r>
        <w:rPr>
          <w:rStyle w:val="FootnoteReference"/>
        </w:rPr>
        <w:footnoteRef/>
      </w:r>
      <w:r>
        <w:t xml:space="preserve"> </w:t>
      </w:r>
      <w:r w:rsidRPr="00AB6A55">
        <w:rPr>
          <w:i/>
        </w:rPr>
        <w:t>See</w:t>
      </w:r>
      <w:r>
        <w:t xml:space="preserve"> </w:t>
      </w:r>
      <w:r w:rsidRPr="006754DE">
        <w:rPr>
          <w:i/>
        </w:rPr>
        <w:t>North American Electric Reliability Corp.</w:t>
      </w:r>
      <w:r w:rsidRPr="006754DE">
        <w:t>, 143 FERC ¶ 61,052, at P 41 (2013)</w:t>
      </w:r>
      <w:r>
        <w:t xml:space="preserve"> (addressing statutory funding for NERC’s periodic assessments and monitoring of the Bulk-Power System); </w:t>
      </w:r>
      <w:r>
        <w:rPr>
          <w:i/>
        </w:rPr>
        <w:t>s</w:t>
      </w:r>
      <w:r w:rsidRPr="00AB6A55">
        <w:rPr>
          <w:i/>
        </w:rPr>
        <w:t>ee also</w:t>
      </w:r>
      <w:r>
        <w:t xml:space="preserve"> </w:t>
      </w:r>
      <w:r w:rsidRPr="006754DE">
        <w:rPr>
          <w:i/>
        </w:rPr>
        <w:t>North American Electric Reliability Corp.</w:t>
      </w:r>
      <w:r w:rsidRPr="006754DE">
        <w:t xml:space="preserve">, 149 FERC ¶ 61,028, at P 14 (2014) (approving FPA section 215 funding for </w:t>
      </w:r>
      <w:r>
        <w:t>NERC Reliability Assessment and Performance Analysis program (RAPA)</w:t>
      </w:r>
      <w:r w:rsidR="00F56FF2">
        <w:t xml:space="preserve"> </w:t>
      </w:r>
      <w:r w:rsidRPr="006754DE">
        <w:t>as part of NERC</w:t>
      </w:r>
      <w:r w:rsidR="00FF7FDA">
        <w:t>’s</w:t>
      </w:r>
      <w:r w:rsidRPr="006754DE">
        <w:t xml:space="preserve"> 2015 business plan and budget filing)</w:t>
      </w:r>
      <w:r>
        <w:t xml:space="preserve">; </w:t>
      </w:r>
      <w:r>
        <w:rPr>
          <w:i/>
        </w:rPr>
        <w:t xml:space="preserve">see also </w:t>
      </w:r>
      <w:r>
        <w:t>NERC, Petition for Approval of 2015 Business Plan and Budget, Docket No. RR14-6-000, at 50-51 (filed Aug. 22, 2014) (identifying TADS, GADS and protection system misoperations as major activities of NERC’s RAPA program)</w:t>
      </w:r>
      <w:r w:rsidRPr="006754DE">
        <w:t>.</w:t>
      </w:r>
    </w:p>
  </w:footnote>
  <w:footnote w:id="41">
    <w:p w14:paraId="663E5E24" w14:textId="77777777" w:rsidR="007F50B0" w:rsidRPr="001E1ECC" w:rsidRDefault="007F50B0">
      <w:pPr>
        <w:pStyle w:val="FootnoteText"/>
        <w:rPr>
          <w:szCs w:val="26"/>
        </w:rPr>
      </w:pPr>
      <w:r>
        <w:rPr>
          <w:rStyle w:val="FootnoteReference"/>
        </w:rPr>
        <w:footnoteRef/>
      </w:r>
      <w:r>
        <w:t xml:space="preserve"> </w:t>
      </w:r>
      <w:r w:rsidRPr="00BA7254">
        <w:rPr>
          <w:szCs w:val="26"/>
        </w:rPr>
        <w:t>Order No. 672, FERC Stats. &amp; Regs. ¶ 31,204 at P 114</w:t>
      </w:r>
      <w:r>
        <w:rPr>
          <w:szCs w:val="26"/>
        </w:rPr>
        <w:t xml:space="preserve">.  </w:t>
      </w:r>
      <w:r>
        <w:rPr>
          <w:i/>
        </w:rPr>
        <w:t>Cf.</w:t>
      </w:r>
      <w:r w:rsidRPr="001E1ECC">
        <w:rPr>
          <w:i/>
        </w:rPr>
        <w:t xml:space="preserve"> North </w:t>
      </w:r>
      <w:r w:rsidRPr="001E1ECC">
        <w:rPr>
          <w:i/>
          <w:szCs w:val="26"/>
        </w:rPr>
        <w:t>American Electric Reliability Corp</w:t>
      </w:r>
      <w:r w:rsidRPr="001E1ECC">
        <w:rPr>
          <w:szCs w:val="26"/>
        </w:rPr>
        <w:t xml:space="preserve">., 120 FERC </w:t>
      </w:r>
      <w:r>
        <w:t xml:space="preserve">¶ </w:t>
      </w:r>
      <w:r w:rsidRPr="001E1ECC">
        <w:rPr>
          <w:szCs w:val="26"/>
        </w:rPr>
        <w:t>61</w:t>
      </w:r>
      <w:r>
        <w:rPr>
          <w:szCs w:val="26"/>
        </w:rPr>
        <w:t>,</w:t>
      </w:r>
      <w:r w:rsidRPr="001E1ECC">
        <w:rPr>
          <w:szCs w:val="26"/>
        </w:rPr>
        <w:t>239</w:t>
      </w:r>
      <w:r>
        <w:rPr>
          <w:szCs w:val="26"/>
        </w:rPr>
        <w:t xml:space="preserve">, at </w:t>
      </w:r>
      <w:r w:rsidRPr="001E1ECC">
        <w:rPr>
          <w:szCs w:val="26"/>
        </w:rPr>
        <w:t>P 12</w:t>
      </w:r>
      <w:r>
        <w:rPr>
          <w:szCs w:val="26"/>
        </w:rPr>
        <w:t xml:space="preserve"> (2007) (directing NERC to provide the Commission with advance copies of “NERC alerts” </w:t>
      </w:r>
      <w:r w:rsidR="00E43EAD" w:rsidRPr="00B910AC">
        <w:rPr>
          <w:szCs w:val="26"/>
        </w:rPr>
        <w:t>on an informational basis</w:t>
      </w:r>
      <w:r w:rsidR="00E43EAD">
        <w:rPr>
          <w:szCs w:val="26"/>
        </w:rPr>
        <w:t xml:space="preserve"> </w:t>
      </w:r>
      <w:r>
        <w:rPr>
          <w:szCs w:val="26"/>
        </w:rPr>
        <w:t>to “allow the Commission to monitor for potential inconsistencies with the Reliability Standards and may inform the Commission where modifications to existing Reliability Standards or new Reliability Standards may be necessary”).</w:t>
      </w:r>
    </w:p>
  </w:footnote>
  <w:footnote w:id="42">
    <w:p w14:paraId="01AE80DF" w14:textId="77777777" w:rsidR="007F50B0" w:rsidRDefault="007F50B0">
      <w:pPr>
        <w:pStyle w:val="FootnoteText"/>
      </w:pPr>
      <w:r>
        <w:rPr>
          <w:rStyle w:val="FootnoteReference"/>
        </w:rPr>
        <w:footnoteRef/>
      </w:r>
      <w:r>
        <w:t xml:space="preserve"> </w:t>
      </w:r>
      <w:r w:rsidR="00EC3F88">
        <w:rPr>
          <w:szCs w:val="26"/>
        </w:rPr>
        <w:t>18 CFR</w:t>
      </w:r>
      <w:r w:rsidR="005B5911">
        <w:rPr>
          <w:szCs w:val="26"/>
        </w:rPr>
        <w:t xml:space="preserve"> </w:t>
      </w:r>
      <w:r>
        <w:rPr>
          <w:szCs w:val="26"/>
        </w:rPr>
        <w:t>39.2(d)</w:t>
      </w:r>
      <w:r w:rsidRPr="00BA7254">
        <w:rPr>
          <w:szCs w:val="26"/>
        </w:rPr>
        <w:t>.</w:t>
      </w:r>
    </w:p>
  </w:footnote>
  <w:footnote w:id="43">
    <w:p w14:paraId="1E928CCF" w14:textId="77777777" w:rsidR="007F50B0" w:rsidRDefault="007F50B0">
      <w:pPr>
        <w:pStyle w:val="FootnoteText"/>
      </w:pPr>
      <w:r>
        <w:rPr>
          <w:rStyle w:val="FootnoteReference"/>
        </w:rPr>
        <w:footnoteRef/>
      </w:r>
      <w:r>
        <w:t xml:space="preserve"> </w:t>
      </w:r>
      <w:r>
        <w:rPr>
          <w:lang w:val="es-ES"/>
        </w:rPr>
        <w:t>16 U.S.C. 824o(d)(5).</w:t>
      </w:r>
    </w:p>
  </w:footnote>
  <w:footnote w:id="44">
    <w:p w14:paraId="7730919A" w14:textId="77777777" w:rsidR="007F50B0" w:rsidRDefault="007F50B0">
      <w:pPr>
        <w:pStyle w:val="FootnoteText"/>
      </w:pPr>
      <w:r>
        <w:rPr>
          <w:rStyle w:val="FootnoteReference"/>
        </w:rPr>
        <w:footnoteRef/>
      </w:r>
      <w:r>
        <w:t xml:space="preserve"> Summary of Phase I TADS Data Collection at 1.</w:t>
      </w:r>
    </w:p>
  </w:footnote>
  <w:footnote w:id="45">
    <w:p w14:paraId="1D4EBED4" w14:textId="77777777" w:rsidR="007F50B0" w:rsidRDefault="007F50B0">
      <w:pPr>
        <w:pStyle w:val="FootnoteText"/>
      </w:pPr>
      <w:r>
        <w:rPr>
          <w:rStyle w:val="FootnoteReference"/>
        </w:rPr>
        <w:footnoteRef/>
      </w:r>
      <w:r>
        <w:t xml:space="preserve"> Generating Availability Data System Mandatory Reporting of Conventional Generation Performance Data at 1.</w:t>
      </w:r>
    </w:p>
  </w:footnote>
  <w:footnote w:id="46">
    <w:p w14:paraId="70FB847C" w14:textId="77777777" w:rsidR="007F50B0" w:rsidRDefault="007F50B0">
      <w:pPr>
        <w:pStyle w:val="FootnoteText"/>
      </w:pPr>
      <w:r>
        <w:rPr>
          <w:rStyle w:val="FootnoteReference"/>
        </w:rPr>
        <w:footnoteRef/>
      </w:r>
      <w:r>
        <w:t xml:space="preserve"> Request for Data or Information Protection System Misoperation Data Collection at 5.  </w:t>
      </w:r>
    </w:p>
  </w:footnote>
  <w:footnote w:id="47">
    <w:p w14:paraId="7C166F19" w14:textId="77777777" w:rsidR="007F50B0" w:rsidRPr="003331E2" w:rsidRDefault="007F50B0">
      <w:pPr>
        <w:pStyle w:val="FootnoteText"/>
      </w:pPr>
      <w:r>
        <w:rPr>
          <w:rStyle w:val="FootnoteReference"/>
        </w:rPr>
        <w:footnoteRef/>
      </w:r>
      <w:r>
        <w:t xml:space="preserve"> </w:t>
      </w:r>
      <w:r>
        <w:rPr>
          <w:i/>
        </w:rPr>
        <w:t>Id.</w:t>
      </w:r>
      <w:r>
        <w:t xml:space="preserve"> at 4.</w:t>
      </w:r>
    </w:p>
  </w:footnote>
  <w:footnote w:id="48">
    <w:p w14:paraId="2CF3EA0F" w14:textId="77777777" w:rsidR="00C84878" w:rsidRDefault="00C84878">
      <w:pPr>
        <w:pStyle w:val="FootnoteText"/>
      </w:pPr>
      <w:r>
        <w:rPr>
          <w:rStyle w:val="FootnoteReference"/>
        </w:rPr>
        <w:footnoteRef/>
      </w:r>
      <w:r>
        <w:t xml:space="preserve"> 18 CFR 39.11.</w:t>
      </w:r>
    </w:p>
  </w:footnote>
  <w:footnote w:id="49">
    <w:p w14:paraId="24671F30" w14:textId="64D7338D" w:rsidR="002C25DE" w:rsidRDefault="002C25DE">
      <w:pPr>
        <w:pStyle w:val="FootnoteText"/>
      </w:pPr>
      <w:r>
        <w:rPr>
          <w:rStyle w:val="FootnoteReference"/>
        </w:rPr>
        <w:footnoteRef/>
      </w:r>
      <w:r>
        <w:t xml:space="preserve"> </w:t>
      </w:r>
      <w:r w:rsidR="00A510B5" w:rsidRPr="00420344">
        <w:rPr>
          <w:i/>
        </w:rPr>
        <w:t xml:space="preserve">See, e.g., </w:t>
      </w:r>
      <w:r w:rsidR="00A510B5" w:rsidRPr="00420344">
        <w:t xml:space="preserve">5 U.S.C. 552; 18 CFR 388.112, </w:t>
      </w:r>
      <w:r w:rsidR="00546B12" w:rsidRPr="00420344">
        <w:t xml:space="preserve">18 CFR </w:t>
      </w:r>
      <w:r w:rsidR="00A510B5" w:rsidRPr="00420344">
        <w:t>388.113</w:t>
      </w:r>
      <w:r w:rsidR="00546B12">
        <w:t>.</w:t>
      </w:r>
      <w:r w:rsidR="00A510B5" w:rsidRPr="00420344">
        <w:t xml:space="preserve"> </w:t>
      </w:r>
    </w:p>
  </w:footnote>
  <w:footnote w:id="50">
    <w:p w14:paraId="232430D5" w14:textId="77777777" w:rsidR="0018730E" w:rsidRDefault="0018730E" w:rsidP="0018730E">
      <w:pPr>
        <w:pStyle w:val="FootnoteText"/>
      </w:pPr>
      <w:r>
        <w:rPr>
          <w:rStyle w:val="FootnoteReference"/>
        </w:rPr>
        <w:footnoteRef/>
      </w:r>
      <w:r>
        <w:t xml:space="preserve"> 44 U.S.C. 3501-3520.</w:t>
      </w:r>
    </w:p>
  </w:footnote>
  <w:footnote w:id="51">
    <w:p w14:paraId="3E721E4A" w14:textId="77777777" w:rsidR="007F50B0" w:rsidRDefault="007F50B0">
      <w:pPr>
        <w:pStyle w:val="FootnoteText"/>
      </w:pPr>
      <w:r>
        <w:rPr>
          <w:rStyle w:val="FootnoteReference"/>
        </w:rPr>
        <w:footnoteRef/>
      </w:r>
      <w:r>
        <w:t xml:space="preserve"> </w:t>
      </w:r>
      <w:r w:rsidRPr="00652EDA">
        <w:rPr>
          <w:i/>
        </w:rPr>
        <w:t>See</w:t>
      </w:r>
      <w:r w:rsidR="0018730E">
        <w:t xml:space="preserve"> 5 CFR 1320</w:t>
      </w:r>
      <w:r>
        <w:t>.</w:t>
      </w:r>
    </w:p>
  </w:footnote>
  <w:footnote w:id="52">
    <w:p w14:paraId="3B00DE97" w14:textId="7603758B" w:rsidR="007F50B0" w:rsidRDefault="007F50B0" w:rsidP="007D2C2D">
      <w:pPr>
        <w:pStyle w:val="FootnoteText"/>
      </w:pPr>
      <w:r>
        <w:rPr>
          <w:rStyle w:val="FootnoteReference"/>
        </w:rPr>
        <w:footnoteRef/>
      </w:r>
      <w:r>
        <w:t xml:space="preserve"> </w:t>
      </w:r>
      <w:r w:rsidRPr="001C4054">
        <w:rPr>
          <w:i/>
        </w:rPr>
        <w:t>Regulations Implementing the National Environmental Policy Act</w:t>
      </w:r>
      <w:r w:rsidR="001C4054">
        <w:rPr>
          <w:i/>
        </w:rPr>
        <w:t xml:space="preserve"> of 1969</w:t>
      </w:r>
      <w:r>
        <w:t xml:space="preserve">, </w:t>
      </w:r>
      <w:r w:rsidR="001C4054">
        <w:t xml:space="preserve">Order No. 486, </w:t>
      </w:r>
      <w:r>
        <w:t>52 FR 47897 (Dec. 17, 1987), FERC Stats. &amp; Regs.</w:t>
      </w:r>
      <w:r w:rsidR="001C4054">
        <w:t>,</w:t>
      </w:r>
      <w:r>
        <w:t xml:space="preserve"> </w:t>
      </w:r>
      <w:r w:rsidR="001C4054" w:rsidRPr="001C4054">
        <w:t xml:space="preserve">Regulations </w:t>
      </w:r>
      <w:r>
        <w:t>Preambles 1986-1990 ¶ 30,783 (1987).</w:t>
      </w:r>
    </w:p>
  </w:footnote>
  <w:footnote w:id="53">
    <w:p w14:paraId="2B681B4D" w14:textId="77777777" w:rsidR="007F50B0" w:rsidRDefault="007F50B0">
      <w:pPr>
        <w:pStyle w:val="FootnoteText"/>
      </w:pPr>
      <w:r>
        <w:rPr>
          <w:rStyle w:val="FootnoteReference"/>
        </w:rPr>
        <w:footnoteRef/>
      </w:r>
      <w:r>
        <w:t xml:space="preserve"> 18 CFR 380.4(a)(2)(ii).</w:t>
      </w:r>
    </w:p>
  </w:footnote>
  <w:footnote w:id="54">
    <w:p w14:paraId="53EC27A5" w14:textId="77777777" w:rsidR="007F50B0" w:rsidRDefault="007F50B0" w:rsidP="007D2C2D">
      <w:pPr>
        <w:pStyle w:val="FootnoteText"/>
      </w:pPr>
      <w:r>
        <w:rPr>
          <w:rStyle w:val="FootnoteReference"/>
        </w:rPr>
        <w:footnoteRef/>
      </w:r>
      <w:r>
        <w:t xml:space="preserve"> 5 U.S.C. 601-612.</w:t>
      </w:r>
    </w:p>
  </w:footnote>
  <w:footnote w:id="55">
    <w:p w14:paraId="25B9DA81" w14:textId="77777777" w:rsidR="007F50B0" w:rsidRDefault="007F50B0">
      <w:pPr>
        <w:pStyle w:val="FootnoteText"/>
      </w:pPr>
      <w:r>
        <w:rPr>
          <w:rStyle w:val="FootnoteReference"/>
        </w:rPr>
        <w:footnoteRef/>
      </w:r>
      <w:r>
        <w:t xml:space="preserve"> SBA Final Rule on “Small Business Size Standards: Utilities,” 78 FR 77,343 (Dec. 23,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607A" w14:textId="77777777" w:rsidR="007F50B0" w:rsidRDefault="006A057C" w:rsidP="007D2C2D">
    <w:pPr>
      <w:pStyle w:val="Header"/>
      <w:framePr w:wrap="around" w:vAnchor="text" w:hAnchor="margin" w:xAlign="right" w:y="1"/>
      <w:rPr>
        <w:rStyle w:val="PageNumber"/>
      </w:rPr>
    </w:pPr>
    <w:r>
      <w:rPr>
        <w:rStyle w:val="PageNumber"/>
      </w:rPr>
      <w:fldChar w:fldCharType="begin"/>
    </w:r>
    <w:r w:rsidR="007F50B0">
      <w:rPr>
        <w:rStyle w:val="PageNumber"/>
      </w:rPr>
      <w:instrText xml:space="preserve">PAGE  </w:instrText>
    </w:r>
    <w:r>
      <w:rPr>
        <w:rStyle w:val="PageNumber"/>
      </w:rPr>
      <w:fldChar w:fldCharType="separate"/>
    </w:r>
    <w:r w:rsidR="000A5BF8">
      <w:rPr>
        <w:rStyle w:val="PageNumber"/>
        <w:noProof/>
      </w:rPr>
      <w:t>- 9 -</w:t>
    </w:r>
    <w:r>
      <w:rPr>
        <w:rStyle w:val="PageNumber"/>
      </w:rPr>
      <w:fldChar w:fldCharType="end"/>
    </w:r>
  </w:p>
  <w:p w14:paraId="37820B74" w14:textId="77777777" w:rsidR="007F50B0" w:rsidRDefault="007F50B0" w:rsidP="007D2C2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CE82" w14:textId="77777777" w:rsidR="007F50B0" w:rsidRDefault="007F50B0" w:rsidP="00E859EA">
    <w:pPr>
      <w:pStyle w:val="Header"/>
      <w:spacing w:after="240"/>
    </w:pPr>
    <w:r>
      <w:t>Docket No.  RM15-</w:t>
    </w:r>
    <w:r w:rsidR="00F56FF2">
      <w:t>25</w:t>
    </w:r>
    <w:r>
      <w:t>-000</w:t>
    </w:r>
    <w:r>
      <w:tab/>
    </w:r>
    <w:r w:rsidR="00247C96">
      <w:fldChar w:fldCharType="begin"/>
    </w:r>
    <w:r w:rsidR="00247C96">
      <w:instrText xml:space="preserve"> PAGE  \* MERGEFORMAT </w:instrText>
    </w:r>
    <w:r w:rsidR="00247C96">
      <w:fldChar w:fldCharType="separate"/>
    </w:r>
    <w:r w:rsidR="00482005">
      <w:rPr>
        <w:noProof/>
      </w:rPr>
      <w:t>- 2 -</w:t>
    </w:r>
    <w:r w:rsidR="00247C96">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EE2EE" w14:textId="77777777" w:rsidR="007F50B0" w:rsidRDefault="007F50B0" w:rsidP="00E859EA">
    <w:pPr>
      <w:pStyle w:val="Header"/>
      <w:spacing w:after="240"/>
    </w:pPr>
    <w:r>
      <w:t>Docket No.  RM15-</w:t>
    </w:r>
    <w:r w:rsidR="00B910AC">
      <w:t>25</w:t>
    </w:r>
    <w:r>
      <w:t>-000</w:t>
    </w:r>
    <w:r>
      <w:tab/>
    </w:r>
    <w:r w:rsidR="00247C96">
      <w:fldChar w:fldCharType="begin"/>
    </w:r>
    <w:r w:rsidR="00247C96">
      <w:instrText xml:space="preserve"> PAGE  \* MERGEFORMAT </w:instrText>
    </w:r>
    <w:r w:rsidR="00247C96">
      <w:fldChar w:fldCharType="separate"/>
    </w:r>
    <w:r w:rsidR="00CF0F24">
      <w:rPr>
        <w:noProof/>
      </w:rPr>
      <w:t>- 23 -</w:t>
    </w:r>
    <w:r w:rsidR="00247C9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8119C1"/>
    <w:multiLevelType w:val="hybridMultilevel"/>
    <w:tmpl w:val="675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F3E03"/>
    <w:multiLevelType w:val="hybridMultilevel"/>
    <w:tmpl w:val="74B4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202536"/>
    <w:multiLevelType w:val="multilevel"/>
    <w:tmpl w:val="98929F3C"/>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7"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065C1E"/>
    <w:multiLevelType w:val="multilevel"/>
    <w:tmpl w:val="8558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07C03"/>
    <w:multiLevelType w:val="hybridMultilevel"/>
    <w:tmpl w:val="615EE17A"/>
    <w:lvl w:ilvl="0" w:tplc="677C79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18"/>
  </w:num>
  <w:num w:numId="4">
    <w:abstractNumId w:val="12"/>
  </w:num>
  <w:num w:numId="5">
    <w:abstractNumId w:val="22"/>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0"/>
  </w:num>
  <w:num w:numId="27">
    <w:abstractNumId w:val="11"/>
  </w:num>
  <w:num w:numId="28">
    <w:abstractNumId w:val="16"/>
  </w:num>
  <w:num w:numId="29">
    <w:abstractNumId w:val="21"/>
  </w:num>
  <w:num w:numId="30">
    <w:abstractNumId w:val="19"/>
  </w:num>
  <w:num w:numId="31">
    <w:abstractNumId w:val="14"/>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EA"/>
    <w:rsid w:val="00000CC9"/>
    <w:rsid w:val="0000144B"/>
    <w:rsid w:val="00003B3F"/>
    <w:rsid w:val="00004784"/>
    <w:rsid w:val="000060FC"/>
    <w:rsid w:val="00006E79"/>
    <w:rsid w:val="00007013"/>
    <w:rsid w:val="0001110E"/>
    <w:rsid w:val="0001111E"/>
    <w:rsid w:val="0001459A"/>
    <w:rsid w:val="00014800"/>
    <w:rsid w:val="00015BA4"/>
    <w:rsid w:val="00017BC9"/>
    <w:rsid w:val="00020927"/>
    <w:rsid w:val="0002233B"/>
    <w:rsid w:val="0002592D"/>
    <w:rsid w:val="00026A9A"/>
    <w:rsid w:val="000306AF"/>
    <w:rsid w:val="000327F6"/>
    <w:rsid w:val="00033A3C"/>
    <w:rsid w:val="00034A2E"/>
    <w:rsid w:val="000354F3"/>
    <w:rsid w:val="00036021"/>
    <w:rsid w:val="00042BCC"/>
    <w:rsid w:val="00044589"/>
    <w:rsid w:val="00047BAA"/>
    <w:rsid w:val="0005406C"/>
    <w:rsid w:val="00055B09"/>
    <w:rsid w:val="00060601"/>
    <w:rsid w:val="00060AEC"/>
    <w:rsid w:val="00061F05"/>
    <w:rsid w:val="000630E3"/>
    <w:rsid w:val="00063363"/>
    <w:rsid w:val="00064D88"/>
    <w:rsid w:val="0006768F"/>
    <w:rsid w:val="000937BB"/>
    <w:rsid w:val="00094059"/>
    <w:rsid w:val="000964CE"/>
    <w:rsid w:val="000973D0"/>
    <w:rsid w:val="000A2B2B"/>
    <w:rsid w:val="000A500F"/>
    <w:rsid w:val="000A5BF8"/>
    <w:rsid w:val="000B118F"/>
    <w:rsid w:val="000B32DC"/>
    <w:rsid w:val="000B380A"/>
    <w:rsid w:val="000B3933"/>
    <w:rsid w:val="000B3D7A"/>
    <w:rsid w:val="000B49E5"/>
    <w:rsid w:val="000B5FB2"/>
    <w:rsid w:val="000C6FA3"/>
    <w:rsid w:val="000D0CB7"/>
    <w:rsid w:val="000D1476"/>
    <w:rsid w:val="000D376F"/>
    <w:rsid w:val="000D6533"/>
    <w:rsid w:val="000D709F"/>
    <w:rsid w:val="000E019F"/>
    <w:rsid w:val="000E0D77"/>
    <w:rsid w:val="000E314D"/>
    <w:rsid w:val="000E5DA1"/>
    <w:rsid w:val="000E6E42"/>
    <w:rsid w:val="000E733C"/>
    <w:rsid w:val="000E7A63"/>
    <w:rsid w:val="000F1A65"/>
    <w:rsid w:val="000F40DE"/>
    <w:rsid w:val="000F4BED"/>
    <w:rsid w:val="000F56FF"/>
    <w:rsid w:val="000F6CD5"/>
    <w:rsid w:val="00101744"/>
    <w:rsid w:val="001062C4"/>
    <w:rsid w:val="00107D5A"/>
    <w:rsid w:val="0011005F"/>
    <w:rsid w:val="001128A5"/>
    <w:rsid w:val="0011549F"/>
    <w:rsid w:val="0011560A"/>
    <w:rsid w:val="00122EF4"/>
    <w:rsid w:val="00126458"/>
    <w:rsid w:val="00127743"/>
    <w:rsid w:val="001278B8"/>
    <w:rsid w:val="00127B80"/>
    <w:rsid w:val="00130484"/>
    <w:rsid w:val="0013256A"/>
    <w:rsid w:val="0013289A"/>
    <w:rsid w:val="00135038"/>
    <w:rsid w:val="00135393"/>
    <w:rsid w:val="0014077F"/>
    <w:rsid w:val="0014135E"/>
    <w:rsid w:val="00144766"/>
    <w:rsid w:val="00144BBF"/>
    <w:rsid w:val="001450B0"/>
    <w:rsid w:val="00145405"/>
    <w:rsid w:val="00145BF3"/>
    <w:rsid w:val="001460E5"/>
    <w:rsid w:val="00146A35"/>
    <w:rsid w:val="00147246"/>
    <w:rsid w:val="00151879"/>
    <w:rsid w:val="001541A7"/>
    <w:rsid w:val="0015507A"/>
    <w:rsid w:val="001619AF"/>
    <w:rsid w:val="00162576"/>
    <w:rsid w:val="00166FD5"/>
    <w:rsid w:val="001701EA"/>
    <w:rsid w:val="001722E3"/>
    <w:rsid w:val="00173678"/>
    <w:rsid w:val="00174CCB"/>
    <w:rsid w:val="00176FE3"/>
    <w:rsid w:val="00177390"/>
    <w:rsid w:val="00183FD6"/>
    <w:rsid w:val="001853F5"/>
    <w:rsid w:val="0018730E"/>
    <w:rsid w:val="00196908"/>
    <w:rsid w:val="001A12DE"/>
    <w:rsid w:val="001A3237"/>
    <w:rsid w:val="001A4C5E"/>
    <w:rsid w:val="001A509E"/>
    <w:rsid w:val="001A5AAF"/>
    <w:rsid w:val="001A5D72"/>
    <w:rsid w:val="001A68C8"/>
    <w:rsid w:val="001A6DE0"/>
    <w:rsid w:val="001B4D9E"/>
    <w:rsid w:val="001B7CEF"/>
    <w:rsid w:val="001C139A"/>
    <w:rsid w:val="001C17A3"/>
    <w:rsid w:val="001C2ADC"/>
    <w:rsid w:val="001C3DD2"/>
    <w:rsid w:val="001C4054"/>
    <w:rsid w:val="001C575A"/>
    <w:rsid w:val="001C58FB"/>
    <w:rsid w:val="001C5E36"/>
    <w:rsid w:val="001D0604"/>
    <w:rsid w:val="001D089C"/>
    <w:rsid w:val="001D3568"/>
    <w:rsid w:val="001D5492"/>
    <w:rsid w:val="001D5A57"/>
    <w:rsid w:val="001D6113"/>
    <w:rsid w:val="001D75C1"/>
    <w:rsid w:val="001D7F9B"/>
    <w:rsid w:val="001E1B1A"/>
    <w:rsid w:val="001E1ECC"/>
    <w:rsid w:val="001E21EE"/>
    <w:rsid w:val="001E2D62"/>
    <w:rsid w:val="001E4A71"/>
    <w:rsid w:val="001F2EEF"/>
    <w:rsid w:val="001F3934"/>
    <w:rsid w:val="001F7FC3"/>
    <w:rsid w:val="00200B82"/>
    <w:rsid w:val="00202422"/>
    <w:rsid w:val="00204512"/>
    <w:rsid w:val="00206D7D"/>
    <w:rsid w:val="002106AD"/>
    <w:rsid w:val="00214C9E"/>
    <w:rsid w:val="00215AC5"/>
    <w:rsid w:val="00215DA9"/>
    <w:rsid w:val="002246EF"/>
    <w:rsid w:val="0023489A"/>
    <w:rsid w:val="002375ED"/>
    <w:rsid w:val="00240066"/>
    <w:rsid w:val="002426C3"/>
    <w:rsid w:val="00243A8E"/>
    <w:rsid w:val="00247C96"/>
    <w:rsid w:val="00250529"/>
    <w:rsid w:val="00252420"/>
    <w:rsid w:val="00252506"/>
    <w:rsid w:val="0025400C"/>
    <w:rsid w:val="002553AC"/>
    <w:rsid w:val="00255663"/>
    <w:rsid w:val="00255F66"/>
    <w:rsid w:val="0025783E"/>
    <w:rsid w:val="00257AC8"/>
    <w:rsid w:val="002602D1"/>
    <w:rsid w:val="002630F8"/>
    <w:rsid w:val="0026424F"/>
    <w:rsid w:val="00264564"/>
    <w:rsid w:val="00266808"/>
    <w:rsid w:val="00271D22"/>
    <w:rsid w:val="002747B3"/>
    <w:rsid w:val="002756B8"/>
    <w:rsid w:val="00277D1A"/>
    <w:rsid w:val="00280451"/>
    <w:rsid w:val="0028132C"/>
    <w:rsid w:val="00281B3C"/>
    <w:rsid w:val="00282B1D"/>
    <w:rsid w:val="00282D15"/>
    <w:rsid w:val="002852E3"/>
    <w:rsid w:val="0028697E"/>
    <w:rsid w:val="002875D8"/>
    <w:rsid w:val="00291716"/>
    <w:rsid w:val="00293B9E"/>
    <w:rsid w:val="002954D5"/>
    <w:rsid w:val="002959F3"/>
    <w:rsid w:val="002A4D1C"/>
    <w:rsid w:val="002A5520"/>
    <w:rsid w:val="002A7DDE"/>
    <w:rsid w:val="002B0506"/>
    <w:rsid w:val="002B0C7A"/>
    <w:rsid w:val="002B2CB5"/>
    <w:rsid w:val="002B6530"/>
    <w:rsid w:val="002B67AA"/>
    <w:rsid w:val="002B7D27"/>
    <w:rsid w:val="002C0805"/>
    <w:rsid w:val="002C1C5D"/>
    <w:rsid w:val="002C25DE"/>
    <w:rsid w:val="002C3700"/>
    <w:rsid w:val="002C4EF3"/>
    <w:rsid w:val="002C566E"/>
    <w:rsid w:val="002C591A"/>
    <w:rsid w:val="002D1319"/>
    <w:rsid w:val="002D1519"/>
    <w:rsid w:val="002D1796"/>
    <w:rsid w:val="002D52AE"/>
    <w:rsid w:val="002D7201"/>
    <w:rsid w:val="002D7D08"/>
    <w:rsid w:val="002E1E26"/>
    <w:rsid w:val="002E4290"/>
    <w:rsid w:val="002E5BE8"/>
    <w:rsid w:val="002E60C0"/>
    <w:rsid w:val="002E6453"/>
    <w:rsid w:val="002E6C23"/>
    <w:rsid w:val="002E7495"/>
    <w:rsid w:val="002E770C"/>
    <w:rsid w:val="002F1DB1"/>
    <w:rsid w:val="002F2473"/>
    <w:rsid w:val="002F2C6F"/>
    <w:rsid w:val="002F59AF"/>
    <w:rsid w:val="00301152"/>
    <w:rsid w:val="0030173B"/>
    <w:rsid w:val="003023C7"/>
    <w:rsid w:val="00302619"/>
    <w:rsid w:val="00303ECA"/>
    <w:rsid w:val="003119B7"/>
    <w:rsid w:val="00311B1B"/>
    <w:rsid w:val="00312916"/>
    <w:rsid w:val="00320784"/>
    <w:rsid w:val="00325FA6"/>
    <w:rsid w:val="003303B3"/>
    <w:rsid w:val="0033292D"/>
    <w:rsid w:val="003331E2"/>
    <w:rsid w:val="003350BC"/>
    <w:rsid w:val="00335367"/>
    <w:rsid w:val="0033571D"/>
    <w:rsid w:val="00346FF5"/>
    <w:rsid w:val="00350924"/>
    <w:rsid w:val="00352C04"/>
    <w:rsid w:val="0035446A"/>
    <w:rsid w:val="00354CA4"/>
    <w:rsid w:val="00356443"/>
    <w:rsid w:val="00356DE0"/>
    <w:rsid w:val="00357C23"/>
    <w:rsid w:val="00360760"/>
    <w:rsid w:val="003616F2"/>
    <w:rsid w:val="003618AE"/>
    <w:rsid w:val="0036387E"/>
    <w:rsid w:val="00366869"/>
    <w:rsid w:val="003714D3"/>
    <w:rsid w:val="003734FE"/>
    <w:rsid w:val="00373A3B"/>
    <w:rsid w:val="00380088"/>
    <w:rsid w:val="00381F65"/>
    <w:rsid w:val="00382564"/>
    <w:rsid w:val="00384322"/>
    <w:rsid w:val="00385471"/>
    <w:rsid w:val="00385528"/>
    <w:rsid w:val="0038651A"/>
    <w:rsid w:val="00386BAB"/>
    <w:rsid w:val="00387B47"/>
    <w:rsid w:val="00387FB2"/>
    <w:rsid w:val="00390331"/>
    <w:rsid w:val="003927B6"/>
    <w:rsid w:val="00395734"/>
    <w:rsid w:val="00395D1F"/>
    <w:rsid w:val="00395E13"/>
    <w:rsid w:val="003A16CB"/>
    <w:rsid w:val="003A1859"/>
    <w:rsid w:val="003A1A81"/>
    <w:rsid w:val="003A21F0"/>
    <w:rsid w:val="003A3A1A"/>
    <w:rsid w:val="003A72F2"/>
    <w:rsid w:val="003A7663"/>
    <w:rsid w:val="003B0157"/>
    <w:rsid w:val="003B0BF6"/>
    <w:rsid w:val="003B3252"/>
    <w:rsid w:val="003B624D"/>
    <w:rsid w:val="003B708B"/>
    <w:rsid w:val="003C2973"/>
    <w:rsid w:val="003C31A8"/>
    <w:rsid w:val="003C31E0"/>
    <w:rsid w:val="003C42EF"/>
    <w:rsid w:val="003C4F54"/>
    <w:rsid w:val="003C59E6"/>
    <w:rsid w:val="003D3C82"/>
    <w:rsid w:val="003D3EF2"/>
    <w:rsid w:val="003E001B"/>
    <w:rsid w:val="003E28D1"/>
    <w:rsid w:val="003E2C1B"/>
    <w:rsid w:val="003E36DD"/>
    <w:rsid w:val="003E5C8D"/>
    <w:rsid w:val="003F011D"/>
    <w:rsid w:val="003F0247"/>
    <w:rsid w:val="003F0525"/>
    <w:rsid w:val="003F590E"/>
    <w:rsid w:val="003F6EDE"/>
    <w:rsid w:val="00400F28"/>
    <w:rsid w:val="0040166C"/>
    <w:rsid w:val="0040233E"/>
    <w:rsid w:val="00404B42"/>
    <w:rsid w:val="0040533B"/>
    <w:rsid w:val="00410457"/>
    <w:rsid w:val="00417620"/>
    <w:rsid w:val="00420344"/>
    <w:rsid w:val="004210A2"/>
    <w:rsid w:val="00423354"/>
    <w:rsid w:val="0042559D"/>
    <w:rsid w:val="00426D49"/>
    <w:rsid w:val="0042710B"/>
    <w:rsid w:val="00432127"/>
    <w:rsid w:val="0043303C"/>
    <w:rsid w:val="0043382D"/>
    <w:rsid w:val="0043427F"/>
    <w:rsid w:val="00435317"/>
    <w:rsid w:val="00435F5E"/>
    <w:rsid w:val="00443B68"/>
    <w:rsid w:val="004441D5"/>
    <w:rsid w:val="00444FC9"/>
    <w:rsid w:val="004456FB"/>
    <w:rsid w:val="004457FF"/>
    <w:rsid w:val="00447165"/>
    <w:rsid w:val="004504FE"/>
    <w:rsid w:val="00450972"/>
    <w:rsid w:val="00453AA9"/>
    <w:rsid w:val="0045406D"/>
    <w:rsid w:val="004561CC"/>
    <w:rsid w:val="00456DF6"/>
    <w:rsid w:val="00461B52"/>
    <w:rsid w:val="0046225D"/>
    <w:rsid w:val="004675D3"/>
    <w:rsid w:val="00472AED"/>
    <w:rsid w:val="00472C0E"/>
    <w:rsid w:val="004767FA"/>
    <w:rsid w:val="00476A40"/>
    <w:rsid w:val="00476E2C"/>
    <w:rsid w:val="00477DE5"/>
    <w:rsid w:val="0048062F"/>
    <w:rsid w:val="00481A19"/>
    <w:rsid w:val="00481C81"/>
    <w:rsid w:val="00482005"/>
    <w:rsid w:val="004849C6"/>
    <w:rsid w:val="00493467"/>
    <w:rsid w:val="0049353F"/>
    <w:rsid w:val="004943A1"/>
    <w:rsid w:val="00494BF5"/>
    <w:rsid w:val="00495B6D"/>
    <w:rsid w:val="00495D49"/>
    <w:rsid w:val="004A0C80"/>
    <w:rsid w:val="004A2E84"/>
    <w:rsid w:val="004A40C7"/>
    <w:rsid w:val="004B4F19"/>
    <w:rsid w:val="004B5B9D"/>
    <w:rsid w:val="004B60B1"/>
    <w:rsid w:val="004B6908"/>
    <w:rsid w:val="004C5DA2"/>
    <w:rsid w:val="004C7B95"/>
    <w:rsid w:val="004D0548"/>
    <w:rsid w:val="004D52E2"/>
    <w:rsid w:val="004D543A"/>
    <w:rsid w:val="004D723B"/>
    <w:rsid w:val="004E021C"/>
    <w:rsid w:val="004E0FFD"/>
    <w:rsid w:val="004E1EEC"/>
    <w:rsid w:val="004E50F6"/>
    <w:rsid w:val="004E600C"/>
    <w:rsid w:val="004F0FB4"/>
    <w:rsid w:val="004F3359"/>
    <w:rsid w:val="00500594"/>
    <w:rsid w:val="00502A03"/>
    <w:rsid w:val="00502B40"/>
    <w:rsid w:val="00510866"/>
    <w:rsid w:val="00510B69"/>
    <w:rsid w:val="005120DC"/>
    <w:rsid w:val="00512F51"/>
    <w:rsid w:val="0052383E"/>
    <w:rsid w:val="00525641"/>
    <w:rsid w:val="00530096"/>
    <w:rsid w:val="00531C65"/>
    <w:rsid w:val="005334B1"/>
    <w:rsid w:val="0053381C"/>
    <w:rsid w:val="00537319"/>
    <w:rsid w:val="0053745E"/>
    <w:rsid w:val="00540649"/>
    <w:rsid w:val="00542F37"/>
    <w:rsid w:val="00546996"/>
    <w:rsid w:val="00546B12"/>
    <w:rsid w:val="0055424A"/>
    <w:rsid w:val="00554A45"/>
    <w:rsid w:val="00555578"/>
    <w:rsid w:val="00556EBF"/>
    <w:rsid w:val="0056269C"/>
    <w:rsid w:val="005662D9"/>
    <w:rsid w:val="00567458"/>
    <w:rsid w:val="00570366"/>
    <w:rsid w:val="00570E0E"/>
    <w:rsid w:val="00572737"/>
    <w:rsid w:val="00574971"/>
    <w:rsid w:val="0057509C"/>
    <w:rsid w:val="00575AE2"/>
    <w:rsid w:val="00576F39"/>
    <w:rsid w:val="00576F77"/>
    <w:rsid w:val="00577AED"/>
    <w:rsid w:val="00580845"/>
    <w:rsid w:val="0058294E"/>
    <w:rsid w:val="00585DED"/>
    <w:rsid w:val="00587397"/>
    <w:rsid w:val="00590288"/>
    <w:rsid w:val="00591DA2"/>
    <w:rsid w:val="005935FB"/>
    <w:rsid w:val="00597BE5"/>
    <w:rsid w:val="005A0516"/>
    <w:rsid w:val="005A0791"/>
    <w:rsid w:val="005A1093"/>
    <w:rsid w:val="005A1771"/>
    <w:rsid w:val="005A2D11"/>
    <w:rsid w:val="005A2DAF"/>
    <w:rsid w:val="005A3527"/>
    <w:rsid w:val="005A4BB1"/>
    <w:rsid w:val="005A77EE"/>
    <w:rsid w:val="005B19E1"/>
    <w:rsid w:val="005B5911"/>
    <w:rsid w:val="005B7E3F"/>
    <w:rsid w:val="005C403F"/>
    <w:rsid w:val="005C4D56"/>
    <w:rsid w:val="005C5EC8"/>
    <w:rsid w:val="005C6149"/>
    <w:rsid w:val="005C7358"/>
    <w:rsid w:val="005D36C6"/>
    <w:rsid w:val="005D52CE"/>
    <w:rsid w:val="005D7159"/>
    <w:rsid w:val="005E0B8C"/>
    <w:rsid w:val="005E1AA5"/>
    <w:rsid w:val="005E408C"/>
    <w:rsid w:val="005E77AD"/>
    <w:rsid w:val="005F037C"/>
    <w:rsid w:val="005F0F5A"/>
    <w:rsid w:val="005F25F1"/>
    <w:rsid w:val="005F25F7"/>
    <w:rsid w:val="005F29EC"/>
    <w:rsid w:val="005F3936"/>
    <w:rsid w:val="005F6418"/>
    <w:rsid w:val="00604FE9"/>
    <w:rsid w:val="00605E2F"/>
    <w:rsid w:val="0060755E"/>
    <w:rsid w:val="00610202"/>
    <w:rsid w:val="0061075E"/>
    <w:rsid w:val="00614B9A"/>
    <w:rsid w:val="00617427"/>
    <w:rsid w:val="00617BB9"/>
    <w:rsid w:val="00620477"/>
    <w:rsid w:val="006251CC"/>
    <w:rsid w:val="00625F71"/>
    <w:rsid w:val="00627182"/>
    <w:rsid w:val="0063130E"/>
    <w:rsid w:val="006330EA"/>
    <w:rsid w:val="006350FB"/>
    <w:rsid w:val="00636C6F"/>
    <w:rsid w:val="00640844"/>
    <w:rsid w:val="00641534"/>
    <w:rsid w:val="006514EC"/>
    <w:rsid w:val="006519B0"/>
    <w:rsid w:val="00652EDA"/>
    <w:rsid w:val="00656F9C"/>
    <w:rsid w:val="006575F9"/>
    <w:rsid w:val="006630B7"/>
    <w:rsid w:val="0066511C"/>
    <w:rsid w:val="00665B1A"/>
    <w:rsid w:val="00666626"/>
    <w:rsid w:val="006667AE"/>
    <w:rsid w:val="00676722"/>
    <w:rsid w:val="00676EFA"/>
    <w:rsid w:val="00677583"/>
    <w:rsid w:val="00680B5A"/>
    <w:rsid w:val="006837CA"/>
    <w:rsid w:val="0068394F"/>
    <w:rsid w:val="00686DC3"/>
    <w:rsid w:val="006925A1"/>
    <w:rsid w:val="00692769"/>
    <w:rsid w:val="00693007"/>
    <w:rsid w:val="006960C2"/>
    <w:rsid w:val="006A0444"/>
    <w:rsid w:val="006A057C"/>
    <w:rsid w:val="006A0F83"/>
    <w:rsid w:val="006A479E"/>
    <w:rsid w:val="006A57D4"/>
    <w:rsid w:val="006B0030"/>
    <w:rsid w:val="006B19A6"/>
    <w:rsid w:val="006B5A1C"/>
    <w:rsid w:val="006B7168"/>
    <w:rsid w:val="006C1303"/>
    <w:rsid w:val="006C1639"/>
    <w:rsid w:val="006C3221"/>
    <w:rsid w:val="006C6E28"/>
    <w:rsid w:val="006D758D"/>
    <w:rsid w:val="006E031B"/>
    <w:rsid w:val="006E0A65"/>
    <w:rsid w:val="006E1532"/>
    <w:rsid w:val="006E1C49"/>
    <w:rsid w:val="006E28A5"/>
    <w:rsid w:val="006E4657"/>
    <w:rsid w:val="006E5AF2"/>
    <w:rsid w:val="006E6192"/>
    <w:rsid w:val="006F18D5"/>
    <w:rsid w:val="006F3629"/>
    <w:rsid w:val="006F3994"/>
    <w:rsid w:val="006F62EE"/>
    <w:rsid w:val="00705AD5"/>
    <w:rsid w:val="00706F67"/>
    <w:rsid w:val="0070707C"/>
    <w:rsid w:val="007079D7"/>
    <w:rsid w:val="00707F34"/>
    <w:rsid w:val="00712AF9"/>
    <w:rsid w:val="0071798F"/>
    <w:rsid w:val="007232DD"/>
    <w:rsid w:val="00723333"/>
    <w:rsid w:val="00723A08"/>
    <w:rsid w:val="00723AAA"/>
    <w:rsid w:val="00723EAD"/>
    <w:rsid w:val="007251C1"/>
    <w:rsid w:val="00726AB4"/>
    <w:rsid w:val="007270B7"/>
    <w:rsid w:val="00730373"/>
    <w:rsid w:val="00731A9B"/>
    <w:rsid w:val="00734A04"/>
    <w:rsid w:val="007350AA"/>
    <w:rsid w:val="007351B9"/>
    <w:rsid w:val="007422B0"/>
    <w:rsid w:val="00744876"/>
    <w:rsid w:val="00745DCF"/>
    <w:rsid w:val="00750123"/>
    <w:rsid w:val="00751675"/>
    <w:rsid w:val="007540F3"/>
    <w:rsid w:val="00755061"/>
    <w:rsid w:val="007571B8"/>
    <w:rsid w:val="007605A6"/>
    <w:rsid w:val="007612C7"/>
    <w:rsid w:val="00761496"/>
    <w:rsid w:val="00763AB9"/>
    <w:rsid w:val="00765527"/>
    <w:rsid w:val="00765D80"/>
    <w:rsid w:val="00766734"/>
    <w:rsid w:val="00766D7E"/>
    <w:rsid w:val="00766EED"/>
    <w:rsid w:val="007672A3"/>
    <w:rsid w:val="00767DDD"/>
    <w:rsid w:val="0077071E"/>
    <w:rsid w:val="00775174"/>
    <w:rsid w:val="00777A8A"/>
    <w:rsid w:val="00780B6B"/>
    <w:rsid w:val="00784577"/>
    <w:rsid w:val="007902D3"/>
    <w:rsid w:val="007974D5"/>
    <w:rsid w:val="00797B72"/>
    <w:rsid w:val="007A1743"/>
    <w:rsid w:val="007A241D"/>
    <w:rsid w:val="007A684A"/>
    <w:rsid w:val="007A6AFA"/>
    <w:rsid w:val="007B0411"/>
    <w:rsid w:val="007B06D8"/>
    <w:rsid w:val="007B1D95"/>
    <w:rsid w:val="007B224A"/>
    <w:rsid w:val="007B3D9E"/>
    <w:rsid w:val="007B684F"/>
    <w:rsid w:val="007B6858"/>
    <w:rsid w:val="007C07A4"/>
    <w:rsid w:val="007C4689"/>
    <w:rsid w:val="007C7542"/>
    <w:rsid w:val="007D0129"/>
    <w:rsid w:val="007D1031"/>
    <w:rsid w:val="007D11DA"/>
    <w:rsid w:val="007D177F"/>
    <w:rsid w:val="007D2C2D"/>
    <w:rsid w:val="007D4408"/>
    <w:rsid w:val="007D5651"/>
    <w:rsid w:val="007D5813"/>
    <w:rsid w:val="007D7692"/>
    <w:rsid w:val="007E1F86"/>
    <w:rsid w:val="007E26D4"/>
    <w:rsid w:val="007E4499"/>
    <w:rsid w:val="007E5582"/>
    <w:rsid w:val="007E6EC4"/>
    <w:rsid w:val="007E784B"/>
    <w:rsid w:val="007F026A"/>
    <w:rsid w:val="007F50B0"/>
    <w:rsid w:val="007F5B13"/>
    <w:rsid w:val="00800DA5"/>
    <w:rsid w:val="0080177E"/>
    <w:rsid w:val="0080457E"/>
    <w:rsid w:val="008061D2"/>
    <w:rsid w:val="00811DCD"/>
    <w:rsid w:val="00812C4D"/>
    <w:rsid w:val="0081379F"/>
    <w:rsid w:val="00814337"/>
    <w:rsid w:val="008161C6"/>
    <w:rsid w:val="00817EE2"/>
    <w:rsid w:val="00820CF2"/>
    <w:rsid w:val="008218E9"/>
    <w:rsid w:val="00822F55"/>
    <w:rsid w:val="00823B3F"/>
    <w:rsid w:val="008251BE"/>
    <w:rsid w:val="0082741E"/>
    <w:rsid w:val="00827F8F"/>
    <w:rsid w:val="00832487"/>
    <w:rsid w:val="0083383A"/>
    <w:rsid w:val="00833CA7"/>
    <w:rsid w:val="00834557"/>
    <w:rsid w:val="00834CCC"/>
    <w:rsid w:val="008414A3"/>
    <w:rsid w:val="00841F97"/>
    <w:rsid w:val="008437B4"/>
    <w:rsid w:val="00844606"/>
    <w:rsid w:val="008504AC"/>
    <w:rsid w:val="00852557"/>
    <w:rsid w:val="00857315"/>
    <w:rsid w:val="00861ED1"/>
    <w:rsid w:val="00862A00"/>
    <w:rsid w:val="00864064"/>
    <w:rsid w:val="008716BA"/>
    <w:rsid w:val="00871C34"/>
    <w:rsid w:val="00872517"/>
    <w:rsid w:val="0087529D"/>
    <w:rsid w:val="00876A75"/>
    <w:rsid w:val="008776B4"/>
    <w:rsid w:val="008803E8"/>
    <w:rsid w:val="008823F6"/>
    <w:rsid w:val="00882F9A"/>
    <w:rsid w:val="008852CB"/>
    <w:rsid w:val="00885696"/>
    <w:rsid w:val="008863C8"/>
    <w:rsid w:val="0088645D"/>
    <w:rsid w:val="008869A8"/>
    <w:rsid w:val="00891DD5"/>
    <w:rsid w:val="00893545"/>
    <w:rsid w:val="00895DEE"/>
    <w:rsid w:val="00896950"/>
    <w:rsid w:val="008A2BA0"/>
    <w:rsid w:val="008A3608"/>
    <w:rsid w:val="008A6D34"/>
    <w:rsid w:val="008A6F07"/>
    <w:rsid w:val="008A7EBF"/>
    <w:rsid w:val="008C0831"/>
    <w:rsid w:val="008C127E"/>
    <w:rsid w:val="008C50C2"/>
    <w:rsid w:val="008D6DF8"/>
    <w:rsid w:val="008D6E09"/>
    <w:rsid w:val="008E0047"/>
    <w:rsid w:val="008F0280"/>
    <w:rsid w:val="008F23C3"/>
    <w:rsid w:val="008F3326"/>
    <w:rsid w:val="008F35CE"/>
    <w:rsid w:val="008F7061"/>
    <w:rsid w:val="00901B84"/>
    <w:rsid w:val="00902318"/>
    <w:rsid w:val="00902800"/>
    <w:rsid w:val="009043B3"/>
    <w:rsid w:val="009052C9"/>
    <w:rsid w:val="00906095"/>
    <w:rsid w:val="00907891"/>
    <w:rsid w:val="00911681"/>
    <w:rsid w:val="0091237B"/>
    <w:rsid w:val="00914CBD"/>
    <w:rsid w:val="00916335"/>
    <w:rsid w:val="00916F9D"/>
    <w:rsid w:val="00920916"/>
    <w:rsid w:val="0092158A"/>
    <w:rsid w:val="00924C59"/>
    <w:rsid w:val="00926267"/>
    <w:rsid w:val="009322F4"/>
    <w:rsid w:val="009354C2"/>
    <w:rsid w:val="009357A8"/>
    <w:rsid w:val="00937303"/>
    <w:rsid w:val="00937667"/>
    <w:rsid w:val="00943E79"/>
    <w:rsid w:val="00944A60"/>
    <w:rsid w:val="009450DA"/>
    <w:rsid w:val="009461C7"/>
    <w:rsid w:val="009503C6"/>
    <w:rsid w:val="009545B4"/>
    <w:rsid w:val="00955701"/>
    <w:rsid w:val="009558F3"/>
    <w:rsid w:val="00960E4E"/>
    <w:rsid w:val="00961780"/>
    <w:rsid w:val="00963ABF"/>
    <w:rsid w:val="009707E7"/>
    <w:rsid w:val="00972AAC"/>
    <w:rsid w:val="0097498F"/>
    <w:rsid w:val="009766EB"/>
    <w:rsid w:val="009770AA"/>
    <w:rsid w:val="00986DCC"/>
    <w:rsid w:val="009963AE"/>
    <w:rsid w:val="00997F5D"/>
    <w:rsid w:val="009A1C9E"/>
    <w:rsid w:val="009A2444"/>
    <w:rsid w:val="009A2AE8"/>
    <w:rsid w:val="009A37C2"/>
    <w:rsid w:val="009A7C54"/>
    <w:rsid w:val="009B0E7F"/>
    <w:rsid w:val="009B421D"/>
    <w:rsid w:val="009B7AE7"/>
    <w:rsid w:val="009B7D12"/>
    <w:rsid w:val="009C1EC8"/>
    <w:rsid w:val="009C34B8"/>
    <w:rsid w:val="009C4F10"/>
    <w:rsid w:val="009C52B0"/>
    <w:rsid w:val="009D789D"/>
    <w:rsid w:val="009E0976"/>
    <w:rsid w:val="009E3279"/>
    <w:rsid w:val="009E3597"/>
    <w:rsid w:val="009E617D"/>
    <w:rsid w:val="009E74EC"/>
    <w:rsid w:val="009F4454"/>
    <w:rsid w:val="009F64CC"/>
    <w:rsid w:val="009F6F90"/>
    <w:rsid w:val="009F7845"/>
    <w:rsid w:val="009F7D49"/>
    <w:rsid w:val="00A007D5"/>
    <w:rsid w:val="00A0291F"/>
    <w:rsid w:val="00A02ACA"/>
    <w:rsid w:val="00A050F9"/>
    <w:rsid w:val="00A05180"/>
    <w:rsid w:val="00A1021A"/>
    <w:rsid w:val="00A10A27"/>
    <w:rsid w:val="00A125AB"/>
    <w:rsid w:val="00A152AE"/>
    <w:rsid w:val="00A20913"/>
    <w:rsid w:val="00A236C8"/>
    <w:rsid w:val="00A2517A"/>
    <w:rsid w:val="00A26FB2"/>
    <w:rsid w:val="00A270C3"/>
    <w:rsid w:val="00A27804"/>
    <w:rsid w:val="00A30B24"/>
    <w:rsid w:val="00A30BCA"/>
    <w:rsid w:val="00A30DA2"/>
    <w:rsid w:val="00A30DAD"/>
    <w:rsid w:val="00A31D97"/>
    <w:rsid w:val="00A32891"/>
    <w:rsid w:val="00A32FB9"/>
    <w:rsid w:val="00A34988"/>
    <w:rsid w:val="00A34B9A"/>
    <w:rsid w:val="00A36E88"/>
    <w:rsid w:val="00A40C40"/>
    <w:rsid w:val="00A44F37"/>
    <w:rsid w:val="00A45077"/>
    <w:rsid w:val="00A457B9"/>
    <w:rsid w:val="00A509AD"/>
    <w:rsid w:val="00A510B5"/>
    <w:rsid w:val="00A51AA5"/>
    <w:rsid w:val="00A54FE6"/>
    <w:rsid w:val="00A5652D"/>
    <w:rsid w:val="00A60B91"/>
    <w:rsid w:val="00A64EF9"/>
    <w:rsid w:val="00A67376"/>
    <w:rsid w:val="00A67E7C"/>
    <w:rsid w:val="00A70913"/>
    <w:rsid w:val="00A717E0"/>
    <w:rsid w:val="00A722CB"/>
    <w:rsid w:val="00A742B0"/>
    <w:rsid w:val="00A7447E"/>
    <w:rsid w:val="00A75A54"/>
    <w:rsid w:val="00A81779"/>
    <w:rsid w:val="00A85234"/>
    <w:rsid w:val="00A878C3"/>
    <w:rsid w:val="00A92ED9"/>
    <w:rsid w:val="00A94540"/>
    <w:rsid w:val="00A948F1"/>
    <w:rsid w:val="00A94C8B"/>
    <w:rsid w:val="00A96723"/>
    <w:rsid w:val="00AA26B7"/>
    <w:rsid w:val="00AA3BE4"/>
    <w:rsid w:val="00AA7390"/>
    <w:rsid w:val="00AB16BD"/>
    <w:rsid w:val="00AB1A40"/>
    <w:rsid w:val="00AB2BD5"/>
    <w:rsid w:val="00AB4491"/>
    <w:rsid w:val="00AB53F7"/>
    <w:rsid w:val="00AB60D7"/>
    <w:rsid w:val="00AB6A55"/>
    <w:rsid w:val="00AC060A"/>
    <w:rsid w:val="00AC1654"/>
    <w:rsid w:val="00AC2A01"/>
    <w:rsid w:val="00AC2F11"/>
    <w:rsid w:val="00AC4D29"/>
    <w:rsid w:val="00AC76AD"/>
    <w:rsid w:val="00AD2FFD"/>
    <w:rsid w:val="00AD5047"/>
    <w:rsid w:val="00AD5A03"/>
    <w:rsid w:val="00AD75AA"/>
    <w:rsid w:val="00AE12C7"/>
    <w:rsid w:val="00AE217F"/>
    <w:rsid w:val="00AE24F7"/>
    <w:rsid w:val="00AE2AF2"/>
    <w:rsid w:val="00AE457D"/>
    <w:rsid w:val="00AE55C0"/>
    <w:rsid w:val="00AE5EDA"/>
    <w:rsid w:val="00AE617C"/>
    <w:rsid w:val="00AE71AC"/>
    <w:rsid w:val="00AF0A6E"/>
    <w:rsid w:val="00AF1D9D"/>
    <w:rsid w:val="00AF4082"/>
    <w:rsid w:val="00AF59E1"/>
    <w:rsid w:val="00AF6DFA"/>
    <w:rsid w:val="00B00791"/>
    <w:rsid w:val="00B06834"/>
    <w:rsid w:val="00B06C12"/>
    <w:rsid w:val="00B070B7"/>
    <w:rsid w:val="00B072C8"/>
    <w:rsid w:val="00B118F2"/>
    <w:rsid w:val="00B119FA"/>
    <w:rsid w:val="00B13713"/>
    <w:rsid w:val="00B13E21"/>
    <w:rsid w:val="00B1691F"/>
    <w:rsid w:val="00B16BCF"/>
    <w:rsid w:val="00B21523"/>
    <w:rsid w:val="00B22A30"/>
    <w:rsid w:val="00B2403C"/>
    <w:rsid w:val="00B2426C"/>
    <w:rsid w:val="00B30196"/>
    <w:rsid w:val="00B3544A"/>
    <w:rsid w:val="00B37C27"/>
    <w:rsid w:val="00B40B88"/>
    <w:rsid w:val="00B42BD8"/>
    <w:rsid w:val="00B44677"/>
    <w:rsid w:val="00B466F3"/>
    <w:rsid w:val="00B46D7E"/>
    <w:rsid w:val="00B47977"/>
    <w:rsid w:val="00B55973"/>
    <w:rsid w:val="00B61DED"/>
    <w:rsid w:val="00B63B3F"/>
    <w:rsid w:val="00B63C36"/>
    <w:rsid w:val="00B64288"/>
    <w:rsid w:val="00B64AAC"/>
    <w:rsid w:val="00B65B55"/>
    <w:rsid w:val="00B70C77"/>
    <w:rsid w:val="00B74A22"/>
    <w:rsid w:val="00B75ED5"/>
    <w:rsid w:val="00B762A9"/>
    <w:rsid w:val="00B763F1"/>
    <w:rsid w:val="00B77873"/>
    <w:rsid w:val="00B802A1"/>
    <w:rsid w:val="00B84CED"/>
    <w:rsid w:val="00B85861"/>
    <w:rsid w:val="00B86965"/>
    <w:rsid w:val="00B910AC"/>
    <w:rsid w:val="00B923EE"/>
    <w:rsid w:val="00BA0FE6"/>
    <w:rsid w:val="00BA1434"/>
    <w:rsid w:val="00BA23E3"/>
    <w:rsid w:val="00BA6703"/>
    <w:rsid w:val="00BB272B"/>
    <w:rsid w:val="00BB4910"/>
    <w:rsid w:val="00BB5AB5"/>
    <w:rsid w:val="00BB7AC9"/>
    <w:rsid w:val="00BC02B9"/>
    <w:rsid w:val="00BC176B"/>
    <w:rsid w:val="00BC2B67"/>
    <w:rsid w:val="00BC57B3"/>
    <w:rsid w:val="00BD1457"/>
    <w:rsid w:val="00BD2B87"/>
    <w:rsid w:val="00BD33D5"/>
    <w:rsid w:val="00BD38C9"/>
    <w:rsid w:val="00BD3ED8"/>
    <w:rsid w:val="00BD6329"/>
    <w:rsid w:val="00BD64F5"/>
    <w:rsid w:val="00BE0FDE"/>
    <w:rsid w:val="00BE140B"/>
    <w:rsid w:val="00BE5080"/>
    <w:rsid w:val="00BF2DF8"/>
    <w:rsid w:val="00BF4F90"/>
    <w:rsid w:val="00C0003C"/>
    <w:rsid w:val="00C014F6"/>
    <w:rsid w:val="00C01DA2"/>
    <w:rsid w:val="00C03015"/>
    <w:rsid w:val="00C04438"/>
    <w:rsid w:val="00C04BFE"/>
    <w:rsid w:val="00C06C1B"/>
    <w:rsid w:val="00C079BD"/>
    <w:rsid w:val="00C07E8D"/>
    <w:rsid w:val="00C07F15"/>
    <w:rsid w:val="00C11B80"/>
    <w:rsid w:val="00C13098"/>
    <w:rsid w:val="00C15836"/>
    <w:rsid w:val="00C16A15"/>
    <w:rsid w:val="00C16CFA"/>
    <w:rsid w:val="00C20D04"/>
    <w:rsid w:val="00C21D9F"/>
    <w:rsid w:val="00C22E39"/>
    <w:rsid w:val="00C23226"/>
    <w:rsid w:val="00C2391F"/>
    <w:rsid w:val="00C2537B"/>
    <w:rsid w:val="00C315B9"/>
    <w:rsid w:val="00C31BFE"/>
    <w:rsid w:val="00C325B1"/>
    <w:rsid w:val="00C34176"/>
    <w:rsid w:val="00C342B3"/>
    <w:rsid w:val="00C34DAD"/>
    <w:rsid w:val="00C35CF5"/>
    <w:rsid w:val="00C35F04"/>
    <w:rsid w:val="00C360CF"/>
    <w:rsid w:val="00C367F9"/>
    <w:rsid w:val="00C4261F"/>
    <w:rsid w:val="00C42CB3"/>
    <w:rsid w:val="00C44AC6"/>
    <w:rsid w:val="00C45720"/>
    <w:rsid w:val="00C51681"/>
    <w:rsid w:val="00C5256F"/>
    <w:rsid w:val="00C54098"/>
    <w:rsid w:val="00C574CB"/>
    <w:rsid w:val="00C608E1"/>
    <w:rsid w:val="00C64A81"/>
    <w:rsid w:val="00C658BA"/>
    <w:rsid w:val="00C673F9"/>
    <w:rsid w:val="00C67E23"/>
    <w:rsid w:val="00C72A7C"/>
    <w:rsid w:val="00C7399D"/>
    <w:rsid w:val="00C7695A"/>
    <w:rsid w:val="00C7728C"/>
    <w:rsid w:val="00C802C1"/>
    <w:rsid w:val="00C8181A"/>
    <w:rsid w:val="00C822C2"/>
    <w:rsid w:val="00C84878"/>
    <w:rsid w:val="00C86407"/>
    <w:rsid w:val="00C913D8"/>
    <w:rsid w:val="00C9149E"/>
    <w:rsid w:val="00C948F4"/>
    <w:rsid w:val="00C95242"/>
    <w:rsid w:val="00C966FA"/>
    <w:rsid w:val="00C96AD2"/>
    <w:rsid w:val="00CA199C"/>
    <w:rsid w:val="00CA1BD8"/>
    <w:rsid w:val="00CA25A9"/>
    <w:rsid w:val="00CA4DFC"/>
    <w:rsid w:val="00CB1209"/>
    <w:rsid w:val="00CB3BBD"/>
    <w:rsid w:val="00CB7B52"/>
    <w:rsid w:val="00CC2BB7"/>
    <w:rsid w:val="00CC2E14"/>
    <w:rsid w:val="00CD24EE"/>
    <w:rsid w:val="00CD2859"/>
    <w:rsid w:val="00CD3221"/>
    <w:rsid w:val="00CD3B0E"/>
    <w:rsid w:val="00CD5047"/>
    <w:rsid w:val="00CD5A56"/>
    <w:rsid w:val="00CE0BFD"/>
    <w:rsid w:val="00CE4DE3"/>
    <w:rsid w:val="00CE5A75"/>
    <w:rsid w:val="00CF0F24"/>
    <w:rsid w:val="00CF15D4"/>
    <w:rsid w:val="00CF59F1"/>
    <w:rsid w:val="00CF5FDD"/>
    <w:rsid w:val="00D00F19"/>
    <w:rsid w:val="00D00F99"/>
    <w:rsid w:val="00D026CF"/>
    <w:rsid w:val="00D030A0"/>
    <w:rsid w:val="00D05C12"/>
    <w:rsid w:val="00D1062D"/>
    <w:rsid w:val="00D13958"/>
    <w:rsid w:val="00D15898"/>
    <w:rsid w:val="00D169AE"/>
    <w:rsid w:val="00D17C3F"/>
    <w:rsid w:val="00D20818"/>
    <w:rsid w:val="00D2376A"/>
    <w:rsid w:val="00D24990"/>
    <w:rsid w:val="00D258EC"/>
    <w:rsid w:val="00D25FF9"/>
    <w:rsid w:val="00D27403"/>
    <w:rsid w:val="00D305C0"/>
    <w:rsid w:val="00D3301D"/>
    <w:rsid w:val="00D33D26"/>
    <w:rsid w:val="00D35EEF"/>
    <w:rsid w:val="00D405E9"/>
    <w:rsid w:val="00D40C01"/>
    <w:rsid w:val="00D43BC8"/>
    <w:rsid w:val="00D463C2"/>
    <w:rsid w:val="00D5082E"/>
    <w:rsid w:val="00D5293D"/>
    <w:rsid w:val="00D54FA2"/>
    <w:rsid w:val="00D55B21"/>
    <w:rsid w:val="00D55C4F"/>
    <w:rsid w:val="00D566A9"/>
    <w:rsid w:val="00D615FF"/>
    <w:rsid w:val="00D63B8B"/>
    <w:rsid w:val="00D67F2F"/>
    <w:rsid w:val="00D73C44"/>
    <w:rsid w:val="00D811FB"/>
    <w:rsid w:val="00D8140E"/>
    <w:rsid w:val="00D81C5B"/>
    <w:rsid w:val="00D83AF9"/>
    <w:rsid w:val="00D85C63"/>
    <w:rsid w:val="00D9269A"/>
    <w:rsid w:val="00D93E04"/>
    <w:rsid w:val="00D954A6"/>
    <w:rsid w:val="00D95FD8"/>
    <w:rsid w:val="00DA0D86"/>
    <w:rsid w:val="00DA12E3"/>
    <w:rsid w:val="00DA2267"/>
    <w:rsid w:val="00DA455A"/>
    <w:rsid w:val="00DA7990"/>
    <w:rsid w:val="00DB0E67"/>
    <w:rsid w:val="00DB292C"/>
    <w:rsid w:val="00DB3338"/>
    <w:rsid w:val="00DB674A"/>
    <w:rsid w:val="00DB7789"/>
    <w:rsid w:val="00DC034C"/>
    <w:rsid w:val="00DC1EE7"/>
    <w:rsid w:val="00DC2CE0"/>
    <w:rsid w:val="00DC2ED9"/>
    <w:rsid w:val="00DC30CC"/>
    <w:rsid w:val="00DC3F09"/>
    <w:rsid w:val="00DC49B5"/>
    <w:rsid w:val="00DD1EE5"/>
    <w:rsid w:val="00DD2C64"/>
    <w:rsid w:val="00DD2FC0"/>
    <w:rsid w:val="00DD5B6C"/>
    <w:rsid w:val="00DD6F64"/>
    <w:rsid w:val="00DD7707"/>
    <w:rsid w:val="00DE0986"/>
    <w:rsid w:val="00DE35E3"/>
    <w:rsid w:val="00DE3E2B"/>
    <w:rsid w:val="00DE4B34"/>
    <w:rsid w:val="00DE635F"/>
    <w:rsid w:val="00DF07F9"/>
    <w:rsid w:val="00DF0B39"/>
    <w:rsid w:val="00DF0CB9"/>
    <w:rsid w:val="00DF0E8B"/>
    <w:rsid w:val="00DF5DDB"/>
    <w:rsid w:val="00DF734A"/>
    <w:rsid w:val="00DF7DD9"/>
    <w:rsid w:val="00E00E25"/>
    <w:rsid w:val="00E0248A"/>
    <w:rsid w:val="00E025FE"/>
    <w:rsid w:val="00E0430B"/>
    <w:rsid w:val="00E04992"/>
    <w:rsid w:val="00E04CFE"/>
    <w:rsid w:val="00E14A60"/>
    <w:rsid w:val="00E14F22"/>
    <w:rsid w:val="00E16A64"/>
    <w:rsid w:val="00E20B75"/>
    <w:rsid w:val="00E24691"/>
    <w:rsid w:val="00E30F9B"/>
    <w:rsid w:val="00E32583"/>
    <w:rsid w:val="00E358A2"/>
    <w:rsid w:val="00E408C4"/>
    <w:rsid w:val="00E43EAD"/>
    <w:rsid w:val="00E44066"/>
    <w:rsid w:val="00E4443D"/>
    <w:rsid w:val="00E45E50"/>
    <w:rsid w:val="00E4730B"/>
    <w:rsid w:val="00E50C3C"/>
    <w:rsid w:val="00E51949"/>
    <w:rsid w:val="00E524EF"/>
    <w:rsid w:val="00E53C55"/>
    <w:rsid w:val="00E54A4F"/>
    <w:rsid w:val="00E73C0C"/>
    <w:rsid w:val="00E75A6B"/>
    <w:rsid w:val="00E7774A"/>
    <w:rsid w:val="00E83E2E"/>
    <w:rsid w:val="00E859EA"/>
    <w:rsid w:val="00E87CDF"/>
    <w:rsid w:val="00E9151D"/>
    <w:rsid w:val="00E9182F"/>
    <w:rsid w:val="00E92139"/>
    <w:rsid w:val="00E93235"/>
    <w:rsid w:val="00E93B37"/>
    <w:rsid w:val="00E97212"/>
    <w:rsid w:val="00E9773F"/>
    <w:rsid w:val="00EA3B0E"/>
    <w:rsid w:val="00EA6359"/>
    <w:rsid w:val="00EA7220"/>
    <w:rsid w:val="00EB1D78"/>
    <w:rsid w:val="00EB2E2E"/>
    <w:rsid w:val="00EB6D73"/>
    <w:rsid w:val="00EC0650"/>
    <w:rsid w:val="00EC39CD"/>
    <w:rsid w:val="00EC3F88"/>
    <w:rsid w:val="00EC6E3A"/>
    <w:rsid w:val="00EC731A"/>
    <w:rsid w:val="00ED17B9"/>
    <w:rsid w:val="00ED7C7F"/>
    <w:rsid w:val="00EE0E66"/>
    <w:rsid w:val="00EE28F0"/>
    <w:rsid w:val="00EE4898"/>
    <w:rsid w:val="00EF07EC"/>
    <w:rsid w:val="00EF38D3"/>
    <w:rsid w:val="00EF6FA6"/>
    <w:rsid w:val="00EF7196"/>
    <w:rsid w:val="00EF7999"/>
    <w:rsid w:val="00EF79E4"/>
    <w:rsid w:val="00F00411"/>
    <w:rsid w:val="00F117A6"/>
    <w:rsid w:val="00F11FC1"/>
    <w:rsid w:val="00F12F8F"/>
    <w:rsid w:val="00F13C63"/>
    <w:rsid w:val="00F158AD"/>
    <w:rsid w:val="00F20575"/>
    <w:rsid w:val="00F20C03"/>
    <w:rsid w:val="00F21F43"/>
    <w:rsid w:val="00F23BB5"/>
    <w:rsid w:val="00F2787D"/>
    <w:rsid w:val="00F30BE7"/>
    <w:rsid w:val="00F31058"/>
    <w:rsid w:val="00F32664"/>
    <w:rsid w:val="00F331BD"/>
    <w:rsid w:val="00F33561"/>
    <w:rsid w:val="00F37057"/>
    <w:rsid w:val="00F37FCB"/>
    <w:rsid w:val="00F41D1B"/>
    <w:rsid w:val="00F476DC"/>
    <w:rsid w:val="00F50502"/>
    <w:rsid w:val="00F5243F"/>
    <w:rsid w:val="00F5585D"/>
    <w:rsid w:val="00F56FF2"/>
    <w:rsid w:val="00F5769D"/>
    <w:rsid w:val="00F60EBC"/>
    <w:rsid w:val="00F610F0"/>
    <w:rsid w:val="00F63E9E"/>
    <w:rsid w:val="00F644D2"/>
    <w:rsid w:val="00F648A2"/>
    <w:rsid w:val="00F662A3"/>
    <w:rsid w:val="00F702D6"/>
    <w:rsid w:val="00F718CA"/>
    <w:rsid w:val="00F730B3"/>
    <w:rsid w:val="00F778C7"/>
    <w:rsid w:val="00F8000F"/>
    <w:rsid w:val="00F816D2"/>
    <w:rsid w:val="00F840E4"/>
    <w:rsid w:val="00F854B1"/>
    <w:rsid w:val="00F9087D"/>
    <w:rsid w:val="00F910F7"/>
    <w:rsid w:val="00F95625"/>
    <w:rsid w:val="00F96041"/>
    <w:rsid w:val="00F9624D"/>
    <w:rsid w:val="00F97367"/>
    <w:rsid w:val="00FA1EBA"/>
    <w:rsid w:val="00FA3139"/>
    <w:rsid w:val="00FA69A4"/>
    <w:rsid w:val="00FA6A18"/>
    <w:rsid w:val="00FA7419"/>
    <w:rsid w:val="00FB47F9"/>
    <w:rsid w:val="00FB561E"/>
    <w:rsid w:val="00FB6E66"/>
    <w:rsid w:val="00FB781F"/>
    <w:rsid w:val="00FB7CBD"/>
    <w:rsid w:val="00FC002F"/>
    <w:rsid w:val="00FC49A0"/>
    <w:rsid w:val="00FD169E"/>
    <w:rsid w:val="00FD1A60"/>
    <w:rsid w:val="00FD23A4"/>
    <w:rsid w:val="00FD3861"/>
    <w:rsid w:val="00FD6DC4"/>
    <w:rsid w:val="00FE2B6A"/>
    <w:rsid w:val="00FE2EBA"/>
    <w:rsid w:val="00FE6E2A"/>
    <w:rsid w:val="00FF1858"/>
    <w:rsid w:val="00FF294E"/>
    <w:rsid w:val="00FF3034"/>
    <w:rsid w:val="00FF3128"/>
    <w:rsid w:val="00FF447F"/>
    <w:rsid w:val="00FF6CD1"/>
    <w:rsid w:val="00FF7D9E"/>
    <w:rsid w:val="00FF7FD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E859EA"/>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E859EA"/>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E859EA"/>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E859EA"/>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E859EA"/>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E859EA"/>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E859EA"/>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E859EA"/>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E859EA"/>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509E"/>
    <w:pPr>
      <w:widowControl/>
      <w:numPr>
        <w:numId w:val="5"/>
      </w:numPr>
      <w:spacing w:line="480" w:lineRule="auto"/>
    </w:pPr>
  </w:style>
  <w:style w:type="character" w:customStyle="1" w:styleId="Heading1Char">
    <w:name w:val="Heading 1 Char"/>
    <w:basedOn w:val="DefaultParagraphFont"/>
    <w:link w:val="Heading1"/>
    <w:rsid w:val="00E859EA"/>
    <w:rPr>
      <w:b/>
      <w:bCs/>
      <w:kern w:val="32"/>
      <w:sz w:val="26"/>
      <w:szCs w:val="32"/>
      <w:u w:val="single"/>
      <w:lang w:bidi="ar-SA"/>
    </w:rPr>
  </w:style>
  <w:style w:type="character" w:customStyle="1" w:styleId="Heading2Char">
    <w:name w:val="Heading 2 Char"/>
    <w:basedOn w:val="DefaultParagraphFont"/>
    <w:link w:val="Heading2"/>
    <w:rsid w:val="00E859EA"/>
    <w:rPr>
      <w:b/>
      <w:bCs/>
      <w:iCs/>
      <w:kern w:val="32"/>
      <w:sz w:val="26"/>
      <w:szCs w:val="28"/>
      <w:u w:val="single"/>
      <w:lang w:bidi="ar-SA"/>
    </w:rPr>
  </w:style>
  <w:style w:type="character" w:customStyle="1" w:styleId="Heading3Char">
    <w:name w:val="Heading 3 Char"/>
    <w:basedOn w:val="DefaultParagraphFont"/>
    <w:link w:val="Heading3"/>
    <w:rsid w:val="00E859EA"/>
    <w:rPr>
      <w:b/>
      <w:bCs/>
      <w:kern w:val="32"/>
      <w:sz w:val="26"/>
      <w:szCs w:val="26"/>
      <w:u w:val="single"/>
      <w:lang w:bidi="ar-SA"/>
    </w:rPr>
  </w:style>
  <w:style w:type="character" w:customStyle="1" w:styleId="Heading4Char">
    <w:name w:val="Heading 4 Char"/>
    <w:basedOn w:val="DefaultParagraphFont"/>
    <w:link w:val="Heading4"/>
    <w:rsid w:val="00E859EA"/>
    <w:rPr>
      <w:b/>
      <w:bCs/>
      <w:kern w:val="32"/>
      <w:sz w:val="26"/>
      <w:szCs w:val="28"/>
      <w:u w:val="single"/>
      <w:lang w:bidi="ar-SA"/>
    </w:rPr>
  </w:style>
  <w:style w:type="character" w:customStyle="1" w:styleId="Heading5Char">
    <w:name w:val="Heading 5 Char"/>
    <w:basedOn w:val="DefaultParagraphFont"/>
    <w:link w:val="Heading5"/>
    <w:rsid w:val="00E859EA"/>
    <w:rPr>
      <w:b/>
      <w:bCs/>
      <w:iCs/>
      <w:kern w:val="32"/>
      <w:sz w:val="26"/>
      <w:szCs w:val="26"/>
      <w:u w:val="single"/>
      <w:lang w:bidi="ar-SA"/>
    </w:rPr>
  </w:style>
  <w:style w:type="character" w:customStyle="1" w:styleId="Heading6Char">
    <w:name w:val="Heading 6 Char"/>
    <w:basedOn w:val="DefaultParagraphFont"/>
    <w:link w:val="Heading6"/>
    <w:rsid w:val="00E859EA"/>
    <w:rPr>
      <w:b/>
      <w:bCs/>
      <w:kern w:val="32"/>
      <w:sz w:val="26"/>
      <w:szCs w:val="22"/>
      <w:u w:val="single"/>
      <w:lang w:bidi="ar-SA"/>
    </w:rPr>
  </w:style>
  <w:style w:type="character" w:customStyle="1" w:styleId="Heading7Char">
    <w:name w:val="Heading 7 Char"/>
    <w:basedOn w:val="DefaultParagraphFont"/>
    <w:link w:val="Heading7"/>
    <w:rsid w:val="00E859EA"/>
    <w:rPr>
      <w:b/>
      <w:kern w:val="32"/>
      <w:sz w:val="26"/>
      <w:szCs w:val="24"/>
      <w:u w:val="single"/>
      <w:lang w:bidi="ar-SA"/>
    </w:rPr>
  </w:style>
  <w:style w:type="character" w:customStyle="1" w:styleId="Heading8Char">
    <w:name w:val="Heading 8 Char"/>
    <w:basedOn w:val="DefaultParagraphFont"/>
    <w:link w:val="Heading8"/>
    <w:rsid w:val="00E859EA"/>
    <w:rPr>
      <w:b/>
      <w:iCs/>
      <w:kern w:val="32"/>
      <w:sz w:val="26"/>
      <w:szCs w:val="24"/>
      <w:u w:val="single"/>
      <w:lang w:bidi="ar-SA"/>
    </w:rPr>
  </w:style>
  <w:style w:type="character" w:customStyle="1" w:styleId="Heading9Char">
    <w:name w:val="Heading 9 Char"/>
    <w:basedOn w:val="DefaultParagraphFont"/>
    <w:link w:val="Heading9"/>
    <w:rsid w:val="00E859EA"/>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1">
    <w:name w:val="FERC paranumber Char1"/>
    <w:link w:val="FERCparanumber"/>
    <w:rsid w:val="00014800"/>
    <w:rPr>
      <w:sz w:val="26"/>
      <w:szCs w:val="24"/>
      <w:lang w:bidi="ar-SA"/>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uiPriority w:val="99"/>
    <w:rsid w:val="00014800"/>
    <w:rPr>
      <w:sz w:val="26"/>
      <w:szCs w:val="20"/>
    </w:rPr>
  </w:style>
  <w:style w:type="paragraph" w:customStyle="1" w:styleId="FERCparanumberChar">
    <w:name w:val="FERC paranumber Char"/>
    <w:basedOn w:val="Normal"/>
    <w:link w:val="FERCparanumberCharChar"/>
    <w:rsid w:val="00271D22"/>
    <w:pPr>
      <w:widowControl/>
      <w:tabs>
        <w:tab w:val="num" w:pos="720"/>
      </w:tabs>
      <w:spacing w:line="480" w:lineRule="auto"/>
    </w:pPr>
  </w:style>
  <w:style w:type="character" w:customStyle="1" w:styleId="FERCparanumberCharChar">
    <w:name w:val="FERC paranumber Char Char"/>
    <w:link w:val="FERCparanumberChar"/>
    <w:rsid w:val="00271D22"/>
    <w:rPr>
      <w:sz w:val="26"/>
      <w:szCs w:val="24"/>
      <w:lang w:bidi="ar-SA"/>
    </w:rPr>
  </w:style>
  <w:style w:type="character" w:styleId="FollowedHyperlink">
    <w:name w:val="FollowedHyperlink"/>
    <w:basedOn w:val="DefaultParagraphFont"/>
    <w:uiPriority w:val="99"/>
    <w:semiHidden/>
    <w:unhideWhenUsed/>
    <w:rsid w:val="00723AAA"/>
    <w:rPr>
      <w:color w:val="800080" w:themeColor="followedHyperlink"/>
      <w:u w:val="single"/>
    </w:rPr>
  </w:style>
  <w:style w:type="paragraph" w:customStyle="1" w:styleId="Default">
    <w:name w:val="Default"/>
    <w:rsid w:val="00F718CA"/>
    <w:pPr>
      <w:autoSpaceDE w:val="0"/>
      <w:autoSpaceDN w:val="0"/>
      <w:adjustRightInd w:val="0"/>
    </w:pPr>
    <w:rPr>
      <w:color w:val="000000"/>
      <w:sz w:val="24"/>
      <w:szCs w:val="24"/>
      <w:lang w:bidi="ar-SA"/>
    </w:rPr>
  </w:style>
  <w:style w:type="character" w:styleId="CommentReference">
    <w:name w:val="annotation reference"/>
    <w:basedOn w:val="DefaultParagraphFont"/>
    <w:uiPriority w:val="99"/>
    <w:semiHidden/>
    <w:unhideWhenUsed/>
    <w:rsid w:val="00C818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79692">
      <w:bodyDiv w:val="1"/>
      <w:marLeft w:val="0"/>
      <w:marRight w:val="0"/>
      <w:marTop w:val="0"/>
      <w:marBottom w:val="0"/>
      <w:divBdr>
        <w:top w:val="none" w:sz="0" w:space="0" w:color="auto"/>
        <w:left w:val="none" w:sz="0" w:space="0" w:color="auto"/>
        <w:bottom w:val="none" w:sz="0" w:space="0" w:color="auto"/>
        <w:right w:val="none" w:sz="0" w:space="0" w:color="auto"/>
      </w:divBdr>
    </w:div>
    <w:div w:id="612371207">
      <w:bodyDiv w:val="1"/>
      <w:marLeft w:val="0"/>
      <w:marRight w:val="0"/>
      <w:marTop w:val="0"/>
      <w:marBottom w:val="0"/>
      <w:divBdr>
        <w:top w:val="none" w:sz="0" w:space="0" w:color="auto"/>
        <w:left w:val="none" w:sz="0" w:space="0" w:color="auto"/>
        <w:bottom w:val="none" w:sz="0" w:space="0" w:color="auto"/>
        <w:right w:val="none" w:sz="0" w:space="0" w:color="auto"/>
      </w:divBdr>
    </w:div>
    <w:div w:id="1208222021">
      <w:bodyDiv w:val="1"/>
      <w:marLeft w:val="0"/>
      <w:marRight w:val="0"/>
      <w:marTop w:val="0"/>
      <w:marBottom w:val="0"/>
      <w:divBdr>
        <w:top w:val="none" w:sz="0" w:space="0" w:color="auto"/>
        <w:left w:val="none" w:sz="0" w:space="0" w:color="auto"/>
        <w:bottom w:val="none" w:sz="0" w:space="0" w:color="auto"/>
        <w:right w:val="none" w:sz="0" w:space="0" w:color="auto"/>
      </w:divBdr>
      <w:divsChild>
        <w:div w:id="379324376">
          <w:marLeft w:val="0"/>
          <w:marRight w:val="0"/>
          <w:marTop w:val="0"/>
          <w:marBottom w:val="0"/>
          <w:divBdr>
            <w:top w:val="none" w:sz="0" w:space="0" w:color="auto"/>
            <w:left w:val="none" w:sz="0" w:space="0" w:color="auto"/>
            <w:bottom w:val="none" w:sz="0" w:space="0" w:color="auto"/>
            <w:right w:val="none" w:sz="0" w:space="0" w:color="auto"/>
          </w:divBdr>
        </w:div>
      </w:divsChild>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664E-29E9-424A-B648-CAA5C0D0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2016-07-12T12:00:00Z</dcterms:created>
  <dcterms:modified xsi:type="dcterms:W3CDTF">2016-07-12T12:00:00Z</dcterms:modified>
</cp:coreProperties>
</file>