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2D944" w14:textId="691B95F5" w:rsidR="00A2708C" w:rsidRDefault="00A2708C">
      <w:pPr>
        <w:jc w:val="center"/>
        <w:rPr>
          <w:b/>
          <w:u w:val="single"/>
        </w:rPr>
      </w:pPr>
      <w:r>
        <w:rPr>
          <w:b/>
          <w:u w:val="single"/>
        </w:rPr>
        <w:t>SUPPORTING STATEMENT</w:t>
      </w:r>
    </w:p>
    <w:p w14:paraId="1E15B9EE" w14:textId="77777777" w:rsidR="00A2708C" w:rsidRDefault="00A2708C">
      <w:pPr>
        <w:rPr>
          <w:u w:val="single"/>
        </w:rPr>
      </w:pPr>
    </w:p>
    <w:p w14:paraId="428AAA17" w14:textId="77777777" w:rsidR="00A2708C" w:rsidRDefault="00A2708C">
      <w:pPr>
        <w:rPr>
          <w:b/>
        </w:rPr>
      </w:pPr>
      <w:r>
        <w:rPr>
          <w:b/>
        </w:rPr>
        <w:t xml:space="preserve">1.  </w:t>
      </w:r>
      <w:r>
        <w:rPr>
          <w:b/>
          <w:u w:val="single"/>
        </w:rPr>
        <w:t xml:space="preserve">Identification of the Information Collection </w:t>
      </w:r>
      <w:r>
        <w:rPr>
          <w:b/>
        </w:rPr>
        <w:tab/>
      </w:r>
      <w:r>
        <w:rPr>
          <w:b/>
        </w:rPr>
        <w:tab/>
      </w:r>
    </w:p>
    <w:p w14:paraId="5CAC0AE5" w14:textId="77777777" w:rsidR="00A2708C" w:rsidRDefault="00A2708C"/>
    <w:p w14:paraId="4F2AEB87" w14:textId="77777777" w:rsidR="00A2708C" w:rsidRDefault="00A2708C">
      <w:r>
        <w:tab/>
        <w:t xml:space="preserve">Title:  Brownfields Program – </w:t>
      </w:r>
      <w:r w:rsidR="009745EC">
        <w:t xml:space="preserve">Accomplishment </w:t>
      </w:r>
      <w:r>
        <w:t xml:space="preserve">Reporting (OMB Control Number </w:t>
      </w:r>
      <w:r w:rsidR="00AD14A9" w:rsidRPr="00AD14A9">
        <w:t>2050</w:t>
      </w:r>
      <w:r w:rsidRPr="00AD14A9">
        <w:t>-</w:t>
      </w:r>
      <w:r w:rsidR="00AD14A9">
        <w:t>0192</w:t>
      </w:r>
      <w:r>
        <w:t xml:space="preserve">; EPA ICR No. </w:t>
      </w:r>
      <w:r w:rsidR="002B499E">
        <w:rPr>
          <w:rFonts w:ascii="Tms Rmn" w:hAnsi="Tms Rmn" w:cs="Tms Rmn"/>
          <w:color w:val="000000"/>
          <w:szCs w:val="24"/>
        </w:rPr>
        <w:t>2104.0</w:t>
      </w:r>
      <w:r w:rsidR="00AB35E5">
        <w:rPr>
          <w:rFonts w:ascii="Tms Rmn" w:hAnsi="Tms Rmn" w:cs="Tms Rmn"/>
          <w:color w:val="000000"/>
          <w:szCs w:val="24"/>
        </w:rPr>
        <w:t>6</w:t>
      </w:r>
      <w:r>
        <w:t xml:space="preserve">).  </w:t>
      </w:r>
    </w:p>
    <w:p w14:paraId="3C9A68F1" w14:textId="77777777" w:rsidR="00A2708C" w:rsidRDefault="00A2708C"/>
    <w:p w14:paraId="1BC242A0" w14:textId="5A5CBF0E" w:rsidR="00A70FC2" w:rsidRDefault="00A2708C">
      <w:r>
        <w:tab/>
        <w:t xml:space="preserve">This is a request to renew an existing Information Collection Request (ICR).  This ICR covers the collection of information from those organizations that receive </w:t>
      </w:r>
      <w:r w:rsidR="009745EC">
        <w:t>cooperative agreement</w:t>
      </w:r>
      <w:r>
        <w:t xml:space="preserve">s from EPA under the authority of subtitle A </w:t>
      </w:r>
      <w:r w:rsidR="00335719">
        <w:t xml:space="preserve">and </w:t>
      </w:r>
      <w:r>
        <w:t xml:space="preserve">subtitle C of the “Small Business Liability Relief and Brownfields Revitalization Act” (Public Law 107-118, January 2002).  Subtitle A of the Act amends the Comprehensive Environmental Response, Compensation, and Liability Act (CERCLA), as amended, and authorizes EPA to award </w:t>
      </w:r>
      <w:r w:rsidR="00A70FC2">
        <w:t xml:space="preserve">grants or </w:t>
      </w:r>
      <w:r w:rsidR="009745EC">
        <w:t xml:space="preserve">cooperative agreements </w:t>
      </w:r>
      <w:r>
        <w:t xml:space="preserve">to </w:t>
      </w:r>
      <w:r w:rsidR="00B43C6C">
        <w:t>s</w:t>
      </w:r>
      <w:r>
        <w:t xml:space="preserve">tates, tribes, local governments, and other eligible entities to support the assessment and cleanup of brownfields properties and subtitle C authorizes a noncompetitive $50 million program to establish and enhance </w:t>
      </w:r>
      <w:r w:rsidR="00AD14A9">
        <w:t>s</w:t>
      </w:r>
      <w:r>
        <w:t xml:space="preserve">tate and tribal response programs. </w:t>
      </w:r>
      <w:r w:rsidR="00A70FC2">
        <w:t>The authority for these financial assistance programs is codified at CERCLA 104(k) and CERCLA 128</w:t>
      </w:r>
      <w:r w:rsidR="000C423D">
        <w:t>(a)</w:t>
      </w:r>
      <w:r w:rsidR="00A70FC2">
        <w:t xml:space="preserve"> respectively.  Congress appropriates specific amounts of funding for both programs in EPA’s State and Tribal Assistance Grant account.</w:t>
      </w:r>
    </w:p>
    <w:p w14:paraId="5FF11342" w14:textId="77777777" w:rsidR="00A70FC2" w:rsidRDefault="00A70FC2"/>
    <w:p w14:paraId="0AB8C9A9" w14:textId="0682B89D" w:rsidR="00A2708C" w:rsidRDefault="00A2708C" w:rsidP="001D2B4A">
      <w:pPr>
        <w:ind w:firstLine="720"/>
      </w:pPr>
      <w:r>
        <w:t xml:space="preserve">With this ICR, EPA’s Office of Brownfields </w:t>
      </w:r>
      <w:r w:rsidR="00AD14A9">
        <w:t>and Land Revitalization</w:t>
      </w:r>
      <w:r>
        <w:t xml:space="preserve"> (OB</w:t>
      </w:r>
      <w:r w:rsidR="00AD14A9">
        <w:t>LR</w:t>
      </w:r>
      <w:r>
        <w:t xml:space="preserve">) seeks authorization to collect information from </w:t>
      </w:r>
      <w:r w:rsidR="009745EC">
        <w:t>cooperative agreement</w:t>
      </w:r>
      <w:r>
        <w:t xml:space="preserve"> recipients</w:t>
      </w:r>
      <w:r w:rsidR="009745EC">
        <w:t xml:space="preserve"> (recipients)</w:t>
      </w:r>
      <w:r>
        <w:t xml:space="preserve"> using several standard forms that will streamline the data collection effort and improve the quality of information collected.  The information collected under this ICR supplements the minimum reporting and record keeping requirements that recipients are</w:t>
      </w:r>
      <w:r w:rsidR="00D434AC">
        <w:t xml:space="preserve"> subject to under </w:t>
      </w:r>
      <w:r w:rsidR="00A70FC2">
        <w:t xml:space="preserve">2 CFR Part 200 and </w:t>
      </w:r>
      <w:r w:rsidR="00D434AC">
        <w:t>2 CFR Part 1500.</w:t>
      </w:r>
      <w:r>
        <w:t xml:space="preserve">  EPA estimates that all respondents who voluntarily respond to this information collection by electing to participate in the Brownfields program have determined that the expected benefits of participation outweigh any burden associated with preparing the response.  </w:t>
      </w:r>
    </w:p>
    <w:p w14:paraId="6E1CFF48" w14:textId="77777777" w:rsidR="00A2708C" w:rsidRDefault="00A2708C"/>
    <w:p w14:paraId="697A5168" w14:textId="77777777" w:rsidR="00A2708C" w:rsidRDefault="00A2708C">
      <w:pPr>
        <w:rPr>
          <w:b/>
          <w:u w:val="single"/>
        </w:rPr>
      </w:pPr>
      <w:r>
        <w:rPr>
          <w:b/>
        </w:rPr>
        <w:t xml:space="preserve">2.  </w:t>
      </w:r>
      <w:r>
        <w:rPr>
          <w:b/>
          <w:u w:val="single"/>
        </w:rPr>
        <w:t>Need for/Use of the Collection</w:t>
      </w:r>
    </w:p>
    <w:p w14:paraId="1492047C" w14:textId="77777777" w:rsidR="00A2708C" w:rsidRDefault="00A2708C">
      <w:pPr>
        <w:rPr>
          <w:b/>
          <w:u w:val="single"/>
        </w:rPr>
      </w:pPr>
    </w:p>
    <w:p w14:paraId="40C2CCA2" w14:textId="62EE7A21" w:rsidR="00A2708C" w:rsidRDefault="00A2708C">
      <w:r>
        <w:tab/>
        <w:t xml:space="preserve">Under </w:t>
      </w:r>
      <w:r w:rsidR="00A70FC2">
        <w:t>CERCLA 104(k)</w:t>
      </w:r>
      <w:r w:rsidR="000C423D">
        <w:t xml:space="preserve"> </w:t>
      </w:r>
      <w:r w:rsidR="00B43C6C">
        <w:t>s</w:t>
      </w:r>
      <w:r>
        <w:t xml:space="preserve">tates, tribes, local governments, and other eligible entities </w:t>
      </w:r>
      <w:r w:rsidR="000C423D">
        <w:t xml:space="preserve">may </w:t>
      </w:r>
      <w:r>
        <w:t xml:space="preserve">receive </w:t>
      </w:r>
      <w:r w:rsidR="009745EC">
        <w:t xml:space="preserve">cooperative agreements </w:t>
      </w:r>
      <w:r>
        <w:t xml:space="preserve">to: </w:t>
      </w:r>
    </w:p>
    <w:p w14:paraId="0C31368D" w14:textId="77777777" w:rsidR="00A2708C" w:rsidRDefault="00A2708C"/>
    <w:p w14:paraId="57066E94" w14:textId="77777777" w:rsidR="00A2708C" w:rsidRDefault="00A2708C">
      <w:pPr>
        <w:ind w:left="1440" w:hanging="720"/>
      </w:pPr>
      <w:r>
        <w:t>(1)</w:t>
      </w:r>
      <w:r>
        <w:tab/>
        <w:t xml:space="preserve">inventory, characterize, assess, and conduct planning and community involvement related to brownfields sites; </w:t>
      </w:r>
    </w:p>
    <w:p w14:paraId="2CCCF5D0" w14:textId="77777777" w:rsidR="00A2708C" w:rsidRDefault="00A2708C"/>
    <w:p w14:paraId="4DFF026E" w14:textId="77777777" w:rsidR="00A2708C" w:rsidRDefault="00A2708C">
      <w:pPr>
        <w:ind w:left="1440" w:hanging="720"/>
      </w:pPr>
      <w:r>
        <w:t>(2)</w:t>
      </w:r>
      <w:r>
        <w:tab/>
        <w:t xml:space="preserve">carry out cleanup activities at brownfields sites; </w:t>
      </w:r>
    </w:p>
    <w:p w14:paraId="4B0D15F2" w14:textId="77777777" w:rsidR="00A2708C" w:rsidRDefault="00A2708C"/>
    <w:p w14:paraId="500FB28A" w14:textId="71D037F9" w:rsidR="00A2708C" w:rsidRDefault="00A2708C">
      <w:pPr>
        <w:ind w:left="1440" w:hanging="720"/>
      </w:pPr>
      <w:r>
        <w:t>(3)</w:t>
      </w:r>
      <w:r>
        <w:tab/>
        <w:t xml:space="preserve">capitalize revolving loan funds and provide </w:t>
      </w:r>
      <w:r w:rsidR="000C423D">
        <w:t xml:space="preserve">subawards </w:t>
      </w:r>
      <w:r>
        <w:t xml:space="preserve"> for cleanup activities; and</w:t>
      </w:r>
    </w:p>
    <w:p w14:paraId="054138DF" w14:textId="77777777" w:rsidR="00A2708C" w:rsidRDefault="00A2708C"/>
    <w:p w14:paraId="322F633B" w14:textId="6216DC48" w:rsidR="00A2708C" w:rsidRDefault="00A2708C">
      <w:pPr>
        <w:ind w:left="1440" w:hanging="720"/>
      </w:pPr>
      <w:r>
        <w:t>(4)</w:t>
      </w:r>
      <w:r>
        <w:tab/>
        <w:t xml:space="preserve">support the </w:t>
      </w:r>
      <w:r w:rsidR="000C423D">
        <w:t xml:space="preserve">research, technical assistance and training including the </w:t>
      </w:r>
      <w:r>
        <w:t xml:space="preserve">creation and implementation of environmental </w:t>
      </w:r>
      <w:r w:rsidR="00461FE7">
        <w:t>job t</w:t>
      </w:r>
      <w:r w:rsidR="0053376C">
        <w:t>raining</w:t>
      </w:r>
      <w:r>
        <w:t xml:space="preserve"> and placement programs.  </w:t>
      </w:r>
    </w:p>
    <w:p w14:paraId="5EFEAC51" w14:textId="77777777" w:rsidR="00A2708C" w:rsidRDefault="00A2708C"/>
    <w:p w14:paraId="6B25901E" w14:textId="6D430268" w:rsidR="00A2708C" w:rsidRDefault="00A2708C" w:rsidP="001D2B4A">
      <w:pPr>
        <w:ind w:firstLine="720"/>
      </w:pPr>
      <w:r>
        <w:t xml:space="preserve">Under </w:t>
      </w:r>
      <w:r w:rsidR="000C423D">
        <w:t xml:space="preserve">CERCLA 128(a) </w:t>
      </w:r>
      <w:r w:rsidR="00A545AA">
        <w:t>S</w:t>
      </w:r>
      <w:r>
        <w:t xml:space="preserve">tates and tribes </w:t>
      </w:r>
      <w:r w:rsidR="000C423D">
        <w:t xml:space="preserve">may </w:t>
      </w:r>
      <w:r>
        <w:t xml:space="preserve">receive </w:t>
      </w:r>
      <w:r w:rsidR="009745EC">
        <w:t xml:space="preserve">cooperative agreements </w:t>
      </w:r>
      <w:r>
        <w:t>to:</w:t>
      </w:r>
    </w:p>
    <w:p w14:paraId="71DD881D" w14:textId="77777777" w:rsidR="00576835" w:rsidRDefault="00A2708C">
      <w:r>
        <w:tab/>
      </w:r>
    </w:p>
    <w:p w14:paraId="3D6368A5" w14:textId="5ABBAF5A" w:rsidR="00C70DE6" w:rsidRDefault="00A2708C" w:rsidP="00576835">
      <w:pPr>
        <w:ind w:firstLine="720"/>
      </w:pPr>
      <w:r>
        <w:lastRenderedPageBreak/>
        <w:t xml:space="preserve">(1) establish or enhance a response program that </w:t>
      </w:r>
      <w:r w:rsidR="00EE2879">
        <w:t>includes elements</w:t>
      </w:r>
      <w:r w:rsidR="00C70DE6">
        <w:t xml:space="preserve"> such as:</w:t>
      </w:r>
    </w:p>
    <w:p w14:paraId="3C4C6440" w14:textId="77777777" w:rsidR="00C70DE6" w:rsidRDefault="00C70DE6"/>
    <w:p w14:paraId="35EE66E9" w14:textId="44BE4FF9" w:rsidR="00C70DE6" w:rsidRDefault="00C70DE6" w:rsidP="001D2B4A">
      <w:pPr>
        <w:ind w:left="720" w:firstLine="720"/>
      </w:pPr>
      <w:r>
        <w:t>a. Surveys and inventories of brownfield sites.</w:t>
      </w:r>
    </w:p>
    <w:p w14:paraId="06DF8748" w14:textId="77777777" w:rsidR="00C70DE6" w:rsidRDefault="00C70DE6"/>
    <w:p w14:paraId="01A93E33" w14:textId="365B9FD0" w:rsidR="00C70DE6" w:rsidRDefault="001D2B4A" w:rsidP="001D2B4A">
      <w:pPr>
        <w:ind w:left="1440"/>
      </w:pPr>
      <w:r>
        <w:t xml:space="preserve">b. </w:t>
      </w:r>
      <w:r w:rsidR="00C70DE6">
        <w:t>Oversight and enforcement authorities including legislation, regulations, procedures, or guidance that would establish or enhance the legal structure of the program.</w:t>
      </w:r>
    </w:p>
    <w:p w14:paraId="79033FB7" w14:textId="77777777" w:rsidR="00C70DE6" w:rsidRDefault="00C70DE6"/>
    <w:p w14:paraId="7338CBFE" w14:textId="190AD323" w:rsidR="00C70DE6" w:rsidRDefault="00C70DE6" w:rsidP="001D2B4A">
      <w:pPr>
        <w:ind w:left="1440"/>
      </w:pPr>
      <w:r>
        <w:t>c. Opportunities for public participation in the process of developing a public record for cleanup decisions and other site activities.</w:t>
      </w:r>
    </w:p>
    <w:p w14:paraId="68F8AA4B" w14:textId="77777777" w:rsidR="00C70DE6" w:rsidRDefault="00C70DE6"/>
    <w:p w14:paraId="4F52A15B" w14:textId="55D27509" w:rsidR="00EE2879" w:rsidRDefault="00C70DE6" w:rsidP="001D2B4A">
      <w:pPr>
        <w:ind w:left="720" w:firstLine="720"/>
      </w:pPr>
      <w:r>
        <w:t xml:space="preserve">d. </w:t>
      </w:r>
      <w:r w:rsidR="00EE2879">
        <w:t>Site-specific assessment and cleanup activities.</w:t>
      </w:r>
    </w:p>
    <w:p w14:paraId="4D52176E" w14:textId="77777777" w:rsidR="00EE2879" w:rsidRDefault="00EE2879"/>
    <w:p w14:paraId="1B16AFEF" w14:textId="363F2A03" w:rsidR="00A2708C" w:rsidRDefault="00EE2879" w:rsidP="001D2B4A">
      <w:pPr>
        <w:ind w:left="1440"/>
      </w:pPr>
      <w:r>
        <w:t>e. Approval of cleanup plans and verifications that response actions are complete</w:t>
      </w:r>
      <w:r w:rsidR="001D2B4A">
        <w:t>.</w:t>
      </w:r>
    </w:p>
    <w:p w14:paraId="50681FFE" w14:textId="77777777" w:rsidR="00A2708C" w:rsidRDefault="00A2708C"/>
    <w:p w14:paraId="6FB0E65D" w14:textId="53260185" w:rsidR="00A2708C" w:rsidRDefault="00A2708C">
      <w:r>
        <w:tab/>
      </w:r>
    </w:p>
    <w:p w14:paraId="7082646F" w14:textId="303B905B" w:rsidR="00A2708C" w:rsidRDefault="00A2708C" w:rsidP="001D2B4A">
      <w:pPr>
        <w:ind w:left="720"/>
      </w:pPr>
      <w:r>
        <w:t>(</w:t>
      </w:r>
      <w:r w:rsidR="00EE2879">
        <w:t>2</w:t>
      </w:r>
      <w:r>
        <w:t>) capitalize a revolving loan fund</w:t>
      </w:r>
      <w:r w:rsidR="00C70DE6">
        <w:t xml:space="preserve"> for brownfields remediation</w:t>
      </w:r>
      <w:r w:rsidR="00EE2879">
        <w:t xml:space="preserve"> under CERCLA 104(k)(3)</w:t>
      </w:r>
      <w:r>
        <w:t>;</w:t>
      </w:r>
      <w:r w:rsidR="00576835">
        <w:t xml:space="preserve"> and</w:t>
      </w:r>
    </w:p>
    <w:p w14:paraId="5553F0D5" w14:textId="77777777" w:rsidR="00A2708C" w:rsidRDefault="00A2708C"/>
    <w:p w14:paraId="104AF49F" w14:textId="1978AFE9" w:rsidR="00A2708C" w:rsidRDefault="00A2708C" w:rsidP="001D2B4A">
      <w:pPr>
        <w:ind w:left="720"/>
      </w:pPr>
      <w:r>
        <w:t>(</w:t>
      </w:r>
      <w:r w:rsidR="00EE2879">
        <w:t>3</w:t>
      </w:r>
      <w:r>
        <w:t>) purchase environmental insurance</w:t>
      </w:r>
      <w:r w:rsidR="00EE2879">
        <w:t>, develop a risk sharing or indemnity pool, or other insurance mechanisms for the re</w:t>
      </w:r>
      <w:r w:rsidR="00576835">
        <w:t>sponse program.</w:t>
      </w:r>
    </w:p>
    <w:p w14:paraId="2697380D" w14:textId="77777777" w:rsidR="00A2708C" w:rsidRDefault="00A2708C"/>
    <w:p w14:paraId="59FD4412" w14:textId="3FB18EE6" w:rsidR="00A2708C" w:rsidRDefault="00A2708C">
      <w:r>
        <w:tab/>
      </w:r>
    </w:p>
    <w:p w14:paraId="64294E76" w14:textId="57A0678E" w:rsidR="00A2708C" w:rsidRDefault="00EE2879" w:rsidP="001D2B4A">
      <w:pPr>
        <w:ind w:firstLine="720"/>
      </w:pPr>
      <w:r>
        <w:t>Under CERCLA 101(39)</w:t>
      </w:r>
      <w:r w:rsidR="00A2708C">
        <w:t xml:space="preserve">, a brownfields site means real property, the expansion, redevelopment, or reuse of which may be complicated by the presence or potential presence of a hazardous substance, pollutant, or contaminant.  </w:t>
      </w:r>
      <w:r>
        <w:t xml:space="preserve">Brownfields sites may also include property contaminated with petroleum. </w:t>
      </w:r>
      <w:r w:rsidR="00A2708C">
        <w:t xml:space="preserve">For funding purposes, EPA uses the term “brownfields property(ies)” synonymously with the term “brownfields site(s).”  </w:t>
      </w:r>
    </w:p>
    <w:p w14:paraId="1FB40299" w14:textId="77777777" w:rsidR="00A2708C" w:rsidRDefault="00A2708C"/>
    <w:p w14:paraId="57D4797A" w14:textId="2C1FA1D4" w:rsidR="00A2708C" w:rsidRDefault="00A2708C">
      <w:r>
        <w:tab/>
        <w:t xml:space="preserve">While the Agency collects basic </w:t>
      </w:r>
      <w:r w:rsidR="009745EC">
        <w:t xml:space="preserve">cooperative agreement </w:t>
      </w:r>
      <w:r>
        <w:t>information as part of its Federal stewardship responsibilities to manage and oversee recipient activities and expendit</w:t>
      </w:r>
      <w:r w:rsidR="00AB35E5">
        <w:t>ures</w:t>
      </w:r>
      <w:r w:rsidR="00EE2879">
        <w:t xml:space="preserve"> under 2 CFR Part 200</w:t>
      </w:r>
      <w:r w:rsidR="001D2B4A">
        <w:t>,</w:t>
      </w:r>
      <w:r>
        <w:t xml:space="preserve"> </w:t>
      </w:r>
      <w:r w:rsidR="001340D0">
        <w:t>OBLR</w:t>
      </w:r>
      <w:r>
        <w:t xml:space="preserve"> needs additional information from recipients to be reported in a consistent manner in order to evaluate the effectiveness of the program and to report on program activities and accomplishments to Congress and other program stakeholders.  Specifically, </w:t>
      </w:r>
      <w:r w:rsidR="001340D0">
        <w:t>OBLR</w:t>
      </w:r>
      <w:r>
        <w:t xml:space="preserve"> has used and will continue to use the information collected from recipients to oversee the activities carried out using </w:t>
      </w:r>
      <w:r w:rsidR="009745EC">
        <w:t xml:space="preserve">cooperative agreement </w:t>
      </w:r>
      <w:r>
        <w:t xml:space="preserve">funds, to evaluate program implementation and effectiveness, and to meet the Agency’s responsibilities under the Government Performance and Results Act to report on </w:t>
      </w:r>
      <w:r w:rsidR="001340D0">
        <w:t>OBLR</w:t>
      </w:r>
      <w:r>
        <w:t xml:space="preserve">’s accomplishments.  The information collection activities covered by this renewed ICR are intended to:  (1) continue to improve the alignment of reporting requirements with programmatic performance measures; and (2) simplify and standardize reporting requirements to reduce uncertainty and burden imposed on recipients.  Without the information collection, </w:t>
      </w:r>
      <w:r w:rsidR="001340D0">
        <w:t>OBLR</w:t>
      </w:r>
      <w:r>
        <w:t xml:space="preserve"> would have limited access to information needed to effectively assess the relationship between those activities funded by EPA’s Brownfields </w:t>
      </w:r>
      <w:r w:rsidR="009745EC">
        <w:t xml:space="preserve">cooperative agreements </w:t>
      </w:r>
      <w:r>
        <w:t xml:space="preserve">and the intent of Congress with the passage of the Brownfields Amendments.  </w:t>
      </w:r>
    </w:p>
    <w:p w14:paraId="0D452B9E" w14:textId="77777777" w:rsidR="00A2708C" w:rsidRDefault="00A2708C"/>
    <w:p w14:paraId="31A70E43" w14:textId="77777777" w:rsidR="00A2708C" w:rsidRDefault="00A2708C">
      <w:pPr>
        <w:rPr>
          <w:b/>
          <w:u w:val="single"/>
        </w:rPr>
      </w:pPr>
      <w:r>
        <w:rPr>
          <w:b/>
        </w:rPr>
        <w:t xml:space="preserve">3.  </w:t>
      </w:r>
      <w:r>
        <w:rPr>
          <w:b/>
          <w:u w:val="single"/>
        </w:rPr>
        <w:t>Non-duplication, Consultations, and Other Collection Criteria</w:t>
      </w:r>
    </w:p>
    <w:p w14:paraId="70DAED37" w14:textId="77777777" w:rsidR="00A2708C" w:rsidRDefault="00A2708C">
      <w:pPr>
        <w:rPr>
          <w:b/>
        </w:rPr>
      </w:pPr>
    </w:p>
    <w:p w14:paraId="19CB3EC2" w14:textId="5337C92F" w:rsidR="00A2708C" w:rsidRDefault="00A2708C">
      <w:r>
        <w:tab/>
        <w:t>3(a).  Non-duplication – There is no other known source for the information that EPA seeks under this ICR.  Moreover, this ICR supplements, and does not duplicate, the information that EPA collects as part of its reporting and record keeping provisions under the Agency’s general assistan</w:t>
      </w:r>
      <w:r w:rsidR="00D434AC">
        <w:t>ce regulations at UGG 2 CFR Part 200</w:t>
      </w:r>
      <w:r w:rsidR="005A63BD">
        <w:t xml:space="preserve"> which became effective</w:t>
      </w:r>
      <w:r w:rsidR="001D2B4A">
        <w:t xml:space="preserve"> </w:t>
      </w:r>
      <w:r w:rsidR="00B43C6C">
        <w:t>December 26, 2014</w:t>
      </w:r>
      <w:r>
        <w:t xml:space="preserve">.  </w:t>
      </w:r>
      <w:r>
        <w:rPr>
          <w:b/>
        </w:rPr>
        <w:t>Exhibit 1</w:t>
      </w:r>
      <w:r>
        <w:t xml:space="preserve"> identifies the tasks and burdens of recipients that are covered under other OMB-approved ICRs.  This ICR addresses the burden imposed on recipients and EPA associated with the reporting requirements that are unique to </w:t>
      </w:r>
      <w:r w:rsidR="009745EC">
        <w:t xml:space="preserve">cooperative agreements </w:t>
      </w:r>
      <w:r>
        <w:t xml:space="preserve">awarded by EPA under authority of </w:t>
      </w:r>
      <w:r w:rsidR="00576835">
        <w:t xml:space="preserve">CERCLA </w:t>
      </w:r>
      <w:r w:rsidR="00FA3BB0">
        <w:t>104k and CERCLA 128(a)</w:t>
      </w:r>
      <w:r>
        <w:t>.</w:t>
      </w:r>
    </w:p>
    <w:p w14:paraId="253361FC" w14:textId="77777777" w:rsidR="00A2708C" w:rsidRDefault="00A2708C"/>
    <w:p w14:paraId="3F42BB4B" w14:textId="77777777" w:rsidR="00DE11EF" w:rsidRDefault="00DE11EF" w:rsidP="00DE11EF">
      <w:pPr>
        <w:jc w:val="center"/>
        <w:rPr>
          <w:color w:val="000000"/>
        </w:rPr>
      </w:pPr>
      <w:r>
        <w:rPr>
          <w:b/>
          <w:color w:val="000000"/>
        </w:rPr>
        <w:t>Exhibit 1:  Grant Burdens Covered Under Other Agency ICRs</w:t>
      </w:r>
    </w:p>
    <w:tbl>
      <w:tblPr>
        <w:tblW w:w="0" w:type="auto"/>
        <w:jc w:val="center"/>
        <w:tblLayout w:type="fixed"/>
        <w:tblCellMar>
          <w:left w:w="120" w:type="dxa"/>
          <w:right w:w="120" w:type="dxa"/>
        </w:tblCellMar>
        <w:tblLook w:val="0000" w:firstRow="0" w:lastRow="0" w:firstColumn="0" w:lastColumn="0" w:noHBand="0" w:noVBand="0"/>
      </w:tblPr>
      <w:tblGrid>
        <w:gridCol w:w="2790"/>
        <w:gridCol w:w="2610"/>
        <w:gridCol w:w="2518"/>
      </w:tblGrid>
      <w:tr w:rsidR="004C64E0" w14:paraId="32EF0C35" w14:textId="77777777" w:rsidTr="000302A4">
        <w:trPr>
          <w:jc w:val="center"/>
        </w:trPr>
        <w:tc>
          <w:tcPr>
            <w:tcW w:w="2790" w:type="dxa"/>
            <w:tcBorders>
              <w:top w:val="single" w:sz="5" w:space="0" w:color="000000"/>
              <w:left w:val="single" w:sz="5" w:space="0" w:color="000000"/>
              <w:bottom w:val="single" w:sz="18" w:space="0" w:color="000000"/>
              <w:right w:val="single" w:sz="5" w:space="0" w:color="000000"/>
            </w:tcBorders>
          </w:tcPr>
          <w:p w14:paraId="7E17EF4E" w14:textId="77777777" w:rsidR="00DE11EF" w:rsidRDefault="00DE11EF" w:rsidP="000302A4">
            <w:pPr>
              <w:spacing w:before="120" w:after="66"/>
              <w:jc w:val="center"/>
              <w:rPr>
                <w:color w:val="000000"/>
                <w:sz w:val="20"/>
              </w:rPr>
            </w:pPr>
            <w:r>
              <w:rPr>
                <w:b/>
                <w:color w:val="000000"/>
                <w:sz w:val="20"/>
              </w:rPr>
              <w:t>Task/Burden</w:t>
            </w:r>
          </w:p>
        </w:tc>
        <w:tc>
          <w:tcPr>
            <w:tcW w:w="2610" w:type="dxa"/>
            <w:tcBorders>
              <w:top w:val="single" w:sz="5" w:space="0" w:color="000000"/>
              <w:left w:val="single" w:sz="5" w:space="0" w:color="000000"/>
              <w:bottom w:val="single" w:sz="18" w:space="0" w:color="000000"/>
              <w:right w:val="single" w:sz="5" w:space="0" w:color="000000"/>
            </w:tcBorders>
          </w:tcPr>
          <w:p w14:paraId="774472FA" w14:textId="77777777" w:rsidR="00DE11EF" w:rsidRDefault="00DE11EF" w:rsidP="000302A4">
            <w:pPr>
              <w:spacing w:before="120" w:after="66"/>
              <w:jc w:val="center"/>
              <w:rPr>
                <w:color w:val="000000"/>
                <w:sz w:val="20"/>
              </w:rPr>
            </w:pPr>
            <w:r>
              <w:rPr>
                <w:b/>
                <w:color w:val="000000"/>
                <w:sz w:val="20"/>
              </w:rPr>
              <w:t>Authority</w:t>
            </w:r>
          </w:p>
        </w:tc>
        <w:tc>
          <w:tcPr>
            <w:tcW w:w="2518" w:type="dxa"/>
            <w:tcBorders>
              <w:top w:val="single" w:sz="5" w:space="0" w:color="000000"/>
              <w:left w:val="single" w:sz="5" w:space="0" w:color="000000"/>
              <w:bottom w:val="single" w:sz="18" w:space="0" w:color="000000"/>
              <w:right w:val="single" w:sz="5" w:space="0" w:color="000000"/>
            </w:tcBorders>
          </w:tcPr>
          <w:p w14:paraId="17FBD38A" w14:textId="77777777" w:rsidR="00DE11EF" w:rsidRDefault="00DE11EF" w:rsidP="000302A4">
            <w:pPr>
              <w:spacing w:before="120" w:after="66"/>
              <w:jc w:val="center"/>
              <w:rPr>
                <w:color w:val="000000"/>
                <w:sz w:val="20"/>
              </w:rPr>
            </w:pPr>
            <w:r>
              <w:rPr>
                <w:b/>
                <w:color w:val="000000"/>
                <w:sz w:val="20"/>
              </w:rPr>
              <w:t>Agency Approved ICR</w:t>
            </w:r>
          </w:p>
        </w:tc>
      </w:tr>
      <w:tr w:rsidR="004C64E0" w14:paraId="21997BC5" w14:textId="77777777" w:rsidTr="000302A4">
        <w:trPr>
          <w:jc w:val="center"/>
        </w:trPr>
        <w:tc>
          <w:tcPr>
            <w:tcW w:w="2790" w:type="dxa"/>
            <w:tcBorders>
              <w:top w:val="single" w:sz="5" w:space="0" w:color="000000"/>
              <w:left w:val="single" w:sz="5" w:space="0" w:color="000000"/>
              <w:bottom w:val="single" w:sz="5" w:space="0" w:color="000000"/>
              <w:right w:val="single" w:sz="5" w:space="0" w:color="000000"/>
            </w:tcBorders>
          </w:tcPr>
          <w:p w14:paraId="17B41424" w14:textId="77777777" w:rsidR="00DE11EF" w:rsidRDefault="00DE11EF" w:rsidP="000302A4">
            <w:pPr>
              <w:spacing w:before="120" w:after="66"/>
              <w:rPr>
                <w:color w:val="000000"/>
                <w:sz w:val="20"/>
              </w:rPr>
            </w:pPr>
            <w:r>
              <w:rPr>
                <w:color w:val="000000"/>
                <w:sz w:val="20"/>
              </w:rPr>
              <w:t>Preliminary Grant Proposal</w:t>
            </w:r>
          </w:p>
        </w:tc>
        <w:tc>
          <w:tcPr>
            <w:tcW w:w="2610" w:type="dxa"/>
            <w:tcBorders>
              <w:top w:val="single" w:sz="5" w:space="0" w:color="000000"/>
              <w:left w:val="single" w:sz="5" w:space="0" w:color="000000"/>
              <w:bottom w:val="single" w:sz="5" w:space="0" w:color="000000"/>
              <w:right w:val="single" w:sz="5" w:space="0" w:color="000000"/>
            </w:tcBorders>
          </w:tcPr>
          <w:p w14:paraId="7275561B" w14:textId="6123586F" w:rsidR="00DE11EF" w:rsidRDefault="00AB35E5" w:rsidP="00AB35E5">
            <w:pPr>
              <w:spacing w:before="120" w:after="66"/>
              <w:jc w:val="center"/>
              <w:rPr>
                <w:color w:val="000000"/>
                <w:sz w:val="20"/>
              </w:rPr>
            </w:pPr>
            <w:r>
              <w:rPr>
                <w:color w:val="000000"/>
                <w:sz w:val="20"/>
              </w:rPr>
              <w:t xml:space="preserve">2 CFR Part </w:t>
            </w:r>
            <w:r w:rsidR="005A63BD">
              <w:rPr>
                <w:color w:val="000000"/>
                <w:sz w:val="20"/>
              </w:rPr>
              <w:t>200</w:t>
            </w:r>
          </w:p>
        </w:tc>
        <w:tc>
          <w:tcPr>
            <w:tcW w:w="2518" w:type="dxa"/>
            <w:tcBorders>
              <w:top w:val="single" w:sz="5" w:space="0" w:color="000000"/>
              <w:left w:val="single" w:sz="5" w:space="0" w:color="000000"/>
              <w:bottom w:val="single" w:sz="5" w:space="0" w:color="000000"/>
              <w:right w:val="single" w:sz="5" w:space="0" w:color="000000"/>
            </w:tcBorders>
          </w:tcPr>
          <w:p w14:paraId="1A755062" w14:textId="77777777" w:rsidR="00DE11EF" w:rsidRDefault="00DE11EF" w:rsidP="000302A4">
            <w:pPr>
              <w:spacing w:before="120" w:after="66"/>
              <w:jc w:val="center"/>
              <w:rPr>
                <w:color w:val="000000"/>
                <w:sz w:val="20"/>
              </w:rPr>
            </w:pPr>
            <w:r>
              <w:rPr>
                <w:color w:val="000000"/>
                <w:sz w:val="20"/>
              </w:rPr>
              <w:t>OMB 2030-0020</w:t>
            </w:r>
          </w:p>
        </w:tc>
      </w:tr>
      <w:tr w:rsidR="004C64E0" w14:paraId="1949E4D5" w14:textId="77777777" w:rsidTr="000302A4">
        <w:trPr>
          <w:jc w:val="center"/>
        </w:trPr>
        <w:tc>
          <w:tcPr>
            <w:tcW w:w="2790" w:type="dxa"/>
            <w:tcBorders>
              <w:top w:val="single" w:sz="5" w:space="0" w:color="000000"/>
              <w:left w:val="single" w:sz="5" w:space="0" w:color="000000"/>
              <w:bottom w:val="single" w:sz="5" w:space="0" w:color="000000"/>
              <w:right w:val="single" w:sz="5" w:space="0" w:color="000000"/>
            </w:tcBorders>
          </w:tcPr>
          <w:p w14:paraId="182E08F0" w14:textId="77777777" w:rsidR="00DE11EF" w:rsidRDefault="00DE11EF" w:rsidP="000302A4">
            <w:pPr>
              <w:spacing w:before="120" w:after="66"/>
              <w:rPr>
                <w:color w:val="000000"/>
                <w:sz w:val="20"/>
              </w:rPr>
            </w:pPr>
            <w:r>
              <w:rPr>
                <w:color w:val="000000"/>
                <w:sz w:val="20"/>
              </w:rPr>
              <w:t>Final Grant Proposal</w:t>
            </w:r>
          </w:p>
        </w:tc>
        <w:tc>
          <w:tcPr>
            <w:tcW w:w="2610" w:type="dxa"/>
            <w:tcBorders>
              <w:top w:val="single" w:sz="5" w:space="0" w:color="000000"/>
              <w:left w:val="single" w:sz="5" w:space="0" w:color="000000"/>
              <w:bottom w:val="single" w:sz="5" w:space="0" w:color="000000"/>
              <w:right w:val="single" w:sz="5" w:space="0" w:color="000000"/>
            </w:tcBorders>
          </w:tcPr>
          <w:p w14:paraId="3919A6E5" w14:textId="24048147" w:rsidR="00DE11EF" w:rsidRDefault="00AB35E5" w:rsidP="000302A4">
            <w:pPr>
              <w:spacing w:before="120" w:after="66"/>
              <w:jc w:val="center"/>
              <w:rPr>
                <w:color w:val="000000"/>
                <w:sz w:val="20"/>
              </w:rPr>
            </w:pPr>
            <w:r>
              <w:rPr>
                <w:color w:val="000000"/>
                <w:sz w:val="20"/>
              </w:rPr>
              <w:t xml:space="preserve">2 CFR Part </w:t>
            </w:r>
            <w:r w:rsidR="005A63BD">
              <w:rPr>
                <w:color w:val="000000"/>
                <w:sz w:val="20"/>
              </w:rPr>
              <w:t>200</w:t>
            </w:r>
          </w:p>
        </w:tc>
        <w:tc>
          <w:tcPr>
            <w:tcW w:w="2518" w:type="dxa"/>
            <w:tcBorders>
              <w:top w:val="single" w:sz="5" w:space="0" w:color="000000"/>
              <w:left w:val="single" w:sz="5" w:space="0" w:color="000000"/>
              <w:bottom w:val="single" w:sz="5" w:space="0" w:color="000000"/>
              <w:right w:val="single" w:sz="5" w:space="0" w:color="000000"/>
            </w:tcBorders>
          </w:tcPr>
          <w:p w14:paraId="28247283" w14:textId="77777777" w:rsidR="00DE11EF" w:rsidRDefault="00DE11EF" w:rsidP="000302A4">
            <w:pPr>
              <w:spacing w:before="120" w:after="66"/>
              <w:jc w:val="center"/>
              <w:rPr>
                <w:color w:val="000000"/>
                <w:sz w:val="20"/>
              </w:rPr>
            </w:pPr>
            <w:r>
              <w:rPr>
                <w:color w:val="000000"/>
                <w:sz w:val="20"/>
              </w:rPr>
              <w:t>OMB 2030-0020</w:t>
            </w:r>
          </w:p>
        </w:tc>
      </w:tr>
      <w:tr w:rsidR="004C64E0" w14:paraId="00B1248E" w14:textId="77777777" w:rsidTr="000302A4">
        <w:trPr>
          <w:jc w:val="center"/>
        </w:trPr>
        <w:tc>
          <w:tcPr>
            <w:tcW w:w="2790" w:type="dxa"/>
            <w:tcBorders>
              <w:top w:val="single" w:sz="5" w:space="0" w:color="000000"/>
              <w:left w:val="single" w:sz="5" w:space="0" w:color="000000"/>
              <w:bottom w:val="single" w:sz="5" w:space="0" w:color="000000"/>
              <w:right w:val="single" w:sz="5" w:space="0" w:color="000000"/>
            </w:tcBorders>
          </w:tcPr>
          <w:p w14:paraId="42DC7FAB" w14:textId="77777777" w:rsidR="00DE11EF" w:rsidRDefault="00DE11EF" w:rsidP="000302A4">
            <w:pPr>
              <w:spacing w:before="120" w:after="66"/>
              <w:rPr>
                <w:color w:val="000000"/>
                <w:sz w:val="20"/>
              </w:rPr>
            </w:pPr>
            <w:r>
              <w:rPr>
                <w:color w:val="000000"/>
                <w:sz w:val="20"/>
              </w:rPr>
              <w:t>Budget Sheets</w:t>
            </w:r>
          </w:p>
        </w:tc>
        <w:tc>
          <w:tcPr>
            <w:tcW w:w="2610" w:type="dxa"/>
            <w:tcBorders>
              <w:top w:val="single" w:sz="5" w:space="0" w:color="000000"/>
              <w:left w:val="single" w:sz="5" w:space="0" w:color="000000"/>
              <w:bottom w:val="single" w:sz="5" w:space="0" w:color="000000"/>
              <w:right w:val="single" w:sz="5" w:space="0" w:color="000000"/>
            </w:tcBorders>
          </w:tcPr>
          <w:p w14:paraId="201A971E" w14:textId="5BE04A4C" w:rsidR="00DE11EF" w:rsidRDefault="00AB35E5" w:rsidP="000302A4">
            <w:pPr>
              <w:spacing w:before="120" w:after="66"/>
              <w:jc w:val="center"/>
              <w:rPr>
                <w:color w:val="000000"/>
                <w:sz w:val="20"/>
              </w:rPr>
            </w:pPr>
            <w:r>
              <w:rPr>
                <w:color w:val="000000"/>
                <w:sz w:val="20"/>
              </w:rPr>
              <w:t xml:space="preserve">2 CFR Part </w:t>
            </w:r>
            <w:r w:rsidR="005A63BD">
              <w:rPr>
                <w:color w:val="000000"/>
                <w:sz w:val="20"/>
              </w:rPr>
              <w:t>200</w:t>
            </w:r>
          </w:p>
        </w:tc>
        <w:tc>
          <w:tcPr>
            <w:tcW w:w="2518" w:type="dxa"/>
            <w:tcBorders>
              <w:top w:val="single" w:sz="5" w:space="0" w:color="000000"/>
              <w:left w:val="single" w:sz="5" w:space="0" w:color="000000"/>
              <w:bottom w:val="single" w:sz="5" w:space="0" w:color="000000"/>
              <w:right w:val="single" w:sz="5" w:space="0" w:color="000000"/>
            </w:tcBorders>
          </w:tcPr>
          <w:p w14:paraId="37242521" w14:textId="77777777" w:rsidR="00DE11EF" w:rsidRDefault="00DE11EF" w:rsidP="000302A4">
            <w:pPr>
              <w:spacing w:before="120" w:after="66"/>
              <w:jc w:val="center"/>
              <w:rPr>
                <w:color w:val="000000"/>
                <w:sz w:val="20"/>
              </w:rPr>
            </w:pPr>
            <w:r>
              <w:rPr>
                <w:color w:val="000000"/>
                <w:sz w:val="20"/>
              </w:rPr>
              <w:t>OMB 2030-0020</w:t>
            </w:r>
          </w:p>
        </w:tc>
      </w:tr>
      <w:tr w:rsidR="004C64E0" w14:paraId="0328EC60" w14:textId="77777777" w:rsidTr="000302A4">
        <w:trPr>
          <w:jc w:val="center"/>
        </w:trPr>
        <w:tc>
          <w:tcPr>
            <w:tcW w:w="2790" w:type="dxa"/>
            <w:tcBorders>
              <w:top w:val="single" w:sz="5" w:space="0" w:color="000000"/>
              <w:left w:val="single" w:sz="5" w:space="0" w:color="000000"/>
              <w:bottom w:val="single" w:sz="5" w:space="0" w:color="000000"/>
              <w:right w:val="single" w:sz="5" w:space="0" w:color="000000"/>
            </w:tcBorders>
          </w:tcPr>
          <w:p w14:paraId="26D40C97" w14:textId="77777777" w:rsidR="00DE11EF" w:rsidRDefault="00DE11EF" w:rsidP="000302A4">
            <w:pPr>
              <w:spacing w:before="120" w:after="66"/>
              <w:rPr>
                <w:color w:val="000000"/>
                <w:sz w:val="20"/>
              </w:rPr>
            </w:pPr>
            <w:r>
              <w:rPr>
                <w:color w:val="000000"/>
                <w:sz w:val="20"/>
              </w:rPr>
              <w:t>Quarterly Progress Reports</w:t>
            </w:r>
          </w:p>
        </w:tc>
        <w:tc>
          <w:tcPr>
            <w:tcW w:w="2610" w:type="dxa"/>
            <w:tcBorders>
              <w:top w:val="single" w:sz="5" w:space="0" w:color="000000"/>
              <w:left w:val="single" w:sz="5" w:space="0" w:color="000000"/>
              <w:bottom w:val="single" w:sz="5" w:space="0" w:color="000000"/>
              <w:right w:val="single" w:sz="5" w:space="0" w:color="000000"/>
            </w:tcBorders>
          </w:tcPr>
          <w:p w14:paraId="2FF3CEC1" w14:textId="468F26B7" w:rsidR="00DE11EF" w:rsidRDefault="00AB35E5" w:rsidP="000302A4">
            <w:pPr>
              <w:spacing w:before="120" w:after="66"/>
              <w:jc w:val="center"/>
              <w:rPr>
                <w:color w:val="000000"/>
                <w:sz w:val="20"/>
              </w:rPr>
            </w:pPr>
            <w:r>
              <w:rPr>
                <w:color w:val="000000"/>
                <w:sz w:val="20"/>
              </w:rPr>
              <w:t xml:space="preserve">2 CFR Part </w:t>
            </w:r>
            <w:r w:rsidR="005A63BD">
              <w:rPr>
                <w:color w:val="000000"/>
                <w:sz w:val="20"/>
              </w:rPr>
              <w:t xml:space="preserve">200 </w:t>
            </w:r>
          </w:p>
        </w:tc>
        <w:tc>
          <w:tcPr>
            <w:tcW w:w="2518" w:type="dxa"/>
            <w:tcBorders>
              <w:top w:val="single" w:sz="5" w:space="0" w:color="000000"/>
              <w:left w:val="single" w:sz="5" w:space="0" w:color="000000"/>
              <w:bottom w:val="single" w:sz="5" w:space="0" w:color="000000"/>
              <w:right w:val="single" w:sz="5" w:space="0" w:color="000000"/>
            </w:tcBorders>
          </w:tcPr>
          <w:p w14:paraId="374F958C" w14:textId="77777777" w:rsidR="00DE11EF" w:rsidRDefault="00DE11EF" w:rsidP="000302A4">
            <w:pPr>
              <w:spacing w:before="120" w:after="66"/>
              <w:jc w:val="center"/>
              <w:rPr>
                <w:color w:val="000000"/>
                <w:sz w:val="20"/>
              </w:rPr>
            </w:pPr>
            <w:r>
              <w:rPr>
                <w:color w:val="000000"/>
                <w:sz w:val="20"/>
              </w:rPr>
              <w:t>OMB 2030-0020</w:t>
            </w:r>
          </w:p>
        </w:tc>
      </w:tr>
      <w:tr w:rsidR="004C64E0" w14:paraId="135FCDCC" w14:textId="77777777" w:rsidTr="000302A4">
        <w:trPr>
          <w:jc w:val="center"/>
        </w:trPr>
        <w:tc>
          <w:tcPr>
            <w:tcW w:w="2790" w:type="dxa"/>
            <w:tcBorders>
              <w:top w:val="single" w:sz="5" w:space="0" w:color="000000"/>
              <w:left w:val="single" w:sz="5" w:space="0" w:color="000000"/>
              <w:bottom w:val="single" w:sz="5" w:space="0" w:color="000000"/>
              <w:right w:val="single" w:sz="5" w:space="0" w:color="000000"/>
            </w:tcBorders>
          </w:tcPr>
          <w:p w14:paraId="5400C5D6" w14:textId="77777777" w:rsidR="00DE11EF" w:rsidRDefault="00DE11EF" w:rsidP="000302A4">
            <w:pPr>
              <w:spacing w:before="120" w:after="66"/>
              <w:rPr>
                <w:color w:val="000000"/>
                <w:sz w:val="20"/>
              </w:rPr>
            </w:pPr>
            <w:r>
              <w:rPr>
                <w:color w:val="000000"/>
                <w:sz w:val="20"/>
              </w:rPr>
              <w:t>Notification of Significant Developments</w:t>
            </w:r>
          </w:p>
        </w:tc>
        <w:tc>
          <w:tcPr>
            <w:tcW w:w="2610" w:type="dxa"/>
            <w:tcBorders>
              <w:top w:val="single" w:sz="5" w:space="0" w:color="000000"/>
              <w:left w:val="single" w:sz="5" w:space="0" w:color="000000"/>
              <w:bottom w:val="single" w:sz="5" w:space="0" w:color="000000"/>
              <w:right w:val="single" w:sz="5" w:space="0" w:color="000000"/>
            </w:tcBorders>
          </w:tcPr>
          <w:p w14:paraId="3CB28DF8" w14:textId="7CCD23E7" w:rsidR="00DE11EF" w:rsidRDefault="00AB35E5" w:rsidP="000302A4">
            <w:pPr>
              <w:spacing w:before="120" w:after="66"/>
              <w:jc w:val="center"/>
              <w:rPr>
                <w:color w:val="000000"/>
                <w:sz w:val="20"/>
              </w:rPr>
            </w:pPr>
            <w:r>
              <w:rPr>
                <w:color w:val="000000"/>
                <w:sz w:val="20"/>
              </w:rPr>
              <w:t xml:space="preserve">2 CFR Part </w:t>
            </w:r>
            <w:r w:rsidR="005A63BD">
              <w:rPr>
                <w:color w:val="000000"/>
                <w:sz w:val="20"/>
              </w:rPr>
              <w:t>200</w:t>
            </w:r>
          </w:p>
        </w:tc>
        <w:tc>
          <w:tcPr>
            <w:tcW w:w="2518" w:type="dxa"/>
            <w:tcBorders>
              <w:top w:val="single" w:sz="5" w:space="0" w:color="000000"/>
              <w:left w:val="single" w:sz="5" w:space="0" w:color="000000"/>
              <w:bottom w:val="single" w:sz="5" w:space="0" w:color="000000"/>
              <w:right w:val="single" w:sz="5" w:space="0" w:color="000000"/>
            </w:tcBorders>
          </w:tcPr>
          <w:p w14:paraId="28FD2ACD" w14:textId="77777777" w:rsidR="00DE11EF" w:rsidRDefault="00DE11EF" w:rsidP="000302A4">
            <w:pPr>
              <w:spacing w:before="120" w:after="66"/>
              <w:jc w:val="center"/>
              <w:rPr>
                <w:color w:val="000000"/>
                <w:sz w:val="20"/>
              </w:rPr>
            </w:pPr>
            <w:r>
              <w:rPr>
                <w:color w:val="000000"/>
                <w:sz w:val="20"/>
              </w:rPr>
              <w:t>OMB 2030-0020</w:t>
            </w:r>
          </w:p>
        </w:tc>
      </w:tr>
      <w:tr w:rsidR="004C64E0" w14:paraId="7153A2E8" w14:textId="77777777" w:rsidTr="000302A4">
        <w:trPr>
          <w:jc w:val="center"/>
        </w:trPr>
        <w:tc>
          <w:tcPr>
            <w:tcW w:w="2790" w:type="dxa"/>
            <w:tcBorders>
              <w:top w:val="single" w:sz="5" w:space="0" w:color="000000"/>
              <w:left w:val="single" w:sz="5" w:space="0" w:color="000000"/>
              <w:bottom w:val="single" w:sz="5" w:space="0" w:color="000000"/>
              <w:right w:val="single" w:sz="5" w:space="0" w:color="000000"/>
            </w:tcBorders>
          </w:tcPr>
          <w:p w14:paraId="5D66BDFC" w14:textId="77777777" w:rsidR="00DE11EF" w:rsidRDefault="00DE11EF" w:rsidP="000302A4">
            <w:pPr>
              <w:spacing w:before="120" w:after="66"/>
              <w:rPr>
                <w:color w:val="000000"/>
                <w:sz w:val="20"/>
              </w:rPr>
            </w:pPr>
            <w:r>
              <w:rPr>
                <w:color w:val="000000"/>
                <w:sz w:val="20"/>
              </w:rPr>
              <w:t>Procurement Reports</w:t>
            </w:r>
          </w:p>
        </w:tc>
        <w:tc>
          <w:tcPr>
            <w:tcW w:w="2610" w:type="dxa"/>
            <w:tcBorders>
              <w:top w:val="single" w:sz="5" w:space="0" w:color="000000"/>
              <w:left w:val="single" w:sz="5" w:space="0" w:color="000000"/>
              <w:bottom w:val="single" w:sz="5" w:space="0" w:color="000000"/>
              <w:right w:val="single" w:sz="5" w:space="0" w:color="000000"/>
            </w:tcBorders>
          </w:tcPr>
          <w:p w14:paraId="49935333" w14:textId="64E7448F" w:rsidR="00DE11EF" w:rsidRDefault="00AB35E5" w:rsidP="000302A4">
            <w:pPr>
              <w:spacing w:before="120" w:after="66"/>
              <w:jc w:val="center"/>
              <w:rPr>
                <w:color w:val="000000"/>
                <w:sz w:val="20"/>
              </w:rPr>
            </w:pPr>
            <w:r>
              <w:rPr>
                <w:color w:val="000000"/>
                <w:sz w:val="20"/>
              </w:rPr>
              <w:t xml:space="preserve">2 CFR Part </w:t>
            </w:r>
            <w:r w:rsidR="005A63BD">
              <w:rPr>
                <w:color w:val="000000"/>
                <w:sz w:val="20"/>
              </w:rPr>
              <w:t>200</w:t>
            </w:r>
          </w:p>
        </w:tc>
        <w:tc>
          <w:tcPr>
            <w:tcW w:w="2518" w:type="dxa"/>
            <w:tcBorders>
              <w:top w:val="single" w:sz="5" w:space="0" w:color="000000"/>
              <w:left w:val="single" w:sz="5" w:space="0" w:color="000000"/>
              <w:bottom w:val="single" w:sz="5" w:space="0" w:color="000000"/>
              <w:right w:val="single" w:sz="5" w:space="0" w:color="000000"/>
            </w:tcBorders>
          </w:tcPr>
          <w:p w14:paraId="33EB9F86" w14:textId="77777777" w:rsidR="00DE11EF" w:rsidRDefault="00DE11EF" w:rsidP="000302A4">
            <w:pPr>
              <w:spacing w:before="120" w:after="66"/>
              <w:jc w:val="center"/>
              <w:rPr>
                <w:color w:val="000000"/>
                <w:sz w:val="20"/>
              </w:rPr>
            </w:pPr>
            <w:r>
              <w:rPr>
                <w:color w:val="000000"/>
                <w:sz w:val="20"/>
              </w:rPr>
              <w:t>OMB 2030-0020</w:t>
            </w:r>
          </w:p>
        </w:tc>
      </w:tr>
      <w:tr w:rsidR="004C64E0" w14:paraId="1EF71C38" w14:textId="77777777" w:rsidTr="000302A4">
        <w:trPr>
          <w:jc w:val="center"/>
        </w:trPr>
        <w:tc>
          <w:tcPr>
            <w:tcW w:w="2790" w:type="dxa"/>
            <w:tcBorders>
              <w:top w:val="single" w:sz="5" w:space="0" w:color="000000"/>
              <w:left w:val="single" w:sz="5" w:space="0" w:color="000000"/>
              <w:bottom w:val="single" w:sz="5" w:space="0" w:color="000000"/>
              <w:right w:val="single" w:sz="5" w:space="0" w:color="000000"/>
            </w:tcBorders>
          </w:tcPr>
          <w:p w14:paraId="309D8635" w14:textId="77777777" w:rsidR="00DE11EF" w:rsidRDefault="00DE11EF" w:rsidP="000302A4">
            <w:pPr>
              <w:spacing w:before="120" w:after="66"/>
              <w:rPr>
                <w:color w:val="000000"/>
                <w:sz w:val="20"/>
              </w:rPr>
            </w:pPr>
            <w:r>
              <w:rPr>
                <w:color w:val="000000"/>
                <w:sz w:val="20"/>
              </w:rPr>
              <w:t>Financial Reports</w:t>
            </w:r>
          </w:p>
        </w:tc>
        <w:tc>
          <w:tcPr>
            <w:tcW w:w="2610" w:type="dxa"/>
            <w:tcBorders>
              <w:top w:val="single" w:sz="5" w:space="0" w:color="000000"/>
              <w:left w:val="single" w:sz="5" w:space="0" w:color="000000"/>
              <w:bottom w:val="single" w:sz="5" w:space="0" w:color="000000"/>
              <w:right w:val="single" w:sz="5" w:space="0" w:color="000000"/>
            </w:tcBorders>
          </w:tcPr>
          <w:p w14:paraId="263276B2" w14:textId="173E14AB" w:rsidR="00DE11EF" w:rsidRDefault="00AB35E5" w:rsidP="000302A4">
            <w:pPr>
              <w:spacing w:before="120" w:after="66"/>
              <w:jc w:val="center"/>
              <w:rPr>
                <w:color w:val="000000"/>
                <w:sz w:val="20"/>
              </w:rPr>
            </w:pPr>
            <w:r>
              <w:rPr>
                <w:color w:val="000000"/>
                <w:sz w:val="20"/>
              </w:rPr>
              <w:t xml:space="preserve">2 CFR Part </w:t>
            </w:r>
            <w:r w:rsidR="005A63BD">
              <w:rPr>
                <w:color w:val="000000"/>
                <w:sz w:val="20"/>
              </w:rPr>
              <w:t xml:space="preserve">200 </w:t>
            </w:r>
          </w:p>
        </w:tc>
        <w:tc>
          <w:tcPr>
            <w:tcW w:w="2518" w:type="dxa"/>
            <w:tcBorders>
              <w:top w:val="single" w:sz="5" w:space="0" w:color="000000"/>
              <w:left w:val="single" w:sz="5" w:space="0" w:color="000000"/>
              <w:bottom w:val="single" w:sz="5" w:space="0" w:color="000000"/>
              <w:right w:val="single" w:sz="5" w:space="0" w:color="000000"/>
            </w:tcBorders>
          </w:tcPr>
          <w:p w14:paraId="79006387" w14:textId="77777777" w:rsidR="00DE11EF" w:rsidRDefault="00DE11EF" w:rsidP="000302A4">
            <w:pPr>
              <w:spacing w:before="120" w:after="66"/>
              <w:jc w:val="center"/>
              <w:rPr>
                <w:color w:val="000000"/>
                <w:sz w:val="20"/>
              </w:rPr>
            </w:pPr>
            <w:r>
              <w:rPr>
                <w:color w:val="000000"/>
                <w:sz w:val="20"/>
              </w:rPr>
              <w:t xml:space="preserve"> OMB 2030-0020</w:t>
            </w:r>
          </w:p>
        </w:tc>
      </w:tr>
      <w:tr w:rsidR="004C64E0" w14:paraId="1350A6DA" w14:textId="77777777" w:rsidTr="000302A4">
        <w:trPr>
          <w:jc w:val="center"/>
        </w:trPr>
        <w:tc>
          <w:tcPr>
            <w:tcW w:w="2790" w:type="dxa"/>
            <w:tcBorders>
              <w:top w:val="single" w:sz="5" w:space="0" w:color="000000"/>
              <w:left w:val="single" w:sz="5" w:space="0" w:color="000000"/>
              <w:bottom w:val="single" w:sz="5" w:space="0" w:color="000000"/>
              <w:right w:val="single" w:sz="5" w:space="0" w:color="000000"/>
            </w:tcBorders>
          </w:tcPr>
          <w:p w14:paraId="090252A9" w14:textId="77777777" w:rsidR="00DE11EF" w:rsidRDefault="00DE11EF" w:rsidP="000302A4">
            <w:pPr>
              <w:spacing w:before="120" w:after="66"/>
              <w:rPr>
                <w:color w:val="000000"/>
                <w:sz w:val="20"/>
              </w:rPr>
            </w:pPr>
            <w:r>
              <w:rPr>
                <w:color w:val="000000"/>
                <w:sz w:val="20"/>
              </w:rPr>
              <w:t xml:space="preserve">Project Records </w:t>
            </w:r>
          </w:p>
        </w:tc>
        <w:tc>
          <w:tcPr>
            <w:tcW w:w="2610" w:type="dxa"/>
            <w:tcBorders>
              <w:top w:val="single" w:sz="5" w:space="0" w:color="000000"/>
              <w:left w:val="single" w:sz="5" w:space="0" w:color="000000"/>
              <w:bottom w:val="single" w:sz="5" w:space="0" w:color="000000"/>
              <w:right w:val="single" w:sz="5" w:space="0" w:color="000000"/>
            </w:tcBorders>
          </w:tcPr>
          <w:p w14:paraId="3929C75B" w14:textId="43AB9B1E" w:rsidR="00DE11EF" w:rsidRDefault="00AB35E5" w:rsidP="000302A4">
            <w:pPr>
              <w:spacing w:before="120" w:after="66"/>
              <w:jc w:val="center"/>
              <w:rPr>
                <w:color w:val="000000"/>
                <w:sz w:val="20"/>
              </w:rPr>
            </w:pPr>
            <w:r>
              <w:rPr>
                <w:color w:val="000000"/>
                <w:sz w:val="20"/>
              </w:rPr>
              <w:t xml:space="preserve">2 CFR Part </w:t>
            </w:r>
            <w:r w:rsidR="005A63BD">
              <w:rPr>
                <w:color w:val="000000"/>
                <w:sz w:val="20"/>
              </w:rPr>
              <w:t>200</w:t>
            </w:r>
          </w:p>
        </w:tc>
        <w:tc>
          <w:tcPr>
            <w:tcW w:w="2518" w:type="dxa"/>
            <w:tcBorders>
              <w:top w:val="single" w:sz="5" w:space="0" w:color="000000"/>
              <w:left w:val="single" w:sz="5" w:space="0" w:color="000000"/>
              <w:bottom w:val="single" w:sz="5" w:space="0" w:color="000000"/>
              <w:right w:val="single" w:sz="5" w:space="0" w:color="000000"/>
            </w:tcBorders>
          </w:tcPr>
          <w:p w14:paraId="12D1BD1C" w14:textId="77777777" w:rsidR="00DE11EF" w:rsidRDefault="00DE11EF" w:rsidP="000302A4">
            <w:pPr>
              <w:spacing w:before="120" w:after="66"/>
              <w:jc w:val="center"/>
              <w:rPr>
                <w:color w:val="000000"/>
                <w:sz w:val="20"/>
              </w:rPr>
            </w:pPr>
            <w:r>
              <w:rPr>
                <w:color w:val="000000"/>
                <w:sz w:val="20"/>
              </w:rPr>
              <w:t>OMB 2030-0020</w:t>
            </w:r>
          </w:p>
        </w:tc>
      </w:tr>
    </w:tbl>
    <w:p w14:paraId="181DBE35" w14:textId="77777777" w:rsidR="00DE11EF" w:rsidRDefault="00DE11EF"/>
    <w:p w14:paraId="4816B5E5" w14:textId="4DB9483F" w:rsidR="00A2708C" w:rsidRPr="007716DC" w:rsidRDefault="00A2708C">
      <w:r>
        <w:tab/>
        <w:t xml:space="preserve">3(b).  </w:t>
      </w:r>
      <w:r w:rsidR="007716DC" w:rsidRPr="007716DC">
        <w:t>Public Notice Required Prior to ICR Submission to OMB.  The first notification of the Agency’s request for the renewal of this ICR was published in the Federal Regi</w:t>
      </w:r>
      <w:r w:rsidR="00194E66">
        <w:t>ster</w:t>
      </w:r>
      <w:r w:rsidR="002F5F4C">
        <w:t xml:space="preserve"> at 81 FR 10859</w:t>
      </w:r>
      <w:r w:rsidR="005C5C62">
        <w:t xml:space="preserve"> on March 2, 2016.</w:t>
      </w:r>
      <w:r w:rsidR="002F5F4C">
        <w:t xml:space="preserve"> It did not receive any comments. </w:t>
      </w:r>
    </w:p>
    <w:p w14:paraId="2A4CE656" w14:textId="77777777" w:rsidR="00A2708C" w:rsidRDefault="00A2708C">
      <w:pPr>
        <w:rPr>
          <w:b/>
          <w:color w:val="000000"/>
        </w:rPr>
      </w:pPr>
    </w:p>
    <w:p w14:paraId="632D4A68" w14:textId="7D382DD7" w:rsidR="00A2708C" w:rsidRDefault="00A2708C">
      <w:pPr>
        <w:rPr>
          <w:color w:val="000000"/>
        </w:rPr>
      </w:pPr>
      <w:r>
        <w:rPr>
          <w:color w:val="000000"/>
        </w:rPr>
        <w:tab/>
        <w:t xml:space="preserve">3(c).  Consultations – EPA has more than </w:t>
      </w:r>
      <w:r w:rsidR="00AB35E5">
        <w:rPr>
          <w:color w:val="000000"/>
        </w:rPr>
        <w:t>20</w:t>
      </w:r>
      <w:r>
        <w:rPr>
          <w:color w:val="000000"/>
        </w:rPr>
        <w:t xml:space="preserve"> years of experience managing Brownfields </w:t>
      </w:r>
      <w:r w:rsidR="009745EC">
        <w:rPr>
          <w:color w:val="000000"/>
        </w:rPr>
        <w:t xml:space="preserve">cooperative agreement </w:t>
      </w:r>
      <w:r>
        <w:rPr>
          <w:color w:val="000000"/>
        </w:rPr>
        <w:t>pro</w:t>
      </w:r>
      <w:r w:rsidR="007716DC">
        <w:rPr>
          <w:color w:val="000000"/>
        </w:rPr>
        <w:t xml:space="preserve">grams that awarded more than </w:t>
      </w:r>
      <w:r w:rsidR="00B43C6C">
        <w:rPr>
          <w:color w:val="000000"/>
        </w:rPr>
        <w:t>3,700</w:t>
      </w:r>
      <w:r>
        <w:rPr>
          <w:color w:val="000000"/>
        </w:rPr>
        <w:t xml:space="preserve"> cooperative agreements to </w:t>
      </w:r>
      <w:r w:rsidR="00B43C6C">
        <w:rPr>
          <w:color w:val="000000"/>
        </w:rPr>
        <w:t>s</w:t>
      </w:r>
      <w:r>
        <w:rPr>
          <w:color w:val="000000"/>
        </w:rPr>
        <w:t xml:space="preserve">tate, local, and tribal governments to address brownfields properties.  For these Brownfields </w:t>
      </w:r>
      <w:r w:rsidR="009745EC">
        <w:rPr>
          <w:color w:val="000000"/>
        </w:rPr>
        <w:t>cooperative agreements</w:t>
      </w:r>
      <w:r>
        <w:rPr>
          <w:color w:val="000000"/>
        </w:rPr>
        <w:t>, EPA staff ha</w:t>
      </w:r>
      <w:r w:rsidR="009745EC">
        <w:rPr>
          <w:color w:val="000000"/>
        </w:rPr>
        <w:t>s</w:t>
      </w:r>
      <w:r>
        <w:rPr>
          <w:color w:val="000000"/>
        </w:rPr>
        <w:t xml:space="preserve"> worked closely with the recipients to help them participate in the program and address their brownfields properties.  As such, EPA has a detailed understanding of the activities that recipients undertake and the burden they incur for voluntarily participating in EPA’s</w:t>
      </w:r>
      <w:r w:rsidR="009745EC">
        <w:rPr>
          <w:color w:val="000000"/>
        </w:rPr>
        <w:t xml:space="preserve"> cooperative agreement </w:t>
      </w:r>
      <w:r>
        <w:rPr>
          <w:color w:val="000000"/>
        </w:rPr>
        <w:t xml:space="preserve">programs.  In addition, during the preparation of the initial ICR </w:t>
      </w:r>
      <w:r w:rsidR="00DE11EF">
        <w:rPr>
          <w:color w:val="000000"/>
        </w:rPr>
        <w:t xml:space="preserve">in 2003 </w:t>
      </w:r>
      <w:r>
        <w:rPr>
          <w:color w:val="000000"/>
        </w:rPr>
        <w:t xml:space="preserve">and the reporting forms that are included, </w:t>
      </w:r>
      <w:bookmarkStart w:id="0" w:name="OLE_LINK1"/>
      <w:bookmarkStart w:id="1" w:name="OLE_LINK2"/>
      <w:r>
        <w:rPr>
          <w:color w:val="000000"/>
        </w:rPr>
        <w:t xml:space="preserve">EPA contacted eight Brownfields recipients to ask them specific questions about the burden associated with completing the draft forms included in this ICR. </w:t>
      </w:r>
      <w:bookmarkEnd w:id="0"/>
      <w:bookmarkEnd w:id="1"/>
      <w:r>
        <w:rPr>
          <w:color w:val="000000"/>
        </w:rPr>
        <w:t xml:space="preserve"> </w:t>
      </w:r>
      <w:r w:rsidR="009745EC">
        <w:rPr>
          <w:color w:val="000000"/>
        </w:rPr>
        <w:t>R</w:t>
      </w:r>
      <w:r>
        <w:rPr>
          <w:color w:val="000000"/>
        </w:rPr>
        <w:t xml:space="preserve">ecipient responses form the basis of EPA’s </w:t>
      </w:r>
      <w:r w:rsidR="00AF48BF">
        <w:rPr>
          <w:color w:val="000000"/>
        </w:rPr>
        <w:t xml:space="preserve">initial </w:t>
      </w:r>
      <w:r>
        <w:rPr>
          <w:color w:val="000000"/>
        </w:rPr>
        <w:t xml:space="preserve">calculations of the burden hours and costs. </w:t>
      </w:r>
    </w:p>
    <w:p w14:paraId="52497538" w14:textId="77777777" w:rsidR="003B6C0D" w:rsidRDefault="003B6C0D" w:rsidP="003304DF">
      <w:pPr>
        <w:rPr>
          <w:color w:val="000000"/>
        </w:rPr>
      </w:pPr>
    </w:p>
    <w:p w14:paraId="3A4F8848" w14:textId="473B6EF2" w:rsidR="003B6C0D" w:rsidRDefault="003B6C0D" w:rsidP="003B6C0D">
      <w:pPr>
        <w:ind w:firstLine="720"/>
        <w:rPr>
          <w:color w:val="000000"/>
        </w:rPr>
      </w:pPr>
      <w:r>
        <w:rPr>
          <w:color w:val="000000"/>
        </w:rPr>
        <w:t xml:space="preserve">Since the initial ICR, there have been several revisions to help improve the original </w:t>
      </w:r>
      <w:r w:rsidR="00FA3BB0">
        <w:rPr>
          <w:color w:val="000000"/>
        </w:rPr>
        <w:t>Property Profile and Job Training Reporting Forms to</w:t>
      </w:r>
      <w:r>
        <w:rPr>
          <w:color w:val="000000"/>
        </w:rPr>
        <w:t xml:space="preserve"> ensure they are as efficient as possible for cooperative agreement recipients. For the first renewal in 2006, the ICR was expanded to include </w:t>
      </w:r>
      <w:r>
        <w:rPr>
          <w:color w:val="000000"/>
        </w:rPr>
        <w:lastRenderedPageBreak/>
        <w:t>reporting from CERCLA 128(a) recipients. To do so, EPA consulted with several State and Tribal representatives when working on modifications to the Property Profile Form. For the second renewal in 2009, EPA added additional fields to the Property Profile Form. EPA contacted eight Brownfields recipients to ask them specific questions about the burden associated with completing the draft new fields for the Property Profile Form included in the renewal.  In 2012, EPA made no changes to the Property Profile Form and Job Training</w:t>
      </w:r>
      <w:r w:rsidR="00FA3BB0">
        <w:rPr>
          <w:color w:val="000000"/>
        </w:rPr>
        <w:t xml:space="preserve"> R</w:t>
      </w:r>
      <w:r>
        <w:rPr>
          <w:color w:val="000000"/>
        </w:rPr>
        <w:t xml:space="preserve">eporting </w:t>
      </w:r>
      <w:r w:rsidR="00FA3BB0">
        <w:rPr>
          <w:color w:val="000000"/>
        </w:rPr>
        <w:t>F</w:t>
      </w:r>
      <w:r>
        <w:rPr>
          <w:color w:val="000000"/>
        </w:rPr>
        <w:t xml:space="preserve">orm.  </w:t>
      </w:r>
    </w:p>
    <w:p w14:paraId="182C0EFF" w14:textId="77777777" w:rsidR="003B6C0D" w:rsidRDefault="003B6C0D" w:rsidP="003B6C0D">
      <w:pPr>
        <w:rPr>
          <w:color w:val="000000"/>
        </w:rPr>
      </w:pPr>
    </w:p>
    <w:p w14:paraId="47095646" w14:textId="6254C147" w:rsidR="00EE3C40" w:rsidRDefault="003B6C0D" w:rsidP="00EE3C40">
      <w:pPr>
        <w:ind w:firstLine="720"/>
        <w:rPr>
          <w:color w:val="000000"/>
        </w:rPr>
      </w:pPr>
      <w:r>
        <w:rPr>
          <w:color w:val="000000"/>
        </w:rPr>
        <w:t xml:space="preserve">For this </w:t>
      </w:r>
      <w:r w:rsidR="002F5F4C">
        <w:rPr>
          <w:color w:val="000000"/>
        </w:rPr>
        <w:t xml:space="preserve">renewal </w:t>
      </w:r>
      <w:r>
        <w:rPr>
          <w:color w:val="000000"/>
        </w:rPr>
        <w:t xml:space="preserve">of the ICR, EPA made changes to streamline some questions on the Property Profile Form, </w:t>
      </w:r>
      <w:r>
        <w:t>including making it easier to identify the correct geographical location of a property, and avoid duplicate property records in ACRES.</w:t>
      </w:r>
      <w:r w:rsidRPr="00D434AC">
        <w:t xml:space="preserve"> </w:t>
      </w:r>
      <w:r>
        <w:rPr>
          <w:color w:val="000000"/>
        </w:rPr>
        <w:t>Additionally, EPA created a new form for the Area-Wide Planning recipients to make it easier for them to report their accomplishments to EPA. Moving forward, Area-Wide Planning recipients will only be required to use this new form, and no longer need to use the Property Profile Form</w:t>
      </w:r>
      <w:r w:rsidR="002F5F4C">
        <w:rPr>
          <w:color w:val="000000"/>
        </w:rPr>
        <w:t>.</w:t>
      </w:r>
      <w:r w:rsidR="00EE3C40">
        <w:rPr>
          <w:color w:val="000000"/>
        </w:rPr>
        <w:t xml:space="preserve"> Individuals contacted for this revision included the following:</w:t>
      </w:r>
    </w:p>
    <w:p w14:paraId="4C3FA65A" w14:textId="77777777" w:rsidR="00EE3C40" w:rsidRDefault="00EE3C40" w:rsidP="00EE3C40">
      <w:pPr>
        <w:rPr>
          <w:color w:val="000000"/>
        </w:rPr>
      </w:pPr>
    </w:p>
    <w:p w14:paraId="40DDAC41" w14:textId="77777777" w:rsidR="00EE3C40" w:rsidRDefault="00EE3C40" w:rsidP="00EE3C40">
      <w:pPr>
        <w:rPr>
          <w:color w:val="000000"/>
        </w:rPr>
      </w:pPr>
    </w:p>
    <w:p w14:paraId="13260020" w14:textId="77777777" w:rsidR="00EE3C40" w:rsidRPr="002A46EB" w:rsidRDefault="00EE3C40" w:rsidP="00EE3C40">
      <w:pPr>
        <w:pStyle w:val="ListParagraph"/>
        <w:numPr>
          <w:ilvl w:val="0"/>
          <w:numId w:val="8"/>
        </w:numPr>
        <w:rPr>
          <w:sz w:val="22"/>
        </w:rPr>
      </w:pPr>
      <w:r w:rsidRPr="002A46EB">
        <w:t>Harris Byers</w:t>
      </w:r>
    </w:p>
    <w:p w14:paraId="33DF7C2E" w14:textId="77777777" w:rsidR="00EE3C40" w:rsidRPr="002A46EB" w:rsidRDefault="00EE3C40" w:rsidP="00EE3C40">
      <w:pPr>
        <w:ind w:firstLine="720"/>
      </w:pPr>
      <w:r w:rsidRPr="002A46EB">
        <w:t>Brownfields Project Manager</w:t>
      </w:r>
    </w:p>
    <w:p w14:paraId="1FABBF2A" w14:textId="77777777" w:rsidR="00EE3C40" w:rsidRPr="002A46EB" w:rsidRDefault="00EE3C40" w:rsidP="00EE3C40">
      <w:pPr>
        <w:ind w:left="720"/>
      </w:pPr>
      <w:r w:rsidRPr="002A46EB">
        <w:t>Stantec</w:t>
      </w:r>
    </w:p>
    <w:p w14:paraId="1AD1688E" w14:textId="77777777" w:rsidR="00EE3C40" w:rsidRPr="002A46EB" w:rsidRDefault="00EE3C40" w:rsidP="00EE3C40">
      <w:pPr>
        <w:ind w:firstLine="720"/>
      </w:pPr>
      <w:r w:rsidRPr="002A46EB">
        <w:t>12075 Corporate Parkway Suite 200 Mequon WI 53092-2649</w:t>
      </w:r>
    </w:p>
    <w:p w14:paraId="6EA4CF33" w14:textId="77777777" w:rsidR="00EE3C40" w:rsidRPr="002A46EB" w:rsidRDefault="00EE3C40" w:rsidP="00EE3C40">
      <w:pPr>
        <w:ind w:firstLine="720"/>
      </w:pPr>
      <w:r w:rsidRPr="002A46EB">
        <w:t>Phone: (262) 643-9174</w:t>
      </w:r>
      <w:r>
        <w:t xml:space="preserve">; </w:t>
      </w:r>
      <w:r w:rsidRPr="002A46EB">
        <w:t>Cell: (414) 581-6476</w:t>
      </w:r>
      <w:r>
        <w:t xml:space="preserve">; </w:t>
      </w:r>
      <w:r w:rsidRPr="002A46EB">
        <w:t>Fax: (262) 241-4901</w:t>
      </w:r>
    </w:p>
    <w:p w14:paraId="43ADB989" w14:textId="77777777" w:rsidR="00EE3C40" w:rsidRDefault="00BB306D" w:rsidP="00EE3C40">
      <w:pPr>
        <w:ind w:firstLine="720"/>
      </w:pPr>
      <w:hyperlink r:id="rId8" w:history="1">
        <w:r w:rsidR="00EE3C40">
          <w:rPr>
            <w:rStyle w:val="Hyperlink"/>
          </w:rPr>
          <w:t>Harris.Byers@stantec.com</w:t>
        </w:r>
      </w:hyperlink>
      <w:r w:rsidR="00EE3C40">
        <w:rPr>
          <w:color w:val="1F497D"/>
        </w:rPr>
        <w:t xml:space="preserve"> </w:t>
      </w:r>
    </w:p>
    <w:p w14:paraId="7AB386B8" w14:textId="77777777" w:rsidR="00EE3C40" w:rsidRDefault="00EE3C40" w:rsidP="00EE3C40">
      <w:r>
        <w:rPr>
          <w:color w:val="1F497D"/>
        </w:rPr>
        <w:t> </w:t>
      </w:r>
    </w:p>
    <w:p w14:paraId="54444BC3" w14:textId="77777777" w:rsidR="00EE3C40" w:rsidRPr="002A46EB" w:rsidRDefault="00EE3C40" w:rsidP="00EE3C40">
      <w:pPr>
        <w:pStyle w:val="ListParagraph"/>
        <w:numPr>
          <w:ilvl w:val="0"/>
          <w:numId w:val="8"/>
        </w:numPr>
      </w:pPr>
      <w:r w:rsidRPr="002A46EB">
        <w:t>Michele Oertel</w:t>
      </w:r>
    </w:p>
    <w:p w14:paraId="5B1B48B0" w14:textId="77777777" w:rsidR="00EE3C40" w:rsidRPr="002A46EB" w:rsidRDefault="00EE3C40" w:rsidP="00EE3C40">
      <w:pPr>
        <w:ind w:firstLine="720"/>
      </w:pPr>
      <w:r w:rsidRPr="002A46EB">
        <w:t>Federal Funding &amp; Community Relations Coordinator</w:t>
      </w:r>
    </w:p>
    <w:p w14:paraId="40C06167" w14:textId="77777777" w:rsidR="00EE3C40" w:rsidRPr="002A46EB" w:rsidRDefault="00EE3C40" w:rsidP="00EE3C40">
      <w:pPr>
        <w:ind w:firstLine="720"/>
      </w:pPr>
      <w:r w:rsidRPr="002A46EB">
        <w:t>Indiana Brownfields Program</w:t>
      </w:r>
    </w:p>
    <w:p w14:paraId="2F65819D" w14:textId="77777777" w:rsidR="00EE3C40" w:rsidRPr="002A46EB" w:rsidRDefault="00EE3C40" w:rsidP="00EE3C40">
      <w:pPr>
        <w:ind w:firstLine="720"/>
      </w:pPr>
      <w:r w:rsidRPr="002A46EB">
        <w:t xml:space="preserve">100 N. Senate Avenue, Room 1275 </w:t>
      </w:r>
    </w:p>
    <w:p w14:paraId="642A2BAA" w14:textId="77777777" w:rsidR="00EE3C40" w:rsidRPr="002A46EB" w:rsidRDefault="00EE3C40" w:rsidP="00EE3C40">
      <w:pPr>
        <w:ind w:firstLine="720"/>
      </w:pPr>
      <w:r w:rsidRPr="002A46EB">
        <w:t xml:space="preserve">Indianapolis, Indiana  46204 </w:t>
      </w:r>
    </w:p>
    <w:p w14:paraId="40DA0B79" w14:textId="77777777" w:rsidR="00EE3C40" w:rsidRPr="002A46EB" w:rsidRDefault="00EE3C40" w:rsidP="00EE3C40">
      <w:pPr>
        <w:ind w:firstLine="720"/>
      </w:pPr>
      <w:r w:rsidRPr="002A46EB">
        <w:t>Phone: 317-234-0235</w:t>
      </w:r>
      <w:r>
        <w:t xml:space="preserve">; or </w:t>
      </w:r>
      <w:r w:rsidRPr="002A46EB">
        <w:t>800-451-6027, Ext. 4¬0235</w:t>
      </w:r>
      <w:r>
        <w:t xml:space="preserve">; Fax: </w:t>
      </w:r>
      <w:r w:rsidRPr="002A46EB">
        <w:t xml:space="preserve">317-234-1338 </w:t>
      </w:r>
    </w:p>
    <w:p w14:paraId="07F6FE52" w14:textId="77777777" w:rsidR="00EE3C40" w:rsidRDefault="00EE3C40" w:rsidP="00EE3C40">
      <w:pPr>
        <w:ind w:firstLine="720"/>
      </w:pPr>
      <w:r>
        <w:rPr>
          <w:color w:val="1F497D"/>
        </w:rPr>
        <w:t xml:space="preserve">Email: </w:t>
      </w:r>
      <w:hyperlink r:id="rId9" w:history="1">
        <w:r>
          <w:rPr>
            <w:rStyle w:val="Hyperlink"/>
          </w:rPr>
          <w:t>moertel@ifa.IN.gov</w:t>
        </w:r>
      </w:hyperlink>
      <w:r>
        <w:rPr>
          <w:color w:val="1F497D"/>
        </w:rPr>
        <w:t xml:space="preserve"> </w:t>
      </w:r>
    </w:p>
    <w:p w14:paraId="29874FB4" w14:textId="77777777" w:rsidR="00EE3C40" w:rsidRDefault="00BB306D" w:rsidP="00EE3C40">
      <w:pPr>
        <w:ind w:firstLine="720"/>
      </w:pPr>
      <w:hyperlink r:id="rId10" w:history="1">
        <w:r w:rsidR="00EE3C40">
          <w:rPr>
            <w:rStyle w:val="Hyperlink"/>
          </w:rPr>
          <w:t>www.brownfields.IN.gov</w:t>
        </w:r>
      </w:hyperlink>
    </w:p>
    <w:p w14:paraId="470983E8" w14:textId="77777777" w:rsidR="00EE3C40" w:rsidRDefault="00EE3C40" w:rsidP="00EE3C40">
      <w:r>
        <w:rPr>
          <w:color w:val="1F497D"/>
        </w:rPr>
        <w:t> </w:t>
      </w:r>
    </w:p>
    <w:p w14:paraId="53163B1D" w14:textId="77777777" w:rsidR="00EE3C40" w:rsidRPr="002A46EB" w:rsidRDefault="00EE3C40" w:rsidP="00EE3C40">
      <w:pPr>
        <w:pStyle w:val="ListParagraph"/>
        <w:numPr>
          <w:ilvl w:val="0"/>
          <w:numId w:val="8"/>
        </w:numPr>
      </w:pPr>
      <w:r w:rsidRPr="002A46EB">
        <w:t>Marc Gerdeman</w:t>
      </w:r>
    </w:p>
    <w:p w14:paraId="16E6AD97" w14:textId="77777777" w:rsidR="00EE3C40" w:rsidRPr="002A46EB" w:rsidRDefault="00EE3C40" w:rsidP="00EE3C40">
      <w:pPr>
        <w:ind w:firstLine="720"/>
      </w:pPr>
      <w:r w:rsidRPr="002A46EB">
        <w:t>Brownfield Redevelopment Officer</w:t>
      </w:r>
    </w:p>
    <w:p w14:paraId="2A9E3C78" w14:textId="77777777" w:rsidR="00EE3C40" w:rsidRPr="002A46EB" w:rsidRDefault="00EE3C40" w:rsidP="00EE3C40">
      <w:pPr>
        <w:ind w:firstLine="720"/>
      </w:pPr>
      <w:r w:rsidRPr="002A46EB">
        <w:t>City of Toledo, Division of Env. Services</w:t>
      </w:r>
    </w:p>
    <w:p w14:paraId="13828D6E" w14:textId="77777777" w:rsidR="00EE3C40" w:rsidRPr="002A46EB" w:rsidRDefault="00EE3C40" w:rsidP="00EE3C40">
      <w:pPr>
        <w:ind w:firstLine="720"/>
      </w:pPr>
      <w:r w:rsidRPr="002A46EB">
        <w:t>348 S. Erie St.  Toledo, OH 43604</w:t>
      </w:r>
    </w:p>
    <w:p w14:paraId="12787387" w14:textId="77777777" w:rsidR="00EE3C40" w:rsidRPr="002A46EB" w:rsidRDefault="00EE3C40" w:rsidP="00EE3C40">
      <w:pPr>
        <w:ind w:firstLine="720"/>
      </w:pPr>
      <w:r>
        <w:t xml:space="preserve">Phone: </w:t>
      </w:r>
      <w:r w:rsidRPr="002A46EB">
        <w:t>419-936-3771 (office)</w:t>
      </w:r>
      <w:r>
        <w:t xml:space="preserve">; </w:t>
      </w:r>
      <w:r w:rsidRPr="002A46EB">
        <w:t>419-936-3959 (fax)</w:t>
      </w:r>
    </w:p>
    <w:p w14:paraId="31F4CF38" w14:textId="77777777" w:rsidR="00EE3C40" w:rsidRDefault="00BB306D" w:rsidP="00EE3C40">
      <w:pPr>
        <w:ind w:firstLine="720"/>
      </w:pPr>
      <w:hyperlink r:id="rId11" w:history="1">
        <w:r w:rsidR="00EE3C40">
          <w:rPr>
            <w:rStyle w:val="Hyperlink"/>
          </w:rPr>
          <w:t>Marc.Gerdeman@toledo.oh.gov</w:t>
        </w:r>
      </w:hyperlink>
    </w:p>
    <w:p w14:paraId="3D300A58" w14:textId="6E2B246B" w:rsidR="00757902" w:rsidRPr="00DE11EF" w:rsidRDefault="00DB11C2" w:rsidP="00DE11EF">
      <w:pPr>
        <w:rPr>
          <w:color w:val="000000"/>
        </w:rPr>
      </w:pPr>
      <w:r>
        <w:rPr>
          <w:color w:val="000000"/>
        </w:rPr>
        <w:t>.</w:t>
      </w:r>
      <w:r w:rsidR="003B1A62">
        <w:rPr>
          <w:color w:val="000000"/>
        </w:rPr>
        <w:t xml:space="preserve"> </w:t>
      </w:r>
    </w:p>
    <w:p w14:paraId="770995DA" w14:textId="77777777" w:rsidR="00A2708C" w:rsidRDefault="00A2708C">
      <w:pPr>
        <w:rPr>
          <w:color w:val="000000"/>
          <w:sz w:val="20"/>
        </w:rPr>
      </w:pPr>
    </w:p>
    <w:p w14:paraId="45C6BBC3" w14:textId="2580E1AA" w:rsidR="00A2708C" w:rsidRDefault="00A2708C">
      <w:pPr>
        <w:rPr>
          <w:color w:val="000000"/>
        </w:rPr>
      </w:pPr>
      <w:r>
        <w:rPr>
          <w:color w:val="000000"/>
        </w:rPr>
        <w:tab/>
        <w:t xml:space="preserve">3(d).  Effects of Less Frequent Collection – The information collection schedule is consistent with the Agency’s reporting schedule for general assistance </w:t>
      </w:r>
      <w:r w:rsidR="005D6497">
        <w:rPr>
          <w:color w:val="000000"/>
        </w:rPr>
        <w:t>agreements</w:t>
      </w:r>
      <w:r>
        <w:rPr>
          <w:color w:val="000000"/>
        </w:rPr>
        <w:t xml:space="preserve">.  Less frequent collection may not enable EPA to oversee and manage Brownfields </w:t>
      </w:r>
      <w:r w:rsidR="00FC12BA">
        <w:rPr>
          <w:color w:val="000000"/>
        </w:rPr>
        <w:t xml:space="preserve">cooperative agreements </w:t>
      </w:r>
      <w:r>
        <w:rPr>
          <w:color w:val="000000"/>
        </w:rPr>
        <w:t xml:space="preserve">effectively and would lessen </w:t>
      </w:r>
      <w:r w:rsidR="001340D0">
        <w:rPr>
          <w:color w:val="000000"/>
        </w:rPr>
        <w:t>OBLR</w:t>
      </w:r>
      <w:r>
        <w:rPr>
          <w:color w:val="000000"/>
        </w:rPr>
        <w:t>’s ability to report up-to-date and accurate information on program activities and accomplishments.  In consideration of the burden imposed on recipients, EPA has adopted less frequent repo</w:t>
      </w:r>
      <w:r w:rsidR="00F554E6">
        <w:rPr>
          <w:color w:val="000000"/>
        </w:rPr>
        <w:t>rting for the Property Profile F</w:t>
      </w:r>
      <w:r>
        <w:rPr>
          <w:color w:val="000000"/>
        </w:rPr>
        <w:t xml:space="preserve">orm in which recipients are </w:t>
      </w:r>
      <w:r>
        <w:rPr>
          <w:color w:val="000000"/>
        </w:rPr>
        <w:lastRenderedPageBreak/>
        <w:t xml:space="preserve">required to update and submit the form as notable activities or changes occur at a particular property.  EPA anticipates that recipients of </w:t>
      </w:r>
      <w:r w:rsidR="003B6C0D">
        <w:rPr>
          <w:color w:val="000000"/>
        </w:rPr>
        <w:t>CERCLA 104(k)</w:t>
      </w:r>
      <w:r>
        <w:rPr>
          <w:color w:val="000000"/>
        </w:rPr>
        <w:t xml:space="preserve"> assessment, cleanup, and revolving loan fund </w:t>
      </w:r>
      <w:r w:rsidR="009745EC">
        <w:rPr>
          <w:color w:val="000000"/>
        </w:rPr>
        <w:t xml:space="preserve">cooperative agreements </w:t>
      </w:r>
      <w:r>
        <w:rPr>
          <w:color w:val="000000"/>
        </w:rPr>
        <w:t>will subm</w:t>
      </w:r>
      <w:r w:rsidR="00F554E6">
        <w:rPr>
          <w:color w:val="000000"/>
        </w:rPr>
        <w:t>it an updated Property Profile F</w:t>
      </w:r>
      <w:r>
        <w:rPr>
          <w:color w:val="000000"/>
        </w:rPr>
        <w:t>orm to EPA</w:t>
      </w:r>
      <w:r w:rsidR="003B1A62">
        <w:rPr>
          <w:color w:val="000000"/>
        </w:rPr>
        <w:t xml:space="preserve"> at least</w:t>
      </w:r>
      <w:r>
        <w:rPr>
          <w:color w:val="000000"/>
        </w:rPr>
        <w:t xml:space="preserve"> </w:t>
      </w:r>
      <w:r w:rsidR="00FC12BA">
        <w:rPr>
          <w:color w:val="000000"/>
        </w:rPr>
        <w:t>twice</w:t>
      </w:r>
      <w:r>
        <w:rPr>
          <w:color w:val="000000"/>
        </w:rPr>
        <w:t xml:space="preserve"> but not more than four times </w:t>
      </w:r>
      <w:r w:rsidR="00007301">
        <w:rPr>
          <w:color w:val="000000"/>
        </w:rPr>
        <w:t xml:space="preserve">over the life of the cooperative agreement.  </w:t>
      </w:r>
      <w:r>
        <w:rPr>
          <w:color w:val="000000"/>
        </w:rPr>
        <w:t xml:space="preserve">For </w:t>
      </w:r>
      <w:r w:rsidR="003B6C0D">
        <w:rPr>
          <w:color w:val="000000"/>
        </w:rPr>
        <w:t>CERCLA 128(a)</w:t>
      </w:r>
      <w:r>
        <w:rPr>
          <w:color w:val="000000"/>
        </w:rPr>
        <w:t xml:space="preserve"> </w:t>
      </w:r>
      <w:r w:rsidR="003B6C0D">
        <w:rPr>
          <w:color w:val="000000"/>
        </w:rPr>
        <w:t>s</w:t>
      </w:r>
      <w:r>
        <w:rPr>
          <w:color w:val="000000"/>
        </w:rPr>
        <w:t xml:space="preserve">tate and tribal response program </w:t>
      </w:r>
      <w:r w:rsidR="009745EC">
        <w:rPr>
          <w:color w:val="000000"/>
        </w:rPr>
        <w:t>cooperative agreements</w:t>
      </w:r>
      <w:r>
        <w:rPr>
          <w:color w:val="000000"/>
        </w:rPr>
        <w:t xml:space="preserve">, EPA anticipates that recipients will submit a Property Profile </w:t>
      </w:r>
      <w:r w:rsidR="00F554E6">
        <w:rPr>
          <w:color w:val="000000"/>
        </w:rPr>
        <w:t>F</w:t>
      </w:r>
      <w:r>
        <w:rPr>
          <w:color w:val="000000"/>
        </w:rPr>
        <w:t xml:space="preserve">orm to EPA twice a year in line with the bi-annual reporting guidelines. </w:t>
      </w:r>
    </w:p>
    <w:p w14:paraId="741E1382" w14:textId="77777777" w:rsidR="00A2708C" w:rsidRDefault="00A2708C">
      <w:pPr>
        <w:rPr>
          <w:color w:val="000000"/>
        </w:rPr>
      </w:pPr>
    </w:p>
    <w:p w14:paraId="40DF631A" w14:textId="77777777" w:rsidR="00A2708C" w:rsidRDefault="00A2708C">
      <w:pPr>
        <w:rPr>
          <w:color w:val="000000"/>
        </w:rPr>
      </w:pPr>
      <w:r>
        <w:rPr>
          <w:color w:val="000000"/>
        </w:rPr>
        <w:tab/>
        <w:t>3(e).  General Guidelines – The information collection is consistent with the guidelines set forth in 5 CFR 1320.6 of the Paperwork Reduction Act Guidelines.</w:t>
      </w:r>
    </w:p>
    <w:p w14:paraId="54E9C678" w14:textId="77777777" w:rsidR="00A2708C" w:rsidRDefault="00A2708C">
      <w:pPr>
        <w:rPr>
          <w:color w:val="000000"/>
        </w:rPr>
      </w:pPr>
    </w:p>
    <w:p w14:paraId="276FC442" w14:textId="1895DD98" w:rsidR="00A2708C" w:rsidRDefault="00A2708C">
      <w:pPr>
        <w:rPr>
          <w:color w:val="000000"/>
        </w:rPr>
      </w:pPr>
      <w:r>
        <w:rPr>
          <w:color w:val="000000"/>
        </w:rPr>
        <w:tab/>
        <w:t>3(f).  Confidentiality – No confidentiality is provided and no sensitive information is collected under this ICR.</w:t>
      </w:r>
    </w:p>
    <w:p w14:paraId="05C8E994" w14:textId="77777777" w:rsidR="00A2708C" w:rsidRDefault="00A2708C">
      <w:pPr>
        <w:rPr>
          <w:color w:val="000000"/>
        </w:rPr>
      </w:pPr>
    </w:p>
    <w:p w14:paraId="07B57ED4" w14:textId="77777777" w:rsidR="00A2708C" w:rsidRDefault="00A2708C">
      <w:pPr>
        <w:rPr>
          <w:color w:val="000000"/>
        </w:rPr>
      </w:pPr>
      <w:r>
        <w:rPr>
          <w:color w:val="000000"/>
        </w:rPr>
        <w:tab/>
        <w:t>3(g).  Sensitive Questions – Sensitive questions are not associated with the information collection activities performed under Public Law 107-118.</w:t>
      </w:r>
    </w:p>
    <w:p w14:paraId="58CF36FF" w14:textId="77777777" w:rsidR="00A2708C" w:rsidRDefault="00A2708C">
      <w:pPr>
        <w:rPr>
          <w:color w:val="000000"/>
        </w:rPr>
      </w:pPr>
    </w:p>
    <w:p w14:paraId="207DC661" w14:textId="77777777" w:rsidR="008A6722" w:rsidRDefault="008A6722">
      <w:pPr>
        <w:rPr>
          <w:b/>
          <w:color w:val="000000"/>
        </w:rPr>
      </w:pPr>
    </w:p>
    <w:p w14:paraId="143046BD" w14:textId="77777777" w:rsidR="00A2708C" w:rsidRDefault="00A2708C">
      <w:pPr>
        <w:rPr>
          <w:b/>
          <w:color w:val="000000"/>
        </w:rPr>
      </w:pPr>
      <w:r>
        <w:rPr>
          <w:b/>
          <w:color w:val="000000"/>
        </w:rPr>
        <w:t xml:space="preserve">4.  </w:t>
      </w:r>
      <w:r>
        <w:rPr>
          <w:b/>
          <w:color w:val="000000"/>
          <w:u w:val="single"/>
        </w:rPr>
        <w:t>Respondents and Information Requested</w:t>
      </w:r>
    </w:p>
    <w:p w14:paraId="1B168FC9" w14:textId="77777777" w:rsidR="00A2708C" w:rsidRDefault="00A2708C">
      <w:pPr>
        <w:rPr>
          <w:color w:val="000000"/>
        </w:rPr>
      </w:pPr>
    </w:p>
    <w:p w14:paraId="4B96E4AA" w14:textId="41366CAE" w:rsidR="00A2708C" w:rsidRDefault="00A2708C">
      <w:pPr>
        <w:rPr>
          <w:color w:val="000000"/>
        </w:rPr>
      </w:pPr>
      <w:r>
        <w:rPr>
          <w:color w:val="000000"/>
        </w:rPr>
        <w:tab/>
        <w:t xml:space="preserve">4(a).  Respondents – Respondents under this ICR are those entities who voluntarily elect to participate in the Brownfields </w:t>
      </w:r>
      <w:r w:rsidR="009745EC">
        <w:rPr>
          <w:color w:val="000000"/>
        </w:rPr>
        <w:t xml:space="preserve">cooperative agreement </w:t>
      </w:r>
      <w:r>
        <w:rPr>
          <w:color w:val="000000"/>
        </w:rPr>
        <w:t xml:space="preserve">programs and receive funding from EPA under the authority of </w:t>
      </w:r>
      <w:r w:rsidR="003B6C0D">
        <w:rPr>
          <w:color w:val="000000"/>
        </w:rPr>
        <w:t>CERCLA 104(k) and CERCLA 128(a)</w:t>
      </w:r>
      <w:r>
        <w:rPr>
          <w:color w:val="000000"/>
        </w:rPr>
        <w:t>.  Specifically, respondents to this information collection include: general purpose units of local government</w:t>
      </w:r>
      <w:r w:rsidR="00354579">
        <w:rPr>
          <w:color w:val="000000"/>
        </w:rPr>
        <w:t xml:space="preserve"> (NAICS Code: 92411)</w:t>
      </w:r>
      <w:r>
        <w:rPr>
          <w:color w:val="000000"/>
        </w:rPr>
        <w:t>; land clearance authorities or other quasi-governmental entities that operate under the supervision and control of, or as an agent of, a general purpose unit of local government</w:t>
      </w:r>
      <w:r w:rsidR="00354579">
        <w:rPr>
          <w:color w:val="000000"/>
        </w:rPr>
        <w:t xml:space="preserve"> (NAICS Code: 92411)</w:t>
      </w:r>
      <w:r>
        <w:rPr>
          <w:color w:val="000000"/>
        </w:rPr>
        <w:t xml:space="preserve">; government entities created by </w:t>
      </w:r>
      <w:r w:rsidR="00A545AA">
        <w:rPr>
          <w:color w:val="000000"/>
        </w:rPr>
        <w:t>S</w:t>
      </w:r>
      <w:r>
        <w:rPr>
          <w:color w:val="000000"/>
        </w:rPr>
        <w:t>tate legislature</w:t>
      </w:r>
      <w:r w:rsidR="00354579">
        <w:rPr>
          <w:color w:val="000000"/>
        </w:rPr>
        <w:t xml:space="preserve"> (NAICS Code: 92411)</w:t>
      </w:r>
      <w:r>
        <w:rPr>
          <w:color w:val="000000"/>
        </w:rPr>
        <w:t>; regional councils or groups of general purpose units of local government</w:t>
      </w:r>
      <w:r w:rsidR="00354579">
        <w:rPr>
          <w:color w:val="000000"/>
        </w:rPr>
        <w:t xml:space="preserve"> (NAICS Code: 92411)</w:t>
      </w:r>
      <w:r>
        <w:rPr>
          <w:color w:val="000000"/>
        </w:rPr>
        <w:t>; redevelopment agencies that are chartered or otherwise sanctioned by the State</w:t>
      </w:r>
      <w:r w:rsidR="00354579">
        <w:rPr>
          <w:color w:val="000000"/>
        </w:rPr>
        <w:t xml:space="preserve"> (NAICS Code: 92411)</w:t>
      </w:r>
      <w:r>
        <w:rPr>
          <w:color w:val="000000"/>
        </w:rPr>
        <w:t>; States</w:t>
      </w:r>
      <w:r w:rsidR="00354579">
        <w:rPr>
          <w:color w:val="000000"/>
        </w:rPr>
        <w:t xml:space="preserve"> (NAICS Code: 92411)</w:t>
      </w:r>
      <w:r>
        <w:rPr>
          <w:color w:val="000000"/>
        </w:rPr>
        <w:t>; Indian Tribes other than in Alaska</w:t>
      </w:r>
      <w:r w:rsidR="00354579">
        <w:rPr>
          <w:color w:val="000000"/>
        </w:rPr>
        <w:t xml:space="preserve"> (NAICS Code: </w:t>
      </w:r>
      <w:r w:rsidR="00354579">
        <w:t>92115)</w:t>
      </w:r>
      <w:r>
        <w:rPr>
          <w:color w:val="000000"/>
        </w:rPr>
        <w:t>; Alaska Native Regional Corporations, Alaska Native Village Corporations, and Metlakatla Indian Communities</w:t>
      </w:r>
      <w:r w:rsidR="00354579">
        <w:rPr>
          <w:color w:val="000000"/>
        </w:rPr>
        <w:t xml:space="preserve"> (NAICS Code:92115)</w:t>
      </w:r>
      <w:r>
        <w:rPr>
          <w:color w:val="000000"/>
        </w:rPr>
        <w:t>; and non-profit organizations</w:t>
      </w:r>
      <w:r w:rsidR="00CC3502">
        <w:rPr>
          <w:rStyle w:val="FootnoteReference"/>
          <w:color w:val="000000"/>
        </w:rPr>
        <w:footnoteReference w:id="1"/>
      </w:r>
      <w:r w:rsidR="00354579">
        <w:rPr>
          <w:color w:val="000000"/>
        </w:rPr>
        <w:t xml:space="preserve"> (NAICS Code: </w:t>
      </w:r>
      <w:r w:rsidR="00354579">
        <w:t>81331</w:t>
      </w:r>
      <w:r w:rsidR="002836E7">
        <w:rPr>
          <w:rStyle w:val="FootnoteReference"/>
        </w:rPr>
        <w:footnoteReference w:id="2"/>
      </w:r>
      <w:r w:rsidR="00354579">
        <w:t>)</w:t>
      </w:r>
      <w:r>
        <w:rPr>
          <w:color w:val="000000"/>
        </w:rPr>
        <w:t>.</w:t>
      </w:r>
    </w:p>
    <w:p w14:paraId="76CF3502" w14:textId="77777777" w:rsidR="00A2708C" w:rsidRDefault="00A2708C">
      <w:pPr>
        <w:rPr>
          <w:color w:val="000000"/>
        </w:rPr>
      </w:pPr>
    </w:p>
    <w:p w14:paraId="0F7B23C2" w14:textId="77777777" w:rsidR="002E37AF" w:rsidRDefault="00A2708C">
      <w:pPr>
        <w:rPr>
          <w:color w:val="000000"/>
        </w:rPr>
      </w:pPr>
      <w:r>
        <w:rPr>
          <w:color w:val="000000"/>
        </w:rPr>
        <w:tab/>
        <w:t xml:space="preserve">4(b).  Information Requested – The information requested by EPA under this ICR includes information from recipients specific to the activities undertaken and the accomplishments that result using Brownfields funds.  The information to be collected by EPA will vary by the type of </w:t>
      </w:r>
      <w:r w:rsidR="00457BFF">
        <w:rPr>
          <w:color w:val="000000"/>
        </w:rPr>
        <w:t xml:space="preserve">cooperative agreement </w:t>
      </w:r>
      <w:r>
        <w:rPr>
          <w:color w:val="000000"/>
        </w:rPr>
        <w:t xml:space="preserve">awarded to the respondent.  </w:t>
      </w:r>
    </w:p>
    <w:p w14:paraId="0631731C" w14:textId="008DC609" w:rsidR="00A2708C" w:rsidRDefault="00A2708C">
      <w:pPr>
        <w:rPr>
          <w:color w:val="000000"/>
        </w:rPr>
      </w:pPr>
    </w:p>
    <w:p w14:paraId="20BF328D" w14:textId="588C30E8" w:rsidR="00A2708C" w:rsidRDefault="00A2708C" w:rsidP="00086048">
      <w:pPr>
        <w:ind w:firstLine="720"/>
        <w:rPr>
          <w:color w:val="000000"/>
        </w:rPr>
      </w:pPr>
      <w:r>
        <w:rPr>
          <w:color w:val="000000"/>
        </w:rPr>
        <w:t xml:space="preserve">For Brownfields assessment, cleanup, revolving loan fund </w:t>
      </w:r>
      <w:r w:rsidR="009745EC">
        <w:rPr>
          <w:color w:val="000000"/>
        </w:rPr>
        <w:t>cooperative agreements</w:t>
      </w:r>
      <w:r>
        <w:rPr>
          <w:color w:val="000000"/>
        </w:rPr>
        <w:t xml:space="preserve">, and </w:t>
      </w:r>
      <w:r w:rsidR="005A63BD">
        <w:rPr>
          <w:color w:val="000000"/>
        </w:rPr>
        <w:t>site</w:t>
      </w:r>
      <w:r>
        <w:rPr>
          <w:color w:val="000000"/>
        </w:rPr>
        <w:t xml:space="preserve">-specific activities of the State </w:t>
      </w:r>
      <w:r w:rsidR="005A63BD">
        <w:rPr>
          <w:color w:val="000000"/>
        </w:rPr>
        <w:t xml:space="preserve">and Tribal </w:t>
      </w:r>
      <w:r>
        <w:rPr>
          <w:color w:val="000000"/>
        </w:rPr>
        <w:t xml:space="preserve">Response Program </w:t>
      </w:r>
      <w:r w:rsidR="005D6497">
        <w:rPr>
          <w:color w:val="000000"/>
        </w:rPr>
        <w:t>Cooperative Agreements</w:t>
      </w:r>
      <w:r>
        <w:rPr>
          <w:color w:val="000000"/>
        </w:rPr>
        <w:t xml:space="preserve">, EPA requires </w:t>
      </w:r>
      <w:r w:rsidR="005A63BD">
        <w:rPr>
          <w:color w:val="000000"/>
        </w:rPr>
        <w:t xml:space="preserve">CERCLA 104(k) and CERCLA 128(a) </w:t>
      </w:r>
      <w:r>
        <w:rPr>
          <w:color w:val="000000"/>
        </w:rPr>
        <w:t>recipients to prepare an initial Brownf</w:t>
      </w:r>
      <w:r w:rsidR="007C4431">
        <w:rPr>
          <w:color w:val="000000"/>
        </w:rPr>
        <w:t xml:space="preserve">ields Property Profile Form </w:t>
      </w:r>
      <w:r>
        <w:rPr>
          <w:color w:val="000000"/>
        </w:rPr>
        <w:t xml:space="preserve">for each property the </w:t>
      </w:r>
      <w:r w:rsidR="009745EC">
        <w:rPr>
          <w:color w:val="000000"/>
        </w:rPr>
        <w:t>cooperative agreement</w:t>
      </w:r>
      <w:r>
        <w:rPr>
          <w:color w:val="000000"/>
        </w:rPr>
        <w:t xml:space="preserve"> intends to address. The Property Profile Form compl</w:t>
      </w:r>
      <w:r w:rsidR="00086048">
        <w:rPr>
          <w:color w:val="000000"/>
        </w:rPr>
        <w:t>i</w:t>
      </w:r>
      <w:r>
        <w:rPr>
          <w:color w:val="000000"/>
        </w:rPr>
        <w:t xml:space="preserve">ments the information collected as part of the progress reports </w:t>
      </w:r>
      <w:r>
        <w:rPr>
          <w:color w:val="000000"/>
        </w:rPr>
        <w:lastRenderedPageBreak/>
        <w:t xml:space="preserve">required by the general assistance regulations, and requests basic information about each brownfields property covered by the </w:t>
      </w:r>
      <w:r w:rsidR="009745EC">
        <w:rPr>
          <w:color w:val="000000"/>
        </w:rPr>
        <w:t>cooperative agreement</w:t>
      </w:r>
      <w:r>
        <w:rPr>
          <w:color w:val="000000"/>
        </w:rPr>
        <w:t xml:space="preserve">, such as property name, location, parcel number, and size.  EPA requires recipients to update the Property Profile Form as notable activities or changes occur on the property, but no more frequently than quarterly for </w:t>
      </w:r>
      <w:r w:rsidR="005A63BD">
        <w:rPr>
          <w:color w:val="000000"/>
        </w:rPr>
        <w:t xml:space="preserve">CERCLA 104(k) </w:t>
      </w:r>
      <w:r>
        <w:rPr>
          <w:color w:val="000000"/>
        </w:rPr>
        <w:t xml:space="preserve">recipients and no more than twice a year for </w:t>
      </w:r>
      <w:r w:rsidR="005A63BD">
        <w:rPr>
          <w:color w:val="000000"/>
        </w:rPr>
        <w:t>CERCLA 128(a)</w:t>
      </w:r>
      <w:r>
        <w:rPr>
          <w:color w:val="000000"/>
        </w:rPr>
        <w:t xml:space="preserve"> recipients.  For example, as an assessment of the property is completed, recipients are required to complete the portion of the Property Profile Form that applies to assessments, and provide basic information to EPA on the type of assessment, date of completion, and results or findings of the assessment.  Other sections of the Property Profile Form collect basic information on cleanups and any redevelopment activities that occur on the property, including estimates of the number of jobs that result. </w:t>
      </w:r>
    </w:p>
    <w:p w14:paraId="00135323" w14:textId="77777777" w:rsidR="002E37AF" w:rsidRDefault="002E37AF" w:rsidP="002E37AF">
      <w:pPr>
        <w:pStyle w:val="Level1"/>
        <w:widowControl/>
        <w:ind w:firstLine="720"/>
        <w:rPr>
          <w:color w:val="000000"/>
        </w:rPr>
      </w:pPr>
    </w:p>
    <w:p w14:paraId="722E20B1" w14:textId="77777777" w:rsidR="002E37AF" w:rsidRPr="003D35DB" w:rsidRDefault="002E37AF" w:rsidP="002E37AF">
      <w:pPr>
        <w:pStyle w:val="Level1"/>
        <w:widowControl/>
        <w:ind w:firstLine="720"/>
        <w:rPr>
          <w:color w:val="000000"/>
        </w:rPr>
      </w:pPr>
      <w:r>
        <w:rPr>
          <w:color w:val="000000"/>
        </w:rPr>
        <w:t>Brownfields Area-Wide Planning recipients are required to complete an initial Area-Wide Planning Reporting Form. Recipients are then required to provide form updates as notable events occur</w:t>
      </w:r>
      <w:r w:rsidRPr="003D35DB">
        <w:rPr>
          <w:color w:val="000000"/>
        </w:rPr>
        <w:t xml:space="preserve"> pertaining to revitalizing the BF AWP project area is available. </w:t>
      </w:r>
    </w:p>
    <w:p w14:paraId="7B65DD26" w14:textId="77777777" w:rsidR="00086048" w:rsidRDefault="00086048" w:rsidP="00B25B7A">
      <w:pPr>
        <w:ind w:firstLine="720"/>
        <w:rPr>
          <w:color w:val="000000"/>
        </w:rPr>
      </w:pPr>
    </w:p>
    <w:p w14:paraId="173D4E37" w14:textId="153D074E" w:rsidR="00086048" w:rsidRDefault="00C93E8D" w:rsidP="00B25B7A">
      <w:pPr>
        <w:ind w:firstLine="720"/>
        <w:rPr>
          <w:color w:val="000000"/>
        </w:rPr>
      </w:pPr>
      <w:r>
        <w:rPr>
          <w:color w:val="000000"/>
        </w:rPr>
        <w:t>Environmental Workf</w:t>
      </w:r>
      <w:r w:rsidR="003B6C0D">
        <w:rPr>
          <w:color w:val="000000"/>
        </w:rPr>
        <w:t>orce</w:t>
      </w:r>
      <w:r>
        <w:rPr>
          <w:color w:val="000000"/>
        </w:rPr>
        <w:t xml:space="preserve"> Development</w:t>
      </w:r>
      <w:r w:rsidR="003B6C0D">
        <w:rPr>
          <w:color w:val="000000"/>
        </w:rPr>
        <w:t xml:space="preserve"> Job Training</w:t>
      </w:r>
      <w:r w:rsidR="00086048">
        <w:rPr>
          <w:color w:val="000000"/>
        </w:rPr>
        <w:t xml:space="preserve"> recipients are required to complete on a quarterly basis the Job Training Reporting Form.  The form asks for information about the number of training participants, their success in obtaining employment after the training, and the leveraged funds from the job training program.  </w:t>
      </w:r>
    </w:p>
    <w:p w14:paraId="404F4FA7" w14:textId="77777777" w:rsidR="00086048" w:rsidRDefault="00086048" w:rsidP="00B25B7A">
      <w:pPr>
        <w:ind w:firstLine="720"/>
        <w:rPr>
          <w:color w:val="000000"/>
        </w:rPr>
      </w:pPr>
    </w:p>
    <w:p w14:paraId="0DE204AD" w14:textId="5142737A" w:rsidR="00086048" w:rsidRDefault="00086048" w:rsidP="00B25B7A">
      <w:pPr>
        <w:ind w:firstLine="720"/>
        <w:rPr>
          <w:color w:val="000000"/>
        </w:rPr>
      </w:pPr>
    </w:p>
    <w:p w14:paraId="6203121A" w14:textId="77777777" w:rsidR="00A2708C" w:rsidRDefault="00A2708C">
      <w:pPr>
        <w:rPr>
          <w:color w:val="000000"/>
        </w:rPr>
      </w:pPr>
    </w:p>
    <w:p w14:paraId="2ADA6935" w14:textId="77777777" w:rsidR="00A2708C" w:rsidRDefault="00A2708C">
      <w:pPr>
        <w:rPr>
          <w:b/>
          <w:color w:val="000000"/>
          <w:u w:val="single"/>
        </w:rPr>
      </w:pPr>
      <w:r>
        <w:rPr>
          <w:b/>
          <w:color w:val="000000"/>
        </w:rPr>
        <w:t xml:space="preserve">5. </w:t>
      </w:r>
      <w:r>
        <w:rPr>
          <w:b/>
          <w:color w:val="000000"/>
          <w:u w:val="single"/>
        </w:rPr>
        <w:t>The Information Collected – Agency Activities, Collection, Methodology and Information Management</w:t>
      </w:r>
    </w:p>
    <w:p w14:paraId="1802D01A" w14:textId="77777777" w:rsidR="00A2708C" w:rsidRDefault="00A2708C">
      <w:pPr>
        <w:rPr>
          <w:color w:val="000000"/>
        </w:rPr>
      </w:pPr>
    </w:p>
    <w:p w14:paraId="3EF6319D" w14:textId="077C5208" w:rsidR="003E5635" w:rsidRDefault="00A2708C">
      <w:pPr>
        <w:rPr>
          <w:color w:val="000000"/>
        </w:rPr>
      </w:pPr>
      <w:r>
        <w:rPr>
          <w:color w:val="000000"/>
        </w:rPr>
        <w:tab/>
        <w:t xml:space="preserve">5(a).  Agency Activities – EPA is responsible to Congress and other stakeholders to ensure that its resources are being used efficiently and effectively, to evaluate the progress of the recipients in meeting the goals of EPA’s </w:t>
      </w:r>
      <w:r w:rsidR="00593B2D">
        <w:rPr>
          <w:color w:val="000000"/>
        </w:rPr>
        <w:t>Office of Brownfields and Land Revitalization</w:t>
      </w:r>
      <w:r>
        <w:rPr>
          <w:color w:val="000000"/>
        </w:rPr>
        <w:t xml:space="preserve">, and to share the successes, lessons learned, and best practices among Brownfields recipients.   EPA will collect the information using standardized forms that minimize the burden on respondents while ensuring consistent information that can be easily aggregated and accurately reported.  EPA program staff will review the information collected to keep current on </w:t>
      </w:r>
      <w:r w:rsidR="005D6497">
        <w:rPr>
          <w:color w:val="000000"/>
        </w:rPr>
        <w:t xml:space="preserve">recipient </w:t>
      </w:r>
      <w:r>
        <w:rPr>
          <w:color w:val="000000"/>
        </w:rPr>
        <w:t xml:space="preserve">activities, and will enter the information into the Agency’s </w:t>
      </w:r>
      <w:r w:rsidR="00E25212">
        <w:rPr>
          <w:color w:val="000000"/>
        </w:rPr>
        <w:t>Assessment, Cleanup, and Redevelopment Exchange System (ACRES)</w:t>
      </w:r>
      <w:r w:rsidR="009D7777">
        <w:rPr>
          <w:color w:val="000000"/>
        </w:rPr>
        <w:t xml:space="preserve">. </w:t>
      </w:r>
      <w:r>
        <w:rPr>
          <w:color w:val="000000"/>
        </w:rPr>
        <w:t xml:space="preserve">EPA uses </w:t>
      </w:r>
      <w:r w:rsidR="002F3BF1">
        <w:rPr>
          <w:color w:val="000000"/>
        </w:rPr>
        <w:t>ACRES</w:t>
      </w:r>
      <w:r>
        <w:rPr>
          <w:color w:val="000000"/>
        </w:rPr>
        <w:t xml:space="preserve"> to maintain information on all of its </w:t>
      </w:r>
      <w:r w:rsidR="005F249D">
        <w:rPr>
          <w:color w:val="000000"/>
        </w:rPr>
        <w:t xml:space="preserve">Environmental Workforce Development Job </w:t>
      </w:r>
      <w:r w:rsidR="00B43C6C">
        <w:rPr>
          <w:color w:val="000000"/>
        </w:rPr>
        <w:t xml:space="preserve">Training and Area-Wide Planning cooperative agreements and all of its </w:t>
      </w:r>
      <w:r>
        <w:rPr>
          <w:color w:val="000000"/>
        </w:rPr>
        <w:t xml:space="preserve">Brownfields </w:t>
      </w:r>
      <w:r w:rsidR="00593B2D">
        <w:rPr>
          <w:color w:val="000000"/>
        </w:rPr>
        <w:t xml:space="preserve">cooperative agreements’ </w:t>
      </w:r>
      <w:r>
        <w:rPr>
          <w:color w:val="000000"/>
        </w:rPr>
        <w:t>property specific activities</w:t>
      </w:r>
      <w:r w:rsidR="00C46D4C">
        <w:rPr>
          <w:color w:val="000000"/>
        </w:rPr>
        <w:t>. Acres is also used to</w:t>
      </w:r>
      <w:r>
        <w:rPr>
          <w:color w:val="000000"/>
        </w:rPr>
        <w:t>, develop reports to support management and program evaluation activities, and to report accomplishments achieved as part of the Agency’s responsibilities under GPRA.</w:t>
      </w:r>
      <w:r w:rsidR="009D7777">
        <w:rPr>
          <w:color w:val="000000"/>
        </w:rPr>
        <w:t xml:space="preserve">  </w:t>
      </w:r>
    </w:p>
    <w:p w14:paraId="05DA2869" w14:textId="77777777" w:rsidR="00351AA9" w:rsidRDefault="00351AA9">
      <w:pPr>
        <w:rPr>
          <w:color w:val="000000"/>
        </w:rPr>
      </w:pPr>
    </w:p>
    <w:p w14:paraId="1D4CE57D" w14:textId="7DD6D43F" w:rsidR="00A2708C" w:rsidRPr="002573BD" w:rsidRDefault="00A2708C">
      <w:pPr>
        <w:rPr>
          <w:color w:val="365F91"/>
        </w:rPr>
      </w:pPr>
      <w:r>
        <w:rPr>
          <w:color w:val="000000"/>
        </w:rPr>
        <w:tab/>
        <w:t xml:space="preserve">5(b).  Collection Methodology and Management – EPA will collect data under this ICR using a standard set of forms, instructions, and guidance that are designed to simplify and facilitate the reporting requirements for recipients.  In fulfilling the requirements </w:t>
      </w:r>
      <w:r w:rsidR="00932656">
        <w:rPr>
          <w:color w:val="000000"/>
        </w:rPr>
        <w:t>under</w:t>
      </w:r>
      <w:r>
        <w:rPr>
          <w:color w:val="000000"/>
        </w:rPr>
        <w:t xml:space="preserve"> the Government Paperwork Elimination Act (Public Law 105-277), EPA develop</w:t>
      </w:r>
      <w:r w:rsidR="00932656">
        <w:rPr>
          <w:color w:val="000000"/>
        </w:rPr>
        <w:t xml:space="preserve">ed </w:t>
      </w:r>
      <w:r>
        <w:rPr>
          <w:color w:val="000000"/>
        </w:rPr>
        <w:t>an electronic reporting process that will allow recipients to report their data electronically.  This electronic reporting process</w:t>
      </w:r>
      <w:r w:rsidR="002573BD">
        <w:rPr>
          <w:color w:val="000000"/>
        </w:rPr>
        <w:t xml:space="preserve"> is</w:t>
      </w:r>
      <w:r>
        <w:rPr>
          <w:color w:val="000000"/>
        </w:rPr>
        <w:t xml:space="preserve"> integrated with EPA’s Enterprise Architecture to further streamline the Agency’s data management and reporting responsibilities.  EPA </w:t>
      </w:r>
      <w:r w:rsidR="00932656">
        <w:rPr>
          <w:color w:val="000000"/>
        </w:rPr>
        <w:t>released the</w:t>
      </w:r>
      <w:r>
        <w:rPr>
          <w:color w:val="000000"/>
        </w:rPr>
        <w:t xml:space="preserve"> electronic reporting </w:t>
      </w:r>
      <w:r>
        <w:rPr>
          <w:color w:val="000000"/>
        </w:rPr>
        <w:lastRenderedPageBreak/>
        <w:t xml:space="preserve">process </w:t>
      </w:r>
      <w:r w:rsidR="00932656">
        <w:rPr>
          <w:color w:val="000000"/>
        </w:rPr>
        <w:t>in January 2007 and all Brownfields recipients starting from FY 2003 have been given access</w:t>
      </w:r>
      <w:r>
        <w:rPr>
          <w:color w:val="000000"/>
        </w:rPr>
        <w:t xml:space="preserve">.  EPA </w:t>
      </w:r>
      <w:r w:rsidR="00932656">
        <w:rPr>
          <w:color w:val="000000"/>
        </w:rPr>
        <w:t>has</w:t>
      </w:r>
      <w:r>
        <w:rPr>
          <w:color w:val="000000"/>
        </w:rPr>
        <w:t xml:space="preserve"> modif</w:t>
      </w:r>
      <w:r w:rsidR="00932656">
        <w:rPr>
          <w:color w:val="000000"/>
        </w:rPr>
        <w:t xml:space="preserve">ied </w:t>
      </w:r>
      <w:r>
        <w:rPr>
          <w:color w:val="000000"/>
        </w:rPr>
        <w:t>its reporting guidance and provide</w:t>
      </w:r>
      <w:r w:rsidR="00932656">
        <w:rPr>
          <w:color w:val="000000"/>
        </w:rPr>
        <w:t>s</w:t>
      </w:r>
      <w:r>
        <w:rPr>
          <w:color w:val="000000"/>
        </w:rPr>
        <w:t xml:space="preserve"> training </w:t>
      </w:r>
      <w:r w:rsidR="00932656">
        <w:rPr>
          <w:color w:val="000000"/>
        </w:rPr>
        <w:t xml:space="preserve">on </w:t>
      </w:r>
      <w:r>
        <w:rPr>
          <w:color w:val="000000"/>
        </w:rPr>
        <w:t xml:space="preserve">the electronic reporting process.  </w:t>
      </w:r>
      <w:r w:rsidRPr="00F14AC5">
        <w:rPr>
          <w:color w:val="000000"/>
        </w:rPr>
        <w:t xml:space="preserve">EPA </w:t>
      </w:r>
      <w:r w:rsidR="00F14AC5" w:rsidRPr="00F14AC5">
        <w:rPr>
          <w:color w:val="000000"/>
        </w:rPr>
        <w:t xml:space="preserve">has achieved positive returns in user acceptance of the electronic reporting process since its release and </w:t>
      </w:r>
      <w:r w:rsidRPr="00F14AC5">
        <w:rPr>
          <w:color w:val="000000"/>
        </w:rPr>
        <w:t>the electronic reporting process reduce</w:t>
      </w:r>
      <w:r w:rsidR="00C928CB">
        <w:rPr>
          <w:color w:val="000000"/>
        </w:rPr>
        <w:t>s</w:t>
      </w:r>
      <w:r w:rsidRPr="00F14AC5">
        <w:rPr>
          <w:color w:val="000000"/>
        </w:rPr>
        <w:t xml:space="preserve"> the burden placed on recipients</w:t>
      </w:r>
      <w:r w:rsidR="00C928CB">
        <w:rPr>
          <w:color w:val="000000"/>
        </w:rPr>
        <w:t>.</w:t>
      </w:r>
      <w:r w:rsidR="00F14AC5">
        <w:rPr>
          <w:color w:val="000000"/>
        </w:rPr>
        <w:t xml:space="preserve"> </w:t>
      </w:r>
      <w:r w:rsidR="00D74AE4">
        <w:rPr>
          <w:color w:val="000000"/>
        </w:rPr>
        <w:t xml:space="preserve">Through </w:t>
      </w:r>
      <w:r w:rsidR="00C928CB">
        <w:rPr>
          <w:color w:val="000000"/>
        </w:rPr>
        <w:t xml:space="preserve">continued </w:t>
      </w:r>
      <w:r w:rsidR="00D74AE4">
        <w:rPr>
          <w:color w:val="000000"/>
        </w:rPr>
        <w:t xml:space="preserve">improvements to ACRES and greater </w:t>
      </w:r>
      <w:r w:rsidR="005D6497">
        <w:rPr>
          <w:color w:val="000000"/>
        </w:rPr>
        <w:t>recipient</w:t>
      </w:r>
      <w:r w:rsidR="00D74AE4">
        <w:rPr>
          <w:color w:val="000000"/>
        </w:rPr>
        <w:t xml:space="preserve"> experience, it is estimated that the re</w:t>
      </w:r>
      <w:r w:rsidR="0002602E">
        <w:rPr>
          <w:color w:val="000000"/>
        </w:rPr>
        <w:t xml:space="preserve">porting burden will </w:t>
      </w:r>
      <w:r w:rsidR="00D74AE4">
        <w:rPr>
          <w:color w:val="000000"/>
        </w:rPr>
        <w:t xml:space="preserve">decrease. </w:t>
      </w:r>
    </w:p>
    <w:p w14:paraId="4624422C" w14:textId="77777777" w:rsidR="00D61F43" w:rsidRDefault="00D61F43">
      <w:pPr>
        <w:rPr>
          <w:color w:val="000000"/>
        </w:rPr>
      </w:pPr>
    </w:p>
    <w:p w14:paraId="780B78A2" w14:textId="77777777" w:rsidR="00A2708C" w:rsidRDefault="00A2708C" w:rsidP="00B25B7A">
      <w:pPr>
        <w:ind w:firstLine="720"/>
        <w:rPr>
          <w:color w:val="000000"/>
        </w:rPr>
      </w:pPr>
      <w:r>
        <w:rPr>
          <w:color w:val="000000"/>
        </w:rPr>
        <w:t>5(c).  Small Entity Flexibility – This information collection request is expected to affect small governmental jurisdictions, which are defined as governments of cities, counties, towns, townships, villages, school districts, or special districts with populations of less than 50,000.  This definition may also include Indian Tribes, in keeping with the President’s Federal Indian Policy.  EPA has considered whether to establish different reporting requirements for small entities and has determined that: (1) different reporting requirements among recipients will result in inconsistent data that may lessen the Agency’s ability to oversee and report on program activities and accomplishments; (2) the burden imposed by this information collection is relatively small and small entities should not be unduly burdened by the reporting requirement; and (3) the Brownfields program is voluntary and respondents who elect to participate in this program have determined that the expected benefits of participation outweigh any burden associated with preparing the response.</w:t>
      </w:r>
    </w:p>
    <w:p w14:paraId="6B1FD935" w14:textId="77777777" w:rsidR="00A2708C" w:rsidRDefault="00A2708C">
      <w:pPr>
        <w:rPr>
          <w:color w:val="000000"/>
        </w:rPr>
      </w:pPr>
    </w:p>
    <w:p w14:paraId="3FDCB7EC" w14:textId="593DB1FD" w:rsidR="00A2708C" w:rsidRDefault="00A2708C">
      <w:pPr>
        <w:rPr>
          <w:color w:val="000000"/>
        </w:rPr>
      </w:pPr>
      <w:r>
        <w:rPr>
          <w:color w:val="000000"/>
        </w:rPr>
        <w:tab/>
        <w:t xml:space="preserve">5(d).  Collection Schedule – The information to be collected under this ICR for </w:t>
      </w:r>
      <w:r w:rsidR="003949BB">
        <w:rPr>
          <w:color w:val="000000"/>
        </w:rPr>
        <w:t>CERCLA 104(k)</w:t>
      </w:r>
      <w:r>
        <w:rPr>
          <w:color w:val="000000"/>
        </w:rPr>
        <w:t xml:space="preserve"> assessment, cleanup</w:t>
      </w:r>
      <w:r w:rsidR="00FC5AF0">
        <w:rPr>
          <w:color w:val="000000"/>
        </w:rPr>
        <w:t>,</w:t>
      </w:r>
      <w:r>
        <w:rPr>
          <w:color w:val="000000"/>
        </w:rPr>
        <w:t xml:space="preserve"> and revolving loan fund recipients shall not occur more frequently than quarterly</w:t>
      </w:r>
      <w:r w:rsidR="00905BD2">
        <w:rPr>
          <w:color w:val="000000"/>
        </w:rPr>
        <w:t>,</w:t>
      </w:r>
      <w:r>
        <w:rPr>
          <w:color w:val="000000"/>
        </w:rPr>
        <w:t xml:space="preserve"> and no more than twice a year for </w:t>
      </w:r>
      <w:r w:rsidR="003949BB">
        <w:rPr>
          <w:color w:val="000000"/>
        </w:rPr>
        <w:t xml:space="preserve">CERCLA 128(a) </w:t>
      </w:r>
      <w:r>
        <w:rPr>
          <w:color w:val="000000"/>
        </w:rPr>
        <w:t xml:space="preserve">property specific activities.  For </w:t>
      </w:r>
      <w:r w:rsidR="00933291">
        <w:rPr>
          <w:color w:val="000000"/>
        </w:rPr>
        <w:t>CERCLA 104(k)</w:t>
      </w:r>
      <w:r>
        <w:rPr>
          <w:color w:val="000000"/>
        </w:rPr>
        <w:t xml:space="preserve"> assessment, cleanup, revolving loan fund </w:t>
      </w:r>
      <w:r w:rsidR="00593B2D">
        <w:rPr>
          <w:color w:val="000000"/>
        </w:rPr>
        <w:t>cooperative agreements</w:t>
      </w:r>
      <w:r>
        <w:rPr>
          <w:color w:val="000000"/>
        </w:rPr>
        <w:t xml:space="preserve">, and </w:t>
      </w:r>
      <w:r w:rsidR="003949BB">
        <w:rPr>
          <w:color w:val="000000"/>
        </w:rPr>
        <w:t xml:space="preserve">CERCLA 128(a) </w:t>
      </w:r>
      <w:r>
        <w:rPr>
          <w:color w:val="000000"/>
        </w:rPr>
        <w:t xml:space="preserve">property specific activities, recipients will be required to prepare an initial Property Profile </w:t>
      </w:r>
      <w:r w:rsidR="00A545AA">
        <w:rPr>
          <w:color w:val="000000"/>
        </w:rPr>
        <w:t>F</w:t>
      </w:r>
      <w:r>
        <w:rPr>
          <w:color w:val="000000"/>
        </w:rPr>
        <w:t xml:space="preserve">orm for each </w:t>
      </w:r>
      <w:r w:rsidRPr="00F14AC5">
        <w:rPr>
          <w:color w:val="000000"/>
        </w:rPr>
        <w:t xml:space="preserve">property at which the </w:t>
      </w:r>
      <w:r w:rsidR="005D6497">
        <w:rPr>
          <w:color w:val="000000"/>
        </w:rPr>
        <w:t xml:space="preserve">cooperative agreement </w:t>
      </w:r>
      <w:r w:rsidR="00044B08">
        <w:rPr>
          <w:color w:val="000000"/>
        </w:rPr>
        <w:t xml:space="preserve">starts </w:t>
      </w:r>
      <w:r w:rsidRPr="00F14AC5">
        <w:rPr>
          <w:color w:val="000000"/>
        </w:rPr>
        <w:t>to address</w:t>
      </w:r>
      <w:r>
        <w:rPr>
          <w:color w:val="000000"/>
        </w:rPr>
        <w:t>, and to update the Property Profile forms for only those properties in which notable activities or changes have occurred during the last reporting period</w:t>
      </w:r>
      <w:r w:rsidR="00933291">
        <w:rPr>
          <w:color w:val="000000"/>
        </w:rPr>
        <w:t>.</w:t>
      </w:r>
      <w:r w:rsidR="00933291" w:rsidRPr="00933291">
        <w:rPr>
          <w:color w:val="000000"/>
        </w:rPr>
        <w:t xml:space="preserve"> </w:t>
      </w:r>
      <w:r w:rsidR="005F249D">
        <w:rPr>
          <w:color w:val="000000"/>
        </w:rPr>
        <w:t xml:space="preserve">Environmental Workforce Development Job </w:t>
      </w:r>
      <w:r w:rsidR="00933291">
        <w:rPr>
          <w:color w:val="000000"/>
        </w:rPr>
        <w:t xml:space="preserve">Training </w:t>
      </w:r>
      <w:r w:rsidR="00C125A9">
        <w:rPr>
          <w:color w:val="000000"/>
        </w:rPr>
        <w:t xml:space="preserve">recipients must complete </w:t>
      </w:r>
      <w:r w:rsidR="002E13E5">
        <w:rPr>
          <w:color w:val="000000"/>
        </w:rPr>
        <w:t xml:space="preserve">and/or update their </w:t>
      </w:r>
      <w:r w:rsidR="005F249D">
        <w:rPr>
          <w:color w:val="000000"/>
        </w:rPr>
        <w:t>Job Training R</w:t>
      </w:r>
      <w:r w:rsidR="00C125A9">
        <w:rPr>
          <w:color w:val="000000"/>
        </w:rPr>
        <w:t>e</w:t>
      </w:r>
      <w:r w:rsidR="005F249D">
        <w:rPr>
          <w:color w:val="000000"/>
        </w:rPr>
        <w:t>porting</w:t>
      </w:r>
      <w:r w:rsidR="00C125A9">
        <w:rPr>
          <w:color w:val="000000"/>
        </w:rPr>
        <w:t xml:space="preserve"> Form every quarter.  Brownfields Area-Wide Planning recipients must complete and/or update their Brownfields Area-Wide Planning Reporting Form </w:t>
      </w:r>
      <w:r w:rsidR="00C928CB">
        <w:rPr>
          <w:color w:val="000000"/>
        </w:rPr>
        <w:t>bi-annually</w:t>
      </w:r>
      <w:r w:rsidR="00C125A9">
        <w:rPr>
          <w:color w:val="000000"/>
        </w:rPr>
        <w:t>.</w:t>
      </w:r>
    </w:p>
    <w:p w14:paraId="1188A158" w14:textId="77777777" w:rsidR="00F14AC5" w:rsidRDefault="00F14AC5">
      <w:pPr>
        <w:rPr>
          <w:b/>
          <w:color w:val="000000"/>
        </w:rPr>
      </w:pPr>
    </w:p>
    <w:p w14:paraId="41A260D2" w14:textId="77777777" w:rsidR="00A2708C" w:rsidRPr="00C46D4C" w:rsidRDefault="00A2708C">
      <w:pPr>
        <w:rPr>
          <w:b/>
        </w:rPr>
      </w:pPr>
      <w:r w:rsidRPr="00C46D4C">
        <w:rPr>
          <w:b/>
        </w:rPr>
        <w:t xml:space="preserve">6. </w:t>
      </w:r>
      <w:r w:rsidRPr="00C46D4C">
        <w:rPr>
          <w:b/>
          <w:u w:val="single"/>
        </w:rPr>
        <w:t>Estimating the Burden and Cost of the Collection</w:t>
      </w:r>
      <w:r w:rsidRPr="00C46D4C">
        <w:rPr>
          <w:b/>
        </w:rPr>
        <w:t xml:space="preserve"> </w:t>
      </w:r>
    </w:p>
    <w:p w14:paraId="0D692671" w14:textId="77777777" w:rsidR="00A2708C" w:rsidRDefault="00A2708C">
      <w:pPr>
        <w:rPr>
          <w:color w:val="000000"/>
        </w:rPr>
      </w:pPr>
      <w:r>
        <w:rPr>
          <w:color w:val="000000"/>
        </w:rPr>
        <w:tab/>
      </w:r>
    </w:p>
    <w:p w14:paraId="15F481D6" w14:textId="14432B1C" w:rsidR="00A2708C" w:rsidRDefault="00A2708C">
      <w:pPr>
        <w:rPr>
          <w:color w:val="000000"/>
        </w:rPr>
      </w:pPr>
      <w:r>
        <w:rPr>
          <w:color w:val="000000"/>
        </w:rPr>
        <w:tab/>
        <w:t xml:space="preserve">6(a).  Estimating respondent burden - A “unit” burden is the burden incurred by a respondent for performing a specific activity that is not covered by another ICR (such as </w:t>
      </w:r>
      <w:r w:rsidR="00DB11C2">
        <w:rPr>
          <w:color w:val="000000"/>
        </w:rPr>
        <w:t xml:space="preserve">2 CFR Part </w:t>
      </w:r>
      <w:r w:rsidR="005A63BD">
        <w:rPr>
          <w:color w:val="000000"/>
        </w:rPr>
        <w:t>200</w:t>
      </w:r>
      <w:r>
        <w:rPr>
          <w:color w:val="000000"/>
        </w:rPr>
        <w:t xml:space="preserve">).  </w:t>
      </w:r>
      <w:r w:rsidR="005A63BD">
        <w:rPr>
          <w:color w:val="000000"/>
        </w:rPr>
        <w:t xml:space="preserve">It should be noted that although CERCLA 104(k) prohibits the use of </w:t>
      </w:r>
      <w:r w:rsidR="00D35C71">
        <w:rPr>
          <w:color w:val="000000"/>
        </w:rPr>
        <w:t>EPA funds for administrative costs, EPA interprets</w:t>
      </w:r>
      <w:r w:rsidR="003949BB">
        <w:rPr>
          <w:color w:val="000000"/>
        </w:rPr>
        <w:t xml:space="preserve"> this provision to make the direct cost of complying with reporting requirements allowable.</w:t>
      </w:r>
      <w:r w:rsidR="00D35C71">
        <w:rPr>
          <w:color w:val="000000"/>
        </w:rPr>
        <w:t xml:space="preserve"> </w:t>
      </w:r>
      <w:r>
        <w:rPr>
          <w:color w:val="000000"/>
        </w:rPr>
        <w:t>The estimated burden is incurred by the following activities:</w:t>
      </w:r>
    </w:p>
    <w:p w14:paraId="6025BED7" w14:textId="77777777" w:rsidR="00A2708C" w:rsidRDefault="00A2708C">
      <w:pPr>
        <w:rPr>
          <w:color w:val="000000"/>
        </w:rPr>
      </w:pPr>
    </w:p>
    <w:p w14:paraId="23171E9D" w14:textId="6FE2A2B6" w:rsidR="00A2708C" w:rsidRDefault="002E13E5" w:rsidP="00545B76">
      <w:pPr>
        <w:pStyle w:val="Level1"/>
        <w:widowControl/>
        <w:numPr>
          <w:ilvl w:val="0"/>
          <w:numId w:val="2"/>
        </w:numPr>
        <w:rPr>
          <w:color w:val="000000"/>
        </w:rPr>
      </w:pPr>
      <w:r>
        <w:rPr>
          <w:color w:val="000000"/>
        </w:rPr>
        <w:tab/>
        <w:t xml:space="preserve">Completion of the </w:t>
      </w:r>
      <w:r w:rsidR="0053376C">
        <w:rPr>
          <w:color w:val="000000"/>
        </w:rPr>
        <w:t>Job Training</w:t>
      </w:r>
      <w:r w:rsidR="00A2708C">
        <w:rPr>
          <w:color w:val="000000"/>
        </w:rPr>
        <w:t xml:space="preserve"> Reporting Form;</w:t>
      </w:r>
    </w:p>
    <w:p w14:paraId="7ADD591F" w14:textId="77777777" w:rsidR="00DB11C2" w:rsidRDefault="00DB11C2" w:rsidP="00DB11C2">
      <w:pPr>
        <w:pStyle w:val="Level1"/>
        <w:widowControl/>
        <w:ind w:left="360"/>
        <w:rPr>
          <w:color w:val="000000"/>
        </w:rPr>
      </w:pPr>
    </w:p>
    <w:p w14:paraId="7B81BC86" w14:textId="1893B629" w:rsidR="00DB11C2" w:rsidRDefault="00DB11C2" w:rsidP="00DB11C2">
      <w:pPr>
        <w:pStyle w:val="Level1"/>
        <w:widowControl/>
        <w:numPr>
          <w:ilvl w:val="0"/>
          <w:numId w:val="2"/>
        </w:numPr>
        <w:rPr>
          <w:color w:val="000000"/>
        </w:rPr>
      </w:pPr>
      <w:r>
        <w:rPr>
          <w:color w:val="000000"/>
        </w:rPr>
        <w:t xml:space="preserve">      </w:t>
      </w:r>
      <w:r w:rsidR="00FF5416">
        <w:rPr>
          <w:color w:val="000000"/>
        </w:rPr>
        <w:t>Initial c</w:t>
      </w:r>
      <w:r>
        <w:rPr>
          <w:color w:val="000000"/>
        </w:rPr>
        <w:t>ompletion of the Brownfields Area-Wide Planning Reporting Form;</w:t>
      </w:r>
    </w:p>
    <w:p w14:paraId="44078A3F" w14:textId="77777777" w:rsidR="005C5C62" w:rsidRDefault="005C5C62" w:rsidP="00C46D4C">
      <w:pPr>
        <w:pStyle w:val="ListParagraph"/>
        <w:rPr>
          <w:color w:val="000000"/>
        </w:rPr>
      </w:pPr>
    </w:p>
    <w:p w14:paraId="2FFB50AA" w14:textId="77777777" w:rsidR="005C5C62" w:rsidRPr="00C46D4C" w:rsidRDefault="005C5C62" w:rsidP="00C46D4C">
      <w:pPr>
        <w:pStyle w:val="Level1"/>
        <w:widowControl/>
        <w:numPr>
          <w:ilvl w:val="0"/>
          <w:numId w:val="2"/>
        </w:numPr>
        <w:tabs>
          <w:tab w:val="clear" w:pos="360"/>
          <w:tab w:val="num" w:pos="720"/>
        </w:tabs>
        <w:ind w:left="720" w:hanging="720"/>
        <w:rPr>
          <w:color w:val="000000"/>
        </w:rPr>
      </w:pPr>
      <w:r>
        <w:rPr>
          <w:color w:val="000000"/>
        </w:rPr>
        <w:lastRenderedPageBreak/>
        <w:t xml:space="preserve">Periodic updating of the Area-Wide Planning Reporting Form </w:t>
      </w:r>
      <w:r w:rsidRPr="00C46D4C">
        <w:rPr>
          <w:color w:val="000000"/>
        </w:rPr>
        <w:t xml:space="preserve">as new activities, accomplishments, resources, changes, and other information pertaining to revitalizing the BF AWP project area is available. </w:t>
      </w:r>
    </w:p>
    <w:p w14:paraId="48FE4513" w14:textId="77777777" w:rsidR="00A2708C" w:rsidRDefault="00A2708C">
      <w:pPr>
        <w:rPr>
          <w:color w:val="000000"/>
        </w:rPr>
      </w:pPr>
    </w:p>
    <w:p w14:paraId="5DACD426" w14:textId="77777777" w:rsidR="00A2708C" w:rsidRDefault="00A2708C" w:rsidP="00545B76">
      <w:pPr>
        <w:pStyle w:val="Level1"/>
        <w:widowControl/>
        <w:numPr>
          <w:ilvl w:val="0"/>
          <w:numId w:val="3"/>
        </w:numPr>
        <w:rPr>
          <w:color w:val="000000"/>
        </w:rPr>
      </w:pPr>
      <w:r>
        <w:rPr>
          <w:color w:val="000000"/>
        </w:rPr>
        <w:tab/>
        <w:t>Initial completion of the Brownfields Property Profile Form;</w:t>
      </w:r>
      <w:r w:rsidR="00484C80">
        <w:rPr>
          <w:color w:val="000000"/>
        </w:rPr>
        <w:t xml:space="preserve"> and</w:t>
      </w:r>
    </w:p>
    <w:p w14:paraId="4A53A55F" w14:textId="77777777" w:rsidR="00A2708C" w:rsidRDefault="00A2708C">
      <w:pPr>
        <w:rPr>
          <w:color w:val="000000"/>
        </w:rPr>
      </w:pPr>
    </w:p>
    <w:p w14:paraId="7A57A38C" w14:textId="7370C301" w:rsidR="005C5C62" w:rsidRPr="005C5C62" w:rsidRDefault="00A2708C" w:rsidP="005C5C62">
      <w:pPr>
        <w:pStyle w:val="Level1"/>
        <w:widowControl/>
        <w:numPr>
          <w:ilvl w:val="0"/>
          <w:numId w:val="4"/>
        </w:numPr>
        <w:tabs>
          <w:tab w:val="clear" w:pos="360"/>
          <w:tab w:val="left" w:pos="720"/>
        </w:tabs>
        <w:ind w:left="720" w:hanging="720"/>
        <w:rPr>
          <w:color w:val="000000"/>
        </w:rPr>
      </w:pPr>
      <w:r>
        <w:rPr>
          <w:color w:val="000000"/>
        </w:rPr>
        <w:t>Periodic updating of the Brownfields Property Profile Form to report progress on specific</w:t>
      </w:r>
      <w:r w:rsidR="00545B76">
        <w:rPr>
          <w:color w:val="000000"/>
        </w:rPr>
        <w:t xml:space="preserve"> </w:t>
      </w:r>
      <w:r>
        <w:rPr>
          <w:color w:val="000000"/>
        </w:rPr>
        <w:t>properties undergoing assessment</w:t>
      </w:r>
      <w:r w:rsidR="00484C80">
        <w:rPr>
          <w:color w:val="000000"/>
        </w:rPr>
        <w:t>, cleanup, or redevelopment.</w:t>
      </w:r>
    </w:p>
    <w:p w14:paraId="335C1AB8" w14:textId="77777777" w:rsidR="00A2708C" w:rsidRDefault="00A2708C">
      <w:pPr>
        <w:rPr>
          <w:color w:val="000000"/>
        </w:rPr>
      </w:pPr>
    </w:p>
    <w:p w14:paraId="6F79CC9F" w14:textId="77777777" w:rsidR="00A2708C" w:rsidRDefault="00A2708C">
      <w:pPr>
        <w:rPr>
          <w:color w:val="000000"/>
        </w:rPr>
      </w:pPr>
      <w:r>
        <w:rPr>
          <w:color w:val="000000"/>
        </w:rPr>
        <w:t xml:space="preserve">The estimated burden for respondents is presented in Exhibit 2. </w:t>
      </w:r>
    </w:p>
    <w:p w14:paraId="2EABF06A" w14:textId="77777777" w:rsidR="00A2708C" w:rsidRDefault="00A2708C">
      <w:pPr>
        <w:rPr>
          <w:color w:val="000000"/>
        </w:rPr>
      </w:pPr>
    </w:p>
    <w:p w14:paraId="1532E7B4" w14:textId="362F4DB4" w:rsidR="00A2708C" w:rsidRDefault="00A2708C">
      <w:pPr>
        <w:rPr>
          <w:color w:val="000000"/>
        </w:rPr>
      </w:pPr>
      <w:r>
        <w:rPr>
          <w:color w:val="000000"/>
        </w:rPr>
        <w:tab/>
        <w:t xml:space="preserve">If any burdens were found to be imposed in the ICR by a rule that </w:t>
      </w:r>
      <w:r w:rsidR="002573BD">
        <w:rPr>
          <w:color w:val="000000"/>
        </w:rPr>
        <w:t>supersedes</w:t>
      </w:r>
      <w:r>
        <w:rPr>
          <w:color w:val="000000"/>
        </w:rPr>
        <w:t xml:space="preserve"> the Brownfields Amendments, those burdens, or a percentage of those burdens, were removed from the overall burden calculation in this ICR (see Exhibit 1). </w:t>
      </w:r>
    </w:p>
    <w:p w14:paraId="5CEFAC05" w14:textId="77777777" w:rsidR="00A2708C" w:rsidRDefault="00A2708C">
      <w:pPr>
        <w:rPr>
          <w:color w:val="000000"/>
        </w:rPr>
      </w:pPr>
      <w:r>
        <w:rPr>
          <w:color w:val="000000"/>
        </w:rPr>
        <w:t xml:space="preserve"> </w:t>
      </w:r>
    </w:p>
    <w:p w14:paraId="21A1C101" w14:textId="7EDFEBE2" w:rsidR="00340804" w:rsidRDefault="00A2708C">
      <w:pPr>
        <w:rPr>
          <w:color w:val="000000"/>
        </w:rPr>
      </w:pPr>
      <w:r>
        <w:rPr>
          <w:color w:val="000000"/>
        </w:rPr>
        <w:tab/>
      </w:r>
    </w:p>
    <w:p w14:paraId="1459C6E2" w14:textId="35F7FF38" w:rsidR="00A2708C" w:rsidRDefault="00340804" w:rsidP="00C46D4C">
      <w:pPr>
        <w:jc w:val="center"/>
        <w:rPr>
          <w:b/>
          <w:color w:val="000000"/>
        </w:rPr>
      </w:pPr>
      <w:r>
        <w:rPr>
          <w:b/>
          <w:color w:val="000000"/>
        </w:rPr>
        <w:t>Exhibit 2 - Annual Respondent Burden and Cost</w:t>
      </w:r>
    </w:p>
    <w:p w14:paraId="23708A9B" w14:textId="05F4DD47" w:rsidR="00335719" w:rsidRDefault="008D0886" w:rsidP="00CC7FF1">
      <w:pPr>
        <w:rPr>
          <w:sz w:val="20"/>
        </w:rPr>
      </w:pPr>
      <w:r>
        <w:fldChar w:fldCharType="begin"/>
      </w:r>
      <w:r>
        <w:instrText xml:space="preserve"> LINK </w:instrText>
      </w:r>
      <w:r w:rsidR="00335719">
        <w:instrText xml:space="preserve">Excel.Sheet.12 "C:\\Users\\kgorini\\Desktop\\PPF JT AWP Burden Estimate - combined 3-23-16.xlsx" "JT, AWP, PPF Burden Estimate!R5C1:R19C7" </w:instrText>
      </w:r>
      <w:r>
        <w:instrText xml:space="preserve">\a \f 4 \h </w:instrText>
      </w:r>
      <w:r>
        <w:fldChar w:fldCharType="separate"/>
      </w:r>
    </w:p>
    <w:tbl>
      <w:tblPr>
        <w:tblW w:w="9320" w:type="dxa"/>
        <w:tblLook w:val="04A0" w:firstRow="1" w:lastRow="0" w:firstColumn="1" w:lastColumn="0" w:noHBand="0" w:noVBand="1"/>
      </w:tblPr>
      <w:tblGrid>
        <w:gridCol w:w="2563"/>
        <w:gridCol w:w="833"/>
        <w:gridCol w:w="1022"/>
        <w:gridCol w:w="1022"/>
        <w:gridCol w:w="1178"/>
        <w:gridCol w:w="1368"/>
        <w:gridCol w:w="1334"/>
      </w:tblGrid>
      <w:tr w:rsidR="00335719" w:rsidRPr="00C46D4C" w14:paraId="78710671" w14:textId="77777777" w:rsidTr="00335719">
        <w:trPr>
          <w:divId w:val="76709398"/>
          <w:trHeight w:val="1260"/>
        </w:trPr>
        <w:tc>
          <w:tcPr>
            <w:tcW w:w="2940" w:type="dxa"/>
            <w:tcBorders>
              <w:top w:val="single" w:sz="4" w:space="0" w:color="auto"/>
              <w:left w:val="single" w:sz="4" w:space="0" w:color="auto"/>
              <w:bottom w:val="single" w:sz="4" w:space="0" w:color="auto"/>
              <w:right w:val="single" w:sz="4" w:space="0" w:color="auto"/>
            </w:tcBorders>
            <w:shd w:val="clear" w:color="auto" w:fill="auto"/>
            <w:hideMark/>
          </w:tcPr>
          <w:p w14:paraId="3D3524FA" w14:textId="77777777" w:rsidR="00335719" w:rsidRPr="00335719" w:rsidRDefault="00335719" w:rsidP="00335719">
            <w:pPr>
              <w:rPr>
                <w:rFonts w:ascii="Calibri" w:hAnsi="Calibri"/>
                <w:b/>
                <w:bCs/>
                <w:color w:val="000000"/>
                <w:sz w:val="20"/>
              </w:rPr>
            </w:pPr>
            <w:r w:rsidRPr="00335719">
              <w:rPr>
                <w:rFonts w:ascii="Calibri" w:hAnsi="Calibri"/>
                <w:b/>
                <w:bCs/>
                <w:color w:val="000000"/>
                <w:sz w:val="20"/>
              </w:rPr>
              <w:t xml:space="preserve">Activity </w:t>
            </w:r>
          </w:p>
        </w:tc>
        <w:tc>
          <w:tcPr>
            <w:tcW w:w="800" w:type="dxa"/>
            <w:tcBorders>
              <w:top w:val="single" w:sz="4" w:space="0" w:color="auto"/>
              <w:left w:val="nil"/>
              <w:bottom w:val="single" w:sz="4" w:space="0" w:color="auto"/>
              <w:right w:val="single" w:sz="4" w:space="0" w:color="auto"/>
            </w:tcBorders>
            <w:shd w:val="clear" w:color="auto" w:fill="auto"/>
            <w:hideMark/>
          </w:tcPr>
          <w:p w14:paraId="3AD85214" w14:textId="77777777" w:rsidR="00335719" w:rsidRPr="00C46D4C" w:rsidRDefault="00335719" w:rsidP="00335719">
            <w:pPr>
              <w:jc w:val="center"/>
              <w:rPr>
                <w:rFonts w:ascii="Calibri" w:hAnsi="Calibri"/>
                <w:b/>
                <w:bCs/>
                <w:color w:val="000000"/>
                <w:sz w:val="20"/>
              </w:rPr>
            </w:pPr>
            <w:r w:rsidRPr="00C46D4C">
              <w:rPr>
                <w:rFonts w:ascii="Calibri" w:hAnsi="Calibri"/>
                <w:b/>
                <w:bCs/>
                <w:color w:val="000000"/>
                <w:sz w:val="20"/>
              </w:rPr>
              <w:t>Unit Burden (Hours)</w:t>
            </w:r>
          </w:p>
        </w:tc>
        <w:tc>
          <w:tcPr>
            <w:tcW w:w="880" w:type="dxa"/>
            <w:tcBorders>
              <w:top w:val="single" w:sz="4" w:space="0" w:color="auto"/>
              <w:left w:val="nil"/>
              <w:bottom w:val="single" w:sz="4" w:space="0" w:color="auto"/>
              <w:right w:val="single" w:sz="4" w:space="0" w:color="auto"/>
            </w:tcBorders>
            <w:shd w:val="clear" w:color="auto" w:fill="auto"/>
            <w:hideMark/>
          </w:tcPr>
          <w:p w14:paraId="17D19924" w14:textId="77777777" w:rsidR="00335719" w:rsidRPr="00C46D4C" w:rsidRDefault="00335719" w:rsidP="00335719">
            <w:pPr>
              <w:jc w:val="center"/>
              <w:rPr>
                <w:rFonts w:ascii="Calibri" w:hAnsi="Calibri"/>
                <w:b/>
                <w:bCs/>
                <w:color w:val="000000"/>
                <w:sz w:val="20"/>
              </w:rPr>
            </w:pPr>
            <w:r w:rsidRPr="00C46D4C">
              <w:rPr>
                <w:rFonts w:ascii="Calibri" w:hAnsi="Calibri"/>
                <w:b/>
                <w:bCs/>
                <w:color w:val="000000"/>
                <w:sz w:val="20"/>
              </w:rPr>
              <w:t>Unit Labor Cost (Dollars)*</w:t>
            </w:r>
          </w:p>
        </w:tc>
        <w:tc>
          <w:tcPr>
            <w:tcW w:w="900" w:type="dxa"/>
            <w:tcBorders>
              <w:top w:val="single" w:sz="4" w:space="0" w:color="auto"/>
              <w:left w:val="nil"/>
              <w:bottom w:val="single" w:sz="4" w:space="0" w:color="auto"/>
              <w:right w:val="single" w:sz="4" w:space="0" w:color="auto"/>
            </w:tcBorders>
            <w:shd w:val="clear" w:color="auto" w:fill="auto"/>
            <w:hideMark/>
          </w:tcPr>
          <w:p w14:paraId="5EECC5AE" w14:textId="77777777" w:rsidR="00335719" w:rsidRPr="00C46D4C" w:rsidRDefault="00335719" w:rsidP="00335719">
            <w:pPr>
              <w:jc w:val="center"/>
              <w:rPr>
                <w:rFonts w:ascii="Calibri" w:hAnsi="Calibri"/>
                <w:b/>
                <w:bCs/>
                <w:color w:val="000000"/>
                <w:sz w:val="20"/>
              </w:rPr>
            </w:pPr>
            <w:r w:rsidRPr="00C46D4C">
              <w:rPr>
                <w:rFonts w:ascii="Calibri" w:hAnsi="Calibri"/>
                <w:b/>
                <w:bCs/>
                <w:color w:val="000000"/>
                <w:sz w:val="20"/>
              </w:rPr>
              <w:t>Total Unit Cost (Dollars)*</w:t>
            </w:r>
          </w:p>
        </w:tc>
        <w:tc>
          <w:tcPr>
            <w:tcW w:w="1160" w:type="dxa"/>
            <w:tcBorders>
              <w:top w:val="single" w:sz="4" w:space="0" w:color="auto"/>
              <w:left w:val="nil"/>
              <w:bottom w:val="single" w:sz="4" w:space="0" w:color="auto"/>
              <w:right w:val="single" w:sz="4" w:space="0" w:color="auto"/>
            </w:tcBorders>
            <w:shd w:val="clear" w:color="auto" w:fill="auto"/>
            <w:hideMark/>
          </w:tcPr>
          <w:p w14:paraId="3C68889E" w14:textId="77777777" w:rsidR="00335719" w:rsidRPr="00C46D4C" w:rsidRDefault="00335719" w:rsidP="00335719">
            <w:pPr>
              <w:jc w:val="center"/>
              <w:rPr>
                <w:rFonts w:ascii="Calibri" w:hAnsi="Calibri"/>
                <w:b/>
                <w:bCs/>
                <w:color w:val="000000"/>
                <w:sz w:val="20"/>
              </w:rPr>
            </w:pPr>
            <w:r w:rsidRPr="00C46D4C">
              <w:rPr>
                <w:rFonts w:ascii="Calibri" w:hAnsi="Calibri"/>
                <w:b/>
                <w:bCs/>
                <w:color w:val="000000"/>
                <w:sz w:val="20"/>
              </w:rPr>
              <w:t>Average Number of Responses/ Year**</w:t>
            </w:r>
          </w:p>
        </w:tc>
        <w:tc>
          <w:tcPr>
            <w:tcW w:w="1240" w:type="dxa"/>
            <w:tcBorders>
              <w:top w:val="single" w:sz="4" w:space="0" w:color="auto"/>
              <w:left w:val="nil"/>
              <w:bottom w:val="single" w:sz="4" w:space="0" w:color="auto"/>
              <w:right w:val="single" w:sz="4" w:space="0" w:color="auto"/>
            </w:tcBorders>
            <w:shd w:val="clear" w:color="auto" w:fill="auto"/>
            <w:hideMark/>
          </w:tcPr>
          <w:p w14:paraId="114DD82A" w14:textId="77777777" w:rsidR="00335719" w:rsidRPr="00C46D4C" w:rsidRDefault="00335719" w:rsidP="00335719">
            <w:pPr>
              <w:jc w:val="center"/>
              <w:rPr>
                <w:rFonts w:ascii="Calibri" w:hAnsi="Calibri"/>
                <w:b/>
                <w:bCs/>
                <w:color w:val="000000"/>
                <w:sz w:val="20"/>
              </w:rPr>
            </w:pPr>
            <w:r w:rsidRPr="00C46D4C">
              <w:rPr>
                <w:rFonts w:ascii="Calibri" w:hAnsi="Calibri"/>
                <w:b/>
                <w:bCs/>
                <w:color w:val="000000"/>
                <w:sz w:val="20"/>
              </w:rPr>
              <w:t>Total Burden Hours/Year**</w:t>
            </w:r>
          </w:p>
        </w:tc>
        <w:tc>
          <w:tcPr>
            <w:tcW w:w="1400" w:type="dxa"/>
            <w:tcBorders>
              <w:top w:val="single" w:sz="4" w:space="0" w:color="auto"/>
              <w:left w:val="nil"/>
              <w:bottom w:val="single" w:sz="4" w:space="0" w:color="auto"/>
              <w:right w:val="single" w:sz="4" w:space="0" w:color="auto"/>
            </w:tcBorders>
            <w:shd w:val="clear" w:color="auto" w:fill="auto"/>
            <w:hideMark/>
          </w:tcPr>
          <w:p w14:paraId="726A70A9" w14:textId="77777777" w:rsidR="00335719" w:rsidRPr="00C46D4C" w:rsidRDefault="00335719" w:rsidP="00335719">
            <w:pPr>
              <w:jc w:val="center"/>
              <w:rPr>
                <w:rFonts w:ascii="Calibri" w:hAnsi="Calibri"/>
                <w:b/>
                <w:bCs/>
                <w:color w:val="000000"/>
                <w:sz w:val="20"/>
              </w:rPr>
            </w:pPr>
            <w:r w:rsidRPr="00C46D4C">
              <w:rPr>
                <w:rFonts w:ascii="Calibri" w:hAnsi="Calibri"/>
                <w:b/>
                <w:bCs/>
                <w:color w:val="000000"/>
                <w:sz w:val="20"/>
              </w:rPr>
              <w:t>Total Cost/Year (Dollars)**</w:t>
            </w:r>
          </w:p>
        </w:tc>
      </w:tr>
      <w:tr w:rsidR="00335719" w:rsidRPr="00C46D4C" w14:paraId="0FD65CB2" w14:textId="77777777" w:rsidTr="00335719">
        <w:trPr>
          <w:divId w:val="76709398"/>
          <w:trHeight w:val="765"/>
        </w:trPr>
        <w:tc>
          <w:tcPr>
            <w:tcW w:w="2940" w:type="dxa"/>
            <w:tcBorders>
              <w:top w:val="nil"/>
              <w:left w:val="single" w:sz="4" w:space="0" w:color="auto"/>
              <w:bottom w:val="single" w:sz="4" w:space="0" w:color="auto"/>
              <w:right w:val="single" w:sz="4" w:space="0" w:color="auto"/>
            </w:tcBorders>
            <w:shd w:val="clear" w:color="auto" w:fill="auto"/>
            <w:hideMark/>
          </w:tcPr>
          <w:p w14:paraId="2311116B" w14:textId="6B8F4812" w:rsidR="00335719" w:rsidRPr="00C46D4C" w:rsidRDefault="00335719" w:rsidP="00335719">
            <w:pPr>
              <w:rPr>
                <w:rFonts w:ascii="Calibri" w:hAnsi="Calibri"/>
                <w:b/>
                <w:bCs/>
                <w:color w:val="000000"/>
                <w:sz w:val="20"/>
              </w:rPr>
            </w:pPr>
            <w:r w:rsidRPr="00C46D4C">
              <w:rPr>
                <w:rFonts w:ascii="Calibri" w:hAnsi="Calibri"/>
                <w:b/>
                <w:bCs/>
                <w:color w:val="000000"/>
                <w:sz w:val="20"/>
              </w:rPr>
              <w:t>Initial Completion of P</w:t>
            </w:r>
            <w:r w:rsidR="00933291">
              <w:rPr>
                <w:rFonts w:ascii="Calibri" w:hAnsi="Calibri"/>
                <w:b/>
                <w:bCs/>
                <w:color w:val="000000"/>
                <w:sz w:val="20"/>
              </w:rPr>
              <w:t>roperty Profile Form (CERCLA 104(k)</w:t>
            </w:r>
            <w:r w:rsidRPr="00C46D4C">
              <w:rPr>
                <w:rFonts w:ascii="Calibri" w:hAnsi="Calibri"/>
                <w:b/>
                <w:bCs/>
                <w:color w:val="000000"/>
                <w:sz w:val="20"/>
              </w:rPr>
              <w:t>: non-profits)</w:t>
            </w:r>
          </w:p>
        </w:tc>
        <w:tc>
          <w:tcPr>
            <w:tcW w:w="800" w:type="dxa"/>
            <w:tcBorders>
              <w:top w:val="nil"/>
              <w:left w:val="nil"/>
              <w:bottom w:val="single" w:sz="4" w:space="0" w:color="auto"/>
              <w:right w:val="single" w:sz="4" w:space="0" w:color="auto"/>
            </w:tcBorders>
            <w:shd w:val="clear" w:color="auto" w:fill="auto"/>
            <w:hideMark/>
          </w:tcPr>
          <w:p w14:paraId="60D5ECCB"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1</w:t>
            </w:r>
          </w:p>
        </w:tc>
        <w:tc>
          <w:tcPr>
            <w:tcW w:w="880" w:type="dxa"/>
            <w:tcBorders>
              <w:top w:val="nil"/>
              <w:left w:val="nil"/>
              <w:bottom w:val="single" w:sz="4" w:space="0" w:color="auto"/>
              <w:right w:val="single" w:sz="4" w:space="0" w:color="auto"/>
            </w:tcBorders>
            <w:shd w:val="clear" w:color="auto" w:fill="auto"/>
            <w:hideMark/>
          </w:tcPr>
          <w:p w14:paraId="09EA070F"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 xml:space="preserve">$107.32 </w:t>
            </w:r>
          </w:p>
        </w:tc>
        <w:tc>
          <w:tcPr>
            <w:tcW w:w="900" w:type="dxa"/>
            <w:tcBorders>
              <w:top w:val="nil"/>
              <w:left w:val="nil"/>
              <w:bottom w:val="single" w:sz="4" w:space="0" w:color="auto"/>
              <w:right w:val="single" w:sz="4" w:space="0" w:color="auto"/>
            </w:tcBorders>
            <w:shd w:val="clear" w:color="auto" w:fill="auto"/>
            <w:hideMark/>
          </w:tcPr>
          <w:p w14:paraId="721D7FB8"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 xml:space="preserve">$107.32 </w:t>
            </w:r>
          </w:p>
        </w:tc>
        <w:tc>
          <w:tcPr>
            <w:tcW w:w="1160" w:type="dxa"/>
            <w:tcBorders>
              <w:top w:val="nil"/>
              <w:left w:val="nil"/>
              <w:bottom w:val="single" w:sz="4" w:space="0" w:color="auto"/>
              <w:right w:val="single" w:sz="4" w:space="0" w:color="auto"/>
            </w:tcBorders>
            <w:shd w:val="clear" w:color="auto" w:fill="auto"/>
            <w:hideMark/>
          </w:tcPr>
          <w:p w14:paraId="70B9BBAA"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87</w:t>
            </w:r>
          </w:p>
        </w:tc>
        <w:tc>
          <w:tcPr>
            <w:tcW w:w="1240" w:type="dxa"/>
            <w:tcBorders>
              <w:top w:val="nil"/>
              <w:left w:val="nil"/>
              <w:bottom w:val="single" w:sz="4" w:space="0" w:color="auto"/>
              <w:right w:val="single" w:sz="4" w:space="0" w:color="auto"/>
            </w:tcBorders>
            <w:shd w:val="clear" w:color="auto" w:fill="auto"/>
            <w:hideMark/>
          </w:tcPr>
          <w:p w14:paraId="2061527C"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87</w:t>
            </w:r>
          </w:p>
        </w:tc>
        <w:tc>
          <w:tcPr>
            <w:tcW w:w="1400" w:type="dxa"/>
            <w:tcBorders>
              <w:top w:val="nil"/>
              <w:left w:val="nil"/>
              <w:bottom w:val="single" w:sz="4" w:space="0" w:color="auto"/>
              <w:right w:val="single" w:sz="4" w:space="0" w:color="auto"/>
            </w:tcBorders>
            <w:shd w:val="clear" w:color="auto" w:fill="auto"/>
            <w:hideMark/>
          </w:tcPr>
          <w:p w14:paraId="50A61DE9"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 xml:space="preserve">$9,337 </w:t>
            </w:r>
          </w:p>
        </w:tc>
      </w:tr>
      <w:tr w:rsidR="00335719" w:rsidRPr="00C46D4C" w14:paraId="7AF8585E" w14:textId="77777777" w:rsidTr="00335719">
        <w:trPr>
          <w:divId w:val="76709398"/>
          <w:trHeight w:val="765"/>
        </w:trPr>
        <w:tc>
          <w:tcPr>
            <w:tcW w:w="2940" w:type="dxa"/>
            <w:tcBorders>
              <w:top w:val="nil"/>
              <w:left w:val="single" w:sz="4" w:space="0" w:color="auto"/>
              <w:bottom w:val="single" w:sz="4" w:space="0" w:color="auto"/>
              <w:right w:val="single" w:sz="4" w:space="0" w:color="auto"/>
            </w:tcBorders>
            <w:shd w:val="clear" w:color="auto" w:fill="auto"/>
            <w:hideMark/>
          </w:tcPr>
          <w:p w14:paraId="2DAEE578" w14:textId="36D109B4" w:rsidR="00335719" w:rsidRPr="00C46D4C" w:rsidRDefault="00335719" w:rsidP="00335719">
            <w:pPr>
              <w:rPr>
                <w:rFonts w:ascii="Calibri" w:hAnsi="Calibri"/>
                <w:b/>
                <w:bCs/>
                <w:color w:val="000000"/>
                <w:sz w:val="20"/>
              </w:rPr>
            </w:pPr>
            <w:r w:rsidRPr="00C46D4C">
              <w:rPr>
                <w:rFonts w:ascii="Calibri" w:hAnsi="Calibri"/>
                <w:b/>
                <w:bCs/>
                <w:color w:val="000000"/>
                <w:sz w:val="20"/>
              </w:rPr>
              <w:t>Initial Completion of Property Profile Form (</w:t>
            </w:r>
            <w:r w:rsidR="00933291">
              <w:rPr>
                <w:rFonts w:ascii="Calibri" w:hAnsi="Calibri"/>
                <w:b/>
                <w:bCs/>
                <w:color w:val="000000"/>
                <w:sz w:val="20"/>
              </w:rPr>
              <w:t>CERCLA 104(k)</w:t>
            </w:r>
            <w:r w:rsidRPr="00C46D4C">
              <w:rPr>
                <w:rFonts w:ascii="Calibri" w:hAnsi="Calibri"/>
                <w:b/>
                <w:bCs/>
                <w:color w:val="000000"/>
                <w:sz w:val="20"/>
              </w:rPr>
              <w:t>: government)</w:t>
            </w:r>
          </w:p>
        </w:tc>
        <w:tc>
          <w:tcPr>
            <w:tcW w:w="800" w:type="dxa"/>
            <w:tcBorders>
              <w:top w:val="nil"/>
              <w:left w:val="nil"/>
              <w:bottom w:val="single" w:sz="4" w:space="0" w:color="auto"/>
              <w:right w:val="single" w:sz="4" w:space="0" w:color="auto"/>
            </w:tcBorders>
            <w:shd w:val="clear" w:color="auto" w:fill="auto"/>
            <w:hideMark/>
          </w:tcPr>
          <w:p w14:paraId="29A5E70A"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1</w:t>
            </w:r>
          </w:p>
        </w:tc>
        <w:tc>
          <w:tcPr>
            <w:tcW w:w="880" w:type="dxa"/>
            <w:tcBorders>
              <w:top w:val="nil"/>
              <w:left w:val="nil"/>
              <w:bottom w:val="single" w:sz="4" w:space="0" w:color="auto"/>
              <w:right w:val="single" w:sz="4" w:space="0" w:color="auto"/>
            </w:tcBorders>
            <w:shd w:val="clear" w:color="auto" w:fill="auto"/>
            <w:hideMark/>
          </w:tcPr>
          <w:p w14:paraId="5C9D382F"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 xml:space="preserve">$107.32 </w:t>
            </w:r>
          </w:p>
        </w:tc>
        <w:tc>
          <w:tcPr>
            <w:tcW w:w="900" w:type="dxa"/>
            <w:tcBorders>
              <w:top w:val="nil"/>
              <w:left w:val="nil"/>
              <w:bottom w:val="single" w:sz="4" w:space="0" w:color="auto"/>
              <w:right w:val="single" w:sz="4" w:space="0" w:color="auto"/>
            </w:tcBorders>
            <w:shd w:val="clear" w:color="auto" w:fill="auto"/>
            <w:hideMark/>
          </w:tcPr>
          <w:p w14:paraId="16813CD7"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 xml:space="preserve">$107.32 </w:t>
            </w:r>
          </w:p>
        </w:tc>
        <w:tc>
          <w:tcPr>
            <w:tcW w:w="1160" w:type="dxa"/>
            <w:tcBorders>
              <w:top w:val="nil"/>
              <w:left w:val="nil"/>
              <w:bottom w:val="single" w:sz="4" w:space="0" w:color="auto"/>
              <w:right w:val="single" w:sz="4" w:space="0" w:color="auto"/>
            </w:tcBorders>
            <w:shd w:val="clear" w:color="auto" w:fill="auto"/>
            <w:hideMark/>
          </w:tcPr>
          <w:p w14:paraId="7707CECE"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1488</w:t>
            </w:r>
          </w:p>
        </w:tc>
        <w:tc>
          <w:tcPr>
            <w:tcW w:w="1240" w:type="dxa"/>
            <w:tcBorders>
              <w:top w:val="nil"/>
              <w:left w:val="nil"/>
              <w:bottom w:val="single" w:sz="4" w:space="0" w:color="auto"/>
              <w:right w:val="single" w:sz="4" w:space="0" w:color="auto"/>
            </w:tcBorders>
            <w:shd w:val="clear" w:color="auto" w:fill="auto"/>
            <w:hideMark/>
          </w:tcPr>
          <w:p w14:paraId="0195B8B7"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1488</w:t>
            </w:r>
          </w:p>
        </w:tc>
        <w:tc>
          <w:tcPr>
            <w:tcW w:w="1400" w:type="dxa"/>
            <w:tcBorders>
              <w:top w:val="nil"/>
              <w:left w:val="nil"/>
              <w:bottom w:val="single" w:sz="4" w:space="0" w:color="auto"/>
              <w:right w:val="single" w:sz="4" w:space="0" w:color="auto"/>
            </w:tcBorders>
            <w:shd w:val="clear" w:color="auto" w:fill="auto"/>
            <w:hideMark/>
          </w:tcPr>
          <w:p w14:paraId="67DBEBF7"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 xml:space="preserve">$159,692 </w:t>
            </w:r>
          </w:p>
        </w:tc>
      </w:tr>
      <w:tr w:rsidR="00335719" w:rsidRPr="00C46D4C" w14:paraId="152EECC9" w14:textId="77777777" w:rsidTr="00335719">
        <w:trPr>
          <w:divId w:val="76709398"/>
          <w:trHeight w:val="510"/>
        </w:trPr>
        <w:tc>
          <w:tcPr>
            <w:tcW w:w="2940" w:type="dxa"/>
            <w:tcBorders>
              <w:top w:val="nil"/>
              <w:left w:val="single" w:sz="4" w:space="0" w:color="auto"/>
              <w:bottom w:val="single" w:sz="4" w:space="0" w:color="auto"/>
              <w:right w:val="single" w:sz="4" w:space="0" w:color="auto"/>
            </w:tcBorders>
            <w:shd w:val="clear" w:color="auto" w:fill="auto"/>
            <w:hideMark/>
          </w:tcPr>
          <w:p w14:paraId="2462FA32" w14:textId="1E9FC896" w:rsidR="00335719" w:rsidRPr="00C46D4C" w:rsidRDefault="00335719" w:rsidP="00933291">
            <w:pPr>
              <w:rPr>
                <w:rFonts w:ascii="Calibri" w:hAnsi="Calibri"/>
                <w:b/>
                <w:bCs/>
                <w:color w:val="000000"/>
                <w:sz w:val="20"/>
              </w:rPr>
            </w:pPr>
            <w:r w:rsidRPr="00C46D4C">
              <w:rPr>
                <w:rFonts w:ascii="Calibri" w:hAnsi="Calibri"/>
                <w:b/>
                <w:bCs/>
                <w:color w:val="000000"/>
                <w:sz w:val="20"/>
              </w:rPr>
              <w:t>Initial Completion of Property Profile Form (</w:t>
            </w:r>
            <w:r w:rsidR="00933291">
              <w:rPr>
                <w:rFonts w:ascii="Calibri" w:hAnsi="Calibri"/>
                <w:b/>
                <w:bCs/>
                <w:color w:val="000000"/>
                <w:sz w:val="20"/>
              </w:rPr>
              <w:t>CERCLA 128(a)</w:t>
            </w:r>
            <w:r w:rsidRPr="00C46D4C">
              <w:rPr>
                <w:rFonts w:ascii="Calibri" w:hAnsi="Calibri"/>
                <w:b/>
                <w:bCs/>
                <w:color w:val="000000"/>
                <w:sz w:val="20"/>
              </w:rPr>
              <w:t>)</w:t>
            </w:r>
          </w:p>
        </w:tc>
        <w:tc>
          <w:tcPr>
            <w:tcW w:w="800" w:type="dxa"/>
            <w:tcBorders>
              <w:top w:val="nil"/>
              <w:left w:val="nil"/>
              <w:bottom w:val="single" w:sz="4" w:space="0" w:color="auto"/>
              <w:right w:val="single" w:sz="4" w:space="0" w:color="auto"/>
            </w:tcBorders>
            <w:shd w:val="clear" w:color="auto" w:fill="auto"/>
            <w:hideMark/>
          </w:tcPr>
          <w:p w14:paraId="0425274F"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1</w:t>
            </w:r>
          </w:p>
        </w:tc>
        <w:tc>
          <w:tcPr>
            <w:tcW w:w="880" w:type="dxa"/>
            <w:tcBorders>
              <w:top w:val="nil"/>
              <w:left w:val="nil"/>
              <w:bottom w:val="single" w:sz="4" w:space="0" w:color="auto"/>
              <w:right w:val="single" w:sz="4" w:space="0" w:color="auto"/>
            </w:tcBorders>
            <w:shd w:val="clear" w:color="auto" w:fill="auto"/>
            <w:hideMark/>
          </w:tcPr>
          <w:p w14:paraId="2061BEB1"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 xml:space="preserve">$107.32 </w:t>
            </w:r>
          </w:p>
        </w:tc>
        <w:tc>
          <w:tcPr>
            <w:tcW w:w="900" w:type="dxa"/>
            <w:tcBorders>
              <w:top w:val="nil"/>
              <w:left w:val="nil"/>
              <w:bottom w:val="single" w:sz="4" w:space="0" w:color="auto"/>
              <w:right w:val="single" w:sz="4" w:space="0" w:color="auto"/>
            </w:tcBorders>
            <w:shd w:val="clear" w:color="auto" w:fill="auto"/>
            <w:hideMark/>
          </w:tcPr>
          <w:p w14:paraId="60DD6098"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 xml:space="preserve">$107.32 </w:t>
            </w:r>
          </w:p>
        </w:tc>
        <w:tc>
          <w:tcPr>
            <w:tcW w:w="1160" w:type="dxa"/>
            <w:tcBorders>
              <w:top w:val="nil"/>
              <w:left w:val="nil"/>
              <w:bottom w:val="single" w:sz="4" w:space="0" w:color="auto"/>
              <w:right w:val="single" w:sz="4" w:space="0" w:color="auto"/>
            </w:tcBorders>
            <w:shd w:val="clear" w:color="auto" w:fill="auto"/>
            <w:hideMark/>
          </w:tcPr>
          <w:p w14:paraId="27CF8E52"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1268</w:t>
            </w:r>
          </w:p>
        </w:tc>
        <w:tc>
          <w:tcPr>
            <w:tcW w:w="1240" w:type="dxa"/>
            <w:tcBorders>
              <w:top w:val="nil"/>
              <w:left w:val="nil"/>
              <w:bottom w:val="single" w:sz="4" w:space="0" w:color="auto"/>
              <w:right w:val="single" w:sz="4" w:space="0" w:color="auto"/>
            </w:tcBorders>
            <w:shd w:val="clear" w:color="auto" w:fill="auto"/>
            <w:hideMark/>
          </w:tcPr>
          <w:p w14:paraId="6093B73B"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1268</w:t>
            </w:r>
          </w:p>
        </w:tc>
        <w:tc>
          <w:tcPr>
            <w:tcW w:w="1400" w:type="dxa"/>
            <w:tcBorders>
              <w:top w:val="nil"/>
              <w:left w:val="nil"/>
              <w:bottom w:val="single" w:sz="4" w:space="0" w:color="auto"/>
              <w:right w:val="single" w:sz="4" w:space="0" w:color="auto"/>
            </w:tcBorders>
            <w:shd w:val="clear" w:color="auto" w:fill="auto"/>
            <w:hideMark/>
          </w:tcPr>
          <w:p w14:paraId="1DE92B4D"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 xml:space="preserve">$136,084 </w:t>
            </w:r>
          </w:p>
        </w:tc>
      </w:tr>
      <w:tr w:rsidR="00335719" w:rsidRPr="00C46D4C" w14:paraId="1A9B20AE" w14:textId="77777777" w:rsidTr="00335719">
        <w:trPr>
          <w:divId w:val="76709398"/>
          <w:trHeight w:val="510"/>
        </w:trPr>
        <w:tc>
          <w:tcPr>
            <w:tcW w:w="2940" w:type="dxa"/>
            <w:tcBorders>
              <w:top w:val="nil"/>
              <w:left w:val="single" w:sz="4" w:space="0" w:color="auto"/>
              <w:bottom w:val="single" w:sz="4" w:space="0" w:color="auto"/>
              <w:right w:val="single" w:sz="4" w:space="0" w:color="auto"/>
            </w:tcBorders>
            <w:shd w:val="clear" w:color="auto" w:fill="auto"/>
            <w:hideMark/>
          </w:tcPr>
          <w:p w14:paraId="443E9D42" w14:textId="7625E6CB" w:rsidR="00335719" w:rsidRPr="00C46D4C" w:rsidRDefault="00335719" w:rsidP="00335719">
            <w:pPr>
              <w:rPr>
                <w:rFonts w:ascii="Calibri" w:hAnsi="Calibri"/>
                <w:b/>
                <w:bCs/>
                <w:color w:val="000000"/>
                <w:sz w:val="20"/>
              </w:rPr>
            </w:pPr>
            <w:r w:rsidRPr="00C46D4C">
              <w:rPr>
                <w:rFonts w:ascii="Calibri" w:hAnsi="Calibri"/>
                <w:b/>
                <w:bCs/>
                <w:color w:val="000000"/>
                <w:sz w:val="20"/>
              </w:rPr>
              <w:t>Update of Property Profile Form (</w:t>
            </w:r>
            <w:r w:rsidR="00933291">
              <w:rPr>
                <w:rFonts w:ascii="Calibri" w:hAnsi="Calibri"/>
                <w:b/>
                <w:bCs/>
                <w:color w:val="000000"/>
                <w:sz w:val="20"/>
              </w:rPr>
              <w:t>CERCLA 104(k)</w:t>
            </w:r>
            <w:r w:rsidRPr="00C46D4C">
              <w:rPr>
                <w:rFonts w:ascii="Calibri" w:hAnsi="Calibri"/>
                <w:b/>
                <w:bCs/>
                <w:color w:val="000000"/>
                <w:sz w:val="20"/>
              </w:rPr>
              <w:t>: non-profits)</w:t>
            </w:r>
          </w:p>
        </w:tc>
        <w:tc>
          <w:tcPr>
            <w:tcW w:w="800" w:type="dxa"/>
            <w:tcBorders>
              <w:top w:val="nil"/>
              <w:left w:val="nil"/>
              <w:bottom w:val="single" w:sz="4" w:space="0" w:color="auto"/>
              <w:right w:val="single" w:sz="4" w:space="0" w:color="auto"/>
            </w:tcBorders>
            <w:shd w:val="clear" w:color="auto" w:fill="auto"/>
            <w:hideMark/>
          </w:tcPr>
          <w:p w14:paraId="3123B655"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0.5</w:t>
            </w:r>
          </w:p>
        </w:tc>
        <w:tc>
          <w:tcPr>
            <w:tcW w:w="880" w:type="dxa"/>
            <w:tcBorders>
              <w:top w:val="nil"/>
              <w:left w:val="nil"/>
              <w:bottom w:val="single" w:sz="4" w:space="0" w:color="auto"/>
              <w:right w:val="single" w:sz="4" w:space="0" w:color="auto"/>
            </w:tcBorders>
            <w:shd w:val="clear" w:color="auto" w:fill="auto"/>
            <w:hideMark/>
          </w:tcPr>
          <w:p w14:paraId="4216AE0D"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 xml:space="preserve">$53.66 </w:t>
            </w:r>
          </w:p>
        </w:tc>
        <w:tc>
          <w:tcPr>
            <w:tcW w:w="900" w:type="dxa"/>
            <w:tcBorders>
              <w:top w:val="nil"/>
              <w:left w:val="nil"/>
              <w:bottom w:val="single" w:sz="4" w:space="0" w:color="auto"/>
              <w:right w:val="single" w:sz="4" w:space="0" w:color="auto"/>
            </w:tcBorders>
            <w:shd w:val="clear" w:color="auto" w:fill="auto"/>
            <w:hideMark/>
          </w:tcPr>
          <w:p w14:paraId="7B1FF406"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 xml:space="preserve">$53.66 </w:t>
            </w:r>
          </w:p>
        </w:tc>
        <w:tc>
          <w:tcPr>
            <w:tcW w:w="1160" w:type="dxa"/>
            <w:tcBorders>
              <w:top w:val="nil"/>
              <w:left w:val="nil"/>
              <w:bottom w:val="single" w:sz="4" w:space="0" w:color="auto"/>
              <w:right w:val="single" w:sz="4" w:space="0" w:color="auto"/>
            </w:tcBorders>
            <w:shd w:val="clear" w:color="auto" w:fill="auto"/>
            <w:hideMark/>
          </w:tcPr>
          <w:p w14:paraId="13E17914"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60</w:t>
            </w:r>
          </w:p>
        </w:tc>
        <w:tc>
          <w:tcPr>
            <w:tcW w:w="1240" w:type="dxa"/>
            <w:tcBorders>
              <w:top w:val="nil"/>
              <w:left w:val="nil"/>
              <w:bottom w:val="single" w:sz="4" w:space="0" w:color="auto"/>
              <w:right w:val="single" w:sz="4" w:space="0" w:color="auto"/>
            </w:tcBorders>
            <w:shd w:val="clear" w:color="auto" w:fill="auto"/>
            <w:hideMark/>
          </w:tcPr>
          <w:p w14:paraId="4BEEA126"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30</w:t>
            </w:r>
          </w:p>
        </w:tc>
        <w:tc>
          <w:tcPr>
            <w:tcW w:w="1400" w:type="dxa"/>
            <w:tcBorders>
              <w:top w:val="nil"/>
              <w:left w:val="nil"/>
              <w:bottom w:val="single" w:sz="4" w:space="0" w:color="auto"/>
              <w:right w:val="single" w:sz="4" w:space="0" w:color="auto"/>
            </w:tcBorders>
            <w:shd w:val="clear" w:color="auto" w:fill="auto"/>
            <w:hideMark/>
          </w:tcPr>
          <w:p w14:paraId="1CA90114"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 xml:space="preserve">$3,220 </w:t>
            </w:r>
          </w:p>
        </w:tc>
      </w:tr>
      <w:tr w:rsidR="00335719" w:rsidRPr="00C46D4C" w14:paraId="706D077A" w14:textId="77777777" w:rsidTr="00335719">
        <w:trPr>
          <w:divId w:val="76709398"/>
          <w:trHeight w:val="510"/>
        </w:trPr>
        <w:tc>
          <w:tcPr>
            <w:tcW w:w="2940" w:type="dxa"/>
            <w:tcBorders>
              <w:top w:val="nil"/>
              <w:left w:val="single" w:sz="4" w:space="0" w:color="auto"/>
              <w:bottom w:val="single" w:sz="4" w:space="0" w:color="auto"/>
              <w:right w:val="single" w:sz="4" w:space="0" w:color="auto"/>
            </w:tcBorders>
            <w:shd w:val="clear" w:color="auto" w:fill="auto"/>
            <w:hideMark/>
          </w:tcPr>
          <w:p w14:paraId="4C416078" w14:textId="28E0A1A2" w:rsidR="00335719" w:rsidRPr="00C46D4C" w:rsidRDefault="00335719" w:rsidP="00335719">
            <w:pPr>
              <w:rPr>
                <w:rFonts w:ascii="Calibri" w:hAnsi="Calibri"/>
                <w:b/>
                <w:bCs/>
                <w:color w:val="000000"/>
                <w:sz w:val="20"/>
              </w:rPr>
            </w:pPr>
            <w:r w:rsidRPr="00C46D4C">
              <w:rPr>
                <w:rFonts w:ascii="Calibri" w:hAnsi="Calibri"/>
                <w:b/>
                <w:bCs/>
                <w:color w:val="000000"/>
                <w:sz w:val="20"/>
              </w:rPr>
              <w:t>Update of Property Profile Form (</w:t>
            </w:r>
            <w:r w:rsidR="00933291">
              <w:rPr>
                <w:rFonts w:ascii="Calibri" w:hAnsi="Calibri"/>
                <w:b/>
                <w:bCs/>
                <w:color w:val="000000"/>
                <w:sz w:val="20"/>
              </w:rPr>
              <w:t>CERCLA 104(k)</w:t>
            </w:r>
            <w:r w:rsidRPr="00C46D4C">
              <w:rPr>
                <w:rFonts w:ascii="Calibri" w:hAnsi="Calibri"/>
                <w:b/>
                <w:bCs/>
                <w:color w:val="000000"/>
                <w:sz w:val="20"/>
              </w:rPr>
              <w:t>: government)</w:t>
            </w:r>
          </w:p>
        </w:tc>
        <w:tc>
          <w:tcPr>
            <w:tcW w:w="800" w:type="dxa"/>
            <w:tcBorders>
              <w:top w:val="nil"/>
              <w:left w:val="nil"/>
              <w:bottom w:val="single" w:sz="4" w:space="0" w:color="auto"/>
              <w:right w:val="single" w:sz="4" w:space="0" w:color="auto"/>
            </w:tcBorders>
            <w:shd w:val="clear" w:color="auto" w:fill="auto"/>
            <w:hideMark/>
          </w:tcPr>
          <w:p w14:paraId="031EAA59"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0.5</w:t>
            </w:r>
          </w:p>
        </w:tc>
        <w:tc>
          <w:tcPr>
            <w:tcW w:w="880" w:type="dxa"/>
            <w:tcBorders>
              <w:top w:val="nil"/>
              <w:left w:val="nil"/>
              <w:bottom w:val="single" w:sz="4" w:space="0" w:color="auto"/>
              <w:right w:val="single" w:sz="4" w:space="0" w:color="auto"/>
            </w:tcBorders>
            <w:shd w:val="clear" w:color="auto" w:fill="auto"/>
            <w:hideMark/>
          </w:tcPr>
          <w:p w14:paraId="4A79C823"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 xml:space="preserve">$53.66 </w:t>
            </w:r>
          </w:p>
        </w:tc>
        <w:tc>
          <w:tcPr>
            <w:tcW w:w="900" w:type="dxa"/>
            <w:tcBorders>
              <w:top w:val="nil"/>
              <w:left w:val="nil"/>
              <w:bottom w:val="single" w:sz="4" w:space="0" w:color="auto"/>
              <w:right w:val="single" w:sz="4" w:space="0" w:color="auto"/>
            </w:tcBorders>
            <w:shd w:val="clear" w:color="auto" w:fill="auto"/>
            <w:hideMark/>
          </w:tcPr>
          <w:p w14:paraId="3CFFBC36"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 xml:space="preserve">$53.66 </w:t>
            </w:r>
          </w:p>
        </w:tc>
        <w:tc>
          <w:tcPr>
            <w:tcW w:w="1160" w:type="dxa"/>
            <w:tcBorders>
              <w:top w:val="nil"/>
              <w:left w:val="nil"/>
              <w:bottom w:val="single" w:sz="4" w:space="0" w:color="auto"/>
              <w:right w:val="single" w:sz="4" w:space="0" w:color="auto"/>
            </w:tcBorders>
            <w:shd w:val="clear" w:color="auto" w:fill="auto"/>
            <w:hideMark/>
          </w:tcPr>
          <w:p w14:paraId="39E437C3"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1043</w:t>
            </w:r>
          </w:p>
        </w:tc>
        <w:tc>
          <w:tcPr>
            <w:tcW w:w="1240" w:type="dxa"/>
            <w:tcBorders>
              <w:top w:val="nil"/>
              <w:left w:val="nil"/>
              <w:bottom w:val="single" w:sz="4" w:space="0" w:color="auto"/>
              <w:right w:val="single" w:sz="4" w:space="0" w:color="auto"/>
            </w:tcBorders>
            <w:shd w:val="clear" w:color="auto" w:fill="auto"/>
            <w:hideMark/>
          </w:tcPr>
          <w:p w14:paraId="033C0D02"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521</w:t>
            </w:r>
          </w:p>
        </w:tc>
        <w:tc>
          <w:tcPr>
            <w:tcW w:w="1400" w:type="dxa"/>
            <w:tcBorders>
              <w:top w:val="nil"/>
              <w:left w:val="nil"/>
              <w:bottom w:val="single" w:sz="4" w:space="0" w:color="auto"/>
              <w:right w:val="single" w:sz="4" w:space="0" w:color="auto"/>
            </w:tcBorders>
            <w:shd w:val="clear" w:color="auto" w:fill="auto"/>
            <w:hideMark/>
          </w:tcPr>
          <w:p w14:paraId="31CBBF0C"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 xml:space="preserve">$55,967 </w:t>
            </w:r>
          </w:p>
        </w:tc>
      </w:tr>
      <w:tr w:rsidR="00335719" w:rsidRPr="00C46D4C" w14:paraId="4BB8D000" w14:textId="77777777" w:rsidTr="00335719">
        <w:trPr>
          <w:divId w:val="76709398"/>
          <w:trHeight w:val="510"/>
        </w:trPr>
        <w:tc>
          <w:tcPr>
            <w:tcW w:w="2940" w:type="dxa"/>
            <w:tcBorders>
              <w:top w:val="nil"/>
              <w:left w:val="single" w:sz="4" w:space="0" w:color="auto"/>
              <w:bottom w:val="single" w:sz="4" w:space="0" w:color="auto"/>
              <w:right w:val="single" w:sz="4" w:space="0" w:color="auto"/>
            </w:tcBorders>
            <w:shd w:val="clear" w:color="auto" w:fill="auto"/>
            <w:hideMark/>
          </w:tcPr>
          <w:p w14:paraId="21C4B52E" w14:textId="08E17E00" w:rsidR="00335719" w:rsidRPr="00C46D4C" w:rsidRDefault="00335719" w:rsidP="00933291">
            <w:pPr>
              <w:rPr>
                <w:rFonts w:ascii="Calibri" w:hAnsi="Calibri"/>
                <w:b/>
                <w:bCs/>
                <w:color w:val="000000"/>
                <w:sz w:val="20"/>
              </w:rPr>
            </w:pPr>
            <w:r w:rsidRPr="00C46D4C">
              <w:rPr>
                <w:rFonts w:ascii="Calibri" w:hAnsi="Calibri"/>
                <w:b/>
                <w:bCs/>
                <w:color w:val="000000"/>
                <w:sz w:val="20"/>
              </w:rPr>
              <w:t>Update of Property Profile Form (</w:t>
            </w:r>
            <w:r w:rsidR="00933291">
              <w:rPr>
                <w:rFonts w:ascii="Calibri" w:hAnsi="Calibri"/>
                <w:b/>
                <w:bCs/>
                <w:color w:val="000000"/>
                <w:sz w:val="20"/>
              </w:rPr>
              <w:t>CERLA128 (a)</w:t>
            </w:r>
            <w:r w:rsidRPr="00C46D4C">
              <w:rPr>
                <w:rFonts w:ascii="Calibri" w:hAnsi="Calibri"/>
                <w:b/>
                <w:bCs/>
                <w:color w:val="000000"/>
                <w:sz w:val="20"/>
              </w:rPr>
              <w:t>)</w:t>
            </w:r>
          </w:p>
        </w:tc>
        <w:tc>
          <w:tcPr>
            <w:tcW w:w="800" w:type="dxa"/>
            <w:tcBorders>
              <w:top w:val="nil"/>
              <w:left w:val="nil"/>
              <w:bottom w:val="single" w:sz="4" w:space="0" w:color="auto"/>
              <w:right w:val="single" w:sz="4" w:space="0" w:color="auto"/>
            </w:tcBorders>
            <w:shd w:val="clear" w:color="auto" w:fill="auto"/>
            <w:hideMark/>
          </w:tcPr>
          <w:p w14:paraId="126761E2"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0.5</w:t>
            </w:r>
          </w:p>
        </w:tc>
        <w:tc>
          <w:tcPr>
            <w:tcW w:w="880" w:type="dxa"/>
            <w:tcBorders>
              <w:top w:val="nil"/>
              <w:left w:val="nil"/>
              <w:bottom w:val="single" w:sz="4" w:space="0" w:color="auto"/>
              <w:right w:val="single" w:sz="4" w:space="0" w:color="auto"/>
            </w:tcBorders>
            <w:shd w:val="clear" w:color="auto" w:fill="auto"/>
            <w:hideMark/>
          </w:tcPr>
          <w:p w14:paraId="2322C91C"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 xml:space="preserve">$53.66 </w:t>
            </w:r>
          </w:p>
        </w:tc>
        <w:tc>
          <w:tcPr>
            <w:tcW w:w="900" w:type="dxa"/>
            <w:tcBorders>
              <w:top w:val="nil"/>
              <w:left w:val="nil"/>
              <w:bottom w:val="single" w:sz="4" w:space="0" w:color="auto"/>
              <w:right w:val="single" w:sz="4" w:space="0" w:color="auto"/>
            </w:tcBorders>
            <w:shd w:val="clear" w:color="auto" w:fill="auto"/>
            <w:hideMark/>
          </w:tcPr>
          <w:p w14:paraId="0889FEE2"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 xml:space="preserve">$53.66 </w:t>
            </w:r>
          </w:p>
        </w:tc>
        <w:tc>
          <w:tcPr>
            <w:tcW w:w="1160" w:type="dxa"/>
            <w:tcBorders>
              <w:top w:val="nil"/>
              <w:left w:val="nil"/>
              <w:bottom w:val="single" w:sz="4" w:space="0" w:color="auto"/>
              <w:right w:val="single" w:sz="4" w:space="0" w:color="auto"/>
            </w:tcBorders>
            <w:shd w:val="clear" w:color="auto" w:fill="auto"/>
            <w:hideMark/>
          </w:tcPr>
          <w:p w14:paraId="3103D10F"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634</w:t>
            </w:r>
          </w:p>
        </w:tc>
        <w:tc>
          <w:tcPr>
            <w:tcW w:w="1240" w:type="dxa"/>
            <w:tcBorders>
              <w:top w:val="nil"/>
              <w:left w:val="nil"/>
              <w:bottom w:val="single" w:sz="4" w:space="0" w:color="auto"/>
              <w:right w:val="single" w:sz="4" w:space="0" w:color="auto"/>
            </w:tcBorders>
            <w:shd w:val="clear" w:color="auto" w:fill="auto"/>
            <w:hideMark/>
          </w:tcPr>
          <w:p w14:paraId="7A7805B0"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317</w:t>
            </w:r>
          </w:p>
        </w:tc>
        <w:tc>
          <w:tcPr>
            <w:tcW w:w="1400" w:type="dxa"/>
            <w:tcBorders>
              <w:top w:val="nil"/>
              <w:left w:val="nil"/>
              <w:bottom w:val="single" w:sz="4" w:space="0" w:color="auto"/>
              <w:right w:val="single" w:sz="4" w:space="0" w:color="auto"/>
            </w:tcBorders>
            <w:shd w:val="clear" w:color="auto" w:fill="auto"/>
            <w:hideMark/>
          </w:tcPr>
          <w:p w14:paraId="697F1796"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 xml:space="preserve">$34,021 </w:t>
            </w:r>
          </w:p>
        </w:tc>
      </w:tr>
      <w:tr w:rsidR="00335719" w:rsidRPr="00C46D4C" w14:paraId="1EE520BD" w14:textId="77777777" w:rsidTr="00335719">
        <w:trPr>
          <w:divId w:val="76709398"/>
          <w:trHeight w:val="510"/>
        </w:trPr>
        <w:tc>
          <w:tcPr>
            <w:tcW w:w="2940" w:type="dxa"/>
            <w:tcBorders>
              <w:top w:val="nil"/>
              <w:left w:val="single" w:sz="4" w:space="0" w:color="auto"/>
              <w:bottom w:val="single" w:sz="4" w:space="0" w:color="auto"/>
              <w:right w:val="single" w:sz="4" w:space="0" w:color="auto"/>
            </w:tcBorders>
            <w:shd w:val="clear" w:color="auto" w:fill="auto"/>
            <w:hideMark/>
          </w:tcPr>
          <w:p w14:paraId="0C10692B" w14:textId="77777777" w:rsidR="00335719" w:rsidRPr="00C46D4C" w:rsidRDefault="00335719" w:rsidP="00335719">
            <w:pPr>
              <w:rPr>
                <w:rFonts w:ascii="Calibri" w:hAnsi="Calibri"/>
                <w:b/>
                <w:bCs/>
                <w:color w:val="000000"/>
                <w:sz w:val="20"/>
              </w:rPr>
            </w:pPr>
            <w:r w:rsidRPr="00C46D4C">
              <w:rPr>
                <w:rFonts w:ascii="Calibri" w:hAnsi="Calibri"/>
                <w:b/>
                <w:bCs/>
                <w:color w:val="000000"/>
                <w:sz w:val="20"/>
              </w:rPr>
              <w:t>Initial Completion of Area-Wide Planning Form (non-profits)</w:t>
            </w:r>
          </w:p>
        </w:tc>
        <w:tc>
          <w:tcPr>
            <w:tcW w:w="800" w:type="dxa"/>
            <w:tcBorders>
              <w:top w:val="nil"/>
              <w:left w:val="nil"/>
              <w:bottom w:val="single" w:sz="4" w:space="0" w:color="auto"/>
              <w:right w:val="single" w:sz="4" w:space="0" w:color="auto"/>
            </w:tcBorders>
            <w:shd w:val="clear" w:color="auto" w:fill="auto"/>
            <w:hideMark/>
          </w:tcPr>
          <w:p w14:paraId="6C9F4FF0"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2</w:t>
            </w:r>
          </w:p>
        </w:tc>
        <w:tc>
          <w:tcPr>
            <w:tcW w:w="880" w:type="dxa"/>
            <w:tcBorders>
              <w:top w:val="nil"/>
              <w:left w:val="nil"/>
              <w:bottom w:val="single" w:sz="4" w:space="0" w:color="auto"/>
              <w:right w:val="single" w:sz="4" w:space="0" w:color="auto"/>
            </w:tcBorders>
            <w:shd w:val="clear" w:color="auto" w:fill="auto"/>
            <w:hideMark/>
          </w:tcPr>
          <w:p w14:paraId="36CAA8AB"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 xml:space="preserve">$110.48 </w:t>
            </w:r>
          </w:p>
        </w:tc>
        <w:tc>
          <w:tcPr>
            <w:tcW w:w="900" w:type="dxa"/>
            <w:tcBorders>
              <w:top w:val="nil"/>
              <w:left w:val="nil"/>
              <w:bottom w:val="single" w:sz="4" w:space="0" w:color="auto"/>
              <w:right w:val="single" w:sz="4" w:space="0" w:color="auto"/>
            </w:tcBorders>
            <w:shd w:val="clear" w:color="auto" w:fill="auto"/>
            <w:hideMark/>
          </w:tcPr>
          <w:p w14:paraId="17B572FA"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 xml:space="preserve">$220.96 </w:t>
            </w:r>
          </w:p>
        </w:tc>
        <w:tc>
          <w:tcPr>
            <w:tcW w:w="1160" w:type="dxa"/>
            <w:tcBorders>
              <w:top w:val="nil"/>
              <w:left w:val="nil"/>
              <w:bottom w:val="single" w:sz="4" w:space="0" w:color="auto"/>
              <w:right w:val="single" w:sz="4" w:space="0" w:color="auto"/>
            </w:tcBorders>
            <w:shd w:val="clear" w:color="auto" w:fill="auto"/>
            <w:hideMark/>
          </w:tcPr>
          <w:p w14:paraId="2708A5E8"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3</w:t>
            </w:r>
          </w:p>
        </w:tc>
        <w:tc>
          <w:tcPr>
            <w:tcW w:w="1240" w:type="dxa"/>
            <w:tcBorders>
              <w:top w:val="nil"/>
              <w:left w:val="nil"/>
              <w:bottom w:val="single" w:sz="4" w:space="0" w:color="auto"/>
              <w:right w:val="single" w:sz="4" w:space="0" w:color="auto"/>
            </w:tcBorders>
            <w:shd w:val="clear" w:color="auto" w:fill="auto"/>
            <w:hideMark/>
          </w:tcPr>
          <w:p w14:paraId="11D17AE5"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6</w:t>
            </w:r>
          </w:p>
        </w:tc>
        <w:tc>
          <w:tcPr>
            <w:tcW w:w="1400" w:type="dxa"/>
            <w:tcBorders>
              <w:top w:val="nil"/>
              <w:left w:val="nil"/>
              <w:bottom w:val="single" w:sz="4" w:space="0" w:color="auto"/>
              <w:right w:val="single" w:sz="4" w:space="0" w:color="auto"/>
            </w:tcBorders>
            <w:shd w:val="clear" w:color="auto" w:fill="auto"/>
            <w:hideMark/>
          </w:tcPr>
          <w:p w14:paraId="2C644CDA"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 xml:space="preserve">$663 </w:t>
            </w:r>
          </w:p>
        </w:tc>
      </w:tr>
      <w:tr w:rsidR="00335719" w:rsidRPr="00C46D4C" w14:paraId="3E3E5FAD" w14:textId="77777777" w:rsidTr="00335719">
        <w:trPr>
          <w:divId w:val="76709398"/>
          <w:trHeight w:val="510"/>
        </w:trPr>
        <w:tc>
          <w:tcPr>
            <w:tcW w:w="2940" w:type="dxa"/>
            <w:tcBorders>
              <w:top w:val="nil"/>
              <w:left w:val="single" w:sz="4" w:space="0" w:color="auto"/>
              <w:bottom w:val="single" w:sz="4" w:space="0" w:color="auto"/>
              <w:right w:val="single" w:sz="4" w:space="0" w:color="auto"/>
            </w:tcBorders>
            <w:shd w:val="clear" w:color="auto" w:fill="auto"/>
            <w:hideMark/>
          </w:tcPr>
          <w:p w14:paraId="5725A875" w14:textId="77777777" w:rsidR="00335719" w:rsidRPr="00C46D4C" w:rsidRDefault="00335719" w:rsidP="00335719">
            <w:pPr>
              <w:rPr>
                <w:rFonts w:ascii="Calibri" w:hAnsi="Calibri"/>
                <w:b/>
                <w:bCs/>
                <w:color w:val="000000"/>
                <w:sz w:val="20"/>
              </w:rPr>
            </w:pPr>
            <w:r w:rsidRPr="00C46D4C">
              <w:rPr>
                <w:rFonts w:ascii="Calibri" w:hAnsi="Calibri"/>
                <w:b/>
                <w:bCs/>
                <w:color w:val="000000"/>
                <w:sz w:val="20"/>
              </w:rPr>
              <w:t>Initial Completion of Area-Wide Planning Form (government)</w:t>
            </w:r>
          </w:p>
        </w:tc>
        <w:tc>
          <w:tcPr>
            <w:tcW w:w="800" w:type="dxa"/>
            <w:tcBorders>
              <w:top w:val="nil"/>
              <w:left w:val="nil"/>
              <w:bottom w:val="single" w:sz="4" w:space="0" w:color="auto"/>
              <w:right w:val="single" w:sz="4" w:space="0" w:color="auto"/>
            </w:tcBorders>
            <w:shd w:val="clear" w:color="auto" w:fill="auto"/>
            <w:hideMark/>
          </w:tcPr>
          <w:p w14:paraId="5ABC7A60"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2</w:t>
            </w:r>
          </w:p>
        </w:tc>
        <w:tc>
          <w:tcPr>
            <w:tcW w:w="880" w:type="dxa"/>
            <w:tcBorders>
              <w:top w:val="nil"/>
              <w:left w:val="nil"/>
              <w:bottom w:val="single" w:sz="4" w:space="0" w:color="auto"/>
              <w:right w:val="single" w:sz="4" w:space="0" w:color="auto"/>
            </w:tcBorders>
            <w:shd w:val="clear" w:color="auto" w:fill="auto"/>
            <w:hideMark/>
          </w:tcPr>
          <w:p w14:paraId="0BAFA7F8"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 xml:space="preserve">$110.48 </w:t>
            </w:r>
          </w:p>
        </w:tc>
        <w:tc>
          <w:tcPr>
            <w:tcW w:w="900" w:type="dxa"/>
            <w:tcBorders>
              <w:top w:val="nil"/>
              <w:left w:val="nil"/>
              <w:bottom w:val="single" w:sz="4" w:space="0" w:color="auto"/>
              <w:right w:val="single" w:sz="4" w:space="0" w:color="auto"/>
            </w:tcBorders>
            <w:shd w:val="clear" w:color="auto" w:fill="auto"/>
            <w:hideMark/>
          </w:tcPr>
          <w:p w14:paraId="6CCB8891"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 xml:space="preserve">$220.96 </w:t>
            </w:r>
          </w:p>
        </w:tc>
        <w:tc>
          <w:tcPr>
            <w:tcW w:w="1160" w:type="dxa"/>
            <w:tcBorders>
              <w:top w:val="nil"/>
              <w:left w:val="nil"/>
              <w:bottom w:val="single" w:sz="4" w:space="0" w:color="auto"/>
              <w:right w:val="single" w:sz="4" w:space="0" w:color="auto"/>
            </w:tcBorders>
            <w:shd w:val="clear" w:color="auto" w:fill="auto"/>
            <w:hideMark/>
          </w:tcPr>
          <w:p w14:paraId="57431AB6"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15</w:t>
            </w:r>
          </w:p>
        </w:tc>
        <w:tc>
          <w:tcPr>
            <w:tcW w:w="1240" w:type="dxa"/>
            <w:tcBorders>
              <w:top w:val="nil"/>
              <w:left w:val="nil"/>
              <w:bottom w:val="single" w:sz="4" w:space="0" w:color="auto"/>
              <w:right w:val="single" w:sz="4" w:space="0" w:color="auto"/>
            </w:tcBorders>
            <w:shd w:val="clear" w:color="auto" w:fill="auto"/>
            <w:hideMark/>
          </w:tcPr>
          <w:p w14:paraId="446491A8"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30</w:t>
            </w:r>
          </w:p>
        </w:tc>
        <w:tc>
          <w:tcPr>
            <w:tcW w:w="1400" w:type="dxa"/>
            <w:tcBorders>
              <w:top w:val="nil"/>
              <w:left w:val="nil"/>
              <w:bottom w:val="single" w:sz="4" w:space="0" w:color="auto"/>
              <w:right w:val="single" w:sz="4" w:space="0" w:color="auto"/>
            </w:tcBorders>
            <w:shd w:val="clear" w:color="auto" w:fill="auto"/>
            <w:hideMark/>
          </w:tcPr>
          <w:p w14:paraId="6134B631"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 xml:space="preserve">$3,314 </w:t>
            </w:r>
          </w:p>
        </w:tc>
      </w:tr>
      <w:tr w:rsidR="00335719" w:rsidRPr="00C46D4C" w14:paraId="587F9635" w14:textId="77777777" w:rsidTr="00335719">
        <w:trPr>
          <w:divId w:val="76709398"/>
          <w:trHeight w:val="765"/>
        </w:trPr>
        <w:tc>
          <w:tcPr>
            <w:tcW w:w="2940" w:type="dxa"/>
            <w:tcBorders>
              <w:top w:val="nil"/>
              <w:left w:val="single" w:sz="4" w:space="0" w:color="auto"/>
              <w:bottom w:val="single" w:sz="4" w:space="0" w:color="auto"/>
              <w:right w:val="single" w:sz="4" w:space="0" w:color="auto"/>
            </w:tcBorders>
            <w:shd w:val="clear" w:color="auto" w:fill="auto"/>
            <w:hideMark/>
          </w:tcPr>
          <w:p w14:paraId="79E93C92" w14:textId="77777777" w:rsidR="00335719" w:rsidRPr="00C46D4C" w:rsidRDefault="00335719" w:rsidP="00335719">
            <w:pPr>
              <w:rPr>
                <w:rFonts w:ascii="Calibri" w:hAnsi="Calibri"/>
                <w:b/>
                <w:bCs/>
                <w:color w:val="000000"/>
                <w:sz w:val="20"/>
              </w:rPr>
            </w:pPr>
            <w:r w:rsidRPr="00C46D4C">
              <w:rPr>
                <w:rFonts w:ascii="Calibri" w:hAnsi="Calibri"/>
                <w:b/>
                <w:bCs/>
                <w:color w:val="000000"/>
                <w:sz w:val="20"/>
              </w:rPr>
              <w:lastRenderedPageBreak/>
              <w:t>Review and Process of Area-Wide planning Reporting Form (non-profits)</w:t>
            </w:r>
          </w:p>
        </w:tc>
        <w:tc>
          <w:tcPr>
            <w:tcW w:w="800" w:type="dxa"/>
            <w:tcBorders>
              <w:top w:val="nil"/>
              <w:left w:val="nil"/>
              <w:bottom w:val="single" w:sz="4" w:space="0" w:color="auto"/>
              <w:right w:val="single" w:sz="4" w:space="0" w:color="auto"/>
            </w:tcBorders>
            <w:shd w:val="clear" w:color="auto" w:fill="auto"/>
            <w:hideMark/>
          </w:tcPr>
          <w:p w14:paraId="03C5AD3F"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1.5</w:t>
            </w:r>
          </w:p>
        </w:tc>
        <w:tc>
          <w:tcPr>
            <w:tcW w:w="880" w:type="dxa"/>
            <w:tcBorders>
              <w:top w:val="nil"/>
              <w:left w:val="nil"/>
              <w:bottom w:val="single" w:sz="4" w:space="0" w:color="auto"/>
              <w:right w:val="single" w:sz="4" w:space="0" w:color="auto"/>
            </w:tcBorders>
            <w:shd w:val="clear" w:color="auto" w:fill="auto"/>
            <w:hideMark/>
          </w:tcPr>
          <w:p w14:paraId="5193F545"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 xml:space="preserve">$110.48 </w:t>
            </w:r>
          </w:p>
        </w:tc>
        <w:tc>
          <w:tcPr>
            <w:tcW w:w="900" w:type="dxa"/>
            <w:tcBorders>
              <w:top w:val="nil"/>
              <w:left w:val="nil"/>
              <w:bottom w:val="single" w:sz="4" w:space="0" w:color="auto"/>
              <w:right w:val="single" w:sz="4" w:space="0" w:color="auto"/>
            </w:tcBorders>
            <w:shd w:val="clear" w:color="auto" w:fill="auto"/>
            <w:hideMark/>
          </w:tcPr>
          <w:p w14:paraId="3435386D"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 xml:space="preserve">$165.72 </w:t>
            </w:r>
          </w:p>
        </w:tc>
        <w:tc>
          <w:tcPr>
            <w:tcW w:w="1160" w:type="dxa"/>
            <w:tcBorders>
              <w:top w:val="nil"/>
              <w:left w:val="nil"/>
              <w:bottom w:val="single" w:sz="4" w:space="0" w:color="auto"/>
              <w:right w:val="single" w:sz="4" w:space="0" w:color="auto"/>
            </w:tcBorders>
            <w:shd w:val="clear" w:color="auto" w:fill="auto"/>
            <w:hideMark/>
          </w:tcPr>
          <w:p w14:paraId="78C277B3"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2</w:t>
            </w:r>
          </w:p>
        </w:tc>
        <w:tc>
          <w:tcPr>
            <w:tcW w:w="1240" w:type="dxa"/>
            <w:tcBorders>
              <w:top w:val="nil"/>
              <w:left w:val="nil"/>
              <w:bottom w:val="single" w:sz="4" w:space="0" w:color="auto"/>
              <w:right w:val="single" w:sz="4" w:space="0" w:color="auto"/>
            </w:tcBorders>
            <w:shd w:val="clear" w:color="auto" w:fill="auto"/>
            <w:hideMark/>
          </w:tcPr>
          <w:p w14:paraId="57770084"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3</w:t>
            </w:r>
          </w:p>
        </w:tc>
        <w:tc>
          <w:tcPr>
            <w:tcW w:w="1400" w:type="dxa"/>
            <w:tcBorders>
              <w:top w:val="nil"/>
              <w:left w:val="nil"/>
              <w:bottom w:val="single" w:sz="4" w:space="0" w:color="auto"/>
              <w:right w:val="single" w:sz="4" w:space="0" w:color="auto"/>
            </w:tcBorders>
            <w:shd w:val="clear" w:color="auto" w:fill="auto"/>
            <w:hideMark/>
          </w:tcPr>
          <w:p w14:paraId="0B5BB6C7"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 xml:space="preserve">$331 </w:t>
            </w:r>
          </w:p>
        </w:tc>
      </w:tr>
      <w:tr w:rsidR="00335719" w:rsidRPr="00C46D4C" w14:paraId="594D81E9" w14:textId="77777777" w:rsidTr="00335719">
        <w:trPr>
          <w:divId w:val="76709398"/>
          <w:trHeight w:val="765"/>
        </w:trPr>
        <w:tc>
          <w:tcPr>
            <w:tcW w:w="2940" w:type="dxa"/>
            <w:tcBorders>
              <w:top w:val="nil"/>
              <w:left w:val="single" w:sz="4" w:space="0" w:color="auto"/>
              <w:bottom w:val="single" w:sz="4" w:space="0" w:color="auto"/>
              <w:right w:val="single" w:sz="4" w:space="0" w:color="auto"/>
            </w:tcBorders>
            <w:shd w:val="clear" w:color="auto" w:fill="auto"/>
            <w:hideMark/>
          </w:tcPr>
          <w:p w14:paraId="31B245A6" w14:textId="77777777" w:rsidR="00335719" w:rsidRPr="00C46D4C" w:rsidRDefault="00335719" w:rsidP="00335719">
            <w:pPr>
              <w:rPr>
                <w:rFonts w:ascii="Calibri" w:hAnsi="Calibri"/>
                <w:b/>
                <w:bCs/>
                <w:color w:val="000000"/>
                <w:sz w:val="20"/>
              </w:rPr>
            </w:pPr>
            <w:r w:rsidRPr="00C46D4C">
              <w:rPr>
                <w:rFonts w:ascii="Calibri" w:hAnsi="Calibri"/>
                <w:b/>
                <w:bCs/>
                <w:color w:val="000000"/>
                <w:sz w:val="20"/>
              </w:rPr>
              <w:t>Review and Process of Area-Wide planning Reporting Form (government)</w:t>
            </w:r>
          </w:p>
        </w:tc>
        <w:tc>
          <w:tcPr>
            <w:tcW w:w="800" w:type="dxa"/>
            <w:tcBorders>
              <w:top w:val="nil"/>
              <w:left w:val="nil"/>
              <w:bottom w:val="single" w:sz="4" w:space="0" w:color="auto"/>
              <w:right w:val="single" w:sz="4" w:space="0" w:color="auto"/>
            </w:tcBorders>
            <w:shd w:val="clear" w:color="auto" w:fill="auto"/>
            <w:hideMark/>
          </w:tcPr>
          <w:p w14:paraId="1F26B558"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1.5</w:t>
            </w:r>
          </w:p>
        </w:tc>
        <w:tc>
          <w:tcPr>
            <w:tcW w:w="880" w:type="dxa"/>
            <w:tcBorders>
              <w:top w:val="nil"/>
              <w:left w:val="nil"/>
              <w:bottom w:val="single" w:sz="4" w:space="0" w:color="auto"/>
              <w:right w:val="single" w:sz="4" w:space="0" w:color="auto"/>
            </w:tcBorders>
            <w:shd w:val="clear" w:color="auto" w:fill="auto"/>
            <w:hideMark/>
          </w:tcPr>
          <w:p w14:paraId="2B07A1C0"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 xml:space="preserve">$110.48 </w:t>
            </w:r>
          </w:p>
        </w:tc>
        <w:tc>
          <w:tcPr>
            <w:tcW w:w="900" w:type="dxa"/>
            <w:tcBorders>
              <w:top w:val="nil"/>
              <w:left w:val="nil"/>
              <w:bottom w:val="single" w:sz="4" w:space="0" w:color="auto"/>
              <w:right w:val="single" w:sz="4" w:space="0" w:color="auto"/>
            </w:tcBorders>
            <w:shd w:val="clear" w:color="auto" w:fill="auto"/>
            <w:hideMark/>
          </w:tcPr>
          <w:p w14:paraId="5ED4FFBD"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 xml:space="preserve">$165.72 </w:t>
            </w:r>
          </w:p>
        </w:tc>
        <w:tc>
          <w:tcPr>
            <w:tcW w:w="1160" w:type="dxa"/>
            <w:tcBorders>
              <w:top w:val="nil"/>
              <w:left w:val="nil"/>
              <w:bottom w:val="single" w:sz="4" w:space="0" w:color="auto"/>
              <w:right w:val="single" w:sz="4" w:space="0" w:color="auto"/>
            </w:tcBorders>
            <w:shd w:val="clear" w:color="auto" w:fill="auto"/>
            <w:hideMark/>
          </w:tcPr>
          <w:p w14:paraId="2C63F052"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7</w:t>
            </w:r>
          </w:p>
        </w:tc>
        <w:tc>
          <w:tcPr>
            <w:tcW w:w="1240" w:type="dxa"/>
            <w:tcBorders>
              <w:top w:val="nil"/>
              <w:left w:val="nil"/>
              <w:bottom w:val="single" w:sz="4" w:space="0" w:color="auto"/>
              <w:right w:val="single" w:sz="4" w:space="0" w:color="auto"/>
            </w:tcBorders>
            <w:shd w:val="clear" w:color="auto" w:fill="auto"/>
            <w:hideMark/>
          </w:tcPr>
          <w:p w14:paraId="11073A88"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10.5</w:t>
            </w:r>
          </w:p>
        </w:tc>
        <w:tc>
          <w:tcPr>
            <w:tcW w:w="1400" w:type="dxa"/>
            <w:tcBorders>
              <w:top w:val="nil"/>
              <w:left w:val="nil"/>
              <w:bottom w:val="single" w:sz="4" w:space="0" w:color="auto"/>
              <w:right w:val="single" w:sz="4" w:space="0" w:color="auto"/>
            </w:tcBorders>
            <w:shd w:val="clear" w:color="auto" w:fill="auto"/>
            <w:hideMark/>
          </w:tcPr>
          <w:p w14:paraId="5D5D247C"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 xml:space="preserve">$1,160 </w:t>
            </w:r>
          </w:p>
        </w:tc>
      </w:tr>
      <w:tr w:rsidR="00335719" w:rsidRPr="00C46D4C" w14:paraId="344BFC1D" w14:textId="77777777" w:rsidTr="00335719">
        <w:trPr>
          <w:divId w:val="76709398"/>
          <w:trHeight w:val="510"/>
        </w:trPr>
        <w:tc>
          <w:tcPr>
            <w:tcW w:w="2940" w:type="dxa"/>
            <w:tcBorders>
              <w:top w:val="nil"/>
              <w:left w:val="single" w:sz="4" w:space="0" w:color="auto"/>
              <w:bottom w:val="single" w:sz="4" w:space="0" w:color="auto"/>
              <w:right w:val="single" w:sz="4" w:space="0" w:color="auto"/>
            </w:tcBorders>
            <w:shd w:val="clear" w:color="auto" w:fill="auto"/>
            <w:hideMark/>
          </w:tcPr>
          <w:p w14:paraId="0D7DB1D2" w14:textId="2EE21F84" w:rsidR="00335719" w:rsidRPr="00C46D4C" w:rsidRDefault="00335719" w:rsidP="00335719">
            <w:pPr>
              <w:rPr>
                <w:rFonts w:ascii="Calibri" w:hAnsi="Calibri"/>
                <w:b/>
                <w:bCs/>
                <w:color w:val="000000"/>
                <w:sz w:val="20"/>
              </w:rPr>
            </w:pPr>
            <w:r w:rsidRPr="00C46D4C">
              <w:rPr>
                <w:rFonts w:ascii="Calibri" w:hAnsi="Calibri"/>
                <w:b/>
                <w:bCs/>
                <w:color w:val="000000"/>
                <w:sz w:val="20"/>
              </w:rPr>
              <w:t>Initial Completion of Job Training</w:t>
            </w:r>
            <w:r w:rsidR="005F249D">
              <w:rPr>
                <w:rFonts w:ascii="Calibri" w:hAnsi="Calibri"/>
                <w:b/>
                <w:bCs/>
                <w:color w:val="000000"/>
                <w:sz w:val="20"/>
              </w:rPr>
              <w:t xml:space="preserve"> Reporting</w:t>
            </w:r>
            <w:r w:rsidRPr="00C46D4C">
              <w:rPr>
                <w:rFonts w:ascii="Calibri" w:hAnsi="Calibri"/>
                <w:b/>
                <w:bCs/>
                <w:color w:val="000000"/>
                <w:sz w:val="20"/>
              </w:rPr>
              <w:t xml:space="preserve"> Form (non-profits)</w:t>
            </w:r>
          </w:p>
        </w:tc>
        <w:tc>
          <w:tcPr>
            <w:tcW w:w="800" w:type="dxa"/>
            <w:tcBorders>
              <w:top w:val="nil"/>
              <w:left w:val="nil"/>
              <w:bottom w:val="single" w:sz="4" w:space="0" w:color="auto"/>
              <w:right w:val="single" w:sz="4" w:space="0" w:color="auto"/>
            </w:tcBorders>
            <w:shd w:val="clear" w:color="auto" w:fill="auto"/>
            <w:hideMark/>
          </w:tcPr>
          <w:p w14:paraId="2A1B8787"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4</w:t>
            </w:r>
          </w:p>
        </w:tc>
        <w:tc>
          <w:tcPr>
            <w:tcW w:w="880" w:type="dxa"/>
            <w:tcBorders>
              <w:top w:val="nil"/>
              <w:left w:val="nil"/>
              <w:bottom w:val="single" w:sz="4" w:space="0" w:color="auto"/>
              <w:right w:val="single" w:sz="4" w:space="0" w:color="auto"/>
            </w:tcBorders>
            <w:shd w:val="clear" w:color="auto" w:fill="auto"/>
            <w:hideMark/>
          </w:tcPr>
          <w:p w14:paraId="7D2B0F65"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 xml:space="preserve">$89.72 </w:t>
            </w:r>
          </w:p>
        </w:tc>
        <w:tc>
          <w:tcPr>
            <w:tcW w:w="900" w:type="dxa"/>
            <w:tcBorders>
              <w:top w:val="nil"/>
              <w:left w:val="nil"/>
              <w:bottom w:val="single" w:sz="4" w:space="0" w:color="auto"/>
              <w:right w:val="single" w:sz="4" w:space="0" w:color="auto"/>
            </w:tcBorders>
            <w:shd w:val="clear" w:color="auto" w:fill="auto"/>
            <w:hideMark/>
          </w:tcPr>
          <w:p w14:paraId="77FA8F39"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 xml:space="preserve">$358.90 </w:t>
            </w:r>
          </w:p>
        </w:tc>
        <w:tc>
          <w:tcPr>
            <w:tcW w:w="1160" w:type="dxa"/>
            <w:tcBorders>
              <w:top w:val="nil"/>
              <w:left w:val="nil"/>
              <w:bottom w:val="single" w:sz="4" w:space="0" w:color="auto"/>
              <w:right w:val="single" w:sz="4" w:space="0" w:color="auto"/>
            </w:tcBorders>
            <w:shd w:val="clear" w:color="auto" w:fill="auto"/>
            <w:hideMark/>
          </w:tcPr>
          <w:p w14:paraId="62556F85"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18</w:t>
            </w:r>
          </w:p>
        </w:tc>
        <w:tc>
          <w:tcPr>
            <w:tcW w:w="1240" w:type="dxa"/>
            <w:tcBorders>
              <w:top w:val="nil"/>
              <w:left w:val="nil"/>
              <w:bottom w:val="single" w:sz="4" w:space="0" w:color="auto"/>
              <w:right w:val="single" w:sz="4" w:space="0" w:color="auto"/>
            </w:tcBorders>
            <w:shd w:val="clear" w:color="auto" w:fill="auto"/>
            <w:hideMark/>
          </w:tcPr>
          <w:p w14:paraId="02A43E3A"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72</w:t>
            </w:r>
          </w:p>
        </w:tc>
        <w:tc>
          <w:tcPr>
            <w:tcW w:w="1400" w:type="dxa"/>
            <w:tcBorders>
              <w:top w:val="nil"/>
              <w:left w:val="nil"/>
              <w:bottom w:val="single" w:sz="4" w:space="0" w:color="auto"/>
              <w:right w:val="single" w:sz="4" w:space="0" w:color="auto"/>
            </w:tcBorders>
            <w:shd w:val="clear" w:color="auto" w:fill="auto"/>
            <w:hideMark/>
          </w:tcPr>
          <w:p w14:paraId="71F3E2AD"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 xml:space="preserve">$6,460 </w:t>
            </w:r>
          </w:p>
        </w:tc>
      </w:tr>
      <w:tr w:rsidR="00335719" w:rsidRPr="00C46D4C" w14:paraId="1D247C83" w14:textId="77777777" w:rsidTr="00335719">
        <w:trPr>
          <w:divId w:val="76709398"/>
          <w:trHeight w:val="510"/>
        </w:trPr>
        <w:tc>
          <w:tcPr>
            <w:tcW w:w="2940" w:type="dxa"/>
            <w:tcBorders>
              <w:top w:val="nil"/>
              <w:left w:val="single" w:sz="4" w:space="0" w:color="auto"/>
              <w:bottom w:val="single" w:sz="4" w:space="0" w:color="auto"/>
              <w:right w:val="single" w:sz="4" w:space="0" w:color="auto"/>
            </w:tcBorders>
            <w:shd w:val="clear" w:color="auto" w:fill="auto"/>
            <w:hideMark/>
          </w:tcPr>
          <w:p w14:paraId="6213B947" w14:textId="33DFC4F3" w:rsidR="00335719" w:rsidRPr="00C46D4C" w:rsidRDefault="00335719" w:rsidP="00335719">
            <w:pPr>
              <w:rPr>
                <w:rFonts w:ascii="Calibri" w:hAnsi="Calibri"/>
                <w:b/>
                <w:bCs/>
                <w:color w:val="000000"/>
                <w:sz w:val="20"/>
              </w:rPr>
            </w:pPr>
            <w:r w:rsidRPr="00C46D4C">
              <w:rPr>
                <w:rFonts w:ascii="Calibri" w:hAnsi="Calibri"/>
                <w:b/>
                <w:bCs/>
                <w:color w:val="000000"/>
                <w:sz w:val="20"/>
              </w:rPr>
              <w:t xml:space="preserve">Initial Completion of Job Training </w:t>
            </w:r>
            <w:r w:rsidR="005F249D">
              <w:rPr>
                <w:rFonts w:ascii="Calibri" w:hAnsi="Calibri"/>
                <w:b/>
                <w:bCs/>
                <w:color w:val="000000"/>
                <w:sz w:val="20"/>
              </w:rPr>
              <w:t xml:space="preserve">Reporting </w:t>
            </w:r>
            <w:r w:rsidRPr="00C46D4C">
              <w:rPr>
                <w:rFonts w:ascii="Calibri" w:hAnsi="Calibri"/>
                <w:b/>
                <w:bCs/>
                <w:color w:val="000000"/>
                <w:sz w:val="20"/>
              </w:rPr>
              <w:t>Form (government)</w:t>
            </w:r>
          </w:p>
        </w:tc>
        <w:tc>
          <w:tcPr>
            <w:tcW w:w="800" w:type="dxa"/>
            <w:tcBorders>
              <w:top w:val="nil"/>
              <w:left w:val="nil"/>
              <w:bottom w:val="single" w:sz="4" w:space="0" w:color="auto"/>
              <w:right w:val="single" w:sz="4" w:space="0" w:color="auto"/>
            </w:tcBorders>
            <w:shd w:val="clear" w:color="auto" w:fill="auto"/>
            <w:hideMark/>
          </w:tcPr>
          <w:p w14:paraId="29B7C358"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4</w:t>
            </w:r>
          </w:p>
        </w:tc>
        <w:tc>
          <w:tcPr>
            <w:tcW w:w="880" w:type="dxa"/>
            <w:tcBorders>
              <w:top w:val="nil"/>
              <w:left w:val="nil"/>
              <w:bottom w:val="single" w:sz="4" w:space="0" w:color="auto"/>
              <w:right w:val="single" w:sz="4" w:space="0" w:color="auto"/>
            </w:tcBorders>
            <w:shd w:val="clear" w:color="auto" w:fill="auto"/>
            <w:hideMark/>
          </w:tcPr>
          <w:p w14:paraId="09CDC5B0"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 xml:space="preserve">$89.72 </w:t>
            </w:r>
          </w:p>
        </w:tc>
        <w:tc>
          <w:tcPr>
            <w:tcW w:w="900" w:type="dxa"/>
            <w:tcBorders>
              <w:top w:val="nil"/>
              <w:left w:val="nil"/>
              <w:bottom w:val="single" w:sz="4" w:space="0" w:color="auto"/>
              <w:right w:val="single" w:sz="4" w:space="0" w:color="auto"/>
            </w:tcBorders>
            <w:shd w:val="clear" w:color="auto" w:fill="auto"/>
            <w:hideMark/>
          </w:tcPr>
          <w:p w14:paraId="3625A5B0"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 xml:space="preserve">$358.90 </w:t>
            </w:r>
          </w:p>
        </w:tc>
        <w:tc>
          <w:tcPr>
            <w:tcW w:w="1160" w:type="dxa"/>
            <w:tcBorders>
              <w:top w:val="nil"/>
              <w:left w:val="nil"/>
              <w:bottom w:val="single" w:sz="4" w:space="0" w:color="auto"/>
              <w:right w:val="single" w:sz="4" w:space="0" w:color="auto"/>
            </w:tcBorders>
            <w:shd w:val="clear" w:color="auto" w:fill="auto"/>
            <w:hideMark/>
          </w:tcPr>
          <w:p w14:paraId="5D5225FB"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11</w:t>
            </w:r>
          </w:p>
        </w:tc>
        <w:tc>
          <w:tcPr>
            <w:tcW w:w="1240" w:type="dxa"/>
            <w:tcBorders>
              <w:top w:val="nil"/>
              <w:left w:val="nil"/>
              <w:bottom w:val="single" w:sz="4" w:space="0" w:color="auto"/>
              <w:right w:val="single" w:sz="4" w:space="0" w:color="auto"/>
            </w:tcBorders>
            <w:shd w:val="clear" w:color="auto" w:fill="auto"/>
            <w:hideMark/>
          </w:tcPr>
          <w:p w14:paraId="3387EE3E"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44</w:t>
            </w:r>
          </w:p>
        </w:tc>
        <w:tc>
          <w:tcPr>
            <w:tcW w:w="1400" w:type="dxa"/>
            <w:tcBorders>
              <w:top w:val="nil"/>
              <w:left w:val="nil"/>
              <w:bottom w:val="single" w:sz="4" w:space="0" w:color="auto"/>
              <w:right w:val="single" w:sz="4" w:space="0" w:color="auto"/>
            </w:tcBorders>
            <w:shd w:val="clear" w:color="auto" w:fill="auto"/>
            <w:hideMark/>
          </w:tcPr>
          <w:p w14:paraId="00CB951F"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 xml:space="preserve">$3,948 </w:t>
            </w:r>
          </w:p>
        </w:tc>
      </w:tr>
      <w:tr w:rsidR="00335719" w:rsidRPr="00C46D4C" w14:paraId="0E0737A5" w14:textId="77777777" w:rsidTr="00C46D4C">
        <w:trPr>
          <w:divId w:val="76709398"/>
          <w:trHeight w:val="300"/>
        </w:trPr>
        <w:tc>
          <w:tcPr>
            <w:tcW w:w="5520" w:type="dxa"/>
            <w:gridSpan w:val="4"/>
            <w:tcBorders>
              <w:top w:val="single" w:sz="4" w:space="0" w:color="auto"/>
              <w:left w:val="single" w:sz="4" w:space="0" w:color="auto"/>
              <w:bottom w:val="single" w:sz="4" w:space="0" w:color="auto"/>
              <w:right w:val="single" w:sz="4" w:space="0" w:color="auto"/>
            </w:tcBorders>
            <w:shd w:val="clear" w:color="auto" w:fill="auto"/>
            <w:hideMark/>
          </w:tcPr>
          <w:p w14:paraId="1BC9748D" w14:textId="77777777" w:rsidR="00335719" w:rsidRPr="00C46D4C" w:rsidRDefault="00335719" w:rsidP="00335719">
            <w:pPr>
              <w:rPr>
                <w:rFonts w:ascii="Calibri" w:hAnsi="Calibri"/>
                <w:b/>
                <w:bCs/>
                <w:color w:val="000000"/>
                <w:sz w:val="20"/>
              </w:rPr>
            </w:pPr>
            <w:r w:rsidRPr="00C46D4C">
              <w:rPr>
                <w:rFonts w:ascii="Calibri" w:hAnsi="Calibri"/>
                <w:b/>
                <w:bCs/>
                <w:color w:val="000000"/>
                <w:sz w:val="20"/>
              </w:rPr>
              <w:t>TOTAL</w:t>
            </w:r>
          </w:p>
        </w:tc>
        <w:tc>
          <w:tcPr>
            <w:tcW w:w="1160" w:type="dxa"/>
            <w:tcBorders>
              <w:top w:val="nil"/>
              <w:left w:val="nil"/>
              <w:bottom w:val="single" w:sz="4" w:space="0" w:color="auto"/>
              <w:right w:val="single" w:sz="4" w:space="0" w:color="auto"/>
            </w:tcBorders>
            <w:shd w:val="clear" w:color="auto" w:fill="auto"/>
            <w:hideMark/>
          </w:tcPr>
          <w:p w14:paraId="1A8904BA"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 xml:space="preserve">4,636 </w:t>
            </w:r>
          </w:p>
        </w:tc>
        <w:tc>
          <w:tcPr>
            <w:tcW w:w="1240" w:type="dxa"/>
            <w:tcBorders>
              <w:top w:val="nil"/>
              <w:left w:val="nil"/>
              <w:bottom w:val="single" w:sz="4" w:space="0" w:color="auto"/>
              <w:right w:val="single" w:sz="4" w:space="0" w:color="auto"/>
            </w:tcBorders>
            <w:shd w:val="clear" w:color="auto" w:fill="auto"/>
            <w:hideMark/>
          </w:tcPr>
          <w:p w14:paraId="158717F2"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 xml:space="preserve">3,877 </w:t>
            </w:r>
          </w:p>
        </w:tc>
        <w:tc>
          <w:tcPr>
            <w:tcW w:w="1400" w:type="dxa"/>
            <w:tcBorders>
              <w:top w:val="nil"/>
              <w:left w:val="nil"/>
              <w:bottom w:val="single" w:sz="4" w:space="0" w:color="auto"/>
              <w:right w:val="single" w:sz="4" w:space="0" w:color="auto"/>
            </w:tcBorders>
            <w:shd w:val="clear" w:color="auto" w:fill="auto"/>
            <w:hideMark/>
          </w:tcPr>
          <w:p w14:paraId="7AAE5BDD" w14:textId="77777777" w:rsidR="00335719" w:rsidRPr="00C46D4C" w:rsidRDefault="00335719" w:rsidP="00335719">
            <w:pPr>
              <w:jc w:val="center"/>
              <w:rPr>
                <w:rFonts w:ascii="Calibri" w:hAnsi="Calibri"/>
                <w:color w:val="000000"/>
                <w:sz w:val="20"/>
              </w:rPr>
            </w:pPr>
            <w:r w:rsidRPr="00C46D4C">
              <w:rPr>
                <w:rFonts w:ascii="Calibri" w:hAnsi="Calibri"/>
                <w:color w:val="000000"/>
                <w:sz w:val="20"/>
              </w:rPr>
              <w:t xml:space="preserve">$414,197 </w:t>
            </w:r>
          </w:p>
        </w:tc>
      </w:tr>
      <w:tr w:rsidR="00335719" w:rsidRPr="00C46D4C" w14:paraId="64B2338D" w14:textId="77777777" w:rsidTr="00C46D4C">
        <w:trPr>
          <w:divId w:val="76709398"/>
          <w:trHeight w:val="300"/>
        </w:trPr>
        <w:tc>
          <w:tcPr>
            <w:tcW w:w="6680" w:type="dxa"/>
            <w:gridSpan w:val="5"/>
            <w:tcBorders>
              <w:top w:val="single" w:sz="4" w:space="0" w:color="auto"/>
              <w:left w:val="single" w:sz="4" w:space="0" w:color="auto"/>
              <w:bottom w:val="single" w:sz="4" w:space="0" w:color="auto"/>
              <w:right w:val="single" w:sz="4" w:space="0" w:color="auto"/>
            </w:tcBorders>
            <w:shd w:val="clear" w:color="auto" w:fill="auto"/>
            <w:hideMark/>
          </w:tcPr>
          <w:p w14:paraId="45EE64AC" w14:textId="77777777" w:rsidR="00335719" w:rsidRPr="00C46D4C" w:rsidRDefault="00335719" w:rsidP="00335719">
            <w:pPr>
              <w:rPr>
                <w:rFonts w:ascii="Calibri" w:hAnsi="Calibri"/>
                <w:b/>
                <w:bCs/>
                <w:color w:val="000000"/>
                <w:sz w:val="20"/>
              </w:rPr>
            </w:pPr>
            <w:r w:rsidRPr="00C46D4C">
              <w:rPr>
                <w:rFonts w:ascii="Calibri" w:hAnsi="Calibri"/>
                <w:b/>
                <w:bCs/>
                <w:color w:val="000000"/>
                <w:sz w:val="20"/>
              </w:rPr>
              <w:t>AVERAGE TOTAL COST PER BURDEN HOUR</w:t>
            </w:r>
          </w:p>
        </w:tc>
        <w:tc>
          <w:tcPr>
            <w:tcW w:w="1240" w:type="dxa"/>
            <w:tcBorders>
              <w:top w:val="nil"/>
              <w:left w:val="nil"/>
              <w:bottom w:val="single" w:sz="4" w:space="0" w:color="auto"/>
              <w:right w:val="single" w:sz="4" w:space="0" w:color="auto"/>
            </w:tcBorders>
            <w:shd w:val="clear" w:color="auto" w:fill="auto"/>
            <w:hideMark/>
          </w:tcPr>
          <w:p w14:paraId="6598E902" w14:textId="77777777" w:rsidR="00335719" w:rsidRPr="00C46D4C" w:rsidRDefault="00335719" w:rsidP="00335719">
            <w:pPr>
              <w:rPr>
                <w:rFonts w:ascii="Calibri" w:hAnsi="Calibri"/>
                <w:color w:val="000000"/>
                <w:sz w:val="20"/>
              </w:rPr>
            </w:pPr>
            <w:r w:rsidRPr="00C46D4C">
              <w:rPr>
                <w:rFonts w:ascii="Calibri" w:hAnsi="Calibri"/>
                <w:color w:val="000000"/>
                <w:sz w:val="20"/>
              </w:rPr>
              <w:t xml:space="preserve"> $        106.85 </w:t>
            </w:r>
          </w:p>
        </w:tc>
        <w:tc>
          <w:tcPr>
            <w:tcW w:w="1400" w:type="dxa"/>
            <w:tcBorders>
              <w:top w:val="nil"/>
              <w:left w:val="nil"/>
              <w:bottom w:val="single" w:sz="4" w:space="0" w:color="auto"/>
              <w:right w:val="single" w:sz="4" w:space="0" w:color="auto"/>
            </w:tcBorders>
            <w:shd w:val="clear" w:color="auto" w:fill="auto"/>
            <w:hideMark/>
          </w:tcPr>
          <w:p w14:paraId="362FD95A" w14:textId="77777777" w:rsidR="00335719" w:rsidRPr="00C46D4C" w:rsidRDefault="00335719" w:rsidP="00335719">
            <w:pPr>
              <w:rPr>
                <w:rFonts w:ascii="Calibri" w:hAnsi="Calibri"/>
                <w:color w:val="000000"/>
                <w:sz w:val="20"/>
              </w:rPr>
            </w:pPr>
            <w:r w:rsidRPr="00C46D4C">
              <w:rPr>
                <w:rFonts w:ascii="Calibri" w:hAnsi="Calibri"/>
                <w:color w:val="000000"/>
                <w:sz w:val="20"/>
              </w:rPr>
              <w:t> </w:t>
            </w:r>
          </w:p>
        </w:tc>
      </w:tr>
    </w:tbl>
    <w:p w14:paraId="5282843E" w14:textId="58D7EF93" w:rsidR="008D0886" w:rsidRPr="000223B4" w:rsidRDefault="008D0886" w:rsidP="00CC7FF1">
      <w:pPr>
        <w:rPr>
          <w:color w:val="000000"/>
        </w:rPr>
      </w:pPr>
      <w:r>
        <w:rPr>
          <w:color w:val="000000"/>
        </w:rPr>
        <w:fldChar w:fldCharType="end"/>
      </w:r>
    </w:p>
    <w:p w14:paraId="7E0277AD" w14:textId="77777777" w:rsidR="00554AC5" w:rsidRDefault="00554AC5" w:rsidP="00554AC5">
      <w:pPr>
        <w:rPr>
          <w:color w:val="000000"/>
          <w:sz w:val="20"/>
        </w:rPr>
      </w:pPr>
      <w:r>
        <w:rPr>
          <w:color w:val="000000"/>
          <w:sz w:val="20"/>
        </w:rPr>
        <w:t>*</w:t>
      </w:r>
      <w:r w:rsidRPr="00B713F3">
        <w:t xml:space="preserve"> </w:t>
      </w:r>
      <w:r w:rsidRPr="00B713F3">
        <w:rPr>
          <w:color w:val="000000"/>
          <w:sz w:val="20"/>
        </w:rPr>
        <w:t>Unit Labor Cost in Dollars reflects a “loaded” rate for benefits and overhead.</w:t>
      </w:r>
    </w:p>
    <w:p w14:paraId="3FB627C0" w14:textId="77777777" w:rsidR="00554AC5" w:rsidRDefault="00554AC5">
      <w:pPr>
        <w:rPr>
          <w:color w:val="000000"/>
          <w:sz w:val="20"/>
        </w:rPr>
      </w:pPr>
      <w:r>
        <w:rPr>
          <w:color w:val="000000"/>
          <w:sz w:val="20"/>
        </w:rPr>
        <w:t xml:space="preserve">** Figures may not sum due to rounding. </w:t>
      </w:r>
    </w:p>
    <w:p w14:paraId="24C2D5BD" w14:textId="77777777" w:rsidR="00B106F3" w:rsidRDefault="00B106F3">
      <w:pPr>
        <w:rPr>
          <w:color w:val="000000"/>
          <w:sz w:val="20"/>
        </w:rPr>
      </w:pPr>
    </w:p>
    <w:p w14:paraId="33FFA2DF" w14:textId="0EBEB19B" w:rsidR="00B106F3" w:rsidRDefault="00B106F3" w:rsidP="000223B4">
      <w:pPr>
        <w:ind w:firstLine="720"/>
        <w:rPr>
          <w:color w:val="000000"/>
        </w:rPr>
      </w:pPr>
      <w:r>
        <w:rPr>
          <w:color w:val="000000"/>
        </w:rPr>
        <w:t xml:space="preserve">6(b).  Estimating respondent costs - To estimate the unit burden (hours) and hourly rate for the original information collection activity, EPA relied on its extensive experience working closely with Brownfields recipients, as well as in-depth interviews with </w:t>
      </w:r>
      <w:r>
        <w:t>eight</w:t>
      </w:r>
      <w:r>
        <w:rPr>
          <w:color w:val="000000"/>
        </w:rPr>
        <w:t xml:space="preserve"> current or former Brownfields recipients submitti</w:t>
      </w:r>
      <w:r w:rsidR="00E823AA">
        <w:rPr>
          <w:color w:val="000000"/>
        </w:rPr>
        <w:t>ng the Property Profile Form,</w:t>
      </w:r>
      <w:r>
        <w:rPr>
          <w:color w:val="000000"/>
        </w:rPr>
        <w:t xml:space="preserve"> nine Area-Wide Planning recipients specific to this ICR</w:t>
      </w:r>
      <w:r w:rsidR="00E823AA">
        <w:rPr>
          <w:color w:val="000000"/>
        </w:rPr>
        <w:t xml:space="preserve">, and six </w:t>
      </w:r>
      <w:r w:rsidR="00580E51">
        <w:rPr>
          <w:color w:val="000000"/>
        </w:rPr>
        <w:t xml:space="preserve">Environmental Workforce Development Job Training </w:t>
      </w:r>
      <w:r w:rsidR="00E823AA">
        <w:rPr>
          <w:color w:val="000000"/>
        </w:rPr>
        <w:t>recipients</w:t>
      </w:r>
      <w:r>
        <w:rPr>
          <w:color w:val="000000"/>
        </w:rPr>
        <w:t>.</w:t>
      </w:r>
      <w:r w:rsidR="00E823AA">
        <w:rPr>
          <w:color w:val="000000"/>
        </w:rPr>
        <w:t xml:space="preserve"> </w:t>
      </w:r>
      <w:r w:rsidR="002E37AF">
        <w:rPr>
          <w:color w:val="000000"/>
        </w:rPr>
        <w:t>T</w:t>
      </w:r>
      <w:r>
        <w:rPr>
          <w:color w:val="000000"/>
        </w:rPr>
        <w:t xml:space="preserve">hose interviewed were shown draft copies of all forms and accompanying instructions and guidance that would be used for reporting and asked to estimate: (1) the number of hours that would be required to perform each task; and (2) the labor mix required to perform each task (e.g., percentage of management, technical, clerical).  The data gathered from these interviews were then analyzed to estimate the unit burden and labor mix. </w:t>
      </w:r>
    </w:p>
    <w:p w14:paraId="71182092" w14:textId="77777777" w:rsidR="00B106F3" w:rsidRDefault="00B106F3" w:rsidP="00B106F3">
      <w:pPr>
        <w:rPr>
          <w:color w:val="000000"/>
        </w:rPr>
      </w:pPr>
    </w:p>
    <w:p w14:paraId="7A2BA081" w14:textId="664D241F" w:rsidR="008D0886" w:rsidRDefault="00B106F3" w:rsidP="000223B4">
      <w:pPr>
        <w:ind w:firstLine="720"/>
      </w:pPr>
      <w:r>
        <w:rPr>
          <w:color w:val="000000"/>
        </w:rPr>
        <w:t>For the renewal of this information collection request in 2016, EPA carried forward the same assumptions that were made for the original request. The type of data collected remains unchanged, with only structural change</w:t>
      </w:r>
      <w:r w:rsidR="009B7D75">
        <w:rPr>
          <w:color w:val="000000"/>
        </w:rPr>
        <w:t>s</w:t>
      </w:r>
      <w:r>
        <w:rPr>
          <w:color w:val="000000"/>
        </w:rPr>
        <w:t xml:space="preserve"> being</w:t>
      </w:r>
      <w:r w:rsidR="009B7D75">
        <w:rPr>
          <w:color w:val="000000"/>
        </w:rPr>
        <w:t xml:space="preserve"> made by</w:t>
      </w:r>
      <w:r>
        <w:rPr>
          <w:color w:val="000000"/>
        </w:rPr>
        <w:t xml:space="preserve"> separating the Area-Wide Planning questions from the original Property Profile Form into its own reporting form to ensure the lowest burden on </w:t>
      </w:r>
      <w:r w:rsidR="00C928CB">
        <w:rPr>
          <w:color w:val="000000"/>
        </w:rPr>
        <w:t>c</w:t>
      </w:r>
      <w:r>
        <w:rPr>
          <w:color w:val="000000"/>
        </w:rPr>
        <w:t xml:space="preserve">ooperative </w:t>
      </w:r>
      <w:r w:rsidR="00C928CB">
        <w:rPr>
          <w:color w:val="000000"/>
        </w:rPr>
        <w:t>a</w:t>
      </w:r>
      <w:r>
        <w:rPr>
          <w:color w:val="000000"/>
        </w:rPr>
        <w:t xml:space="preserve">greement </w:t>
      </w:r>
      <w:r w:rsidR="00C928CB">
        <w:rPr>
          <w:color w:val="000000"/>
        </w:rPr>
        <w:t>r</w:t>
      </w:r>
      <w:r>
        <w:rPr>
          <w:color w:val="000000"/>
        </w:rPr>
        <w:t xml:space="preserve">ecipients. For </w:t>
      </w:r>
      <w:r w:rsidR="008D0886">
        <w:rPr>
          <w:color w:val="000000"/>
        </w:rPr>
        <w:t>all form types</w:t>
      </w:r>
      <w:r>
        <w:rPr>
          <w:color w:val="000000"/>
        </w:rPr>
        <w:t xml:space="preserve">, </w:t>
      </w:r>
      <w:r>
        <w:t>t</w:t>
      </w:r>
      <w:r w:rsidR="00A2708C" w:rsidRPr="00461FE7">
        <w:t xml:space="preserve">he unit labor cost (dollars) for this burden estimate is a weighted hourly rate based upon the estimated labor mix and wage rates gathered from the U.S. Bureau of Labor Statistics (BLS).  </w:t>
      </w:r>
    </w:p>
    <w:p w14:paraId="38BDCC0E" w14:textId="77777777" w:rsidR="008D0886" w:rsidRDefault="008D0886"/>
    <w:p w14:paraId="4107D064" w14:textId="39C1C995" w:rsidR="00A2708C" w:rsidRDefault="008D0886" w:rsidP="000223B4">
      <w:pPr>
        <w:ind w:firstLine="720"/>
      </w:pPr>
      <w:r>
        <w:t>Data from consultations on the Property Profile Form, a</w:t>
      </w:r>
      <w:r w:rsidR="00A2708C" w:rsidRPr="00461FE7">
        <w:t xml:space="preserve">cross all tasks, indicate that the average </w:t>
      </w:r>
      <w:r w:rsidR="005D6497">
        <w:t>recipient</w:t>
      </w:r>
      <w:r w:rsidR="00A2708C" w:rsidRPr="00461FE7">
        <w:t xml:space="preserve"> will incur </w:t>
      </w:r>
      <w:r w:rsidR="00B106F3">
        <w:t>15</w:t>
      </w:r>
      <w:r w:rsidR="00A2708C" w:rsidRPr="00461FE7">
        <w:t xml:space="preserve"> percent of its burden with executive/managerial staff labor, </w:t>
      </w:r>
      <w:r w:rsidR="00B106F3">
        <w:t>6</w:t>
      </w:r>
      <w:r w:rsidR="00A2708C" w:rsidRPr="00461FE7">
        <w:t xml:space="preserve"> percent with professional specialty staff labor, </w:t>
      </w:r>
      <w:r w:rsidR="00B106F3">
        <w:t>56</w:t>
      </w:r>
      <w:r w:rsidR="00A2708C" w:rsidRPr="00461FE7">
        <w:t xml:space="preserve"> percent with technical labor, </w:t>
      </w:r>
      <w:r w:rsidR="00B106F3">
        <w:t>11</w:t>
      </w:r>
      <w:r w:rsidR="00A2708C" w:rsidRPr="00461FE7">
        <w:t xml:space="preserve"> percent with administrative support or clerical labor</w:t>
      </w:r>
      <w:r w:rsidR="00F15617">
        <w:t>,</w:t>
      </w:r>
      <w:r w:rsidR="00F15617" w:rsidRPr="00F15617">
        <w:rPr>
          <w:color w:val="000000"/>
        </w:rPr>
        <w:t xml:space="preserve"> </w:t>
      </w:r>
      <w:r w:rsidR="00F15617" w:rsidRPr="00AD0BCE">
        <w:rPr>
          <w:color w:val="000000"/>
        </w:rPr>
        <w:t>and 1</w:t>
      </w:r>
      <w:r w:rsidR="00B106F3">
        <w:rPr>
          <w:color w:val="000000"/>
        </w:rPr>
        <w:t>2</w:t>
      </w:r>
      <w:r w:rsidR="00F15617" w:rsidRPr="00AD0BCE">
        <w:rPr>
          <w:color w:val="000000"/>
        </w:rPr>
        <w:t xml:space="preserve"> percent with program participants and partners</w:t>
      </w:r>
      <w:r w:rsidR="00A2708C" w:rsidRPr="00461FE7">
        <w:t xml:space="preserve">.  This labor mix was applied to BLS, National Compensation Survey (NCS) data issued in </w:t>
      </w:r>
      <w:r w:rsidR="009B7D75">
        <w:lastRenderedPageBreak/>
        <w:t>December</w:t>
      </w:r>
      <w:r w:rsidR="00B106F3">
        <w:t xml:space="preserve"> 201</w:t>
      </w:r>
      <w:r w:rsidR="009B7D75">
        <w:t>5</w:t>
      </w:r>
      <w:r w:rsidR="00A2708C" w:rsidRPr="00461FE7">
        <w:rPr>
          <w:vertAlign w:val="superscript"/>
        </w:rPr>
        <w:footnoteReference w:id="3"/>
      </w:r>
      <w:r w:rsidR="00A2708C" w:rsidRPr="00461FE7">
        <w:t xml:space="preserve"> for a weighted hourly rate of </w:t>
      </w:r>
      <w:r w:rsidR="000364FF" w:rsidRPr="00461FE7">
        <w:t>$</w:t>
      </w:r>
      <w:r w:rsidR="009B7D75">
        <w:t>51.11</w:t>
      </w:r>
      <w:r w:rsidR="00407D2C" w:rsidRPr="00461FE7">
        <w:t xml:space="preserve"> and a</w:t>
      </w:r>
      <w:r w:rsidR="00B713F3" w:rsidRPr="00461FE7">
        <w:t>n</w:t>
      </w:r>
      <w:r w:rsidR="00407D2C" w:rsidRPr="00461FE7">
        <w:t xml:space="preserve"> </w:t>
      </w:r>
      <w:r w:rsidR="00B713F3" w:rsidRPr="00461FE7">
        <w:t xml:space="preserve">estimated </w:t>
      </w:r>
      <w:r w:rsidR="00407D2C" w:rsidRPr="00461FE7">
        <w:t xml:space="preserve">fully loaded rate of </w:t>
      </w:r>
      <w:r w:rsidR="000364FF" w:rsidRPr="00461FE7">
        <w:t>$</w:t>
      </w:r>
      <w:r w:rsidR="009B7D75">
        <w:t>107.32</w:t>
      </w:r>
      <w:r w:rsidR="000364FF" w:rsidRPr="00461FE7">
        <w:t>.</w:t>
      </w:r>
    </w:p>
    <w:p w14:paraId="35145EBF" w14:textId="77777777" w:rsidR="009B7D75" w:rsidRDefault="009B7D75"/>
    <w:p w14:paraId="787AB182" w14:textId="013D46D1" w:rsidR="009B7D75" w:rsidRDefault="009B7D75" w:rsidP="009B7D75">
      <w:r>
        <w:rPr>
          <w:color w:val="000000"/>
        </w:rPr>
        <w:tab/>
      </w:r>
      <w:r w:rsidR="008D0886">
        <w:rPr>
          <w:color w:val="000000"/>
        </w:rPr>
        <w:t>On</w:t>
      </w:r>
      <w:r>
        <w:rPr>
          <w:color w:val="000000"/>
        </w:rPr>
        <w:t xml:space="preserve"> the Area-Wide Planning Reporting Form, </w:t>
      </w:r>
      <w:r w:rsidRPr="00461FE7">
        <w:t xml:space="preserve">consultations indicate that the average </w:t>
      </w:r>
      <w:r>
        <w:t>recipient</w:t>
      </w:r>
      <w:r w:rsidRPr="00461FE7">
        <w:t xml:space="preserve"> will incur </w:t>
      </w:r>
      <w:r>
        <w:t>10</w:t>
      </w:r>
      <w:r w:rsidRPr="00461FE7">
        <w:t xml:space="preserve"> percent of its burden with executive/managerial staff labor, </w:t>
      </w:r>
      <w:r>
        <w:t>5</w:t>
      </w:r>
      <w:r w:rsidRPr="00461FE7">
        <w:t xml:space="preserve"> percent with professional specialty staff labor, </w:t>
      </w:r>
      <w:r>
        <w:t>28</w:t>
      </w:r>
      <w:r w:rsidRPr="00461FE7">
        <w:t xml:space="preserve"> percent with technical labor, </w:t>
      </w:r>
      <w:r>
        <w:t>5</w:t>
      </w:r>
      <w:r w:rsidRPr="00461FE7">
        <w:t xml:space="preserve"> percent with administrative support or clerical labor</w:t>
      </w:r>
      <w:r>
        <w:t>,</w:t>
      </w:r>
      <w:r w:rsidRPr="00F15617">
        <w:rPr>
          <w:color w:val="000000"/>
        </w:rPr>
        <w:t xml:space="preserve"> </w:t>
      </w:r>
      <w:r>
        <w:rPr>
          <w:color w:val="000000"/>
        </w:rPr>
        <w:t>and 53</w:t>
      </w:r>
      <w:r w:rsidRPr="00AD0BCE">
        <w:rPr>
          <w:color w:val="000000"/>
        </w:rPr>
        <w:t xml:space="preserve"> percent with program participants and partners</w:t>
      </w:r>
      <w:r w:rsidRPr="00461FE7">
        <w:t xml:space="preserve">.  This labor mix was applied to BLS, National Compensation Survey (NCS) data issued in </w:t>
      </w:r>
      <w:r>
        <w:t>December 2015</w:t>
      </w:r>
      <w:r w:rsidR="00E823AA">
        <w:rPr>
          <w:vertAlign w:val="superscript"/>
        </w:rPr>
        <w:t>3</w:t>
      </w:r>
      <w:r w:rsidR="00AC7BFE">
        <w:rPr>
          <w:vertAlign w:val="superscript"/>
        </w:rPr>
        <w:t xml:space="preserve"> </w:t>
      </w:r>
      <w:r w:rsidRPr="00461FE7">
        <w:t>for a weighted hourly rate of $</w:t>
      </w:r>
      <w:r>
        <w:t>52.61</w:t>
      </w:r>
      <w:r w:rsidRPr="00461FE7">
        <w:t xml:space="preserve"> and an estimated fully loaded rate of $</w:t>
      </w:r>
      <w:r>
        <w:t>110.48</w:t>
      </w:r>
      <w:r w:rsidRPr="00461FE7">
        <w:t>.</w:t>
      </w:r>
    </w:p>
    <w:p w14:paraId="57E888D2" w14:textId="77777777" w:rsidR="00E823AA" w:rsidRDefault="00E823AA" w:rsidP="009B7D75"/>
    <w:p w14:paraId="39F0430A" w14:textId="16B7667A" w:rsidR="00E823AA" w:rsidRPr="00461FE7" w:rsidRDefault="00E823AA" w:rsidP="00E823AA">
      <w:r>
        <w:rPr>
          <w:color w:val="000000"/>
        </w:rPr>
        <w:tab/>
      </w:r>
      <w:r w:rsidR="008D0886">
        <w:rPr>
          <w:color w:val="000000"/>
        </w:rPr>
        <w:t xml:space="preserve">Lastly, </w:t>
      </w:r>
      <w:r w:rsidR="00CC7FF1">
        <w:rPr>
          <w:color w:val="000000"/>
        </w:rPr>
        <w:t>on</w:t>
      </w:r>
      <w:r>
        <w:rPr>
          <w:color w:val="000000"/>
        </w:rPr>
        <w:t xml:space="preserve"> the Job Training </w:t>
      </w:r>
      <w:r w:rsidR="00580E51">
        <w:rPr>
          <w:color w:val="000000"/>
        </w:rPr>
        <w:t>Reporting F</w:t>
      </w:r>
      <w:r>
        <w:rPr>
          <w:color w:val="000000"/>
        </w:rPr>
        <w:t xml:space="preserve">orm, </w:t>
      </w:r>
      <w:r w:rsidRPr="00461FE7">
        <w:t xml:space="preserve">consultations indicate that the average </w:t>
      </w:r>
      <w:r>
        <w:t>recipient</w:t>
      </w:r>
      <w:r w:rsidRPr="00461FE7">
        <w:t xml:space="preserve"> will incur </w:t>
      </w:r>
      <w:r>
        <w:t>4</w:t>
      </w:r>
      <w:r w:rsidRPr="00461FE7">
        <w:t xml:space="preserve"> percent of its burden with executive/managerial staff labor, </w:t>
      </w:r>
      <w:r>
        <w:t>54</w:t>
      </w:r>
      <w:r w:rsidRPr="00461FE7">
        <w:t xml:space="preserve"> percent with professional specialty staff labor, </w:t>
      </w:r>
      <w:r>
        <w:t>13 percent with finance labor</w:t>
      </w:r>
      <w:r w:rsidRPr="00461FE7">
        <w:t xml:space="preserve">, </w:t>
      </w:r>
      <w:r>
        <w:t>4</w:t>
      </w:r>
      <w:r w:rsidRPr="00461FE7">
        <w:t xml:space="preserve"> percent with administrative support or clerical labor</w:t>
      </w:r>
      <w:r>
        <w:t>,</w:t>
      </w:r>
      <w:r w:rsidRPr="00F15617">
        <w:rPr>
          <w:color w:val="000000"/>
        </w:rPr>
        <w:t xml:space="preserve"> </w:t>
      </w:r>
      <w:r>
        <w:rPr>
          <w:color w:val="000000"/>
        </w:rPr>
        <w:t>and 25</w:t>
      </w:r>
      <w:r w:rsidRPr="00AD0BCE">
        <w:rPr>
          <w:color w:val="000000"/>
        </w:rPr>
        <w:t xml:space="preserve"> percent with program participants and partners</w:t>
      </w:r>
      <w:r w:rsidRPr="00461FE7">
        <w:t xml:space="preserve">.  This labor mix was applied to BLS, National Compensation Survey (NCS) data issued in </w:t>
      </w:r>
      <w:r>
        <w:t>December 2015</w:t>
      </w:r>
      <w:r>
        <w:rPr>
          <w:vertAlign w:val="superscript"/>
        </w:rPr>
        <w:t xml:space="preserve">3 </w:t>
      </w:r>
      <w:r w:rsidRPr="00461FE7">
        <w:t>for a weighted hourly rate of $</w:t>
      </w:r>
      <w:r>
        <w:t>42.73</w:t>
      </w:r>
      <w:r w:rsidRPr="00461FE7">
        <w:t xml:space="preserve"> and an estimated fully loaded rate of $</w:t>
      </w:r>
      <w:r>
        <w:t>89.72</w:t>
      </w:r>
    </w:p>
    <w:p w14:paraId="63D254EF" w14:textId="110247F8" w:rsidR="00A2708C" w:rsidRDefault="00A2708C">
      <w:pPr>
        <w:rPr>
          <w:color w:val="000000"/>
        </w:rPr>
      </w:pPr>
      <w:r>
        <w:rPr>
          <w:color w:val="000000"/>
        </w:rPr>
        <w:tab/>
      </w:r>
      <w:r>
        <w:rPr>
          <w:color w:val="000000"/>
        </w:rPr>
        <w:tab/>
      </w:r>
      <w:r>
        <w:rPr>
          <w:color w:val="000000"/>
        </w:rPr>
        <w:tab/>
      </w:r>
      <w:r>
        <w:rPr>
          <w:color w:val="000000"/>
        </w:rPr>
        <w:tab/>
      </w:r>
    </w:p>
    <w:p w14:paraId="1A860269" w14:textId="3FF18215" w:rsidR="00A2708C" w:rsidRDefault="00A2708C">
      <w:pPr>
        <w:rPr>
          <w:color w:val="000000"/>
        </w:rPr>
      </w:pPr>
      <w:r w:rsidRPr="002344B1">
        <w:rPr>
          <w:color w:val="000000"/>
        </w:rPr>
        <w:tab/>
      </w:r>
      <w:r w:rsidR="005A63BD">
        <w:rPr>
          <w:color w:val="000000"/>
        </w:rPr>
        <w:t xml:space="preserve">CERCLA 104(k) </w:t>
      </w:r>
      <w:r w:rsidR="00F2410A">
        <w:rPr>
          <w:color w:val="000000"/>
        </w:rPr>
        <w:t>cleanup</w:t>
      </w:r>
      <w:r w:rsidRPr="002344B1">
        <w:rPr>
          <w:color w:val="000000"/>
        </w:rPr>
        <w:t>, and revolving loan fund recipients</w:t>
      </w:r>
      <w:r w:rsidR="00D976B2">
        <w:rPr>
          <w:color w:val="000000"/>
        </w:rPr>
        <w:t xml:space="preserve">, and </w:t>
      </w:r>
      <w:r w:rsidR="004B174E">
        <w:rPr>
          <w:color w:val="000000"/>
        </w:rPr>
        <w:t>CERCLA 128(a)</w:t>
      </w:r>
      <w:r w:rsidR="00D976B2">
        <w:rPr>
          <w:color w:val="000000"/>
        </w:rPr>
        <w:t xml:space="preserve"> recipients that conduct property specific activities</w:t>
      </w:r>
      <w:r w:rsidRPr="002344B1">
        <w:rPr>
          <w:color w:val="000000"/>
        </w:rPr>
        <w:t xml:space="preserve"> will be required to report progress with the “Brownfields Property Profile Form</w:t>
      </w:r>
      <w:r w:rsidR="002344B1" w:rsidRPr="002344B1">
        <w:rPr>
          <w:color w:val="000000"/>
        </w:rPr>
        <w:t>.</w:t>
      </w:r>
      <w:r w:rsidRPr="002344B1">
        <w:rPr>
          <w:color w:val="000000"/>
        </w:rPr>
        <w:t xml:space="preserve">”  EPA anticipates that the initial completion of this form will require approximately 1 hour.  </w:t>
      </w:r>
      <w:r w:rsidR="0053376C">
        <w:rPr>
          <w:color w:val="000000"/>
        </w:rPr>
        <w:t>R</w:t>
      </w:r>
      <w:r w:rsidRPr="002344B1">
        <w:rPr>
          <w:color w:val="000000"/>
        </w:rPr>
        <w:t xml:space="preserve">ecipients will be required to update this form as milestones are achieved, though not more frequently than quarterly.  It is estimated that each update will require approximately </w:t>
      </w:r>
      <w:r w:rsidRPr="0006021E">
        <w:t xml:space="preserve">.5 </w:t>
      </w:r>
      <w:r w:rsidR="00D976B2">
        <w:t xml:space="preserve">hours </w:t>
      </w:r>
      <w:r w:rsidRPr="002344B1">
        <w:rPr>
          <w:color w:val="000000"/>
        </w:rPr>
        <w:t xml:space="preserve">for a unit burden of </w:t>
      </w:r>
      <w:r w:rsidRPr="00461FE7">
        <w:t>$</w:t>
      </w:r>
      <w:r w:rsidR="00D976B2">
        <w:t>53.66</w:t>
      </w:r>
      <w:r w:rsidR="0031169E">
        <w:t xml:space="preserve"> </w:t>
      </w:r>
      <w:r w:rsidR="00194E66">
        <w:t>for both non-</w:t>
      </w:r>
      <w:r w:rsidR="0031169E">
        <w:t>profits and governmental entities</w:t>
      </w:r>
      <w:r w:rsidRPr="00461FE7">
        <w:t>.</w:t>
      </w:r>
      <w:r w:rsidRPr="002344B1">
        <w:rPr>
          <w:color w:val="000000"/>
        </w:rPr>
        <w:t xml:space="preserve">  It is estimated that each form will be updated an average of twice per year.</w:t>
      </w:r>
      <w:r>
        <w:rPr>
          <w:color w:val="000000"/>
        </w:rPr>
        <w:t xml:space="preserve"> </w:t>
      </w:r>
    </w:p>
    <w:p w14:paraId="7303D1AA" w14:textId="77777777" w:rsidR="00AC7A95" w:rsidRDefault="00AC7A95">
      <w:pPr>
        <w:rPr>
          <w:color w:val="000000"/>
        </w:rPr>
      </w:pPr>
    </w:p>
    <w:p w14:paraId="32E03BEE" w14:textId="150F9CB1" w:rsidR="00877E93" w:rsidRDefault="00AC7A95" w:rsidP="00877E93">
      <w:pPr>
        <w:rPr>
          <w:color w:val="000000"/>
        </w:rPr>
      </w:pPr>
      <w:r>
        <w:rPr>
          <w:color w:val="000000"/>
        </w:rPr>
        <w:tab/>
      </w:r>
      <w:r w:rsidR="004B174E">
        <w:rPr>
          <w:color w:val="000000"/>
        </w:rPr>
        <w:t>CERCLA 104(k)(6)</w:t>
      </w:r>
      <w:r>
        <w:rPr>
          <w:color w:val="000000"/>
        </w:rPr>
        <w:t xml:space="preserve"> area wide planning recipients will be required to report progress with the </w:t>
      </w:r>
      <w:r w:rsidR="00877E93">
        <w:rPr>
          <w:color w:val="000000"/>
        </w:rPr>
        <w:t>“</w:t>
      </w:r>
      <w:r>
        <w:rPr>
          <w:color w:val="000000"/>
        </w:rPr>
        <w:t>Brow</w:t>
      </w:r>
      <w:r w:rsidR="00BB4A22">
        <w:rPr>
          <w:color w:val="000000"/>
        </w:rPr>
        <w:t>n</w:t>
      </w:r>
      <w:r>
        <w:rPr>
          <w:color w:val="000000"/>
        </w:rPr>
        <w:t>fields Area-wide Planning</w:t>
      </w:r>
      <w:r w:rsidR="00877E93">
        <w:rPr>
          <w:color w:val="000000"/>
        </w:rPr>
        <w:t xml:space="preserve"> Reporting Form.”</w:t>
      </w:r>
      <w:r w:rsidR="00877E93" w:rsidRPr="00877E93">
        <w:rPr>
          <w:color w:val="000000"/>
        </w:rPr>
        <w:t xml:space="preserve"> </w:t>
      </w:r>
      <w:r w:rsidR="00877E93" w:rsidRPr="002344B1">
        <w:rPr>
          <w:color w:val="000000"/>
        </w:rPr>
        <w:t>EPA anticipates that the initial completion of this f</w:t>
      </w:r>
      <w:r w:rsidR="00877E93">
        <w:rPr>
          <w:color w:val="000000"/>
        </w:rPr>
        <w:t>orm will require approximately 2</w:t>
      </w:r>
      <w:r w:rsidR="00877E93" w:rsidRPr="002344B1">
        <w:rPr>
          <w:color w:val="000000"/>
        </w:rPr>
        <w:t xml:space="preserve"> hour</w:t>
      </w:r>
      <w:r w:rsidR="00877E93">
        <w:rPr>
          <w:color w:val="000000"/>
        </w:rPr>
        <w:t>s</w:t>
      </w:r>
      <w:r w:rsidR="00877E93" w:rsidRPr="002344B1">
        <w:rPr>
          <w:color w:val="000000"/>
        </w:rPr>
        <w:t xml:space="preserve">.  </w:t>
      </w:r>
      <w:r w:rsidR="00877E93">
        <w:rPr>
          <w:color w:val="000000"/>
        </w:rPr>
        <w:t>R</w:t>
      </w:r>
      <w:r w:rsidR="00877E93" w:rsidRPr="002344B1">
        <w:rPr>
          <w:color w:val="000000"/>
        </w:rPr>
        <w:t xml:space="preserve">ecipients will be required to update this form as milestones are achieved, though not more frequently than quarterly.  It is estimated that each update will require approximately </w:t>
      </w:r>
      <w:r w:rsidR="00877E93" w:rsidRPr="0006021E">
        <w:t xml:space="preserve">1.5 </w:t>
      </w:r>
      <w:r w:rsidR="00D976B2">
        <w:t xml:space="preserve">hours </w:t>
      </w:r>
      <w:r w:rsidR="00877E93" w:rsidRPr="002344B1">
        <w:rPr>
          <w:color w:val="000000"/>
        </w:rPr>
        <w:t xml:space="preserve">for a unit burden of </w:t>
      </w:r>
      <w:r w:rsidR="00877E93" w:rsidRPr="00461FE7">
        <w:t>$</w:t>
      </w:r>
      <w:r w:rsidR="00877E93">
        <w:t>165.72 for both non-profits and governmental entities</w:t>
      </w:r>
      <w:r w:rsidR="00877E93" w:rsidRPr="00461FE7">
        <w:t>.</w:t>
      </w:r>
      <w:r w:rsidR="00877E93" w:rsidRPr="002344B1">
        <w:rPr>
          <w:color w:val="000000"/>
        </w:rPr>
        <w:t xml:space="preserve">  It is estimated that each form will be updated an average of twice per year.</w:t>
      </w:r>
      <w:r w:rsidR="00877E93">
        <w:rPr>
          <w:color w:val="000000"/>
        </w:rPr>
        <w:t xml:space="preserve"> </w:t>
      </w:r>
    </w:p>
    <w:p w14:paraId="446F50F3" w14:textId="77777777" w:rsidR="00D976B2" w:rsidRDefault="00D976B2" w:rsidP="00877E93">
      <w:pPr>
        <w:rPr>
          <w:color w:val="000000"/>
        </w:rPr>
      </w:pPr>
    </w:p>
    <w:p w14:paraId="6431A3D4" w14:textId="48BAD89B" w:rsidR="00D976B2" w:rsidRPr="008F330C" w:rsidRDefault="00580E51" w:rsidP="00D976B2">
      <w:pPr>
        <w:ind w:firstLine="720"/>
      </w:pPr>
      <w:r>
        <w:rPr>
          <w:color w:val="000000"/>
        </w:rPr>
        <w:t xml:space="preserve">Environmental Workforce Development Job </w:t>
      </w:r>
      <w:r w:rsidR="00D976B2" w:rsidRPr="008F330C">
        <w:t xml:space="preserve">Training recipients will be required to report progress on a quarterly basis using EPA’s “Job Training Reporting Form.”  Recipients will be required to report progress on a quarterly basis, with each update requiring approximately 4 hours for a unit burden of </w:t>
      </w:r>
      <w:r w:rsidR="00366649">
        <w:t>$358.9</w:t>
      </w:r>
      <w:r w:rsidR="00D976B2" w:rsidRPr="008F330C">
        <w:t>0</w:t>
      </w:r>
      <w:r w:rsidR="00D976B2">
        <w:t xml:space="preserve"> for both non-profits and governmental entities</w:t>
      </w:r>
      <w:r w:rsidR="00D976B2" w:rsidRPr="008F330C">
        <w:t xml:space="preserve">. The majority of this burden stems from the </w:t>
      </w:r>
      <w:r w:rsidR="00D976B2">
        <w:t xml:space="preserve">activities associated with the </w:t>
      </w:r>
      <w:r w:rsidR="00D976B2" w:rsidRPr="008F330C">
        <w:t xml:space="preserve">collection of salary or wage information from </w:t>
      </w:r>
      <w:r>
        <w:rPr>
          <w:color w:val="000000"/>
        </w:rPr>
        <w:t xml:space="preserve">Environmental Workforce Development Job Training </w:t>
      </w:r>
      <w:r w:rsidR="00D976B2" w:rsidRPr="008F330C">
        <w:t>program participants who are able to find employment.</w:t>
      </w:r>
    </w:p>
    <w:p w14:paraId="7D814B45" w14:textId="77777777" w:rsidR="00D976B2" w:rsidRDefault="00D976B2" w:rsidP="00877E93">
      <w:pPr>
        <w:rPr>
          <w:color w:val="000000"/>
        </w:rPr>
      </w:pPr>
    </w:p>
    <w:p w14:paraId="6E6AE182" w14:textId="5313FDA7" w:rsidR="00A2708C" w:rsidRPr="00461FE7" w:rsidRDefault="00A2708C">
      <w:r>
        <w:rPr>
          <w:color w:val="000000"/>
        </w:rPr>
        <w:tab/>
      </w:r>
      <w:r w:rsidR="005F249D">
        <w:t>Area-wide P</w:t>
      </w:r>
      <w:r w:rsidR="00F2410A">
        <w:t xml:space="preserve">lanning, </w:t>
      </w:r>
      <w:r w:rsidR="005F249D">
        <w:t>a</w:t>
      </w:r>
      <w:r w:rsidR="00F2410A">
        <w:t>ssessment</w:t>
      </w:r>
      <w:r w:rsidR="00C928CB">
        <w:t xml:space="preserve">, </w:t>
      </w:r>
      <w:r w:rsidR="005F249D">
        <w:t>c</w:t>
      </w:r>
      <w:r w:rsidR="00F2410A">
        <w:t>leanup</w:t>
      </w:r>
      <w:r w:rsidR="00C928CB">
        <w:t xml:space="preserve"> and job training</w:t>
      </w:r>
      <w:r w:rsidRPr="00461FE7">
        <w:t xml:space="preserve"> </w:t>
      </w:r>
      <w:r w:rsidR="0053376C" w:rsidRPr="00461FE7">
        <w:t xml:space="preserve">cooperative agreements </w:t>
      </w:r>
      <w:r w:rsidRPr="00461FE7">
        <w:t xml:space="preserve">awarded under </w:t>
      </w:r>
      <w:r w:rsidR="00244C0E">
        <w:t xml:space="preserve">CERCLA 104(k) </w:t>
      </w:r>
      <w:r w:rsidRPr="00461FE7">
        <w:t xml:space="preserve">cover a period of performance of </w:t>
      </w:r>
      <w:r w:rsidR="00F2410A">
        <w:t xml:space="preserve">up to three </w:t>
      </w:r>
      <w:r w:rsidRPr="00461FE7">
        <w:t xml:space="preserve">years, and revolving loan fund </w:t>
      </w:r>
      <w:r w:rsidR="00593B2D">
        <w:t>cooperative agreements</w:t>
      </w:r>
      <w:r w:rsidR="00593B2D" w:rsidRPr="00461FE7">
        <w:t xml:space="preserve"> </w:t>
      </w:r>
      <w:r w:rsidRPr="00461FE7">
        <w:t xml:space="preserve">cover a period of performance up to </w:t>
      </w:r>
      <w:r w:rsidR="00C928CB">
        <w:t>five</w:t>
      </w:r>
      <w:r w:rsidRPr="00461FE7">
        <w:t xml:space="preserve"> years. Based on the Agency’s experience under its program, EPA estimates that at the end of two years, approximately </w:t>
      </w:r>
      <w:r w:rsidR="00062D00" w:rsidRPr="00461FE7">
        <w:t>75</w:t>
      </w:r>
      <w:r w:rsidRPr="00461FE7">
        <w:t xml:space="preserve"> percent of </w:t>
      </w:r>
      <w:r w:rsidR="00593B2D">
        <w:t>cooperative agreements</w:t>
      </w:r>
      <w:r w:rsidRPr="00461FE7">
        <w:t xml:space="preserve"> will receive a no-cost extension, approximately </w:t>
      </w:r>
      <w:r w:rsidR="00062D00" w:rsidRPr="00461FE7">
        <w:t>20</w:t>
      </w:r>
      <w:r w:rsidRPr="00461FE7">
        <w:t xml:space="preserve"> percent of recipients will receive supplemental awards, and </w:t>
      </w:r>
      <w:r w:rsidR="00062D00" w:rsidRPr="00461FE7">
        <w:t>5</w:t>
      </w:r>
      <w:r w:rsidRPr="00461FE7">
        <w:t xml:space="preserve"> percent of </w:t>
      </w:r>
      <w:r w:rsidR="005D6497">
        <w:t>cooperative agreement</w:t>
      </w:r>
      <w:r w:rsidR="005D6497" w:rsidRPr="00461FE7">
        <w:t xml:space="preserve">s </w:t>
      </w:r>
      <w:r w:rsidRPr="00461FE7">
        <w:t xml:space="preserve">will close out.  </w:t>
      </w:r>
      <w:r w:rsidR="0053376C" w:rsidRPr="00461FE7">
        <w:t>R</w:t>
      </w:r>
      <w:r w:rsidRPr="00461FE7">
        <w:t>ecipients that receive either a no-cost extension or a supplemental award will be required to continue to report on their activities using the forms authorized under this ICR.</w:t>
      </w:r>
      <w:r w:rsidR="005D4F8A" w:rsidRPr="00461FE7">
        <w:t xml:space="preserve"> In addition, </w:t>
      </w:r>
      <w:r w:rsidR="00593B2D">
        <w:t>cooperative agreements</w:t>
      </w:r>
      <w:r w:rsidR="00593B2D" w:rsidRPr="00461FE7">
        <w:t xml:space="preserve"> </w:t>
      </w:r>
      <w:r w:rsidR="005D4F8A" w:rsidRPr="00461FE7">
        <w:t xml:space="preserve">that have closed </w:t>
      </w:r>
      <w:r w:rsidR="006C4AE1" w:rsidRPr="00461FE7">
        <w:t>out may</w:t>
      </w:r>
      <w:r w:rsidR="00044B08" w:rsidRPr="00461FE7">
        <w:t xml:space="preserve"> </w:t>
      </w:r>
      <w:r w:rsidR="005D4F8A" w:rsidRPr="00461FE7">
        <w:t xml:space="preserve">undergo a five-year review conducted five years after close out. The five year review gathers data on the current status of properties that benefited from EPA funding while the </w:t>
      </w:r>
      <w:r w:rsidR="00593B2D">
        <w:t>cooperative agreement</w:t>
      </w:r>
      <w:r w:rsidR="00593B2D" w:rsidRPr="00461FE7">
        <w:t xml:space="preserve"> </w:t>
      </w:r>
      <w:r w:rsidR="005D4F8A" w:rsidRPr="00461FE7">
        <w:t>was active using the forms authorized under this ICR.</w:t>
      </w:r>
      <w:r w:rsidRPr="00461FE7">
        <w:t xml:space="preserve">  This burden is included in the estimated number of responses per year and, therefore, the overall burden calculation estimated for this ICR.</w:t>
      </w:r>
    </w:p>
    <w:p w14:paraId="7BBC0EB5" w14:textId="503D9B6F" w:rsidR="00A2708C" w:rsidRDefault="00A2708C">
      <w:pPr>
        <w:rPr>
          <w:color w:val="000000"/>
        </w:rPr>
      </w:pPr>
      <w:r>
        <w:rPr>
          <w:color w:val="000000"/>
        </w:rPr>
        <w:tab/>
      </w:r>
    </w:p>
    <w:p w14:paraId="788D1D87" w14:textId="3405070D" w:rsidR="00A2708C" w:rsidRDefault="00A2708C">
      <w:pPr>
        <w:rPr>
          <w:color w:val="000000"/>
        </w:rPr>
      </w:pPr>
      <w:r>
        <w:rPr>
          <w:color w:val="000000"/>
        </w:rPr>
        <w:tab/>
        <w:t xml:space="preserve">All </w:t>
      </w:r>
      <w:r w:rsidR="002A6D29">
        <w:rPr>
          <w:color w:val="000000"/>
        </w:rPr>
        <w:t>awards made</w:t>
      </w:r>
      <w:r>
        <w:rPr>
          <w:color w:val="000000"/>
        </w:rPr>
        <w:t xml:space="preserve"> under </w:t>
      </w:r>
      <w:r w:rsidR="004B174E">
        <w:rPr>
          <w:color w:val="000000"/>
        </w:rPr>
        <w:t xml:space="preserve">CERCLA 128(a) </w:t>
      </w:r>
      <w:r>
        <w:rPr>
          <w:color w:val="000000"/>
        </w:rPr>
        <w:t xml:space="preserve">have at least a one year period of performance or can be a multi-year </w:t>
      </w:r>
      <w:r w:rsidR="002A6D29">
        <w:rPr>
          <w:color w:val="000000"/>
        </w:rPr>
        <w:t xml:space="preserve">award </w:t>
      </w:r>
      <w:r>
        <w:rPr>
          <w:color w:val="000000"/>
        </w:rPr>
        <w:t xml:space="preserve">depending on the </w:t>
      </w:r>
      <w:r w:rsidR="00A545AA">
        <w:rPr>
          <w:color w:val="000000"/>
        </w:rPr>
        <w:t>S</w:t>
      </w:r>
      <w:r>
        <w:rPr>
          <w:color w:val="000000"/>
        </w:rPr>
        <w:t xml:space="preserve">tate’s financial need for continued funding. Based on the Agency’s understanding of </w:t>
      </w:r>
      <w:r w:rsidR="00A545AA">
        <w:rPr>
          <w:color w:val="000000"/>
        </w:rPr>
        <w:t>S</w:t>
      </w:r>
      <w:r>
        <w:rPr>
          <w:color w:val="000000"/>
        </w:rPr>
        <w:t xml:space="preserve">tate response programs, EPA estimates that one-half of the </w:t>
      </w:r>
      <w:r w:rsidR="00A545AA">
        <w:rPr>
          <w:color w:val="000000"/>
        </w:rPr>
        <w:t>S</w:t>
      </w:r>
      <w:r>
        <w:rPr>
          <w:color w:val="000000"/>
        </w:rPr>
        <w:t xml:space="preserve">tate recipients have sophisticated response programs and can complete property specific activities within one year, therefore submitting a total of two responses. EPA further estimates that the remaining </w:t>
      </w:r>
      <w:r w:rsidR="00A545AA">
        <w:rPr>
          <w:color w:val="000000"/>
        </w:rPr>
        <w:t>S</w:t>
      </w:r>
      <w:r>
        <w:rPr>
          <w:color w:val="000000"/>
        </w:rPr>
        <w:t>tate, tribal, and US territories that receive funding take two years to complete property specific activities therefore submitting a total of four responses.</w:t>
      </w:r>
      <w:r>
        <w:rPr>
          <w:color w:val="000000"/>
        </w:rPr>
        <w:tab/>
      </w:r>
    </w:p>
    <w:p w14:paraId="58B2B3E9" w14:textId="77777777" w:rsidR="00A2708C" w:rsidRDefault="00A2708C">
      <w:pPr>
        <w:rPr>
          <w:color w:val="000000"/>
        </w:rPr>
      </w:pPr>
    </w:p>
    <w:p w14:paraId="5AACD2D3" w14:textId="77777777" w:rsidR="00A2708C" w:rsidRDefault="00A2708C">
      <w:pPr>
        <w:rPr>
          <w:color w:val="000000"/>
        </w:rPr>
      </w:pPr>
      <w:r>
        <w:rPr>
          <w:color w:val="000000"/>
        </w:rPr>
        <w:tab/>
        <w:t>Start-up costs to meet the Brownfields reporting requirements are minimal and are a part of the customary and usual expenses incurred by recipients.  There are no capital costs related to Brownfields reporting requirements.  Therefore, total start-up and capital costs are zero.  There are no operation and maintenance costs required.</w:t>
      </w:r>
    </w:p>
    <w:p w14:paraId="73E59E38" w14:textId="77777777" w:rsidR="00E823AA" w:rsidRDefault="00E823AA">
      <w:pPr>
        <w:rPr>
          <w:color w:val="000000"/>
        </w:rPr>
      </w:pPr>
    </w:p>
    <w:p w14:paraId="3320D90C" w14:textId="77777777" w:rsidR="00FC5AF0" w:rsidRDefault="00FC5AF0">
      <w:pPr>
        <w:rPr>
          <w:color w:val="000000"/>
        </w:rPr>
      </w:pPr>
    </w:p>
    <w:p w14:paraId="0E336686" w14:textId="77777777" w:rsidR="00A2708C" w:rsidRDefault="00A2708C">
      <w:pPr>
        <w:rPr>
          <w:color w:val="000000"/>
        </w:rPr>
      </w:pPr>
      <w:r>
        <w:rPr>
          <w:color w:val="000000"/>
        </w:rPr>
        <w:tab/>
        <w:t>6(c).  Agency burden and costs - EPA incurs a burden in the process of requesting, reviewing and processing the information covered by this ICR.  This burden includes:</w:t>
      </w:r>
    </w:p>
    <w:p w14:paraId="64F0C8E4" w14:textId="77777777" w:rsidR="00A2708C" w:rsidRDefault="00A2708C">
      <w:pPr>
        <w:rPr>
          <w:color w:val="000000"/>
        </w:rPr>
      </w:pPr>
    </w:p>
    <w:p w14:paraId="363103A2" w14:textId="0898B096" w:rsidR="00A2708C" w:rsidRPr="00762E76" w:rsidRDefault="00A2708C" w:rsidP="00762E76">
      <w:pPr>
        <w:pStyle w:val="Level1"/>
        <w:widowControl/>
        <w:numPr>
          <w:ilvl w:val="0"/>
          <w:numId w:val="5"/>
        </w:numPr>
        <w:rPr>
          <w:color w:val="000000"/>
        </w:rPr>
      </w:pPr>
      <w:r w:rsidRPr="00762E76">
        <w:rPr>
          <w:color w:val="000000"/>
        </w:rPr>
        <w:tab/>
        <w:t>Reviewing and processing initial Brownfields Property Profile Forms;</w:t>
      </w:r>
    </w:p>
    <w:p w14:paraId="3D8B2F87" w14:textId="77777777" w:rsidR="00C928CB" w:rsidRDefault="00A2708C" w:rsidP="00762E76">
      <w:pPr>
        <w:pStyle w:val="Level1"/>
        <w:widowControl/>
        <w:numPr>
          <w:ilvl w:val="0"/>
          <w:numId w:val="6"/>
        </w:numPr>
        <w:rPr>
          <w:color w:val="000000"/>
        </w:rPr>
      </w:pPr>
      <w:r>
        <w:rPr>
          <w:color w:val="000000"/>
        </w:rPr>
        <w:tab/>
        <w:t>Reviewing and processing updates of Brownfields Property Profile Forms</w:t>
      </w:r>
      <w:r w:rsidR="00762E76">
        <w:rPr>
          <w:color w:val="000000"/>
        </w:rPr>
        <w:t xml:space="preserve">; </w:t>
      </w:r>
    </w:p>
    <w:p w14:paraId="03820226" w14:textId="7F7EC8F8" w:rsidR="00C928CB" w:rsidRDefault="00C928CB" w:rsidP="00762E76">
      <w:pPr>
        <w:pStyle w:val="Level1"/>
        <w:widowControl/>
        <w:numPr>
          <w:ilvl w:val="0"/>
          <w:numId w:val="6"/>
        </w:numPr>
        <w:rPr>
          <w:color w:val="000000"/>
        </w:rPr>
      </w:pPr>
      <w:r>
        <w:rPr>
          <w:color w:val="000000"/>
        </w:rPr>
        <w:t xml:space="preserve">      Reviewing and processing initial Brownfields Area-Wide Planning Forms;</w:t>
      </w:r>
    </w:p>
    <w:p w14:paraId="4003EB69" w14:textId="3DF0C722" w:rsidR="00762E76" w:rsidRDefault="00C928CB" w:rsidP="005661BA">
      <w:pPr>
        <w:pStyle w:val="Level1"/>
        <w:widowControl/>
        <w:numPr>
          <w:ilvl w:val="0"/>
          <w:numId w:val="6"/>
        </w:numPr>
        <w:rPr>
          <w:color w:val="000000"/>
        </w:rPr>
      </w:pPr>
      <w:r>
        <w:rPr>
          <w:color w:val="000000"/>
        </w:rPr>
        <w:t xml:space="preserve">      Reviewing and processing updates of Brownfields Area-Wide Planning Forms </w:t>
      </w:r>
      <w:r w:rsidR="00762E76">
        <w:rPr>
          <w:color w:val="000000"/>
        </w:rPr>
        <w:t>and</w:t>
      </w:r>
    </w:p>
    <w:p w14:paraId="1165367F" w14:textId="614D937E" w:rsidR="00A2708C" w:rsidRPr="00762E76" w:rsidRDefault="00762E76" w:rsidP="000223B4">
      <w:pPr>
        <w:pStyle w:val="Level1"/>
        <w:widowControl/>
        <w:numPr>
          <w:ilvl w:val="0"/>
          <w:numId w:val="6"/>
        </w:numPr>
        <w:tabs>
          <w:tab w:val="clear" w:pos="360"/>
          <w:tab w:val="num" w:pos="720"/>
        </w:tabs>
        <w:ind w:left="720" w:hanging="720"/>
        <w:rPr>
          <w:color w:val="000000"/>
        </w:rPr>
      </w:pPr>
      <w:r w:rsidRPr="00762E76">
        <w:rPr>
          <w:color w:val="000000"/>
        </w:rPr>
        <w:t>Reviewing and processing Job Training Reporting Forms</w:t>
      </w:r>
    </w:p>
    <w:p w14:paraId="72E8550A" w14:textId="77777777" w:rsidR="00A2708C" w:rsidRDefault="00A2708C">
      <w:pPr>
        <w:rPr>
          <w:color w:val="000000"/>
        </w:rPr>
      </w:pPr>
    </w:p>
    <w:p w14:paraId="56135598" w14:textId="77777777" w:rsidR="009D49F4" w:rsidRDefault="00A2708C">
      <w:pPr>
        <w:rPr>
          <w:color w:val="000000"/>
        </w:rPr>
      </w:pPr>
      <w:r>
        <w:rPr>
          <w:color w:val="000000"/>
        </w:rPr>
        <w:t xml:space="preserve">The estimated burden associated with EPA activities is presented in Exhibit 3.  </w:t>
      </w:r>
    </w:p>
    <w:p w14:paraId="0D93DFE5" w14:textId="77777777" w:rsidR="00762E76" w:rsidRDefault="00762E76">
      <w:pPr>
        <w:rPr>
          <w:color w:val="000000"/>
        </w:rPr>
      </w:pPr>
    </w:p>
    <w:p w14:paraId="25849A54" w14:textId="77777777" w:rsidR="00762E76" w:rsidRDefault="00762E76">
      <w:pPr>
        <w:rPr>
          <w:color w:val="000000"/>
        </w:rPr>
      </w:pPr>
    </w:p>
    <w:p w14:paraId="153D7629" w14:textId="77777777" w:rsidR="00762E76" w:rsidRDefault="00762E76">
      <w:pPr>
        <w:rPr>
          <w:color w:val="000000"/>
        </w:rPr>
      </w:pPr>
    </w:p>
    <w:p w14:paraId="468CDBC9" w14:textId="77777777" w:rsidR="00762E76" w:rsidRDefault="00762E76">
      <w:pPr>
        <w:rPr>
          <w:color w:val="000000"/>
        </w:rPr>
      </w:pPr>
    </w:p>
    <w:p w14:paraId="738D2C98" w14:textId="77777777" w:rsidR="009D49F4" w:rsidRDefault="009D49F4">
      <w:pPr>
        <w:rPr>
          <w:color w:val="000000"/>
        </w:rPr>
      </w:pPr>
    </w:p>
    <w:p w14:paraId="1B8E1F9B" w14:textId="7868710C" w:rsidR="00335719" w:rsidRDefault="00A2708C" w:rsidP="00545B76">
      <w:pPr>
        <w:jc w:val="center"/>
        <w:rPr>
          <w:sz w:val="20"/>
        </w:rPr>
      </w:pPr>
      <w:r>
        <w:rPr>
          <w:b/>
          <w:color w:val="000000"/>
        </w:rPr>
        <w:t>Exhibit 3 - Annual Agency Burden and Co</w:t>
      </w:r>
      <w:r w:rsidR="009C64EE">
        <w:rPr>
          <w:b/>
          <w:color w:val="000000"/>
        </w:rPr>
        <w:t>st</w:t>
      </w:r>
      <w:r w:rsidR="00762E76">
        <w:fldChar w:fldCharType="begin"/>
      </w:r>
      <w:r w:rsidR="00762E76">
        <w:instrText xml:space="preserve"> LINK </w:instrText>
      </w:r>
      <w:r w:rsidR="00335719">
        <w:instrText xml:space="preserve">Excel.Sheet.12 "C:\\Users\\kgorini\\Desktop\\PPF JT AWP Burden Estimate - combined 3-23-16.xlsx" "JT, AWP, PPF Burden Estimate!R24C1:R31C7" </w:instrText>
      </w:r>
      <w:r w:rsidR="00762E76">
        <w:instrText xml:space="preserve">\a \f 4 \h </w:instrText>
      </w:r>
      <w:r w:rsidR="00762E76">
        <w:fldChar w:fldCharType="separate"/>
      </w:r>
    </w:p>
    <w:tbl>
      <w:tblPr>
        <w:tblW w:w="9320" w:type="dxa"/>
        <w:tblLook w:val="04A0" w:firstRow="1" w:lastRow="0" w:firstColumn="1" w:lastColumn="0" w:noHBand="0" w:noVBand="1"/>
      </w:tblPr>
      <w:tblGrid>
        <w:gridCol w:w="2558"/>
        <w:gridCol w:w="833"/>
        <w:gridCol w:w="1022"/>
        <w:gridCol w:w="1022"/>
        <w:gridCol w:w="1178"/>
        <w:gridCol w:w="1368"/>
        <w:gridCol w:w="1339"/>
      </w:tblGrid>
      <w:tr w:rsidR="00335719" w:rsidRPr="000223B4" w14:paraId="47AAF5F7" w14:textId="77777777" w:rsidTr="00644F1D">
        <w:trPr>
          <w:divId w:val="24184294"/>
          <w:trHeight w:val="1020"/>
        </w:trPr>
        <w:tc>
          <w:tcPr>
            <w:tcW w:w="2558" w:type="dxa"/>
            <w:tcBorders>
              <w:top w:val="single" w:sz="4" w:space="0" w:color="auto"/>
              <w:left w:val="single" w:sz="4" w:space="0" w:color="auto"/>
              <w:bottom w:val="single" w:sz="4" w:space="0" w:color="auto"/>
              <w:right w:val="single" w:sz="4" w:space="0" w:color="auto"/>
            </w:tcBorders>
            <w:shd w:val="clear" w:color="auto" w:fill="auto"/>
            <w:hideMark/>
          </w:tcPr>
          <w:p w14:paraId="49AF4834" w14:textId="77777777" w:rsidR="00335719" w:rsidRPr="00335719" w:rsidRDefault="00335719" w:rsidP="00335719">
            <w:pPr>
              <w:rPr>
                <w:rFonts w:ascii="Calibri" w:hAnsi="Calibri"/>
                <w:b/>
                <w:bCs/>
                <w:color w:val="000000"/>
                <w:sz w:val="20"/>
              </w:rPr>
            </w:pPr>
            <w:r w:rsidRPr="00335719">
              <w:rPr>
                <w:rFonts w:ascii="Calibri" w:hAnsi="Calibri"/>
                <w:b/>
                <w:bCs/>
                <w:color w:val="000000"/>
                <w:sz w:val="20"/>
              </w:rPr>
              <w:lastRenderedPageBreak/>
              <w:t xml:space="preserve">Activity </w:t>
            </w:r>
          </w:p>
        </w:tc>
        <w:tc>
          <w:tcPr>
            <w:tcW w:w="833" w:type="dxa"/>
            <w:tcBorders>
              <w:top w:val="single" w:sz="4" w:space="0" w:color="auto"/>
              <w:left w:val="nil"/>
              <w:bottom w:val="single" w:sz="4" w:space="0" w:color="auto"/>
              <w:right w:val="single" w:sz="4" w:space="0" w:color="auto"/>
            </w:tcBorders>
            <w:shd w:val="clear" w:color="auto" w:fill="auto"/>
            <w:hideMark/>
          </w:tcPr>
          <w:p w14:paraId="6471C03F" w14:textId="77777777" w:rsidR="00335719" w:rsidRPr="000223B4" w:rsidRDefault="00335719" w:rsidP="00335719">
            <w:pPr>
              <w:jc w:val="center"/>
              <w:rPr>
                <w:rFonts w:ascii="Calibri" w:hAnsi="Calibri"/>
                <w:b/>
                <w:bCs/>
                <w:color w:val="000000"/>
                <w:sz w:val="20"/>
              </w:rPr>
            </w:pPr>
            <w:r w:rsidRPr="000223B4">
              <w:rPr>
                <w:rFonts w:ascii="Calibri" w:hAnsi="Calibri"/>
                <w:b/>
                <w:bCs/>
                <w:color w:val="000000"/>
                <w:sz w:val="20"/>
              </w:rPr>
              <w:t>Unit Burden (Hours)</w:t>
            </w:r>
          </w:p>
        </w:tc>
        <w:tc>
          <w:tcPr>
            <w:tcW w:w="1022" w:type="dxa"/>
            <w:tcBorders>
              <w:top w:val="single" w:sz="4" w:space="0" w:color="auto"/>
              <w:left w:val="nil"/>
              <w:bottom w:val="single" w:sz="4" w:space="0" w:color="auto"/>
              <w:right w:val="single" w:sz="4" w:space="0" w:color="auto"/>
            </w:tcBorders>
            <w:shd w:val="clear" w:color="auto" w:fill="auto"/>
            <w:hideMark/>
          </w:tcPr>
          <w:p w14:paraId="7AE92B2B" w14:textId="77777777" w:rsidR="00335719" w:rsidRPr="000223B4" w:rsidRDefault="00335719" w:rsidP="00335719">
            <w:pPr>
              <w:jc w:val="center"/>
              <w:rPr>
                <w:rFonts w:ascii="Calibri" w:hAnsi="Calibri"/>
                <w:b/>
                <w:bCs/>
                <w:color w:val="000000"/>
                <w:sz w:val="20"/>
              </w:rPr>
            </w:pPr>
            <w:r w:rsidRPr="000223B4">
              <w:rPr>
                <w:rFonts w:ascii="Calibri" w:hAnsi="Calibri"/>
                <w:b/>
                <w:bCs/>
                <w:color w:val="000000"/>
                <w:sz w:val="20"/>
              </w:rPr>
              <w:t>Unit Labor Cost (Dollars)*</w:t>
            </w:r>
          </w:p>
        </w:tc>
        <w:tc>
          <w:tcPr>
            <w:tcW w:w="1022" w:type="dxa"/>
            <w:tcBorders>
              <w:top w:val="single" w:sz="4" w:space="0" w:color="auto"/>
              <w:left w:val="nil"/>
              <w:bottom w:val="single" w:sz="4" w:space="0" w:color="auto"/>
              <w:right w:val="single" w:sz="4" w:space="0" w:color="auto"/>
            </w:tcBorders>
            <w:shd w:val="clear" w:color="auto" w:fill="auto"/>
            <w:hideMark/>
          </w:tcPr>
          <w:p w14:paraId="5E29FB3E" w14:textId="77777777" w:rsidR="00335719" w:rsidRPr="000223B4" w:rsidRDefault="00335719" w:rsidP="00335719">
            <w:pPr>
              <w:jc w:val="center"/>
              <w:rPr>
                <w:rFonts w:ascii="Calibri" w:hAnsi="Calibri"/>
                <w:b/>
                <w:bCs/>
                <w:color w:val="000000"/>
                <w:sz w:val="20"/>
              </w:rPr>
            </w:pPr>
            <w:r w:rsidRPr="000223B4">
              <w:rPr>
                <w:rFonts w:ascii="Calibri" w:hAnsi="Calibri"/>
                <w:b/>
                <w:bCs/>
                <w:color w:val="000000"/>
                <w:sz w:val="20"/>
              </w:rPr>
              <w:t>Total Unit Cost (Dollars)*</w:t>
            </w:r>
          </w:p>
        </w:tc>
        <w:tc>
          <w:tcPr>
            <w:tcW w:w="1178" w:type="dxa"/>
            <w:tcBorders>
              <w:top w:val="single" w:sz="4" w:space="0" w:color="auto"/>
              <w:left w:val="nil"/>
              <w:bottom w:val="single" w:sz="4" w:space="0" w:color="auto"/>
              <w:right w:val="single" w:sz="4" w:space="0" w:color="auto"/>
            </w:tcBorders>
            <w:shd w:val="clear" w:color="auto" w:fill="auto"/>
            <w:hideMark/>
          </w:tcPr>
          <w:p w14:paraId="0B9865A6" w14:textId="77777777" w:rsidR="00335719" w:rsidRPr="000223B4" w:rsidRDefault="00335719" w:rsidP="00335719">
            <w:pPr>
              <w:jc w:val="center"/>
              <w:rPr>
                <w:rFonts w:ascii="Calibri" w:hAnsi="Calibri"/>
                <w:b/>
                <w:bCs/>
                <w:color w:val="000000"/>
                <w:sz w:val="20"/>
              </w:rPr>
            </w:pPr>
            <w:r w:rsidRPr="000223B4">
              <w:rPr>
                <w:rFonts w:ascii="Calibri" w:hAnsi="Calibri"/>
                <w:b/>
                <w:bCs/>
                <w:color w:val="000000"/>
                <w:sz w:val="20"/>
              </w:rPr>
              <w:t>Average Number of Responses/ Year**</w:t>
            </w:r>
          </w:p>
        </w:tc>
        <w:tc>
          <w:tcPr>
            <w:tcW w:w="1368" w:type="dxa"/>
            <w:tcBorders>
              <w:top w:val="single" w:sz="4" w:space="0" w:color="auto"/>
              <w:left w:val="nil"/>
              <w:bottom w:val="single" w:sz="4" w:space="0" w:color="auto"/>
              <w:right w:val="single" w:sz="4" w:space="0" w:color="auto"/>
            </w:tcBorders>
            <w:shd w:val="clear" w:color="auto" w:fill="auto"/>
            <w:hideMark/>
          </w:tcPr>
          <w:p w14:paraId="708048E6" w14:textId="77777777" w:rsidR="00335719" w:rsidRPr="000223B4" w:rsidRDefault="00335719" w:rsidP="00335719">
            <w:pPr>
              <w:jc w:val="center"/>
              <w:rPr>
                <w:rFonts w:ascii="Calibri" w:hAnsi="Calibri"/>
                <w:b/>
                <w:bCs/>
                <w:color w:val="000000"/>
                <w:sz w:val="20"/>
              </w:rPr>
            </w:pPr>
            <w:r w:rsidRPr="000223B4">
              <w:rPr>
                <w:rFonts w:ascii="Calibri" w:hAnsi="Calibri"/>
                <w:b/>
                <w:bCs/>
                <w:color w:val="000000"/>
                <w:sz w:val="20"/>
              </w:rPr>
              <w:t>Total Burden Hours/Year**</w:t>
            </w:r>
          </w:p>
        </w:tc>
        <w:tc>
          <w:tcPr>
            <w:tcW w:w="1339" w:type="dxa"/>
            <w:tcBorders>
              <w:top w:val="single" w:sz="4" w:space="0" w:color="auto"/>
              <w:left w:val="nil"/>
              <w:bottom w:val="single" w:sz="4" w:space="0" w:color="auto"/>
              <w:right w:val="single" w:sz="4" w:space="0" w:color="auto"/>
            </w:tcBorders>
            <w:shd w:val="clear" w:color="auto" w:fill="auto"/>
            <w:hideMark/>
          </w:tcPr>
          <w:p w14:paraId="04799738" w14:textId="77777777" w:rsidR="00335719" w:rsidRPr="000223B4" w:rsidRDefault="00335719" w:rsidP="00C46D4C">
            <w:pPr>
              <w:jc w:val="center"/>
              <w:rPr>
                <w:rFonts w:ascii="Calibri" w:hAnsi="Calibri"/>
                <w:b/>
                <w:bCs/>
                <w:color w:val="000000"/>
                <w:sz w:val="20"/>
              </w:rPr>
            </w:pPr>
            <w:r w:rsidRPr="000223B4">
              <w:rPr>
                <w:rFonts w:ascii="Calibri" w:hAnsi="Calibri"/>
                <w:b/>
                <w:bCs/>
                <w:color w:val="000000"/>
                <w:sz w:val="20"/>
              </w:rPr>
              <w:t>Total Cost/Year (Dollars)**</w:t>
            </w:r>
          </w:p>
        </w:tc>
      </w:tr>
      <w:tr w:rsidR="00335719" w:rsidRPr="000223B4" w14:paraId="15B13DE1" w14:textId="77777777" w:rsidTr="00644F1D">
        <w:trPr>
          <w:divId w:val="24184294"/>
          <w:trHeight w:val="765"/>
        </w:trPr>
        <w:tc>
          <w:tcPr>
            <w:tcW w:w="2558" w:type="dxa"/>
            <w:tcBorders>
              <w:top w:val="nil"/>
              <w:left w:val="single" w:sz="4" w:space="0" w:color="auto"/>
              <w:bottom w:val="single" w:sz="4" w:space="0" w:color="auto"/>
              <w:right w:val="single" w:sz="4" w:space="0" w:color="auto"/>
            </w:tcBorders>
            <w:shd w:val="clear" w:color="auto" w:fill="auto"/>
            <w:hideMark/>
          </w:tcPr>
          <w:p w14:paraId="04AAEE88" w14:textId="4F5722D1" w:rsidR="00335719" w:rsidRPr="000223B4" w:rsidRDefault="00335719" w:rsidP="00244C0E">
            <w:pPr>
              <w:rPr>
                <w:rFonts w:ascii="Calibri" w:hAnsi="Calibri"/>
                <w:b/>
                <w:bCs/>
                <w:color w:val="000000"/>
                <w:sz w:val="20"/>
              </w:rPr>
            </w:pPr>
            <w:r w:rsidRPr="000223B4">
              <w:rPr>
                <w:rFonts w:ascii="Calibri" w:hAnsi="Calibri"/>
                <w:b/>
                <w:bCs/>
                <w:color w:val="000000"/>
                <w:sz w:val="20"/>
              </w:rPr>
              <w:t>Review and Process Initial Completion of Property Profile Form (</w:t>
            </w:r>
            <w:r w:rsidR="00244C0E">
              <w:rPr>
                <w:rFonts w:ascii="Calibri" w:hAnsi="Calibri"/>
                <w:b/>
                <w:bCs/>
                <w:color w:val="000000"/>
                <w:sz w:val="20"/>
              </w:rPr>
              <w:t>CERCLA 104(k)</w:t>
            </w:r>
            <w:r w:rsidRPr="000223B4">
              <w:rPr>
                <w:rFonts w:ascii="Calibri" w:hAnsi="Calibri"/>
                <w:b/>
                <w:bCs/>
                <w:color w:val="000000"/>
                <w:sz w:val="20"/>
              </w:rPr>
              <w:t>)</w:t>
            </w:r>
          </w:p>
        </w:tc>
        <w:tc>
          <w:tcPr>
            <w:tcW w:w="833" w:type="dxa"/>
            <w:tcBorders>
              <w:top w:val="nil"/>
              <w:left w:val="nil"/>
              <w:bottom w:val="single" w:sz="4" w:space="0" w:color="auto"/>
              <w:right w:val="single" w:sz="4" w:space="0" w:color="auto"/>
            </w:tcBorders>
            <w:shd w:val="clear" w:color="auto" w:fill="auto"/>
            <w:hideMark/>
          </w:tcPr>
          <w:p w14:paraId="2C8D9D2A" w14:textId="77777777" w:rsidR="00335719" w:rsidRPr="000223B4" w:rsidRDefault="00335719" w:rsidP="00335719">
            <w:pPr>
              <w:jc w:val="center"/>
              <w:rPr>
                <w:rFonts w:ascii="Calibri" w:hAnsi="Calibri"/>
                <w:color w:val="000000"/>
                <w:sz w:val="20"/>
              </w:rPr>
            </w:pPr>
            <w:r w:rsidRPr="000223B4">
              <w:rPr>
                <w:rFonts w:ascii="Calibri" w:hAnsi="Calibri"/>
                <w:color w:val="000000"/>
                <w:sz w:val="20"/>
              </w:rPr>
              <w:t>1.5</w:t>
            </w:r>
          </w:p>
        </w:tc>
        <w:tc>
          <w:tcPr>
            <w:tcW w:w="1022" w:type="dxa"/>
            <w:tcBorders>
              <w:top w:val="nil"/>
              <w:left w:val="nil"/>
              <w:bottom w:val="single" w:sz="4" w:space="0" w:color="auto"/>
              <w:right w:val="single" w:sz="4" w:space="0" w:color="auto"/>
            </w:tcBorders>
            <w:shd w:val="clear" w:color="auto" w:fill="auto"/>
            <w:hideMark/>
          </w:tcPr>
          <w:p w14:paraId="4FD33238" w14:textId="77777777" w:rsidR="00335719" w:rsidRPr="000223B4" w:rsidRDefault="00335719" w:rsidP="00335719">
            <w:pPr>
              <w:jc w:val="center"/>
              <w:rPr>
                <w:rFonts w:ascii="Calibri" w:hAnsi="Calibri"/>
                <w:color w:val="000000"/>
                <w:sz w:val="20"/>
              </w:rPr>
            </w:pPr>
            <w:r w:rsidRPr="000223B4">
              <w:rPr>
                <w:rFonts w:ascii="Calibri" w:hAnsi="Calibri"/>
                <w:color w:val="000000"/>
                <w:sz w:val="20"/>
              </w:rPr>
              <w:t xml:space="preserve">$52.68 </w:t>
            </w:r>
          </w:p>
        </w:tc>
        <w:tc>
          <w:tcPr>
            <w:tcW w:w="1022" w:type="dxa"/>
            <w:tcBorders>
              <w:top w:val="nil"/>
              <w:left w:val="nil"/>
              <w:bottom w:val="single" w:sz="4" w:space="0" w:color="auto"/>
              <w:right w:val="single" w:sz="4" w:space="0" w:color="auto"/>
            </w:tcBorders>
            <w:shd w:val="clear" w:color="auto" w:fill="auto"/>
            <w:hideMark/>
          </w:tcPr>
          <w:p w14:paraId="743A5FA3" w14:textId="77777777" w:rsidR="00335719" w:rsidRPr="000223B4" w:rsidRDefault="00335719" w:rsidP="00335719">
            <w:pPr>
              <w:jc w:val="center"/>
              <w:rPr>
                <w:rFonts w:ascii="Calibri" w:hAnsi="Calibri"/>
                <w:color w:val="000000"/>
                <w:sz w:val="20"/>
              </w:rPr>
            </w:pPr>
            <w:r w:rsidRPr="000223B4">
              <w:rPr>
                <w:rFonts w:ascii="Calibri" w:hAnsi="Calibri"/>
                <w:color w:val="000000"/>
                <w:sz w:val="20"/>
              </w:rPr>
              <w:t xml:space="preserve">$79.02 </w:t>
            </w:r>
          </w:p>
        </w:tc>
        <w:tc>
          <w:tcPr>
            <w:tcW w:w="1178" w:type="dxa"/>
            <w:tcBorders>
              <w:top w:val="nil"/>
              <w:left w:val="nil"/>
              <w:bottom w:val="single" w:sz="4" w:space="0" w:color="auto"/>
              <w:right w:val="single" w:sz="4" w:space="0" w:color="auto"/>
            </w:tcBorders>
            <w:shd w:val="clear" w:color="auto" w:fill="auto"/>
            <w:hideMark/>
          </w:tcPr>
          <w:p w14:paraId="7E73F37C" w14:textId="77777777" w:rsidR="00335719" w:rsidRPr="000223B4" w:rsidRDefault="00335719" w:rsidP="00335719">
            <w:pPr>
              <w:jc w:val="center"/>
              <w:rPr>
                <w:rFonts w:ascii="Calibri" w:hAnsi="Calibri"/>
                <w:color w:val="000000"/>
                <w:sz w:val="20"/>
              </w:rPr>
            </w:pPr>
            <w:r w:rsidRPr="000223B4">
              <w:rPr>
                <w:rFonts w:ascii="Calibri" w:hAnsi="Calibri"/>
                <w:color w:val="000000"/>
                <w:sz w:val="20"/>
              </w:rPr>
              <w:t>1575</w:t>
            </w:r>
          </w:p>
        </w:tc>
        <w:tc>
          <w:tcPr>
            <w:tcW w:w="1368" w:type="dxa"/>
            <w:tcBorders>
              <w:top w:val="nil"/>
              <w:left w:val="nil"/>
              <w:bottom w:val="single" w:sz="4" w:space="0" w:color="auto"/>
              <w:right w:val="single" w:sz="4" w:space="0" w:color="auto"/>
            </w:tcBorders>
            <w:shd w:val="clear" w:color="auto" w:fill="auto"/>
            <w:hideMark/>
          </w:tcPr>
          <w:p w14:paraId="4150E53E" w14:textId="77777777" w:rsidR="00335719" w:rsidRPr="000223B4" w:rsidRDefault="00335719" w:rsidP="00335719">
            <w:pPr>
              <w:jc w:val="center"/>
              <w:rPr>
                <w:rFonts w:ascii="Calibri" w:hAnsi="Calibri"/>
                <w:color w:val="000000"/>
                <w:sz w:val="20"/>
              </w:rPr>
            </w:pPr>
            <w:r w:rsidRPr="000223B4">
              <w:rPr>
                <w:rFonts w:ascii="Calibri" w:hAnsi="Calibri"/>
                <w:color w:val="000000"/>
                <w:sz w:val="20"/>
              </w:rPr>
              <w:t>2363</w:t>
            </w:r>
          </w:p>
        </w:tc>
        <w:tc>
          <w:tcPr>
            <w:tcW w:w="1339" w:type="dxa"/>
            <w:tcBorders>
              <w:top w:val="nil"/>
              <w:left w:val="nil"/>
              <w:bottom w:val="single" w:sz="4" w:space="0" w:color="auto"/>
              <w:right w:val="single" w:sz="4" w:space="0" w:color="auto"/>
            </w:tcBorders>
            <w:shd w:val="clear" w:color="auto" w:fill="auto"/>
            <w:hideMark/>
          </w:tcPr>
          <w:p w14:paraId="5777457A" w14:textId="77777777" w:rsidR="00335719" w:rsidRPr="000223B4" w:rsidRDefault="00335719" w:rsidP="00C46D4C">
            <w:pPr>
              <w:jc w:val="center"/>
              <w:rPr>
                <w:rFonts w:ascii="Calibri" w:hAnsi="Calibri"/>
                <w:color w:val="000000"/>
                <w:sz w:val="20"/>
              </w:rPr>
            </w:pPr>
            <w:r w:rsidRPr="000223B4">
              <w:rPr>
                <w:rFonts w:ascii="Calibri" w:hAnsi="Calibri"/>
                <w:color w:val="000000"/>
                <w:sz w:val="20"/>
              </w:rPr>
              <w:t xml:space="preserve">$124,457 </w:t>
            </w:r>
          </w:p>
        </w:tc>
      </w:tr>
      <w:tr w:rsidR="00335719" w:rsidRPr="000223B4" w14:paraId="71CBE64C" w14:textId="77777777" w:rsidTr="00644F1D">
        <w:trPr>
          <w:divId w:val="24184294"/>
          <w:trHeight w:val="765"/>
        </w:trPr>
        <w:tc>
          <w:tcPr>
            <w:tcW w:w="2558" w:type="dxa"/>
            <w:tcBorders>
              <w:top w:val="nil"/>
              <w:left w:val="single" w:sz="4" w:space="0" w:color="auto"/>
              <w:bottom w:val="single" w:sz="4" w:space="0" w:color="auto"/>
              <w:right w:val="single" w:sz="4" w:space="0" w:color="auto"/>
            </w:tcBorders>
            <w:shd w:val="clear" w:color="auto" w:fill="auto"/>
            <w:hideMark/>
          </w:tcPr>
          <w:p w14:paraId="4B9F8B13" w14:textId="1EF940B8" w:rsidR="00335719" w:rsidRPr="000223B4" w:rsidRDefault="00335719" w:rsidP="00244C0E">
            <w:pPr>
              <w:rPr>
                <w:rFonts w:ascii="Calibri" w:hAnsi="Calibri"/>
                <w:b/>
                <w:bCs/>
                <w:color w:val="000000"/>
                <w:sz w:val="20"/>
              </w:rPr>
            </w:pPr>
            <w:r w:rsidRPr="000223B4">
              <w:rPr>
                <w:rFonts w:ascii="Calibri" w:hAnsi="Calibri"/>
                <w:b/>
                <w:bCs/>
                <w:color w:val="000000"/>
                <w:sz w:val="20"/>
              </w:rPr>
              <w:t>Review and Process Initial Completion Property Profile Form (</w:t>
            </w:r>
            <w:r w:rsidR="00244C0E">
              <w:rPr>
                <w:rFonts w:ascii="Calibri" w:hAnsi="Calibri"/>
                <w:b/>
                <w:bCs/>
                <w:color w:val="000000"/>
                <w:sz w:val="20"/>
              </w:rPr>
              <w:t>CERCLA 128(a)</w:t>
            </w:r>
            <w:r w:rsidRPr="000223B4">
              <w:rPr>
                <w:rFonts w:ascii="Calibri" w:hAnsi="Calibri"/>
                <w:b/>
                <w:bCs/>
                <w:color w:val="000000"/>
                <w:sz w:val="20"/>
              </w:rPr>
              <w:t>)</w:t>
            </w:r>
          </w:p>
        </w:tc>
        <w:tc>
          <w:tcPr>
            <w:tcW w:w="833" w:type="dxa"/>
            <w:tcBorders>
              <w:top w:val="nil"/>
              <w:left w:val="nil"/>
              <w:bottom w:val="single" w:sz="4" w:space="0" w:color="auto"/>
              <w:right w:val="single" w:sz="4" w:space="0" w:color="auto"/>
            </w:tcBorders>
            <w:shd w:val="clear" w:color="auto" w:fill="auto"/>
            <w:hideMark/>
          </w:tcPr>
          <w:p w14:paraId="42A7236E" w14:textId="77777777" w:rsidR="00335719" w:rsidRPr="000223B4" w:rsidRDefault="00335719" w:rsidP="00335719">
            <w:pPr>
              <w:jc w:val="center"/>
              <w:rPr>
                <w:rFonts w:ascii="Calibri" w:hAnsi="Calibri"/>
                <w:color w:val="000000"/>
                <w:sz w:val="20"/>
              </w:rPr>
            </w:pPr>
            <w:r w:rsidRPr="000223B4">
              <w:rPr>
                <w:rFonts w:ascii="Calibri" w:hAnsi="Calibri"/>
                <w:color w:val="000000"/>
                <w:sz w:val="20"/>
              </w:rPr>
              <w:t>1.5</w:t>
            </w:r>
          </w:p>
        </w:tc>
        <w:tc>
          <w:tcPr>
            <w:tcW w:w="1022" w:type="dxa"/>
            <w:tcBorders>
              <w:top w:val="nil"/>
              <w:left w:val="nil"/>
              <w:bottom w:val="single" w:sz="4" w:space="0" w:color="auto"/>
              <w:right w:val="single" w:sz="4" w:space="0" w:color="auto"/>
            </w:tcBorders>
            <w:shd w:val="clear" w:color="auto" w:fill="auto"/>
            <w:hideMark/>
          </w:tcPr>
          <w:p w14:paraId="21071066" w14:textId="77777777" w:rsidR="00335719" w:rsidRPr="000223B4" w:rsidRDefault="00335719" w:rsidP="00335719">
            <w:pPr>
              <w:jc w:val="center"/>
              <w:rPr>
                <w:rFonts w:ascii="Calibri" w:hAnsi="Calibri"/>
                <w:color w:val="000000"/>
                <w:sz w:val="20"/>
              </w:rPr>
            </w:pPr>
            <w:r w:rsidRPr="000223B4">
              <w:rPr>
                <w:rFonts w:ascii="Calibri" w:hAnsi="Calibri"/>
                <w:color w:val="000000"/>
                <w:sz w:val="20"/>
              </w:rPr>
              <w:t xml:space="preserve">$52.68 </w:t>
            </w:r>
          </w:p>
        </w:tc>
        <w:tc>
          <w:tcPr>
            <w:tcW w:w="1022" w:type="dxa"/>
            <w:tcBorders>
              <w:top w:val="nil"/>
              <w:left w:val="nil"/>
              <w:bottom w:val="single" w:sz="4" w:space="0" w:color="auto"/>
              <w:right w:val="single" w:sz="4" w:space="0" w:color="auto"/>
            </w:tcBorders>
            <w:shd w:val="clear" w:color="auto" w:fill="auto"/>
            <w:hideMark/>
          </w:tcPr>
          <w:p w14:paraId="270CDFF0" w14:textId="77777777" w:rsidR="00335719" w:rsidRPr="000223B4" w:rsidRDefault="00335719" w:rsidP="00335719">
            <w:pPr>
              <w:jc w:val="center"/>
              <w:rPr>
                <w:rFonts w:ascii="Calibri" w:hAnsi="Calibri"/>
                <w:color w:val="000000"/>
                <w:sz w:val="20"/>
              </w:rPr>
            </w:pPr>
            <w:r w:rsidRPr="000223B4">
              <w:rPr>
                <w:rFonts w:ascii="Calibri" w:hAnsi="Calibri"/>
                <w:color w:val="000000"/>
                <w:sz w:val="20"/>
              </w:rPr>
              <w:t xml:space="preserve">$79.02 </w:t>
            </w:r>
          </w:p>
        </w:tc>
        <w:tc>
          <w:tcPr>
            <w:tcW w:w="1178" w:type="dxa"/>
            <w:tcBorders>
              <w:top w:val="nil"/>
              <w:left w:val="nil"/>
              <w:bottom w:val="single" w:sz="4" w:space="0" w:color="auto"/>
              <w:right w:val="single" w:sz="4" w:space="0" w:color="auto"/>
            </w:tcBorders>
            <w:shd w:val="clear" w:color="auto" w:fill="auto"/>
            <w:hideMark/>
          </w:tcPr>
          <w:p w14:paraId="33F7CD95" w14:textId="77777777" w:rsidR="00335719" w:rsidRPr="000223B4" w:rsidRDefault="00335719" w:rsidP="00335719">
            <w:pPr>
              <w:jc w:val="center"/>
              <w:rPr>
                <w:rFonts w:ascii="Calibri" w:hAnsi="Calibri"/>
                <w:color w:val="000000"/>
                <w:sz w:val="20"/>
              </w:rPr>
            </w:pPr>
            <w:r w:rsidRPr="000223B4">
              <w:rPr>
                <w:rFonts w:ascii="Calibri" w:hAnsi="Calibri"/>
                <w:color w:val="000000"/>
                <w:sz w:val="20"/>
              </w:rPr>
              <w:t>1268</w:t>
            </w:r>
          </w:p>
        </w:tc>
        <w:tc>
          <w:tcPr>
            <w:tcW w:w="1368" w:type="dxa"/>
            <w:tcBorders>
              <w:top w:val="nil"/>
              <w:left w:val="nil"/>
              <w:bottom w:val="single" w:sz="4" w:space="0" w:color="auto"/>
              <w:right w:val="single" w:sz="4" w:space="0" w:color="auto"/>
            </w:tcBorders>
            <w:shd w:val="clear" w:color="auto" w:fill="auto"/>
            <w:hideMark/>
          </w:tcPr>
          <w:p w14:paraId="4496AD56" w14:textId="77777777" w:rsidR="00335719" w:rsidRPr="000223B4" w:rsidRDefault="00335719" w:rsidP="00335719">
            <w:pPr>
              <w:jc w:val="center"/>
              <w:rPr>
                <w:rFonts w:ascii="Calibri" w:hAnsi="Calibri"/>
                <w:color w:val="000000"/>
                <w:sz w:val="20"/>
              </w:rPr>
            </w:pPr>
            <w:r w:rsidRPr="000223B4">
              <w:rPr>
                <w:rFonts w:ascii="Calibri" w:hAnsi="Calibri"/>
                <w:color w:val="000000"/>
                <w:sz w:val="20"/>
              </w:rPr>
              <w:t>1902</w:t>
            </w:r>
          </w:p>
        </w:tc>
        <w:tc>
          <w:tcPr>
            <w:tcW w:w="1339" w:type="dxa"/>
            <w:tcBorders>
              <w:top w:val="nil"/>
              <w:left w:val="nil"/>
              <w:bottom w:val="single" w:sz="4" w:space="0" w:color="auto"/>
              <w:right w:val="single" w:sz="4" w:space="0" w:color="auto"/>
            </w:tcBorders>
            <w:shd w:val="clear" w:color="auto" w:fill="auto"/>
            <w:hideMark/>
          </w:tcPr>
          <w:p w14:paraId="63849EC5" w14:textId="77777777" w:rsidR="00335719" w:rsidRPr="000223B4" w:rsidRDefault="00335719" w:rsidP="00C46D4C">
            <w:pPr>
              <w:jc w:val="center"/>
              <w:rPr>
                <w:rFonts w:ascii="Calibri" w:hAnsi="Calibri"/>
                <w:color w:val="000000"/>
                <w:sz w:val="20"/>
              </w:rPr>
            </w:pPr>
            <w:r w:rsidRPr="000223B4">
              <w:rPr>
                <w:rFonts w:ascii="Calibri" w:hAnsi="Calibri"/>
                <w:color w:val="000000"/>
                <w:sz w:val="20"/>
              </w:rPr>
              <w:t xml:space="preserve">$100,197 </w:t>
            </w:r>
          </w:p>
        </w:tc>
      </w:tr>
      <w:tr w:rsidR="00335719" w:rsidRPr="000223B4" w14:paraId="5ADF3653" w14:textId="77777777" w:rsidTr="00644F1D">
        <w:trPr>
          <w:divId w:val="24184294"/>
          <w:trHeight w:val="510"/>
        </w:trPr>
        <w:tc>
          <w:tcPr>
            <w:tcW w:w="2558" w:type="dxa"/>
            <w:tcBorders>
              <w:top w:val="nil"/>
              <w:left w:val="single" w:sz="4" w:space="0" w:color="auto"/>
              <w:bottom w:val="single" w:sz="4" w:space="0" w:color="auto"/>
              <w:right w:val="single" w:sz="4" w:space="0" w:color="auto"/>
            </w:tcBorders>
            <w:shd w:val="clear" w:color="auto" w:fill="auto"/>
            <w:hideMark/>
          </w:tcPr>
          <w:p w14:paraId="364EDFAE" w14:textId="15312DED" w:rsidR="00335719" w:rsidRPr="000223B4" w:rsidRDefault="00335719" w:rsidP="00335719">
            <w:pPr>
              <w:rPr>
                <w:rFonts w:ascii="Calibri" w:hAnsi="Calibri"/>
                <w:b/>
                <w:bCs/>
                <w:color w:val="000000"/>
                <w:sz w:val="20"/>
              </w:rPr>
            </w:pPr>
            <w:r w:rsidRPr="000223B4">
              <w:rPr>
                <w:rFonts w:ascii="Calibri" w:hAnsi="Calibri"/>
                <w:b/>
                <w:bCs/>
                <w:color w:val="000000"/>
                <w:sz w:val="20"/>
              </w:rPr>
              <w:t>Review and Process Update to Property Profile Form (</w:t>
            </w:r>
            <w:r w:rsidR="00244C0E">
              <w:rPr>
                <w:rFonts w:ascii="Calibri" w:hAnsi="Calibri"/>
                <w:b/>
                <w:bCs/>
                <w:color w:val="000000"/>
                <w:sz w:val="20"/>
              </w:rPr>
              <w:t>CERCLA 104(k)</w:t>
            </w:r>
            <w:r w:rsidRPr="000223B4">
              <w:rPr>
                <w:rFonts w:ascii="Calibri" w:hAnsi="Calibri"/>
                <w:b/>
                <w:bCs/>
                <w:color w:val="000000"/>
                <w:sz w:val="20"/>
              </w:rPr>
              <w:t>)</w:t>
            </w:r>
          </w:p>
        </w:tc>
        <w:tc>
          <w:tcPr>
            <w:tcW w:w="833" w:type="dxa"/>
            <w:tcBorders>
              <w:top w:val="nil"/>
              <w:left w:val="nil"/>
              <w:bottom w:val="single" w:sz="4" w:space="0" w:color="auto"/>
              <w:right w:val="single" w:sz="4" w:space="0" w:color="auto"/>
            </w:tcBorders>
            <w:shd w:val="clear" w:color="auto" w:fill="auto"/>
            <w:hideMark/>
          </w:tcPr>
          <w:p w14:paraId="0AE7E99C" w14:textId="77777777" w:rsidR="00335719" w:rsidRPr="000223B4" w:rsidRDefault="00335719" w:rsidP="00335719">
            <w:pPr>
              <w:jc w:val="center"/>
              <w:rPr>
                <w:rFonts w:ascii="Calibri" w:hAnsi="Calibri"/>
                <w:color w:val="000000"/>
                <w:sz w:val="20"/>
              </w:rPr>
            </w:pPr>
            <w:r w:rsidRPr="000223B4">
              <w:rPr>
                <w:rFonts w:ascii="Calibri" w:hAnsi="Calibri"/>
                <w:color w:val="000000"/>
                <w:sz w:val="20"/>
              </w:rPr>
              <w:t>0.5</w:t>
            </w:r>
          </w:p>
        </w:tc>
        <w:tc>
          <w:tcPr>
            <w:tcW w:w="1022" w:type="dxa"/>
            <w:tcBorders>
              <w:top w:val="nil"/>
              <w:left w:val="nil"/>
              <w:bottom w:val="single" w:sz="4" w:space="0" w:color="auto"/>
              <w:right w:val="single" w:sz="4" w:space="0" w:color="auto"/>
            </w:tcBorders>
            <w:shd w:val="clear" w:color="auto" w:fill="auto"/>
            <w:hideMark/>
          </w:tcPr>
          <w:p w14:paraId="7DF9BF83" w14:textId="77777777" w:rsidR="00335719" w:rsidRPr="000223B4" w:rsidRDefault="00335719" w:rsidP="00335719">
            <w:pPr>
              <w:jc w:val="center"/>
              <w:rPr>
                <w:rFonts w:ascii="Calibri" w:hAnsi="Calibri"/>
                <w:color w:val="000000"/>
                <w:sz w:val="20"/>
              </w:rPr>
            </w:pPr>
            <w:r w:rsidRPr="000223B4">
              <w:rPr>
                <w:rFonts w:ascii="Calibri" w:hAnsi="Calibri"/>
                <w:color w:val="000000"/>
                <w:sz w:val="20"/>
              </w:rPr>
              <w:t xml:space="preserve">$52.68 </w:t>
            </w:r>
          </w:p>
        </w:tc>
        <w:tc>
          <w:tcPr>
            <w:tcW w:w="1022" w:type="dxa"/>
            <w:tcBorders>
              <w:top w:val="nil"/>
              <w:left w:val="nil"/>
              <w:bottom w:val="single" w:sz="4" w:space="0" w:color="auto"/>
              <w:right w:val="single" w:sz="4" w:space="0" w:color="auto"/>
            </w:tcBorders>
            <w:shd w:val="clear" w:color="auto" w:fill="auto"/>
            <w:hideMark/>
          </w:tcPr>
          <w:p w14:paraId="71350D7B" w14:textId="77777777" w:rsidR="00335719" w:rsidRPr="000223B4" w:rsidRDefault="00335719" w:rsidP="00335719">
            <w:pPr>
              <w:jc w:val="center"/>
              <w:rPr>
                <w:rFonts w:ascii="Calibri" w:hAnsi="Calibri"/>
                <w:color w:val="000000"/>
                <w:sz w:val="20"/>
              </w:rPr>
            </w:pPr>
            <w:r w:rsidRPr="000223B4">
              <w:rPr>
                <w:rFonts w:ascii="Calibri" w:hAnsi="Calibri"/>
                <w:color w:val="000000"/>
                <w:sz w:val="20"/>
              </w:rPr>
              <w:t xml:space="preserve">$26.34 </w:t>
            </w:r>
          </w:p>
        </w:tc>
        <w:tc>
          <w:tcPr>
            <w:tcW w:w="1178" w:type="dxa"/>
            <w:tcBorders>
              <w:top w:val="nil"/>
              <w:left w:val="nil"/>
              <w:bottom w:val="single" w:sz="4" w:space="0" w:color="auto"/>
              <w:right w:val="single" w:sz="4" w:space="0" w:color="auto"/>
            </w:tcBorders>
            <w:shd w:val="clear" w:color="auto" w:fill="auto"/>
            <w:hideMark/>
          </w:tcPr>
          <w:p w14:paraId="1B53227E" w14:textId="77777777" w:rsidR="00335719" w:rsidRPr="000223B4" w:rsidRDefault="00335719" w:rsidP="00335719">
            <w:pPr>
              <w:jc w:val="center"/>
              <w:rPr>
                <w:rFonts w:ascii="Calibri" w:hAnsi="Calibri"/>
                <w:color w:val="000000"/>
                <w:sz w:val="20"/>
              </w:rPr>
            </w:pPr>
            <w:r w:rsidRPr="000223B4">
              <w:rPr>
                <w:rFonts w:ascii="Calibri" w:hAnsi="Calibri"/>
                <w:color w:val="000000"/>
                <w:sz w:val="20"/>
              </w:rPr>
              <w:t>1103</w:t>
            </w:r>
          </w:p>
        </w:tc>
        <w:tc>
          <w:tcPr>
            <w:tcW w:w="1368" w:type="dxa"/>
            <w:tcBorders>
              <w:top w:val="nil"/>
              <w:left w:val="nil"/>
              <w:bottom w:val="single" w:sz="4" w:space="0" w:color="auto"/>
              <w:right w:val="single" w:sz="4" w:space="0" w:color="auto"/>
            </w:tcBorders>
            <w:shd w:val="clear" w:color="auto" w:fill="auto"/>
            <w:hideMark/>
          </w:tcPr>
          <w:p w14:paraId="5F5F0A86" w14:textId="77777777" w:rsidR="00335719" w:rsidRPr="000223B4" w:rsidRDefault="00335719" w:rsidP="00335719">
            <w:pPr>
              <w:jc w:val="center"/>
              <w:rPr>
                <w:rFonts w:ascii="Calibri" w:hAnsi="Calibri"/>
                <w:color w:val="000000"/>
                <w:sz w:val="20"/>
              </w:rPr>
            </w:pPr>
            <w:r w:rsidRPr="000223B4">
              <w:rPr>
                <w:rFonts w:ascii="Calibri" w:hAnsi="Calibri"/>
                <w:color w:val="000000"/>
                <w:sz w:val="20"/>
              </w:rPr>
              <w:t>551</w:t>
            </w:r>
          </w:p>
        </w:tc>
        <w:tc>
          <w:tcPr>
            <w:tcW w:w="1339" w:type="dxa"/>
            <w:tcBorders>
              <w:top w:val="nil"/>
              <w:left w:val="nil"/>
              <w:bottom w:val="single" w:sz="4" w:space="0" w:color="auto"/>
              <w:right w:val="single" w:sz="4" w:space="0" w:color="auto"/>
            </w:tcBorders>
            <w:shd w:val="clear" w:color="auto" w:fill="auto"/>
            <w:hideMark/>
          </w:tcPr>
          <w:p w14:paraId="5C238CD9" w14:textId="77777777" w:rsidR="00335719" w:rsidRPr="000223B4" w:rsidRDefault="00335719" w:rsidP="00C46D4C">
            <w:pPr>
              <w:jc w:val="center"/>
              <w:rPr>
                <w:rFonts w:ascii="Calibri" w:hAnsi="Calibri"/>
                <w:color w:val="000000"/>
                <w:sz w:val="20"/>
              </w:rPr>
            </w:pPr>
            <w:r w:rsidRPr="000223B4">
              <w:rPr>
                <w:rFonts w:ascii="Calibri" w:hAnsi="Calibri"/>
                <w:color w:val="000000"/>
                <w:sz w:val="20"/>
              </w:rPr>
              <w:t xml:space="preserve">$29,040 </w:t>
            </w:r>
          </w:p>
        </w:tc>
      </w:tr>
      <w:tr w:rsidR="00335719" w:rsidRPr="000223B4" w14:paraId="22AFBA53" w14:textId="77777777" w:rsidTr="00644F1D">
        <w:trPr>
          <w:divId w:val="24184294"/>
          <w:trHeight w:val="510"/>
        </w:trPr>
        <w:tc>
          <w:tcPr>
            <w:tcW w:w="2558" w:type="dxa"/>
            <w:tcBorders>
              <w:top w:val="nil"/>
              <w:left w:val="single" w:sz="4" w:space="0" w:color="auto"/>
              <w:bottom w:val="single" w:sz="4" w:space="0" w:color="auto"/>
              <w:right w:val="single" w:sz="4" w:space="0" w:color="auto"/>
            </w:tcBorders>
            <w:shd w:val="clear" w:color="auto" w:fill="auto"/>
            <w:hideMark/>
          </w:tcPr>
          <w:p w14:paraId="4033F1A8" w14:textId="08FACA80" w:rsidR="00335719" w:rsidRPr="000223B4" w:rsidRDefault="00335719" w:rsidP="00244C0E">
            <w:pPr>
              <w:rPr>
                <w:rFonts w:ascii="Calibri" w:hAnsi="Calibri"/>
                <w:b/>
                <w:bCs/>
                <w:color w:val="000000"/>
                <w:sz w:val="20"/>
              </w:rPr>
            </w:pPr>
            <w:r w:rsidRPr="000223B4">
              <w:rPr>
                <w:rFonts w:ascii="Calibri" w:hAnsi="Calibri"/>
                <w:b/>
                <w:bCs/>
                <w:color w:val="000000"/>
                <w:sz w:val="20"/>
              </w:rPr>
              <w:t>Review and Process Update to Property Profile Form (</w:t>
            </w:r>
            <w:r w:rsidR="00244C0E">
              <w:rPr>
                <w:rFonts w:ascii="Calibri" w:hAnsi="Calibri"/>
                <w:b/>
                <w:bCs/>
                <w:color w:val="000000"/>
                <w:sz w:val="20"/>
              </w:rPr>
              <w:t>CERCLA 128(a)</w:t>
            </w:r>
            <w:r w:rsidRPr="000223B4">
              <w:rPr>
                <w:rFonts w:ascii="Calibri" w:hAnsi="Calibri"/>
                <w:b/>
                <w:bCs/>
                <w:color w:val="000000"/>
                <w:sz w:val="20"/>
              </w:rPr>
              <w:t>)</w:t>
            </w:r>
          </w:p>
        </w:tc>
        <w:tc>
          <w:tcPr>
            <w:tcW w:w="833" w:type="dxa"/>
            <w:tcBorders>
              <w:top w:val="nil"/>
              <w:left w:val="nil"/>
              <w:bottom w:val="single" w:sz="4" w:space="0" w:color="auto"/>
              <w:right w:val="single" w:sz="4" w:space="0" w:color="auto"/>
            </w:tcBorders>
            <w:shd w:val="clear" w:color="auto" w:fill="auto"/>
            <w:hideMark/>
          </w:tcPr>
          <w:p w14:paraId="23CA9C44" w14:textId="77777777" w:rsidR="00335719" w:rsidRPr="000223B4" w:rsidRDefault="00335719" w:rsidP="00335719">
            <w:pPr>
              <w:jc w:val="center"/>
              <w:rPr>
                <w:rFonts w:ascii="Calibri" w:hAnsi="Calibri"/>
                <w:color w:val="000000"/>
                <w:sz w:val="20"/>
              </w:rPr>
            </w:pPr>
            <w:r w:rsidRPr="000223B4">
              <w:rPr>
                <w:rFonts w:ascii="Calibri" w:hAnsi="Calibri"/>
                <w:color w:val="000000"/>
                <w:sz w:val="20"/>
              </w:rPr>
              <w:t>0.5</w:t>
            </w:r>
          </w:p>
        </w:tc>
        <w:tc>
          <w:tcPr>
            <w:tcW w:w="1022" w:type="dxa"/>
            <w:tcBorders>
              <w:top w:val="nil"/>
              <w:left w:val="nil"/>
              <w:bottom w:val="single" w:sz="4" w:space="0" w:color="auto"/>
              <w:right w:val="single" w:sz="4" w:space="0" w:color="auto"/>
            </w:tcBorders>
            <w:shd w:val="clear" w:color="auto" w:fill="auto"/>
            <w:hideMark/>
          </w:tcPr>
          <w:p w14:paraId="2ED99533" w14:textId="77777777" w:rsidR="00335719" w:rsidRPr="000223B4" w:rsidRDefault="00335719" w:rsidP="00335719">
            <w:pPr>
              <w:jc w:val="center"/>
              <w:rPr>
                <w:rFonts w:ascii="Calibri" w:hAnsi="Calibri"/>
                <w:color w:val="000000"/>
                <w:sz w:val="20"/>
              </w:rPr>
            </w:pPr>
            <w:r w:rsidRPr="000223B4">
              <w:rPr>
                <w:rFonts w:ascii="Calibri" w:hAnsi="Calibri"/>
                <w:color w:val="000000"/>
                <w:sz w:val="20"/>
              </w:rPr>
              <w:t xml:space="preserve">$52.68 </w:t>
            </w:r>
          </w:p>
        </w:tc>
        <w:tc>
          <w:tcPr>
            <w:tcW w:w="1022" w:type="dxa"/>
            <w:tcBorders>
              <w:top w:val="nil"/>
              <w:left w:val="nil"/>
              <w:bottom w:val="single" w:sz="4" w:space="0" w:color="auto"/>
              <w:right w:val="single" w:sz="4" w:space="0" w:color="auto"/>
            </w:tcBorders>
            <w:shd w:val="clear" w:color="auto" w:fill="auto"/>
            <w:hideMark/>
          </w:tcPr>
          <w:p w14:paraId="6C3D9DB7" w14:textId="77777777" w:rsidR="00335719" w:rsidRPr="000223B4" w:rsidRDefault="00335719" w:rsidP="00335719">
            <w:pPr>
              <w:jc w:val="center"/>
              <w:rPr>
                <w:rFonts w:ascii="Calibri" w:hAnsi="Calibri"/>
                <w:color w:val="000000"/>
                <w:sz w:val="20"/>
              </w:rPr>
            </w:pPr>
            <w:r w:rsidRPr="000223B4">
              <w:rPr>
                <w:rFonts w:ascii="Calibri" w:hAnsi="Calibri"/>
                <w:color w:val="000000"/>
                <w:sz w:val="20"/>
              </w:rPr>
              <w:t xml:space="preserve">$26.34 </w:t>
            </w:r>
          </w:p>
        </w:tc>
        <w:tc>
          <w:tcPr>
            <w:tcW w:w="1178" w:type="dxa"/>
            <w:tcBorders>
              <w:top w:val="nil"/>
              <w:left w:val="nil"/>
              <w:bottom w:val="single" w:sz="4" w:space="0" w:color="auto"/>
              <w:right w:val="single" w:sz="4" w:space="0" w:color="auto"/>
            </w:tcBorders>
            <w:shd w:val="clear" w:color="auto" w:fill="auto"/>
            <w:hideMark/>
          </w:tcPr>
          <w:p w14:paraId="12D86DAB" w14:textId="77777777" w:rsidR="00335719" w:rsidRPr="000223B4" w:rsidRDefault="00335719" w:rsidP="00335719">
            <w:pPr>
              <w:jc w:val="center"/>
              <w:rPr>
                <w:rFonts w:ascii="Calibri" w:hAnsi="Calibri"/>
                <w:color w:val="000000"/>
                <w:sz w:val="20"/>
              </w:rPr>
            </w:pPr>
            <w:r w:rsidRPr="000223B4">
              <w:rPr>
                <w:rFonts w:ascii="Calibri" w:hAnsi="Calibri"/>
                <w:color w:val="000000"/>
                <w:sz w:val="20"/>
              </w:rPr>
              <w:t>634</w:t>
            </w:r>
          </w:p>
        </w:tc>
        <w:tc>
          <w:tcPr>
            <w:tcW w:w="1368" w:type="dxa"/>
            <w:tcBorders>
              <w:top w:val="nil"/>
              <w:left w:val="nil"/>
              <w:bottom w:val="single" w:sz="4" w:space="0" w:color="auto"/>
              <w:right w:val="single" w:sz="4" w:space="0" w:color="auto"/>
            </w:tcBorders>
            <w:shd w:val="clear" w:color="auto" w:fill="auto"/>
            <w:hideMark/>
          </w:tcPr>
          <w:p w14:paraId="13F3FA16" w14:textId="77777777" w:rsidR="00335719" w:rsidRPr="000223B4" w:rsidRDefault="00335719" w:rsidP="00335719">
            <w:pPr>
              <w:jc w:val="center"/>
              <w:rPr>
                <w:rFonts w:ascii="Calibri" w:hAnsi="Calibri"/>
                <w:color w:val="000000"/>
                <w:sz w:val="20"/>
              </w:rPr>
            </w:pPr>
            <w:r w:rsidRPr="000223B4">
              <w:rPr>
                <w:rFonts w:ascii="Calibri" w:hAnsi="Calibri"/>
                <w:color w:val="000000"/>
                <w:sz w:val="20"/>
              </w:rPr>
              <w:t>317</w:t>
            </w:r>
          </w:p>
        </w:tc>
        <w:tc>
          <w:tcPr>
            <w:tcW w:w="1339" w:type="dxa"/>
            <w:tcBorders>
              <w:top w:val="nil"/>
              <w:left w:val="nil"/>
              <w:bottom w:val="single" w:sz="4" w:space="0" w:color="auto"/>
              <w:right w:val="single" w:sz="4" w:space="0" w:color="auto"/>
            </w:tcBorders>
            <w:shd w:val="clear" w:color="auto" w:fill="auto"/>
            <w:hideMark/>
          </w:tcPr>
          <w:p w14:paraId="11CDE3FA" w14:textId="77777777" w:rsidR="00335719" w:rsidRPr="000223B4" w:rsidRDefault="00335719" w:rsidP="00C46D4C">
            <w:pPr>
              <w:jc w:val="center"/>
              <w:rPr>
                <w:rFonts w:ascii="Calibri" w:hAnsi="Calibri"/>
                <w:color w:val="000000"/>
                <w:sz w:val="20"/>
              </w:rPr>
            </w:pPr>
            <w:r w:rsidRPr="000223B4">
              <w:rPr>
                <w:rFonts w:ascii="Calibri" w:hAnsi="Calibri"/>
                <w:color w:val="000000"/>
                <w:sz w:val="20"/>
              </w:rPr>
              <w:t xml:space="preserve">$16,700 </w:t>
            </w:r>
          </w:p>
        </w:tc>
      </w:tr>
      <w:tr w:rsidR="000223B4" w:rsidRPr="000223B4" w14:paraId="443988A0" w14:textId="77777777" w:rsidTr="00644F1D">
        <w:trPr>
          <w:divId w:val="24184294"/>
          <w:trHeight w:val="510"/>
        </w:trPr>
        <w:tc>
          <w:tcPr>
            <w:tcW w:w="2558" w:type="dxa"/>
            <w:tcBorders>
              <w:top w:val="nil"/>
              <w:left w:val="single" w:sz="4" w:space="0" w:color="auto"/>
              <w:bottom w:val="single" w:sz="4" w:space="0" w:color="auto"/>
              <w:right w:val="single" w:sz="4" w:space="0" w:color="auto"/>
            </w:tcBorders>
            <w:shd w:val="clear" w:color="auto" w:fill="auto"/>
          </w:tcPr>
          <w:p w14:paraId="1A87D5EB" w14:textId="7FC1E8C1" w:rsidR="000223B4" w:rsidRPr="000223B4" w:rsidRDefault="000223B4" w:rsidP="00335719">
            <w:pPr>
              <w:rPr>
                <w:rFonts w:ascii="Calibri" w:hAnsi="Calibri"/>
                <w:b/>
                <w:bCs/>
                <w:color w:val="000000"/>
                <w:sz w:val="20"/>
              </w:rPr>
            </w:pPr>
            <w:r>
              <w:rPr>
                <w:rFonts w:ascii="Calibri" w:hAnsi="Calibri"/>
                <w:b/>
                <w:bCs/>
                <w:color w:val="000000"/>
                <w:sz w:val="20"/>
              </w:rPr>
              <w:t xml:space="preserve">Review and Process Initial Area-Wide </w:t>
            </w:r>
            <w:r w:rsidR="00C87916">
              <w:rPr>
                <w:rFonts w:ascii="Calibri" w:hAnsi="Calibri"/>
                <w:b/>
                <w:bCs/>
                <w:color w:val="000000"/>
                <w:sz w:val="20"/>
              </w:rPr>
              <w:t>P</w:t>
            </w:r>
            <w:r>
              <w:rPr>
                <w:rFonts w:ascii="Calibri" w:hAnsi="Calibri"/>
                <w:b/>
                <w:bCs/>
                <w:color w:val="000000"/>
                <w:sz w:val="20"/>
              </w:rPr>
              <w:t>lanning reporting form (</w:t>
            </w:r>
            <w:r w:rsidR="00244C0E">
              <w:rPr>
                <w:rFonts w:ascii="Calibri" w:hAnsi="Calibri"/>
                <w:b/>
                <w:bCs/>
                <w:color w:val="000000"/>
                <w:sz w:val="20"/>
              </w:rPr>
              <w:t>CERCLA 104(k)(6)</w:t>
            </w:r>
            <w:r w:rsidR="00644F1D">
              <w:rPr>
                <w:rFonts w:ascii="Calibri" w:hAnsi="Calibri"/>
                <w:b/>
                <w:bCs/>
                <w:color w:val="000000"/>
                <w:sz w:val="20"/>
              </w:rPr>
              <w:t>)</w:t>
            </w:r>
          </w:p>
        </w:tc>
        <w:tc>
          <w:tcPr>
            <w:tcW w:w="833" w:type="dxa"/>
            <w:tcBorders>
              <w:top w:val="nil"/>
              <w:left w:val="nil"/>
              <w:bottom w:val="single" w:sz="4" w:space="0" w:color="auto"/>
              <w:right w:val="single" w:sz="4" w:space="0" w:color="auto"/>
            </w:tcBorders>
            <w:shd w:val="clear" w:color="auto" w:fill="auto"/>
          </w:tcPr>
          <w:p w14:paraId="68264FD1" w14:textId="7033D166" w:rsidR="000223B4" w:rsidRPr="000223B4" w:rsidRDefault="00644F1D" w:rsidP="00335719">
            <w:pPr>
              <w:jc w:val="center"/>
              <w:rPr>
                <w:rFonts w:ascii="Calibri" w:hAnsi="Calibri"/>
                <w:color w:val="000000"/>
                <w:sz w:val="20"/>
              </w:rPr>
            </w:pPr>
            <w:r>
              <w:rPr>
                <w:rFonts w:ascii="Calibri" w:hAnsi="Calibri"/>
                <w:color w:val="000000"/>
                <w:sz w:val="20"/>
              </w:rPr>
              <w:t>1.5</w:t>
            </w:r>
          </w:p>
        </w:tc>
        <w:tc>
          <w:tcPr>
            <w:tcW w:w="1022" w:type="dxa"/>
            <w:tcBorders>
              <w:top w:val="nil"/>
              <w:left w:val="nil"/>
              <w:bottom w:val="single" w:sz="4" w:space="0" w:color="auto"/>
              <w:right w:val="single" w:sz="4" w:space="0" w:color="auto"/>
            </w:tcBorders>
            <w:shd w:val="clear" w:color="auto" w:fill="auto"/>
          </w:tcPr>
          <w:p w14:paraId="20D0EEA7" w14:textId="6FDED758" w:rsidR="000223B4" w:rsidRPr="000223B4" w:rsidRDefault="00644F1D" w:rsidP="00335719">
            <w:pPr>
              <w:jc w:val="center"/>
              <w:rPr>
                <w:rFonts w:ascii="Calibri" w:hAnsi="Calibri"/>
                <w:color w:val="000000"/>
                <w:sz w:val="20"/>
              </w:rPr>
            </w:pPr>
            <w:r>
              <w:rPr>
                <w:rFonts w:ascii="Calibri" w:hAnsi="Calibri"/>
                <w:color w:val="000000"/>
                <w:sz w:val="20"/>
              </w:rPr>
              <w:t>$52.68</w:t>
            </w:r>
          </w:p>
        </w:tc>
        <w:tc>
          <w:tcPr>
            <w:tcW w:w="1022" w:type="dxa"/>
            <w:tcBorders>
              <w:top w:val="nil"/>
              <w:left w:val="nil"/>
              <w:bottom w:val="single" w:sz="4" w:space="0" w:color="auto"/>
              <w:right w:val="single" w:sz="4" w:space="0" w:color="auto"/>
            </w:tcBorders>
            <w:shd w:val="clear" w:color="auto" w:fill="auto"/>
          </w:tcPr>
          <w:p w14:paraId="0A603B76" w14:textId="15AE7F41" w:rsidR="000223B4" w:rsidRPr="000223B4" w:rsidRDefault="00644F1D" w:rsidP="00335719">
            <w:pPr>
              <w:jc w:val="center"/>
              <w:rPr>
                <w:rFonts w:ascii="Calibri" w:hAnsi="Calibri"/>
                <w:color w:val="000000"/>
                <w:sz w:val="20"/>
              </w:rPr>
            </w:pPr>
            <w:r>
              <w:rPr>
                <w:rFonts w:ascii="Calibri" w:hAnsi="Calibri"/>
                <w:color w:val="000000"/>
                <w:sz w:val="20"/>
              </w:rPr>
              <w:t>79.02</w:t>
            </w:r>
          </w:p>
        </w:tc>
        <w:tc>
          <w:tcPr>
            <w:tcW w:w="1178" w:type="dxa"/>
            <w:tcBorders>
              <w:top w:val="nil"/>
              <w:left w:val="nil"/>
              <w:bottom w:val="single" w:sz="4" w:space="0" w:color="auto"/>
              <w:right w:val="single" w:sz="4" w:space="0" w:color="auto"/>
            </w:tcBorders>
            <w:shd w:val="clear" w:color="auto" w:fill="auto"/>
          </w:tcPr>
          <w:p w14:paraId="28D5D996" w14:textId="651201E0" w:rsidR="000223B4" w:rsidRPr="000223B4" w:rsidRDefault="00644F1D" w:rsidP="00335719">
            <w:pPr>
              <w:jc w:val="center"/>
              <w:rPr>
                <w:rFonts w:ascii="Calibri" w:hAnsi="Calibri"/>
                <w:color w:val="000000"/>
                <w:sz w:val="20"/>
              </w:rPr>
            </w:pPr>
            <w:r>
              <w:rPr>
                <w:rFonts w:ascii="Calibri" w:hAnsi="Calibri"/>
                <w:color w:val="000000"/>
                <w:sz w:val="20"/>
              </w:rPr>
              <w:t>18</w:t>
            </w:r>
          </w:p>
        </w:tc>
        <w:tc>
          <w:tcPr>
            <w:tcW w:w="1368" w:type="dxa"/>
            <w:tcBorders>
              <w:top w:val="nil"/>
              <w:left w:val="nil"/>
              <w:bottom w:val="single" w:sz="4" w:space="0" w:color="auto"/>
              <w:right w:val="single" w:sz="4" w:space="0" w:color="auto"/>
            </w:tcBorders>
            <w:shd w:val="clear" w:color="auto" w:fill="auto"/>
          </w:tcPr>
          <w:p w14:paraId="2F09206B" w14:textId="456B83DE" w:rsidR="000223B4" w:rsidRPr="000223B4" w:rsidRDefault="00644F1D" w:rsidP="00335719">
            <w:pPr>
              <w:jc w:val="center"/>
              <w:rPr>
                <w:rFonts w:ascii="Calibri" w:hAnsi="Calibri"/>
                <w:color w:val="000000"/>
                <w:sz w:val="20"/>
              </w:rPr>
            </w:pPr>
            <w:r>
              <w:rPr>
                <w:rFonts w:ascii="Calibri" w:hAnsi="Calibri"/>
                <w:color w:val="000000"/>
                <w:sz w:val="20"/>
              </w:rPr>
              <w:t>27</w:t>
            </w:r>
          </w:p>
        </w:tc>
        <w:tc>
          <w:tcPr>
            <w:tcW w:w="1339" w:type="dxa"/>
            <w:tcBorders>
              <w:top w:val="nil"/>
              <w:left w:val="nil"/>
              <w:bottom w:val="single" w:sz="4" w:space="0" w:color="auto"/>
              <w:right w:val="single" w:sz="4" w:space="0" w:color="auto"/>
            </w:tcBorders>
            <w:shd w:val="clear" w:color="auto" w:fill="auto"/>
          </w:tcPr>
          <w:p w14:paraId="0C2D62F2" w14:textId="6EE5EB91" w:rsidR="000223B4" w:rsidRPr="000223B4" w:rsidRDefault="00644F1D" w:rsidP="00C46D4C">
            <w:pPr>
              <w:jc w:val="center"/>
              <w:rPr>
                <w:rFonts w:ascii="Calibri" w:hAnsi="Calibri"/>
                <w:color w:val="000000"/>
                <w:sz w:val="20"/>
              </w:rPr>
            </w:pPr>
            <w:r>
              <w:rPr>
                <w:rFonts w:ascii="Calibri" w:hAnsi="Calibri"/>
                <w:color w:val="000000"/>
                <w:sz w:val="20"/>
              </w:rPr>
              <w:t>$1422</w:t>
            </w:r>
          </w:p>
        </w:tc>
      </w:tr>
      <w:tr w:rsidR="000223B4" w:rsidRPr="000223B4" w14:paraId="4C9A7D23" w14:textId="77777777" w:rsidTr="00644F1D">
        <w:trPr>
          <w:divId w:val="24184294"/>
          <w:trHeight w:val="510"/>
        </w:trPr>
        <w:tc>
          <w:tcPr>
            <w:tcW w:w="2558" w:type="dxa"/>
            <w:tcBorders>
              <w:top w:val="nil"/>
              <w:left w:val="single" w:sz="4" w:space="0" w:color="auto"/>
              <w:bottom w:val="single" w:sz="4" w:space="0" w:color="auto"/>
              <w:right w:val="single" w:sz="4" w:space="0" w:color="auto"/>
            </w:tcBorders>
            <w:shd w:val="clear" w:color="auto" w:fill="auto"/>
          </w:tcPr>
          <w:p w14:paraId="63FDB3F0" w14:textId="4E236F83" w:rsidR="000223B4" w:rsidRDefault="000223B4" w:rsidP="00335719">
            <w:pPr>
              <w:rPr>
                <w:rFonts w:ascii="Calibri" w:hAnsi="Calibri"/>
                <w:b/>
                <w:bCs/>
                <w:color w:val="000000"/>
                <w:sz w:val="20"/>
              </w:rPr>
            </w:pPr>
            <w:r>
              <w:rPr>
                <w:rFonts w:ascii="Calibri" w:hAnsi="Calibri"/>
                <w:b/>
                <w:bCs/>
                <w:color w:val="000000"/>
                <w:sz w:val="20"/>
              </w:rPr>
              <w:t xml:space="preserve">Review and Process Update to Area-Wide </w:t>
            </w:r>
            <w:r w:rsidR="00C87916">
              <w:rPr>
                <w:rFonts w:ascii="Calibri" w:hAnsi="Calibri"/>
                <w:b/>
                <w:bCs/>
                <w:color w:val="000000"/>
                <w:sz w:val="20"/>
              </w:rPr>
              <w:t>P</w:t>
            </w:r>
            <w:r>
              <w:rPr>
                <w:rFonts w:ascii="Calibri" w:hAnsi="Calibri"/>
                <w:b/>
                <w:bCs/>
                <w:color w:val="000000"/>
                <w:sz w:val="20"/>
              </w:rPr>
              <w:t>lanning From</w:t>
            </w:r>
            <w:r w:rsidR="00644F1D">
              <w:rPr>
                <w:rFonts w:ascii="Calibri" w:hAnsi="Calibri"/>
                <w:b/>
                <w:bCs/>
                <w:color w:val="000000"/>
                <w:sz w:val="20"/>
              </w:rPr>
              <w:t xml:space="preserve"> (</w:t>
            </w:r>
            <w:r w:rsidR="00244C0E">
              <w:rPr>
                <w:rFonts w:ascii="Calibri" w:hAnsi="Calibri"/>
                <w:b/>
                <w:bCs/>
                <w:color w:val="000000"/>
                <w:sz w:val="20"/>
              </w:rPr>
              <w:t>CERCLA 104(k)(6)</w:t>
            </w:r>
            <w:r w:rsidR="00644F1D">
              <w:rPr>
                <w:rFonts w:ascii="Calibri" w:hAnsi="Calibri"/>
                <w:b/>
                <w:bCs/>
                <w:color w:val="000000"/>
                <w:sz w:val="20"/>
              </w:rPr>
              <w:t>)</w:t>
            </w:r>
          </w:p>
        </w:tc>
        <w:tc>
          <w:tcPr>
            <w:tcW w:w="833" w:type="dxa"/>
            <w:tcBorders>
              <w:top w:val="nil"/>
              <w:left w:val="nil"/>
              <w:bottom w:val="single" w:sz="4" w:space="0" w:color="auto"/>
              <w:right w:val="single" w:sz="4" w:space="0" w:color="auto"/>
            </w:tcBorders>
            <w:shd w:val="clear" w:color="auto" w:fill="auto"/>
          </w:tcPr>
          <w:p w14:paraId="16ECD927" w14:textId="0EF5342A" w:rsidR="000223B4" w:rsidRPr="000223B4" w:rsidRDefault="00644F1D" w:rsidP="00335719">
            <w:pPr>
              <w:jc w:val="center"/>
              <w:rPr>
                <w:rFonts w:ascii="Calibri" w:hAnsi="Calibri"/>
                <w:color w:val="000000"/>
                <w:sz w:val="20"/>
              </w:rPr>
            </w:pPr>
            <w:r>
              <w:rPr>
                <w:rFonts w:ascii="Calibri" w:hAnsi="Calibri"/>
                <w:color w:val="000000"/>
                <w:sz w:val="20"/>
              </w:rPr>
              <w:t>.5</w:t>
            </w:r>
          </w:p>
        </w:tc>
        <w:tc>
          <w:tcPr>
            <w:tcW w:w="1022" w:type="dxa"/>
            <w:tcBorders>
              <w:top w:val="nil"/>
              <w:left w:val="nil"/>
              <w:bottom w:val="single" w:sz="4" w:space="0" w:color="auto"/>
              <w:right w:val="single" w:sz="4" w:space="0" w:color="auto"/>
            </w:tcBorders>
            <w:shd w:val="clear" w:color="auto" w:fill="auto"/>
          </w:tcPr>
          <w:p w14:paraId="17537447" w14:textId="52F82BA0" w:rsidR="000223B4" w:rsidRPr="000223B4" w:rsidRDefault="00644F1D" w:rsidP="00335719">
            <w:pPr>
              <w:jc w:val="center"/>
              <w:rPr>
                <w:rFonts w:ascii="Calibri" w:hAnsi="Calibri"/>
                <w:color w:val="000000"/>
                <w:sz w:val="20"/>
              </w:rPr>
            </w:pPr>
            <w:r>
              <w:rPr>
                <w:rFonts w:ascii="Calibri" w:hAnsi="Calibri"/>
                <w:color w:val="000000"/>
                <w:sz w:val="20"/>
              </w:rPr>
              <w:t>$52.68</w:t>
            </w:r>
          </w:p>
        </w:tc>
        <w:tc>
          <w:tcPr>
            <w:tcW w:w="1022" w:type="dxa"/>
            <w:tcBorders>
              <w:top w:val="nil"/>
              <w:left w:val="nil"/>
              <w:bottom w:val="single" w:sz="4" w:space="0" w:color="auto"/>
              <w:right w:val="single" w:sz="4" w:space="0" w:color="auto"/>
            </w:tcBorders>
            <w:shd w:val="clear" w:color="auto" w:fill="auto"/>
          </w:tcPr>
          <w:p w14:paraId="77A089BA" w14:textId="6254AA31" w:rsidR="000223B4" w:rsidRPr="000223B4" w:rsidRDefault="00644F1D" w:rsidP="00335719">
            <w:pPr>
              <w:jc w:val="center"/>
              <w:rPr>
                <w:rFonts w:ascii="Calibri" w:hAnsi="Calibri"/>
                <w:color w:val="000000"/>
                <w:sz w:val="20"/>
              </w:rPr>
            </w:pPr>
            <w:r>
              <w:rPr>
                <w:rFonts w:ascii="Calibri" w:hAnsi="Calibri"/>
                <w:color w:val="000000"/>
                <w:sz w:val="20"/>
              </w:rPr>
              <w:t>26.34</w:t>
            </w:r>
          </w:p>
        </w:tc>
        <w:tc>
          <w:tcPr>
            <w:tcW w:w="1178" w:type="dxa"/>
            <w:tcBorders>
              <w:top w:val="nil"/>
              <w:left w:val="nil"/>
              <w:bottom w:val="single" w:sz="4" w:space="0" w:color="auto"/>
              <w:right w:val="single" w:sz="4" w:space="0" w:color="auto"/>
            </w:tcBorders>
            <w:shd w:val="clear" w:color="auto" w:fill="auto"/>
          </w:tcPr>
          <w:p w14:paraId="64D09EC7" w14:textId="7EDED3AD" w:rsidR="000223B4" w:rsidRPr="000223B4" w:rsidRDefault="00644F1D" w:rsidP="00335719">
            <w:pPr>
              <w:jc w:val="center"/>
              <w:rPr>
                <w:rFonts w:ascii="Calibri" w:hAnsi="Calibri"/>
                <w:color w:val="000000"/>
                <w:sz w:val="20"/>
              </w:rPr>
            </w:pPr>
            <w:r>
              <w:rPr>
                <w:rFonts w:ascii="Calibri" w:hAnsi="Calibri"/>
                <w:color w:val="000000"/>
                <w:sz w:val="20"/>
              </w:rPr>
              <w:t>9</w:t>
            </w:r>
          </w:p>
        </w:tc>
        <w:tc>
          <w:tcPr>
            <w:tcW w:w="1368" w:type="dxa"/>
            <w:tcBorders>
              <w:top w:val="nil"/>
              <w:left w:val="nil"/>
              <w:bottom w:val="single" w:sz="4" w:space="0" w:color="auto"/>
              <w:right w:val="single" w:sz="4" w:space="0" w:color="auto"/>
            </w:tcBorders>
            <w:shd w:val="clear" w:color="auto" w:fill="auto"/>
          </w:tcPr>
          <w:p w14:paraId="32681C06" w14:textId="48AEA467" w:rsidR="000223B4" w:rsidRPr="000223B4" w:rsidRDefault="00644F1D" w:rsidP="00335719">
            <w:pPr>
              <w:jc w:val="center"/>
              <w:rPr>
                <w:rFonts w:ascii="Calibri" w:hAnsi="Calibri"/>
                <w:color w:val="000000"/>
                <w:sz w:val="20"/>
              </w:rPr>
            </w:pPr>
            <w:r>
              <w:rPr>
                <w:rFonts w:ascii="Calibri" w:hAnsi="Calibri"/>
                <w:color w:val="000000"/>
                <w:sz w:val="20"/>
              </w:rPr>
              <w:t>5</w:t>
            </w:r>
          </w:p>
        </w:tc>
        <w:tc>
          <w:tcPr>
            <w:tcW w:w="1339" w:type="dxa"/>
            <w:tcBorders>
              <w:top w:val="nil"/>
              <w:left w:val="nil"/>
              <w:bottom w:val="single" w:sz="4" w:space="0" w:color="auto"/>
              <w:right w:val="single" w:sz="4" w:space="0" w:color="auto"/>
            </w:tcBorders>
            <w:shd w:val="clear" w:color="auto" w:fill="auto"/>
          </w:tcPr>
          <w:p w14:paraId="5F07E2F3" w14:textId="058B05F3" w:rsidR="000223B4" w:rsidRPr="000223B4" w:rsidRDefault="00644F1D" w:rsidP="00C46D4C">
            <w:pPr>
              <w:jc w:val="center"/>
              <w:rPr>
                <w:rFonts w:ascii="Calibri" w:hAnsi="Calibri"/>
                <w:color w:val="000000"/>
                <w:sz w:val="20"/>
              </w:rPr>
            </w:pPr>
            <w:r>
              <w:rPr>
                <w:rFonts w:ascii="Calibri" w:hAnsi="Calibri"/>
                <w:color w:val="000000"/>
                <w:sz w:val="20"/>
              </w:rPr>
              <w:t>$263</w:t>
            </w:r>
          </w:p>
        </w:tc>
      </w:tr>
      <w:tr w:rsidR="00335719" w:rsidRPr="000223B4" w14:paraId="0C78D470" w14:textId="77777777" w:rsidTr="00644F1D">
        <w:trPr>
          <w:divId w:val="24184294"/>
          <w:trHeight w:val="510"/>
        </w:trPr>
        <w:tc>
          <w:tcPr>
            <w:tcW w:w="2558" w:type="dxa"/>
            <w:tcBorders>
              <w:top w:val="nil"/>
              <w:left w:val="single" w:sz="4" w:space="0" w:color="auto"/>
              <w:bottom w:val="single" w:sz="4" w:space="0" w:color="auto"/>
              <w:right w:val="single" w:sz="4" w:space="0" w:color="auto"/>
            </w:tcBorders>
            <w:shd w:val="clear" w:color="auto" w:fill="auto"/>
            <w:hideMark/>
          </w:tcPr>
          <w:p w14:paraId="4A8BC716" w14:textId="2F744E41" w:rsidR="00335719" w:rsidRPr="000223B4" w:rsidRDefault="00335719" w:rsidP="005F249D">
            <w:pPr>
              <w:rPr>
                <w:rFonts w:ascii="Calibri" w:hAnsi="Calibri"/>
                <w:b/>
                <w:bCs/>
                <w:color w:val="000000"/>
                <w:sz w:val="20"/>
              </w:rPr>
            </w:pPr>
            <w:r w:rsidRPr="000223B4">
              <w:rPr>
                <w:rFonts w:ascii="Calibri" w:hAnsi="Calibri"/>
                <w:b/>
                <w:bCs/>
                <w:color w:val="000000"/>
                <w:sz w:val="20"/>
              </w:rPr>
              <w:t xml:space="preserve">Initial Completion of Job Training </w:t>
            </w:r>
            <w:r w:rsidR="005F249D">
              <w:rPr>
                <w:rFonts w:ascii="Calibri" w:hAnsi="Calibri"/>
                <w:b/>
                <w:bCs/>
                <w:color w:val="000000"/>
                <w:sz w:val="20"/>
              </w:rPr>
              <w:t>Reporting F</w:t>
            </w:r>
            <w:r w:rsidRPr="000223B4">
              <w:rPr>
                <w:rFonts w:ascii="Calibri" w:hAnsi="Calibri"/>
                <w:b/>
                <w:bCs/>
                <w:color w:val="000000"/>
                <w:sz w:val="20"/>
              </w:rPr>
              <w:t>orm</w:t>
            </w:r>
          </w:p>
        </w:tc>
        <w:tc>
          <w:tcPr>
            <w:tcW w:w="833" w:type="dxa"/>
            <w:tcBorders>
              <w:top w:val="nil"/>
              <w:left w:val="nil"/>
              <w:bottom w:val="single" w:sz="4" w:space="0" w:color="auto"/>
              <w:right w:val="single" w:sz="4" w:space="0" w:color="auto"/>
            </w:tcBorders>
            <w:shd w:val="clear" w:color="auto" w:fill="auto"/>
            <w:hideMark/>
          </w:tcPr>
          <w:p w14:paraId="6F617506" w14:textId="77777777" w:rsidR="00335719" w:rsidRPr="000223B4" w:rsidRDefault="00335719" w:rsidP="00335719">
            <w:pPr>
              <w:jc w:val="center"/>
              <w:rPr>
                <w:rFonts w:ascii="Calibri" w:hAnsi="Calibri"/>
                <w:color w:val="000000"/>
                <w:sz w:val="20"/>
              </w:rPr>
            </w:pPr>
            <w:r w:rsidRPr="000223B4">
              <w:rPr>
                <w:rFonts w:ascii="Calibri" w:hAnsi="Calibri"/>
                <w:color w:val="000000"/>
                <w:sz w:val="20"/>
              </w:rPr>
              <w:t>1</w:t>
            </w:r>
          </w:p>
        </w:tc>
        <w:tc>
          <w:tcPr>
            <w:tcW w:w="1022" w:type="dxa"/>
            <w:tcBorders>
              <w:top w:val="nil"/>
              <w:left w:val="nil"/>
              <w:bottom w:val="single" w:sz="4" w:space="0" w:color="auto"/>
              <w:right w:val="single" w:sz="4" w:space="0" w:color="auto"/>
            </w:tcBorders>
            <w:shd w:val="clear" w:color="auto" w:fill="auto"/>
            <w:hideMark/>
          </w:tcPr>
          <w:p w14:paraId="08D365D0" w14:textId="77777777" w:rsidR="00335719" w:rsidRPr="000223B4" w:rsidRDefault="00335719" w:rsidP="00335719">
            <w:pPr>
              <w:jc w:val="right"/>
              <w:rPr>
                <w:rFonts w:ascii="Calibri" w:hAnsi="Calibri"/>
                <w:color w:val="000000"/>
                <w:sz w:val="20"/>
              </w:rPr>
            </w:pPr>
            <w:r w:rsidRPr="000223B4">
              <w:rPr>
                <w:rFonts w:ascii="Calibri" w:hAnsi="Calibri"/>
                <w:color w:val="000000"/>
                <w:sz w:val="20"/>
              </w:rPr>
              <w:t xml:space="preserve">$51.71 </w:t>
            </w:r>
          </w:p>
        </w:tc>
        <w:tc>
          <w:tcPr>
            <w:tcW w:w="1022" w:type="dxa"/>
            <w:tcBorders>
              <w:top w:val="nil"/>
              <w:left w:val="nil"/>
              <w:bottom w:val="single" w:sz="4" w:space="0" w:color="auto"/>
              <w:right w:val="single" w:sz="4" w:space="0" w:color="auto"/>
            </w:tcBorders>
            <w:shd w:val="clear" w:color="auto" w:fill="auto"/>
            <w:hideMark/>
          </w:tcPr>
          <w:p w14:paraId="30F58F24" w14:textId="77777777" w:rsidR="00335719" w:rsidRPr="000223B4" w:rsidRDefault="00335719" w:rsidP="00335719">
            <w:pPr>
              <w:jc w:val="right"/>
              <w:rPr>
                <w:rFonts w:ascii="Calibri" w:hAnsi="Calibri"/>
                <w:color w:val="000000"/>
                <w:sz w:val="20"/>
              </w:rPr>
            </w:pPr>
            <w:r w:rsidRPr="000223B4">
              <w:rPr>
                <w:rFonts w:ascii="Calibri" w:hAnsi="Calibri"/>
                <w:color w:val="000000"/>
                <w:sz w:val="20"/>
              </w:rPr>
              <w:t xml:space="preserve">$51.71 </w:t>
            </w:r>
          </w:p>
        </w:tc>
        <w:tc>
          <w:tcPr>
            <w:tcW w:w="1178" w:type="dxa"/>
            <w:tcBorders>
              <w:top w:val="nil"/>
              <w:left w:val="nil"/>
              <w:bottom w:val="single" w:sz="4" w:space="0" w:color="auto"/>
              <w:right w:val="single" w:sz="4" w:space="0" w:color="auto"/>
            </w:tcBorders>
            <w:shd w:val="clear" w:color="auto" w:fill="auto"/>
            <w:hideMark/>
          </w:tcPr>
          <w:p w14:paraId="578122DB" w14:textId="77777777" w:rsidR="00335719" w:rsidRPr="000223B4" w:rsidRDefault="00335719" w:rsidP="00335719">
            <w:pPr>
              <w:jc w:val="center"/>
              <w:rPr>
                <w:rFonts w:ascii="Calibri" w:hAnsi="Calibri"/>
                <w:color w:val="000000"/>
                <w:sz w:val="20"/>
              </w:rPr>
            </w:pPr>
            <w:r w:rsidRPr="000223B4">
              <w:rPr>
                <w:rFonts w:ascii="Calibri" w:hAnsi="Calibri"/>
                <w:color w:val="000000"/>
                <w:sz w:val="20"/>
              </w:rPr>
              <w:t>29</w:t>
            </w:r>
          </w:p>
        </w:tc>
        <w:tc>
          <w:tcPr>
            <w:tcW w:w="1368" w:type="dxa"/>
            <w:tcBorders>
              <w:top w:val="nil"/>
              <w:left w:val="nil"/>
              <w:bottom w:val="single" w:sz="4" w:space="0" w:color="auto"/>
              <w:right w:val="single" w:sz="4" w:space="0" w:color="auto"/>
            </w:tcBorders>
            <w:shd w:val="clear" w:color="auto" w:fill="auto"/>
            <w:hideMark/>
          </w:tcPr>
          <w:p w14:paraId="1023100A" w14:textId="77777777" w:rsidR="00335719" w:rsidRPr="000223B4" w:rsidRDefault="00335719" w:rsidP="00335719">
            <w:pPr>
              <w:jc w:val="center"/>
              <w:rPr>
                <w:rFonts w:ascii="Calibri" w:hAnsi="Calibri"/>
                <w:color w:val="000000"/>
                <w:sz w:val="20"/>
              </w:rPr>
            </w:pPr>
            <w:r w:rsidRPr="000223B4">
              <w:rPr>
                <w:rFonts w:ascii="Calibri" w:hAnsi="Calibri"/>
                <w:color w:val="000000"/>
                <w:sz w:val="20"/>
              </w:rPr>
              <w:t>29</w:t>
            </w:r>
          </w:p>
        </w:tc>
        <w:tc>
          <w:tcPr>
            <w:tcW w:w="1339" w:type="dxa"/>
            <w:tcBorders>
              <w:top w:val="nil"/>
              <w:left w:val="nil"/>
              <w:bottom w:val="single" w:sz="4" w:space="0" w:color="auto"/>
              <w:right w:val="single" w:sz="4" w:space="0" w:color="auto"/>
            </w:tcBorders>
            <w:shd w:val="clear" w:color="auto" w:fill="auto"/>
            <w:hideMark/>
          </w:tcPr>
          <w:p w14:paraId="2C2B195D" w14:textId="77777777" w:rsidR="00335719" w:rsidRPr="000223B4" w:rsidRDefault="00335719" w:rsidP="00C46D4C">
            <w:pPr>
              <w:jc w:val="center"/>
              <w:rPr>
                <w:rFonts w:ascii="Calibri" w:hAnsi="Calibri"/>
                <w:color w:val="000000"/>
                <w:sz w:val="20"/>
              </w:rPr>
            </w:pPr>
            <w:r w:rsidRPr="000223B4">
              <w:rPr>
                <w:rFonts w:ascii="Calibri" w:hAnsi="Calibri"/>
                <w:color w:val="000000"/>
                <w:sz w:val="20"/>
              </w:rPr>
              <w:t xml:space="preserve">$1,500 </w:t>
            </w:r>
          </w:p>
        </w:tc>
      </w:tr>
      <w:tr w:rsidR="00335719" w:rsidRPr="000223B4" w14:paraId="272C0F52" w14:textId="77777777" w:rsidTr="00644F1D">
        <w:trPr>
          <w:divId w:val="24184294"/>
          <w:trHeight w:val="300"/>
        </w:trPr>
        <w:tc>
          <w:tcPr>
            <w:tcW w:w="5435" w:type="dxa"/>
            <w:gridSpan w:val="4"/>
            <w:tcBorders>
              <w:top w:val="single" w:sz="4" w:space="0" w:color="auto"/>
              <w:left w:val="single" w:sz="4" w:space="0" w:color="auto"/>
              <w:bottom w:val="single" w:sz="4" w:space="0" w:color="auto"/>
              <w:right w:val="single" w:sz="4" w:space="0" w:color="auto"/>
            </w:tcBorders>
            <w:shd w:val="clear" w:color="auto" w:fill="auto"/>
            <w:hideMark/>
          </w:tcPr>
          <w:p w14:paraId="127A8363" w14:textId="77777777" w:rsidR="00335719" w:rsidRPr="000223B4" w:rsidRDefault="00335719" w:rsidP="00335719">
            <w:pPr>
              <w:rPr>
                <w:rFonts w:ascii="Calibri" w:hAnsi="Calibri"/>
                <w:b/>
                <w:bCs/>
                <w:color w:val="000000"/>
                <w:sz w:val="20"/>
              </w:rPr>
            </w:pPr>
            <w:r w:rsidRPr="000223B4">
              <w:rPr>
                <w:rFonts w:ascii="Calibri" w:hAnsi="Calibri"/>
                <w:b/>
                <w:bCs/>
                <w:color w:val="000000"/>
                <w:sz w:val="20"/>
              </w:rPr>
              <w:t>TOTAL</w:t>
            </w:r>
          </w:p>
        </w:tc>
        <w:tc>
          <w:tcPr>
            <w:tcW w:w="1178" w:type="dxa"/>
            <w:tcBorders>
              <w:top w:val="nil"/>
              <w:left w:val="nil"/>
              <w:bottom w:val="single" w:sz="4" w:space="0" w:color="auto"/>
              <w:right w:val="single" w:sz="4" w:space="0" w:color="auto"/>
            </w:tcBorders>
            <w:shd w:val="clear" w:color="auto" w:fill="auto"/>
            <w:hideMark/>
          </w:tcPr>
          <w:p w14:paraId="010F375F" w14:textId="07FC98A4" w:rsidR="00335719" w:rsidRPr="000223B4" w:rsidRDefault="00335719" w:rsidP="00335719">
            <w:pPr>
              <w:jc w:val="center"/>
              <w:rPr>
                <w:rFonts w:ascii="Calibri" w:hAnsi="Calibri"/>
                <w:color w:val="000000"/>
                <w:sz w:val="20"/>
              </w:rPr>
            </w:pPr>
            <w:r w:rsidRPr="000223B4">
              <w:rPr>
                <w:rFonts w:ascii="Calibri" w:hAnsi="Calibri"/>
                <w:color w:val="000000"/>
                <w:sz w:val="20"/>
              </w:rPr>
              <w:t>46</w:t>
            </w:r>
            <w:r w:rsidR="00644F1D">
              <w:rPr>
                <w:rFonts w:ascii="Calibri" w:hAnsi="Calibri"/>
                <w:color w:val="000000"/>
                <w:sz w:val="20"/>
              </w:rPr>
              <w:t>36</w:t>
            </w:r>
          </w:p>
        </w:tc>
        <w:tc>
          <w:tcPr>
            <w:tcW w:w="1368" w:type="dxa"/>
            <w:tcBorders>
              <w:top w:val="nil"/>
              <w:left w:val="nil"/>
              <w:bottom w:val="single" w:sz="4" w:space="0" w:color="auto"/>
              <w:right w:val="single" w:sz="4" w:space="0" w:color="auto"/>
            </w:tcBorders>
            <w:shd w:val="clear" w:color="auto" w:fill="auto"/>
            <w:hideMark/>
          </w:tcPr>
          <w:p w14:paraId="3FCBF926" w14:textId="29FF8A23" w:rsidR="00335719" w:rsidRPr="000223B4" w:rsidRDefault="00335719" w:rsidP="00335719">
            <w:pPr>
              <w:jc w:val="center"/>
              <w:rPr>
                <w:rFonts w:ascii="Calibri" w:hAnsi="Calibri"/>
                <w:color w:val="000000"/>
                <w:sz w:val="20"/>
              </w:rPr>
            </w:pPr>
            <w:r w:rsidRPr="000223B4">
              <w:rPr>
                <w:rFonts w:ascii="Calibri" w:hAnsi="Calibri"/>
                <w:color w:val="000000"/>
                <w:sz w:val="20"/>
              </w:rPr>
              <w:t>51</w:t>
            </w:r>
            <w:r w:rsidR="00644F1D">
              <w:rPr>
                <w:rFonts w:ascii="Calibri" w:hAnsi="Calibri"/>
                <w:color w:val="000000"/>
                <w:sz w:val="20"/>
              </w:rPr>
              <w:t>94</w:t>
            </w:r>
          </w:p>
        </w:tc>
        <w:tc>
          <w:tcPr>
            <w:tcW w:w="1339" w:type="dxa"/>
            <w:tcBorders>
              <w:top w:val="nil"/>
              <w:left w:val="nil"/>
              <w:bottom w:val="single" w:sz="4" w:space="0" w:color="auto"/>
              <w:right w:val="single" w:sz="4" w:space="0" w:color="auto"/>
            </w:tcBorders>
            <w:shd w:val="clear" w:color="auto" w:fill="auto"/>
            <w:hideMark/>
          </w:tcPr>
          <w:p w14:paraId="0F220525" w14:textId="615E2409" w:rsidR="00335719" w:rsidRPr="000223B4" w:rsidRDefault="00C87916" w:rsidP="00644F1D">
            <w:pPr>
              <w:jc w:val="center"/>
              <w:rPr>
                <w:rFonts w:ascii="Calibri" w:hAnsi="Calibri"/>
                <w:color w:val="000000"/>
                <w:sz w:val="20"/>
              </w:rPr>
            </w:pPr>
            <w:r>
              <w:rPr>
                <w:rFonts w:ascii="Calibri" w:hAnsi="Calibri"/>
                <w:color w:val="000000"/>
                <w:sz w:val="20"/>
              </w:rPr>
              <w:t>$273,579</w:t>
            </w:r>
          </w:p>
        </w:tc>
      </w:tr>
      <w:tr w:rsidR="00335719" w:rsidRPr="000223B4" w14:paraId="0EC7A192" w14:textId="77777777" w:rsidTr="00644F1D">
        <w:trPr>
          <w:divId w:val="24184294"/>
          <w:trHeight w:val="300"/>
        </w:trPr>
        <w:tc>
          <w:tcPr>
            <w:tcW w:w="6613" w:type="dxa"/>
            <w:gridSpan w:val="5"/>
            <w:tcBorders>
              <w:top w:val="single" w:sz="4" w:space="0" w:color="auto"/>
              <w:left w:val="single" w:sz="4" w:space="0" w:color="auto"/>
              <w:bottom w:val="single" w:sz="4" w:space="0" w:color="auto"/>
              <w:right w:val="single" w:sz="4" w:space="0" w:color="auto"/>
            </w:tcBorders>
            <w:shd w:val="clear" w:color="auto" w:fill="auto"/>
            <w:hideMark/>
          </w:tcPr>
          <w:p w14:paraId="60547D13" w14:textId="77777777" w:rsidR="00335719" w:rsidRPr="000223B4" w:rsidRDefault="00335719" w:rsidP="00335719">
            <w:pPr>
              <w:rPr>
                <w:rFonts w:ascii="Calibri" w:hAnsi="Calibri"/>
                <w:b/>
                <w:bCs/>
                <w:color w:val="000000"/>
                <w:sz w:val="20"/>
              </w:rPr>
            </w:pPr>
            <w:r w:rsidRPr="000223B4">
              <w:rPr>
                <w:rFonts w:ascii="Calibri" w:hAnsi="Calibri"/>
                <w:b/>
                <w:bCs/>
                <w:color w:val="000000"/>
                <w:sz w:val="20"/>
              </w:rPr>
              <w:t>AVERAGE TOTAL COST PER BURDEN HOUR</w:t>
            </w:r>
          </w:p>
        </w:tc>
        <w:tc>
          <w:tcPr>
            <w:tcW w:w="2707" w:type="dxa"/>
            <w:gridSpan w:val="2"/>
            <w:tcBorders>
              <w:top w:val="single" w:sz="4" w:space="0" w:color="auto"/>
              <w:left w:val="nil"/>
              <w:bottom w:val="single" w:sz="4" w:space="0" w:color="auto"/>
              <w:right w:val="single" w:sz="4" w:space="0" w:color="000000"/>
            </w:tcBorders>
            <w:shd w:val="clear" w:color="auto" w:fill="auto"/>
            <w:hideMark/>
          </w:tcPr>
          <w:p w14:paraId="244F3C43" w14:textId="5F4BD52A" w:rsidR="00335719" w:rsidRPr="000223B4" w:rsidRDefault="00335719" w:rsidP="00335719">
            <w:pPr>
              <w:jc w:val="center"/>
              <w:rPr>
                <w:rFonts w:ascii="Calibri" w:hAnsi="Calibri"/>
                <w:color w:val="000000"/>
                <w:sz w:val="20"/>
              </w:rPr>
            </w:pPr>
            <w:r w:rsidRPr="000223B4">
              <w:rPr>
                <w:rFonts w:ascii="Calibri" w:hAnsi="Calibri"/>
                <w:color w:val="000000"/>
                <w:sz w:val="20"/>
              </w:rPr>
              <w:t>$52.6</w:t>
            </w:r>
            <w:r w:rsidR="00C87916">
              <w:rPr>
                <w:rFonts w:ascii="Calibri" w:hAnsi="Calibri"/>
                <w:color w:val="000000"/>
                <w:sz w:val="20"/>
              </w:rPr>
              <w:t>7</w:t>
            </w:r>
          </w:p>
        </w:tc>
      </w:tr>
    </w:tbl>
    <w:p w14:paraId="0DAF1B59" w14:textId="71E37591" w:rsidR="000A3647" w:rsidRDefault="00762E76" w:rsidP="00644F1D">
      <w:pPr>
        <w:jc w:val="center"/>
        <w:rPr>
          <w:color w:val="000000"/>
        </w:rPr>
      </w:pPr>
      <w:r>
        <w:rPr>
          <w:b/>
          <w:color w:val="000000"/>
        </w:rPr>
        <w:fldChar w:fldCharType="end"/>
      </w:r>
    </w:p>
    <w:p w14:paraId="11B8D763" w14:textId="77777777" w:rsidR="00FA5D50" w:rsidRDefault="00FA5D50" w:rsidP="00FA5D50">
      <w:pPr>
        <w:rPr>
          <w:color w:val="000000"/>
          <w:sz w:val="20"/>
        </w:rPr>
      </w:pPr>
      <w:r>
        <w:rPr>
          <w:color w:val="000000"/>
          <w:sz w:val="20"/>
        </w:rPr>
        <w:t>*</w:t>
      </w:r>
      <w:r w:rsidRPr="00B713F3">
        <w:t xml:space="preserve"> </w:t>
      </w:r>
      <w:r w:rsidRPr="00B713F3">
        <w:rPr>
          <w:color w:val="000000"/>
          <w:sz w:val="20"/>
        </w:rPr>
        <w:t>Unit Labor Cost in Dollars reflects a “loaded” rate for benefits and overhead.</w:t>
      </w:r>
    </w:p>
    <w:p w14:paraId="7B2BB153" w14:textId="77777777" w:rsidR="00FA5D50" w:rsidRDefault="00FA5D50" w:rsidP="00FA5D50">
      <w:pPr>
        <w:rPr>
          <w:color w:val="000000"/>
          <w:sz w:val="20"/>
        </w:rPr>
      </w:pPr>
      <w:r>
        <w:rPr>
          <w:color w:val="000000"/>
          <w:sz w:val="20"/>
        </w:rPr>
        <w:t xml:space="preserve">** Figures may not sum due to rounding. </w:t>
      </w:r>
    </w:p>
    <w:p w14:paraId="563EBE7A" w14:textId="77777777" w:rsidR="00A2708C" w:rsidRDefault="00A2708C">
      <w:pPr>
        <w:rPr>
          <w:color w:val="000000"/>
          <w:sz w:val="20"/>
        </w:rPr>
      </w:pPr>
    </w:p>
    <w:p w14:paraId="401E3BF1" w14:textId="77777777" w:rsidR="00A2708C" w:rsidRDefault="00A2708C">
      <w:pPr>
        <w:rPr>
          <w:color w:val="000000"/>
          <w:sz w:val="20"/>
        </w:rPr>
      </w:pPr>
    </w:p>
    <w:p w14:paraId="62EE5C6C" w14:textId="77777777" w:rsidR="00A2708C" w:rsidRDefault="00A2708C">
      <w:pPr>
        <w:rPr>
          <w:color w:val="000000"/>
        </w:rPr>
      </w:pPr>
      <w:r>
        <w:rPr>
          <w:color w:val="000000"/>
        </w:rPr>
        <w:tab/>
        <w:t xml:space="preserve">The burden imposed upon EPA was initially estimated by:  (1) interviewing EPA Regional and Headquarters staff to gather individual estimates of the time required to perform each activity and the GS level of the staff performing those tasks; (2) averaging the time data to estimate the number of hours required for each burden element; (3) averaging the data on the percentage of time performed by particular staff GS levels; (4) developing a weighted hourly rate based upon percentage of staff labor at different GS levels devoted to each task; and (5) determining the product of the weighted hourly rate and the number of hours required per activity.  </w:t>
      </w:r>
    </w:p>
    <w:p w14:paraId="6D5C8D33" w14:textId="77777777" w:rsidR="00A2708C" w:rsidRDefault="00A2708C">
      <w:pPr>
        <w:rPr>
          <w:color w:val="000000"/>
        </w:rPr>
      </w:pPr>
      <w:r>
        <w:rPr>
          <w:color w:val="000000"/>
        </w:rPr>
        <w:tab/>
      </w:r>
    </w:p>
    <w:p w14:paraId="6299B095" w14:textId="47CD5066" w:rsidR="00A2708C" w:rsidRDefault="00A2708C">
      <w:pPr>
        <w:rPr>
          <w:color w:val="000000"/>
        </w:rPr>
      </w:pPr>
      <w:r>
        <w:rPr>
          <w:color w:val="000000"/>
        </w:rPr>
        <w:tab/>
      </w:r>
      <w:r>
        <w:rPr>
          <w:color w:val="000000"/>
        </w:rPr>
        <w:tab/>
      </w:r>
    </w:p>
    <w:p w14:paraId="3D183E43" w14:textId="77777777" w:rsidR="00A2708C" w:rsidRDefault="00A2708C">
      <w:pPr>
        <w:rPr>
          <w:color w:val="000000"/>
        </w:rPr>
      </w:pPr>
      <w:r>
        <w:rPr>
          <w:color w:val="000000"/>
        </w:rPr>
        <w:tab/>
        <w:t>The weighted hourly rate utilized in the Federal burden estimate is based upon the following composite:</w:t>
      </w:r>
    </w:p>
    <w:p w14:paraId="66196D06" w14:textId="77777777" w:rsidR="00A2708C" w:rsidRDefault="00A2708C">
      <w:pP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3120"/>
        <w:gridCol w:w="3120"/>
        <w:gridCol w:w="3120"/>
      </w:tblGrid>
      <w:tr w:rsidR="004C64E0" w14:paraId="5D6F5825" w14:textId="77777777">
        <w:trPr>
          <w:cantSplit/>
          <w:jc w:val="center"/>
        </w:trPr>
        <w:tc>
          <w:tcPr>
            <w:tcW w:w="3120" w:type="dxa"/>
            <w:tcBorders>
              <w:top w:val="single" w:sz="5" w:space="0" w:color="000000"/>
              <w:left w:val="single" w:sz="5" w:space="0" w:color="000000"/>
              <w:bottom w:val="single" w:sz="5" w:space="0" w:color="000000"/>
              <w:right w:val="single" w:sz="5" w:space="0" w:color="000000"/>
            </w:tcBorders>
          </w:tcPr>
          <w:p w14:paraId="78787377" w14:textId="77777777" w:rsidR="00A2708C" w:rsidRDefault="00A2708C">
            <w:pPr>
              <w:spacing w:before="120" w:after="72"/>
              <w:jc w:val="center"/>
              <w:rPr>
                <w:color w:val="000000"/>
              </w:rPr>
            </w:pPr>
            <w:r>
              <w:rPr>
                <w:b/>
                <w:color w:val="000000"/>
              </w:rPr>
              <w:t>GS Level</w:t>
            </w:r>
          </w:p>
        </w:tc>
        <w:tc>
          <w:tcPr>
            <w:tcW w:w="3120" w:type="dxa"/>
            <w:tcBorders>
              <w:top w:val="single" w:sz="5" w:space="0" w:color="000000"/>
              <w:left w:val="single" w:sz="5" w:space="0" w:color="000000"/>
              <w:bottom w:val="single" w:sz="5" w:space="0" w:color="000000"/>
              <w:right w:val="single" w:sz="5" w:space="0" w:color="000000"/>
            </w:tcBorders>
          </w:tcPr>
          <w:p w14:paraId="3FF298D6" w14:textId="77777777" w:rsidR="00A2708C" w:rsidRDefault="00A2708C">
            <w:pPr>
              <w:spacing w:before="120" w:after="72"/>
              <w:jc w:val="center"/>
              <w:rPr>
                <w:color w:val="000000"/>
              </w:rPr>
            </w:pPr>
            <w:r>
              <w:rPr>
                <w:b/>
                <w:color w:val="000000"/>
              </w:rPr>
              <w:t>Percent</w:t>
            </w:r>
          </w:p>
        </w:tc>
        <w:tc>
          <w:tcPr>
            <w:tcW w:w="3120" w:type="dxa"/>
            <w:tcBorders>
              <w:top w:val="single" w:sz="5" w:space="0" w:color="000000"/>
              <w:left w:val="single" w:sz="5" w:space="0" w:color="000000"/>
              <w:bottom w:val="single" w:sz="5" w:space="0" w:color="000000"/>
              <w:right w:val="single" w:sz="5" w:space="0" w:color="000000"/>
            </w:tcBorders>
          </w:tcPr>
          <w:p w14:paraId="58DE2647" w14:textId="77777777" w:rsidR="00A2708C" w:rsidRDefault="00A2708C">
            <w:pPr>
              <w:spacing w:before="120" w:after="72"/>
              <w:jc w:val="center"/>
              <w:rPr>
                <w:color w:val="000000"/>
              </w:rPr>
            </w:pPr>
            <w:r>
              <w:rPr>
                <w:b/>
                <w:color w:val="000000"/>
              </w:rPr>
              <w:t>Hourly Wage Rate*</w:t>
            </w:r>
          </w:p>
        </w:tc>
      </w:tr>
      <w:tr w:rsidR="004C64E0" w14:paraId="77CBBA93" w14:textId="77777777">
        <w:trPr>
          <w:cantSplit/>
          <w:jc w:val="center"/>
        </w:trPr>
        <w:tc>
          <w:tcPr>
            <w:tcW w:w="3120" w:type="dxa"/>
            <w:tcBorders>
              <w:top w:val="single" w:sz="5" w:space="0" w:color="000000"/>
              <w:left w:val="single" w:sz="5" w:space="0" w:color="000000"/>
              <w:bottom w:val="single" w:sz="5" w:space="0" w:color="000000"/>
              <w:right w:val="single" w:sz="5" w:space="0" w:color="000000"/>
            </w:tcBorders>
          </w:tcPr>
          <w:p w14:paraId="139561EE" w14:textId="77777777" w:rsidR="00A2708C" w:rsidRDefault="00A2708C">
            <w:pPr>
              <w:spacing w:before="120" w:after="72"/>
              <w:jc w:val="center"/>
              <w:rPr>
                <w:color w:val="000000"/>
              </w:rPr>
            </w:pPr>
            <w:r>
              <w:rPr>
                <w:color w:val="000000"/>
              </w:rPr>
              <w:t>GS 4, Step 1</w:t>
            </w:r>
          </w:p>
        </w:tc>
        <w:tc>
          <w:tcPr>
            <w:tcW w:w="3120" w:type="dxa"/>
            <w:tcBorders>
              <w:top w:val="single" w:sz="5" w:space="0" w:color="000000"/>
              <w:left w:val="single" w:sz="5" w:space="0" w:color="000000"/>
              <w:bottom w:val="single" w:sz="5" w:space="0" w:color="000000"/>
              <w:right w:val="single" w:sz="5" w:space="0" w:color="000000"/>
            </w:tcBorders>
          </w:tcPr>
          <w:p w14:paraId="64DA9CCF" w14:textId="77777777" w:rsidR="00A2708C" w:rsidRDefault="00A2708C">
            <w:pPr>
              <w:spacing w:before="120" w:after="72"/>
              <w:jc w:val="center"/>
              <w:rPr>
                <w:color w:val="000000"/>
              </w:rPr>
            </w:pPr>
            <w:r>
              <w:rPr>
                <w:color w:val="000000"/>
              </w:rPr>
              <w:t>10%</w:t>
            </w:r>
          </w:p>
        </w:tc>
        <w:tc>
          <w:tcPr>
            <w:tcW w:w="3120" w:type="dxa"/>
            <w:tcBorders>
              <w:top w:val="single" w:sz="5" w:space="0" w:color="000000"/>
              <w:left w:val="single" w:sz="5" w:space="0" w:color="000000"/>
              <w:bottom w:val="single" w:sz="5" w:space="0" w:color="000000"/>
              <w:right w:val="single" w:sz="5" w:space="0" w:color="000000"/>
            </w:tcBorders>
          </w:tcPr>
          <w:p w14:paraId="31BE97A1" w14:textId="4154BAEA" w:rsidR="00A2708C" w:rsidRDefault="00A2708C" w:rsidP="00762E76">
            <w:pPr>
              <w:spacing w:before="120" w:after="72"/>
              <w:jc w:val="center"/>
              <w:rPr>
                <w:color w:val="000000"/>
              </w:rPr>
            </w:pPr>
            <w:r>
              <w:rPr>
                <w:color w:val="000000"/>
              </w:rPr>
              <w:t>$</w:t>
            </w:r>
            <w:r w:rsidR="00762E76">
              <w:rPr>
                <w:color w:val="000000"/>
              </w:rPr>
              <w:t>12.10</w:t>
            </w:r>
          </w:p>
        </w:tc>
      </w:tr>
      <w:tr w:rsidR="004C64E0" w14:paraId="550C576F" w14:textId="77777777">
        <w:trPr>
          <w:cantSplit/>
          <w:jc w:val="center"/>
        </w:trPr>
        <w:tc>
          <w:tcPr>
            <w:tcW w:w="3120" w:type="dxa"/>
            <w:tcBorders>
              <w:top w:val="single" w:sz="5" w:space="0" w:color="000000"/>
              <w:left w:val="single" w:sz="5" w:space="0" w:color="000000"/>
              <w:bottom w:val="single" w:sz="5" w:space="0" w:color="000000"/>
              <w:right w:val="single" w:sz="5" w:space="0" w:color="000000"/>
            </w:tcBorders>
          </w:tcPr>
          <w:p w14:paraId="5DC1975B" w14:textId="77777777" w:rsidR="00A2708C" w:rsidRDefault="00A2708C">
            <w:pPr>
              <w:spacing w:before="120" w:after="72"/>
              <w:jc w:val="center"/>
              <w:rPr>
                <w:color w:val="000000"/>
              </w:rPr>
            </w:pPr>
            <w:r>
              <w:rPr>
                <w:color w:val="000000"/>
              </w:rPr>
              <w:lastRenderedPageBreak/>
              <w:t>GS 11, Step 1</w:t>
            </w:r>
          </w:p>
        </w:tc>
        <w:tc>
          <w:tcPr>
            <w:tcW w:w="3120" w:type="dxa"/>
            <w:tcBorders>
              <w:top w:val="single" w:sz="5" w:space="0" w:color="000000"/>
              <w:left w:val="single" w:sz="5" w:space="0" w:color="000000"/>
              <w:bottom w:val="single" w:sz="5" w:space="0" w:color="000000"/>
              <w:right w:val="single" w:sz="5" w:space="0" w:color="000000"/>
            </w:tcBorders>
          </w:tcPr>
          <w:p w14:paraId="66D864EF" w14:textId="77777777" w:rsidR="00A2708C" w:rsidRDefault="00A2708C">
            <w:pPr>
              <w:spacing w:before="120" w:after="72"/>
              <w:jc w:val="center"/>
              <w:rPr>
                <w:color w:val="000000"/>
              </w:rPr>
            </w:pPr>
            <w:r>
              <w:rPr>
                <w:color w:val="000000"/>
              </w:rPr>
              <w:t>10%</w:t>
            </w:r>
          </w:p>
        </w:tc>
        <w:tc>
          <w:tcPr>
            <w:tcW w:w="3120" w:type="dxa"/>
            <w:tcBorders>
              <w:top w:val="single" w:sz="5" w:space="0" w:color="000000"/>
              <w:left w:val="single" w:sz="5" w:space="0" w:color="000000"/>
              <w:bottom w:val="single" w:sz="5" w:space="0" w:color="000000"/>
              <w:right w:val="single" w:sz="5" w:space="0" w:color="000000"/>
            </w:tcBorders>
          </w:tcPr>
          <w:p w14:paraId="16A50DBA" w14:textId="6A937248" w:rsidR="00A2708C" w:rsidRDefault="00A2708C">
            <w:pPr>
              <w:spacing w:before="120" w:after="72"/>
              <w:jc w:val="center"/>
              <w:rPr>
                <w:color w:val="000000"/>
              </w:rPr>
            </w:pPr>
            <w:r>
              <w:rPr>
                <w:color w:val="000000"/>
              </w:rPr>
              <w:t>$2</w:t>
            </w:r>
            <w:r w:rsidR="007A1A06">
              <w:rPr>
                <w:color w:val="000000"/>
              </w:rPr>
              <w:t>4.</w:t>
            </w:r>
            <w:r w:rsidR="00762E76">
              <w:rPr>
                <w:color w:val="000000"/>
              </w:rPr>
              <w:t>83</w:t>
            </w:r>
          </w:p>
        </w:tc>
      </w:tr>
      <w:tr w:rsidR="004C64E0" w14:paraId="18F71896" w14:textId="77777777">
        <w:trPr>
          <w:cantSplit/>
          <w:jc w:val="center"/>
        </w:trPr>
        <w:tc>
          <w:tcPr>
            <w:tcW w:w="3120" w:type="dxa"/>
            <w:tcBorders>
              <w:top w:val="single" w:sz="5" w:space="0" w:color="000000"/>
              <w:left w:val="single" w:sz="5" w:space="0" w:color="000000"/>
              <w:bottom w:val="single" w:sz="5" w:space="0" w:color="000000"/>
              <w:right w:val="single" w:sz="5" w:space="0" w:color="000000"/>
            </w:tcBorders>
          </w:tcPr>
          <w:p w14:paraId="5583265F" w14:textId="77777777" w:rsidR="00A2708C" w:rsidRDefault="00A2708C">
            <w:pPr>
              <w:spacing w:before="120" w:after="72"/>
              <w:jc w:val="center"/>
              <w:rPr>
                <w:color w:val="000000"/>
              </w:rPr>
            </w:pPr>
            <w:r>
              <w:rPr>
                <w:color w:val="000000"/>
              </w:rPr>
              <w:t>GS 13, Step 1</w:t>
            </w:r>
          </w:p>
        </w:tc>
        <w:tc>
          <w:tcPr>
            <w:tcW w:w="3120" w:type="dxa"/>
            <w:tcBorders>
              <w:top w:val="single" w:sz="5" w:space="0" w:color="000000"/>
              <w:left w:val="single" w:sz="5" w:space="0" w:color="000000"/>
              <w:bottom w:val="single" w:sz="5" w:space="0" w:color="000000"/>
              <w:right w:val="single" w:sz="5" w:space="0" w:color="000000"/>
            </w:tcBorders>
          </w:tcPr>
          <w:p w14:paraId="2363FDAE" w14:textId="77777777" w:rsidR="00A2708C" w:rsidRDefault="00A2708C">
            <w:pPr>
              <w:spacing w:before="120" w:after="72"/>
              <w:jc w:val="center"/>
              <w:rPr>
                <w:color w:val="000000"/>
              </w:rPr>
            </w:pPr>
            <w:r>
              <w:rPr>
                <w:color w:val="000000"/>
              </w:rPr>
              <w:t>75%</w:t>
            </w:r>
          </w:p>
        </w:tc>
        <w:tc>
          <w:tcPr>
            <w:tcW w:w="3120" w:type="dxa"/>
            <w:tcBorders>
              <w:top w:val="single" w:sz="5" w:space="0" w:color="000000"/>
              <w:left w:val="single" w:sz="5" w:space="0" w:color="000000"/>
              <w:bottom w:val="single" w:sz="5" w:space="0" w:color="000000"/>
              <w:right w:val="single" w:sz="5" w:space="0" w:color="000000"/>
            </w:tcBorders>
          </w:tcPr>
          <w:p w14:paraId="4E07B6A8" w14:textId="359414BD" w:rsidR="00A2708C" w:rsidRDefault="00A2708C">
            <w:pPr>
              <w:spacing w:before="120" w:after="72"/>
              <w:jc w:val="center"/>
              <w:rPr>
                <w:color w:val="000000"/>
              </w:rPr>
            </w:pPr>
            <w:r>
              <w:rPr>
                <w:color w:val="000000"/>
              </w:rPr>
              <w:t>$3</w:t>
            </w:r>
            <w:r w:rsidR="00762E76">
              <w:rPr>
                <w:color w:val="000000"/>
              </w:rPr>
              <w:t>5.38</w:t>
            </w:r>
          </w:p>
        </w:tc>
      </w:tr>
      <w:tr w:rsidR="004C64E0" w14:paraId="2645293E" w14:textId="77777777">
        <w:trPr>
          <w:cantSplit/>
          <w:jc w:val="center"/>
        </w:trPr>
        <w:tc>
          <w:tcPr>
            <w:tcW w:w="3120" w:type="dxa"/>
            <w:tcBorders>
              <w:top w:val="single" w:sz="5" w:space="0" w:color="000000"/>
              <w:left w:val="single" w:sz="5" w:space="0" w:color="000000"/>
              <w:bottom w:val="single" w:sz="5" w:space="0" w:color="000000"/>
              <w:right w:val="single" w:sz="5" w:space="0" w:color="000000"/>
            </w:tcBorders>
          </w:tcPr>
          <w:p w14:paraId="5A76E5E4" w14:textId="77777777" w:rsidR="00A2708C" w:rsidRDefault="00A2708C">
            <w:pPr>
              <w:spacing w:before="120" w:after="72"/>
              <w:jc w:val="center"/>
              <w:rPr>
                <w:color w:val="000000"/>
              </w:rPr>
            </w:pPr>
            <w:r>
              <w:rPr>
                <w:color w:val="000000"/>
              </w:rPr>
              <w:t>GS 14, Step 1</w:t>
            </w:r>
          </w:p>
        </w:tc>
        <w:tc>
          <w:tcPr>
            <w:tcW w:w="3120" w:type="dxa"/>
            <w:tcBorders>
              <w:top w:val="single" w:sz="5" w:space="0" w:color="000000"/>
              <w:left w:val="single" w:sz="5" w:space="0" w:color="000000"/>
              <w:bottom w:val="single" w:sz="5" w:space="0" w:color="000000"/>
              <w:right w:val="single" w:sz="5" w:space="0" w:color="000000"/>
            </w:tcBorders>
          </w:tcPr>
          <w:p w14:paraId="1E5E4CE6" w14:textId="77777777" w:rsidR="00A2708C" w:rsidRDefault="00A2708C">
            <w:pPr>
              <w:spacing w:before="120" w:after="72"/>
              <w:jc w:val="center"/>
              <w:rPr>
                <w:color w:val="000000"/>
              </w:rPr>
            </w:pPr>
            <w:r>
              <w:rPr>
                <w:color w:val="000000"/>
              </w:rPr>
              <w:t>5%</w:t>
            </w:r>
          </w:p>
        </w:tc>
        <w:tc>
          <w:tcPr>
            <w:tcW w:w="3120" w:type="dxa"/>
            <w:tcBorders>
              <w:top w:val="single" w:sz="5" w:space="0" w:color="000000"/>
              <w:left w:val="single" w:sz="5" w:space="0" w:color="000000"/>
              <w:bottom w:val="single" w:sz="5" w:space="0" w:color="000000"/>
              <w:right w:val="single" w:sz="5" w:space="0" w:color="000000"/>
            </w:tcBorders>
          </w:tcPr>
          <w:p w14:paraId="22B8CAB4" w14:textId="0CEC75AC" w:rsidR="00A2708C" w:rsidRDefault="00A2708C">
            <w:pPr>
              <w:spacing w:before="120" w:after="72"/>
              <w:jc w:val="center"/>
              <w:rPr>
                <w:color w:val="000000"/>
              </w:rPr>
            </w:pPr>
            <w:r>
              <w:rPr>
                <w:color w:val="000000"/>
              </w:rPr>
              <w:t>$</w:t>
            </w:r>
            <w:r w:rsidR="007A1A06">
              <w:rPr>
                <w:color w:val="000000"/>
              </w:rPr>
              <w:t>4</w:t>
            </w:r>
            <w:r w:rsidR="00762E76">
              <w:rPr>
                <w:color w:val="000000"/>
              </w:rPr>
              <w:t>1.81</w:t>
            </w:r>
          </w:p>
        </w:tc>
      </w:tr>
      <w:tr w:rsidR="004C64E0" w14:paraId="3B0C3D4F" w14:textId="77777777">
        <w:trPr>
          <w:cantSplit/>
          <w:jc w:val="center"/>
        </w:trPr>
        <w:tc>
          <w:tcPr>
            <w:tcW w:w="6240" w:type="dxa"/>
            <w:gridSpan w:val="2"/>
            <w:tcBorders>
              <w:top w:val="single" w:sz="5" w:space="0" w:color="000000"/>
              <w:left w:val="single" w:sz="5" w:space="0" w:color="000000"/>
              <w:bottom w:val="single" w:sz="5" w:space="0" w:color="000000"/>
              <w:right w:val="single" w:sz="5" w:space="0" w:color="000000"/>
            </w:tcBorders>
          </w:tcPr>
          <w:p w14:paraId="464BFECC" w14:textId="77777777" w:rsidR="00A2708C" w:rsidRDefault="00A2708C">
            <w:pPr>
              <w:spacing w:before="120" w:after="72"/>
              <w:jc w:val="center"/>
              <w:rPr>
                <w:color w:val="000000"/>
              </w:rPr>
            </w:pPr>
            <w:r>
              <w:rPr>
                <w:b/>
                <w:color w:val="000000"/>
              </w:rPr>
              <w:t xml:space="preserve">Weighted Rate  </w:t>
            </w:r>
          </w:p>
        </w:tc>
        <w:tc>
          <w:tcPr>
            <w:tcW w:w="3120" w:type="dxa"/>
            <w:tcBorders>
              <w:top w:val="single" w:sz="5" w:space="0" w:color="000000"/>
              <w:left w:val="single" w:sz="5" w:space="0" w:color="000000"/>
              <w:bottom w:val="single" w:sz="5" w:space="0" w:color="000000"/>
              <w:right w:val="single" w:sz="5" w:space="0" w:color="000000"/>
            </w:tcBorders>
          </w:tcPr>
          <w:p w14:paraId="6C7AB8B1" w14:textId="3301EBD5" w:rsidR="00A2708C" w:rsidRDefault="009918DD">
            <w:pPr>
              <w:spacing w:before="120" w:after="72"/>
              <w:jc w:val="center"/>
              <w:rPr>
                <w:color w:val="000000"/>
              </w:rPr>
            </w:pPr>
            <w:r>
              <w:rPr>
                <w:b/>
                <w:color w:val="000000"/>
              </w:rPr>
              <w:t>$3</w:t>
            </w:r>
            <w:r w:rsidR="00762E76">
              <w:rPr>
                <w:b/>
                <w:color w:val="000000"/>
              </w:rPr>
              <w:t>2.93</w:t>
            </w:r>
          </w:p>
        </w:tc>
      </w:tr>
    </w:tbl>
    <w:p w14:paraId="5F98E5D3" w14:textId="67F9B3A8" w:rsidR="00A2708C" w:rsidRDefault="00A2708C">
      <w:pPr>
        <w:rPr>
          <w:color w:val="000000"/>
          <w:sz w:val="20"/>
        </w:rPr>
      </w:pPr>
      <w:r>
        <w:rPr>
          <w:color w:val="000000"/>
          <w:sz w:val="20"/>
        </w:rPr>
        <w:t>*Rates for 20</w:t>
      </w:r>
      <w:r w:rsidR="007A1A06">
        <w:rPr>
          <w:color w:val="000000"/>
          <w:sz w:val="20"/>
        </w:rPr>
        <w:t>1</w:t>
      </w:r>
      <w:r w:rsidR="00762E76">
        <w:rPr>
          <w:color w:val="000000"/>
          <w:sz w:val="20"/>
        </w:rPr>
        <w:t>6</w:t>
      </w:r>
      <w:r>
        <w:rPr>
          <w:color w:val="000000"/>
          <w:sz w:val="20"/>
        </w:rPr>
        <w:t xml:space="preserve"> General Schedule (</w:t>
      </w:r>
      <w:hyperlink r:id="rId12" w:history="1">
        <w:r w:rsidR="00762E76" w:rsidRPr="00525608">
          <w:rPr>
            <w:rStyle w:val="Hyperlink"/>
            <w:sz w:val="20"/>
          </w:rPr>
          <w:t>https://www.opm.gov/policy-data-oversight/pay-leave/salaries-wages/salary-tables/16Tables/html/GS_h.aspx</w:t>
        </w:r>
      </w:hyperlink>
      <w:r w:rsidR="00762E76">
        <w:rPr>
          <w:color w:val="000000"/>
          <w:sz w:val="20"/>
        </w:rPr>
        <w:t xml:space="preserve"> </w:t>
      </w:r>
      <w:r>
        <w:rPr>
          <w:color w:val="000000"/>
          <w:sz w:val="20"/>
        </w:rPr>
        <w:t>)</w:t>
      </w:r>
    </w:p>
    <w:p w14:paraId="07B5BF99" w14:textId="77777777" w:rsidR="00A2708C" w:rsidRDefault="00A2708C">
      <w:pPr>
        <w:rPr>
          <w:color w:val="000000"/>
        </w:rPr>
      </w:pPr>
    </w:p>
    <w:p w14:paraId="6284124B" w14:textId="1DAC2BC2" w:rsidR="00A2708C" w:rsidRPr="00461FE7" w:rsidRDefault="00A2708C">
      <w:r>
        <w:rPr>
          <w:color w:val="000000"/>
        </w:rPr>
        <w:tab/>
      </w:r>
      <w:r w:rsidRPr="00461FE7">
        <w:t xml:space="preserve">6(d).  Estimated Respondent Universe and Total Burden and Costs – The estimated annual average number of respondents per year for this information collection is </w:t>
      </w:r>
      <w:r w:rsidR="006124EC">
        <w:t>2,890</w:t>
      </w:r>
      <w:r w:rsidRPr="00461FE7">
        <w:t xml:space="preserve"> respondents, with the average total number of responses per year estimated at </w:t>
      </w:r>
      <w:r w:rsidR="005661BA">
        <w:t>4,636.</w:t>
      </w:r>
      <w:r w:rsidRPr="00461FE7">
        <w:t xml:space="preserve">  As presented in Exhibit 2, the total average annual burden to respondents is </w:t>
      </w:r>
      <w:r w:rsidR="007136FB">
        <w:t>3,</w:t>
      </w:r>
      <w:r w:rsidR="00F22548">
        <w:t>877</w:t>
      </w:r>
      <w:r w:rsidRPr="00461FE7">
        <w:t xml:space="preserve"> hours per </w:t>
      </w:r>
      <w:r w:rsidR="00585AFE" w:rsidRPr="00461FE7">
        <w:t xml:space="preserve">year at a cost of </w:t>
      </w:r>
      <w:r w:rsidR="004F2E2E">
        <w:t>$</w:t>
      </w:r>
      <w:r w:rsidR="00F22548">
        <w:t>414,197</w:t>
      </w:r>
      <w:r w:rsidR="009918DD" w:rsidRPr="00461FE7">
        <w:t>.</w:t>
      </w:r>
    </w:p>
    <w:p w14:paraId="7FBEAC8C" w14:textId="77777777" w:rsidR="00A2708C" w:rsidRPr="00461FE7" w:rsidRDefault="00A2708C"/>
    <w:p w14:paraId="50EE66E0" w14:textId="77777777" w:rsidR="00A2708C" w:rsidRDefault="00A2708C">
      <w:r w:rsidRPr="00461FE7">
        <w:tab/>
        <w:t>6(e).  Bottom-line burden hours and costs – Exhibits 2 and 3 provide the bottom-line burden hours and costs for respondents and EPA, respectively.  The hours and costs presented in these exhibits represent the average annual burden resulting from this information collection; the total burden hours and costs for the three-year period covered under this ICR is estimated to be three times the total hours and costs provided in each exhibit.</w:t>
      </w:r>
    </w:p>
    <w:p w14:paraId="26528649" w14:textId="77777777" w:rsidR="006124EC" w:rsidRDefault="006124EC"/>
    <w:tbl>
      <w:tblPr>
        <w:tblStyle w:val="TableGrid"/>
        <w:tblW w:w="0" w:type="auto"/>
        <w:tblLook w:val="04A0" w:firstRow="1" w:lastRow="0" w:firstColumn="1" w:lastColumn="0" w:noHBand="0" w:noVBand="1"/>
      </w:tblPr>
      <w:tblGrid>
        <w:gridCol w:w="1888"/>
        <w:gridCol w:w="1707"/>
        <w:gridCol w:w="1440"/>
        <w:gridCol w:w="1260"/>
      </w:tblGrid>
      <w:tr w:rsidR="006124EC" w14:paraId="504F650E" w14:textId="77777777" w:rsidTr="00764178">
        <w:tc>
          <w:tcPr>
            <w:tcW w:w="1888" w:type="dxa"/>
          </w:tcPr>
          <w:p w14:paraId="1CBC3C84" w14:textId="77777777" w:rsidR="006124EC" w:rsidRDefault="006124EC"/>
        </w:tc>
        <w:tc>
          <w:tcPr>
            <w:tcW w:w="1707" w:type="dxa"/>
          </w:tcPr>
          <w:p w14:paraId="7C6A5FED" w14:textId="73F64FEA" w:rsidR="006124EC" w:rsidRDefault="006124EC">
            <w:r>
              <w:t>Respondents</w:t>
            </w:r>
          </w:p>
        </w:tc>
        <w:tc>
          <w:tcPr>
            <w:tcW w:w="1440" w:type="dxa"/>
          </w:tcPr>
          <w:p w14:paraId="17EF0E59" w14:textId="4B64B9A5" w:rsidR="006124EC" w:rsidRDefault="006124EC">
            <w:r>
              <w:t>Responses</w:t>
            </w:r>
          </w:p>
        </w:tc>
        <w:tc>
          <w:tcPr>
            <w:tcW w:w="1260" w:type="dxa"/>
          </w:tcPr>
          <w:p w14:paraId="49061A90" w14:textId="7232DB0F" w:rsidR="006124EC" w:rsidRDefault="006124EC">
            <w:r>
              <w:t>Hours</w:t>
            </w:r>
          </w:p>
        </w:tc>
      </w:tr>
      <w:tr w:rsidR="006124EC" w14:paraId="7C4B97C2" w14:textId="77777777" w:rsidTr="00764178">
        <w:tc>
          <w:tcPr>
            <w:tcW w:w="1888" w:type="dxa"/>
          </w:tcPr>
          <w:p w14:paraId="10E4A474" w14:textId="6C291FBB" w:rsidR="006124EC" w:rsidRDefault="006124EC">
            <w:r>
              <w:t>States</w:t>
            </w:r>
          </w:p>
        </w:tc>
        <w:tc>
          <w:tcPr>
            <w:tcW w:w="1707" w:type="dxa"/>
          </w:tcPr>
          <w:p w14:paraId="2E85ABDE" w14:textId="247AFDD6" w:rsidR="006124EC" w:rsidRDefault="006124EC">
            <w:r>
              <w:t>2,782</w:t>
            </w:r>
          </w:p>
        </w:tc>
        <w:tc>
          <w:tcPr>
            <w:tcW w:w="1440" w:type="dxa"/>
          </w:tcPr>
          <w:p w14:paraId="591F2030" w14:textId="22DBF834" w:rsidR="006124EC" w:rsidRDefault="006124EC">
            <w:r>
              <w:t>4,466</w:t>
            </w:r>
          </w:p>
        </w:tc>
        <w:tc>
          <w:tcPr>
            <w:tcW w:w="1260" w:type="dxa"/>
          </w:tcPr>
          <w:p w14:paraId="1A22C8A7" w14:textId="356CCBCC" w:rsidR="006124EC" w:rsidRDefault="006124EC">
            <w:r>
              <w:t>3,679</w:t>
            </w:r>
          </w:p>
        </w:tc>
      </w:tr>
      <w:tr w:rsidR="006124EC" w14:paraId="1497951B" w14:textId="77777777" w:rsidTr="00764178">
        <w:tc>
          <w:tcPr>
            <w:tcW w:w="1888" w:type="dxa"/>
          </w:tcPr>
          <w:p w14:paraId="7B09DB78" w14:textId="00B32746" w:rsidR="006124EC" w:rsidRDefault="006124EC">
            <w:r>
              <w:t>Non-Profits</w:t>
            </w:r>
          </w:p>
        </w:tc>
        <w:tc>
          <w:tcPr>
            <w:tcW w:w="1707" w:type="dxa"/>
          </w:tcPr>
          <w:p w14:paraId="44357D4F" w14:textId="1A575C42" w:rsidR="006124EC" w:rsidRDefault="006124EC">
            <w:r>
              <w:t>108</w:t>
            </w:r>
          </w:p>
        </w:tc>
        <w:tc>
          <w:tcPr>
            <w:tcW w:w="1440" w:type="dxa"/>
          </w:tcPr>
          <w:p w14:paraId="53151D22" w14:textId="6BCDB4DC" w:rsidR="006124EC" w:rsidRDefault="006124EC">
            <w:r>
              <w:t>170</w:t>
            </w:r>
          </w:p>
        </w:tc>
        <w:tc>
          <w:tcPr>
            <w:tcW w:w="1260" w:type="dxa"/>
          </w:tcPr>
          <w:p w14:paraId="6C0B8E98" w14:textId="29D31BBD" w:rsidR="006124EC" w:rsidRDefault="006124EC">
            <w:r>
              <w:t>198</w:t>
            </w:r>
          </w:p>
        </w:tc>
      </w:tr>
      <w:tr w:rsidR="006124EC" w14:paraId="754ED408" w14:textId="77777777" w:rsidTr="00764178">
        <w:tc>
          <w:tcPr>
            <w:tcW w:w="1888" w:type="dxa"/>
          </w:tcPr>
          <w:p w14:paraId="163FEFF2" w14:textId="7E86B3B9" w:rsidR="006124EC" w:rsidRPr="00764178" w:rsidRDefault="006124EC">
            <w:pPr>
              <w:rPr>
                <w:b/>
              </w:rPr>
            </w:pPr>
            <w:r w:rsidRPr="00764178">
              <w:rPr>
                <w:b/>
              </w:rPr>
              <w:t>Total</w:t>
            </w:r>
          </w:p>
        </w:tc>
        <w:tc>
          <w:tcPr>
            <w:tcW w:w="1707" w:type="dxa"/>
          </w:tcPr>
          <w:p w14:paraId="2DE4E72A" w14:textId="78876DA8" w:rsidR="006124EC" w:rsidRPr="00764178" w:rsidRDefault="006124EC">
            <w:pPr>
              <w:rPr>
                <w:b/>
              </w:rPr>
            </w:pPr>
            <w:r w:rsidRPr="00764178">
              <w:rPr>
                <w:b/>
              </w:rPr>
              <w:t>2,890</w:t>
            </w:r>
          </w:p>
        </w:tc>
        <w:tc>
          <w:tcPr>
            <w:tcW w:w="1440" w:type="dxa"/>
          </w:tcPr>
          <w:p w14:paraId="4184FE57" w14:textId="4DA0512F" w:rsidR="006124EC" w:rsidRPr="00764178" w:rsidRDefault="006124EC">
            <w:pPr>
              <w:rPr>
                <w:b/>
              </w:rPr>
            </w:pPr>
            <w:r w:rsidRPr="00764178">
              <w:rPr>
                <w:b/>
              </w:rPr>
              <w:t>4,636</w:t>
            </w:r>
          </w:p>
        </w:tc>
        <w:tc>
          <w:tcPr>
            <w:tcW w:w="1260" w:type="dxa"/>
          </w:tcPr>
          <w:p w14:paraId="261E1F68" w14:textId="3FA198B9" w:rsidR="006124EC" w:rsidRPr="00764178" w:rsidRDefault="006124EC">
            <w:pPr>
              <w:rPr>
                <w:b/>
              </w:rPr>
            </w:pPr>
            <w:r w:rsidRPr="00764178">
              <w:rPr>
                <w:b/>
              </w:rPr>
              <w:t>3,877</w:t>
            </w:r>
          </w:p>
        </w:tc>
      </w:tr>
    </w:tbl>
    <w:p w14:paraId="46F666CA" w14:textId="77777777" w:rsidR="006124EC" w:rsidRPr="00461FE7" w:rsidRDefault="006124EC"/>
    <w:p w14:paraId="64ED8E7E" w14:textId="77777777" w:rsidR="00A2708C" w:rsidRPr="00461FE7" w:rsidRDefault="00A2708C"/>
    <w:p w14:paraId="08805FED" w14:textId="4BBBF33E" w:rsidR="00A2708C" w:rsidRDefault="00A2708C">
      <w:r w:rsidRPr="00461FE7">
        <w:tab/>
        <w:t xml:space="preserve">6(f).  Reasons for Change in Burden – </w:t>
      </w:r>
      <w:r w:rsidR="005456CA" w:rsidRPr="00461FE7">
        <w:t xml:space="preserve">The overall burden has </w:t>
      </w:r>
      <w:r w:rsidR="00F22548">
        <w:t>increased</w:t>
      </w:r>
      <w:r w:rsidR="00F22548" w:rsidRPr="00461FE7">
        <w:t xml:space="preserve"> </w:t>
      </w:r>
      <w:r w:rsidR="00CC65D7">
        <w:t xml:space="preserve">710 hours </w:t>
      </w:r>
      <w:r w:rsidR="005456CA" w:rsidRPr="00461FE7">
        <w:t>since the last ICR submitt</w:t>
      </w:r>
      <w:r w:rsidR="00F22548">
        <w:t>al</w:t>
      </w:r>
      <w:r w:rsidR="005456CA" w:rsidRPr="00461FE7">
        <w:t xml:space="preserve">.  </w:t>
      </w:r>
      <w:r w:rsidR="00F22548">
        <w:t>This is due to the overall increase in wages and the overall increase in the number of respondents submitting the Property Profile Form.  Even with this slight increase, r</w:t>
      </w:r>
      <w:r w:rsidR="005456CA" w:rsidRPr="00461FE7">
        <w:t>espondents indicated that improvements in the ACRES reporting system and increased familiarity with the program lead to a lower burden</w:t>
      </w:r>
      <w:r w:rsidR="00F22548">
        <w:t xml:space="preserve"> per individual entry.</w:t>
      </w:r>
      <w:r w:rsidR="005456CA" w:rsidRPr="00461FE7">
        <w:t xml:space="preserve"> </w:t>
      </w:r>
    </w:p>
    <w:p w14:paraId="15B723F0" w14:textId="77777777" w:rsidR="00BB306D" w:rsidRDefault="00BB306D" w:rsidP="00BB306D">
      <w:pPr>
        <w:ind w:firstLine="720"/>
      </w:pPr>
    </w:p>
    <w:p w14:paraId="67AFB25D" w14:textId="2DEA6051" w:rsidR="00BB306D" w:rsidRPr="00BB306D" w:rsidRDefault="00BB306D" w:rsidP="00BB306D">
      <w:pPr>
        <w:ind w:firstLine="720"/>
        <w:rPr>
          <w:szCs w:val="24"/>
        </w:rPr>
      </w:pPr>
      <w:r>
        <w:t>Additionally, Form 6200-14, the Area-Wide Planning Reporting Form, along with the form’s instructions (Form 6200-13), are new to this ICR.  These new forms will be required for Area-Wide Planning recipients instead of using the Property Profile Form.   The Area-Wide Planning Reporting Form is estimated to take slightly longer to initially fill out and update than the Property Profile Form, but it is much better at capturing the impacts and outcomes specific to Area-Wide Planning Cooperative Agreements.   It was specifically created to allow grantees to capture outcomes unique to their cooperative agreement that may not have been captured using the Property Profile Form.</w:t>
      </w:r>
      <w:bookmarkStart w:id="4" w:name="_GoBack"/>
      <w:bookmarkEnd w:id="4"/>
    </w:p>
    <w:p w14:paraId="3FECCD02" w14:textId="77777777" w:rsidR="00A2708C" w:rsidRPr="00461FE7" w:rsidRDefault="00A2708C"/>
    <w:p w14:paraId="074BC5D9" w14:textId="648CF497" w:rsidR="002F2114" w:rsidRDefault="00A2708C" w:rsidP="002F2114">
      <w:pPr>
        <w:rPr>
          <w:color w:val="000000"/>
          <w:szCs w:val="24"/>
        </w:rPr>
      </w:pPr>
      <w:r w:rsidRPr="00461FE7">
        <w:tab/>
        <w:t xml:space="preserve">6(g).  Burden Statement – The annual public reporting and recordkeeping burden for this collection of information is estimated to average </w:t>
      </w:r>
      <w:r w:rsidR="00F82383">
        <w:t>.8</w:t>
      </w:r>
      <w:r w:rsidR="00F22548">
        <w:t xml:space="preserve"> </w:t>
      </w:r>
      <w:r w:rsidRPr="00461FE7">
        <w:t>h</w:t>
      </w:r>
      <w:r w:rsidR="002F2114">
        <w:t>ours per response for CERCLA 104(k)</w:t>
      </w:r>
      <w:r w:rsidRPr="00461FE7">
        <w:t xml:space="preserve"> assessment, cleanup, and re</w:t>
      </w:r>
      <w:r w:rsidR="002F2114">
        <w:t>volving loan fund and CERCLA 128(a)</w:t>
      </w:r>
      <w:r w:rsidRPr="00461FE7">
        <w:t xml:space="preserve"> recipients</w:t>
      </w:r>
      <w:r w:rsidR="00B457B0">
        <w:t>, 1.83</w:t>
      </w:r>
      <w:r w:rsidR="00F22548">
        <w:t xml:space="preserve"> hours per response for </w:t>
      </w:r>
      <w:r w:rsidR="00F82383">
        <w:t>a</w:t>
      </w:r>
      <w:r w:rsidR="00F22548">
        <w:t>rea-</w:t>
      </w:r>
      <w:r w:rsidR="00F82383">
        <w:t>w</w:t>
      </w:r>
      <w:r w:rsidR="00F22548">
        <w:t xml:space="preserve">ide </w:t>
      </w:r>
      <w:r w:rsidR="00F82383">
        <w:t>p</w:t>
      </w:r>
      <w:r w:rsidR="00F22548">
        <w:t>lanning reporting</w:t>
      </w:r>
      <w:r w:rsidR="002F2114">
        <w:t xml:space="preserve"> (CERCLA 104(k)(6))</w:t>
      </w:r>
      <w:r w:rsidR="00F22548">
        <w:t xml:space="preserve"> and </w:t>
      </w:r>
      <w:r w:rsidR="00F22548" w:rsidRPr="00461FE7">
        <w:t xml:space="preserve">4 hours per response for </w:t>
      </w:r>
      <w:r w:rsidR="00F82383">
        <w:t xml:space="preserve">job </w:t>
      </w:r>
      <w:r w:rsidR="00F82383">
        <w:lastRenderedPageBreak/>
        <w:t>t</w:t>
      </w:r>
      <w:r w:rsidR="00F22548" w:rsidRPr="00461FE7">
        <w:t>raining recipients</w:t>
      </w:r>
      <w:r w:rsidR="002F2114">
        <w:t xml:space="preserve"> (CERCLA 104(k)(6))</w:t>
      </w:r>
      <w:r w:rsidRPr="00461FE7">
        <w:t xml:space="preserve">.  </w:t>
      </w:r>
      <w:r w:rsidR="002F2114">
        <w:rPr>
          <w:color w:val="000000"/>
          <w:szCs w:val="24"/>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00F1BDB3" w14:textId="77777777" w:rsidR="002F2114" w:rsidRDefault="002F2114" w:rsidP="002F2114">
      <w:pPr>
        <w:rPr>
          <w:color w:val="000000"/>
          <w:szCs w:val="24"/>
        </w:rPr>
      </w:pPr>
    </w:p>
    <w:p w14:paraId="5507216A" w14:textId="77777777" w:rsidR="002F2114" w:rsidRDefault="002F2114" w:rsidP="002F2114">
      <w:pPr>
        <w:numPr>
          <w:ilvl w:val="12"/>
          <w:numId w:val="0"/>
        </w:numPr>
        <w:spacing w:after="59"/>
        <w:rPr>
          <w:szCs w:val="24"/>
        </w:rPr>
      </w:pPr>
      <w:r>
        <w:rPr>
          <w:color w:val="000000"/>
          <w:szCs w:val="24"/>
        </w:rPr>
        <w:t xml:space="preserve">            </w:t>
      </w:r>
      <w:r>
        <w:rPr>
          <w:color w:val="0F0F0F"/>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EPA-HQ-SFUND-2012-0104, which is available for online viewing at </w:t>
      </w:r>
      <w:hyperlink r:id="rId13" w:history="1">
        <w:r>
          <w:rPr>
            <w:rStyle w:val="Hyperlink"/>
            <w:szCs w:val="24"/>
          </w:rPr>
          <w:t>www.regulations.gov</w:t>
        </w:r>
      </w:hyperlink>
      <w:r>
        <w:rPr>
          <w:color w:val="0F0F0F"/>
          <w:szCs w:val="24"/>
        </w:rPr>
        <w:t xml:space="preserve">, or in person viewing at the OSWER Docket in the EPA Docket Center (EPA/DC), EPA West, </w:t>
      </w:r>
      <w:r>
        <w:rPr>
          <w:szCs w:val="24"/>
        </w:rPr>
        <w:t>Room 3334</w:t>
      </w:r>
      <w:r>
        <w:rPr>
          <w:color w:val="0F0F0F"/>
          <w:szCs w:val="24"/>
        </w:rPr>
        <w:t xml:space="preserve">, 1301 Constitution Avenue, NW, Washington, D.C.  The EPA Docket Center Public Reading Room is open from 8:30 a.m. to 4:30 p.m., Monday through Friday, excluding legal holidays.  The telephone number for the Reading Room is (202) 566-1744, and the telephone number for the OSWER Docket is (202) 566-0276.  An electronic version of the public docket is available at </w:t>
      </w:r>
      <w:hyperlink r:id="rId14" w:history="1">
        <w:r>
          <w:rPr>
            <w:rStyle w:val="Hyperlink"/>
            <w:szCs w:val="24"/>
          </w:rPr>
          <w:t>www.regulations.gov</w:t>
        </w:r>
      </w:hyperlink>
      <w:r>
        <w:rPr>
          <w:color w:val="0F0F0F"/>
          <w:szCs w:val="24"/>
        </w:rPr>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EPA-HQ-SFUND-2012-0104 and OMB Control Number 2050-0192 in any correspondence.</w:t>
      </w:r>
    </w:p>
    <w:p w14:paraId="5E0DCA6D" w14:textId="584C6F04" w:rsidR="00A2708C" w:rsidRPr="00525475" w:rsidRDefault="00A2708C" w:rsidP="002F2114">
      <w:pPr>
        <w:widowControl w:val="0"/>
        <w:rPr>
          <w:szCs w:val="24"/>
        </w:rPr>
      </w:pPr>
    </w:p>
    <w:sectPr w:rsidR="00A2708C" w:rsidRPr="00525475" w:rsidSect="00335719">
      <w:headerReference w:type="even" r:id="rId15"/>
      <w:headerReference w:type="default" r:id="rId16"/>
      <w:footerReference w:type="even" r:id="rId17"/>
      <w:footerReference w:type="default" r:id="rId18"/>
      <w:endnotePr>
        <w:numFmt w:val="lowerLetter"/>
      </w:endnotePr>
      <w:type w:val="continuous"/>
      <w:pgSz w:w="12240" w:h="15840"/>
      <w:pgMar w:top="1620" w:right="1350" w:bottom="1270" w:left="1440" w:header="1440" w:footer="9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D2E5E" w14:textId="77777777" w:rsidR="00DD6E33" w:rsidRDefault="00DD6E33">
      <w:r>
        <w:separator/>
      </w:r>
    </w:p>
  </w:endnote>
  <w:endnote w:type="continuationSeparator" w:id="0">
    <w:p w14:paraId="6721D0F6" w14:textId="77777777" w:rsidR="00DD6E33" w:rsidRDefault="00DD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468FB" w14:textId="77777777" w:rsidR="005A63BD" w:rsidRDefault="005A63BD">
    <w:pPr>
      <w:widowControl w:val="0"/>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right" w:pos="9648"/>
      </w:tabs>
      <w:ind w:left="-576"/>
      <w:jc w:val="center"/>
    </w:pPr>
    <w:r>
      <w:pgNum/>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D5B85" w14:textId="77777777" w:rsidR="005A63BD" w:rsidRDefault="005A63BD">
    <w:pPr>
      <w:widowControl w:val="0"/>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right" w:pos="9648"/>
      </w:tabs>
      <w:spacing w:line="0" w:lineRule="atLeast"/>
      <w:ind w:left="-576"/>
      <w:jc w:val="center"/>
    </w:pPr>
    <w: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6293C" w14:textId="77777777" w:rsidR="00DD6E33" w:rsidRDefault="00DD6E33">
      <w:r>
        <w:separator/>
      </w:r>
    </w:p>
  </w:footnote>
  <w:footnote w:type="continuationSeparator" w:id="0">
    <w:p w14:paraId="122CE110" w14:textId="77777777" w:rsidR="00DD6E33" w:rsidRDefault="00DD6E33">
      <w:r>
        <w:continuationSeparator/>
      </w:r>
    </w:p>
  </w:footnote>
  <w:footnote w:id="1">
    <w:p w14:paraId="7E4828EC" w14:textId="77777777" w:rsidR="005A63BD" w:rsidRDefault="005A63BD">
      <w:pPr>
        <w:pStyle w:val="FootnoteText"/>
      </w:pPr>
      <w:r>
        <w:rPr>
          <w:rStyle w:val="FootnoteReference"/>
        </w:rPr>
        <w:footnoteRef/>
      </w:r>
      <w:r>
        <w:t xml:space="preserve"> For the purposes of the Brownfields grant program, EPA uses the definition of non-profit organization contained in Section 4(6) of the Federal Financial Assistance Management Improvement Act of 1999, Public Law 106-107.  </w:t>
      </w:r>
    </w:p>
  </w:footnote>
  <w:footnote w:id="2">
    <w:p w14:paraId="3156F3CD" w14:textId="77777777" w:rsidR="005A63BD" w:rsidRDefault="005A63BD">
      <w:pPr>
        <w:pStyle w:val="FootnoteText"/>
      </w:pPr>
      <w:r>
        <w:rPr>
          <w:rStyle w:val="FootnoteReference"/>
        </w:rPr>
        <w:footnoteRef/>
      </w:r>
      <w:r>
        <w:t xml:space="preserve">NAICS Codes as of 2002. Source: </w:t>
      </w:r>
      <w:hyperlink r:id="rId1" w:history="1">
        <w:r w:rsidRPr="00651058">
          <w:rPr>
            <w:rStyle w:val="Hyperlink"/>
          </w:rPr>
          <w:t>http://www.census.gov/epcd/naics02/naicod02.htm</w:t>
        </w:r>
      </w:hyperlink>
      <w:r>
        <w:t xml:space="preserve">  </w:t>
      </w:r>
    </w:p>
  </w:footnote>
  <w:footnote w:id="3">
    <w:p w14:paraId="6FD3C1EE" w14:textId="05B1AC63" w:rsidR="005A63BD" w:rsidRDefault="005A63BD">
      <w:pPr>
        <w:widowControl w:val="0"/>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right" w:pos="9648"/>
        </w:tabs>
        <w:spacing w:before="240" w:after="240"/>
        <w:ind w:left="-144"/>
        <w:rPr>
          <w:color w:val="000000"/>
        </w:rPr>
      </w:pPr>
      <w:r>
        <w:rPr>
          <w:vertAlign w:val="superscript"/>
        </w:rPr>
        <w:t>3</w:t>
      </w:r>
      <w:r>
        <w:rPr>
          <w:sz w:val="20"/>
        </w:rPr>
        <w:t xml:space="preserve">See Bureau of Labor Statistics publication entitled “Employer costs per hour worked for employee compensation and costs as a percent of total compensation: State and local government, by occupational group, December 2015 </w:t>
      </w:r>
      <w:bookmarkStart w:id="2" w:name="OLE_LINK3"/>
      <w:bookmarkStart w:id="3" w:name="OLE_LINK4"/>
      <w:r>
        <w:rPr>
          <w:color w:val="0000FF"/>
          <w:sz w:val="20"/>
          <w:u w:val="single"/>
        </w:rPr>
        <w:t>http://stats.bls.gov/news.release/ecec.t04.htm#content</w:t>
      </w:r>
      <w:bookmarkEnd w:id="2"/>
      <w:bookmarkEnd w:id="3"/>
      <w:r>
        <w:rPr>
          <w:color w:val="0000FF"/>
          <w:sz w:val="20"/>
          <w:u w:val="single"/>
        </w:rPr>
        <w:t>.</w:t>
      </w:r>
      <w:r>
        <w:rPr>
          <w:color w:val="000000"/>
          <w:sz w:val="20"/>
        </w:rPr>
        <w:t xml:space="preserve">  </w:t>
      </w:r>
      <w:r>
        <w:rPr>
          <w:color w:val="000000"/>
          <w:sz w:val="20"/>
        </w:rPr>
        <w:fldChar w:fldCharType="begin"/>
      </w:r>
      <w:r>
        <w:rPr>
          <w:color w:val="000000"/>
          <w:sz w:val="20"/>
        </w:rPr>
        <w:instrText xml:space="preserve"> ADVANCE \d 12</w:instrText>
      </w:r>
      <w:r>
        <w:rPr>
          <w:color w:val="000000"/>
          <w:sz w:val="20"/>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E4554" w14:textId="77777777" w:rsidR="005A63BD" w:rsidRDefault="005A63BD">
    <w:pPr>
      <w:widowControl w:val="0"/>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right" w:pos="964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C486B" w14:textId="77777777" w:rsidR="005A63BD" w:rsidRDefault="005A63BD">
    <w:pPr>
      <w:widowControl w:val="0"/>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right" w:pos="964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15:restartNumberingAfterBreak="0">
    <w:nsid w:val="024E2631"/>
    <w:multiLevelType w:val="hybridMultilevel"/>
    <w:tmpl w:val="D034E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A7EB8"/>
    <w:multiLevelType w:val="hybridMultilevel"/>
    <w:tmpl w:val="5484A4E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B274FF1"/>
    <w:multiLevelType w:val="hybridMultilevel"/>
    <w:tmpl w:val="FA0A18AA"/>
    <w:lvl w:ilvl="0" w:tplc="C89453C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AD78D3"/>
    <w:multiLevelType w:val="hybridMultilevel"/>
    <w:tmpl w:val="0B16A0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30C1118"/>
    <w:multiLevelType w:val="hybridMultilevel"/>
    <w:tmpl w:val="0F825D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DB32CFF"/>
    <w:multiLevelType w:val="hybridMultilevel"/>
    <w:tmpl w:val="84D0AC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6F6204E"/>
    <w:multiLevelType w:val="hybridMultilevel"/>
    <w:tmpl w:val="044A05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4"/>
  </w:num>
  <w:num w:numId="4">
    <w:abstractNumId w:val="6"/>
  </w:num>
  <w:num w:numId="5">
    <w:abstractNumId w:val="5"/>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B1A"/>
    <w:rsid w:val="000064BD"/>
    <w:rsid w:val="00007301"/>
    <w:rsid w:val="000223B4"/>
    <w:rsid w:val="0002602E"/>
    <w:rsid w:val="000302A4"/>
    <w:rsid w:val="000364FF"/>
    <w:rsid w:val="00037708"/>
    <w:rsid w:val="00044B08"/>
    <w:rsid w:val="000451F8"/>
    <w:rsid w:val="000555EE"/>
    <w:rsid w:val="0006021E"/>
    <w:rsid w:val="00062D00"/>
    <w:rsid w:val="0007209C"/>
    <w:rsid w:val="00086048"/>
    <w:rsid w:val="000909AE"/>
    <w:rsid w:val="00093E35"/>
    <w:rsid w:val="000A164E"/>
    <w:rsid w:val="000A3647"/>
    <w:rsid w:val="000A466E"/>
    <w:rsid w:val="000B58A4"/>
    <w:rsid w:val="000C423D"/>
    <w:rsid w:val="000D622A"/>
    <w:rsid w:val="000D7748"/>
    <w:rsid w:val="00112684"/>
    <w:rsid w:val="00122388"/>
    <w:rsid w:val="00122840"/>
    <w:rsid w:val="00132A14"/>
    <w:rsid w:val="001340D0"/>
    <w:rsid w:val="00142C66"/>
    <w:rsid w:val="0014514D"/>
    <w:rsid w:val="00152859"/>
    <w:rsid w:val="001533BC"/>
    <w:rsid w:val="00165D07"/>
    <w:rsid w:val="00171A53"/>
    <w:rsid w:val="00182F90"/>
    <w:rsid w:val="00194E66"/>
    <w:rsid w:val="001A2DE9"/>
    <w:rsid w:val="001D2B4A"/>
    <w:rsid w:val="001E0734"/>
    <w:rsid w:val="001E078D"/>
    <w:rsid w:val="002007B1"/>
    <w:rsid w:val="002069EA"/>
    <w:rsid w:val="00210868"/>
    <w:rsid w:val="00217EDA"/>
    <w:rsid w:val="00226FAE"/>
    <w:rsid w:val="00230DF5"/>
    <w:rsid w:val="002344B1"/>
    <w:rsid w:val="00244C0E"/>
    <w:rsid w:val="002573BD"/>
    <w:rsid w:val="00266AE0"/>
    <w:rsid w:val="00272940"/>
    <w:rsid w:val="002836E7"/>
    <w:rsid w:val="002935FD"/>
    <w:rsid w:val="0029687A"/>
    <w:rsid w:val="002972E1"/>
    <w:rsid w:val="002A6D29"/>
    <w:rsid w:val="002B499E"/>
    <w:rsid w:val="002E13E5"/>
    <w:rsid w:val="002E37AF"/>
    <w:rsid w:val="002E70A1"/>
    <w:rsid w:val="002F2114"/>
    <w:rsid w:val="002F3BF1"/>
    <w:rsid w:val="002F5F4C"/>
    <w:rsid w:val="0031169E"/>
    <w:rsid w:val="003215B8"/>
    <w:rsid w:val="00325E35"/>
    <w:rsid w:val="003304DF"/>
    <w:rsid w:val="00335719"/>
    <w:rsid w:val="0033633F"/>
    <w:rsid w:val="00336664"/>
    <w:rsid w:val="003367DE"/>
    <w:rsid w:val="00340804"/>
    <w:rsid w:val="00351AA9"/>
    <w:rsid w:val="00354370"/>
    <w:rsid w:val="00354579"/>
    <w:rsid w:val="00366649"/>
    <w:rsid w:val="003949BB"/>
    <w:rsid w:val="003B1A62"/>
    <w:rsid w:val="003B6C0D"/>
    <w:rsid w:val="003D5E99"/>
    <w:rsid w:val="003E5635"/>
    <w:rsid w:val="0040581F"/>
    <w:rsid w:val="00407D2C"/>
    <w:rsid w:val="0041130B"/>
    <w:rsid w:val="00416806"/>
    <w:rsid w:val="004552ED"/>
    <w:rsid w:val="00457BFF"/>
    <w:rsid w:val="00461FE7"/>
    <w:rsid w:val="00470C5A"/>
    <w:rsid w:val="00483DD5"/>
    <w:rsid w:val="004842E0"/>
    <w:rsid w:val="00484C80"/>
    <w:rsid w:val="004939BE"/>
    <w:rsid w:val="004A38A7"/>
    <w:rsid w:val="004B174E"/>
    <w:rsid w:val="004B2255"/>
    <w:rsid w:val="004C64E0"/>
    <w:rsid w:val="004F2E2E"/>
    <w:rsid w:val="00525475"/>
    <w:rsid w:val="00527C50"/>
    <w:rsid w:val="0053178B"/>
    <w:rsid w:val="0053376C"/>
    <w:rsid w:val="00537F84"/>
    <w:rsid w:val="00542D53"/>
    <w:rsid w:val="005456CA"/>
    <w:rsid w:val="00545B76"/>
    <w:rsid w:val="00554AC5"/>
    <w:rsid w:val="005619AC"/>
    <w:rsid w:val="005661BA"/>
    <w:rsid w:val="00576835"/>
    <w:rsid w:val="00580E51"/>
    <w:rsid w:val="005839DF"/>
    <w:rsid w:val="00585AFE"/>
    <w:rsid w:val="00593B2D"/>
    <w:rsid w:val="005A3A98"/>
    <w:rsid w:val="005A63BD"/>
    <w:rsid w:val="005B0D19"/>
    <w:rsid w:val="005B1EB7"/>
    <w:rsid w:val="005C1A51"/>
    <w:rsid w:val="005C5C62"/>
    <w:rsid w:val="005D4F8A"/>
    <w:rsid w:val="005D6497"/>
    <w:rsid w:val="005E22CA"/>
    <w:rsid w:val="005F249D"/>
    <w:rsid w:val="00602F45"/>
    <w:rsid w:val="006124EC"/>
    <w:rsid w:val="006149A5"/>
    <w:rsid w:val="00623728"/>
    <w:rsid w:val="00626692"/>
    <w:rsid w:val="00630264"/>
    <w:rsid w:val="00630E0B"/>
    <w:rsid w:val="00633793"/>
    <w:rsid w:val="00644F1D"/>
    <w:rsid w:val="00647C05"/>
    <w:rsid w:val="00651D72"/>
    <w:rsid w:val="00653165"/>
    <w:rsid w:val="006B3A8F"/>
    <w:rsid w:val="006B773D"/>
    <w:rsid w:val="006B7A45"/>
    <w:rsid w:val="006C4AE1"/>
    <w:rsid w:val="006C4F99"/>
    <w:rsid w:val="006E19B1"/>
    <w:rsid w:val="007136FB"/>
    <w:rsid w:val="00720528"/>
    <w:rsid w:val="00730C87"/>
    <w:rsid w:val="00747865"/>
    <w:rsid w:val="00757902"/>
    <w:rsid w:val="00762E76"/>
    <w:rsid w:val="00764178"/>
    <w:rsid w:val="007716DC"/>
    <w:rsid w:val="00772F2D"/>
    <w:rsid w:val="00776F7A"/>
    <w:rsid w:val="00791868"/>
    <w:rsid w:val="0079617D"/>
    <w:rsid w:val="007A1A06"/>
    <w:rsid w:val="007C22AD"/>
    <w:rsid w:val="007C3670"/>
    <w:rsid w:val="007C4431"/>
    <w:rsid w:val="007D0B1A"/>
    <w:rsid w:val="007D3EEF"/>
    <w:rsid w:val="007D448D"/>
    <w:rsid w:val="007D790D"/>
    <w:rsid w:val="007D7C60"/>
    <w:rsid w:val="007F43C1"/>
    <w:rsid w:val="007F7999"/>
    <w:rsid w:val="008149E5"/>
    <w:rsid w:val="00850572"/>
    <w:rsid w:val="008616BA"/>
    <w:rsid w:val="00864BC3"/>
    <w:rsid w:val="00877E93"/>
    <w:rsid w:val="00884F2B"/>
    <w:rsid w:val="008A6722"/>
    <w:rsid w:val="008A6D37"/>
    <w:rsid w:val="008A753D"/>
    <w:rsid w:val="008B6923"/>
    <w:rsid w:val="008D0886"/>
    <w:rsid w:val="008D0FAE"/>
    <w:rsid w:val="008E51E6"/>
    <w:rsid w:val="008F330C"/>
    <w:rsid w:val="00905BD2"/>
    <w:rsid w:val="00927F7A"/>
    <w:rsid w:val="00932656"/>
    <w:rsid w:val="00933291"/>
    <w:rsid w:val="009379C1"/>
    <w:rsid w:val="009405B4"/>
    <w:rsid w:val="0094472C"/>
    <w:rsid w:val="00950DF9"/>
    <w:rsid w:val="0095147E"/>
    <w:rsid w:val="00951767"/>
    <w:rsid w:val="00955D69"/>
    <w:rsid w:val="009745EC"/>
    <w:rsid w:val="00983FE4"/>
    <w:rsid w:val="009918DD"/>
    <w:rsid w:val="009A497C"/>
    <w:rsid w:val="009B062C"/>
    <w:rsid w:val="009B7D75"/>
    <w:rsid w:val="009C64EE"/>
    <w:rsid w:val="009D49F4"/>
    <w:rsid w:val="009D7265"/>
    <w:rsid w:val="009D7777"/>
    <w:rsid w:val="009F1662"/>
    <w:rsid w:val="00A17688"/>
    <w:rsid w:val="00A21A29"/>
    <w:rsid w:val="00A2212B"/>
    <w:rsid w:val="00A2708C"/>
    <w:rsid w:val="00A27314"/>
    <w:rsid w:val="00A545AA"/>
    <w:rsid w:val="00A56257"/>
    <w:rsid w:val="00A61DC9"/>
    <w:rsid w:val="00A70FC2"/>
    <w:rsid w:val="00A77A7A"/>
    <w:rsid w:val="00A80BDC"/>
    <w:rsid w:val="00A81E49"/>
    <w:rsid w:val="00AB35E5"/>
    <w:rsid w:val="00AB7689"/>
    <w:rsid w:val="00AC068E"/>
    <w:rsid w:val="00AC7A95"/>
    <w:rsid w:val="00AC7BFE"/>
    <w:rsid w:val="00AD14A9"/>
    <w:rsid w:val="00AF48BF"/>
    <w:rsid w:val="00B106F3"/>
    <w:rsid w:val="00B10E04"/>
    <w:rsid w:val="00B25B7A"/>
    <w:rsid w:val="00B34E78"/>
    <w:rsid w:val="00B34F46"/>
    <w:rsid w:val="00B43C6C"/>
    <w:rsid w:val="00B457B0"/>
    <w:rsid w:val="00B46BB3"/>
    <w:rsid w:val="00B55E73"/>
    <w:rsid w:val="00B713F3"/>
    <w:rsid w:val="00B7669F"/>
    <w:rsid w:val="00B90302"/>
    <w:rsid w:val="00BA2F56"/>
    <w:rsid w:val="00BB1BA5"/>
    <w:rsid w:val="00BB306D"/>
    <w:rsid w:val="00BB4A22"/>
    <w:rsid w:val="00BB75F9"/>
    <w:rsid w:val="00BC004E"/>
    <w:rsid w:val="00BC1045"/>
    <w:rsid w:val="00BF4B18"/>
    <w:rsid w:val="00C10380"/>
    <w:rsid w:val="00C125A9"/>
    <w:rsid w:val="00C206EA"/>
    <w:rsid w:val="00C27C04"/>
    <w:rsid w:val="00C46D4C"/>
    <w:rsid w:val="00C543A0"/>
    <w:rsid w:val="00C56405"/>
    <w:rsid w:val="00C70DE6"/>
    <w:rsid w:val="00C80878"/>
    <w:rsid w:val="00C83BD5"/>
    <w:rsid w:val="00C87916"/>
    <w:rsid w:val="00C928CB"/>
    <w:rsid w:val="00C932F2"/>
    <w:rsid w:val="00C93E8D"/>
    <w:rsid w:val="00C962BF"/>
    <w:rsid w:val="00CA30DC"/>
    <w:rsid w:val="00CC3502"/>
    <w:rsid w:val="00CC41E1"/>
    <w:rsid w:val="00CC65D7"/>
    <w:rsid w:val="00CC7FF1"/>
    <w:rsid w:val="00CD17D8"/>
    <w:rsid w:val="00CD345E"/>
    <w:rsid w:val="00CD3D1C"/>
    <w:rsid w:val="00CD5927"/>
    <w:rsid w:val="00CE6D25"/>
    <w:rsid w:val="00CF150A"/>
    <w:rsid w:val="00D13236"/>
    <w:rsid w:val="00D27D92"/>
    <w:rsid w:val="00D35C71"/>
    <w:rsid w:val="00D408B0"/>
    <w:rsid w:val="00D434AC"/>
    <w:rsid w:val="00D61F43"/>
    <w:rsid w:val="00D74AE4"/>
    <w:rsid w:val="00D848DA"/>
    <w:rsid w:val="00D84E87"/>
    <w:rsid w:val="00D976B2"/>
    <w:rsid w:val="00DB11C2"/>
    <w:rsid w:val="00DB4B7D"/>
    <w:rsid w:val="00DB5192"/>
    <w:rsid w:val="00DB6549"/>
    <w:rsid w:val="00DD6E33"/>
    <w:rsid w:val="00DE11EF"/>
    <w:rsid w:val="00DE5704"/>
    <w:rsid w:val="00E022A8"/>
    <w:rsid w:val="00E16C66"/>
    <w:rsid w:val="00E25212"/>
    <w:rsid w:val="00E467BB"/>
    <w:rsid w:val="00E823AA"/>
    <w:rsid w:val="00E85862"/>
    <w:rsid w:val="00E86701"/>
    <w:rsid w:val="00EA4705"/>
    <w:rsid w:val="00EA527B"/>
    <w:rsid w:val="00EA6C1E"/>
    <w:rsid w:val="00EB383F"/>
    <w:rsid w:val="00EB52AF"/>
    <w:rsid w:val="00EB5AA3"/>
    <w:rsid w:val="00EC2C08"/>
    <w:rsid w:val="00EE2879"/>
    <w:rsid w:val="00EE3C40"/>
    <w:rsid w:val="00EE51A2"/>
    <w:rsid w:val="00F01E32"/>
    <w:rsid w:val="00F14AC5"/>
    <w:rsid w:val="00F15617"/>
    <w:rsid w:val="00F22548"/>
    <w:rsid w:val="00F23EC2"/>
    <w:rsid w:val="00F2410A"/>
    <w:rsid w:val="00F327DF"/>
    <w:rsid w:val="00F446D0"/>
    <w:rsid w:val="00F554E6"/>
    <w:rsid w:val="00F66648"/>
    <w:rsid w:val="00F82383"/>
    <w:rsid w:val="00FA2B0B"/>
    <w:rsid w:val="00FA3BB0"/>
    <w:rsid w:val="00FA5D50"/>
    <w:rsid w:val="00FB438D"/>
    <w:rsid w:val="00FC12BA"/>
    <w:rsid w:val="00FC5AF0"/>
    <w:rsid w:val="00FE17FE"/>
    <w:rsid w:val="00FE1B9B"/>
    <w:rsid w:val="00FF5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669F9AA"/>
  <w15:docId w15:val="{D627AB58-6005-4044-9CEC-621DAA40C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DF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E51A2"/>
    <w:rPr>
      <w:color w:val="0000FF"/>
      <w:u w:val="single"/>
    </w:rPr>
  </w:style>
  <w:style w:type="paragraph" w:customStyle="1" w:styleId="level11">
    <w:name w:val="_level1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level21">
    <w:name w:val="_level2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style>
  <w:style w:type="paragraph" w:customStyle="1" w:styleId="level31">
    <w:name w:val="_level3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style>
  <w:style w:type="paragraph" w:customStyle="1" w:styleId="level41">
    <w:name w:val="_level4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pPr>
  </w:style>
  <w:style w:type="paragraph" w:customStyle="1" w:styleId="level51">
    <w:name w:val="_level5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style>
  <w:style w:type="paragraph" w:customStyle="1" w:styleId="level61">
    <w:name w:val="_level6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360"/>
    </w:pPr>
  </w:style>
  <w:style w:type="paragraph" w:customStyle="1" w:styleId="level71">
    <w:name w:val="_level7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style>
  <w:style w:type="paragraph" w:customStyle="1" w:styleId="level81">
    <w:name w:val="_level8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360"/>
    </w:pPr>
  </w:style>
  <w:style w:type="paragraph" w:customStyle="1" w:styleId="level91">
    <w:name w:val="_level9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40" w:hanging="360"/>
    </w:pPr>
  </w:style>
  <w:style w:type="paragraph" w:customStyle="1" w:styleId="Level1">
    <w:name w:val="Level 1"/>
    <w:basedOn w:val="Normal"/>
    <w:rsid w:val="00950DF9"/>
    <w:pPr>
      <w:widowControl w:val="0"/>
    </w:pPr>
  </w:style>
  <w:style w:type="paragraph" w:customStyle="1" w:styleId="Level2">
    <w:name w:val="Level 2"/>
    <w:basedOn w:val="Normal"/>
    <w:rsid w:val="00950DF9"/>
    <w:pPr>
      <w:widowControl w:val="0"/>
    </w:pPr>
  </w:style>
  <w:style w:type="paragraph" w:customStyle="1" w:styleId="Level3">
    <w:name w:val="Level 3"/>
    <w:basedOn w:val="Normal"/>
    <w:rsid w:val="00950DF9"/>
    <w:pPr>
      <w:widowControl w:val="0"/>
    </w:pPr>
  </w:style>
  <w:style w:type="paragraph" w:customStyle="1" w:styleId="Level4">
    <w:name w:val="Level 4"/>
    <w:basedOn w:val="Normal"/>
    <w:rsid w:val="00950DF9"/>
    <w:pPr>
      <w:widowControl w:val="0"/>
    </w:pPr>
  </w:style>
  <w:style w:type="paragraph" w:customStyle="1" w:styleId="Level5">
    <w:name w:val="Level 5"/>
    <w:basedOn w:val="Normal"/>
    <w:rsid w:val="00950DF9"/>
    <w:pPr>
      <w:widowControl w:val="0"/>
    </w:pPr>
  </w:style>
  <w:style w:type="paragraph" w:customStyle="1" w:styleId="Level6">
    <w:name w:val="Level 6"/>
    <w:basedOn w:val="Normal"/>
    <w:rsid w:val="00950DF9"/>
    <w:pPr>
      <w:widowControl w:val="0"/>
    </w:pPr>
  </w:style>
  <w:style w:type="paragraph" w:customStyle="1" w:styleId="Level7">
    <w:name w:val="Level 7"/>
    <w:basedOn w:val="Normal"/>
    <w:rsid w:val="00950DF9"/>
    <w:pPr>
      <w:widowControl w:val="0"/>
    </w:pPr>
  </w:style>
  <w:style w:type="paragraph" w:customStyle="1" w:styleId="Level8">
    <w:name w:val="Level 8"/>
    <w:basedOn w:val="Normal"/>
    <w:rsid w:val="00950DF9"/>
    <w:pPr>
      <w:widowControl w:val="0"/>
    </w:pPr>
  </w:style>
  <w:style w:type="paragraph" w:customStyle="1" w:styleId="Level9">
    <w:name w:val="Level 9"/>
    <w:basedOn w:val="Normal"/>
    <w:rsid w:val="00950DF9"/>
    <w:pPr>
      <w:widowControl w:val="0"/>
    </w:pPr>
  </w:style>
  <w:style w:type="paragraph" w:customStyle="1" w:styleId="levsl11">
    <w:name w:val="_levsl1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levsl21">
    <w:name w:val="_levsl2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style>
  <w:style w:type="paragraph" w:customStyle="1" w:styleId="levsl31">
    <w:name w:val="_levsl3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style>
  <w:style w:type="paragraph" w:customStyle="1" w:styleId="levsl41">
    <w:name w:val="_levsl4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pPr>
  </w:style>
  <w:style w:type="paragraph" w:customStyle="1" w:styleId="levsl51">
    <w:name w:val="_levsl5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style>
  <w:style w:type="paragraph" w:customStyle="1" w:styleId="levsl61">
    <w:name w:val="_levsl6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360"/>
    </w:pPr>
  </w:style>
  <w:style w:type="paragraph" w:customStyle="1" w:styleId="levsl71">
    <w:name w:val="_levsl7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style>
  <w:style w:type="paragraph" w:customStyle="1" w:styleId="levsl81">
    <w:name w:val="_levsl8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360"/>
    </w:pPr>
  </w:style>
  <w:style w:type="paragraph" w:customStyle="1" w:styleId="levsl91">
    <w:name w:val="_levsl9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40" w:hanging="360"/>
    </w:pPr>
  </w:style>
  <w:style w:type="paragraph" w:customStyle="1" w:styleId="levnl11">
    <w:name w:val="_levnl1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levnl21">
    <w:name w:val="_levnl2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style>
  <w:style w:type="paragraph" w:customStyle="1" w:styleId="levnl31">
    <w:name w:val="_levnl3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style>
  <w:style w:type="paragraph" w:customStyle="1" w:styleId="levnl41">
    <w:name w:val="_levnl4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pPr>
  </w:style>
  <w:style w:type="paragraph" w:customStyle="1" w:styleId="levnl51">
    <w:name w:val="_levnl5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style>
  <w:style w:type="paragraph" w:customStyle="1" w:styleId="levnl61">
    <w:name w:val="_levnl6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360"/>
    </w:pPr>
  </w:style>
  <w:style w:type="paragraph" w:customStyle="1" w:styleId="levnl71">
    <w:name w:val="_levnl7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style>
  <w:style w:type="paragraph" w:customStyle="1" w:styleId="levnl81">
    <w:name w:val="_levnl8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360"/>
    </w:pPr>
  </w:style>
  <w:style w:type="paragraph" w:customStyle="1" w:styleId="levnl91">
    <w:name w:val="_levnl9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40" w:hanging="360"/>
    </w:pPr>
  </w:style>
  <w:style w:type="character" w:customStyle="1" w:styleId="DefaultPar2">
    <w:name w:val="Default Par2"/>
    <w:rsid w:val="00950DF9"/>
    <w:rPr>
      <w:sz w:val="20"/>
    </w:rPr>
  </w:style>
  <w:style w:type="paragraph" w:customStyle="1" w:styleId="Level110">
    <w:name w:val="Level 11"/>
    <w:basedOn w:val="Normal"/>
    <w:rsid w:val="00950D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style>
  <w:style w:type="character" w:customStyle="1" w:styleId="DefaultPar1">
    <w:name w:val="Default Par1"/>
    <w:rsid w:val="00950DF9"/>
    <w:rPr>
      <w:sz w:val="20"/>
    </w:rPr>
  </w:style>
  <w:style w:type="paragraph" w:customStyle="1" w:styleId="level10">
    <w:name w:val="_level1"/>
    <w:basedOn w:val="Normal"/>
    <w:rsid w:val="00950DF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360" w:hanging="360"/>
      <w:jc w:val="both"/>
    </w:pPr>
  </w:style>
  <w:style w:type="paragraph" w:customStyle="1" w:styleId="level20">
    <w:name w:val="_level2"/>
    <w:basedOn w:val="Normal"/>
    <w:rsid w:val="00950D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720" w:hanging="360"/>
      <w:jc w:val="both"/>
    </w:pPr>
  </w:style>
  <w:style w:type="paragraph" w:customStyle="1" w:styleId="level30">
    <w:name w:val="_level3"/>
    <w:basedOn w:val="Normal"/>
    <w:rsid w:val="00950DF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1080" w:hanging="360"/>
      <w:jc w:val="both"/>
    </w:pPr>
  </w:style>
  <w:style w:type="paragraph" w:customStyle="1" w:styleId="level40">
    <w:name w:val="_level4"/>
    <w:basedOn w:val="Normal"/>
    <w:rsid w:val="00950DF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1440" w:hanging="360"/>
      <w:jc w:val="both"/>
    </w:pPr>
  </w:style>
  <w:style w:type="paragraph" w:customStyle="1" w:styleId="level50">
    <w:name w:val="_level5"/>
    <w:basedOn w:val="Normal"/>
    <w:rsid w:val="00950DF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1800" w:hanging="360"/>
      <w:jc w:val="both"/>
    </w:pPr>
  </w:style>
  <w:style w:type="paragraph" w:customStyle="1" w:styleId="level60">
    <w:name w:val="_level6"/>
    <w:basedOn w:val="Normal"/>
    <w:rsid w:val="00950DF9"/>
    <w:pPr>
      <w:widowControl w:val="0"/>
      <w:tabs>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2160" w:hanging="360"/>
      <w:jc w:val="both"/>
    </w:pPr>
  </w:style>
  <w:style w:type="paragraph" w:customStyle="1" w:styleId="level70">
    <w:name w:val="_level7"/>
    <w:basedOn w:val="Normal"/>
    <w:rsid w:val="00950DF9"/>
    <w:pPr>
      <w:widowControl w:val="0"/>
      <w:tabs>
        <w:tab w:val="left" w:pos="2520"/>
        <w:tab w:val="left" w:pos="2880"/>
        <w:tab w:val="left" w:pos="3600"/>
        <w:tab w:val="left" w:pos="4320"/>
        <w:tab w:val="left" w:pos="5040"/>
        <w:tab w:val="left" w:pos="5760"/>
        <w:tab w:val="left" w:pos="6480"/>
        <w:tab w:val="left" w:pos="7200"/>
        <w:tab w:val="left" w:pos="7920"/>
        <w:tab w:val="right" w:pos="8640"/>
        <w:tab w:val="left" w:pos="9360"/>
        <w:tab w:val="left" w:pos="10080"/>
      </w:tabs>
      <w:ind w:left="2520" w:hanging="360"/>
      <w:jc w:val="both"/>
    </w:pPr>
  </w:style>
  <w:style w:type="paragraph" w:customStyle="1" w:styleId="level80">
    <w:name w:val="_level8"/>
    <w:basedOn w:val="Normal"/>
    <w:rsid w:val="00950DF9"/>
    <w:pPr>
      <w:widowControl w:val="0"/>
      <w:tabs>
        <w:tab w:val="left" w:pos="2880"/>
        <w:tab w:val="left" w:pos="3600"/>
        <w:tab w:val="left" w:pos="4320"/>
        <w:tab w:val="left" w:pos="5040"/>
        <w:tab w:val="left" w:pos="5760"/>
        <w:tab w:val="left" w:pos="6480"/>
        <w:tab w:val="left" w:pos="7200"/>
        <w:tab w:val="left" w:pos="7920"/>
        <w:tab w:val="right" w:pos="8640"/>
        <w:tab w:val="left" w:pos="9360"/>
        <w:tab w:val="left" w:pos="10080"/>
      </w:tabs>
      <w:ind w:left="2880" w:hanging="360"/>
      <w:jc w:val="both"/>
    </w:pPr>
  </w:style>
  <w:style w:type="paragraph" w:customStyle="1" w:styleId="level90">
    <w:name w:val="_level9"/>
    <w:basedOn w:val="Normal"/>
    <w:rsid w:val="00950DF9"/>
    <w:pPr>
      <w:widowControl w:val="0"/>
      <w:tabs>
        <w:tab w:val="left" w:pos="3240"/>
        <w:tab w:val="left" w:pos="3600"/>
        <w:tab w:val="left" w:pos="4320"/>
        <w:tab w:val="left" w:pos="5040"/>
        <w:tab w:val="left" w:pos="5760"/>
        <w:tab w:val="left" w:pos="6480"/>
        <w:tab w:val="left" w:pos="7200"/>
        <w:tab w:val="left" w:pos="7920"/>
        <w:tab w:val="right" w:pos="8640"/>
        <w:tab w:val="left" w:pos="9360"/>
        <w:tab w:val="left" w:pos="10080"/>
      </w:tabs>
      <w:ind w:left="3240" w:hanging="360"/>
      <w:jc w:val="both"/>
    </w:pPr>
  </w:style>
  <w:style w:type="paragraph" w:customStyle="1" w:styleId="levsl1">
    <w:name w:val="_levsl1"/>
    <w:basedOn w:val="Normal"/>
    <w:rsid w:val="00950DF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360" w:hanging="360"/>
      <w:jc w:val="both"/>
    </w:pPr>
  </w:style>
  <w:style w:type="paragraph" w:customStyle="1" w:styleId="levsl2">
    <w:name w:val="_levsl2"/>
    <w:basedOn w:val="Normal"/>
    <w:rsid w:val="00950D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720" w:hanging="360"/>
      <w:jc w:val="both"/>
    </w:pPr>
  </w:style>
  <w:style w:type="paragraph" w:customStyle="1" w:styleId="levsl3">
    <w:name w:val="_levsl3"/>
    <w:basedOn w:val="Normal"/>
    <w:rsid w:val="00950DF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1080" w:hanging="360"/>
      <w:jc w:val="both"/>
    </w:pPr>
  </w:style>
  <w:style w:type="paragraph" w:customStyle="1" w:styleId="levsl4">
    <w:name w:val="_levsl4"/>
    <w:basedOn w:val="Normal"/>
    <w:rsid w:val="00950DF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1440" w:hanging="360"/>
      <w:jc w:val="both"/>
    </w:pPr>
  </w:style>
  <w:style w:type="paragraph" w:customStyle="1" w:styleId="levsl5">
    <w:name w:val="_levsl5"/>
    <w:basedOn w:val="Normal"/>
    <w:rsid w:val="00950DF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1800" w:hanging="360"/>
      <w:jc w:val="both"/>
    </w:pPr>
  </w:style>
  <w:style w:type="paragraph" w:customStyle="1" w:styleId="levsl6">
    <w:name w:val="_levsl6"/>
    <w:basedOn w:val="Normal"/>
    <w:rsid w:val="00950DF9"/>
    <w:pPr>
      <w:widowControl w:val="0"/>
      <w:tabs>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2160" w:hanging="360"/>
      <w:jc w:val="both"/>
    </w:pPr>
  </w:style>
  <w:style w:type="paragraph" w:customStyle="1" w:styleId="levsl7">
    <w:name w:val="_levsl7"/>
    <w:basedOn w:val="Normal"/>
    <w:rsid w:val="00950DF9"/>
    <w:pPr>
      <w:widowControl w:val="0"/>
      <w:tabs>
        <w:tab w:val="left" w:pos="2520"/>
        <w:tab w:val="left" w:pos="2880"/>
        <w:tab w:val="left" w:pos="3600"/>
        <w:tab w:val="left" w:pos="4320"/>
        <w:tab w:val="left" w:pos="5040"/>
        <w:tab w:val="left" w:pos="5760"/>
        <w:tab w:val="left" w:pos="6480"/>
        <w:tab w:val="left" w:pos="7200"/>
        <w:tab w:val="left" w:pos="7920"/>
        <w:tab w:val="right" w:pos="8640"/>
        <w:tab w:val="left" w:pos="9360"/>
        <w:tab w:val="left" w:pos="10080"/>
      </w:tabs>
      <w:ind w:left="2520" w:hanging="360"/>
      <w:jc w:val="both"/>
    </w:pPr>
  </w:style>
  <w:style w:type="paragraph" w:customStyle="1" w:styleId="levsl8">
    <w:name w:val="_levsl8"/>
    <w:basedOn w:val="Normal"/>
    <w:rsid w:val="00950DF9"/>
    <w:pPr>
      <w:widowControl w:val="0"/>
      <w:tabs>
        <w:tab w:val="left" w:pos="2880"/>
        <w:tab w:val="left" w:pos="3600"/>
        <w:tab w:val="left" w:pos="4320"/>
        <w:tab w:val="left" w:pos="5040"/>
        <w:tab w:val="left" w:pos="5760"/>
        <w:tab w:val="left" w:pos="6480"/>
        <w:tab w:val="left" w:pos="7200"/>
        <w:tab w:val="left" w:pos="7920"/>
        <w:tab w:val="right" w:pos="8640"/>
        <w:tab w:val="left" w:pos="9360"/>
        <w:tab w:val="left" w:pos="10080"/>
      </w:tabs>
      <w:ind w:left="2880" w:hanging="360"/>
      <w:jc w:val="both"/>
    </w:pPr>
  </w:style>
  <w:style w:type="paragraph" w:customStyle="1" w:styleId="levsl9">
    <w:name w:val="_levsl9"/>
    <w:basedOn w:val="Normal"/>
    <w:rsid w:val="00950DF9"/>
    <w:pPr>
      <w:widowControl w:val="0"/>
      <w:tabs>
        <w:tab w:val="left" w:pos="3240"/>
        <w:tab w:val="left" w:pos="3600"/>
        <w:tab w:val="left" w:pos="4320"/>
        <w:tab w:val="left" w:pos="5040"/>
        <w:tab w:val="left" w:pos="5760"/>
        <w:tab w:val="left" w:pos="6480"/>
        <w:tab w:val="left" w:pos="7200"/>
        <w:tab w:val="left" w:pos="7920"/>
        <w:tab w:val="right" w:pos="8640"/>
        <w:tab w:val="left" w:pos="9360"/>
        <w:tab w:val="left" w:pos="10080"/>
      </w:tabs>
      <w:ind w:left="3240" w:hanging="360"/>
      <w:jc w:val="both"/>
    </w:pPr>
  </w:style>
  <w:style w:type="paragraph" w:customStyle="1" w:styleId="levnl1">
    <w:name w:val="_levnl1"/>
    <w:basedOn w:val="Normal"/>
    <w:rsid w:val="00950DF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360" w:hanging="360"/>
      <w:jc w:val="both"/>
    </w:pPr>
  </w:style>
  <w:style w:type="paragraph" w:customStyle="1" w:styleId="levnl2">
    <w:name w:val="_levnl2"/>
    <w:basedOn w:val="Normal"/>
    <w:rsid w:val="00950D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720" w:hanging="360"/>
      <w:jc w:val="both"/>
    </w:pPr>
  </w:style>
  <w:style w:type="paragraph" w:customStyle="1" w:styleId="levnl3">
    <w:name w:val="_levnl3"/>
    <w:basedOn w:val="Normal"/>
    <w:rsid w:val="00950DF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1080" w:hanging="360"/>
      <w:jc w:val="both"/>
    </w:pPr>
  </w:style>
  <w:style w:type="paragraph" w:customStyle="1" w:styleId="levnl4">
    <w:name w:val="_levnl4"/>
    <w:basedOn w:val="Normal"/>
    <w:rsid w:val="00950DF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1440" w:hanging="360"/>
      <w:jc w:val="both"/>
    </w:pPr>
  </w:style>
  <w:style w:type="paragraph" w:customStyle="1" w:styleId="levnl5">
    <w:name w:val="_levnl5"/>
    <w:basedOn w:val="Normal"/>
    <w:rsid w:val="00950DF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1800" w:hanging="360"/>
      <w:jc w:val="both"/>
    </w:pPr>
  </w:style>
  <w:style w:type="paragraph" w:customStyle="1" w:styleId="levnl6">
    <w:name w:val="_levnl6"/>
    <w:basedOn w:val="Normal"/>
    <w:rsid w:val="00950DF9"/>
    <w:pPr>
      <w:widowControl w:val="0"/>
      <w:tabs>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2160" w:hanging="360"/>
      <w:jc w:val="both"/>
    </w:pPr>
  </w:style>
  <w:style w:type="paragraph" w:customStyle="1" w:styleId="levnl7">
    <w:name w:val="_levnl7"/>
    <w:basedOn w:val="Normal"/>
    <w:rsid w:val="00950DF9"/>
    <w:pPr>
      <w:widowControl w:val="0"/>
      <w:tabs>
        <w:tab w:val="left" w:pos="2520"/>
        <w:tab w:val="left" w:pos="2880"/>
        <w:tab w:val="left" w:pos="3600"/>
        <w:tab w:val="left" w:pos="4320"/>
        <w:tab w:val="left" w:pos="5040"/>
        <w:tab w:val="left" w:pos="5760"/>
        <w:tab w:val="left" w:pos="6480"/>
        <w:tab w:val="left" w:pos="7200"/>
        <w:tab w:val="left" w:pos="7920"/>
        <w:tab w:val="right" w:pos="8640"/>
        <w:tab w:val="left" w:pos="9360"/>
        <w:tab w:val="left" w:pos="10080"/>
      </w:tabs>
      <w:ind w:left="2520" w:hanging="360"/>
      <w:jc w:val="both"/>
    </w:pPr>
  </w:style>
  <w:style w:type="paragraph" w:customStyle="1" w:styleId="levnl8">
    <w:name w:val="_levnl8"/>
    <w:basedOn w:val="Normal"/>
    <w:rsid w:val="00950DF9"/>
    <w:pPr>
      <w:widowControl w:val="0"/>
      <w:tabs>
        <w:tab w:val="left" w:pos="2880"/>
        <w:tab w:val="left" w:pos="3600"/>
        <w:tab w:val="left" w:pos="4320"/>
        <w:tab w:val="left" w:pos="5040"/>
        <w:tab w:val="left" w:pos="5760"/>
        <w:tab w:val="left" w:pos="6480"/>
        <w:tab w:val="left" w:pos="7200"/>
        <w:tab w:val="left" w:pos="7920"/>
        <w:tab w:val="right" w:pos="8640"/>
        <w:tab w:val="left" w:pos="9360"/>
        <w:tab w:val="left" w:pos="10080"/>
      </w:tabs>
      <w:ind w:left="2880" w:hanging="360"/>
      <w:jc w:val="both"/>
    </w:pPr>
  </w:style>
  <w:style w:type="paragraph" w:customStyle="1" w:styleId="levnl9">
    <w:name w:val="_levnl9"/>
    <w:basedOn w:val="Normal"/>
    <w:rsid w:val="00950DF9"/>
    <w:pPr>
      <w:widowControl w:val="0"/>
      <w:tabs>
        <w:tab w:val="left" w:pos="3240"/>
        <w:tab w:val="left" w:pos="3600"/>
        <w:tab w:val="left" w:pos="4320"/>
        <w:tab w:val="left" w:pos="5040"/>
        <w:tab w:val="left" w:pos="5760"/>
        <w:tab w:val="left" w:pos="6480"/>
        <w:tab w:val="left" w:pos="7200"/>
        <w:tab w:val="left" w:pos="7920"/>
        <w:tab w:val="right" w:pos="8640"/>
        <w:tab w:val="left" w:pos="9360"/>
        <w:tab w:val="left" w:pos="10080"/>
      </w:tabs>
      <w:ind w:left="3240" w:hanging="360"/>
      <w:jc w:val="both"/>
    </w:pPr>
  </w:style>
  <w:style w:type="character" w:customStyle="1" w:styleId="DefaultPara">
    <w:name w:val="Default Para"/>
    <w:rsid w:val="00950DF9"/>
    <w:rPr>
      <w:sz w:val="20"/>
    </w:rPr>
  </w:style>
  <w:style w:type="paragraph" w:customStyle="1" w:styleId="BodyTextIn">
    <w:name w:val="Body Text In"/>
    <w:basedOn w:val="Normal"/>
    <w:rsid w:val="00950DF9"/>
    <w:pPr>
      <w:widowControl w:val="0"/>
      <w:ind w:firstLine="720"/>
      <w:jc w:val="both"/>
    </w:pPr>
  </w:style>
  <w:style w:type="character" w:customStyle="1" w:styleId="WP9Hyperlin">
    <w:name w:val="WP9_Hyperlin"/>
    <w:rsid w:val="00950DF9"/>
    <w:rPr>
      <w:color w:val="0000FF"/>
      <w:u w:val="single"/>
    </w:rPr>
  </w:style>
  <w:style w:type="paragraph" w:customStyle="1" w:styleId="DefinitionT">
    <w:name w:val="Definition T"/>
    <w:basedOn w:val="Normal"/>
    <w:rsid w:val="00950DF9"/>
    <w:pPr>
      <w:widowControl w:val="0"/>
    </w:pPr>
  </w:style>
  <w:style w:type="paragraph" w:customStyle="1" w:styleId="DefinitionL">
    <w:name w:val="Definition L"/>
    <w:basedOn w:val="Normal"/>
    <w:rsid w:val="00950DF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pPr>
  </w:style>
  <w:style w:type="character" w:customStyle="1" w:styleId="Definition">
    <w:name w:val="Definition"/>
    <w:rsid w:val="00950DF9"/>
    <w:rPr>
      <w:i/>
    </w:rPr>
  </w:style>
  <w:style w:type="paragraph" w:customStyle="1" w:styleId="H1">
    <w:name w:val="H1"/>
    <w:basedOn w:val="Normal"/>
    <w:rsid w:val="00950DF9"/>
    <w:pPr>
      <w:widowControl w:val="0"/>
    </w:pPr>
    <w:rPr>
      <w:b/>
      <w:sz w:val="48"/>
    </w:rPr>
  </w:style>
  <w:style w:type="paragraph" w:customStyle="1" w:styleId="H2">
    <w:name w:val="H2"/>
    <w:basedOn w:val="Normal"/>
    <w:rsid w:val="00950DF9"/>
    <w:pPr>
      <w:widowControl w:val="0"/>
    </w:pPr>
    <w:rPr>
      <w:b/>
      <w:sz w:val="36"/>
    </w:rPr>
  </w:style>
  <w:style w:type="paragraph" w:customStyle="1" w:styleId="H3">
    <w:name w:val="H3"/>
    <w:basedOn w:val="Normal"/>
    <w:rsid w:val="00950DF9"/>
    <w:pPr>
      <w:widowControl w:val="0"/>
    </w:pPr>
    <w:rPr>
      <w:b/>
      <w:sz w:val="28"/>
    </w:rPr>
  </w:style>
  <w:style w:type="paragraph" w:customStyle="1" w:styleId="H4">
    <w:name w:val="H4"/>
    <w:basedOn w:val="Normal"/>
    <w:rsid w:val="00950DF9"/>
    <w:pPr>
      <w:widowControl w:val="0"/>
    </w:pPr>
    <w:rPr>
      <w:b/>
    </w:rPr>
  </w:style>
  <w:style w:type="paragraph" w:customStyle="1" w:styleId="H5">
    <w:name w:val="H5"/>
    <w:basedOn w:val="Normal"/>
    <w:rsid w:val="00950DF9"/>
    <w:pPr>
      <w:widowControl w:val="0"/>
    </w:pPr>
    <w:rPr>
      <w:b/>
    </w:rPr>
  </w:style>
  <w:style w:type="paragraph" w:customStyle="1" w:styleId="H6">
    <w:name w:val="H6"/>
    <w:basedOn w:val="Normal"/>
    <w:rsid w:val="00950DF9"/>
    <w:pPr>
      <w:widowControl w:val="0"/>
    </w:pPr>
    <w:rPr>
      <w:b/>
      <w:sz w:val="16"/>
    </w:rPr>
  </w:style>
  <w:style w:type="paragraph" w:customStyle="1" w:styleId="Address">
    <w:name w:val="Address"/>
    <w:basedOn w:val="Normal"/>
    <w:rsid w:val="00950DF9"/>
    <w:pPr>
      <w:widowControl w:val="0"/>
    </w:pPr>
    <w:rPr>
      <w:i/>
    </w:rPr>
  </w:style>
  <w:style w:type="paragraph" w:customStyle="1" w:styleId="Blockquote">
    <w:name w:val="Blockquote"/>
    <w:basedOn w:val="Normal"/>
    <w:rsid w:val="00950DF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jc w:val="both"/>
    </w:pPr>
  </w:style>
  <w:style w:type="character" w:customStyle="1" w:styleId="CITE">
    <w:name w:val="CITE"/>
    <w:rsid w:val="00950DF9"/>
    <w:rPr>
      <w:i/>
    </w:rPr>
  </w:style>
  <w:style w:type="character" w:customStyle="1" w:styleId="CODE">
    <w:name w:val="CODE"/>
    <w:rsid w:val="00950DF9"/>
    <w:rPr>
      <w:rFonts w:ascii="Courier New" w:hAnsi="Courier New"/>
      <w:sz w:val="20"/>
    </w:rPr>
  </w:style>
  <w:style w:type="character" w:customStyle="1" w:styleId="WP9Emphasis">
    <w:name w:val="WP9_Emphasis"/>
    <w:rsid w:val="00950DF9"/>
    <w:rPr>
      <w:i/>
    </w:rPr>
  </w:style>
  <w:style w:type="character" w:customStyle="1" w:styleId="WP9Hyperlink">
    <w:name w:val="WP9_Hyperlink"/>
    <w:rsid w:val="00950DF9"/>
    <w:rPr>
      <w:color w:val="0000FF"/>
      <w:u w:val="single"/>
    </w:rPr>
  </w:style>
  <w:style w:type="character" w:customStyle="1" w:styleId="FollowedHype">
    <w:name w:val="FollowedHype"/>
    <w:rsid w:val="00950DF9"/>
    <w:rPr>
      <w:color w:val="800080"/>
      <w:u w:val="single"/>
    </w:rPr>
  </w:style>
  <w:style w:type="character" w:customStyle="1" w:styleId="Keyboard">
    <w:name w:val="Keyboard"/>
    <w:rsid w:val="00950DF9"/>
    <w:rPr>
      <w:rFonts w:ascii="Courier New" w:hAnsi="Courier New"/>
      <w:b/>
      <w:sz w:val="20"/>
    </w:rPr>
  </w:style>
  <w:style w:type="paragraph" w:customStyle="1" w:styleId="Preformatted">
    <w:name w:val="Preformatted"/>
    <w:basedOn w:val="Normal"/>
    <w:rsid w:val="00950DF9"/>
    <w:pPr>
      <w:widowControl w:val="0"/>
      <w:tabs>
        <w:tab w:val="left" w:pos="0"/>
        <w:tab w:val="left" w:pos="958"/>
        <w:tab w:val="left" w:pos="1916"/>
        <w:tab w:val="left" w:pos="2875"/>
        <w:tab w:val="left" w:pos="3834"/>
        <w:tab w:val="left" w:pos="4794"/>
        <w:tab w:val="left" w:pos="5754"/>
        <w:tab w:val="left" w:pos="6712"/>
        <w:tab w:val="left" w:pos="7670"/>
        <w:tab w:val="left" w:pos="8629"/>
        <w:tab w:val="left" w:pos="9355"/>
        <w:tab w:val="left" w:pos="9360"/>
        <w:tab w:val="left" w:pos="10080"/>
      </w:tabs>
      <w:jc w:val="both"/>
    </w:pPr>
    <w:rPr>
      <w:rFonts w:ascii="Courier New" w:hAnsi="Courier New"/>
    </w:rPr>
  </w:style>
  <w:style w:type="paragraph" w:customStyle="1" w:styleId="zBottomof">
    <w:name w:val="zBottom of"/>
    <w:basedOn w:val="Normal"/>
    <w:rsid w:val="00950DF9"/>
    <w:pPr>
      <w:widowControl w:val="0"/>
      <w:pBdr>
        <w:top w:val="single" w:sz="18" w:space="0" w:color="000000"/>
      </w:pBdr>
      <w:jc w:val="center"/>
    </w:pPr>
    <w:rPr>
      <w:rFonts w:ascii="Arial" w:hAnsi="Arial"/>
      <w:sz w:val="16"/>
    </w:rPr>
  </w:style>
  <w:style w:type="paragraph" w:customStyle="1" w:styleId="zTopofFor">
    <w:name w:val="zTop of For"/>
    <w:basedOn w:val="Normal"/>
    <w:rsid w:val="00950DF9"/>
    <w:pPr>
      <w:widowControl w:val="0"/>
      <w:pBdr>
        <w:bottom w:val="single" w:sz="18" w:space="0" w:color="000000"/>
      </w:pBdr>
      <w:jc w:val="center"/>
    </w:pPr>
    <w:rPr>
      <w:rFonts w:ascii="Arial" w:hAnsi="Arial"/>
      <w:sz w:val="16"/>
    </w:rPr>
  </w:style>
  <w:style w:type="character" w:customStyle="1" w:styleId="Sample">
    <w:name w:val="Sample"/>
    <w:rsid w:val="00950DF9"/>
    <w:rPr>
      <w:rFonts w:ascii="Courier New" w:hAnsi="Courier New"/>
    </w:rPr>
  </w:style>
  <w:style w:type="character" w:customStyle="1" w:styleId="WP9Strong">
    <w:name w:val="WP9_Strong"/>
    <w:rsid w:val="00950DF9"/>
    <w:rPr>
      <w:b/>
    </w:rPr>
  </w:style>
  <w:style w:type="character" w:customStyle="1" w:styleId="Typewriter">
    <w:name w:val="Typewriter"/>
    <w:rsid w:val="00950DF9"/>
    <w:rPr>
      <w:rFonts w:ascii="Courier New" w:hAnsi="Courier New"/>
      <w:sz w:val="20"/>
    </w:rPr>
  </w:style>
  <w:style w:type="character" w:customStyle="1" w:styleId="Variable">
    <w:name w:val="Variable"/>
    <w:rsid w:val="00950DF9"/>
    <w:rPr>
      <w:i/>
    </w:rPr>
  </w:style>
  <w:style w:type="character" w:customStyle="1" w:styleId="HTMLMarkup">
    <w:name w:val="HTML Markup"/>
    <w:rsid w:val="00950DF9"/>
    <w:rPr>
      <w:vanish/>
      <w:color w:val="FF0000"/>
    </w:rPr>
  </w:style>
  <w:style w:type="character" w:customStyle="1" w:styleId="Comment">
    <w:name w:val="Comment"/>
    <w:basedOn w:val="DefaultParagraphFont"/>
    <w:rsid w:val="00950DF9"/>
  </w:style>
  <w:style w:type="paragraph" w:customStyle="1" w:styleId="QuickFormat1">
    <w:name w:val="QuickFormat1"/>
    <w:basedOn w:val="Normal"/>
    <w:rsid w:val="00950DF9"/>
    <w:pPr>
      <w:widowControl w:val="0"/>
    </w:pPr>
    <w:rPr>
      <w:color w:val="000000"/>
    </w:rPr>
  </w:style>
  <w:style w:type="paragraph" w:customStyle="1" w:styleId="WP9Header">
    <w:name w:val="WP9_Header"/>
    <w:basedOn w:val="Normal"/>
    <w:rsid w:val="00950DF9"/>
    <w:pPr>
      <w:tabs>
        <w:tab w:val="center" w:pos="4320"/>
        <w:tab w:val="right" w:pos="8640"/>
        <w:tab w:val="left" w:pos="9360"/>
        <w:tab w:val="left" w:pos="10080"/>
      </w:tabs>
    </w:pPr>
  </w:style>
  <w:style w:type="paragraph" w:customStyle="1" w:styleId="WP9Footer">
    <w:name w:val="WP9_Footer"/>
    <w:basedOn w:val="Normal"/>
    <w:rsid w:val="00950DF9"/>
    <w:pPr>
      <w:tabs>
        <w:tab w:val="center" w:pos="4320"/>
        <w:tab w:val="right" w:pos="8640"/>
        <w:tab w:val="left" w:pos="9360"/>
        <w:tab w:val="left" w:pos="10080"/>
      </w:tabs>
    </w:pPr>
  </w:style>
  <w:style w:type="character" w:customStyle="1" w:styleId="WP9PageNumber">
    <w:name w:val="WP9_Page Number"/>
    <w:basedOn w:val="DefaultParagraphFont"/>
    <w:rsid w:val="00950DF9"/>
  </w:style>
  <w:style w:type="paragraph" w:customStyle="1" w:styleId="26">
    <w:name w:val="_26"/>
    <w:basedOn w:val="Normal"/>
    <w:rsid w:val="00950DF9"/>
    <w:pPr>
      <w:widowControl w:val="0"/>
    </w:pPr>
  </w:style>
  <w:style w:type="paragraph" w:customStyle="1" w:styleId="25">
    <w:name w:val="_25"/>
    <w:basedOn w:val="Normal"/>
    <w:rsid w:val="00950DF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950DF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950DF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950DF9"/>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950DF9"/>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950DF9"/>
    <w:pPr>
      <w:widowControl w:val="0"/>
      <w:tabs>
        <w:tab w:val="left" w:pos="5040"/>
        <w:tab w:val="left" w:pos="5760"/>
        <w:tab w:val="left" w:pos="6480"/>
        <w:tab w:val="left" w:pos="7200"/>
        <w:tab w:val="left" w:pos="7920"/>
      </w:tabs>
      <w:ind w:left="5040"/>
    </w:pPr>
  </w:style>
  <w:style w:type="paragraph" w:customStyle="1" w:styleId="19">
    <w:name w:val="_19"/>
    <w:basedOn w:val="Normal"/>
    <w:rsid w:val="00950DF9"/>
    <w:pPr>
      <w:widowControl w:val="0"/>
      <w:tabs>
        <w:tab w:val="left" w:pos="5760"/>
        <w:tab w:val="left" w:pos="6480"/>
        <w:tab w:val="left" w:pos="7200"/>
        <w:tab w:val="left" w:pos="7920"/>
      </w:tabs>
      <w:ind w:left="5760"/>
    </w:pPr>
  </w:style>
  <w:style w:type="paragraph" w:customStyle="1" w:styleId="18">
    <w:name w:val="_18"/>
    <w:basedOn w:val="Normal"/>
    <w:rsid w:val="00950DF9"/>
    <w:pPr>
      <w:widowControl w:val="0"/>
      <w:tabs>
        <w:tab w:val="left" w:pos="6480"/>
        <w:tab w:val="left" w:pos="7200"/>
        <w:tab w:val="left" w:pos="7920"/>
      </w:tabs>
      <w:ind w:left="6480"/>
    </w:pPr>
  </w:style>
  <w:style w:type="paragraph" w:customStyle="1" w:styleId="17">
    <w:name w:val="_17"/>
    <w:basedOn w:val="Normal"/>
    <w:rsid w:val="00950D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950DF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950DF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950DF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950DF9"/>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950DF9"/>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950DF9"/>
    <w:pPr>
      <w:widowControl w:val="0"/>
      <w:tabs>
        <w:tab w:val="left" w:pos="5040"/>
        <w:tab w:val="left" w:pos="5760"/>
        <w:tab w:val="left" w:pos="6480"/>
        <w:tab w:val="left" w:pos="7200"/>
        <w:tab w:val="left" w:pos="7920"/>
      </w:tabs>
      <w:ind w:left="5040"/>
    </w:pPr>
  </w:style>
  <w:style w:type="paragraph" w:customStyle="1" w:styleId="10">
    <w:name w:val="_10"/>
    <w:basedOn w:val="Normal"/>
    <w:rsid w:val="00950DF9"/>
    <w:pPr>
      <w:widowControl w:val="0"/>
      <w:tabs>
        <w:tab w:val="left" w:pos="5760"/>
        <w:tab w:val="left" w:pos="6480"/>
        <w:tab w:val="left" w:pos="7200"/>
        <w:tab w:val="left" w:pos="7920"/>
      </w:tabs>
      <w:ind w:left="5760"/>
    </w:pPr>
  </w:style>
  <w:style w:type="paragraph" w:customStyle="1" w:styleId="9">
    <w:name w:val="_9"/>
    <w:basedOn w:val="Normal"/>
    <w:rsid w:val="00950DF9"/>
    <w:pPr>
      <w:widowControl w:val="0"/>
      <w:tabs>
        <w:tab w:val="left" w:pos="6480"/>
        <w:tab w:val="left" w:pos="7200"/>
        <w:tab w:val="left" w:pos="7920"/>
      </w:tabs>
      <w:ind w:left="6480"/>
    </w:pPr>
  </w:style>
  <w:style w:type="paragraph" w:customStyle="1" w:styleId="8">
    <w:name w:val="_8"/>
    <w:basedOn w:val="Normal"/>
    <w:rsid w:val="00950D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950DF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950DF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950DF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950DF9"/>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950DF9"/>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950DF9"/>
    <w:pPr>
      <w:widowControl w:val="0"/>
      <w:tabs>
        <w:tab w:val="left" w:pos="5040"/>
        <w:tab w:val="left" w:pos="5760"/>
        <w:tab w:val="left" w:pos="6480"/>
        <w:tab w:val="left" w:pos="7200"/>
        <w:tab w:val="left" w:pos="7920"/>
      </w:tabs>
      <w:ind w:left="5040"/>
    </w:pPr>
  </w:style>
  <w:style w:type="paragraph" w:customStyle="1" w:styleId="1">
    <w:name w:val="_1"/>
    <w:basedOn w:val="Normal"/>
    <w:rsid w:val="00950DF9"/>
    <w:pPr>
      <w:widowControl w:val="0"/>
      <w:tabs>
        <w:tab w:val="left" w:pos="5760"/>
        <w:tab w:val="left" w:pos="6480"/>
        <w:tab w:val="left" w:pos="7200"/>
        <w:tab w:val="left" w:pos="7920"/>
      </w:tabs>
      <w:ind w:left="5760"/>
    </w:pPr>
  </w:style>
  <w:style w:type="paragraph" w:customStyle="1" w:styleId="a">
    <w:name w:val="_"/>
    <w:basedOn w:val="Normal"/>
    <w:rsid w:val="00950DF9"/>
    <w:pPr>
      <w:widowControl w:val="0"/>
      <w:tabs>
        <w:tab w:val="left" w:pos="6480"/>
        <w:tab w:val="left" w:pos="7200"/>
        <w:tab w:val="left" w:pos="7920"/>
      </w:tabs>
      <w:ind w:left="6480"/>
    </w:pPr>
  </w:style>
  <w:style w:type="character" w:customStyle="1" w:styleId="SYSHYPERTEXT">
    <w:name w:val="SYS_HYPERTEXT"/>
    <w:rsid w:val="00950DF9"/>
    <w:rPr>
      <w:color w:val="0000FF"/>
      <w:u w:val="single"/>
    </w:rPr>
  </w:style>
  <w:style w:type="paragraph" w:styleId="BalloonText">
    <w:name w:val="Balloon Text"/>
    <w:basedOn w:val="Normal"/>
    <w:semiHidden/>
    <w:rsid w:val="00F01E32"/>
    <w:rPr>
      <w:rFonts w:ascii="Tahoma" w:hAnsi="Tahoma" w:cs="Tahoma"/>
      <w:sz w:val="16"/>
      <w:szCs w:val="16"/>
    </w:rPr>
  </w:style>
  <w:style w:type="paragraph" w:styleId="FootnoteText">
    <w:name w:val="footnote text"/>
    <w:basedOn w:val="Normal"/>
    <w:semiHidden/>
    <w:rsid w:val="002836E7"/>
    <w:rPr>
      <w:sz w:val="20"/>
    </w:rPr>
  </w:style>
  <w:style w:type="character" w:styleId="FootnoteReference">
    <w:name w:val="footnote reference"/>
    <w:semiHidden/>
    <w:rsid w:val="002836E7"/>
    <w:rPr>
      <w:vertAlign w:val="superscript"/>
    </w:rPr>
  </w:style>
  <w:style w:type="paragraph" w:styleId="Header">
    <w:name w:val="header"/>
    <w:basedOn w:val="Normal"/>
    <w:rsid w:val="00AD14A9"/>
    <w:pPr>
      <w:tabs>
        <w:tab w:val="center" w:pos="4320"/>
        <w:tab w:val="right" w:pos="8640"/>
      </w:tabs>
    </w:pPr>
  </w:style>
  <w:style w:type="paragraph" w:styleId="Footer">
    <w:name w:val="footer"/>
    <w:basedOn w:val="Normal"/>
    <w:rsid w:val="00AD14A9"/>
    <w:pPr>
      <w:tabs>
        <w:tab w:val="center" w:pos="4320"/>
        <w:tab w:val="right" w:pos="8640"/>
      </w:tabs>
    </w:pPr>
  </w:style>
  <w:style w:type="table" w:styleId="TableGrid">
    <w:name w:val="Table Grid"/>
    <w:basedOn w:val="TableNormal"/>
    <w:rsid w:val="000D6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44B08"/>
    <w:rPr>
      <w:sz w:val="16"/>
      <w:szCs w:val="16"/>
    </w:rPr>
  </w:style>
  <w:style w:type="paragraph" w:styleId="CommentText">
    <w:name w:val="annotation text"/>
    <w:basedOn w:val="Normal"/>
    <w:semiHidden/>
    <w:rsid w:val="00044B08"/>
    <w:rPr>
      <w:sz w:val="20"/>
    </w:rPr>
  </w:style>
  <w:style w:type="paragraph" w:styleId="CommentSubject">
    <w:name w:val="annotation subject"/>
    <w:basedOn w:val="CommentText"/>
    <w:next w:val="CommentText"/>
    <w:semiHidden/>
    <w:rsid w:val="00044B08"/>
    <w:rPr>
      <w:b/>
      <w:bCs/>
    </w:rPr>
  </w:style>
  <w:style w:type="paragraph" w:styleId="Revision">
    <w:name w:val="Revision"/>
    <w:hidden/>
    <w:uiPriority w:val="99"/>
    <w:semiHidden/>
    <w:rsid w:val="00554AC5"/>
    <w:rPr>
      <w:sz w:val="24"/>
    </w:rPr>
  </w:style>
  <w:style w:type="table" w:styleId="TableGrid5">
    <w:name w:val="Table Grid 5"/>
    <w:basedOn w:val="TableNormal"/>
    <w:rsid w:val="005A3A9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ListParagraph">
    <w:name w:val="List Paragraph"/>
    <w:basedOn w:val="Normal"/>
    <w:uiPriority w:val="34"/>
    <w:qFormat/>
    <w:rsid w:val="005C5C62"/>
    <w:pPr>
      <w:ind w:left="720"/>
      <w:contextualSpacing/>
    </w:pPr>
  </w:style>
  <w:style w:type="paragraph" w:customStyle="1" w:styleId="Default">
    <w:name w:val="Default"/>
    <w:rsid w:val="005C5C62"/>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4294">
      <w:bodyDiv w:val="1"/>
      <w:marLeft w:val="0"/>
      <w:marRight w:val="0"/>
      <w:marTop w:val="0"/>
      <w:marBottom w:val="0"/>
      <w:divBdr>
        <w:top w:val="none" w:sz="0" w:space="0" w:color="auto"/>
        <w:left w:val="none" w:sz="0" w:space="0" w:color="auto"/>
        <w:bottom w:val="none" w:sz="0" w:space="0" w:color="auto"/>
        <w:right w:val="none" w:sz="0" w:space="0" w:color="auto"/>
      </w:divBdr>
    </w:div>
    <w:div w:id="76709398">
      <w:bodyDiv w:val="1"/>
      <w:marLeft w:val="0"/>
      <w:marRight w:val="0"/>
      <w:marTop w:val="0"/>
      <w:marBottom w:val="0"/>
      <w:divBdr>
        <w:top w:val="none" w:sz="0" w:space="0" w:color="auto"/>
        <w:left w:val="none" w:sz="0" w:space="0" w:color="auto"/>
        <w:bottom w:val="none" w:sz="0" w:space="0" w:color="auto"/>
        <w:right w:val="none" w:sz="0" w:space="0" w:color="auto"/>
      </w:divBdr>
    </w:div>
    <w:div w:id="99691726">
      <w:bodyDiv w:val="1"/>
      <w:marLeft w:val="0"/>
      <w:marRight w:val="0"/>
      <w:marTop w:val="0"/>
      <w:marBottom w:val="0"/>
      <w:divBdr>
        <w:top w:val="none" w:sz="0" w:space="0" w:color="auto"/>
        <w:left w:val="none" w:sz="0" w:space="0" w:color="auto"/>
        <w:bottom w:val="none" w:sz="0" w:space="0" w:color="auto"/>
        <w:right w:val="none" w:sz="0" w:space="0" w:color="auto"/>
      </w:divBdr>
    </w:div>
    <w:div w:id="217937922">
      <w:bodyDiv w:val="1"/>
      <w:marLeft w:val="0"/>
      <w:marRight w:val="0"/>
      <w:marTop w:val="0"/>
      <w:marBottom w:val="0"/>
      <w:divBdr>
        <w:top w:val="none" w:sz="0" w:space="0" w:color="auto"/>
        <w:left w:val="none" w:sz="0" w:space="0" w:color="auto"/>
        <w:bottom w:val="none" w:sz="0" w:space="0" w:color="auto"/>
        <w:right w:val="none" w:sz="0" w:space="0" w:color="auto"/>
      </w:divBdr>
    </w:div>
    <w:div w:id="422460039">
      <w:bodyDiv w:val="1"/>
      <w:marLeft w:val="0"/>
      <w:marRight w:val="0"/>
      <w:marTop w:val="0"/>
      <w:marBottom w:val="0"/>
      <w:divBdr>
        <w:top w:val="none" w:sz="0" w:space="0" w:color="auto"/>
        <w:left w:val="none" w:sz="0" w:space="0" w:color="auto"/>
        <w:bottom w:val="none" w:sz="0" w:space="0" w:color="auto"/>
        <w:right w:val="none" w:sz="0" w:space="0" w:color="auto"/>
      </w:divBdr>
    </w:div>
    <w:div w:id="441413720">
      <w:bodyDiv w:val="1"/>
      <w:marLeft w:val="0"/>
      <w:marRight w:val="0"/>
      <w:marTop w:val="0"/>
      <w:marBottom w:val="0"/>
      <w:divBdr>
        <w:top w:val="none" w:sz="0" w:space="0" w:color="auto"/>
        <w:left w:val="none" w:sz="0" w:space="0" w:color="auto"/>
        <w:bottom w:val="none" w:sz="0" w:space="0" w:color="auto"/>
        <w:right w:val="none" w:sz="0" w:space="0" w:color="auto"/>
      </w:divBdr>
    </w:div>
    <w:div w:id="472870532">
      <w:bodyDiv w:val="1"/>
      <w:marLeft w:val="0"/>
      <w:marRight w:val="0"/>
      <w:marTop w:val="0"/>
      <w:marBottom w:val="0"/>
      <w:divBdr>
        <w:top w:val="none" w:sz="0" w:space="0" w:color="auto"/>
        <w:left w:val="none" w:sz="0" w:space="0" w:color="auto"/>
        <w:bottom w:val="none" w:sz="0" w:space="0" w:color="auto"/>
        <w:right w:val="none" w:sz="0" w:space="0" w:color="auto"/>
      </w:divBdr>
    </w:div>
    <w:div w:id="498740411">
      <w:bodyDiv w:val="1"/>
      <w:marLeft w:val="0"/>
      <w:marRight w:val="0"/>
      <w:marTop w:val="0"/>
      <w:marBottom w:val="0"/>
      <w:divBdr>
        <w:top w:val="none" w:sz="0" w:space="0" w:color="auto"/>
        <w:left w:val="none" w:sz="0" w:space="0" w:color="auto"/>
        <w:bottom w:val="none" w:sz="0" w:space="0" w:color="auto"/>
        <w:right w:val="none" w:sz="0" w:space="0" w:color="auto"/>
      </w:divBdr>
    </w:div>
    <w:div w:id="652025504">
      <w:bodyDiv w:val="1"/>
      <w:marLeft w:val="0"/>
      <w:marRight w:val="0"/>
      <w:marTop w:val="0"/>
      <w:marBottom w:val="0"/>
      <w:divBdr>
        <w:top w:val="none" w:sz="0" w:space="0" w:color="auto"/>
        <w:left w:val="none" w:sz="0" w:space="0" w:color="auto"/>
        <w:bottom w:val="none" w:sz="0" w:space="0" w:color="auto"/>
        <w:right w:val="none" w:sz="0" w:space="0" w:color="auto"/>
      </w:divBdr>
    </w:div>
    <w:div w:id="679968221">
      <w:bodyDiv w:val="1"/>
      <w:marLeft w:val="0"/>
      <w:marRight w:val="0"/>
      <w:marTop w:val="0"/>
      <w:marBottom w:val="0"/>
      <w:divBdr>
        <w:top w:val="none" w:sz="0" w:space="0" w:color="auto"/>
        <w:left w:val="none" w:sz="0" w:space="0" w:color="auto"/>
        <w:bottom w:val="none" w:sz="0" w:space="0" w:color="auto"/>
        <w:right w:val="none" w:sz="0" w:space="0" w:color="auto"/>
      </w:divBdr>
    </w:div>
    <w:div w:id="709496677">
      <w:bodyDiv w:val="1"/>
      <w:marLeft w:val="0"/>
      <w:marRight w:val="0"/>
      <w:marTop w:val="0"/>
      <w:marBottom w:val="0"/>
      <w:divBdr>
        <w:top w:val="none" w:sz="0" w:space="0" w:color="auto"/>
        <w:left w:val="none" w:sz="0" w:space="0" w:color="auto"/>
        <w:bottom w:val="none" w:sz="0" w:space="0" w:color="auto"/>
        <w:right w:val="none" w:sz="0" w:space="0" w:color="auto"/>
      </w:divBdr>
    </w:div>
    <w:div w:id="765343284">
      <w:bodyDiv w:val="1"/>
      <w:marLeft w:val="0"/>
      <w:marRight w:val="0"/>
      <w:marTop w:val="0"/>
      <w:marBottom w:val="0"/>
      <w:divBdr>
        <w:top w:val="none" w:sz="0" w:space="0" w:color="auto"/>
        <w:left w:val="none" w:sz="0" w:space="0" w:color="auto"/>
        <w:bottom w:val="none" w:sz="0" w:space="0" w:color="auto"/>
        <w:right w:val="none" w:sz="0" w:space="0" w:color="auto"/>
      </w:divBdr>
    </w:div>
    <w:div w:id="775368506">
      <w:bodyDiv w:val="1"/>
      <w:marLeft w:val="0"/>
      <w:marRight w:val="0"/>
      <w:marTop w:val="0"/>
      <w:marBottom w:val="0"/>
      <w:divBdr>
        <w:top w:val="none" w:sz="0" w:space="0" w:color="auto"/>
        <w:left w:val="none" w:sz="0" w:space="0" w:color="auto"/>
        <w:bottom w:val="none" w:sz="0" w:space="0" w:color="auto"/>
        <w:right w:val="none" w:sz="0" w:space="0" w:color="auto"/>
      </w:divBdr>
    </w:div>
    <w:div w:id="797339410">
      <w:bodyDiv w:val="1"/>
      <w:marLeft w:val="0"/>
      <w:marRight w:val="0"/>
      <w:marTop w:val="0"/>
      <w:marBottom w:val="0"/>
      <w:divBdr>
        <w:top w:val="none" w:sz="0" w:space="0" w:color="auto"/>
        <w:left w:val="none" w:sz="0" w:space="0" w:color="auto"/>
        <w:bottom w:val="none" w:sz="0" w:space="0" w:color="auto"/>
        <w:right w:val="none" w:sz="0" w:space="0" w:color="auto"/>
      </w:divBdr>
    </w:div>
    <w:div w:id="835268496">
      <w:bodyDiv w:val="1"/>
      <w:marLeft w:val="0"/>
      <w:marRight w:val="0"/>
      <w:marTop w:val="0"/>
      <w:marBottom w:val="0"/>
      <w:divBdr>
        <w:top w:val="none" w:sz="0" w:space="0" w:color="auto"/>
        <w:left w:val="none" w:sz="0" w:space="0" w:color="auto"/>
        <w:bottom w:val="none" w:sz="0" w:space="0" w:color="auto"/>
        <w:right w:val="none" w:sz="0" w:space="0" w:color="auto"/>
      </w:divBdr>
    </w:div>
    <w:div w:id="879704506">
      <w:bodyDiv w:val="1"/>
      <w:marLeft w:val="0"/>
      <w:marRight w:val="0"/>
      <w:marTop w:val="0"/>
      <w:marBottom w:val="0"/>
      <w:divBdr>
        <w:top w:val="none" w:sz="0" w:space="0" w:color="auto"/>
        <w:left w:val="none" w:sz="0" w:space="0" w:color="auto"/>
        <w:bottom w:val="none" w:sz="0" w:space="0" w:color="auto"/>
        <w:right w:val="none" w:sz="0" w:space="0" w:color="auto"/>
      </w:divBdr>
    </w:div>
    <w:div w:id="881864617">
      <w:bodyDiv w:val="1"/>
      <w:marLeft w:val="0"/>
      <w:marRight w:val="0"/>
      <w:marTop w:val="0"/>
      <w:marBottom w:val="0"/>
      <w:divBdr>
        <w:top w:val="none" w:sz="0" w:space="0" w:color="auto"/>
        <w:left w:val="none" w:sz="0" w:space="0" w:color="auto"/>
        <w:bottom w:val="none" w:sz="0" w:space="0" w:color="auto"/>
        <w:right w:val="none" w:sz="0" w:space="0" w:color="auto"/>
      </w:divBdr>
    </w:div>
    <w:div w:id="957447929">
      <w:bodyDiv w:val="1"/>
      <w:marLeft w:val="0"/>
      <w:marRight w:val="0"/>
      <w:marTop w:val="0"/>
      <w:marBottom w:val="0"/>
      <w:divBdr>
        <w:top w:val="none" w:sz="0" w:space="0" w:color="auto"/>
        <w:left w:val="none" w:sz="0" w:space="0" w:color="auto"/>
        <w:bottom w:val="none" w:sz="0" w:space="0" w:color="auto"/>
        <w:right w:val="none" w:sz="0" w:space="0" w:color="auto"/>
      </w:divBdr>
    </w:div>
    <w:div w:id="1064596360">
      <w:bodyDiv w:val="1"/>
      <w:marLeft w:val="0"/>
      <w:marRight w:val="0"/>
      <w:marTop w:val="0"/>
      <w:marBottom w:val="0"/>
      <w:divBdr>
        <w:top w:val="none" w:sz="0" w:space="0" w:color="auto"/>
        <w:left w:val="none" w:sz="0" w:space="0" w:color="auto"/>
        <w:bottom w:val="none" w:sz="0" w:space="0" w:color="auto"/>
        <w:right w:val="none" w:sz="0" w:space="0" w:color="auto"/>
      </w:divBdr>
    </w:div>
    <w:div w:id="1198470773">
      <w:bodyDiv w:val="1"/>
      <w:marLeft w:val="0"/>
      <w:marRight w:val="0"/>
      <w:marTop w:val="0"/>
      <w:marBottom w:val="0"/>
      <w:divBdr>
        <w:top w:val="none" w:sz="0" w:space="0" w:color="auto"/>
        <w:left w:val="none" w:sz="0" w:space="0" w:color="auto"/>
        <w:bottom w:val="none" w:sz="0" w:space="0" w:color="auto"/>
        <w:right w:val="none" w:sz="0" w:space="0" w:color="auto"/>
      </w:divBdr>
    </w:div>
    <w:div w:id="1307662335">
      <w:bodyDiv w:val="1"/>
      <w:marLeft w:val="0"/>
      <w:marRight w:val="0"/>
      <w:marTop w:val="0"/>
      <w:marBottom w:val="0"/>
      <w:divBdr>
        <w:top w:val="none" w:sz="0" w:space="0" w:color="auto"/>
        <w:left w:val="none" w:sz="0" w:space="0" w:color="auto"/>
        <w:bottom w:val="none" w:sz="0" w:space="0" w:color="auto"/>
        <w:right w:val="none" w:sz="0" w:space="0" w:color="auto"/>
      </w:divBdr>
    </w:div>
    <w:div w:id="1455441528">
      <w:bodyDiv w:val="1"/>
      <w:marLeft w:val="0"/>
      <w:marRight w:val="0"/>
      <w:marTop w:val="0"/>
      <w:marBottom w:val="0"/>
      <w:divBdr>
        <w:top w:val="none" w:sz="0" w:space="0" w:color="auto"/>
        <w:left w:val="none" w:sz="0" w:space="0" w:color="auto"/>
        <w:bottom w:val="none" w:sz="0" w:space="0" w:color="auto"/>
        <w:right w:val="none" w:sz="0" w:space="0" w:color="auto"/>
      </w:divBdr>
    </w:div>
    <w:div w:id="1468821659">
      <w:bodyDiv w:val="1"/>
      <w:marLeft w:val="0"/>
      <w:marRight w:val="0"/>
      <w:marTop w:val="0"/>
      <w:marBottom w:val="0"/>
      <w:divBdr>
        <w:top w:val="none" w:sz="0" w:space="0" w:color="auto"/>
        <w:left w:val="none" w:sz="0" w:space="0" w:color="auto"/>
        <w:bottom w:val="none" w:sz="0" w:space="0" w:color="auto"/>
        <w:right w:val="none" w:sz="0" w:space="0" w:color="auto"/>
      </w:divBdr>
    </w:div>
    <w:div w:id="1485466611">
      <w:bodyDiv w:val="1"/>
      <w:marLeft w:val="0"/>
      <w:marRight w:val="0"/>
      <w:marTop w:val="0"/>
      <w:marBottom w:val="0"/>
      <w:divBdr>
        <w:top w:val="none" w:sz="0" w:space="0" w:color="auto"/>
        <w:left w:val="none" w:sz="0" w:space="0" w:color="auto"/>
        <w:bottom w:val="none" w:sz="0" w:space="0" w:color="auto"/>
        <w:right w:val="none" w:sz="0" w:space="0" w:color="auto"/>
      </w:divBdr>
    </w:div>
    <w:div w:id="1598096978">
      <w:bodyDiv w:val="1"/>
      <w:marLeft w:val="0"/>
      <w:marRight w:val="0"/>
      <w:marTop w:val="0"/>
      <w:marBottom w:val="0"/>
      <w:divBdr>
        <w:top w:val="none" w:sz="0" w:space="0" w:color="auto"/>
        <w:left w:val="none" w:sz="0" w:space="0" w:color="auto"/>
        <w:bottom w:val="none" w:sz="0" w:space="0" w:color="auto"/>
        <w:right w:val="none" w:sz="0" w:space="0" w:color="auto"/>
      </w:divBdr>
    </w:div>
    <w:div w:id="1641963588">
      <w:bodyDiv w:val="1"/>
      <w:marLeft w:val="0"/>
      <w:marRight w:val="0"/>
      <w:marTop w:val="0"/>
      <w:marBottom w:val="0"/>
      <w:divBdr>
        <w:top w:val="none" w:sz="0" w:space="0" w:color="auto"/>
        <w:left w:val="none" w:sz="0" w:space="0" w:color="auto"/>
        <w:bottom w:val="none" w:sz="0" w:space="0" w:color="auto"/>
        <w:right w:val="none" w:sz="0" w:space="0" w:color="auto"/>
      </w:divBdr>
    </w:div>
    <w:div w:id="1680230270">
      <w:bodyDiv w:val="1"/>
      <w:marLeft w:val="0"/>
      <w:marRight w:val="0"/>
      <w:marTop w:val="0"/>
      <w:marBottom w:val="0"/>
      <w:divBdr>
        <w:top w:val="none" w:sz="0" w:space="0" w:color="auto"/>
        <w:left w:val="none" w:sz="0" w:space="0" w:color="auto"/>
        <w:bottom w:val="none" w:sz="0" w:space="0" w:color="auto"/>
        <w:right w:val="none" w:sz="0" w:space="0" w:color="auto"/>
      </w:divBdr>
    </w:div>
    <w:div w:id="1686635385">
      <w:bodyDiv w:val="1"/>
      <w:marLeft w:val="0"/>
      <w:marRight w:val="0"/>
      <w:marTop w:val="0"/>
      <w:marBottom w:val="0"/>
      <w:divBdr>
        <w:top w:val="none" w:sz="0" w:space="0" w:color="auto"/>
        <w:left w:val="none" w:sz="0" w:space="0" w:color="auto"/>
        <w:bottom w:val="none" w:sz="0" w:space="0" w:color="auto"/>
        <w:right w:val="none" w:sz="0" w:space="0" w:color="auto"/>
      </w:divBdr>
    </w:div>
    <w:div w:id="1890068074">
      <w:bodyDiv w:val="1"/>
      <w:marLeft w:val="0"/>
      <w:marRight w:val="0"/>
      <w:marTop w:val="0"/>
      <w:marBottom w:val="0"/>
      <w:divBdr>
        <w:top w:val="none" w:sz="0" w:space="0" w:color="auto"/>
        <w:left w:val="none" w:sz="0" w:space="0" w:color="auto"/>
        <w:bottom w:val="none" w:sz="0" w:space="0" w:color="auto"/>
        <w:right w:val="none" w:sz="0" w:space="0" w:color="auto"/>
      </w:divBdr>
    </w:div>
    <w:div w:id="1892111492">
      <w:bodyDiv w:val="1"/>
      <w:marLeft w:val="0"/>
      <w:marRight w:val="0"/>
      <w:marTop w:val="0"/>
      <w:marBottom w:val="0"/>
      <w:divBdr>
        <w:top w:val="none" w:sz="0" w:space="0" w:color="auto"/>
        <w:left w:val="none" w:sz="0" w:space="0" w:color="auto"/>
        <w:bottom w:val="none" w:sz="0" w:space="0" w:color="auto"/>
        <w:right w:val="none" w:sz="0" w:space="0" w:color="auto"/>
      </w:divBdr>
    </w:div>
    <w:div w:id="2086951396">
      <w:bodyDiv w:val="1"/>
      <w:marLeft w:val="0"/>
      <w:marRight w:val="0"/>
      <w:marTop w:val="0"/>
      <w:marBottom w:val="0"/>
      <w:divBdr>
        <w:top w:val="none" w:sz="0" w:space="0" w:color="auto"/>
        <w:left w:val="none" w:sz="0" w:space="0" w:color="auto"/>
        <w:bottom w:val="none" w:sz="0" w:space="0" w:color="auto"/>
        <w:right w:val="none" w:sz="0" w:space="0" w:color="auto"/>
      </w:divBdr>
    </w:div>
    <w:div w:id="212908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rris.Byers@stantec.com" TargetMode="External"/><Relationship Id="rId13" Type="http://schemas.openxmlformats.org/officeDocument/2006/relationships/hyperlink" Target="http://www.regulations.go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m.gov/policy-data-oversight/pay-leave/salaries-wages/salary-tables/16Tables/html/GS_h.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c.Gerdeman@toledo.oh.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rownfields.IN.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oertel@ifa.IN.gov" TargetMode="External"/><Relationship Id="rId14" Type="http://schemas.openxmlformats.org/officeDocument/2006/relationships/hyperlink" Target="http://www.regulation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ensus.gov/epcd/naics02/naicod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7C959-D32C-4D96-8E9B-8DA77CF8B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5419</Words>
  <Characters>32603</Characters>
  <Application>Microsoft Office Word</Application>
  <DocSecurity>0</DocSecurity>
  <Lines>271</Lines>
  <Paragraphs>75</Paragraphs>
  <ScaleCrop>false</ScaleCrop>
  <HeadingPairs>
    <vt:vector size="2" baseType="variant">
      <vt:variant>
        <vt:lpstr>Title</vt:lpstr>
      </vt:variant>
      <vt:variant>
        <vt:i4>1</vt:i4>
      </vt:variant>
    </vt:vector>
  </HeadingPairs>
  <TitlesOfParts>
    <vt:vector size="1" baseType="lpstr">
      <vt:lpstr>83-I OMB SUPPORTING STATEMENT</vt:lpstr>
    </vt:vector>
  </TitlesOfParts>
  <Company>SRA International, Inc.</Company>
  <LinksUpToDate>false</LinksUpToDate>
  <CharactersWithSpaces>37947</CharactersWithSpaces>
  <SharedDoc>false</SharedDoc>
  <HLinks>
    <vt:vector size="24" baseType="variant">
      <vt:variant>
        <vt:i4>2818151</vt:i4>
      </vt:variant>
      <vt:variant>
        <vt:i4>12</vt:i4>
      </vt:variant>
      <vt:variant>
        <vt:i4>0</vt:i4>
      </vt:variant>
      <vt:variant>
        <vt:i4>5</vt:i4>
      </vt:variant>
      <vt:variant>
        <vt:lpwstr>http://www.regulations.gov/</vt:lpwstr>
      </vt:variant>
      <vt:variant>
        <vt:lpwstr/>
      </vt:variant>
      <vt:variant>
        <vt:i4>2818151</vt:i4>
      </vt:variant>
      <vt:variant>
        <vt:i4>6</vt:i4>
      </vt:variant>
      <vt:variant>
        <vt:i4>0</vt:i4>
      </vt:variant>
      <vt:variant>
        <vt:i4>5</vt:i4>
      </vt:variant>
      <vt:variant>
        <vt:lpwstr>http://www.regulations.gov/</vt:lpwstr>
      </vt:variant>
      <vt:variant>
        <vt:lpwstr/>
      </vt:variant>
      <vt:variant>
        <vt:i4>2818151</vt:i4>
      </vt:variant>
      <vt:variant>
        <vt:i4>3</vt:i4>
      </vt:variant>
      <vt:variant>
        <vt:i4>0</vt:i4>
      </vt:variant>
      <vt:variant>
        <vt:i4>5</vt:i4>
      </vt:variant>
      <vt:variant>
        <vt:lpwstr>http://www.regulations.gov/</vt:lpwstr>
      </vt:variant>
      <vt:variant>
        <vt:lpwstr/>
      </vt:variant>
      <vt:variant>
        <vt:i4>7143468</vt:i4>
      </vt:variant>
      <vt:variant>
        <vt:i4>0</vt:i4>
      </vt:variant>
      <vt:variant>
        <vt:i4>0</vt:i4>
      </vt:variant>
      <vt:variant>
        <vt:i4>5</vt:i4>
      </vt:variant>
      <vt:variant>
        <vt:lpwstr>http://www.census.gov/epcd/naics02/naicod02.htm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OMB SUPPORTING STATEMENT</dc:title>
  <dc:subject/>
  <dc:creator>David Shellard</dc:creator>
  <cp:keywords/>
  <dc:description/>
  <cp:lastModifiedBy>Suzuki, Judy</cp:lastModifiedBy>
  <cp:revision>2</cp:revision>
  <cp:lastPrinted>2012-08-15T13:23:00Z</cp:lastPrinted>
  <dcterms:created xsi:type="dcterms:W3CDTF">2016-04-29T12:52:00Z</dcterms:created>
  <dcterms:modified xsi:type="dcterms:W3CDTF">2016-04-29T12:52:00Z</dcterms:modified>
</cp:coreProperties>
</file>