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w:t>
      </w:r>
      <w:r w:rsidR="009E016C">
        <w:rPr>
          <w:sz w:val="28"/>
        </w:rPr>
        <w:t xml:space="preserve"> </w:t>
      </w:r>
      <w:r w:rsidR="00AA23E6">
        <w:rPr>
          <w:sz w:val="28"/>
        </w:rPr>
        <w:t>3038-0107</w:t>
      </w:r>
      <w:r>
        <w:rPr>
          <w:sz w:val="28"/>
        </w:rPr>
        <w:t>)</w:t>
      </w:r>
    </w:p>
    <w:p w:rsidR="00E50293" w:rsidRPr="009239AA" w:rsidRDefault="00AA23E6" w:rsidP="00434E33">
      <w:pPr>
        <w:rPr>
          <w:b/>
        </w:rPr>
      </w:pPr>
      <w:r>
        <w:rPr>
          <w:b/>
        </w:rPr>
        <w:br/>
      </w:r>
      <w:r>
        <w:rPr>
          <w:b/>
        </w:rPr>
        <w:br/>
      </w:r>
      <w:r w:rsidR="00A72DA1" w:rsidRPr="003E6640">
        <w:rPr>
          <w:b/>
          <w:noProof/>
        </w:rPr>
        <mc:AlternateContent>
          <mc:Choice Requires="wps">
            <w:drawing>
              <wp:anchor distT="0" distB="0" distL="114300" distR="114300" simplePos="0" relativeHeight="251657216" behindDoc="0" locked="0" layoutInCell="0" allowOverlap="1" wp14:anchorId="456ED996" wp14:editId="489E2A28">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3E6640">
        <w:rPr>
          <w:b/>
        </w:rPr>
        <w:t>TITLE OF INFORMATION COLLECTION</w:t>
      </w:r>
      <w:r w:rsidR="005E714A" w:rsidRPr="00434E33">
        <w:rPr>
          <w:b/>
        </w:rPr>
        <w:t>:</w:t>
      </w:r>
      <w:r w:rsidR="005E714A">
        <w:t xml:space="preserve">  </w:t>
      </w:r>
      <w:r w:rsidR="00A54578">
        <w:t>FinTech Forward 2019 Feedback Survey</w:t>
      </w:r>
    </w:p>
    <w:p w:rsidR="005E714A" w:rsidRDefault="005E714A"/>
    <w:p w:rsidR="00D40D49" w:rsidRDefault="00D40D49">
      <w:pPr>
        <w:rPr>
          <w:b/>
        </w:rPr>
      </w:pPr>
    </w:p>
    <w:p w:rsidR="001B0AAA" w:rsidRDefault="00F15956">
      <w:r>
        <w:rPr>
          <w:b/>
        </w:rPr>
        <w:t>PURPOSE</w:t>
      </w:r>
      <w:r w:rsidRPr="009239AA">
        <w:rPr>
          <w:b/>
        </w:rPr>
        <w:t>:</w:t>
      </w:r>
      <w:r w:rsidR="00C14CC4" w:rsidRPr="009239AA">
        <w:rPr>
          <w:b/>
        </w:rPr>
        <w:t xml:space="preserve">  </w:t>
      </w:r>
    </w:p>
    <w:p w:rsidR="001B0AAA" w:rsidRDefault="001B0AAA"/>
    <w:p w:rsidR="00C8488C" w:rsidRDefault="00A54578">
      <w:r>
        <w:t xml:space="preserve">The purpose of this collection is to gather responses from attendees and online participants of FinTech Forward 2019, a one-day conference on FinTech issues impacting markets regulated by the CFTC. The goal of the collection is to identify strengths and possible weaknesses </w:t>
      </w:r>
      <w:r w:rsidR="007E43C6">
        <w:t xml:space="preserve">in all aspects related to </w:t>
      </w:r>
      <w:r>
        <w:t>the conference to make improvements in subsequent years.</w:t>
      </w:r>
    </w:p>
    <w:p w:rsidR="00C8488C" w:rsidRDefault="00C8488C"/>
    <w:p w:rsidR="00F15956" w:rsidRDefault="00F15956"/>
    <w:p w:rsidR="00C8488C" w:rsidRDefault="00C8488C" w:rsidP="00434E33">
      <w:pPr>
        <w:pStyle w:val="Header"/>
        <w:tabs>
          <w:tab w:val="clear" w:pos="4320"/>
          <w:tab w:val="clear" w:pos="8640"/>
        </w:tabs>
        <w:rPr>
          <w:b/>
        </w:rPr>
      </w:pPr>
    </w:p>
    <w:p w:rsidR="00D40D49" w:rsidRDefault="00434E33" w:rsidP="00434E33">
      <w:pPr>
        <w:pStyle w:val="Header"/>
        <w:tabs>
          <w:tab w:val="clear" w:pos="4320"/>
          <w:tab w:val="clear" w:pos="8640"/>
        </w:tabs>
      </w:pPr>
      <w:r w:rsidRPr="00434E33">
        <w:rPr>
          <w:b/>
        </w:rPr>
        <w:t>DESCRIPTION OF RESPONDENTS</w:t>
      </w:r>
      <w:r>
        <w:t xml:space="preserve">: </w:t>
      </w:r>
    </w:p>
    <w:p w:rsidR="00D40D49" w:rsidRDefault="00D40D49" w:rsidP="00434E33">
      <w:pPr>
        <w:pStyle w:val="Header"/>
        <w:tabs>
          <w:tab w:val="clear" w:pos="4320"/>
          <w:tab w:val="clear" w:pos="8640"/>
        </w:tabs>
      </w:pPr>
    </w:p>
    <w:p w:rsidR="00434E33" w:rsidRPr="00434E33" w:rsidRDefault="00A54578" w:rsidP="00434E33">
      <w:pPr>
        <w:pStyle w:val="Header"/>
        <w:tabs>
          <w:tab w:val="clear" w:pos="4320"/>
          <w:tab w:val="clear" w:pos="8640"/>
        </w:tabs>
        <w:rPr>
          <w:i/>
          <w:snapToGrid/>
        </w:rPr>
      </w:pPr>
      <w:r>
        <w:t>In-person attendees and online participants who register</w:t>
      </w:r>
      <w:r w:rsidR="00D40D49">
        <w:t xml:space="preserve"> </w:t>
      </w:r>
      <w:r>
        <w:t>for</w:t>
      </w:r>
      <w:r w:rsidR="00D40D49">
        <w:t xml:space="preserve">, or web stream, </w:t>
      </w:r>
      <w:r>
        <w:t>the FinTech Forward</w:t>
      </w:r>
      <w:r w:rsidR="00D40D49">
        <w:t xml:space="preserve"> C</w:t>
      </w:r>
      <w:r>
        <w:t xml:space="preserve">onference. </w:t>
      </w:r>
      <w:r w:rsidR="00D40D49">
        <w:t xml:space="preserve"> </w:t>
      </w:r>
      <w:r>
        <w:t>Respondents may include the general public, market participants, innovators, entrepreneurs, regulators, policy makers, with an interest in virtual currencies, smart contracts, big data, artificial intelligence and other FinTech related issues.</w:t>
      </w:r>
    </w:p>
    <w:p w:rsidR="00F15956" w:rsidRDefault="00F15956"/>
    <w:p w:rsidR="00C8488C" w:rsidRDefault="00C8488C"/>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w:t>
      </w:r>
      <w:r w:rsidR="00A54578">
        <w:rPr>
          <w:bCs/>
          <w:sz w:val="24"/>
        </w:rPr>
        <w:t xml:space="preserve">X </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D40D49" w:rsidRDefault="00D40D49" w:rsidP="009C13B9"/>
    <w:p w:rsidR="00D40D49" w:rsidRDefault="00D40D49" w:rsidP="009C13B9"/>
    <w:p w:rsidR="009C13B9" w:rsidRDefault="009C13B9" w:rsidP="009C13B9">
      <w:r>
        <w:t>Name:_____</w:t>
      </w:r>
      <w:r w:rsidR="00A54578">
        <w:t>Dan Rutherford</w:t>
      </w:r>
      <w:r>
        <w:t>_____________________________</w:t>
      </w:r>
    </w:p>
    <w:p w:rsidR="009C13B9" w:rsidRDefault="009C13B9" w:rsidP="009C13B9">
      <w:r>
        <w:lastRenderedPageBreak/>
        <w:t>To assist review, please provide answers to the following question:</w:t>
      </w:r>
    </w:p>
    <w:p w:rsidR="009C13B9" w:rsidRDefault="009C13B9" w:rsidP="009C13B9">
      <w:pPr>
        <w:pStyle w:val="ListParagraph"/>
        <w:ind w:left="360"/>
      </w:pPr>
    </w:p>
    <w:p w:rsidR="00C86E91" w:rsidRDefault="00C86E91" w:rsidP="003E6640">
      <w:r w:rsidRPr="00C86E91">
        <w:rPr>
          <w:b/>
        </w:rPr>
        <w:t>Personally Identifiable Information:</w:t>
      </w:r>
      <w:r w:rsidR="003E6640">
        <w:rPr>
          <w:b/>
        </w:rPr>
        <w:br/>
      </w:r>
      <w:r w:rsidR="009C13B9">
        <w:t>Is</w:t>
      </w:r>
      <w:r w:rsidR="00237B48">
        <w:t xml:space="preserve"> personally identifiable information (PII) collected</w:t>
      </w:r>
      <w:r w:rsidR="009C13B9">
        <w:t xml:space="preserve">?  </w:t>
      </w:r>
      <w:r w:rsidR="009239AA">
        <w:t>[  ] Yes  [</w:t>
      </w:r>
      <w:r w:rsidR="003E6640">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  ] Yes [ </w:t>
      </w:r>
      <w:r w:rsidR="00A54578">
        <w:t>X</w:t>
      </w:r>
      <w:r>
        <w:t xml:space="preserve"> ] No  </w:t>
      </w:r>
    </w:p>
    <w:p w:rsidR="004D6E14" w:rsidRDefault="004D6E14">
      <w:pPr>
        <w:rPr>
          <w:b/>
        </w:rPr>
      </w:pPr>
    </w:p>
    <w:p w:rsidR="00F24CFC" w:rsidRDefault="00F24CFC">
      <w:pPr>
        <w:rPr>
          <w:b/>
        </w:rPr>
      </w:pPr>
    </w:p>
    <w:p w:rsidR="003E6640" w:rsidRDefault="003E6640" w:rsidP="00C86E91">
      <w:pPr>
        <w:rPr>
          <w:b/>
        </w:rPr>
      </w:pPr>
    </w:p>
    <w:p w:rsidR="005E714A" w:rsidRDefault="003E6640" w:rsidP="00C86E91">
      <w:pPr>
        <w:rPr>
          <w:i/>
        </w:rPr>
      </w:pPr>
      <w:r>
        <w:rPr>
          <w:b/>
        </w:rPr>
        <w:t>B</w:t>
      </w:r>
      <w:r w:rsidR="005E714A">
        <w:rPr>
          <w:b/>
        </w:rPr>
        <w:t>URDEN HOUR</w:t>
      </w:r>
      <w:r w:rsidR="00441434">
        <w:rPr>
          <w:b/>
        </w:rPr>
        <w:t>S</w:t>
      </w:r>
      <w:r w:rsidR="005E714A">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01027E">
        <w:trPr>
          <w:trHeight w:val="274"/>
        </w:trPr>
        <w:tc>
          <w:tcPr>
            <w:tcW w:w="5418" w:type="dxa"/>
          </w:tcPr>
          <w:p w:rsidR="006832D9" w:rsidRDefault="00E21053" w:rsidP="00843796">
            <w:r>
              <w:t>Conference attendees</w:t>
            </w:r>
          </w:p>
        </w:tc>
        <w:tc>
          <w:tcPr>
            <w:tcW w:w="1530" w:type="dxa"/>
          </w:tcPr>
          <w:p w:rsidR="006832D9" w:rsidRDefault="00E21053" w:rsidP="00843796">
            <w:r>
              <w:t>350</w:t>
            </w:r>
            <w:r w:rsidR="003C7E27">
              <w:rPr>
                <w:rStyle w:val="FootnoteReference"/>
              </w:rPr>
              <w:footnoteReference w:id="1"/>
            </w:r>
          </w:p>
        </w:tc>
        <w:tc>
          <w:tcPr>
            <w:tcW w:w="1710" w:type="dxa"/>
          </w:tcPr>
          <w:p w:rsidR="006832D9" w:rsidRDefault="00E21053" w:rsidP="00843796">
            <w:r>
              <w:t>10 minutes</w:t>
            </w:r>
          </w:p>
        </w:tc>
        <w:tc>
          <w:tcPr>
            <w:tcW w:w="1003" w:type="dxa"/>
          </w:tcPr>
          <w:p w:rsidR="006832D9" w:rsidRDefault="00E21053" w:rsidP="00843796">
            <w:r>
              <w:t>58 hours</w:t>
            </w:r>
          </w:p>
        </w:tc>
      </w:tr>
      <w:tr w:rsidR="00EF2095" w:rsidTr="0001027E">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01027E">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E21053" w:rsidP="00843796">
            <w:pPr>
              <w:rPr>
                <w:b/>
              </w:rPr>
            </w:pPr>
            <w:r>
              <w:rPr>
                <w:b/>
              </w:rPr>
              <w:t>350</w:t>
            </w:r>
          </w:p>
        </w:tc>
        <w:tc>
          <w:tcPr>
            <w:tcW w:w="1710" w:type="dxa"/>
          </w:tcPr>
          <w:p w:rsidR="006832D9" w:rsidRDefault="00E21053" w:rsidP="00843796">
            <w:r>
              <w:t>10 minutes</w:t>
            </w:r>
          </w:p>
        </w:tc>
        <w:tc>
          <w:tcPr>
            <w:tcW w:w="1003" w:type="dxa"/>
          </w:tcPr>
          <w:p w:rsidR="006832D9" w:rsidRPr="0001027E" w:rsidRDefault="00E21053" w:rsidP="00843796">
            <w:pPr>
              <w:rPr>
                <w:b/>
              </w:rPr>
            </w:pPr>
            <w:r>
              <w:rPr>
                <w:b/>
              </w:rPr>
              <w:t>58 Hours</w:t>
            </w:r>
          </w:p>
        </w:tc>
      </w:tr>
    </w:tbl>
    <w:p w:rsidR="00F3170F" w:rsidRDefault="00F3170F" w:rsidP="00F3170F"/>
    <w:p w:rsidR="005E714A" w:rsidRPr="003E6640"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0F0DE2" w:rsidRPr="003E6640">
        <w:t>$277.</w:t>
      </w:r>
    </w:p>
    <w:p w:rsidR="000F0DE2" w:rsidRDefault="000F0DE2"/>
    <w:p w:rsidR="000F0DE2" w:rsidRPr="000F0DE2" w:rsidRDefault="000F0DE2" w:rsidP="00BE4438">
      <w:pPr>
        <w:ind w:left="720"/>
        <w:rPr>
          <w:b/>
        </w:rPr>
      </w:pPr>
      <w:r>
        <w:t xml:space="preserve">The only cost to the federal government for this sample would be staff time to email the invitation to take the survey, post the link to the survey, monitor results, and draft a brief report for management. In all, this should total approximately four hours. We also assume the hourly </w:t>
      </w:r>
      <w:r w:rsidR="00FE47C9">
        <w:t xml:space="preserve">2019 </w:t>
      </w:r>
      <w:r>
        <w:t>salary of a Washington, D.C.-based staff member in the CT-14 pay band.</w:t>
      </w:r>
      <w:r w:rsidR="00F1087B">
        <w:rPr>
          <w:rStyle w:val="FootnoteReference"/>
        </w:rPr>
        <w:footnoteReference w:id="2"/>
      </w:r>
      <w:r>
        <w:t xml:space="preserve">  The Commission will </w:t>
      </w:r>
      <w:r w:rsidR="00FE47C9">
        <w:t>employ</w:t>
      </w:r>
      <w:r>
        <w:t xml:space="preserve"> an enterprise</w:t>
      </w:r>
      <w:r w:rsidR="00FE47C9">
        <w:t>-wide</w:t>
      </w:r>
      <w:r>
        <w:t xml:space="preserve"> on</w:t>
      </w:r>
      <w:r w:rsidR="00FE47C9">
        <w:t>line</w:t>
      </w:r>
      <w:r>
        <w:t xml:space="preserve"> survey application</w:t>
      </w:r>
      <w:r w:rsidR="00FE47C9">
        <w:t xml:space="preserve"> for this collection. The </w:t>
      </w:r>
      <w:r w:rsidR="009B3ACD">
        <w:t>C</w:t>
      </w:r>
      <w:r w:rsidR="00FE47C9">
        <w:t>ommission pays an annual software-as-a-service licensing fee for this application, which is used for internal purposes but can also be used for external polling. Therefore, this collection would not incur any additional charges to operate or analyze.</w:t>
      </w:r>
    </w:p>
    <w:p w:rsidR="00ED6492" w:rsidRDefault="00ED6492">
      <w:pPr>
        <w:rPr>
          <w:b/>
          <w:bCs/>
          <w:u w:val="single"/>
        </w:rPr>
      </w:pPr>
    </w:p>
    <w:p w:rsidR="0069403B" w:rsidRDefault="00ED6492" w:rsidP="00F06866">
      <w:pPr>
        <w:rPr>
          <w:b/>
        </w:rPr>
      </w:pPr>
      <w:r>
        <w:rPr>
          <w:b/>
          <w:bCs/>
          <w:u w:val="single"/>
        </w:rPr>
        <w:lastRenderedPageBreak/>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E21053">
        <w:t xml:space="preserve"> X</w:t>
      </w:r>
      <w:r>
        <w:t xml:space="preserve"> ]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BE4438" w:rsidRDefault="00BE4438" w:rsidP="00BE4438">
      <w:pPr>
        <w:ind w:left="720"/>
      </w:pPr>
      <w:r>
        <w:t>A registration list of i</w:t>
      </w:r>
      <w:r w:rsidR="00E21053">
        <w:t xml:space="preserve">n-person attendees </w:t>
      </w:r>
      <w:r>
        <w:t xml:space="preserve">of </w:t>
      </w:r>
      <w:r w:rsidR="00E21053">
        <w:t xml:space="preserve">the conference </w:t>
      </w:r>
      <w:r>
        <w:t>will be the primary universe of potential respondents</w:t>
      </w:r>
      <w:r w:rsidR="003E6640">
        <w:t>.</w:t>
      </w:r>
      <w:r w:rsidR="003E6640">
        <w:rPr>
          <w:rStyle w:val="FootnoteReference"/>
        </w:rPr>
        <w:footnoteReference w:id="3"/>
      </w:r>
      <w:r w:rsidR="003E6640">
        <w:t xml:space="preserve">  </w:t>
      </w:r>
      <w:r>
        <w:t>We will also post a survey link with the live web</w:t>
      </w:r>
      <w:r w:rsidR="0090622A">
        <w:t xml:space="preserve"> stream</w:t>
      </w:r>
      <w:r>
        <w:t xml:space="preserve"> to possibly capture viewers who opt-in to provide feedback. </w:t>
      </w:r>
      <w:r w:rsidR="0090622A">
        <w:t xml:space="preserve">The survey </w:t>
      </w:r>
      <w:r w:rsidR="00141B9C">
        <w:t>itself would not collect</w:t>
      </w:r>
      <w:r w:rsidR="000E5F17">
        <w:t xml:space="preserve"> PII</w:t>
      </w:r>
      <w:r w:rsidR="00D96B2A">
        <w:t xml:space="preserve">, and </w:t>
      </w:r>
      <w:r w:rsidR="0090622A">
        <w:t>would only be made available to those who register to attend the event in-person and web stream viewers. No other sampling is being considered.</w:t>
      </w:r>
      <w:r w:rsidR="00D96B2A">
        <w:t xml:space="preserve">  </w:t>
      </w:r>
    </w:p>
    <w:p w:rsidR="003E6640" w:rsidRDefault="003E6640" w:rsidP="00BE4438">
      <w:pPr>
        <w:ind w:left="720"/>
      </w:pPr>
    </w:p>
    <w:p w:rsidR="00A403BB" w:rsidRDefault="0090622A" w:rsidP="0090622A">
      <w:pPr>
        <w:ind w:left="720"/>
      </w:pPr>
      <w:r>
        <w:t>In-person r</w:t>
      </w:r>
      <w:r w:rsidR="00BE4438">
        <w:t xml:space="preserve">egistrants </w:t>
      </w:r>
      <w:r>
        <w:t xml:space="preserve">are required to provide their email addresses when they register. After the event, these registrants </w:t>
      </w:r>
      <w:r w:rsidR="00E21053">
        <w:t xml:space="preserve">would receive an email containing a </w:t>
      </w:r>
      <w:r>
        <w:t xml:space="preserve">link and a </w:t>
      </w:r>
      <w:r w:rsidR="00E21053">
        <w:t xml:space="preserve">request to complete the voluntary survey. </w:t>
      </w:r>
      <w:r>
        <w:t>The same link would be provided to web stream viewers</w:t>
      </w:r>
      <w:r w:rsidR="003E6640">
        <w:t xml:space="preserve"> at the end of the conference webcast</w:t>
      </w:r>
      <w:r w:rsidR="00141B9C">
        <w:t>, who are not required to furnish PII in order</w:t>
      </w:r>
      <w:r w:rsidR="003E6640">
        <w:t xml:space="preserve"> </w:t>
      </w:r>
      <w:r w:rsidR="00BE4438">
        <w:t xml:space="preserve">to access or complete the survey. </w:t>
      </w:r>
      <w:r w:rsidR="00141B9C">
        <w:t xml:space="preserve">The </w:t>
      </w:r>
      <w:r w:rsidR="000E5F17">
        <w:t xml:space="preserve">CFTC </w:t>
      </w:r>
      <w:r w:rsidR="00141B9C">
        <w:t xml:space="preserve">web site </w:t>
      </w:r>
      <w:r w:rsidR="000E5F17">
        <w:t xml:space="preserve">does </w:t>
      </w:r>
      <w:r w:rsidR="00141B9C">
        <w:t xml:space="preserve">not </w:t>
      </w:r>
      <w:r w:rsidR="000E5F17">
        <w:t xml:space="preserve">use persistent </w:t>
      </w:r>
      <w:r w:rsidR="00141B9C">
        <w:t xml:space="preserve">cookies </w:t>
      </w:r>
      <w:r w:rsidR="000E5F17">
        <w:t xml:space="preserve">to </w:t>
      </w:r>
      <w:r w:rsidR="00141B9C">
        <w:t xml:space="preserve">retain </w:t>
      </w:r>
      <w:r w:rsidR="000E5F17">
        <w:t xml:space="preserve">PII </w:t>
      </w:r>
      <w:r w:rsidR="00141B9C">
        <w:t>of web stream viewers.</w:t>
      </w:r>
      <w:r w:rsidR="000E5F17">
        <w:rPr>
          <w:rStyle w:val="FootnoteReference"/>
        </w:rPr>
        <w:footnoteReference w:id="4"/>
      </w:r>
    </w:p>
    <w:p w:rsidR="00A403BB" w:rsidRDefault="00A403BB" w:rsidP="00A403BB"/>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3E6640">
        <w:t>X</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 xml:space="preserve">Will interviewers or facilitators be used?  [  ] Yes [ </w:t>
      </w:r>
      <w:r w:rsidR="00F760A3">
        <w:t>X</w:t>
      </w:r>
      <w:r>
        <w:t xml:space="preserve">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AA23E6" w:rsidRDefault="00AA23E6">
      <w:pPr>
        <w:rPr>
          <w:b/>
          <w:bCs/>
          <w:sz w:val="28"/>
        </w:rPr>
      </w:pPr>
      <w:r>
        <w:rPr>
          <w:sz w:val="28"/>
        </w:rPr>
        <w:br w:type="page"/>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A72DA1" w:rsidP="00F24CFC">
      <w:pPr>
        <w:rPr>
          <w:b/>
        </w:rPr>
      </w:pPr>
      <w:r>
        <w:rPr>
          <w:b/>
          <w:noProof/>
        </w:rPr>
        <mc:AlternateContent>
          <mc:Choice Requires="wps">
            <w:drawing>
              <wp:anchor distT="0" distB="0" distL="114300" distR="114300" simplePos="0" relativeHeight="251658240" behindDoc="0" locked="0" layoutInCell="0" allowOverlap="1" wp14:anchorId="76C41220" wp14:editId="5AF84E68">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w:t>
      </w:r>
      <w:r w:rsidR="00B824F4">
        <w:t xml:space="preserve"> </w:t>
      </w:r>
      <w:r>
        <w:t>(2) Private Sector; (3) State, local, or tribal governments; or (4) Federal Government.  Only one type of respondent can be selected</w:t>
      </w:r>
      <w:r w:rsidR="00CF6542">
        <w:t xml:space="preserve"> per row</w:t>
      </w:r>
      <w:r>
        <w:t xml:space="preserve">. </w:t>
      </w:r>
    </w:p>
    <w:p w:rsidR="008F50D4" w:rsidRDefault="00AA23E6" w:rsidP="00F24CFC">
      <w:r>
        <w:rPr>
          <w:b/>
        </w:rPr>
        <w:br/>
      </w:r>
      <w:r w:rsidR="008F50D4" w:rsidRPr="008F50D4">
        <w:rPr>
          <w:b/>
        </w:rPr>
        <w:t>No</w:t>
      </w:r>
      <w:r w:rsidR="008F50D4">
        <w:rPr>
          <w:b/>
        </w:rPr>
        <w:t>.</w:t>
      </w:r>
      <w:r w:rsidR="008F50D4" w:rsidRPr="008F50D4">
        <w:rPr>
          <w:b/>
        </w:rPr>
        <w:t xml:space="preserve"> of Respondents:</w:t>
      </w:r>
      <w:r w:rsidR="008F50D4">
        <w:t xml:space="preserve">  Provid</w:t>
      </w:r>
      <w:r w:rsidR="00F51AC7">
        <w:t>e an estimate of the Number of R</w:t>
      </w:r>
      <w:r w:rsidR="008F50D4">
        <w:t>espondents.</w:t>
      </w:r>
    </w:p>
    <w:p w:rsidR="008F50D4" w:rsidRDefault="00AA23E6" w:rsidP="00F24CFC">
      <w:r>
        <w:rPr>
          <w:b/>
        </w:rPr>
        <w:br/>
      </w:r>
      <w:r w:rsidR="008F50D4">
        <w:rPr>
          <w:b/>
        </w:rPr>
        <w:t xml:space="preserve">Participation Time:  </w:t>
      </w:r>
      <w:r w:rsidR="008F50D4">
        <w:t>Provide an estimate of the amount of time</w:t>
      </w:r>
      <w:r w:rsidR="0041242E">
        <w:t xml:space="preserve"> (in minutes)</w:t>
      </w:r>
      <w:r w:rsidR="008F50D4">
        <w:t xml:space="preserve"> required for a respondent to participate (e.g. fill out a survey or participate in a focus group)</w:t>
      </w:r>
    </w:p>
    <w:p w:rsidR="00F24CFC" w:rsidRPr="008F50D4" w:rsidRDefault="00AA23E6" w:rsidP="00F24CFC">
      <w:r>
        <w:rPr>
          <w:b/>
        </w:rPr>
        <w:br/>
      </w:r>
      <w:r w:rsidR="008F50D4" w:rsidRPr="008F50D4">
        <w:rPr>
          <w:b/>
        </w:rPr>
        <w:t>Burden:</w:t>
      </w:r>
      <w:r w:rsidR="008F50D4">
        <w:t xml:space="preserve">  Provide the </w:t>
      </w:r>
      <w:r w:rsidR="00F24CFC" w:rsidRPr="008F50D4">
        <w:t xml:space="preserve">Annual burden </w:t>
      </w:r>
      <w:r w:rsidR="00F51AC7">
        <w:t>hours:  Multiply the Number of R</w:t>
      </w:r>
      <w:r w:rsidR="00F24CFC" w:rsidRPr="008F50D4">
        <w:t>espon</w:t>
      </w:r>
      <w:r w:rsidR="00F51AC7">
        <w:t>dents and the P</w:t>
      </w:r>
      <w:r w:rsidR="00F24CFC" w:rsidRPr="008F50D4">
        <w:t>articipat</w:t>
      </w:r>
      <w:r w:rsidR="00F51AC7">
        <w:t>ion T</w:t>
      </w:r>
      <w:r w:rsidR="00F24CFC" w:rsidRPr="008F50D4">
        <w:t xml:space="preserve">ime </w:t>
      </w:r>
      <w:r w:rsidR="0041242E">
        <w:t>then</w:t>
      </w:r>
      <w:r w:rsidR="008F50D4">
        <w:t xml:space="preserve"> </w:t>
      </w:r>
      <w:r w:rsidR="003F1C5B">
        <w:t>divide by 60.</w:t>
      </w:r>
    </w:p>
    <w:p w:rsidR="00F24CFC" w:rsidRPr="006832D9" w:rsidRDefault="00F24CFC" w:rsidP="00F24CFC">
      <w:pPr>
        <w:keepNext/>
        <w:keepLines/>
        <w:rPr>
          <w:b/>
        </w:rPr>
      </w:pPr>
    </w:p>
    <w:p w:rsidR="00F24CFC" w:rsidRDefault="00F24CFC" w:rsidP="00F24CFC">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C85A34" w:rsidRDefault="00C85A34" w:rsidP="00F24CFC"/>
    <w:p w:rsidR="00F24CFC" w:rsidRPr="00CF6542" w:rsidRDefault="00F24CFC" w:rsidP="00F24CFC">
      <w:pPr>
        <w:rPr>
          <w:b/>
          <w:bCs/>
          <w:sz w:val="20"/>
          <w:szCs w:val="20"/>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Pr="00CF6542" w:rsidRDefault="00F24CFC" w:rsidP="00F24CFC">
      <w:pPr>
        <w:rPr>
          <w:b/>
          <w:sz w:val="20"/>
          <w:szCs w:val="20"/>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C85A34" w:rsidRDefault="00C85A34" w:rsidP="00F24CFC"/>
    <w:p w:rsidR="00C85A34" w:rsidRDefault="00C85A34" w:rsidP="00C85A34">
      <w:r>
        <w:t>In-person attendees will register for the conference via an online registration application that will capture their email addresses. These participants would receive an email containing a request to complete the voluntary survey. Likewise, a link to the survey would be posted alongside the link to participate via webcast. Webcast participants would have the option to voluntarily respond to the survey after viewing the webcast.  The survey would be made available to both in-person and webcast attendees, who would then self-select to take the survey. No other sampling is being considered.</w:t>
      </w:r>
    </w:p>
    <w:p w:rsidR="00F24CFC" w:rsidRPr="00CF6542" w:rsidRDefault="00F24CFC" w:rsidP="00F24CFC">
      <w:pPr>
        <w:rPr>
          <w:b/>
          <w:sz w:val="20"/>
          <w:szCs w:val="20"/>
        </w:rPr>
      </w:pPr>
    </w:p>
    <w:p w:rsidR="00F24CFC"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C85A34" w:rsidRDefault="00C85A34" w:rsidP="00F24CFC"/>
    <w:p w:rsidR="00C85A34" w:rsidRPr="003F1C5B" w:rsidRDefault="00C85A34" w:rsidP="00F24CFC">
      <w:r>
        <w:t>The information would be collected via an online survey application.</w:t>
      </w:r>
    </w:p>
    <w:p w:rsidR="00F24CFC" w:rsidRDefault="00F24CFC" w:rsidP="00F24CFC">
      <w:pPr>
        <w:pStyle w:val="ListParagraph"/>
        <w:ind w:left="360"/>
      </w:pPr>
    </w:p>
    <w:p w:rsidR="005E714A" w:rsidRPr="008228C3" w:rsidRDefault="00CF6542" w:rsidP="008228C3">
      <w:pPr>
        <w:rPr>
          <w:b/>
        </w:rPr>
      </w:pPr>
      <w:r>
        <w:rPr>
          <w:b/>
        </w:rPr>
        <w:t xml:space="preserve">Submit </w:t>
      </w:r>
      <w:r w:rsidR="00F24CFC" w:rsidRPr="00F24CFC">
        <w:rPr>
          <w:b/>
        </w:rPr>
        <w:t>all instruments, instructions, and scripts are submitted with the request.</w:t>
      </w:r>
    </w:p>
    <w:sectPr w:rsidR="005E714A" w:rsidRPr="008228C3" w:rsidSect="00D40D49">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04E" w:rsidRDefault="0098404E">
      <w:r>
        <w:separator/>
      </w:r>
    </w:p>
  </w:endnote>
  <w:endnote w:type="continuationSeparator" w:id="0">
    <w:p w:rsidR="0098404E" w:rsidRDefault="00984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72182A">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04E" w:rsidRDefault="0098404E">
      <w:r>
        <w:separator/>
      </w:r>
    </w:p>
  </w:footnote>
  <w:footnote w:type="continuationSeparator" w:id="0">
    <w:p w:rsidR="0098404E" w:rsidRDefault="0098404E">
      <w:r>
        <w:continuationSeparator/>
      </w:r>
    </w:p>
  </w:footnote>
  <w:footnote w:id="1">
    <w:p w:rsidR="003C7E27" w:rsidRDefault="003C7E27">
      <w:pPr>
        <w:pStyle w:val="FootnoteText"/>
      </w:pPr>
      <w:r>
        <w:rPr>
          <w:rStyle w:val="FootnoteReference"/>
        </w:rPr>
        <w:footnoteRef/>
      </w:r>
      <w:r>
        <w:t xml:space="preserve"> This is an estimate of the number of people who would complete the survey. The estimate assumes a similar number of in-person registrants (approximately 500) and online participants (approximately 1,500) as participated in the same event in 2018.  We further assume that roughly half of those registering to attend in person and </w:t>
      </w:r>
      <w:r w:rsidR="000C3382">
        <w:t xml:space="preserve">close to 7% </w:t>
      </w:r>
      <w:r>
        <w:t xml:space="preserve">of those viewing the event via live web stream would participate in this opt-in survey. </w:t>
      </w:r>
      <w:r w:rsidR="00D96B2A">
        <w:br/>
      </w:r>
    </w:p>
  </w:footnote>
  <w:footnote w:id="2">
    <w:p w:rsidR="00F1087B" w:rsidRDefault="00F1087B" w:rsidP="00F1087B">
      <w:pPr>
        <w:pStyle w:val="FootnoteText"/>
      </w:pPr>
      <w:r>
        <w:rPr>
          <w:rStyle w:val="FootnoteReference"/>
        </w:rPr>
        <w:footnoteRef/>
      </w:r>
      <w:r>
        <w:t xml:space="preserve"> The hourly wage is derived from an annual salary of $143,707 for a CT-14 employee living in the Washington DC, who has an annual base salary of $111,125 plus $32,582 (or 29.32%) for locality increase, according to the CFTC 2019 Pay Table. The annual salary is then converted to the hourly wage, and the total of four hours rounded up to a whole dollar amount. </w:t>
      </w:r>
    </w:p>
    <w:p w:rsidR="00F1087B" w:rsidRDefault="00F1087B">
      <w:pPr>
        <w:pStyle w:val="FootnoteText"/>
      </w:pPr>
    </w:p>
  </w:footnote>
  <w:footnote w:id="3">
    <w:p w:rsidR="003E6640" w:rsidRDefault="003E6640">
      <w:pPr>
        <w:pStyle w:val="FootnoteText"/>
      </w:pPr>
      <w:r>
        <w:rPr>
          <w:rStyle w:val="FootnoteReference"/>
        </w:rPr>
        <w:footnoteRef/>
      </w:r>
      <w:r>
        <w:t xml:space="preserve"> </w:t>
      </w:r>
      <w:r w:rsidRPr="00141B9C">
        <w:t>CFTC SORN-53: Mailing, Event, and General Contacts Lists, 84 FR 17815 (April 26, 2019).</w:t>
      </w:r>
      <w:r>
        <w:t xml:space="preserve"> </w:t>
      </w:r>
      <w:r>
        <w:br/>
      </w:r>
    </w:p>
  </w:footnote>
  <w:footnote w:id="4">
    <w:p w:rsidR="000E5F17" w:rsidRDefault="000E5F17">
      <w:pPr>
        <w:pStyle w:val="FootnoteText"/>
      </w:pPr>
      <w:r>
        <w:rPr>
          <w:rStyle w:val="FootnoteReference"/>
        </w:rPr>
        <w:footnoteRef/>
      </w:r>
      <w:r>
        <w:t xml:space="preserve"> </w:t>
      </w:r>
      <w:r w:rsidRPr="00D40D49">
        <w:rPr>
          <w:i/>
        </w:rPr>
        <w:t>See</w:t>
      </w:r>
      <w:r>
        <w:t xml:space="preserve"> CFTC Website Privacy Policy, </w:t>
      </w:r>
      <w:hyperlink r:id="rId1" w:anchor="cookies" w:history="1">
        <w:r w:rsidRPr="00D51D30">
          <w:rPr>
            <w:rStyle w:val="Hyperlink"/>
          </w:rPr>
          <w:t>https://www.cftc.gov/Transparency/PrivacyOffice/WebSitePrivacyPolicy/index.htm#cookies</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4546F"/>
    <w:rsid w:val="00047A64"/>
    <w:rsid w:val="00067329"/>
    <w:rsid w:val="000B2838"/>
    <w:rsid w:val="000C3382"/>
    <w:rsid w:val="000D44CA"/>
    <w:rsid w:val="000E200B"/>
    <w:rsid w:val="000E5F17"/>
    <w:rsid w:val="000F0DE2"/>
    <w:rsid w:val="000F68BE"/>
    <w:rsid w:val="00141B9C"/>
    <w:rsid w:val="001927A4"/>
    <w:rsid w:val="00194AC6"/>
    <w:rsid w:val="001A23B0"/>
    <w:rsid w:val="001A25CC"/>
    <w:rsid w:val="001B0AAA"/>
    <w:rsid w:val="001C39F7"/>
    <w:rsid w:val="002103B6"/>
    <w:rsid w:val="00237B48"/>
    <w:rsid w:val="0024521E"/>
    <w:rsid w:val="00263C3D"/>
    <w:rsid w:val="00274D0B"/>
    <w:rsid w:val="002B052D"/>
    <w:rsid w:val="002B34CD"/>
    <w:rsid w:val="002B3C95"/>
    <w:rsid w:val="002D0B92"/>
    <w:rsid w:val="002F0352"/>
    <w:rsid w:val="003145D6"/>
    <w:rsid w:val="003C7E27"/>
    <w:rsid w:val="003D5BBE"/>
    <w:rsid w:val="003E3C61"/>
    <w:rsid w:val="003E6640"/>
    <w:rsid w:val="003F1C5B"/>
    <w:rsid w:val="0041242E"/>
    <w:rsid w:val="00434E33"/>
    <w:rsid w:val="00441434"/>
    <w:rsid w:val="0045264C"/>
    <w:rsid w:val="004876EC"/>
    <w:rsid w:val="004D6E14"/>
    <w:rsid w:val="005009B0"/>
    <w:rsid w:val="005A1006"/>
    <w:rsid w:val="005E714A"/>
    <w:rsid w:val="005F693D"/>
    <w:rsid w:val="006140A0"/>
    <w:rsid w:val="00636621"/>
    <w:rsid w:val="00642B49"/>
    <w:rsid w:val="006832D9"/>
    <w:rsid w:val="0069403B"/>
    <w:rsid w:val="006F3DDE"/>
    <w:rsid w:val="00704678"/>
    <w:rsid w:val="0072182A"/>
    <w:rsid w:val="007425E7"/>
    <w:rsid w:val="007E43C6"/>
    <w:rsid w:val="007F7080"/>
    <w:rsid w:val="00802607"/>
    <w:rsid w:val="008101A5"/>
    <w:rsid w:val="00822664"/>
    <w:rsid w:val="008228C3"/>
    <w:rsid w:val="00843796"/>
    <w:rsid w:val="00843C7A"/>
    <w:rsid w:val="00854CBC"/>
    <w:rsid w:val="00895229"/>
    <w:rsid w:val="008B2EB3"/>
    <w:rsid w:val="008F0203"/>
    <w:rsid w:val="008F50D4"/>
    <w:rsid w:val="008F63B5"/>
    <w:rsid w:val="0090622A"/>
    <w:rsid w:val="009239AA"/>
    <w:rsid w:val="00935ADA"/>
    <w:rsid w:val="00946B6C"/>
    <w:rsid w:val="00955A71"/>
    <w:rsid w:val="0096108F"/>
    <w:rsid w:val="0098404E"/>
    <w:rsid w:val="009B3ACD"/>
    <w:rsid w:val="009C13B9"/>
    <w:rsid w:val="009D01A2"/>
    <w:rsid w:val="009E016C"/>
    <w:rsid w:val="009F5923"/>
    <w:rsid w:val="00A403BB"/>
    <w:rsid w:val="00A54578"/>
    <w:rsid w:val="00A674DF"/>
    <w:rsid w:val="00A72DA1"/>
    <w:rsid w:val="00A83AA6"/>
    <w:rsid w:val="00A934D6"/>
    <w:rsid w:val="00AA23E6"/>
    <w:rsid w:val="00AE1809"/>
    <w:rsid w:val="00AF5F7D"/>
    <w:rsid w:val="00B80D76"/>
    <w:rsid w:val="00B824F4"/>
    <w:rsid w:val="00BA2105"/>
    <w:rsid w:val="00BA7E06"/>
    <w:rsid w:val="00BB3CBF"/>
    <w:rsid w:val="00BB43B5"/>
    <w:rsid w:val="00BB6219"/>
    <w:rsid w:val="00BD290F"/>
    <w:rsid w:val="00BD78CA"/>
    <w:rsid w:val="00BE4438"/>
    <w:rsid w:val="00C07570"/>
    <w:rsid w:val="00C14CC4"/>
    <w:rsid w:val="00C33C52"/>
    <w:rsid w:val="00C40D8B"/>
    <w:rsid w:val="00C8407A"/>
    <w:rsid w:val="00C8488C"/>
    <w:rsid w:val="00C85A34"/>
    <w:rsid w:val="00C86E91"/>
    <w:rsid w:val="00CA2650"/>
    <w:rsid w:val="00CB1078"/>
    <w:rsid w:val="00CC6FAF"/>
    <w:rsid w:val="00CF6542"/>
    <w:rsid w:val="00D24698"/>
    <w:rsid w:val="00D40D49"/>
    <w:rsid w:val="00D6383F"/>
    <w:rsid w:val="00D96B2A"/>
    <w:rsid w:val="00DB59D0"/>
    <w:rsid w:val="00DC33D3"/>
    <w:rsid w:val="00DC3944"/>
    <w:rsid w:val="00DD399C"/>
    <w:rsid w:val="00DF33A8"/>
    <w:rsid w:val="00E21053"/>
    <w:rsid w:val="00E26329"/>
    <w:rsid w:val="00E27D33"/>
    <w:rsid w:val="00E40B50"/>
    <w:rsid w:val="00E50293"/>
    <w:rsid w:val="00E65FFC"/>
    <w:rsid w:val="00E744EA"/>
    <w:rsid w:val="00E77298"/>
    <w:rsid w:val="00E80951"/>
    <w:rsid w:val="00E86CC6"/>
    <w:rsid w:val="00EB56B3"/>
    <w:rsid w:val="00ED6492"/>
    <w:rsid w:val="00EF2095"/>
    <w:rsid w:val="00F06866"/>
    <w:rsid w:val="00F1087B"/>
    <w:rsid w:val="00F15956"/>
    <w:rsid w:val="00F24CFC"/>
    <w:rsid w:val="00F3170F"/>
    <w:rsid w:val="00F51AC7"/>
    <w:rsid w:val="00F760A3"/>
    <w:rsid w:val="00F976B0"/>
    <w:rsid w:val="00FA6DE7"/>
    <w:rsid w:val="00FC0A8E"/>
    <w:rsid w:val="00FE2FA6"/>
    <w:rsid w:val="00FE3DF2"/>
    <w:rsid w:val="00FE4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uiPriority w:val="99"/>
    <w:rsid w:val="003C7E27"/>
    <w:rPr>
      <w:sz w:val="20"/>
      <w:szCs w:val="20"/>
    </w:rPr>
  </w:style>
  <w:style w:type="character" w:customStyle="1" w:styleId="FootnoteTextChar">
    <w:name w:val="Footnote Text Char"/>
    <w:basedOn w:val="DefaultParagraphFont"/>
    <w:link w:val="FootnoteText"/>
    <w:uiPriority w:val="99"/>
    <w:rsid w:val="003C7E27"/>
  </w:style>
  <w:style w:type="character" w:styleId="FootnoteReference">
    <w:name w:val="footnote reference"/>
    <w:basedOn w:val="DefaultParagraphFont"/>
    <w:rsid w:val="003C7E27"/>
    <w:rPr>
      <w:vertAlign w:val="superscript"/>
    </w:rPr>
  </w:style>
  <w:style w:type="character" w:styleId="Hyperlink">
    <w:name w:val="Hyperlink"/>
    <w:rsid w:val="00F1087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uiPriority w:val="99"/>
    <w:rsid w:val="003C7E27"/>
    <w:rPr>
      <w:sz w:val="20"/>
      <w:szCs w:val="20"/>
    </w:rPr>
  </w:style>
  <w:style w:type="character" w:customStyle="1" w:styleId="FootnoteTextChar">
    <w:name w:val="Footnote Text Char"/>
    <w:basedOn w:val="DefaultParagraphFont"/>
    <w:link w:val="FootnoteText"/>
    <w:uiPriority w:val="99"/>
    <w:rsid w:val="003C7E27"/>
  </w:style>
  <w:style w:type="character" w:styleId="FootnoteReference">
    <w:name w:val="footnote reference"/>
    <w:basedOn w:val="DefaultParagraphFont"/>
    <w:rsid w:val="003C7E27"/>
    <w:rPr>
      <w:vertAlign w:val="superscript"/>
    </w:rPr>
  </w:style>
  <w:style w:type="character" w:styleId="Hyperlink">
    <w:name w:val="Hyperlink"/>
    <w:rsid w:val="00F108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504980">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cftc.gov/Transparency/PrivacyOffice/WebSitePrivacyPolicy/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B99A2-711D-47D7-862B-472EBD85A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1311</Words>
  <Characters>7476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8770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SYSTEM</cp:lastModifiedBy>
  <cp:revision>2</cp:revision>
  <cp:lastPrinted>2010-10-04T15:59:00Z</cp:lastPrinted>
  <dcterms:created xsi:type="dcterms:W3CDTF">2019-10-09T22:26:00Z</dcterms:created>
  <dcterms:modified xsi:type="dcterms:W3CDTF">2019-10-09T22:26:00Z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