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518" w:rsidRPr="00E54518" w:rsidRDefault="00E54518" w:rsidP="00E54518">
      <w:pPr>
        <w:spacing w:before="200" w:after="100" w:afterAutospacing="1" w:line="240" w:lineRule="auto"/>
        <w:ind w:firstLine="480"/>
        <w:rPr>
          <w:rFonts w:ascii="Arial" w:eastAsia="Times New Roman" w:hAnsi="Arial" w:cs="Arial"/>
          <w:sz w:val="18"/>
          <w:szCs w:val="18"/>
        </w:rPr>
      </w:pPr>
      <w:r w:rsidRPr="00E54518">
        <w:rPr>
          <w:rFonts w:ascii="Arial" w:eastAsia="Times New Roman" w:hAnsi="Arial" w:cs="Arial"/>
          <w:smallCaps/>
          <w:sz w:val="18"/>
          <w:szCs w:val="18"/>
        </w:rPr>
        <w:t>Authority:</w:t>
      </w:r>
      <w:r w:rsidRPr="00E54518">
        <w:rPr>
          <w:rFonts w:ascii="Arial" w:eastAsia="Times New Roman" w:hAnsi="Arial" w:cs="Arial"/>
          <w:sz w:val="18"/>
          <w:szCs w:val="18"/>
        </w:rPr>
        <w:t xml:space="preserve"> Title III, Pub. L. 108-199, 118 Stat. 3. </w:t>
      </w:r>
    </w:p>
    <w:p w:rsidR="00E54518" w:rsidRPr="00E54518" w:rsidRDefault="00E54518" w:rsidP="00E54518">
      <w:pPr>
        <w:spacing w:before="200" w:after="100" w:afterAutospacing="1" w:line="240" w:lineRule="auto"/>
        <w:ind w:firstLine="480"/>
        <w:rPr>
          <w:rFonts w:ascii="Arial" w:eastAsia="Times New Roman" w:hAnsi="Arial" w:cs="Arial"/>
          <w:sz w:val="18"/>
          <w:szCs w:val="18"/>
        </w:rPr>
      </w:pPr>
      <w:r w:rsidRPr="00E54518">
        <w:rPr>
          <w:rFonts w:ascii="Arial" w:eastAsia="Times New Roman" w:hAnsi="Arial" w:cs="Arial"/>
          <w:smallCaps/>
          <w:sz w:val="18"/>
          <w:szCs w:val="18"/>
        </w:rPr>
        <w:t>Source:</w:t>
      </w:r>
      <w:r w:rsidRPr="00E54518">
        <w:rPr>
          <w:rFonts w:ascii="Arial" w:eastAsia="Times New Roman" w:hAnsi="Arial" w:cs="Arial"/>
          <w:sz w:val="18"/>
          <w:szCs w:val="18"/>
        </w:rPr>
        <w:t xml:space="preserve"> 78 FR 25791, June 3, 2013, unless otherwise noted. </w:t>
      </w:r>
    </w:p>
    <w:p w:rsidR="00E54518" w:rsidRDefault="00E54518" w:rsidP="00E54518">
      <w:pPr>
        <w:spacing w:before="200" w:after="100" w:line="240" w:lineRule="auto"/>
        <w:outlineLvl w:val="1"/>
        <w:rPr>
          <w:rFonts w:ascii="Arial" w:eastAsia="Times New Roman" w:hAnsi="Arial" w:cs="Arial"/>
          <w:b/>
          <w:bCs/>
          <w:sz w:val="27"/>
          <w:szCs w:val="27"/>
        </w:rPr>
      </w:pPr>
      <w:bookmarkStart w:id="0" w:name="sp7.11.1739.a"/>
      <w:bookmarkStart w:id="1" w:name="_GoBack"/>
      <w:bookmarkEnd w:id="0"/>
      <w:bookmarkEnd w:id="1"/>
      <w:r w:rsidRPr="00E54518">
        <w:rPr>
          <w:rFonts w:ascii="Arial" w:eastAsia="Times New Roman" w:hAnsi="Arial" w:cs="Arial"/>
          <w:b/>
          <w:bCs/>
          <w:sz w:val="27"/>
          <w:szCs w:val="27"/>
        </w:rPr>
        <w:t>Subpart A—Community Connect Grant Program</w:t>
      </w:r>
    </w:p>
    <w:p w:rsidR="00E54518" w:rsidRPr="00E54518" w:rsidRDefault="00E54518" w:rsidP="00E54518">
      <w:pPr>
        <w:spacing w:before="200" w:after="100" w:line="240" w:lineRule="auto"/>
        <w:outlineLvl w:val="1"/>
        <w:rPr>
          <w:rFonts w:ascii="Arial" w:eastAsia="Times New Roman" w:hAnsi="Arial" w:cs="Arial"/>
          <w:b/>
          <w:bCs/>
          <w:sz w:val="27"/>
          <w:szCs w:val="27"/>
        </w:rPr>
      </w:pPr>
    </w:p>
    <w:p w:rsidR="00E54518" w:rsidRPr="00E54518" w:rsidRDefault="00E54518" w:rsidP="00E54518">
      <w:pPr>
        <w:spacing w:before="200" w:after="100" w:line="240" w:lineRule="auto"/>
        <w:outlineLvl w:val="1"/>
        <w:rPr>
          <w:rFonts w:ascii="Arial" w:eastAsia="Times New Roman" w:hAnsi="Arial" w:cs="Arial"/>
          <w:b/>
          <w:bCs/>
          <w:sz w:val="20"/>
          <w:szCs w:val="20"/>
        </w:rPr>
      </w:pPr>
      <w:bookmarkStart w:id="2" w:name="se7.11.1739_11"/>
      <w:bookmarkEnd w:id="2"/>
      <w:r w:rsidRPr="00E54518">
        <w:rPr>
          <w:rFonts w:ascii="Arial" w:eastAsia="Times New Roman" w:hAnsi="Arial" w:cs="Arial"/>
          <w:b/>
          <w:bCs/>
          <w:sz w:val="20"/>
          <w:szCs w:val="20"/>
        </w:rPr>
        <w:t>§1739.1   Purpose.</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(a) The provision of broadband service is vital to the economic development, education, health, and safety of rural Americans. The purpose of the Community Connect Grant Program is to provide financial assistance in the form of grants to eligible applicants that will provide, on a “community-oriented connectivity” basis, broadband service that fosters economic growth and delivers enhanced educational, health care, and public safety benefits. The Agency will give priority to rural areas that have the greatest need for broadband services, based on the criteria contained herein and in the Notice of Funds Availability (hereinafter referred to as NOFA) published in the </w:t>
      </w:r>
      <w:r w:rsidRPr="00E54518">
        <w:rPr>
          <w:rFonts w:ascii="Arial" w:eastAsia="Times New Roman" w:hAnsi="Arial" w:cs="Arial"/>
          <w:smallCaps/>
          <w:sz w:val="20"/>
          <w:szCs w:val="20"/>
        </w:rPr>
        <w:t>Federal Register.</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(b) Grant authority will be used for the deployment of service to all premises in eligible rural areas at the Broadband Grant Speed on a “community-oriented connectivity” basis. In addition to providing service to all premises the “community-oriented connectivity” concept will stimulate practical, everyday uses and applications of broadband by cultivating the deployment of new broadband services that improve economic development and provide enhanced educational and health care opportunities in rural areas. Such an approach will also give rural communities the opportunity to benefit from the advanced technologies that are necessary to achieve these goals.</w:t>
      </w:r>
    </w:p>
    <w:p w:rsidR="00E54518" w:rsidRDefault="00E54518" w:rsidP="00E54518">
      <w:pPr>
        <w:spacing w:before="200" w:after="100" w:line="240" w:lineRule="auto"/>
        <w:outlineLvl w:val="1"/>
        <w:rPr>
          <w:rFonts w:ascii="Arial" w:eastAsia="Times New Roman" w:hAnsi="Arial" w:cs="Arial"/>
          <w:b/>
          <w:bCs/>
          <w:sz w:val="20"/>
          <w:szCs w:val="20"/>
        </w:rPr>
      </w:pPr>
      <w:bookmarkStart w:id="3" w:name="se7.11.1739_12"/>
      <w:bookmarkEnd w:id="3"/>
    </w:p>
    <w:p w:rsidR="00E54518" w:rsidRPr="00E54518" w:rsidRDefault="00E54518" w:rsidP="00E54518">
      <w:pPr>
        <w:spacing w:before="200" w:after="100" w:line="240" w:lineRule="auto"/>
        <w:outlineLvl w:val="1"/>
        <w:rPr>
          <w:rFonts w:ascii="Arial" w:eastAsia="Times New Roman" w:hAnsi="Arial" w:cs="Arial"/>
          <w:b/>
          <w:bCs/>
          <w:sz w:val="20"/>
          <w:szCs w:val="20"/>
        </w:rPr>
      </w:pPr>
      <w:r w:rsidRPr="00E54518">
        <w:rPr>
          <w:rFonts w:ascii="Arial" w:eastAsia="Times New Roman" w:hAnsi="Arial" w:cs="Arial"/>
          <w:b/>
          <w:bCs/>
          <w:sz w:val="20"/>
          <w:szCs w:val="20"/>
        </w:rPr>
        <w:t>§1739.2   Funding availability and application dates and submission.</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(a) The Agency will periodically publish, (usually on an annual basis) in the </w:t>
      </w:r>
      <w:r w:rsidRPr="00E54518">
        <w:rPr>
          <w:rFonts w:ascii="Arial" w:eastAsia="Times New Roman" w:hAnsi="Arial" w:cs="Arial"/>
          <w:smallCaps/>
          <w:sz w:val="20"/>
          <w:szCs w:val="20"/>
        </w:rPr>
        <w:t>Federal Register,</w:t>
      </w:r>
      <w:r w:rsidRPr="00E54518">
        <w:rPr>
          <w:rFonts w:ascii="Arial" w:eastAsia="Times New Roman" w:hAnsi="Arial" w:cs="Arial"/>
          <w:sz w:val="20"/>
          <w:szCs w:val="20"/>
        </w:rPr>
        <w:t xml:space="preserve"> a NOFA that will set forth the total amount of funding available; the maximum and minimum funding for each grant; funding priority; the application submission dates; and the appropriate addresses and agency contact information. The NOFA will also outline and explain the procedures for submission of applications, including electronic submissions. The Agency may publish more than one NOFA should additional funding become available.</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(b) Notwithstanding paragraph (a) of this section, the Agency may, in response to a surplus of qualified eligible applications which could not be funded from the previous fiscal year, decline to publish a NOFA for the following fiscal year and fund said applications without further public notice.</w:t>
      </w:r>
    </w:p>
    <w:p w:rsidR="00E54518" w:rsidRDefault="00E54518" w:rsidP="00E54518">
      <w:pPr>
        <w:spacing w:before="200" w:after="100" w:line="240" w:lineRule="auto"/>
        <w:outlineLvl w:val="1"/>
        <w:rPr>
          <w:rFonts w:ascii="Arial" w:eastAsia="Times New Roman" w:hAnsi="Arial" w:cs="Arial"/>
          <w:b/>
          <w:bCs/>
          <w:sz w:val="20"/>
          <w:szCs w:val="20"/>
        </w:rPr>
      </w:pPr>
      <w:bookmarkStart w:id="4" w:name="se7.11.1739_13"/>
      <w:bookmarkEnd w:id="4"/>
    </w:p>
    <w:p w:rsidR="00E54518" w:rsidRPr="00E54518" w:rsidRDefault="00E54518" w:rsidP="00E54518">
      <w:pPr>
        <w:spacing w:before="200" w:after="100" w:line="240" w:lineRule="auto"/>
        <w:outlineLvl w:val="1"/>
        <w:rPr>
          <w:rFonts w:ascii="Arial" w:eastAsia="Times New Roman" w:hAnsi="Arial" w:cs="Arial"/>
          <w:b/>
          <w:bCs/>
          <w:sz w:val="20"/>
          <w:szCs w:val="20"/>
        </w:rPr>
      </w:pPr>
      <w:r w:rsidRPr="00E54518">
        <w:rPr>
          <w:rFonts w:ascii="Arial" w:eastAsia="Times New Roman" w:hAnsi="Arial" w:cs="Arial"/>
          <w:b/>
          <w:bCs/>
          <w:sz w:val="20"/>
          <w:szCs w:val="20"/>
        </w:rPr>
        <w:t>§1739.3   Definitions.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As used in this subpart:</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i/>
          <w:iCs/>
          <w:sz w:val="20"/>
          <w:szCs w:val="20"/>
        </w:rPr>
        <w:t>Agency</w:t>
      </w:r>
      <w:r w:rsidRPr="00E54518">
        <w:rPr>
          <w:rFonts w:ascii="Arial" w:eastAsia="Times New Roman" w:hAnsi="Arial" w:cs="Arial"/>
          <w:sz w:val="20"/>
          <w:szCs w:val="20"/>
        </w:rPr>
        <w:t xml:space="preserve"> or </w:t>
      </w:r>
      <w:r w:rsidRPr="00E54518">
        <w:rPr>
          <w:rFonts w:ascii="Arial" w:eastAsia="Times New Roman" w:hAnsi="Arial" w:cs="Arial"/>
          <w:i/>
          <w:iCs/>
          <w:sz w:val="20"/>
          <w:szCs w:val="20"/>
        </w:rPr>
        <w:t>RUS</w:t>
      </w:r>
      <w:r w:rsidRPr="00E54518">
        <w:rPr>
          <w:rFonts w:ascii="Arial" w:eastAsia="Times New Roman" w:hAnsi="Arial" w:cs="Arial"/>
          <w:sz w:val="20"/>
          <w:szCs w:val="20"/>
        </w:rPr>
        <w:t xml:space="preserve"> shall mean the Rural Utilities Service, which administers the United States Department of Agriculture (USDA) Rural Development Utilities Programs.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i/>
          <w:iCs/>
          <w:sz w:val="20"/>
          <w:szCs w:val="20"/>
        </w:rPr>
        <w:t>Broadband Grant Speed</w:t>
      </w:r>
      <w:r w:rsidRPr="00E54518">
        <w:rPr>
          <w:rFonts w:ascii="Arial" w:eastAsia="Times New Roman" w:hAnsi="Arial" w:cs="Arial"/>
          <w:sz w:val="20"/>
          <w:szCs w:val="20"/>
        </w:rPr>
        <w:t xml:space="preserve"> means the minimum bandwidth described in the NOFA that an applicant must propose to deliver to every customer in the proposed funded service area in order for the Agency to approve a broadband grant. The Broadband Grant Speed may be different for fixed and mobile </w:t>
      </w:r>
      <w:r w:rsidRPr="00E54518">
        <w:rPr>
          <w:rFonts w:ascii="Arial" w:eastAsia="Times New Roman" w:hAnsi="Arial" w:cs="Arial"/>
          <w:sz w:val="20"/>
          <w:szCs w:val="20"/>
        </w:rPr>
        <w:lastRenderedPageBreak/>
        <w:t>broadband services and from the minimum rate of data transmission required to determine the availability of broadband service when qualifying a service area.</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i/>
          <w:iCs/>
          <w:sz w:val="20"/>
          <w:szCs w:val="20"/>
        </w:rPr>
        <w:t>Broadband service</w:t>
      </w:r>
      <w:r w:rsidRPr="00E54518">
        <w:rPr>
          <w:rFonts w:ascii="Arial" w:eastAsia="Times New Roman" w:hAnsi="Arial" w:cs="Arial"/>
          <w:sz w:val="20"/>
          <w:szCs w:val="20"/>
        </w:rPr>
        <w:t xml:space="preserve"> means any terrestrial technology having the capacity to provide transmission facilities that enable subscribers of the service to originate and receive high-quality voice, data, graphics, and video at the minimum rate of data transmission described in the NOFA. The broadband service speed may be different from the broadband grant speed for the Community Connect program.</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i/>
          <w:iCs/>
          <w:sz w:val="20"/>
          <w:szCs w:val="20"/>
        </w:rPr>
        <w:t>Community Center</w:t>
      </w:r>
      <w:r w:rsidRPr="00E54518">
        <w:rPr>
          <w:rFonts w:ascii="Arial" w:eastAsia="Times New Roman" w:hAnsi="Arial" w:cs="Arial"/>
          <w:sz w:val="20"/>
          <w:szCs w:val="20"/>
        </w:rPr>
        <w:t xml:space="preserve"> means a building within the Proposed Funded Service Area that provides access to the public, or a section of a public building with at least two (2) Computer Access Points and wireless access, that is used for the purposes of providing free access to and/or instruction in the use of broadband Internet service, and is of the appropriate size to accommodate this purpose. The community center must be open and accessible to area residents before, during, and after normal working hours and on Saturdays or Sunday.</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i/>
          <w:iCs/>
          <w:sz w:val="20"/>
          <w:szCs w:val="20"/>
        </w:rPr>
        <w:t>Computer Access Point</w:t>
      </w:r>
      <w:r w:rsidRPr="00E54518">
        <w:rPr>
          <w:rFonts w:ascii="Arial" w:eastAsia="Times New Roman" w:hAnsi="Arial" w:cs="Arial"/>
          <w:sz w:val="20"/>
          <w:szCs w:val="20"/>
        </w:rPr>
        <w:t xml:space="preserve"> means a new computer terminal with access to service at the Broadband Grant Speed.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i/>
          <w:iCs/>
          <w:sz w:val="20"/>
          <w:szCs w:val="20"/>
        </w:rPr>
        <w:t>Critical Community Facilities</w:t>
      </w:r>
      <w:r w:rsidRPr="00E54518">
        <w:rPr>
          <w:rFonts w:ascii="Arial" w:eastAsia="Times New Roman" w:hAnsi="Arial" w:cs="Arial"/>
          <w:sz w:val="20"/>
          <w:szCs w:val="20"/>
        </w:rPr>
        <w:t xml:space="preserve"> means the Community Center; any public school, public education center, public library, public medical clinic, public hospital, community college, public university; or law enforcement, fire or ambulance station in the Proposed Funded Service Area.</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i/>
          <w:iCs/>
          <w:sz w:val="20"/>
          <w:szCs w:val="20"/>
        </w:rPr>
        <w:t>Eligible applicant</w:t>
      </w:r>
      <w:r w:rsidRPr="00E54518">
        <w:rPr>
          <w:rFonts w:ascii="Arial" w:eastAsia="Times New Roman" w:hAnsi="Arial" w:cs="Arial"/>
          <w:sz w:val="20"/>
          <w:szCs w:val="20"/>
        </w:rPr>
        <w:t xml:space="preserve"> shall have the meaning as set forth in §1739.10.</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i/>
          <w:iCs/>
          <w:sz w:val="20"/>
          <w:szCs w:val="20"/>
        </w:rPr>
        <w:t>Eligible grant purposes</w:t>
      </w:r>
      <w:r w:rsidRPr="00E54518">
        <w:rPr>
          <w:rFonts w:ascii="Arial" w:eastAsia="Times New Roman" w:hAnsi="Arial" w:cs="Arial"/>
          <w:sz w:val="20"/>
          <w:szCs w:val="20"/>
        </w:rPr>
        <w:t xml:space="preserve"> shall have the meaning as set forth in §1739.12.</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i/>
          <w:iCs/>
          <w:sz w:val="20"/>
          <w:szCs w:val="20"/>
        </w:rPr>
        <w:t>Matching contribution</w:t>
      </w:r>
      <w:r w:rsidRPr="00E54518">
        <w:rPr>
          <w:rFonts w:ascii="Arial" w:eastAsia="Times New Roman" w:hAnsi="Arial" w:cs="Arial"/>
          <w:sz w:val="20"/>
          <w:szCs w:val="20"/>
        </w:rPr>
        <w:t xml:space="preserve"> means the applicant's qualified contribution to the Project, as outlined in §1739.14 of this part.</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i/>
          <w:iCs/>
          <w:sz w:val="20"/>
          <w:szCs w:val="20"/>
        </w:rPr>
        <w:t>Project</w:t>
      </w:r>
      <w:r w:rsidRPr="00E54518">
        <w:rPr>
          <w:rFonts w:ascii="Arial" w:eastAsia="Times New Roman" w:hAnsi="Arial" w:cs="Arial"/>
          <w:sz w:val="20"/>
          <w:szCs w:val="20"/>
        </w:rPr>
        <w:t xml:space="preserve"> means the delivery of service at the Broadband Grant Speed financed by the grant and Matching Contribution for the Proposed Funded Service Area.</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i/>
          <w:iCs/>
          <w:sz w:val="20"/>
          <w:szCs w:val="20"/>
        </w:rPr>
        <w:t>Proposed Funded Service Area (PFSA)</w:t>
      </w:r>
      <w:r w:rsidRPr="00E54518">
        <w:rPr>
          <w:rFonts w:ascii="Arial" w:eastAsia="Times New Roman" w:hAnsi="Arial" w:cs="Arial"/>
          <w:sz w:val="20"/>
          <w:szCs w:val="20"/>
        </w:rPr>
        <w:t xml:space="preserve"> means the contiguous geographic area within an eligible Rural Area or eligible Rural Areas, in which the applicant proposes to provide service at the Broadband Grant Speed.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i/>
          <w:iCs/>
          <w:sz w:val="20"/>
          <w:szCs w:val="20"/>
        </w:rPr>
        <w:t>Rural area</w:t>
      </w:r>
      <w:r w:rsidRPr="00E54518">
        <w:rPr>
          <w:rFonts w:ascii="Arial" w:eastAsia="Times New Roman" w:hAnsi="Arial" w:cs="Arial"/>
          <w:sz w:val="20"/>
          <w:szCs w:val="20"/>
        </w:rPr>
        <w:t xml:space="preserve"> means any area, as confirmed by the most recent decennial Census of the United States (decennial Census), which is not located within:</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(1) A city, town, or incorporated area that has a population of greater than 20,000 inhabitants; or</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(2) An urbanized area contiguous and adjacent to a city or town that has a population of greater than 50,000 inhabitants. For purposes of the definition of rural area, an urbanized area means a densely populated territory as defined in the most recent decennial Census.</w:t>
      </w:r>
    </w:p>
    <w:p w:rsidR="00E54518" w:rsidRPr="00E54518" w:rsidRDefault="00E54518" w:rsidP="00E54518">
      <w:pPr>
        <w:spacing w:before="200" w:after="100" w:afterAutospacing="1" w:line="240" w:lineRule="auto"/>
        <w:rPr>
          <w:rFonts w:ascii="Arial" w:eastAsia="Times New Roman" w:hAnsi="Arial" w:cs="Arial"/>
          <w:sz w:val="18"/>
          <w:szCs w:val="18"/>
        </w:rPr>
      </w:pPr>
      <w:r w:rsidRPr="00E54518">
        <w:rPr>
          <w:rFonts w:ascii="Arial" w:eastAsia="Times New Roman" w:hAnsi="Arial" w:cs="Arial"/>
          <w:sz w:val="18"/>
          <w:szCs w:val="18"/>
        </w:rPr>
        <w:t>[78 FR 25791, June 3, 2013, as amended at 80 FR 9862, Feb. 24, 2015]</w:t>
      </w:r>
    </w:p>
    <w:p w:rsidR="00E54518" w:rsidRDefault="00E54518" w:rsidP="00E54518">
      <w:pPr>
        <w:spacing w:before="200" w:after="100" w:line="240" w:lineRule="auto"/>
        <w:outlineLvl w:val="1"/>
        <w:rPr>
          <w:rFonts w:ascii="Arial" w:eastAsia="Times New Roman" w:hAnsi="Arial" w:cs="Arial"/>
          <w:b/>
          <w:bCs/>
          <w:sz w:val="20"/>
          <w:szCs w:val="20"/>
        </w:rPr>
      </w:pPr>
      <w:bookmarkStart w:id="5" w:name="se7.11.1739_14_61739_18"/>
      <w:bookmarkEnd w:id="5"/>
    </w:p>
    <w:p w:rsidR="00E54518" w:rsidRPr="00E54518" w:rsidRDefault="00E54518" w:rsidP="00E54518">
      <w:pPr>
        <w:spacing w:before="200" w:after="100" w:line="240" w:lineRule="auto"/>
        <w:outlineLvl w:val="1"/>
        <w:rPr>
          <w:rFonts w:ascii="Arial" w:eastAsia="Times New Roman" w:hAnsi="Arial" w:cs="Arial"/>
          <w:b/>
          <w:bCs/>
          <w:sz w:val="20"/>
          <w:szCs w:val="20"/>
        </w:rPr>
      </w:pPr>
      <w:r w:rsidRPr="00E54518">
        <w:rPr>
          <w:rFonts w:ascii="Arial" w:eastAsia="Times New Roman" w:hAnsi="Arial" w:cs="Arial"/>
          <w:b/>
          <w:bCs/>
          <w:sz w:val="20"/>
          <w:szCs w:val="20"/>
        </w:rPr>
        <w:t>§§1739.4-1739.8   [Reserved]</w:t>
      </w:r>
    </w:p>
    <w:p w:rsidR="00E54518" w:rsidRDefault="00E54518" w:rsidP="00E54518">
      <w:pPr>
        <w:spacing w:before="200" w:after="100" w:line="240" w:lineRule="auto"/>
        <w:outlineLvl w:val="1"/>
        <w:rPr>
          <w:rFonts w:ascii="Arial" w:eastAsia="Times New Roman" w:hAnsi="Arial" w:cs="Arial"/>
          <w:b/>
          <w:bCs/>
          <w:sz w:val="20"/>
          <w:szCs w:val="20"/>
        </w:rPr>
      </w:pPr>
      <w:bookmarkStart w:id="6" w:name="se7.11.1735_19"/>
      <w:bookmarkEnd w:id="6"/>
    </w:p>
    <w:p w:rsidR="00E54518" w:rsidRPr="00E54518" w:rsidRDefault="00E54518" w:rsidP="00E54518">
      <w:pPr>
        <w:spacing w:before="200" w:after="100" w:line="240" w:lineRule="auto"/>
        <w:outlineLvl w:val="1"/>
        <w:rPr>
          <w:rFonts w:ascii="Arial" w:eastAsia="Times New Roman" w:hAnsi="Arial" w:cs="Arial"/>
          <w:b/>
          <w:bCs/>
          <w:sz w:val="20"/>
          <w:szCs w:val="20"/>
        </w:rPr>
      </w:pPr>
      <w:r w:rsidRPr="00E54518">
        <w:rPr>
          <w:rFonts w:ascii="Arial" w:eastAsia="Times New Roman" w:hAnsi="Arial" w:cs="Arial"/>
          <w:b/>
          <w:bCs/>
          <w:sz w:val="20"/>
          <w:szCs w:val="20"/>
        </w:rPr>
        <w:lastRenderedPageBreak/>
        <w:t>§1735.9   USDA Rural Development State Director notification.</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Applicants shall complete a notification form which will be a public document that the RUS provides to USDA Rural Development State Directors and others in the state(s) of the PFSA. The notification shall include a brief project description and the location of the PFSA.</w:t>
      </w:r>
    </w:p>
    <w:p w:rsidR="00E54518" w:rsidRPr="00E54518" w:rsidRDefault="00E54518" w:rsidP="00E54518">
      <w:pPr>
        <w:spacing w:before="200" w:after="100" w:line="240" w:lineRule="auto"/>
        <w:outlineLvl w:val="1"/>
        <w:rPr>
          <w:rFonts w:ascii="Arial" w:eastAsia="Times New Roman" w:hAnsi="Arial" w:cs="Arial"/>
          <w:b/>
          <w:bCs/>
          <w:sz w:val="20"/>
          <w:szCs w:val="20"/>
        </w:rPr>
      </w:pPr>
      <w:bookmarkStart w:id="7" w:name="se7.11.1739_110"/>
      <w:bookmarkEnd w:id="7"/>
      <w:r w:rsidRPr="00E54518">
        <w:rPr>
          <w:rFonts w:ascii="Arial" w:eastAsia="Times New Roman" w:hAnsi="Arial" w:cs="Arial"/>
          <w:b/>
          <w:bCs/>
          <w:sz w:val="20"/>
          <w:szCs w:val="20"/>
        </w:rPr>
        <w:t>§1739.10   Eligible applicant.</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To be eligible for a Community Connect competitive grant, the applicant must:</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(a) Be legally organized as an incorporated organization, an Indian tribe or tribal organization, as defined in 25 U.S.C. 450b(e), a state or local unit of government, or other legal entity, including cooperatives or private corporations or limited liability companies organized on a for-profit or not-for-profit basis.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(b) Have the legal capacity and authority to own and operate the broadband facilities as proposed in its application, to enter into contracts and to otherwise comply with applicable federal statutes and regulations.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(c) As required by the Office of Management and Budget (OMB), all applicants for grants must supply a Dun and Bradstreet Data Universal Numbering System (DUNS) number when applying. The Standard Form 424 (SF-424) contains a field for you to use when supplying your DUNS number. Obtaining a DUNS number costs nothing and requires a short telephone call to Dun and Bradstreet. Please see </w:t>
      </w:r>
      <w:r w:rsidRPr="00E54518">
        <w:rPr>
          <w:rFonts w:ascii="Arial" w:eastAsia="Times New Roman" w:hAnsi="Arial" w:cs="Arial"/>
          <w:i/>
          <w:iCs/>
          <w:sz w:val="20"/>
          <w:szCs w:val="20"/>
        </w:rPr>
        <w:t>http://www.grants.gov/applicants/request_duns_number.jsp</w:t>
      </w:r>
      <w:r w:rsidRPr="00E54518">
        <w:rPr>
          <w:rFonts w:ascii="Arial" w:eastAsia="Times New Roman" w:hAnsi="Arial" w:cs="Arial"/>
          <w:sz w:val="20"/>
          <w:szCs w:val="20"/>
        </w:rPr>
        <w:t xml:space="preserve"> for more information on how to obtain a DUNS number or how to verify your organization's number.</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(d) Register in the System for Award Management (SAM) (formerly Central Contractor Registry (CCR)).</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(1) In accordance with 2 CFR part 25, applicants, whether applying electronically or by paper, must be registered in the SAM prior to submitting an application. Applicants may register for the SAM at </w:t>
      </w:r>
      <w:r w:rsidRPr="00E54518">
        <w:rPr>
          <w:rFonts w:ascii="Arial" w:eastAsia="Times New Roman" w:hAnsi="Arial" w:cs="Arial"/>
          <w:i/>
          <w:iCs/>
          <w:sz w:val="20"/>
          <w:szCs w:val="20"/>
        </w:rPr>
        <w:t>https://www.sam.gov/.</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(2) The SAM registration must remain active, with current information, at all times during which an entity has an application under consideration by an agency or has an active Federal Award. To remain registered in the SAM database after the initial registration, the applicant is required to review and update, on an annual basis from the date of initial registration or subsequent updates, its information in the SAM database to ensure it is current, accurate and complete.</w:t>
      </w:r>
    </w:p>
    <w:p w:rsidR="00E54518" w:rsidRDefault="00E54518" w:rsidP="00E54518">
      <w:pPr>
        <w:spacing w:before="200" w:after="100" w:line="240" w:lineRule="auto"/>
        <w:outlineLvl w:val="1"/>
        <w:rPr>
          <w:rFonts w:ascii="Arial" w:eastAsia="Times New Roman" w:hAnsi="Arial" w:cs="Arial"/>
          <w:b/>
          <w:bCs/>
          <w:sz w:val="20"/>
          <w:szCs w:val="20"/>
        </w:rPr>
      </w:pPr>
      <w:bookmarkStart w:id="8" w:name="se7.11.1739_111"/>
      <w:bookmarkEnd w:id="8"/>
    </w:p>
    <w:p w:rsidR="00E54518" w:rsidRPr="00E54518" w:rsidRDefault="00E54518" w:rsidP="00E54518">
      <w:pPr>
        <w:spacing w:before="200" w:after="100" w:line="240" w:lineRule="auto"/>
        <w:outlineLvl w:val="1"/>
        <w:rPr>
          <w:rFonts w:ascii="Arial" w:eastAsia="Times New Roman" w:hAnsi="Arial" w:cs="Arial"/>
          <w:b/>
          <w:bCs/>
          <w:sz w:val="20"/>
          <w:szCs w:val="20"/>
        </w:rPr>
      </w:pPr>
      <w:r w:rsidRPr="00E54518">
        <w:rPr>
          <w:rFonts w:ascii="Arial" w:eastAsia="Times New Roman" w:hAnsi="Arial" w:cs="Arial"/>
          <w:b/>
          <w:bCs/>
          <w:sz w:val="20"/>
          <w:szCs w:val="20"/>
        </w:rPr>
        <w:t>§1739.11   Eligible Community Connect Competitive Grant Project.</w:t>
      </w:r>
    </w:p>
    <w:p w:rsidR="00E54518" w:rsidRPr="00E54518" w:rsidRDefault="00E54518" w:rsidP="00E54518">
      <w:pPr>
        <w:spacing w:before="100" w:beforeAutospacing="1" w:after="100" w:afterAutospacing="1" w:line="240" w:lineRule="auto"/>
        <w:rPr>
          <w:rFonts w:ascii="Arial" w:eastAsia="Times New Roman" w:hAnsi="Arial" w:cs="Arial"/>
          <w:sz w:val="20"/>
          <w:szCs w:val="20"/>
        </w:rPr>
      </w:pPr>
      <w:r w:rsidRPr="00E54518">
        <w:rPr>
          <w:rFonts w:ascii="Arial" w:eastAsia="Times New Roman" w:hAnsi="Arial" w:cs="Arial"/>
          <w:sz w:val="20"/>
          <w:szCs w:val="20"/>
        </w:rPr>
        <w:t>To be eligible for a Community Connect competitive grant, the Project must:</w:t>
      </w:r>
    </w:p>
    <w:p w:rsidR="00E54518" w:rsidRPr="00E54518" w:rsidRDefault="00E54518" w:rsidP="00E54518">
      <w:pPr>
        <w:spacing w:before="100" w:beforeAutospacing="1" w:after="100" w:afterAutospacing="1" w:line="240" w:lineRule="auto"/>
        <w:ind w:firstLine="480"/>
        <w:rPr>
          <w:rFonts w:ascii="Arial" w:eastAsia="Times New Roman" w:hAnsi="Arial" w:cs="Arial"/>
          <w:sz w:val="20"/>
          <w:szCs w:val="20"/>
        </w:rPr>
      </w:pPr>
      <w:r w:rsidRPr="00E54518">
        <w:rPr>
          <w:rFonts w:ascii="Arial" w:eastAsia="Times New Roman" w:hAnsi="Arial" w:cs="Arial"/>
          <w:sz w:val="20"/>
          <w:szCs w:val="20"/>
        </w:rPr>
        <w:t>(a) Serve a PFSA in which Broadband Service does not currently exist;</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(b) Offer service at the Broadband Grant Speed to all residential an</w:t>
      </w:r>
      <w:r>
        <w:rPr>
          <w:rFonts w:ascii="Arial" w:eastAsia="Times New Roman" w:hAnsi="Arial" w:cs="Arial"/>
          <w:sz w:val="20"/>
          <w:szCs w:val="20"/>
        </w:rPr>
        <w:t xml:space="preserve">d business customers within the </w:t>
      </w:r>
      <w:proofErr w:type="gramStart"/>
      <w:r w:rsidRPr="00E54518">
        <w:rPr>
          <w:rFonts w:ascii="Arial" w:eastAsia="Times New Roman" w:hAnsi="Arial" w:cs="Arial"/>
          <w:sz w:val="20"/>
          <w:szCs w:val="20"/>
        </w:rPr>
        <w:t>PFSA ;</w:t>
      </w:r>
      <w:proofErr w:type="gramEnd"/>
    </w:p>
    <w:p w:rsidR="00E54518" w:rsidRPr="00E54518" w:rsidRDefault="00E54518" w:rsidP="00E54518">
      <w:pPr>
        <w:spacing w:before="100" w:beforeAutospacing="1" w:after="100" w:afterAutospacing="1" w:line="240" w:lineRule="auto"/>
        <w:ind w:firstLine="480"/>
        <w:rPr>
          <w:rFonts w:ascii="Arial" w:eastAsia="Times New Roman" w:hAnsi="Arial" w:cs="Arial"/>
          <w:sz w:val="20"/>
          <w:szCs w:val="20"/>
        </w:rPr>
      </w:pPr>
      <w:r w:rsidRPr="00E54518">
        <w:rPr>
          <w:rFonts w:ascii="Arial" w:eastAsia="Times New Roman" w:hAnsi="Arial" w:cs="Arial"/>
          <w:sz w:val="20"/>
          <w:szCs w:val="20"/>
        </w:rPr>
        <w:t>(c) Offer free service at the Broadband Grant Speed to all Critical Community Facilities located within the PFSA for at least 2 years starting from the time service becomes available to each Critical Community Facility;</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lastRenderedPageBreak/>
        <w:t>(d) Provide a Community Center with at least two (2) Computer Access Points and wireless access at the Broadband Grant Speed, free of all charges to all users for at least 2 years; and</w:t>
      </w:r>
    </w:p>
    <w:p w:rsidR="00E54518" w:rsidRPr="00E54518" w:rsidRDefault="00E54518" w:rsidP="00E54518">
      <w:pPr>
        <w:spacing w:before="100" w:beforeAutospacing="1" w:after="100" w:afterAutospacing="1" w:line="240" w:lineRule="auto"/>
        <w:ind w:firstLine="480"/>
        <w:rPr>
          <w:rFonts w:ascii="Arial" w:eastAsia="Times New Roman" w:hAnsi="Arial" w:cs="Arial"/>
          <w:sz w:val="20"/>
          <w:szCs w:val="20"/>
        </w:rPr>
      </w:pPr>
      <w:r w:rsidRPr="00E54518">
        <w:rPr>
          <w:rFonts w:ascii="Arial" w:eastAsia="Times New Roman" w:hAnsi="Arial" w:cs="Arial"/>
          <w:sz w:val="20"/>
          <w:szCs w:val="20"/>
        </w:rPr>
        <w:t>(e) Not overlap with the service areas of current RUS borrowers and grantees.</w:t>
      </w:r>
    </w:p>
    <w:p w:rsidR="00E54518" w:rsidRPr="00E54518" w:rsidRDefault="00E54518" w:rsidP="00E54518">
      <w:pPr>
        <w:spacing w:before="200" w:after="100" w:line="240" w:lineRule="auto"/>
        <w:outlineLvl w:val="1"/>
        <w:rPr>
          <w:rFonts w:ascii="Arial" w:eastAsia="Times New Roman" w:hAnsi="Arial" w:cs="Arial"/>
          <w:b/>
          <w:bCs/>
          <w:sz w:val="20"/>
          <w:szCs w:val="20"/>
        </w:rPr>
      </w:pPr>
      <w:bookmarkStart w:id="9" w:name="se7.11.1739_112"/>
      <w:bookmarkEnd w:id="9"/>
      <w:r w:rsidRPr="00E54518">
        <w:rPr>
          <w:rFonts w:ascii="Arial" w:eastAsia="Times New Roman" w:hAnsi="Arial" w:cs="Arial"/>
          <w:b/>
          <w:bCs/>
          <w:sz w:val="20"/>
          <w:szCs w:val="20"/>
        </w:rPr>
        <w:t>§1739.12   Eligible grant purposes.</w:t>
      </w:r>
    </w:p>
    <w:p w:rsidR="00E54518" w:rsidRPr="00E54518" w:rsidRDefault="00E54518" w:rsidP="00E54518">
      <w:pPr>
        <w:spacing w:before="100" w:beforeAutospacing="1" w:after="100" w:afterAutospacing="1" w:line="240" w:lineRule="auto"/>
        <w:ind w:firstLine="480"/>
        <w:rPr>
          <w:rFonts w:ascii="Arial" w:eastAsia="Times New Roman" w:hAnsi="Arial" w:cs="Arial"/>
          <w:sz w:val="20"/>
          <w:szCs w:val="20"/>
        </w:rPr>
      </w:pPr>
      <w:r w:rsidRPr="00E54518">
        <w:rPr>
          <w:rFonts w:ascii="Arial" w:eastAsia="Times New Roman" w:hAnsi="Arial" w:cs="Arial"/>
          <w:sz w:val="20"/>
          <w:szCs w:val="20"/>
        </w:rPr>
        <w:t>Grant funds may be used to finance the following:</w:t>
      </w:r>
    </w:p>
    <w:p w:rsidR="00E54518" w:rsidRPr="00E54518" w:rsidRDefault="00E54518" w:rsidP="00E54518">
      <w:pPr>
        <w:spacing w:before="100" w:beforeAutospacing="1" w:after="100" w:afterAutospacing="1" w:line="240" w:lineRule="auto"/>
        <w:ind w:left="900" w:hanging="420"/>
        <w:rPr>
          <w:rFonts w:ascii="Arial" w:eastAsia="Times New Roman" w:hAnsi="Arial" w:cs="Arial"/>
          <w:sz w:val="20"/>
          <w:szCs w:val="20"/>
        </w:rPr>
      </w:pPr>
      <w:r w:rsidRPr="00E54518">
        <w:rPr>
          <w:rFonts w:ascii="Arial" w:eastAsia="Times New Roman" w:hAnsi="Arial" w:cs="Arial"/>
          <w:sz w:val="20"/>
          <w:szCs w:val="20"/>
        </w:rPr>
        <w:t>(a) The construction, acquisition, or leasing of facilities, including sp</w:t>
      </w:r>
      <w:r>
        <w:rPr>
          <w:rFonts w:ascii="Arial" w:eastAsia="Times New Roman" w:hAnsi="Arial" w:cs="Arial"/>
          <w:sz w:val="20"/>
          <w:szCs w:val="20"/>
        </w:rPr>
        <w:t xml:space="preserve">ectrum, land or buildings, used </w:t>
      </w:r>
      <w:r w:rsidRPr="00E54518">
        <w:rPr>
          <w:rFonts w:ascii="Arial" w:eastAsia="Times New Roman" w:hAnsi="Arial" w:cs="Arial"/>
          <w:sz w:val="20"/>
          <w:szCs w:val="20"/>
        </w:rPr>
        <w:t>to deploy service at the Broadband Grant Speed to all residential and business customers located within the PFSA and all participating Critical Community Facilities, including funding for up to ten Computer Access Points to be used in the Community Center. Buildings constructed with grants funds must reside on property owned by the awardee. Leasing costs will only be covered through the advance of funds period included in the award documents;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(b) The improvement, expansion, construction, or acquisition of a Community Center and provision of Computer Access Points. Grant funds for the Community Center will be limited to ten percent of the requested grant amount. If a community center is constructed with grant funds, the center must reside on property owned by the awardee;</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(c) The cost of providing the necessary bandwidth for service free of charge to the Critical Community Facilities for 2 years.</w:t>
      </w:r>
    </w:p>
    <w:p w:rsidR="00E54518" w:rsidRPr="00E54518" w:rsidRDefault="00E54518" w:rsidP="00E54518">
      <w:pPr>
        <w:spacing w:before="200" w:after="100" w:afterAutospacing="1" w:line="240" w:lineRule="auto"/>
        <w:rPr>
          <w:rFonts w:ascii="Arial" w:eastAsia="Times New Roman" w:hAnsi="Arial" w:cs="Arial"/>
          <w:sz w:val="20"/>
          <w:szCs w:val="20"/>
        </w:rPr>
      </w:pPr>
      <w:hyperlink r:id="rId4" w:anchor="_top" w:history="1"/>
    </w:p>
    <w:p w:rsidR="00E54518" w:rsidRPr="00E54518" w:rsidRDefault="00E54518" w:rsidP="00E54518">
      <w:pPr>
        <w:spacing w:before="200" w:after="100" w:line="240" w:lineRule="auto"/>
        <w:outlineLvl w:val="1"/>
        <w:rPr>
          <w:rFonts w:ascii="Arial" w:eastAsia="Times New Roman" w:hAnsi="Arial" w:cs="Arial"/>
          <w:b/>
          <w:bCs/>
          <w:sz w:val="20"/>
          <w:szCs w:val="20"/>
        </w:rPr>
      </w:pPr>
      <w:bookmarkStart w:id="10" w:name="se7.11.1739_113"/>
      <w:bookmarkEnd w:id="10"/>
      <w:r w:rsidRPr="00E54518">
        <w:rPr>
          <w:rFonts w:ascii="Arial" w:eastAsia="Times New Roman" w:hAnsi="Arial" w:cs="Arial"/>
          <w:b/>
          <w:bCs/>
          <w:sz w:val="20"/>
          <w:szCs w:val="20"/>
        </w:rPr>
        <w:t>§1739.13   Ineligible grant purposes.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Operating expenses not specifically permitted in §1739.12.</w:t>
      </w:r>
    </w:p>
    <w:p w:rsidR="00E54518" w:rsidRPr="00E54518" w:rsidRDefault="00E54518" w:rsidP="00E54518">
      <w:pPr>
        <w:spacing w:before="200" w:after="100" w:line="240" w:lineRule="auto"/>
        <w:outlineLvl w:val="1"/>
        <w:rPr>
          <w:rFonts w:ascii="Arial" w:eastAsia="Times New Roman" w:hAnsi="Arial" w:cs="Arial"/>
          <w:b/>
          <w:bCs/>
          <w:sz w:val="20"/>
          <w:szCs w:val="20"/>
        </w:rPr>
      </w:pPr>
      <w:bookmarkStart w:id="11" w:name="se7.11.1739_114"/>
      <w:bookmarkEnd w:id="11"/>
      <w:r w:rsidRPr="00E54518">
        <w:rPr>
          <w:rFonts w:ascii="Arial" w:eastAsia="Times New Roman" w:hAnsi="Arial" w:cs="Arial"/>
          <w:b/>
          <w:bCs/>
          <w:sz w:val="20"/>
          <w:szCs w:val="20"/>
        </w:rPr>
        <w:t>§1739.14   Matching contributions.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(a) At the time of closing of the award, the awardee must contribute or demonstrate available cash reserves in an account(s) of the awardee equal to at least 15% of the grant. Matching contributions must be used solely for the Project and shall not include any financial assistance from federal sources unless there is a federal statutory exception specifically authorizing the federal financial assistance to be considered as such. An applicant must provide evidence of its ability to comply with this requirement in its application.</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(b) At the end of every calendar quarter, the award must submit a schedule to RUS that identifies how the match contribution was used to support the project until the total contribution is expended.</w:t>
      </w:r>
    </w:p>
    <w:p w:rsidR="00E54518" w:rsidRPr="00E54518" w:rsidRDefault="00E54518" w:rsidP="00E54518">
      <w:pPr>
        <w:spacing w:before="200" w:after="100" w:line="240" w:lineRule="auto"/>
        <w:outlineLvl w:val="1"/>
        <w:rPr>
          <w:rFonts w:ascii="Arial" w:eastAsia="Times New Roman" w:hAnsi="Arial" w:cs="Arial"/>
          <w:b/>
          <w:bCs/>
          <w:sz w:val="20"/>
          <w:szCs w:val="20"/>
        </w:rPr>
      </w:pPr>
      <w:bookmarkStart w:id="12" w:name="se7.11.1739_115"/>
      <w:bookmarkEnd w:id="12"/>
      <w:r w:rsidRPr="00E54518">
        <w:rPr>
          <w:rFonts w:ascii="Arial" w:eastAsia="Times New Roman" w:hAnsi="Arial" w:cs="Arial"/>
          <w:b/>
          <w:bCs/>
          <w:sz w:val="20"/>
          <w:szCs w:val="20"/>
        </w:rPr>
        <w:t>§1739.15   Completed application.</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Applications should be prepared in conformance with the provisions of this part and all applicable regulations, including 2 CFR part 200, as adopted by USDA through 2 CFR part 400.   Applicants must also conform to the requirements of the individual NOFA to be published when funds are available for the program and are advised to use the Agency's Application Guide for this program, found at the Agency's Web site. Applicants must submit one paper copy and one electronic copy of the application. The application guide contains instructions and forms, as well as other important information needed to prepare an application and may be updated periodically. Paper copies of the application guide can be requested by contacting the, Director, Broadband Division at the following address: Stop 1599, South Agriculture Building, Room 2868, </w:t>
      </w:r>
      <w:proofErr w:type="gramStart"/>
      <w:r w:rsidRPr="00E54518">
        <w:rPr>
          <w:rFonts w:ascii="Arial" w:eastAsia="Times New Roman" w:hAnsi="Arial" w:cs="Arial"/>
          <w:sz w:val="20"/>
          <w:szCs w:val="20"/>
        </w:rPr>
        <w:t>Washington</w:t>
      </w:r>
      <w:proofErr w:type="gramEnd"/>
      <w:r w:rsidRPr="00E54518">
        <w:rPr>
          <w:rFonts w:ascii="Arial" w:eastAsia="Times New Roman" w:hAnsi="Arial" w:cs="Arial"/>
          <w:sz w:val="20"/>
          <w:szCs w:val="20"/>
        </w:rPr>
        <w:t xml:space="preserve">, DC 20250. Completed applications must include the </w:t>
      </w:r>
      <w:r w:rsidRPr="00E54518">
        <w:rPr>
          <w:rFonts w:ascii="Arial" w:eastAsia="Times New Roman" w:hAnsi="Arial" w:cs="Arial"/>
          <w:sz w:val="20"/>
          <w:szCs w:val="20"/>
        </w:rPr>
        <w:lastRenderedPageBreak/>
        <w:t>following documentation, studies, reports and information, in form and substance satisfactory to the Agency:</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(a) </w:t>
      </w:r>
      <w:r w:rsidRPr="00E54518">
        <w:rPr>
          <w:rFonts w:ascii="Arial" w:eastAsia="Times New Roman" w:hAnsi="Arial" w:cs="Arial"/>
          <w:i/>
          <w:iCs/>
          <w:sz w:val="20"/>
          <w:szCs w:val="20"/>
        </w:rPr>
        <w:t>An Application for Federal Assistance.</w:t>
      </w:r>
      <w:r w:rsidRPr="00E54518">
        <w:rPr>
          <w:rFonts w:ascii="Arial" w:eastAsia="Times New Roman" w:hAnsi="Arial" w:cs="Arial"/>
          <w:sz w:val="20"/>
          <w:szCs w:val="20"/>
        </w:rPr>
        <w:t xml:space="preserve"> A completed Standard Form 424;</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(b) </w:t>
      </w:r>
      <w:r w:rsidRPr="00E54518">
        <w:rPr>
          <w:rFonts w:ascii="Arial" w:eastAsia="Times New Roman" w:hAnsi="Arial" w:cs="Arial"/>
          <w:i/>
          <w:iCs/>
          <w:sz w:val="20"/>
          <w:szCs w:val="20"/>
        </w:rPr>
        <w:t>An executive summary of the Project.</w:t>
      </w:r>
      <w:r w:rsidRPr="00E54518">
        <w:rPr>
          <w:rFonts w:ascii="Arial" w:eastAsia="Times New Roman" w:hAnsi="Arial" w:cs="Arial"/>
          <w:sz w:val="20"/>
          <w:szCs w:val="20"/>
        </w:rPr>
        <w:t xml:space="preserve"> A general project overview that addresses the following categories: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(1) A description of why the Project is needed;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(2) A description of the applicant;</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(3) An explanation of the total Project costs;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(4) A general overview of the broadband telecommunications system to be developed, including the types of equipment, technologies, and facilities to be used;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(5) Documentation describing the procedures used to determine the unavailability of existing Broadband Service; and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(6) A list of the Critical Community Facilities that will take service from the Applicant at the Broadband Grant Speed, and evidence that any remaining Critical Community Facility located in the PFSA has rejected the offer;</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(c) </w:t>
      </w:r>
      <w:r w:rsidRPr="00E54518">
        <w:rPr>
          <w:rFonts w:ascii="Arial" w:eastAsia="Times New Roman" w:hAnsi="Arial" w:cs="Arial"/>
          <w:i/>
          <w:iCs/>
          <w:sz w:val="20"/>
          <w:szCs w:val="20"/>
        </w:rPr>
        <w:t>Scoring Criteria Documentation.</w:t>
      </w:r>
      <w:r w:rsidRPr="00E54518">
        <w:rPr>
          <w:rFonts w:ascii="Arial" w:eastAsia="Times New Roman" w:hAnsi="Arial" w:cs="Arial"/>
          <w:sz w:val="20"/>
          <w:szCs w:val="20"/>
        </w:rPr>
        <w:t xml:space="preserve"> A narrative, with documentation where necessary, addressing the elements listed in the scoring criteria of §1739.17;</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(d) </w:t>
      </w:r>
      <w:r w:rsidRPr="00E54518">
        <w:rPr>
          <w:rFonts w:ascii="Arial" w:eastAsia="Times New Roman" w:hAnsi="Arial" w:cs="Arial"/>
          <w:i/>
          <w:iCs/>
          <w:sz w:val="20"/>
          <w:szCs w:val="20"/>
        </w:rPr>
        <w:t>System design.</w:t>
      </w:r>
      <w:r w:rsidRPr="00E54518">
        <w:rPr>
          <w:rFonts w:ascii="Arial" w:eastAsia="Times New Roman" w:hAnsi="Arial" w:cs="Arial"/>
          <w:sz w:val="20"/>
          <w:szCs w:val="20"/>
        </w:rPr>
        <w:t xml:space="preserve"> A system design of the Project that is economical and practical, including a detailed description of the facilities to be funded, technical specifications, data rates, and costs. In addition, a network diagram detailing the proposed system must be provided. The system design must also comply with the environmental review requirements in accordance with 7 CFR part 1970;</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(e) </w:t>
      </w:r>
      <w:r w:rsidRPr="00E54518">
        <w:rPr>
          <w:rFonts w:ascii="Arial" w:eastAsia="Times New Roman" w:hAnsi="Arial" w:cs="Arial"/>
          <w:i/>
          <w:iCs/>
          <w:sz w:val="20"/>
          <w:szCs w:val="20"/>
        </w:rPr>
        <w:t>Service Area Demographics.</w:t>
      </w:r>
      <w:r w:rsidRPr="00E54518">
        <w:rPr>
          <w:rFonts w:ascii="Arial" w:eastAsia="Times New Roman" w:hAnsi="Arial" w:cs="Arial"/>
          <w:sz w:val="20"/>
          <w:szCs w:val="20"/>
        </w:rPr>
        <w:t xml:space="preserve"> The following information about the PFSA:</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(1) A map, submitted electronically through RUS' web-based Mapping Tool, which identifies the Rural Area boundaries of the PFSA; and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(2) The total population, number of households, and number of businesses located within the PFSA;</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(f) </w:t>
      </w:r>
      <w:r w:rsidRPr="00E54518">
        <w:rPr>
          <w:rFonts w:ascii="Arial" w:eastAsia="Times New Roman" w:hAnsi="Arial" w:cs="Arial"/>
          <w:i/>
          <w:iCs/>
          <w:sz w:val="20"/>
          <w:szCs w:val="20"/>
        </w:rPr>
        <w:t>Scope of work.</w:t>
      </w:r>
      <w:r w:rsidRPr="00E54518">
        <w:rPr>
          <w:rFonts w:ascii="Arial" w:eastAsia="Times New Roman" w:hAnsi="Arial" w:cs="Arial"/>
          <w:sz w:val="20"/>
          <w:szCs w:val="20"/>
        </w:rPr>
        <w:t xml:space="preserve"> A description of the scope of work, which at a minimum must include:</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(1) The specific activities and services to be performed under the Project;</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(2) Who will carry out the activities and </w:t>
      </w:r>
      <w:proofErr w:type="gramStart"/>
      <w:r w:rsidRPr="00E54518">
        <w:rPr>
          <w:rFonts w:ascii="Arial" w:eastAsia="Times New Roman" w:hAnsi="Arial" w:cs="Arial"/>
          <w:sz w:val="20"/>
          <w:szCs w:val="20"/>
        </w:rPr>
        <w:t>services;</w:t>
      </w:r>
      <w:proofErr w:type="gramEnd"/>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(3) A construction build-out schedule and project milestones, showing the time-frames for accomplishing the Project objectives and activities on a quarterly basis; and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(4) A budget for all capital and administrative expenditures reflecting the line item costs for Eligible Grant Purposes and other sources of funds necessary to complete the Project;</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lastRenderedPageBreak/>
        <w:t xml:space="preserve">(g) </w:t>
      </w:r>
      <w:r w:rsidRPr="00E54518">
        <w:rPr>
          <w:rFonts w:ascii="Arial" w:eastAsia="Times New Roman" w:hAnsi="Arial" w:cs="Arial"/>
          <w:i/>
          <w:iCs/>
          <w:sz w:val="20"/>
          <w:szCs w:val="20"/>
        </w:rPr>
        <w:t>Community-oriented connectivity plan.</w:t>
      </w:r>
      <w:r w:rsidRPr="00E54518">
        <w:rPr>
          <w:rFonts w:ascii="Arial" w:eastAsia="Times New Roman" w:hAnsi="Arial" w:cs="Arial"/>
          <w:sz w:val="20"/>
          <w:szCs w:val="20"/>
        </w:rPr>
        <w:t xml:space="preserve"> A community-oriented connectivity plan consisting of the following:</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(1) A listing of all participating Critical Community Facilities to be connected. The applicant must also provide documentation that it has consulted with the appropriate agent of every Critical Community Facility in the PFSA, and must provide statements from each one as to its willingness to participate, or not to participate, in the proposed Project;</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(2) A description of the services the applicant will make available to local residents and businesses; and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(3) A list of any other telecommunications provider (including interexchange carriers, cable television operators, enhanced service providers, wireless service providers and providers of satellite services) that is participating in the delivery of services and a description of the consultations and the anticipated role of such provider in the Project;</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(h) </w:t>
      </w:r>
      <w:r w:rsidRPr="00E54518">
        <w:rPr>
          <w:rFonts w:ascii="Arial" w:eastAsia="Times New Roman" w:hAnsi="Arial" w:cs="Arial"/>
          <w:i/>
          <w:iCs/>
          <w:sz w:val="20"/>
          <w:szCs w:val="20"/>
        </w:rPr>
        <w:t>Financial information and sustainability.</w:t>
      </w:r>
      <w:r w:rsidRPr="00E54518">
        <w:rPr>
          <w:rFonts w:ascii="Arial" w:eastAsia="Times New Roman" w:hAnsi="Arial" w:cs="Arial"/>
          <w:sz w:val="20"/>
          <w:szCs w:val="20"/>
        </w:rPr>
        <w:t xml:space="preserve"> A narrative description demonstrating the sustainability of the Project: from the commencement of construction to completion, and beyond the grant period; the sufficiency of resources; how and when the matching requirement is met; and the expertise necessary to undertake and complete the Project. The following financial information is required: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(1) If the applicant is an existing company, it must provide complete copies of audited financial statements, if available, for the two fiscal years preceding the application submission. If audited statements are unavailable, the applicant must submit unaudited financial statements for those fiscal years. Applications from start-up entities must, at minimum, provide an opening balance sheet dated within 30 days of the application submission date; and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(2) Annual financial projections in the form of balance sheets, income statements, and cash flow statements for a forecast period of five years, which prove the sustainability of the Project for that period and beyond. These projections must be inclusive of the applicant's existing operations and the Project, and must be supported by a detailed narrative that fully explains the methodology and assumptions used to develop the projections, including details on the number of subscribers projected to take the applicant's services. Applicants submitting multiple applications for funding must demonstrate that each Project is feasible and sustainable on its own, funds are available to cover each of the matching requirements and that all Projects for which funding is being requested are financially feasible as a whole;</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w:t>
      </w:r>
      <w:proofErr w:type="spellStart"/>
      <w:r w:rsidRPr="00E54518">
        <w:rPr>
          <w:rFonts w:ascii="Arial" w:eastAsia="Times New Roman" w:hAnsi="Arial" w:cs="Arial"/>
          <w:sz w:val="20"/>
          <w:szCs w:val="20"/>
        </w:rPr>
        <w:t>i</w:t>
      </w:r>
      <w:proofErr w:type="spellEnd"/>
      <w:r w:rsidRPr="00E54518">
        <w:rPr>
          <w:rFonts w:ascii="Arial" w:eastAsia="Times New Roman" w:hAnsi="Arial" w:cs="Arial"/>
          <w:sz w:val="20"/>
          <w:szCs w:val="20"/>
        </w:rPr>
        <w:t xml:space="preserve">) </w:t>
      </w:r>
      <w:r w:rsidRPr="00E54518">
        <w:rPr>
          <w:rFonts w:ascii="Arial" w:eastAsia="Times New Roman" w:hAnsi="Arial" w:cs="Arial"/>
          <w:i/>
          <w:iCs/>
          <w:sz w:val="20"/>
          <w:szCs w:val="20"/>
        </w:rPr>
        <w:t>Statement of experience.</w:t>
      </w:r>
      <w:r w:rsidRPr="00E54518">
        <w:rPr>
          <w:rFonts w:ascii="Arial" w:eastAsia="Times New Roman" w:hAnsi="Arial" w:cs="Arial"/>
          <w:sz w:val="20"/>
          <w:szCs w:val="20"/>
        </w:rPr>
        <w:t xml:space="preserve"> A statement of experience which includes information on the owners' and principal employees' relevant work experience that would ensure the success of the Project. The applicant must also provide a written narrative demonstrating its capability and experience, if any, in operating a broadband telecommunications system;</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(j) </w:t>
      </w:r>
      <w:r w:rsidRPr="00E54518">
        <w:rPr>
          <w:rFonts w:ascii="Arial" w:eastAsia="Times New Roman" w:hAnsi="Arial" w:cs="Arial"/>
          <w:i/>
          <w:iCs/>
          <w:sz w:val="20"/>
          <w:szCs w:val="20"/>
        </w:rPr>
        <w:t>Legal authority.</w:t>
      </w:r>
      <w:r w:rsidRPr="00E54518">
        <w:rPr>
          <w:rFonts w:ascii="Arial" w:eastAsia="Times New Roman" w:hAnsi="Arial" w:cs="Arial"/>
          <w:sz w:val="20"/>
          <w:szCs w:val="20"/>
        </w:rPr>
        <w:t xml:space="preserve"> Evidence of the applicant's legal authority and existence, and its ability to enter into a grant agreement with the RUS, and to perform the activities proposed under the grant application;</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(k) </w:t>
      </w:r>
      <w:r w:rsidRPr="00E54518">
        <w:rPr>
          <w:rFonts w:ascii="Arial" w:eastAsia="Times New Roman" w:hAnsi="Arial" w:cs="Arial"/>
          <w:i/>
          <w:iCs/>
          <w:sz w:val="20"/>
          <w:szCs w:val="20"/>
        </w:rPr>
        <w:t>Additional funding.</w:t>
      </w:r>
      <w:r w:rsidRPr="00E54518">
        <w:rPr>
          <w:rFonts w:ascii="Arial" w:eastAsia="Times New Roman" w:hAnsi="Arial" w:cs="Arial"/>
          <w:sz w:val="20"/>
          <w:szCs w:val="20"/>
        </w:rPr>
        <w:t xml:space="preserve"> Evidence that funding agreements have been attained, if the Project requires funding commitment(s) from sources other than the grant. An applicant submitting multiple applications for funding must demonstrate its financial wherewithal to support all applications, if accepted, and that it can simultaneously complete and operate all of the Projects under consideration. Additionally, commitments for outside funding must be explicit that they will be available if all applications are not funded;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(l) </w:t>
      </w:r>
      <w:r w:rsidRPr="00E54518">
        <w:rPr>
          <w:rFonts w:ascii="Arial" w:eastAsia="Times New Roman" w:hAnsi="Arial" w:cs="Arial"/>
          <w:i/>
          <w:iCs/>
          <w:sz w:val="20"/>
          <w:szCs w:val="20"/>
        </w:rPr>
        <w:t>Federal compliance.</w:t>
      </w:r>
      <w:r w:rsidRPr="00E54518">
        <w:rPr>
          <w:rFonts w:ascii="Arial" w:eastAsia="Times New Roman" w:hAnsi="Arial" w:cs="Arial"/>
          <w:sz w:val="20"/>
          <w:szCs w:val="20"/>
        </w:rPr>
        <w:t xml:space="preserve"> Evidence of compliance with other federal statutes and regulations including, but not limited to the following:</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lastRenderedPageBreak/>
        <w:t>(1) 7 CFR part 15, subpart A—Nondiscrimination in Federally Assisted Programs of the Department of Agriculture—Effectuation of Title VI of the Civil Rights Act of 1964;</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(2) 2 CFR part 200, as adopted by USDA through 2 CFR part 400.</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(3) 2 CFR part 417—</w:t>
      </w:r>
      <w:proofErr w:type="spellStart"/>
      <w:r w:rsidRPr="00E54518">
        <w:rPr>
          <w:rFonts w:ascii="Arial" w:eastAsia="Times New Roman" w:hAnsi="Arial" w:cs="Arial"/>
          <w:sz w:val="20"/>
          <w:szCs w:val="20"/>
        </w:rPr>
        <w:t>Nonprocurement</w:t>
      </w:r>
      <w:proofErr w:type="spellEnd"/>
      <w:r w:rsidRPr="00E54518">
        <w:rPr>
          <w:rFonts w:ascii="Arial" w:eastAsia="Times New Roman" w:hAnsi="Arial" w:cs="Arial"/>
          <w:sz w:val="20"/>
          <w:szCs w:val="20"/>
        </w:rPr>
        <w:t xml:space="preserve"> Debarment and Suspension;</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(4) 2 CFR part 418—New Restrictions on Lobbying;</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(5) 2 CFR part 421—Requirements for Drug-Free Workplace (Financial Assistance);</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(6) Certification regarding Architectural Barriers;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(7) Certification regarding Flood Hazard Precautions;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(8) Environmental review documentation prepared in accordance with 7 CFR part 1970.</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(9) A certification that grant funds will not be used to duplicate lines, facilities, or systems providing Broadband Service;</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(10) Federal Obligation Certification on Delinquent Debt; and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(11) Assurance Regarding Felony Conviction or Tax Delinquent Status for Corporate Applicants.</w:t>
      </w:r>
    </w:p>
    <w:p w:rsidR="00E54518" w:rsidRPr="00E54518" w:rsidRDefault="00E54518" w:rsidP="00E54518">
      <w:pPr>
        <w:spacing w:before="200" w:after="100" w:afterAutospacing="1" w:line="240" w:lineRule="auto"/>
        <w:rPr>
          <w:rFonts w:ascii="Arial" w:eastAsia="Times New Roman" w:hAnsi="Arial" w:cs="Arial"/>
          <w:sz w:val="18"/>
          <w:szCs w:val="18"/>
        </w:rPr>
      </w:pPr>
      <w:r w:rsidRPr="00E54518">
        <w:rPr>
          <w:rFonts w:ascii="Arial" w:eastAsia="Times New Roman" w:hAnsi="Arial" w:cs="Arial"/>
          <w:sz w:val="18"/>
          <w:szCs w:val="18"/>
        </w:rPr>
        <w:t>[78 FR 25791, June 3, 2013, as amended at 79 FR 76004, Dec. 19, 2014; 81 FR 11027, Mar. 2, 2016]</w:t>
      </w:r>
    </w:p>
    <w:p w:rsidR="00E54518" w:rsidRDefault="00E54518" w:rsidP="00E54518">
      <w:pPr>
        <w:spacing w:before="200" w:after="100" w:line="240" w:lineRule="auto"/>
        <w:outlineLvl w:val="1"/>
        <w:rPr>
          <w:rFonts w:ascii="Arial" w:eastAsia="Times New Roman" w:hAnsi="Arial" w:cs="Arial"/>
          <w:b/>
          <w:bCs/>
          <w:sz w:val="20"/>
          <w:szCs w:val="20"/>
        </w:rPr>
      </w:pPr>
      <w:bookmarkStart w:id="13" w:name="se7.11.1739_116"/>
      <w:bookmarkEnd w:id="13"/>
    </w:p>
    <w:p w:rsidR="00E54518" w:rsidRPr="00E54518" w:rsidRDefault="00E54518" w:rsidP="00E54518">
      <w:pPr>
        <w:spacing w:before="200" w:after="100" w:line="240" w:lineRule="auto"/>
        <w:outlineLvl w:val="1"/>
        <w:rPr>
          <w:rFonts w:ascii="Arial" w:eastAsia="Times New Roman" w:hAnsi="Arial" w:cs="Arial"/>
          <w:b/>
          <w:bCs/>
          <w:sz w:val="20"/>
          <w:szCs w:val="20"/>
        </w:rPr>
      </w:pPr>
      <w:r w:rsidRPr="00E54518">
        <w:rPr>
          <w:rFonts w:ascii="Arial" w:eastAsia="Times New Roman" w:hAnsi="Arial" w:cs="Arial"/>
          <w:b/>
          <w:bCs/>
          <w:sz w:val="20"/>
          <w:szCs w:val="20"/>
        </w:rPr>
        <w:t>§1739.16   Review of grant applications.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(a) All applications for grants must be delivered to the Agency at the address and by the date specified in the NOFA (</w:t>
      </w:r>
      <w:r w:rsidRPr="00E54518">
        <w:rPr>
          <w:rFonts w:ascii="Arial" w:eastAsia="Times New Roman" w:hAnsi="Arial" w:cs="Arial"/>
          <w:i/>
          <w:iCs/>
          <w:sz w:val="20"/>
          <w:szCs w:val="20"/>
        </w:rPr>
        <w:t>see</w:t>
      </w:r>
      <w:r w:rsidRPr="00E54518">
        <w:rPr>
          <w:rFonts w:ascii="Arial" w:eastAsia="Times New Roman" w:hAnsi="Arial" w:cs="Arial"/>
          <w:sz w:val="20"/>
          <w:szCs w:val="20"/>
        </w:rPr>
        <w:t xml:space="preserve"> §1739.2) to be eligible for funding. The Agency will review each application for conformance with the provisions of this part, and may contact the applicant for clarification of information in the application.</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(b) Incomplete applications as of the deadline for submission will not be considered. If an application is determined to be incomplete, the applicant will be notified in writing and the application will be returned with no further action.</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(c) If the Agency determines that the Project is technically or financially infeasible or unsustainable, the Agency will notify the applicant, in writing, and the application will be returned with no further action.</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(d) Applications conforming </w:t>
      </w:r>
      <w:proofErr w:type="gramStart"/>
      <w:r w:rsidRPr="00E54518">
        <w:rPr>
          <w:rFonts w:ascii="Arial" w:eastAsia="Times New Roman" w:hAnsi="Arial" w:cs="Arial"/>
          <w:sz w:val="20"/>
          <w:szCs w:val="20"/>
        </w:rPr>
        <w:t>with</w:t>
      </w:r>
      <w:proofErr w:type="gramEnd"/>
      <w:r w:rsidRPr="00E54518">
        <w:rPr>
          <w:rFonts w:ascii="Arial" w:eastAsia="Times New Roman" w:hAnsi="Arial" w:cs="Arial"/>
          <w:sz w:val="20"/>
          <w:szCs w:val="20"/>
        </w:rPr>
        <w:t xml:space="preserve"> this part will be evaluated competitively by the Agency and will be ranked in accordance with §1739.17. Applications will then be awarded generally in rank order until all grant funds are expended, subject to paragraphs (e) and (f) of this section.</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(e) In addition to scoring, the Agency may take geographic distribution into consideration when making final award determinations.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(f) An award may be made out of rank order if a higher ranked application would require an award that exceeded available funding or would consume a disproportionate amount of funds available relative to its ranking.</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lastRenderedPageBreak/>
        <w:t>(g) The Agency reserves the right to offer an applicant a lower amount than proposed in the application.</w:t>
      </w:r>
    </w:p>
    <w:p w:rsidR="00E54518" w:rsidRPr="00E54518" w:rsidRDefault="00E54518" w:rsidP="00E54518">
      <w:pPr>
        <w:spacing w:before="200" w:after="100" w:line="240" w:lineRule="auto"/>
        <w:outlineLvl w:val="1"/>
        <w:rPr>
          <w:rFonts w:ascii="Arial" w:eastAsia="Times New Roman" w:hAnsi="Arial" w:cs="Arial"/>
          <w:b/>
          <w:bCs/>
          <w:sz w:val="20"/>
          <w:szCs w:val="20"/>
        </w:rPr>
      </w:pPr>
      <w:bookmarkStart w:id="14" w:name="se7.11.1739_117"/>
      <w:bookmarkEnd w:id="14"/>
      <w:r w:rsidRPr="00E54518">
        <w:rPr>
          <w:rFonts w:ascii="Arial" w:eastAsia="Times New Roman" w:hAnsi="Arial" w:cs="Arial"/>
          <w:b/>
          <w:bCs/>
          <w:sz w:val="20"/>
          <w:szCs w:val="20"/>
        </w:rPr>
        <w:t>§1739.17   </w:t>
      </w:r>
      <w:proofErr w:type="gramStart"/>
      <w:r w:rsidRPr="00E54518">
        <w:rPr>
          <w:rFonts w:ascii="Arial" w:eastAsia="Times New Roman" w:hAnsi="Arial" w:cs="Arial"/>
          <w:b/>
          <w:bCs/>
          <w:sz w:val="20"/>
          <w:szCs w:val="20"/>
        </w:rPr>
        <w:t>Scoring</w:t>
      </w:r>
      <w:proofErr w:type="gramEnd"/>
      <w:r w:rsidRPr="00E54518">
        <w:rPr>
          <w:rFonts w:ascii="Arial" w:eastAsia="Times New Roman" w:hAnsi="Arial" w:cs="Arial"/>
          <w:b/>
          <w:bCs/>
          <w:sz w:val="20"/>
          <w:szCs w:val="20"/>
        </w:rPr>
        <w:t xml:space="preserve"> of applications.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The ranking of the “community-oriented connectivity” benefits of the Project will be based on documentation in support of the need for services, benefits derived from the proposed services, characteristics of the PFSA, local community involvement in planning and implementation of the Project, and the level of experience of the management team. In ranking applications the Agency will consider the following criteria based on a scale of 100 possible points: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(a) An analysis of the challenges of the following criteria, laid out on a community-wide basis, and how the Project proposes to address these issues (up to 50 points):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(1) The economic characteristics;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(2) Educational challenges;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(3) Health care needs; and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(4) Public safety issues;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(b) The extent of the Project's planning, development, and support by local residents, institutions, and Critical Community Facilities. Documentation must include evidence of community-wide involvement, as exemplified by community meetings, public forums, and surveys. In addition, applicants should provide evidence of local residents' participation in the Project planning and development (up to 40 points).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(c) The level of experience and past success of operating broadband systems for the management team. (</w:t>
      </w:r>
      <w:proofErr w:type="gramStart"/>
      <w:r w:rsidRPr="00E54518">
        <w:rPr>
          <w:rFonts w:ascii="Arial" w:eastAsia="Times New Roman" w:hAnsi="Arial" w:cs="Arial"/>
          <w:sz w:val="20"/>
          <w:szCs w:val="20"/>
        </w:rPr>
        <w:t>up</w:t>
      </w:r>
      <w:proofErr w:type="gramEnd"/>
      <w:r w:rsidRPr="00E54518">
        <w:rPr>
          <w:rFonts w:ascii="Arial" w:eastAsia="Times New Roman" w:hAnsi="Arial" w:cs="Arial"/>
          <w:sz w:val="20"/>
          <w:szCs w:val="20"/>
        </w:rPr>
        <w:t xml:space="preserve"> to 10 points)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(d) In making a final selection among and between applications with comparable rankings and geographic distribution, the Administrator may take into consideration the characteristics of the PFSA. Only information provided in the application will be considered. Applicants should therefore specifically address each of the following criteria to differentiate their applications: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(1) Persistent poverty counties that will be served within the PFSA;</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(2) Out-migration Communities that will be served within the PFSA;</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(3) The rurality of the PFSA;</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(4) The speed of service provided by the project;</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(5) Substantially underserved trust areas that will be served within the PFSA;</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(6) Community members with disabilities that will be served within the PFSA; and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(7) Any other additional factors that may be outlined in the NOFA.</w:t>
      </w:r>
    </w:p>
    <w:p w:rsidR="00E54518" w:rsidRPr="00E54518" w:rsidRDefault="00E54518" w:rsidP="00E54518">
      <w:pPr>
        <w:spacing w:before="200" w:after="100" w:line="240" w:lineRule="auto"/>
        <w:outlineLvl w:val="1"/>
        <w:rPr>
          <w:rFonts w:ascii="Arial" w:eastAsia="Times New Roman" w:hAnsi="Arial" w:cs="Arial"/>
          <w:b/>
          <w:bCs/>
          <w:sz w:val="20"/>
          <w:szCs w:val="20"/>
        </w:rPr>
      </w:pPr>
      <w:bookmarkStart w:id="15" w:name="se7.11.1739_118"/>
      <w:bookmarkEnd w:id="15"/>
      <w:r w:rsidRPr="00E54518">
        <w:rPr>
          <w:rFonts w:ascii="Arial" w:eastAsia="Times New Roman" w:hAnsi="Arial" w:cs="Arial"/>
          <w:b/>
          <w:bCs/>
          <w:sz w:val="20"/>
          <w:szCs w:val="20"/>
        </w:rPr>
        <w:t>§1739.18   Grant documents.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lastRenderedPageBreak/>
        <w:t>The terms and conditions of grants shall be set forth in grant documents prepared by the Agency. The documents shall require the applicant to own all equipment and facilities financed by the grant. Among other matters, the Agency may prescribe conditions to the advance of funds that address concerns regarding the Project feasibility and sustainability. The Agency may also prescribe terms and conditions applicable to the construction and operation of the Project and the delivery of service at the Broadband Grant Speed to eligible Rural Areas, as well as other terms and conditions applicable to the individual Project. Dividend distributions will not be allowed until all grant funds and matching contributions have been expended.</w:t>
      </w:r>
    </w:p>
    <w:p w:rsidR="00E54518" w:rsidRPr="00E54518" w:rsidRDefault="00E54518" w:rsidP="00E54518">
      <w:pPr>
        <w:spacing w:before="200" w:after="100" w:line="240" w:lineRule="auto"/>
        <w:outlineLvl w:val="1"/>
        <w:rPr>
          <w:rFonts w:ascii="Arial" w:eastAsia="Times New Roman" w:hAnsi="Arial" w:cs="Arial"/>
          <w:b/>
          <w:bCs/>
          <w:sz w:val="20"/>
          <w:szCs w:val="20"/>
        </w:rPr>
      </w:pPr>
      <w:bookmarkStart w:id="16" w:name="se7.11.1739_119"/>
      <w:bookmarkEnd w:id="16"/>
      <w:r w:rsidRPr="00E54518">
        <w:rPr>
          <w:rFonts w:ascii="Arial" w:eastAsia="Times New Roman" w:hAnsi="Arial" w:cs="Arial"/>
          <w:b/>
          <w:bCs/>
          <w:sz w:val="20"/>
          <w:szCs w:val="20"/>
        </w:rPr>
        <w:t>§1739.19   Reporting and oversight requirements.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(a) A project performance activity report will be required of all recipients on an annual basis until the Project is complete and the funds are expended by the applicant. The reporting period will start with the calendar year the award is made and continue for every calendar year through the term of the award. The report must be submitted by January 31 of the following year of the reporting period. Recipients are to submit an original and one copy of all project performance reports, including, but not limited to, the following:</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(1) A comparison of actual accomplishments to the objectives established for that period;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(2) A description of any problems, delays, or adverse conditions which have occurred, or are anticipated, and which may affect the attainment of overall Project objectives, prevent the meeting of time schedules or objectives, or preclude the attainment of particular Project work elements during established time periods. This disclosure shall be accompanied by a statement of the action taken or planned to resolve the situation; and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(3) Objectives and timetable established for the next reporting period.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(b) A final project performance report must be provided by the recipient. It must provide an evaluation of the success of the Project in meeting the objectives of the program. The final report may serve as the last annual report.</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(c) The Agency will monitor recipients, as it determines necessary, to assure that Projects are completed in accordance with the approved scope of work and that the grant is expended for Eligible Grant Purposes.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(d) Recipients shall diligently monitor performance to ensure that time schedules are being met, projected work within designated time periods is being accomplished, and other performance objectives are being achieved.</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(e) The applicant must have the necessary processes and systems in place to comply with the reporting requirements for first-tier sub-awards and executive compensation under the Federal Funding Accountability and Transparency Act of 2006 in the event the applicant receives funding unless such applicant is exempt from such reporting requirements pursuant to 2 CFR 170.110(b). The reporting requirements under the Transparency Act pursuant to 2 CFR part 170 are as follows: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(1) First Tier Sub-Awards of $25,000 or more in non-Recovery Act funds (unless they are exempt under 2 CFR part 170) must be reported by the Recipient to </w:t>
      </w:r>
      <w:r w:rsidRPr="00E54518">
        <w:rPr>
          <w:rFonts w:ascii="Arial" w:eastAsia="Times New Roman" w:hAnsi="Arial" w:cs="Arial"/>
          <w:i/>
          <w:iCs/>
          <w:sz w:val="20"/>
          <w:szCs w:val="20"/>
        </w:rPr>
        <w:t>http://www.fsrs.gov</w:t>
      </w:r>
      <w:r w:rsidRPr="00E54518">
        <w:rPr>
          <w:rFonts w:ascii="Arial" w:eastAsia="Times New Roman" w:hAnsi="Arial" w:cs="Arial"/>
          <w:sz w:val="20"/>
          <w:szCs w:val="20"/>
        </w:rPr>
        <w:t xml:space="preserve"> no later than the end of the month following the month the obligation was made.</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 xml:space="preserve">(2) The Total Compensation of the Recipient's Executives (5 most highly compensated executives) must be reported by the Recipient (if the Recipient meets the criteria under 2 CFR part 170) to </w:t>
      </w:r>
      <w:r w:rsidRPr="00E54518">
        <w:rPr>
          <w:rFonts w:ascii="Arial" w:eastAsia="Times New Roman" w:hAnsi="Arial" w:cs="Arial"/>
          <w:i/>
          <w:iCs/>
          <w:sz w:val="20"/>
          <w:szCs w:val="20"/>
        </w:rPr>
        <w:t>http://www.sam.gov</w:t>
      </w:r>
      <w:r w:rsidRPr="00E54518">
        <w:rPr>
          <w:rFonts w:ascii="Arial" w:eastAsia="Times New Roman" w:hAnsi="Arial" w:cs="Arial"/>
          <w:sz w:val="20"/>
          <w:szCs w:val="20"/>
        </w:rPr>
        <w:t xml:space="preserve"> by the end of the month following the month in which the award was made.</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lastRenderedPageBreak/>
        <w:t xml:space="preserve">(3) The Total Compensation of the </w:t>
      </w:r>
      <w:proofErr w:type="spellStart"/>
      <w:r w:rsidRPr="00E54518">
        <w:rPr>
          <w:rFonts w:ascii="Arial" w:eastAsia="Times New Roman" w:hAnsi="Arial" w:cs="Arial"/>
          <w:sz w:val="20"/>
          <w:szCs w:val="20"/>
        </w:rPr>
        <w:t>Subrecipient's</w:t>
      </w:r>
      <w:proofErr w:type="spellEnd"/>
      <w:r w:rsidRPr="00E54518">
        <w:rPr>
          <w:rFonts w:ascii="Arial" w:eastAsia="Times New Roman" w:hAnsi="Arial" w:cs="Arial"/>
          <w:sz w:val="20"/>
          <w:szCs w:val="20"/>
        </w:rPr>
        <w:t xml:space="preserve"> Executives (5 most highly compensated executives) must be reported by the </w:t>
      </w:r>
      <w:proofErr w:type="spellStart"/>
      <w:r w:rsidRPr="00E54518">
        <w:rPr>
          <w:rFonts w:ascii="Arial" w:eastAsia="Times New Roman" w:hAnsi="Arial" w:cs="Arial"/>
          <w:sz w:val="20"/>
          <w:szCs w:val="20"/>
        </w:rPr>
        <w:t>Subrecipient</w:t>
      </w:r>
      <w:proofErr w:type="spellEnd"/>
      <w:r w:rsidRPr="00E54518">
        <w:rPr>
          <w:rFonts w:ascii="Arial" w:eastAsia="Times New Roman" w:hAnsi="Arial" w:cs="Arial"/>
          <w:sz w:val="20"/>
          <w:szCs w:val="20"/>
        </w:rPr>
        <w:t xml:space="preserve"> (if the </w:t>
      </w:r>
      <w:proofErr w:type="spellStart"/>
      <w:r w:rsidRPr="00E54518">
        <w:rPr>
          <w:rFonts w:ascii="Arial" w:eastAsia="Times New Roman" w:hAnsi="Arial" w:cs="Arial"/>
          <w:sz w:val="20"/>
          <w:szCs w:val="20"/>
        </w:rPr>
        <w:t>Subrecipient</w:t>
      </w:r>
      <w:proofErr w:type="spellEnd"/>
      <w:r w:rsidRPr="00E54518">
        <w:rPr>
          <w:rFonts w:ascii="Arial" w:eastAsia="Times New Roman" w:hAnsi="Arial" w:cs="Arial"/>
          <w:sz w:val="20"/>
          <w:szCs w:val="20"/>
        </w:rPr>
        <w:t xml:space="preserve"> meets the criteria under 2 CFR part 170) to the Recipient by the end of the month following the month in which the </w:t>
      </w:r>
      <w:proofErr w:type="spellStart"/>
      <w:r w:rsidRPr="00E54518">
        <w:rPr>
          <w:rFonts w:ascii="Arial" w:eastAsia="Times New Roman" w:hAnsi="Arial" w:cs="Arial"/>
          <w:sz w:val="20"/>
          <w:szCs w:val="20"/>
        </w:rPr>
        <w:t>subaward</w:t>
      </w:r>
      <w:proofErr w:type="spellEnd"/>
      <w:r w:rsidRPr="00E54518">
        <w:rPr>
          <w:rFonts w:ascii="Arial" w:eastAsia="Times New Roman" w:hAnsi="Arial" w:cs="Arial"/>
          <w:sz w:val="20"/>
          <w:szCs w:val="20"/>
        </w:rPr>
        <w:t xml:space="preserve"> was made.</w:t>
      </w:r>
    </w:p>
    <w:p w:rsidR="00E54518" w:rsidRPr="00E54518" w:rsidRDefault="00E54518" w:rsidP="00E54518">
      <w:pPr>
        <w:spacing w:before="200" w:after="100" w:line="240" w:lineRule="auto"/>
        <w:outlineLvl w:val="1"/>
        <w:rPr>
          <w:rFonts w:ascii="Arial" w:eastAsia="Times New Roman" w:hAnsi="Arial" w:cs="Arial"/>
          <w:b/>
          <w:bCs/>
          <w:sz w:val="20"/>
          <w:szCs w:val="20"/>
        </w:rPr>
      </w:pPr>
      <w:bookmarkStart w:id="17" w:name="se7.11.1739_120"/>
      <w:bookmarkEnd w:id="17"/>
      <w:r w:rsidRPr="00E54518">
        <w:rPr>
          <w:rFonts w:ascii="Arial" w:eastAsia="Times New Roman" w:hAnsi="Arial" w:cs="Arial"/>
          <w:b/>
          <w:bCs/>
          <w:sz w:val="20"/>
          <w:szCs w:val="20"/>
        </w:rPr>
        <w:t>§1739.20   Audit requirements.</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A grant recipient shall provide the Agency with an audit for each year in which a portion of the financial assistance is expended, in accordance with the following:</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(a) If the recipient is a for-profit entity, an existing Telecommunications or Electric Borrower with the Agency, or any other entity not covered by the following paragraph, the recipient shall provide an independent audit report in accordance with 7 CFR part 1773, “Policy on Audits of the Agency's Borrowers.” Please note that the first audit submitted to the Agency and all subsequent audits must be comparative audits as described in 7 CFR part 1773.</w:t>
      </w:r>
    </w:p>
    <w:p w:rsidR="00E54518" w:rsidRPr="00E54518" w:rsidRDefault="00E54518" w:rsidP="00E54518">
      <w:pPr>
        <w:spacing w:before="100" w:beforeAutospacing="1" w:after="100" w:afterAutospacing="1" w:line="240" w:lineRule="auto"/>
        <w:ind w:firstLine="480"/>
        <w:jc w:val="center"/>
        <w:rPr>
          <w:rFonts w:ascii="Arial" w:eastAsia="Times New Roman" w:hAnsi="Arial" w:cs="Arial"/>
          <w:sz w:val="20"/>
          <w:szCs w:val="20"/>
        </w:rPr>
      </w:pPr>
      <w:r w:rsidRPr="00E54518">
        <w:rPr>
          <w:rFonts w:ascii="Arial" w:eastAsia="Times New Roman" w:hAnsi="Arial" w:cs="Arial"/>
          <w:sz w:val="20"/>
          <w:szCs w:val="20"/>
        </w:rPr>
        <w:t>(b) If the recipient is a Tribal, State or local government, or non-profit organization, the recipient shall provide an audit in accordance with subpart F of 2 CFR part 200, as adopted by USDA through 2 CFR part 400.</w:t>
      </w:r>
    </w:p>
    <w:p w:rsidR="00E54518" w:rsidRPr="00E54518" w:rsidRDefault="00E54518" w:rsidP="00E54518">
      <w:pPr>
        <w:spacing w:before="200" w:after="100" w:afterAutospacing="1" w:line="240" w:lineRule="auto"/>
        <w:rPr>
          <w:rFonts w:ascii="Arial" w:eastAsia="Times New Roman" w:hAnsi="Arial" w:cs="Arial"/>
          <w:sz w:val="18"/>
          <w:szCs w:val="18"/>
        </w:rPr>
      </w:pPr>
      <w:r w:rsidRPr="00E54518">
        <w:rPr>
          <w:rFonts w:ascii="Arial" w:eastAsia="Times New Roman" w:hAnsi="Arial" w:cs="Arial"/>
          <w:sz w:val="18"/>
          <w:szCs w:val="18"/>
        </w:rPr>
        <w:t>[78 FR 25791, June 3, 2013, as amended at 79 FR 76004, Dec. 19, 2014]</w:t>
      </w:r>
    </w:p>
    <w:p w:rsidR="00E54518" w:rsidRPr="00E54518" w:rsidRDefault="00E54518" w:rsidP="00E54518">
      <w:pPr>
        <w:spacing w:before="200" w:line="240" w:lineRule="auto"/>
        <w:outlineLvl w:val="1"/>
        <w:rPr>
          <w:rFonts w:ascii="Arial" w:eastAsia="Times New Roman" w:hAnsi="Arial" w:cs="Arial"/>
          <w:b/>
          <w:bCs/>
          <w:sz w:val="20"/>
          <w:szCs w:val="20"/>
        </w:rPr>
      </w:pPr>
      <w:bookmarkStart w:id="18" w:name="se7.11.1739_121"/>
      <w:bookmarkEnd w:id="18"/>
      <w:r w:rsidRPr="00E54518">
        <w:rPr>
          <w:rFonts w:ascii="Arial" w:eastAsia="Times New Roman" w:hAnsi="Arial" w:cs="Arial"/>
          <w:b/>
          <w:bCs/>
          <w:sz w:val="20"/>
          <w:szCs w:val="20"/>
        </w:rPr>
        <w:t>§1739.21   OMB control number.</w:t>
      </w:r>
    </w:p>
    <w:p w:rsidR="00306B85" w:rsidRDefault="00E54518" w:rsidP="00E54518">
      <w:r w:rsidRPr="00E54518">
        <w:rPr>
          <w:rFonts w:ascii="Arial" w:eastAsia="Times New Roman" w:hAnsi="Arial" w:cs="Arial"/>
          <w:sz w:val="20"/>
          <w:szCs w:val="20"/>
        </w:rPr>
        <w:t>The information collection requirements in this part are approved by the Office of Management and Budget (OMB) and assigned OMB control number 0572-0127.</w:t>
      </w:r>
    </w:p>
    <w:sectPr w:rsidR="00306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18"/>
    <w:rsid w:val="00306B85"/>
    <w:rsid w:val="00E5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5D386-6283-42B7-9FD9-DFED7E17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431">
      <w:bodyDiv w:val="1"/>
      <w:marLeft w:val="0"/>
      <w:marRight w:val="0"/>
      <w:marTop w:val="30"/>
      <w:marBottom w:val="750"/>
      <w:divBdr>
        <w:top w:val="none" w:sz="0" w:space="0" w:color="auto"/>
        <w:left w:val="none" w:sz="0" w:space="0" w:color="auto"/>
        <w:bottom w:val="none" w:sz="0" w:space="0" w:color="auto"/>
        <w:right w:val="none" w:sz="0" w:space="0" w:color="auto"/>
      </w:divBdr>
      <w:divsChild>
        <w:div w:id="1587762547">
          <w:marLeft w:val="0"/>
          <w:marRight w:val="0"/>
          <w:marTop w:val="0"/>
          <w:marBottom w:val="0"/>
          <w:divBdr>
            <w:top w:val="none" w:sz="0" w:space="0" w:color="auto"/>
            <w:left w:val="none" w:sz="0" w:space="0" w:color="auto"/>
            <w:bottom w:val="none" w:sz="0" w:space="0" w:color="auto"/>
            <w:right w:val="none" w:sz="0" w:space="0" w:color="auto"/>
          </w:divBdr>
          <w:divsChild>
            <w:div w:id="612398371">
              <w:marLeft w:val="0"/>
              <w:marRight w:val="0"/>
              <w:marTop w:val="0"/>
              <w:marBottom w:val="0"/>
              <w:divBdr>
                <w:top w:val="none" w:sz="0" w:space="0" w:color="auto"/>
                <w:left w:val="none" w:sz="0" w:space="0" w:color="auto"/>
                <w:bottom w:val="none" w:sz="0" w:space="0" w:color="auto"/>
                <w:right w:val="none" w:sz="0" w:space="0" w:color="auto"/>
              </w:divBdr>
            </w:div>
            <w:div w:id="1663391997">
              <w:marLeft w:val="0"/>
              <w:marRight w:val="0"/>
              <w:marTop w:val="0"/>
              <w:marBottom w:val="0"/>
              <w:divBdr>
                <w:top w:val="none" w:sz="0" w:space="0" w:color="auto"/>
                <w:left w:val="none" w:sz="0" w:space="0" w:color="auto"/>
                <w:bottom w:val="none" w:sz="0" w:space="0" w:color="auto"/>
                <w:right w:val="none" w:sz="0" w:space="0" w:color="auto"/>
              </w:divBdr>
            </w:div>
            <w:div w:id="384330050">
              <w:marLeft w:val="0"/>
              <w:marRight w:val="0"/>
              <w:marTop w:val="0"/>
              <w:marBottom w:val="0"/>
              <w:divBdr>
                <w:top w:val="none" w:sz="0" w:space="0" w:color="auto"/>
                <w:left w:val="none" w:sz="0" w:space="0" w:color="auto"/>
                <w:bottom w:val="none" w:sz="0" w:space="0" w:color="auto"/>
                <w:right w:val="none" w:sz="0" w:space="0" w:color="auto"/>
              </w:divBdr>
            </w:div>
            <w:div w:id="694773907">
              <w:marLeft w:val="0"/>
              <w:marRight w:val="0"/>
              <w:marTop w:val="0"/>
              <w:marBottom w:val="0"/>
              <w:divBdr>
                <w:top w:val="none" w:sz="0" w:space="0" w:color="auto"/>
                <w:left w:val="none" w:sz="0" w:space="0" w:color="auto"/>
                <w:bottom w:val="none" w:sz="0" w:space="0" w:color="auto"/>
                <w:right w:val="none" w:sz="0" w:space="0" w:color="auto"/>
              </w:divBdr>
            </w:div>
            <w:div w:id="1830752593">
              <w:marLeft w:val="0"/>
              <w:marRight w:val="0"/>
              <w:marTop w:val="0"/>
              <w:marBottom w:val="0"/>
              <w:divBdr>
                <w:top w:val="none" w:sz="0" w:space="0" w:color="auto"/>
                <w:left w:val="none" w:sz="0" w:space="0" w:color="auto"/>
                <w:bottom w:val="none" w:sz="0" w:space="0" w:color="auto"/>
                <w:right w:val="none" w:sz="0" w:space="0" w:color="auto"/>
              </w:divBdr>
            </w:div>
            <w:div w:id="1715227997">
              <w:marLeft w:val="0"/>
              <w:marRight w:val="0"/>
              <w:marTop w:val="0"/>
              <w:marBottom w:val="0"/>
              <w:divBdr>
                <w:top w:val="none" w:sz="0" w:space="0" w:color="auto"/>
                <w:left w:val="none" w:sz="0" w:space="0" w:color="auto"/>
                <w:bottom w:val="none" w:sz="0" w:space="0" w:color="auto"/>
                <w:right w:val="none" w:sz="0" w:space="0" w:color="auto"/>
              </w:divBdr>
            </w:div>
            <w:div w:id="331877434">
              <w:marLeft w:val="0"/>
              <w:marRight w:val="0"/>
              <w:marTop w:val="0"/>
              <w:marBottom w:val="0"/>
              <w:divBdr>
                <w:top w:val="none" w:sz="0" w:space="0" w:color="auto"/>
                <w:left w:val="none" w:sz="0" w:space="0" w:color="auto"/>
                <w:bottom w:val="none" w:sz="0" w:space="0" w:color="auto"/>
                <w:right w:val="none" w:sz="0" w:space="0" w:color="auto"/>
              </w:divBdr>
            </w:div>
            <w:div w:id="230234667">
              <w:marLeft w:val="0"/>
              <w:marRight w:val="0"/>
              <w:marTop w:val="0"/>
              <w:marBottom w:val="0"/>
              <w:divBdr>
                <w:top w:val="none" w:sz="0" w:space="0" w:color="auto"/>
                <w:left w:val="none" w:sz="0" w:space="0" w:color="auto"/>
                <w:bottom w:val="none" w:sz="0" w:space="0" w:color="auto"/>
                <w:right w:val="none" w:sz="0" w:space="0" w:color="auto"/>
              </w:divBdr>
            </w:div>
            <w:div w:id="15275988">
              <w:marLeft w:val="0"/>
              <w:marRight w:val="0"/>
              <w:marTop w:val="0"/>
              <w:marBottom w:val="0"/>
              <w:divBdr>
                <w:top w:val="none" w:sz="0" w:space="0" w:color="auto"/>
                <w:left w:val="none" w:sz="0" w:space="0" w:color="auto"/>
                <w:bottom w:val="none" w:sz="0" w:space="0" w:color="auto"/>
                <w:right w:val="none" w:sz="0" w:space="0" w:color="auto"/>
              </w:divBdr>
            </w:div>
            <w:div w:id="541599407">
              <w:marLeft w:val="0"/>
              <w:marRight w:val="0"/>
              <w:marTop w:val="0"/>
              <w:marBottom w:val="0"/>
              <w:divBdr>
                <w:top w:val="none" w:sz="0" w:space="0" w:color="auto"/>
                <w:left w:val="none" w:sz="0" w:space="0" w:color="auto"/>
                <w:bottom w:val="none" w:sz="0" w:space="0" w:color="auto"/>
                <w:right w:val="none" w:sz="0" w:space="0" w:color="auto"/>
              </w:divBdr>
            </w:div>
            <w:div w:id="292296131">
              <w:marLeft w:val="0"/>
              <w:marRight w:val="0"/>
              <w:marTop w:val="0"/>
              <w:marBottom w:val="0"/>
              <w:divBdr>
                <w:top w:val="none" w:sz="0" w:space="0" w:color="auto"/>
                <w:left w:val="none" w:sz="0" w:space="0" w:color="auto"/>
                <w:bottom w:val="none" w:sz="0" w:space="0" w:color="auto"/>
                <w:right w:val="none" w:sz="0" w:space="0" w:color="auto"/>
              </w:divBdr>
            </w:div>
            <w:div w:id="1695617936">
              <w:marLeft w:val="0"/>
              <w:marRight w:val="0"/>
              <w:marTop w:val="0"/>
              <w:marBottom w:val="0"/>
              <w:divBdr>
                <w:top w:val="none" w:sz="0" w:space="0" w:color="auto"/>
                <w:left w:val="none" w:sz="0" w:space="0" w:color="auto"/>
                <w:bottom w:val="none" w:sz="0" w:space="0" w:color="auto"/>
                <w:right w:val="none" w:sz="0" w:space="0" w:color="auto"/>
              </w:divBdr>
            </w:div>
            <w:div w:id="2048218120">
              <w:marLeft w:val="0"/>
              <w:marRight w:val="0"/>
              <w:marTop w:val="0"/>
              <w:marBottom w:val="0"/>
              <w:divBdr>
                <w:top w:val="none" w:sz="0" w:space="0" w:color="auto"/>
                <w:left w:val="none" w:sz="0" w:space="0" w:color="auto"/>
                <w:bottom w:val="none" w:sz="0" w:space="0" w:color="auto"/>
                <w:right w:val="none" w:sz="0" w:space="0" w:color="auto"/>
              </w:divBdr>
            </w:div>
            <w:div w:id="1377388742">
              <w:marLeft w:val="0"/>
              <w:marRight w:val="0"/>
              <w:marTop w:val="0"/>
              <w:marBottom w:val="0"/>
              <w:divBdr>
                <w:top w:val="none" w:sz="0" w:space="0" w:color="auto"/>
                <w:left w:val="none" w:sz="0" w:space="0" w:color="auto"/>
                <w:bottom w:val="none" w:sz="0" w:space="0" w:color="auto"/>
                <w:right w:val="none" w:sz="0" w:space="0" w:color="auto"/>
              </w:divBdr>
            </w:div>
            <w:div w:id="1590693463">
              <w:marLeft w:val="0"/>
              <w:marRight w:val="0"/>
              <w:marTop w:val="0"/>
              <w:marBottom w:val="0"/>
              <w:divBdr>
                <w:top w:val="none" w:sz="0" w:space="0" w:color="auto"/>
                <w:left w:val="none" w:sz="0" w:space="0" w:color="auto"/>
                <w:bottom w:val="none" w:sz="0" w:space="0" w:color="auto"/>
                <w:right w:val="none" w:sz="0" w:space="0" w:color="auto"/>
              </w:divBdr>
            </w:div>
            <w:div w:id="655954814">
              <w:marLeft w:val="0"/>
              <w:marRight w:val="0"/>
              <w:marTop w:val="0"/>
              <w:marBottom w:val="0"/>
              <w:divBdr>
                <w:top w:val="none" w:sz="0" w:space="0" w:color="auto"/>
                <w:left w:val="none" w:sz="0" w:space="0" w:color="auto"/>
                <w:bottom w:val="none" w:sz="0" w:space="0" w:color="auto"/>
                <w:right w:val="none" w:sz="0" w:space="0" w:color="auto"/>
              </w:divBdr>
            </w:div>
            <w:div w:id="1208448300">
              <w:marLeft w:val="0"/>
              <w:marRight w:val="0"/>
              <w:marTop w:val="0"/>
              <w:marBottom w:val="0"/>
              <w:divBdr>
                <w:top w:val="none" w:sz="0" w:space="0" w:color="auto"/>
                <w:left w:val="none" w:sz="0" w:space="0" w:color="auto"/>
                <w:bottom w:val="none" w:sz="0" w:space="0" w:color="auto"/>
                <w:right w:val="none" w:sz="0" w:space="0" w:color="auto"/>
              </w:divBdr>
            </w:div>
            <w:div w:id="9404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cfr.gov/cgi-bin/text-idx?SID=867d97968025f0eec9d2a05d58edfc16&amp;mc=true&amp;node=pt7.11.1739&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4125</Words>
  <Characters>23516</Characters>
  <Application>Microsoft Office Word</Application>
  <DocSecurity>0</DocSecurity>
  <Lines>195</Lines>
  <Paragraphs>55</Paragraphs>
  <ScaleCrop>false</ScaleCrop>
  <Company>USDA</Company>
  <LinksUpToDate>false</LinksUpToDate>
  <CharactersWithSpaces>27586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Thomas - RD, Washington, DC</dc:creator>
  <cp:keywords/>
  <dc:description/>
  <cp:lastModifiedBy>Dickson, Thomas - RD, Washington, DC</cp:lastModifiedBy>
  <cp:revision>1</cp:revision>
  <dcterms:created xsi:type="dcterms:W3CDTF">2016-09-09T13:47:00Z</dcterms:created>
  <dcterms:modified xsi:type="dcterms:W3CDTF">2016-09-09T13:58:00Z</dcterms:modified>
</cp:coreProperties>
</file>