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F56AB" w14:textId="77777777"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73BAF">
        <w:rPr>
          <w:sz w:val="28"/>
        </w:rPr>
        <w:t>0920-1050</w:t>
      </w:r>
      <w:r>
        <w:rPr>
          <w:sz w:val="28"/>
        </w:rPr>
        <w:t>)</w:t>
      </w:r>
    </w:p>
    <w:p w14:paraId="01FCCFDE" w14:textId="77777777" w:rsidR="00B46F2C" w:rsidRDefault="003A4C87" w:rsidP="00434E33">
      <w:r>
        <w:rPr>
          <w:noProof/>
        </w:rPr>
        <mc:AlternateContent>
          <mc:Choice Requires="wps">
            <w:drawing>
              <wp:anchor distT="0" distB="0" distL="114300" distR="114300" simplePos="0" relativeHeight="251658240" behindDoc="0" locked="0" layoutInCell="0" allowOverlap="1" wp14:anchorId="12B8BE4C" wp14:editId="5469345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1882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14:paraId="5ABF20C8" w14:textId="77777777" w:rsidR="00973BAF" w:rsidRPr="004D2A92" w:rsidRDefault="00973BAF" w:rsidP="00434E33">
      <w:pPr>
        <w:rPr>
          <w:b/>
        </w:rPr>
      </w:pPr>
      <w:r w:rsidRPr="004D2A92">
        <w:t>CDC Public Health Grand Rounds (PHGR) Audience Satisfaction Survey</w:t>
      </w:r>
    </w:p>
    <w:p w14:paraId="71598E25" w14:textId="77777777" w:rsidR="00B46F2C" w:rsidRPr="004D2A92" w:rsidRDefault="00B46F2C"/>
    <w:p w14:paraId="13AF0B18" w14:textId="77777777" w:rsidR="00B46F2C" w:rsidRPr="004D2A92" w:rsidRDefault="00B46F2C">
      <w:r w:rsidRPr="004D2A92">
        <w:rPr>
          <w:b/>
        </w:rPr>
        <w:t xml:space="preserve">PURPOSE:  </w:t>
      </w:r>
    </w:p>
    <w:p w14:paraId="3D494FB1" w14:textId="6DAF801B" w:rsidR="00973BAF" w:rsidRPr="004D2A92" w:rsidRDefault="00973BAF" w:rsidP="00973BAF">
      <w:r w:rsidRPr="004D2A92">
        <w:t xml:space="preserve">The Centers for Disease Control and Prevention (CDC) seeks to obtain Office of Management and Budget (OMB) approval to collect audience feedback for the CDC Public Health Grand Rounds (PHGR). </w:t>
      </w:r>
      <w:r w:rsidR="004F77F8">
        <w:t xml:space="preserve"> </w:t>
      </w:r>
      <w:r w:rsidRPr="004D2A92">
        <w:t xml:space="preserve">CDC PHGR is a monthly educational series produced and directed jointly by the Office of the Associate Director for Communications (OADC) and the Office of the Associate Director for Science (OADS). </w:t>
      </w:r>
      <w:r w:rsidR="00B3344B">
        <w:t xml:space="preserve"> </w:t>
      </w:r>
      <w:r w:rsidRPr="004D2A92">
        <w:t xml:space="preserve">PHGR seeks to foster discussion and debate on current public health issues. </w:t>
      </w:r>
      <w:r w:rsidR="00B3344B">
        <w:t xml:space="preserve"> </w:t>
      </w:r>
      <w:r w:rsidRPr="004D2A92">
        <w:t xml:space="preserve">Each session presents the opportunities </w:t>
      </w:r>
      <w:r w:rsidR="00B3344B" w:rsidRPr="004D2A92">
        <w:t xml:space="preserve">and challenges </w:t>
      </w:r>
      <w:r w:rsidRPr="004D2A92">
        <w:t xml:space="preserve">faced when addressing these issues within the public health and clinical setting.  </w:t>
      </w:r>
    </w:p>
    <w:p w14:paraId="40830714" w14:textId="77777777" w:rsidR="00973BAF" w:rsidRPr="004D2A92" w:rsidRDefault="00973BAF" w:rsidP="00973BAF"/>
    <w:p w14:paraId="7DB35291" w14:textId="37F0C46C" w:rsidR="00973BAF" w:rsidRPr="004D2A92" w:rsidRDefault="00973BAF" w:rsidP="00973BAF">
      <w:r w:rsidRPr="004D2A92">
        <w:t>Grand Rounds started in 2009 as an internal CDC event. While</w:t>
      </w:r>
      <w:r w:rsidR="0037774D" w:rsidRPr="004D2A92">
        <w:t xml:space="preserve"> the session can be attended in-</w:t>
      </w:r>
      <w:r w:rsidRPr="004D2A92">
        <w:t>person in Atlanta, Georgia</w:t>
      </w:r>
      <w:r w:rsidR="00B3344B">
        <w:t xml:space="preserve">, </w:t>
      </w:r>
      <w:r w:rsidR="00BA5520" w:rsidRPr="004D2A92">
        <w:t xml:space="preserve">the </w:t>
      </w:r>
      <w:r w:rsidRPr="004D2A92">
        <w:t xml:space="preserve">sessions are also webcast externally online and internally on CDC IPTV. The sessions are archived and available for viewing at any time on the CDC PHGR website and CDC YouTube channel. </w:t>
      </w:r>
      <w:r w:rsidR="0037774D" w:rsidRPr="004D2A92">
        <w:t>The majority of the audience watches the session</w:t>
      </w:r>
      <w:r w:rsidR="00FB5A62">
        <w:t>s</w:t>
      </w:r>
      <w:r w:rsidR="0037774D" w:rsidRPr="004D2A92">
        <w:t xml:space="preserve"> online. </w:t>
      </w:r>
    </w:p>
    <w:p w14:paraId="63738FBE" w14:textId="77777777" w:rsidR="00973BAF" w:rsidRPr="004D2A92" w:rsidRDefault="00973BAF"/>
    <w:p w14:paraId="635E4AA8" w14:textId="6F15AAD4" w:rsidR="00B46F2C" w:rsidRPr="004D2A92" w:rsidRDefault="00B3344B">
      <w:r>
        <w:t xml:space="preserve">The </w:t>
      </w:r>
      <w:r w:rsidR="00973BAF" w:rsidRPr="004D2A92">
        <w:t xml:space="preserve">Audience Satisfaction Survey will be used to gain a better understanding of who is watching the series and if, and how, they are using the series, with the ultimate intent of identifying opportunities for </w:t>
      </w:r>
      <w:r w:rsidR="0037774D" w:rsidRPr="004D2A92">
        <w:t xml:space="preserve">improvements. The survey responses </w:t>
      </w:r>
      <w:r w:rsidR="00973BAF" w:rsidRPr="004D2A92">
        <w:t>will inform decisions about format, content, and utility of the series. The results of the survey will directly contribute to the creation of an audience profile, which will allow the series’ directors and presenters to more effectively tailor their message and slides to the audience. Without collecting this information, the PHGR series would be limited to rely on a previous analysis of those seeking continuing education from the series. The audience seeking continuing education makes up between 3–5% of the total audience, and is not lik</w:t>
      </w:r>
      <w:r w:rsidR="00BA5520" w:rsidRPr="004D2A92">
        <w:t xml:space="preserve">ely to be representative of the </w:t>
      </w:r>
      <w:r w:rsidR="00973BAF" w:rsidRPr="004D2A92">
        <w:t>viewing audience. No similar information already exists for the PHGR series audience.</w:t>
      </w:r>
    </w:p>
    <w:p w14:paraId="3362F8AE" w14:textId="77777777" w:rsidR="00B46F2C" w:rsidRPr="004D2A92" w:rsidRDefault="00B46F2C" w:rsidP="00434E33">
      <w:pPr>
        <w:pStyle w:val="Header"/>
        <w:tabs>
          <w:tab w:val="clear" w:pos="4320"/>
          <w:tab w:val="clear" w:pos="8640"/>
        </w:tabs>
        <w:rPr>
          <w:b/>
        </w:rPr>
      </w:pPr>
    </w:p>
    <w:p w14:paraId="76EB0965" w14:textId="77777777" w:rsidR="00B46F2C" w:rsidRPr="004D2A92" w:rsidRDefault="00B46F2C" w:rsidP="00434E33">
      <w:pPr>
        <w:pStyle w:val="Header"/>
        <w:tabs>
          <w:tab w:val="clear" w:pos="4320"/>
          <w:tab w:val="clear" w:pos="8640"/>
        </w:tabs>
        <w:rPr>
          <w:b/>
        </w:rPr>
      </w:pPr>
    </w:p>
    <w:p w14:paraId="31D44DE5" w14:textId="77777777" w:rsidR="00B46F2C" w:rsidRPr="004D2A92" w:rsidRDefault="00B46F2C" w:rsidP="00434E33">
      <w:pPr>
        <w:pStyle w:val="Header"/>
        <w:tabs>
          <w:tab w:val="clear" w:pos="4320"/>
          <w:tab w:val="clear" w:pos="8640"/>
        </w:tabs>
        <w:rPr>
          <w:i/>
        </w:rPr>
      </w:pPr>
      <w:r w:rsidRPr="004D2A92">
        <w:rPr>
          <w:b/>
        </w:rPr>
        <w:t>DESCRIPTION OF RESPONDENTS</w:t>
      </w:r>
      <w:r w:rsidRPr="004D2A92">
        <w:t xml:space="preserve">: </w:t>
      </w:r>
    </w:p>
    <w:p w14:paraId="38BD1ABD" w14:textId="29F639B8" w:rsidR="0093793D" w:rsidRPr="00464936" w:rsidRDefault="0093793D" w:rsidP="0093793D">
      <w:r w:rsidRPr="004D2A92">
        <w:t xml:space="preserve">The respondents to the PHGR Audience Satisfaction Survey are subscriber to the Grand Rounds listserv through the GovDelivery system. There are currently </w:t>
      </w:r>
      <w:r w:rsidR="00B3344B">
        <w:t>more than 83,000 email address subscribers</w:t>
      </w:r>
      <w:r w:rsidRPr="004D2A92">
        <w:t>. The GovDelivery l</w:t>
      </w:r>
      <w:r w:rsidR="00BA5520" w:rsidRPr="004D2A92">
        <w:t xml:space="preserve">istserv is a voluntary listserv and </w:t>
      </w:r>
      <w:r w:rsidRPr="004D2A92">
        <w:t xml:space="preserve">anyone can chose to subscribe. The </w:t>
      </w:r>
      <w:r w:rsidR="0037774D" w:rsidRPr="004D2A92">
        <w:t xml:space="preserve">listserv </w:t>
      </w:r>
      <w:r w:rsidRPr="004D2A92">
        <w:t xml:space="preserve">subscribers </w:t>
      </w:r>
      <w:r w:rsidR="00BA5520" w:rsidRPr="004D2A92">
        <w:t xml:space="preserve">chose </w:t>
      </w:r>
      <w:r w:rsidRPr="004D2A92">
        <w:t xml:space="preserve">to receive emails about </w:t>
      </w:r>
      <w:r w:rsidR="0037774D" w:rsidRPr="004D2A92">
        <w:t>PHGR</w:t>
      </w:r>
      <w:r w:rsidRPr="004D2A92">
        <w:t xml:space="preserve"> and may unsubscribe at any time. Participation in the survey is voluntary and no incentives or gifts will be provided to the participants.</w:t>
      </w:r>
      <w:r w:rsidRPr="00464936">
        <w:t xml:space="preserve"> </w:t>
      </w:r>
    </w:p>
    <w:p w14:paraId="49B7A89D" w14:textId="77777777" w:rsidR="0093793D" w:rsidRDefault="0093793D" w:rsidP="0093793D"/>
    <w:p w14:paraId="25CC74B7" w14:textId="77777777" w:rsidR="00B46F2C" w:rsidRPr="00F06866" w:rsidRDefault="00B46F2C">
      <w:pPr>
        <w:rPr>
          <w:b/>
        </w:rPr>
      </w:pPr>
      <w:r>
        <w:rPr>
          <w:b/>
        </w:rPr>
        <w:t>TYPE OF COLLECTION:</w:t>
      </w:r>
      <w:r w:rsidRPr="00F06866">
        <w:t xml:space="preserve"> (Check one)</w:t>
      </w:r>
    </w:p>
    <w:p w14:paraId="2FA6569D" w14:textId="77777777" w:rsidR="00B46F2C" w:rsidRPr="00434E33" w:rsidRDefault="00B46F2C" w:rsidP="0096108F">
      <w:pPr>
        <w:pStyle w:val="BodyTextIndent"/>
        <w:tabs>
          <w:tab w:val="left" w:pos="360"/>
        </w:tabs>
        <w:ind w:left="0"/>
        <w:rPr>
          <w:bCs/>
          <w:sz w:val="16"/>
          <w:szCs w:val="16"/>
        </w:rPr>
      </w:pPr>
    </w:p>
    <w:p w14:paraId="1B559F7A" w14:textId="77777777" w:rsidR="00B46F2C" w:rsidRPr="00F06866" w:rsidRDefault="00B46F2C" w:rsidP="0096108F">
      <w:pPr>
        <w:pStyle w:val="BodyTextIndent"/>
        <w:tabs>
          <w:tab w:val="left" w:pos="360"/>
        </w:tabs>
        <w:ind w:left="0"/>
        <w:rPr>
          <w:bCs/>
          <w:sz w:val="24"/>
        </w:rPr>
      </w:pPr>
      <w:r w:rsidRPr="00F06866">
        <w:rPr>
          <w:bCs/>
          <w:sz w:val="24"/>
        </w:rPr>
        <w:t>[ ] Customer</w:t>
      </w:r>
      <w:r w:rsidR="0093793D">
        <w:rPr>
          <w:bCs/>
          <w:sz w:val="24"/>
        </w:rPr>
        <w:t xml:space="preserve"> Comment Card/Complaint Form </w:t>
      </w:r>
      <w:r w:rsidR="0093793D">
        <w:rPr>
          <w:bCs/>
          <w:sz w:val="24"/>
        </w:rPr>
        <w:tab/>
        <w:t>[X</w:t>
      </w:r>
      <w:r w:rsidRPr="00F06866">
        <w:rPr>
          <w:bCs/>
          <w:sz w:val="24"/>
        </w:rPr>
        <w:t xml:space="preserve">] Customer Satisfaction Survey    </w:t>
      </w:r>
    </w:p>
    <w:p w14:paraId="3ED3C803"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5DACF9DF" w14:textId="75F1A021" w:rsidR="00B46F2C" w:rsidRPr="00F06866" w:rsidRDefault="004D2A92" w:rsidP="0096108F">
      <w:pPr>
        <w:pStyle w:val="BodyTextIndent"/>
        <w:tabs>
          <w:tab w:val="left" w:pos="360"/>
        </w:tabs>
        <w:ind w:left="0"/>
        <w:rPr>
          <w:bCs/>
          <w:sz w:val="24"/>
        </w:rPr>
      </w:pPr>
      <w:r>
        <w:rPr>
          <w:bCs/>
          <w:sz w:val="24"/>
        </w:rPr>
        <w:t>[ ] Focus</w:t>
      </w:r>
      <w:r w:rsidR="00B46F2C">
        <w:rPr>
          <w:bCs/>
          <w:sz w:val="24"/>
        </w:rPr>
        <w:t xml:space="preserve"> Group  </w:t>
      </w:r>
      <w:r w:rsidR="00B46F2C">
        <w:rPr>
          <w:bCs/>
          <w:sz w:val="24"/>
        </w:rPr>
        <w:tab/>
      </w:r>
      <w:r w:rsidR="00B46F2C">
        <w:rPr>
          <w:bCs/>
          <w:sz w:val="24"/>
        </w:rPr>
        <w:tab/>
      </w:r>
      <w:r w:rsidR="00B46F2C">
        <w:rPr>
          <w:bCs/>
          <w:sz w:val="24"/>
        </w:rPr>
        <w:tab/>
      </w:r>
      <w:r w:rsidR="00B46F2C">
        <w:rPr>
          <w:bCs/>
          <w:sz w:val="24"/>
        </w:rPr>
        <w:tab/>
      </w:r>
      <w:r w:rsidR="00B46F2C">
        <w:rPr>
          <w:bCs/>
          <w:sz w:val="24"/>
        </w:rPr>
        <w:tab/>
      </w:r>
      <w:r w:rsidR="00B46F2C" w:rsidRPr="00F06866">
        <w:rPr>
          <w:bCs/>
          <w:sz w:val="24"/>
        </w:rPr>
        <w:t>[</w:t>
      </w:r>
      <w:r w:rsidR="00B46F2C">
        <w:rPr>
          <w:bCs/>
          <w:sz w:val="24"/>
        </w:rPr>
        <w:t xml:space="preserve"> </w:t>
      </w:r>
      <w:r w:rsidR="00B46F2C" w:rsidRPr="00F06866">
        <w:rPr>
          <w:bCs/>
          <w:sz w:val="24"/>
        </w:rPr>
        <w:t>]</w:t>
      </w:r>
      <w:r w:rsidR="00B46F2C">
        <w:rPr>
          <w:bCs/>
          <w:sz w:val="24"/>
        </w:rPr>
        <w:t xml:space="preserve"> Other:</w:t>
      </w:r>
      <w:r w:rsidR="00B46F2C" w:rsidRPr="00F06866">
        <w:rPr>
          <w:bCs/>
          <w:sz w:val="24"/>
          <w:u w:val="single"/>
        </w:rPr>
        <w:t xml:space="preserve"> ______________________</w:t>
      </w:r>
      <w:r w:rsidR="00B46F2C">
        <w:rPr>
          <w:bCs/>
          <w:sz w:val="24"/>
          <w:u w:val="single"/>
        </w:rPr>
        <w:tab/>
      </w:r>
      <w:r w:rsidR="00B46F2C">
        <w:rPr>
          <w:bCs/>
          <w:sz w:val="24"/>
          <w:u w:val="single"/>
        </w:rPr>
        <w:tab/>
      </w:r>
    </w:p>
    <w:p w14:paraId="4FFAD799" w14:textId="77777777" w:rsidR="00B46F2C" w:rsidRDefault="00B46F2C">
      <w:pPr>
        <w:pStyle w:val="Header"/>
        <w:tabs>
          <w:tab w:val="clear" w:pos="4320"/>
          <w:tab w:val="clear" w:pos="8640"/>
        </w:tabs>
      </w:pPr>
    </w:p>
    <w:p w14:paraId="652DDE86" w14:textId="77777777" w:rsidR="00B46F2C" w:rsidRDefault="00B46F2C">
      <w:pPr>
        <w:rPr>
          <w:b/>
        </w:rPr>
      </w:pPr>
      <w:r>
        <w:rPr>
          <w:b/>
        </w:rPr>
        <w:t>CERTIFICATION:</w:t>
      </w:r>
    </w:p>
    <w:p w14:paraId="2BBEA1A2" w14:textId="77777777" w:rsidR="00B46F2C" w:rsidRDefault="00B46F2C">
      <w:pPr>
        <w:rPr>
          <w:sz w:val="16"/>
          <w:szCs w:val="16"/>
        </w:rPr>
      </w:pPr>
    </w:p>
    <w:p w14:paraId="4B4B8D5B" w14:textId="77777777" w:rsidR="00B46F2C" w:rsidRPr="009C13B9" w:rsidRDefault="00B46F2C" w:rsidP="008101A5">
      <w:r>
        <w:t xml:space="preserve">I certify the following to be true: </w:t>
      </w:r>
    </w:p>
    <w:p w14:paraId="2C7ABD2B" w14:textId="77777777" w:rsidR="00B46F2C" w:rsidRDefault="00B46F2C" w:rsidP="008101A5">
      <w:pPr>
        <w:pStyle w:val="ListParagraph"/>
        <w:numPr>
          <w:ilvl w:val="0"/>
          <w:numId w:val="14"/>
        </w:numPr>
      </w:pPr>
      <w:r>
        <w:lastRenderedPageBreak/>
        <w:t>The collection is voluntary.</w:t>
      </w:r>
      <w:r w:rsidRPr="00C14CC4">
        <w:t xml:space="preserve"> </w:t>
      </w:r>
    </w:p>
    <w:p w14:paraId="7BB7DDAE"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7C04BDA"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72ADCEA"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269B402"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C2B70A3"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98D1B19" w14:textId="77777777" w:rsidR="00B46F2C" w:rsidRDefault="00B46F2C" w:rsidP="009C13B9"/>
    <w:p w14:paraId="2555478E" w14:textId="37E85A8D" w:rsidR="00B46F2C" w:rsidRDefault="00B46F2C" w:rsidP="009C13B9">
      <w:r>
        <w:t>Name</w:t>
      </w:r>
      <w:r w:rsidR="00FF7248">
        <w:t xml:space="preserve">: </w:t>
      </w:r>
      <w:r w:rsidR="00C0474D">
        <w:t xml:space="preserve">Dr. John </w:t>
      </w:r>
      <w:r w:rsidR="004D2A92">
        <w:t>Iskander</w:t>
      </w:r>
    </w:p>
    <w:p w14:paraId="16DCB8B0" w14:textId="77777777" w:rsidR="00C0474D" w:rsidRDefault="00C0474D" w:rsidP="00C0474D"/>
    <w:p w14:paraId="1215C0DE" w14:textId="77777777" w:rsidR="00C0474D" w:rsidRDefault="00C0474D" w:rsidP="00C0474D">
      <w:r>
        <w:t>John K. Iskander, MD, MPH</w:t>
      </w:r>
    </w:p>
    <w:p w14:paraId="6794B9C5" w14:textId="77777777" w:rsidR="00C0474D" w:rsidRDefault="00C0474D" w:rsidP="00C0474D">
      <w:r>
        <w:t>Scientific Director, PHGR</w:t>
      </w:r>
    </w:p>
    <w:p w14:paraId="4FA7B273" w14:textId="77777777" w:rsidR="00C0474D" w:rsidRDefault="00C0474D" w:rsidP="00C0474D">
      <w:r>
        <w:t>jxi0@cdc.gov</w:t>
      </w:r>
    </w:p>
    <w:p w14:paraId="7767A230" w14:textId="6F75D797" w:rsidR="00C0474D" w:rsidRDefault="00C0474D" w:rsidP="00C0474D">
      <w:r>
        <w:t>404-639-8889</w:t>
      </w:r>
    </w:p>
    <w:p w14:paraId="53A6D246" w14:textId="77777777" w:rsidR="00B46F2C" w:rsidRDefault="00B46F2C" w:rsidP="009C13B9">
      <w:pPr>
        <w:pStyle w:val="ListParagraph"/>
        <w:ind w:left="360"/>
      </w:pPr>
    </w:p>
    <w:p w14:paraId="41DDB068" w14:textId="77777777" w:rsidR="00B46F2C" w:rsidRDefault="00B46F2C" w:rsidP="009C13B9">
      <w:r>
        <w:t>To assist review, please provide answers to the following question:</w:t>
      </w:r>
    </w:p>
    <w:p w14:paraId="70C54B9D" w14:textId="77777777" w:rsidR="00B46F2C" w:rsidRDefault="00B46F2C" w:rsidP="009C13B9">
      <w:pPr>
        <w:pStyle w:val="ListParagraph"/>
        <w:ind w:left="360"/>
      </w:pPr>
    </w:p>
    <w:p w14:paraId="5BF2AAF6" w14:textId="77777777" w:rsidR="00B46F2C" w:rsidRPr="00C86E91" w:rsidRDefault="00B46F2C" w:rsidP="00C86E91">
      <w:pPr>
        <w:rPr>
          <w:b/>
        </w:rPr>
      </w:pPr>
      <w:r w:rsidRPr="00C86E91">
        <w:rPr>
          <w:b/>
        </w:rPr>
        <w:t>Personally Identifiable Information:</w:t>
      </w:r>
    </w:p>
    <w:p w14:paraId="079592FC" w14:textId="77777777" w:rsidR="00B46F2C" w:rsidRDefault="00B46F2C" w:rsidP="00C86E91">
      <w:pPr>
        <w:pStyle w:val="ListParagraph"/>
        <w:numPr>
          <w:ilvl w:val="0"/>
          <w:numId w:val="18"/>
        </w:numPr>
      </w:pPr>
      <w:r>
        <w:t>Is personally identifiable information (PII) collected?  [  ] Yes  [</w:t>
      </w:r>
      <w:r w:rsidR="0093793D">
        <w:t>X</w:t>
      </w:r>
      <w:r>
        <w:t xml:space="preserve">]  No </w:t>
      </w:r>
    </w:p>
    <w:p w14:paraId="10348B71" w14:textId="77777777" w:rsidR="00B46F2C" w:rsidRDefault="00B46F2C" w:rsidP="00C86E91">
      <w:pPr>
        <w:pStyle w:val="ListParagraph"/>
        <w:numPr>
          <w:ilvl w:val="0"/>
          <w:numId w:val="18"/>
        </w:numPr>
      </w:pPr>
      <w:r>
        <w:t xml:space="preserve">If </w:t>
      </w:r>
      <w:proofErr w:type="gramStart"/>
      <w:r>
        <w:t>Yes</w:t>
      </w:r>
      <w:proofErr w:type="gramEnd"/>
      <w:r>
        <w:t>, is the information that will be collected included in records that are subject to the Pr</w:t>
      </w:r>
      <w:r w:rsidR="0093793D">
        <w:t xml:space="preserve">ivacy Act of 1974?   [  ] Yes [ </w:t>
      </w:r>
      <w:r>
        <w:t xml:space="preserve">] No   </w:t>
      </w:r>
    </w:p>
    <w:p w14:paraId="4AD622E0" w14:textId="77777777" w:rsidR="00B46F2C" w:rsidRDefault="00B46F2C" w:rsidP="00C86E91">
      <w:pPr>
        <w:pStyle w:val="ListParagraph"/>
        <w:numPr>
          <w:ilvl w:val="0"/>
          <w:numId w:val="18"/>
        </w:numPr>
      </w:pPr>
      <w:r>
        <w:t>If Applicable, has a System or Records Notice been published?  [  ] Yes  [  ] No</w:t>
      </w:r>
    </w:p>
    <w:p w14:paraId="1404C764" w14:textId="77777777" w:rsidR="00B46F2C" w:rsidRPr="00C86E91" w:rsidRDefault="00B46F2C" w:rsidP="00C86E91">
      <w:pPr>
        <w:pStyle w:val="ListParagraph"/>
        <w:ind w:left="0"/>
        <w:rPr>
          <w:b/>
        </w:rPr>
      </w:pPr>
      <w:r>
        <w:rPr>
          <w:b/>
        </w:rPr>
        <w:t>Gifts or Payments:</w:t>
      </w:r>
    </w:p>
    <w:p w14:paraId="1661FCE8" w14:textId="77777777" w:rsidR="00B46F2C" w:rsidRDefault="00B46F2C" w:rsidP="00C86E91">
      <w:r>
        <w:t>Is an incentive (e.g., money or reimbursement of expenses, token of appreciation) provided to participants?  [  ] Yes [</w:t>
      </w:r>
      <w:r w:rsidR="0093793D">
        <w:t>X</w:t>
      </w:r>
      <w:r>
        <w:t xml:space="preserve">] No  </w:t>
      </w:r>
    </w:p>
    <w:p w14:paraId="482FFEE3" w14:textId="77777777" w:rsidR="00B46F2C" w:rsidRDefault="00B46F2C">
      <w:pPr>
        <w:rPr>
          <w:b/>
        </w:rPr>
      </w:pPr>
    </w:p>
    <w:p w14:paraId="7452238D" w14:textId="77777777" w:rsidR="00B46F2C" w:rsidRDefault="00B46F2C" w:rsidP="00C86E91">
      <w:r>
        <w:rPr>
          <w:b/>
        </w:rPr>
        <w:t>BURDEN HOURS</w:t>
      </w:r>
      <w:r>
        <w:t xml:space="preserve"> </w:t>
      </w:r>
    </w:p>
    <w:p w14:paraId="0E2AD74E" w14:textId="5D1DD70E" w:rsidR="00B46F2C" w:rsidRPr="00371739" w:rsidRDefault="00371739" w:rsidP="00F3170F">
      <w:pPr>
        <w:keepNext/>
        <w:keepLines/>
      </w:pPr>
      <w:r w:rsidRPr="004D2A92">
        <w:t xml:space="preserve">The PHGR Audience Satisfaction Survey </w:t>
      </w:r>
      <w:r w:rsidR="00E32D26">
        <w:t>will be web-based survey with 13</w:t>
      </w:r>
      <w:r w:rsidRPr="004D2A92">
        <w:t xml:space="preserve"> questions. Respondents will take approximately 5 minutes to complete the survey through </w:t>
      </w:r>
      <w:proofErr w:type="spellStart"/>
      <w:r w:rsidRPr="004D2A92">
        <w:t>SurveyMonkey</w:t>
      </w:r>
      <w:proofErr w:type="spellEnd"/>
      <w:r w:rsidRPr="004D2A92">
        <w:t xml:space="preserve">®.  This estimate is based on piloting the survey with </w:t>
      </w:r>
      <w:r w:rsidR="00E32D26" w:rsidRPr="00E32D26">
        <w:t>10</w:t>
      </w:r>
      <w:r w:rsidRPr="00E32D26">
        <w:t xml:space="preserve"> </w:t>
      </w:r>
      <w:r w:rsidR="00D33E1C" w:rsidRPr="00E32D26">
        <w:t>FTE</w:t>
      </w:r>
      <w:r w:rsidR="00E32D26">
        <w:t xml:space="preserve"> </w:t>
      </w:r>
      <w:r w:rsidR="00FB5A62">
        <w:t xml:space="preserve">CDC </w:t>
      </w:r>
      <w:r w:rsidR="00E32D26">
        <w:t xml:space="preserve">staff </w:t>
      </w:r>
      <w:r w:rsidR="00FB5A62">
        <w:t>members</w:t>
      </w:r>
      <w:r w:rsidR="00E32D26" w:rsidRPr="00E32D26">
        <w:t xml:space="preserve"> and </w:t>
      </w:r>
      <w:r w:rsidR="00FB5A62">
        <w:t>9</w:t>
      </w:r>
      <w:r w:rsidR="00E32D26" w:rsidRPr="00E32D26">
        <w:t xml:space="preserve"> </w:t>
      </w:r>
      <w:r w:rsidR="00D33E1C" w:rsidRPr="00E32D26">
        <w:t>non FTE</w:t>
      </w:r>
      <w:r w:rsidRPr="00E32D26">
        <w:t xml:space="preserve"> </w:t>
      </w:r>
      <w:r w:rsidR="00E32D26">
        <w:t>participants</w:t>
      </w:r>
      <w:r w:rsidRPr="004D2A92">
        <w:t xml:space="preserve">. For the PHGR Audience Satisfaction Survey, we are seeking approval to collect feedback from </w:t>
      </w:r>
      <w:r w:rsidR="00D33E1C">
        <w:t>3</w:t>
      </w:r>
      <w:r w:rsidRPr="004D2A92">
        <w:t xml:space="preserve">,000 </w:t>
      </w:r>
      <w:r w:rsidR="00B3344B">
        <w:t>audience members. Given 3</w:t>
      </w:r>
      <w:r w:rsidRPr="004D2A92">
        <w:t xml:space="preserve">,000 respondents with a response time of 5 minutes each, the total response burden will be </w:t>
      </w:r>
      <w:r w:rsidR="00B3344B">
        <w:t>250</w:t>
      </w:r>
      <w:r w:rsidRPr="004D2A92">
        <w:t xml:space="preserve"> hours. There will be no direct costs to the respondents other than their time to respond to the survey.</w:t>
      </w:r>
    </w:p>
    <w:p w14:paraId="1C928136" w14:textId="77777777" w:rsidR="00371739" w:rsidRDefault="00371739" w:rsidP="00F3170F">
      <w:pPr>
        <w:keepNext/>
        <w:keepLines/>
        <w:rPr>
          <w:b/>
        </w:rPr>
      </w:pPr>
    </w:p>
    <w:p w14:paraId="3B73BF19" w14:textId="77777777" w:rsidR="00371739" w:rsidRPr="006832D9" w:rsidRDefault="0037173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1710"/>
        <w:gridCol w:w="1980"/>
        <w:gridCol w:w="1386"/>
      </w:tblGrid>
      <w:tr w:rsidR="00B46F2C" w14:paraId="01D26FA8" w14:textId="77777777" w:rsidTr="00371739">
        <w:trPr>
          <w:trHeight w:val="274"/>
        </w:trPr>
        <w:tc>
          <w:tcPr>
            <w:tcW w:w="4585" w:type="dxa"/>
          </w:tcPr>
          <w:p w14:paraId="6276EAB0" w14:textId="77777777" w:rsidR="00B46F2C" w:rsidRPr="00512CA7" w:rsidRDefault="00B46F2C" w:rsidP="00C8488C">
            <w:pPr>
              <w:rPr>
                <w:b/>
              </w:rPr>
            </w:pPr>
            <w:r w:rsidRPr="00512CA7">
              <w:rPr>
                <w:b/>
              </w:rPr>
              <w:t xml:space="preserve">Category of Respondent </w:t>
            </w:r>
          </w:p>
        </w:tc>
        <w:tc>
          <w:tcPr>
            <w:tcW w:w="1710" w:type="dxa"/>
          </w:tcPr>
          <w:p w14:paraId="07163C28" w14:textId="77777777" w:rsidR="00B46F2C" w:rsidRPr="00512CA7" w:rsidRDefault="00B46F2C" w:rsidP="00843796">
            <w:pPr>
              <w:rPr>
                <w:b/>
              </w:rPr>
            </w:pPr>
            <w:r w:rsidRPr="00512CA7">
              <w:rPr>
                <w:b/>
              </w:rPr>
              <w:t>No. of Respondents</w:t>
            </w:r>
          </w:p>
        </w:tc>
        <w:tc>
          <w:tcPr>
            <w:tcW w:w="1980" w:type="dxa"/>
          </w:tcPr>
          <w:p w14:paraId="7B0E7251" w14:textId="77777777" w:rsidR="00B46F2C" w:rsidRPr="00512CA7" w:rsidRDefault="00B46F2C" w:rsidP="00843796">
            <w:pPr>
              <w:rPr>
                <w:b/>
              </w:rPr>
            </w:pPr>
            <w:r w:rsidRPr="00512CA7">
              <w:rPr>
                <w:b/>
              </w:rPr>
              <w:t>Participation Time</w:t>
            </w:r>
          </w:p>
        </w:tc>
        <w:tc>
          <w:tcPr>
            <w:tcW w:w="1386" w:type="dxa"/>
          </w:tcPr>
          <w:p w14:paraId="74447892" w14:textId="77777777" w:rsidR="00B46F2C" w:rsidRPr="00512CA7" w:rsidRDefault="00B46F2C" w:rsidP="00843796">
            <w:pPr>
              <w:rPr>
                <w:b/>
              </w:rPr>
            </w:pPr>
            <w:r w:rsidRPr="00512CA7">
              <w:rPr>
                <w:b/>
              </w:rPr>
              <w:t>Burden</w:t>
            </w:r>
          </w:p>
        </w:tc>
      </w:tr>
      <w:tr w:rsidR="00B46F2C" w14:paraId="4DB5EE7A" w14:textId="77777777" w:rsidTr="00371739">
        <w:trPr>
          <w:trHeight w:val="274"/>
        </w:trPr>
        <w:tc>
          <w:tcPr>
            <w:tcW w:w="4585" w:type="dxa"/>
          </w:tcPr>
          <w:p w14:paraId="011221D4" w14:textId="77777777" w:rsidR="00B46F2C" w:rsidRPr="004D2A92" w:rsidRDefault="005658BC" w:rsidP="00843796">
            <w:r w:rsidRPr="004D2A92">
              <w:t>Individuals</w:t>
            </w:r>
          </w:p>
        </w:tc>
        <w:tc>
          <w:tcPr>
            <w:tcW w:w="1710" w:type="dxa"/>
          </w:tcPr>
          <w:p w14:paraId="2FA8726C" w14:textId="5BC7D63E" w:rsidR="00B46F2C" w:rsidRPr="004D2A92" w:rsidRDefault="00D33E1C" w:rsidP="00843796">
            <w:r>
              <w:t>3</w:t>
            </w:r>
            <w:r w:rsidR="00371739" w:rsidRPr="004D2A92">
              <w:t>,000</w:t>
            </w:r>
          </w:p>
        </w:tc>
        <w:tc>
          <w:tcPr>
            <w:tcW w:w="1980" w:type="dxa"/>
          </w:tcPr>
          <w:p w14:paraId="6C3A70BE" w14:textId="77777777" w:rsidR="00B46F2C" w:rsidRPr="004D2A92" w:rsidRDefault="00371739" w:rsidP="00105B3A">
            <w:r w:rsidRPr="004D2A92">
              <w:t xml:space="preserve">5/60 </w:t>
            </w:r>
            <w:r w:rsidR="00105B3A" w:rsidRPr="004D2A92">
              <w:t>minutes</w:t>
            </w:r>
          </w:p>
        </w:tc>
        <w:tc>
          <w:tcPr>
            <w:tcW w:w="1386" w:type="dxa"/>
          </w:tcPr>
          <w:p w14:paraId="19041C14" w14:textId="47F1C299" w:rsidR="00B46F2C" w:rsidRPr="004D2A92" w:rsidRDefault="00D33E1C" w:rsidP="00843796">
            <w:r>
              <w:t>250</w:t>
            </w:r>
            <w:r w:rsidR="00371739" w:rsidRPr="004D2A92">
              <w:t xml:space="preserve"> hours</w:t>
            </w:r>
          </w:p>
        </w:tc>
      </w:tr>
      <w:tr w:rsidR="00B46F2C" w14:paraId="655B54FF" w14:textId="77777777" w:rsidTr="00371739">
        <w:trPr>
          <w:trHeight w:val="274"/>
        </w:trPr>
        <w:tc>
          <w:tcPr>
            <w:tcW w:w="4585" w:type="dxa"/>
          </w:tcPr>
          <w:p w14:paraId="578A9589" w14:textId="77777777" w:rsidR="00B46F2C" w:rsidRDefault="00B46F2C" w:rsidP="00843796"/>
        </w:tc>
        <w:tc>
          <w:tcPr>
            <w:tcW w:w="1710" w:type="dxa"/>
          </w:tcPr>
          <w:p w14:paraId="7A979317" w14:textId="77777777" w:rsidR="00B46F2C" w:rsidRDefault="00B46F2C" w:rsidP="00843796"/>
        </w:tc>
        <w:tc>
          <w:tcPr>
            <w:tcW w:w="1980" w:type="dxa"/>
          </w:tcPr>
          <w:p w14:paraId="23F2CFE5" w14:textId="77777777" w:rsidR="00B46F2C" w:rsidRDefault="00B46F2C" w:rsidP="00843796"/>
        </w:tc>
        <w:tc>
          <w:tcPr>
            <w:tcW w:w="1386" w:type="dxa"/>
          </w:tcPr>
          <w:p w14:paraId="351E4574" w14:textId="77777777" w:rsidR="00B46F2C" w:rsidRDefault="00B46F2C" w:rsidP="00843796"/>
        </w:tc>
      </w:tr>
      <w:tr w:rsidR="00B46F2C" w14:paraId="0FC2845E" w14:textId="77777777" w:rsidTr="00371739">
        <w:trPr>
          <w:trHeight w:val="289"/>
        </w:trPr>
        <w:tc>
          <w:tcPr>
            <w:tcW w:w="4585" w:type="dxa"/>
          </w:tcPr>
          <w:p w14:paraId="7BD89D04" w14:textId="77777777" w:rsidR="00B46F2C" w:rsidRPr="00512CA7" w:rsidRDefault="00B46F2C" w:rsidP="00843796">
            <w:pPr>
              <w:rPr>
                <w:b/>
              </w:rPr>
            </w:pPr>
            <w:r w:rsidRPr="00512CA7">
              <w:rPr>
                <w:b/>
              </w:rPr>
              <w:t>Totals</w:t>
            </w:r>
          </w:p>
        </w:tc>
        <w:tc>
          <w:tcPr>
            <w:tcW w:w="1710" w:type="dxa"/>
          </w:tcPr>
          <w:p w14:paraId="400C8F40" w14:textId="77777777" w:rsidR="00B46F2C" w:rsidRPr="00512CA7" w:rsidRDefault="00B46F2C" w:rsidP="00843796">
            <w:pPr>
              <w:rPr>
                <w:b/>
              </w:rPr>
            </w:pPr>
          </w:p>
        </w:tc>
        <w:tc>
          <w:tcPr>
            <w:tcW w:w="1980" w:type="dxa"/>
          </w:tcPr>
          <w:p w14:paraId="3CE05A33" w14:textId="77777777" w:rsidR="00B46F2C" w:rsidRDefault="00B46F2C" w:rsidP="00843796"/>
        </w:tc>
        <w:tc>
          <w:tcPr>
            <w:tcW w:w="1386" w:type="dxa"/>
          </w:tcPr>
          <w:p w14:paraId="05F1291A" w14:textId="296FCC8E" w:rsidR="00B46F2C" w:rsidRPr="00512CA7" w:rsidRDefault="00D33E1C" w:rsidP="00D33E1C">
            <w:pPr>
              <w:rPr>
                <w:b/>
              </w:rPr>
            </w:pPr>
            <w:r>
              <w:rPr>
                <w:b/>
              </w:rPr>
              <w:t xml:space="preserve">250 </w:t>
            </w:r>
            <w:r w:rsidR="00371739">
              <w:rPr>
                <w:b/>
              </w:rPr>
              <w:t>hours</w:t>
            </w:r>
          </w:p>
        </w:tc>
      </w:tr>
    </w:tbl>
    <w:p w14:paraId="673C39C4" w14:textId="77777777" w:rsidR="00B46F2C" w:rsidRDefault="00B46F2C" w:rsidP="00F3170F"/>
    <w:p w14:paraId="0C8102A7" w14:textId="77777777" w:rsidR="00371739" w:rsidRDefault="00B46F2C">
      <w:pPr>
        <w:rPr>
          <w:b/>
        </w:rPr>
      </w:pPr>
      <w:r>
        <w:rPr>
          <w:b/>
        </w:rPr>
        <w:t xml:space="preserve">FEDERAL COST:  </w:t>
      </w:r>
    </w:p>
    <w:p w14:paraId="4C4F6A1A" w14:textId="18A8696B" w:rsidR="00371739" w:rsidRPr="00371739" w:rsidRDefault="00371739">
      <w:r w:rsidRPr="004D2A92">
        <w:t>The cost to the Federal Government to collect this information is $</w:t>
      </w:r>
      <w:r w:rsidR="004D2A92" w:rsidRPr="004D2A92">
        <w:t>684.89</w:t>
      </w:r>
      <w:r w:rsidRPr="004D2A92">
        <w:t xml:space="preserve">. This estimate is based on the time required for one senior CDC </w:t>
      </w:r>
      <w:r w:rsidRPr="00B31A0B">
        <w:t>scientist (GS</w:t>
      </w:r>
      <w:r w:rsidR="00B31A0B" w:rsidRPr="00B31A0B">
        <w:t>-15 equivalent)</w:t>
      </w:r>
      <w:r w:rsidRPr="00B31A0B">
        <w:t xml:space="preserve"> to supervise and for one </w:t>
      </w:r>
      <w:r w:rsidR="00B3344B" w:rsidRPr="00B31A0B">
        <w:t>ASPPH/</w:t>
      </w:r>
      <w:r w:rsidRPr="00B31A0B">
        <w:t xml:space="preserve">CDC fellow </w:t>
      </w:r>
      <w:r w:rsidR="00B31A0B" w:rsidRPr="00B31A0B">
        <w:t>(GS-11</w:t>
      </w:r>
      <w:r w:rsidRPr="00B31A0B">
        <w:t xml:space="preserve"> equivalent)</w:t>
      </w:r>
      <w:r w:rsidRPr="004D2A92">
        <w:t xml:space="preserve"> to design, </w:t>
      </w:r>
      <w:r w:rsidR="00105B3A" w:rsidRPr="004D2A92">
        <w:t xml:space="preserve">and </w:t>
      </w:r>
      <w:r w:rsidRPr="004D2A92">
        <w:t>implement</w:t>
      </w:r>
      <w:r w:rsidR="00105B3A" w:rsidRPr="004D2A92">
        <w:t xml:space="preserve"> the survey, analyze the </w:t>
      </w:r>
      <w:r w:rsidRPr="004D2A92">
        <w:t xml:space="preserve">data, </w:t>
      </w:r>
      <w:r w:rsidRPr="004D2A92">
        <w:lastRenderedPageBreak/>
        <w:t xml:space="preserve">and develop </w:t>
      </w:r>
      <w:r w:rsidR="00105B3A" w:rsidRPr="004D2A92">
        <w:t xml:space="preserve">a report outlining the results and </w:t>
      </w:r>
      <w:r w:rsidRPr="004D2A92">
        <w:t xml:space="preserve">recommendations for </w:t>
      </w:r>
      <w:r w:rsidR="00105B3A" w:rsidRPr="004D2A92">
        <w:t xml:space="preserve">improving the educational series. </w:t>
      </w:r>
    </w:p>
    <w:p w14:paraId="10B5A194" w14:textId="77777777" w:rsidR="00371739" w:rsidRDefault="00371739">
      <w:pPr>
        <w:rPr>
          <w:b/>
        </w:rPr>
      </w:pPr>
    </w:p>
    <w:p w14:paraId="23046D27" w14:textId="0F08DAE3" w:rsidR="00B46F2C" w:rsidRDefault="00B46F2C">
      <w:pPr>
        <w:rPr>
          <w:b/>
        </w:rPr>
      </w:pPr>
      <w:r>
        <w:t xml:space="preserve">The estimated cost to the </w:t>
      </w:r>
      <w:r w:rsidRPr="004D2A92">
        <w:t>Federal government is</w:t>
      </w:r>
      <w:r w:rsidR="004D2A92">
        <w:t xml:space="preserve"> </w:t>
      </w:r>
      <w:r w:rsidR="004D2A92" w:rsidRPr="004D2A92">
        <w:t>$</w:t>
      </w:r>
      <w:r w:rsidR="004D2A92">
        <w:t xml:space="preserve">684.89. </w:t>
      </w:r>
    </w:p>
    <w:p w14:paraId="7BDC4875" w14:textId="77777777" w:rsidR="00B46F2C" w:rsidRDefault="00B46F2C">
      <w:pPr>
        <w:rPr>
          <w:b/>
          <w:bCs/>
          <w:u w:val="single"/>
        </w:rPr>
      </w:pPr>
    </w:p>
    <w:tbl>
      <w:tblPr>
        <w:tblW w:w="9540" w:type="dxa"/>
        <w:tblInd w:w="108" w:type="dxa"/>
        <w:tblBorders>
          <w:top w:val="nil"/>
          <w:left w:val="nil"/>
          <w:bottom w:val="nil"/>
          <w:right w:val="nil"/>
        </w:tblBorders>
        <w:tblLayout w:type="fixed"/>
        <w:tblLook w:val="0000" w:firstRow="0" w:lastRow="0" w:firstColumn="0" w:lastColumn="0" w:noHBand="0" w:noVBand="0"/>
      </w:tblPr>
      <w:tblGrid>
        <w:gridCol w:w="5310"/>
        <w:gridCol w:w="1080"/>
        <w:gridCol w:w="1800"/>
        <w:gridCol w:w="1350"/>
      </w:tblGrid>
      <w:tr w:rsidR="005658BC" w:rsidRPr="001965FD" w14:paraId="2F29FB0A" w14:textId="77777777" w:rsidTr="00A64DBD">
        <w:trPr>
          <w:trHeight w:val="356"/>
        </w:trPr>
        <w:tc>
          <w:tcPr>
            <w:tcW w:w="5310" w:type="dxa"/>
            <w:tcBorders>
              <w:top w:val="single" w:sz="6" w:space="0" w:color="000000"/>
              <w:left w:val="single" w:sz="4" w:space="0" w:color="000000"/>
              <w:bottom w:val="single" w:sz="4" w:space="0" w:color="000000"/>
              <w:right w:val="single" w:sz="4" w:space="0" w:color="000000"/>
            </w:tcBorders>
          </w:tcPr>
          <w:p w14:paraId="4CD4A1CC" w14:textId="77777777" w:rsidR="005658BC" w:rsidRPr="001965FD" w:rsidRDefault="00105B3A" w:rsidP="005658BC">
            <w:pPr>
              <w:rPr>
                <w:b/>
              </w:rPr>
            </w:pPr>
            <w:r>
              <w:rPr>
                <w:b/>
              </w:rPr>
              <w:t xml:space="preserve">CDC </w:t>
            </w:r>
            <w:r w:rsidR="005658BC" w:rsidRPr="001965FD">
              <w:rPr>
                <w:b/>
              </w:rPr>
              <w:t xml:space="preserve">Staff or </w:t>
            </w:r>
            <w:r w:rsidR="005658BC">
              <w:rPr>
                <w:b/>
              </w:rPr>
              <w:t>Fellow</w:t>
            </w:r>
          </w:p>
        </w:tc>
        <w:tc>
          <w:tcPr>
            <w:tcW w:w="1080" w:type="dxa"/>
            <w:tcBorders>
              <w:top w:val="single" w:sz="6" w:space="0" w:color="000000"/>
              <w:left w:val="single" w:sz="4" w:space="0" w:color="000000"/>
              <w:bottom w:val="single" w:sz="4" w:space="0" w:color="000000"/>
              <w:right w:val="single" w:sz="4" w:space="0" w:color="000000"/>
            </w:tcBorders>
          </w:tcPr>
          <w:p w14:paraId="144FDB2A" w14:textId="77777777" w:rsidR="005658BC" w:rsidRPr="001965FD" w:rsidRDefault="005658BC" w:rsidP="00A64DBD">
            <w:pPr>
              <w:rPr>
                <w:b/>
              </w:rPr>
            </w:pPr>
            <w:r w:rsidRPr="001965FD">
              <w:rPr>
                <w:b/>
              </w:rPr>
              <w:t>Hours</w:t>
            </w:r>
          </w:p>
        </w:tc>
        <w:tc>
          <w:tcPr>
            <w:tcW w:w="1800" w:type="dxa"/>
            <w:tcBorders>
              <w:top w:val="single" w:sz="6" w:space="0" w:color="000000"/>
              <w:left w:val="single" w:sz="4" w:space="0" w:color="000000"/>
              <w:bottom w:val="single" w:sz="4" w:space="0" w:color="000000"/>
              <w:right w:val="single" w:sz="4" w:space="0" w:color="000000"/>
            </w:tcBorders>
          </w:tcPr>
          <w:p w14:paraId="56979BBE" w14:textId="77777777" w:rsidR="005658BC" w:rsidRPr="001965FD" w:rsidRDefault="005658BC" w:rsidP="00A64DBD">
            <w:pPr>
              <w:rPr>
                <w:b/>
              </w:rPr>
            </w:pPr>
            <w:r w:rsidRPr="001965FD">
              <w:rPr>
                <w:b/>
              </w:rPr>
              <w:t>Average Hourly Rate</w:t>
            </w:r>
          </w:p>
        </w:tc>
        <w:tc>
          <w:tcPr>
            <w:tcW w:w="1350" w:type="dxa"/>
            <w:tcBorders>
              <w:top w:val="single" w:sz="6" w:space="0" w:color="000000"/>
              <w:left w:val="single" w:sz="4" w:space="0" w:color="000000"/>
              <w:bottom w:val="single" w:sz="4" w:space="0" w:color="000000"/>
              <w:right w:val="single" w:sz="4" w:space="0" w:color="000000"/>
            </w:tcBorders>
          </w:tcPr>
          <w:p w14:paraId="113EBECA" w14:textId="77777777" w:rsidR="005658BC" w:rsidRPr="001965FD" w:rsidRDefault="005658BC" w:rsidP="00A64DBD">
            <w:pPr>
              <w:rPr>
                <w:b/>
              </w:rPr>
            </w:pPr>
            <w:r w:rsidRPr="001965FD">
              <w:rPr>
                <w:b/>
              </w:rPr>
              <w:t>Cost</w:t>
            </w:r>
          </w:p>
        </w:tc>
      </w:tr>
      <w:tr w:rsidR="005658BC" w:rsidRPr="001965FD" w14:paraId="641BF63A" w14:textId="77777777" w:rsidTr="00A64DBD">
        <w:trPr>
          <w:trHeight w:val="233"/>
        </w:trPr>
        <w:tc>
          <w:tcPr>
            <w:tcW w:w="5310" w:type="dxa"/>
            <w:tcBorders>
              <w:top w:val="single" w:sz="4" w:space="0" w:color="000000"/>
              <w:left w:val="single" w:sz="4" w:space="0" w:color="000000"/>
              <w:bottom w:val="single" w:sz="4" w:space="0" w:color="000000"/>
              <w:right w:val="single" w:sz="4" w:space="0" w:color="000000"/>
            </w:tcBorders>
          </w:tcPr>
          <w:p w14:paraId="78907630" w14:textId="1155F049" w:rsidR="005658BC" w:rsidRPr="00B31A0B" w:rsidRDefault="005658BC" w:rsidP="00B31A0B">
            <w:r w:rsidRPr="00B31A0B">
              <w:t>Fellow survey design, create web-based survey, implementatio</w:t>
            </w:r>
            <w:r w:rsidR="00371739" w:rsidRPr="00B31A0B">
              <w:t xml:space="preserve">n, analysis, and </w:t>
            </w:r>
            <w:r w:rsidR="00B31A0B" w:rsidRPr="00B31A0B">
              <w:t>reporting (GS-11</w:t>
            </w:r>
            <w:r w:rsidRPr="00B31A0B">
              <w:t xml:space="preserve"> equivalent) </w:t>
            </w:r>
          </w:p>
        </w:tc>
        <w:tc>
          <w:tcPr>
            <w:tcW w:w="1080" w:type="dxa"/>
            <w:tcBorders>
              <w:top w:val="single" w:sz="4" w:space="0" w:color="000000"/>
              <w:left w:val="single" w:sz="4" w:space="0" w:color="000000"/>
              <w:bottom w:val="single" w:sz="4" w:space="0" w:color="000000"/>
              <w:right w:val="single" w:sz="4" w:space="0" w:color="000000"/>
            </w:tcBorders>
            <w:vAlign w:val="center"/>
          </w:tcPr>
          <w:p w14:paraId="5912FB2F" w14:textId="77777777" w:rsidR="005658BC" w:rsidRPr="00FF7248" w:rsidRDefault="00371739" w:rsidP="00A64DBD">
            <w:r w:rsidRPr="00FF7248">
              <w:t>15</w:t>
            </w:r>
          </w:p>
        </w:tc>
        <w:tc>
          <w:tcPr>
            <w:tcW w:w="1800" w:type="dxa"/>
            <w:tcBorders>
              <w:top w:val="single" w:sz="4" w:space="0" w:color="000000"/>
              <w:left w:val="single" w:sz="4" w:space="0" w:color="000000"/>
              <w:bottom w:val="single" w:sz="4" w:space="0" w:color="000000"/>
              <w:right w:val="single" w:sz="4" w:space="0" w:color="000000"/>
            </w:tcBorders>
            <w:vAlign w:val="center"/>
          </w:tcPr>
          <w:p w14:paraId="483B1BB5" w14:textId="77777777" w:rsidR="005658BC" w:rsidRPr="00FF7248" w:rsidRDefault="00371739" w:rsidP="00A64DBD">
            <w:r w:rsidRPr="00FF7248">
              <w:t>$23.44</w:t>
            </w:r>
            <w:r w:rsidR="005658BC" w:rsidRPr="00FF7248">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14:paraId="1EA2BC3B" w14:textId="685F212E" w:rsidR="005658BC" w:rsidRPr="00FF7248" w:rsidRDefault="004D2A92" w:rsidP="00A64DBD">
            <w:r w:rsidRPr="00FF7248">
              <w:t>$351.5</w:t>
            </w:r>
            <w:r w:rsidR="00371739" w:rsidRPr="00FF7248">
              <w:t>6</w:t>
            </w:r>
          </w:p>
        </w:tc>
      </w:tr>
      <w:tr w:rsidR="005658BC" w:rsidRPr="001965FD" w14:paraId="6F52056B" w14:textId="77777777" w:rsidTr="00FF7248">
        <w:trPr>
          <w:trHeight w:val="99"/>
        </w:trPr>
        <w:tc>
          <w:tcPr>
            <w:tcW w:w="5310" w:type="dxa"/>
            <w:tcBorders>
              <w:top w:val="single" w:sz="4" w:space="0" w:color="000000"/>
              <w:left w:val="single" w:sz="4" w:space="0" w:color="000000"/>
              <w:bottom w:val="single" w:sz="4" w:space="0" w:color="000000"/>
              <w:right w:val="single" w:sz="4" w:space="0" w:color="000000"/>
            </w:tcBorders>
            <w:vAlign w:val="center"/>
          </w:tcPr>
          <w:p w14:paraId="1FC20443" w14:textId="6732F33F" w:rsidR="005658BC" w:rsidRPr="00B31A0B" w:rsidRDefault="005658BC" w:rsidP="00371739">
            <w:r w:rsidRPr="00B31A0B">
              <w:t xml:space="preserve">FTE </w:t>
            </w:r>
            <w:r w:rsidR="00B31A0B" w:rsidRPr="00B31A0B">
              <w:t>Supervisor (GS-15 equivalent</w:t>
            </w:r>
            <w:r w:rsidR="00371739" w:rsidRPr="00B31A0B">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12A351C" w14:textId="00E16AF5" w:rsidR="005658BC" w:rsidRPr="00FF7248" w:rsidRDefault="004D2A92" w:rsidP="00A64DBD">
            <w:r w:rsidRPr="00FF7248">
              <w:t>5</w:t>
            </w:r>
          </w:p>
        </w:tc>
        <w:tc>
          <w:tcPr>
            <w:tcW w:w="1800" w:type="dxa"/>
            <w:tcBorders>
              <w:top w:val="single" w:sz="4" w:space="0" w:color="000000"/>
              <w:left w:val="single" w:sz="4" w:space="0" w:color="000000"/>
              <w:bottom w:val="single" w:sz="4" w:space="0" w:color="000000"/>
              <w:right w:val="single" w:sz="4" w:space="0" w:color="000000"/>
            </w:tcBorders>
            <w:vAlign w:val="center"/>
          </w:tcPr>
          <w:p w14:paraId="7B446AE7" w14:textId="0CC28968" w:rsidR="005658BC" w:rsidRPr="00FF7248" w:rsidRDefault="004D2A92" w:rsidP="00A64DBD">
            <w:pPr>
              <w:rPr>
                <w:b/>
              </w:rPr>
            </w:pPr>
            <w:r w:rsidRPr="00FF7248">
              <w:t>$66.66</w:t>
            </w:r>
          </w:p>
        </w:tc>
        <w:tc>
          <w:tcPr>
            <w:tcW w:w="1350" w:type="dxa"/>
            <w:tcBorders>
              <w:top w:val="single" w:sz="4" w:space="0" w:color="000000"/>
              <w:left w:val="single" w:sz="4" w:space="0" w:color="000000"/>
              <w:bottom w:val="single" w:sz="4" w:space="0" w:color="000000"/>
              <w:right w:val="single" w:sz="4" w:space="0" w:color="000000"/>
            </w:tcBorders>
            <w:vAlign w:val="center"/>
          </w:tcPr>
          <w:p w14:paraId="0AC62A50" w14:textId="1E1E0CD6" w:rsidR="005658BC" w:rsidRPr="00FF7248" w:rsidRDefault="004D2A92" w:rsidP="00A64DBD">
            <w:r w:rsidRPr="00FF7248">
              <w:t>$333.33</w:t>
            </w:r>
          </w:p>
        </w:tc>
      </w:tr>
      <w:tr w:rsidR="005658BC" w:rsidRPr="001965FD" w14:paraId="496B1355" w14:textId="77777777" w:rsidTr="00A64DBD">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14:paraId="38A6C937" w14:textId="77777777" w:rsidR="005658BC" w:rsidRPr="00FF7248" w:rsidRDefault="005658BC" w:rsidP="00A64DBD">
            <w:pPr>
              <w:rPr>
                <w:b/>
              </w:rPr>
            </w:pPr>
            <w:r w:rsidRPr="00FF7248">
              <w:rPr>
                <w:b/>
              </w:rPr>
              <w:t>Totals</w:t>
            </w:r>
          </w:p>
        </w:tc>
        <w:tc>
          <w:tcPr>
            <w:tcW w:w="1080" w:type="dxa"/>
            <w:tcBorders>
              <w:top w:val="single" w:sz="4" w:space="0" w:color="000000"/>
              <w:left w:val="single" w:sz="4" w:space="0" w:color="000000"/>
              <w:bottom w:val="single" w:sz="4" w:space="0" w:color="000000"/>
              <w:right w:val="single" w:sz="4" w:space="0" w:color="000000"/>
            </w:tcBorders>
            <w:vAlign w:val="center"/>
          </w:tcPr>
          <w:p w14:paraId="718219D2" w14:textId="77777777" w:rsidR="005658BC" w:rsidRPr="00FF7248" w:rsidRDefault="005658BC" w:rsidP="00A64DBD">
            <w:pPr>
              <w:rPr>
                <w:b/>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7257B23" w14:textId="77777777" w:rsidR="005658BC" w:rsidRPr="00FF7248" w:rsidRDefault="005658BC" w:rsidP="00A64DBD">
            <w:pP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3F1AC47" w14:textId="2FDFDBBF" w:rsidR="005658BC" w:rsidRPr="00FF7248" w:rsidRDefault="005658BC" w:rsidP="004D2A92">
            <w:r w:rsidRPr="00FF7248">
              <w:t>$</w:t>
            </w:r>
            <w:r w:rsidR="004D2A92" w:rsidRPr="00FF7248">
              <w:t>684.89</w:t>
            </w:r>
          </w:p>
        </w:tc>
      </w:tr>
    </w:tbl>
    <w:p w14:paraId="1F550792" w14:textId="77777777" w:rsidR="005658BC" w:rsidRDefault="005658BC">
      <w:pPr>
        <w:rPr>
          <w:b/>
          <w:bCs/>
          <w:u w:val="single"/>
        </w:rPr>
      </w:pPr>
    </w:p>
    <w:p w14:paraId="1C102151" w14:textId="659AA6D8" w:rsidR="00B46F2C" w:rsidRDefault="00B46F2C" w:rsidP="00F06866">
      <w:pPr>
        <w:rPr>
          <w:b/>
        </w:rPr>
      </w:pPr>
      <w:r>
        <w:rPr>
          <w:b/>
          <w:bCs/>
          <w:u w:val="single"/>
        </w:rPr>
        <w:t xml:space="preserve">If you are conducting a focus group, survey, or plan to employ statistical methods, </w:t>
      </w:r>
      <w:r w:rsidR="004D2A92">
        <w:rPr>
          <w:b/>
          <w:bCs/>
          <w:u w:val="single"/>
        </w:rPr>
        <w:t>please provide</w:t>
      </w:r>
      <w:r>
        <w:rPr>
          <w:b/>
          <w:bCs/>
          <w:u w:val="single"/>
        </w:rPr>
        <w:t xml:space="preserve"> answers to the following questions:</w:t>
      </w:r>
    </w:p>
    <w:p w14:paraId="31DAD986" w14:textId="77777777" w:rsidR="00B46F2C" w:rsidRDefault="00B46F2C" w:rsidP="00F06866">
      <w:pPr>
        <w:rPr>
          <w:b/>
        </w:rPr>
      </w:pPr>
    </w:p>
    <w:p w14:paraId="33D7ACE4" w14:textId="77777777" w:rsidR="00B46F2C" w:rsidRDefault="00B46F2C" w:rsidP="00F06866">
      <w:pPr>
        <w:rPr>
          <w:b/>
        </w:rPr>
      </w:pPr>
      <w:r>
        <w:rPr>
          <w:b/>
        </w:rPr>
        <w:t>The selection of your targeted respondents</w:t>
      </w:r>
    </w:p>
    <w:p w14:paraId="74107E0B"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0093793D">
        <w:t>[ ] Yes</w:t>
      </w:r>
      <w:r w:rsidR="0093793D">
        <w:tab/>
        <w:t>[X</w:t>
      </w:r>
      <w:r>
        <w:t>] No</w:t>
      </w:r>
    </w:p>
    <w:p w14:paraId="37C05652" w14:textId="77777777" w:rsidR="00B46F2C" w:rsidRDefault="00B46F2C" w:rsidP="00636621">
      <w:pPr>
        <w:pStyle w:val="ListParagraph"/>
      </w:pPr>
    </w:p>
    <w:p w14:paraId="68BC5809"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1C8A3FB7" w14:textId="77777777" w:rsidR="00B46F2C" w:rsidRDefault="00B46F2C" w:rsidP="00A403BB">
      <w:pPr>
        <w:pStyle w:val="ListParagraph"/>
      </w:pPr>
    </w:p>
    <w:p w14:paraId="7EBB1F47" w14:textId="0E086B83" w:rsidR="00B46F2C" w:rsidRDefault="005658BC" w:rsidP="00A403BB">
      <w:r w:rsidRPr="004D2A92">
        <w:t xml:space="preserve">The survey will be conducted using </w:t>
      </w:r>
      <w:proofErr w:type="spellStart"/>
      <w:r w:rsidRPr="004D2A92">
        <w:t>SurveyMonkey</w:t>
      </w:r>
      <w:proofErr w:type="spellEnd"/>
      <w:r w:rsidR="00B3344B">
        <w:t>®</w:t>
      </w:r>
      <w:r w:rsidRPr="004D2A92">
        <w:t xml:space="preserve"> and distributed through an email containing a link to the survey. The email will be sent to the more than 83,000 email addresses using the </w:t>
      </w:r>
      <w:r w:rsidR="00B3344B">
        <w:t xml:space="preserve">PHGR subscribers </w:t>
      </w:r>
      <w:r w:rsidRPr="004D2A92">
        <w:t xml:space="preserve">through the GovDelivery </w:t>
      </w:r>
      <w:r w:rsidR="00B3344B" w:rsidRPr="00B3344B">
        <w:t>listserv</w:t>
      </w:r>
      <w:r w:rsidRPr="004D2A92">
        <w:t>. The GovDelivery listserv is a voluntary listserv and subscribers select to receive emails and may unsubscribe at any time.</w:t>
      </w:r>
      <w:r w:rsidRPr="005658BC">
        <w:t xml:space="preserve"> </w:t>
      </w:r>
    </w:p>
    <w:p w14:paraId="6BABD1CA" w14:textId="77777777" w:rsidR="00B46F2C" w:rsidRDefault="00B46F2C" w:rsidP="00A403BB"/>
    <w:p w14:paraId="399C1AE9" w14:textId="77777777" w:rsidR="00B46F2C" w:rsidRDefault="00B46F2C" w:rsidP="00A403BB">
      <w:pPr>
        <w:rPr>
          <w:b/>
        </w:rPr>
      </w:pPr>
      <w:r>
        <w:rPr>
          <w:b/>
        </w:rPr>
        <w:t>Administration of the Instrument</w:t>
      </w:r>
    </w:p>
    <w:p w14:paraId="34C11F1B" w14:textId="77777777" w:rsidR="00B46F2C" w:rsidRDefault="00B46F2C" w:rsidP="00A403BB">
      <w:pPr>
        <w:pStyle w:val="ListParagraph"/>
        <w:numPr>
          <w:ilvl w:val="0"/>
          <w:numId w:val="17"/>
        </w:numPr>
      </w:pPr>
      <w:r>
        <w:t>How will you collect the information? (Check all that apply)</w:t>
      </w:r>
    </w:p>
    <w:p w14:paraId="6FD32D11" w14:textId="77777777" w:rsidR="00B46F2C" w:rsidRDefault="005658BC" w:rsidP="001B0AAA">
      <w:pPr>
        <w:ind w:left="720"/>
      </w:pPr>
      <w:r>
        <w:t>[X</w:t>
      </w:r>
      <w:r w:rsidR="00B46F2C">
        <w:t xml:space="preserve">] Web-based or other forms of Social Media </w:t>
      </w:r>
    </w:p>
    <w:p w14:paraId="1374D259" w14:textId="77777777" w:rsidR="00B46F2C" w:rsidRDefault="00B46F2C" w:rsidP="001B0AAA">
      <w:pPr>
        <w:ind w:left="720"/>
      </w:pPr>
      <w:r>
        <w:t>[  ] Telephone</w:t>
      </w:r>
      <w:r>
        <w:tab/>
      </w:r>
    </w:p>
    <w:p w14:paraId="03B66CD6" w14:textId="77777777" w:rsidR="00B46F2C" w:rsidRDefault="00B46F2C" w:rsidP="001B0AAA">
      <w:pPr>
        <w:ind w:left="720"/>
      </w:pPr>
      <w:r>
        <w:t>[  ] In-person</w:t>
      </w:r>
      <w:r>
        <w:tab/>
      </w:r>
    </w:p>
    <w:p w14:paraId="087A12AE" w14:textId="77777777" w:rsidR="00B46F2C" w:rsidRDefault="00B46F2C" w:rsidP="001B0AAA">
      <w:pPr>
        <w:ind w:left="720"/>
      </w:pPr>
      <w:r>
        <w:t xml:space="preserve">[  ] Mail </w:t>
      </w:r>
    </w:p>
    <w:p w14:paraId="4E2B54E2" w14:textId="77777777" w:rsidR="00B46F2C" w:rsidRDefault="00B46F2C" w:rsidP="001B0AAA">
      <w:pPr>
        <w:ind w:left="720"/>
      </w:pPr>
      <w:r>
        <w:t>[  ] Other, Explain</w:t>
      </w:r>
    </w:p>
    <w:p w14:paraId="6F643A5D" w14:textId="77777777" w:rsidR="00B46F2C" w:rsidRDefault="00B46F2C" w:rsidP="00F24CFC">
      <w:pPr>
        <w:pStyle w:val="ListParagraph"/>
        <w:numPr>
          <w:ilvl w:val="0"/>
          <w:numId w:val="17"/>
        </w:numPr>
      </w:pPr>
      <w:r>
        <w:t>Will interviewers or facilitators be used?  [  ] Yes [</w:t>
      </w:r>
      <w:r w:rsidR="005658BC">
        <w:t>X</w:t>
      </w:r>
      <w:r>
        <w:t>] No</w:t>
      </w:r>
    </w:p>
    <w:p w14:paraId="732000F0" w14:textId="77777777" w:rsidR="005658BC" w:rsidRDefault="005658BC" w:rsidP="005658BC"/>
    <w:p w14:paraId="2DD0DA78" w14:textId="77777777" w:rsidR="0037774D" w:rsidRPr="004D2A92" w:rsidRDefault="0037774D" w:rsidP="0037774D">
      <w:pPr>
        <w:rPr>
          <w:b/>
        </w:rPr>
      </w:pPr>
      <w:r w:rsidRPr="004D2A92">
        <w:rPr>
          <w:b/>
        </w:rPr>
        <w:t>DISSEMINATION OF RESULTS:</w:t>
      </w:r>
    </w:p>
    <w:p w14:paraId="5F531E28" w14:textId="67E6A4D1" w:rsidR="00B46F2C" w:rsidRDefault="0037774D" w:rsidP="00C0474D">
      <w:pPr>
        <w:pStyle w:val="ListParagraph"/>
        <w:ind w:left="0"/>
      </w:pPr>
      <w:r w:rsidRPr="004D2A92">
        <w:t>The results of the PHGR Audience Satisfaction Survey will be disseminated internally among series facilitators and directors, OADC and OADS staff</w:t>
      </w:r>
      <w:r w:rsidR="00C726B8" w:rsidRPr="004D2A92">
        <w:t>,</w:t>
      </w:r>
      <w:r w:rsidRPr="004D2A92">
        <w:t xml:space="preserve"> and CDC leadership. The results will also be shared with hosts and presenters of future sessions</w:t>
      </w:r>
      <w:r w:rsidR="00C726B8" w:rsidRPr="004D2A92">
        <w:t xml:space="preserve"> to provide additional insight into the professional characteristics and interests of the audience</w:t>
      </w:r>
      <w:r w:rsidRPr="004D2A92">
        <w:t xml:space="preserve">. </w:t>
      </w:r>
      <w:r w:rsidR="004D2A92" w:rsidRPr="004D2A92">
        <w:t xml:space="preserve">The methods and implications of the PHGR Audience Satisfaction Survey may be disseminated by reports and manuscripts published within peer-reviewed journals. </w:t>
      </w:r>
      <w:r w:rsidR="00C726B8" w:rsidRPr="004D2A92">
        <w:t>This means of dissemination is essential to promote best methods and contribute to the body of knowledge around the development and execution of effective professional education series.</w:t>
      </w:r>
      <w:r w:rsidR="00C726B8">
        <w:t xml:space="preserve"> </w:t>
      </w:r>
      <w:bookmarkStart w:id="0" w:name="_GoBack"/>
      <w:bookmarkEnd w:id="0"/>
    </w:p>
    <w:sectPr w:rsidR="00B46F2C"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B521D" w14:textId="77777777" w:rsidR="00B46F2C" w:rsidRDefault="00B46F2C">
      <w:r>
        <w:separator/>
      </w:r>
    </w:p>
  </w:endnote>
  <w:endnote w:type="continuationSeparator" w:id="0">
    <w:p w14:paraId="2BF79F54" w14:textId="77777777" w:rsidR="00B46F2C" w:rsidRDefault="00B4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EE626" w14:textId="77777777"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C0474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F5962" w14:textId="77777777" w:rsidR="00B46F2C" w:rsidRDefault="00B46F2C">
      <w:r>
        <w:separator/>
      </w:r>
    </w:p>
  </w:footnote>
  <w:footnote w:type="continuationSeparator" w:id="0">
    <w:p w14:paraId="4012987F" w14:textId="77777777" w:rsidR="00B46F2C" w:rsidRDefault="00B46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79938" w14:textId="77777777" w:rsidR="00B46F2C" w:rsidRDefault="00B46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E693A17"/>
    <w:multiLevelType w:val="hybridMultilevel"/>
    <w:tmpl w:val="AFE4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D44CA"/>
    <w:rsid w:val="000E200B"/>
    <w:rsid w:val="000F68BE"/>
    <w:rsid w:val="00105B3A"/>
    <w:rsid w:val="001775AB"/>
    <w:rsid w:val="001927A4"/>
    <w:rsid w:val="00194AC6"/>
    <w:rsid w:val="001A23B0"/>
    <w:rsid w:val="001A25CC"/>
    <w:rsid w:val="001B0AAA"/>
    <w:rsid w:val="001C39F7"/>
    <w:rsid w:val="00237B48"/>
    <w:rsid w:val="0024521E"/>
    <w:rsid w:val="00263C3D"/>
    <w:rsid w:val="00274D0B"/>
    <w:rsid w:val="002821FF"/>
    <w:rsid w:val="002B3C95"/>
    <w:rsid w:val="002D0B92"/>
    <w:rsid w:val="003675DB"/>
    <w:rsid w:val="00371739"/>
    <w:rsid w:val="0037774D"/>
    <w:rsid w:val="003A4C87"/>
    <w:rsid w:val="003D5BBE"/>
    <w:rsid w:val="003E3C61"/>
    <w:rsid w:val="003F1C5B"/>
    <w:rsid w:val="003F502E"/>
    <w:rsid w:val="00411417"/>
    <w:rsid w:val="0041337D"/>
    <w:rsid w:val="00414605"/>
    <w:rsid w:val="00434E33"/>
    <w:rsid w:val="00441434"/>
    <w:rsid w:val="0045264C"/>
    <w:rsid w:val="004876EC"/>
    <w:rsid w:val="004D2A92"/>
    <w:rsid w:val="004D6E14"/>
    <w:rsid w:val="004F77F8"/>
    <w:rsid w:val="005009B0"/>
    <w:rsid w:val="00512CA7"/>
    <w:rsid w:val="005658BC"/>
    <w:rsid w:val="005A1006"/>
    <w:rsid w:val="005E714A"/>
    <w:rsid w:val="006140A0"/>
    <w:rsid w:val="00636621"/>
    <w:rsid w:val="00642B49"/>
    <w:rsid w:val="006832D9"/>
    <w:rsid w:val="0069403B"/>
    <w:rsid w:val="006F3DDE"/>
    <w:rsid w:val="00704678"/>
    <w:rsid w:val="007425E7"/>
    <w:rsid w:val="007B05B4"/>
    <w:rsid w:val="00802607"/>
    <w:rsid w:val="008101A5"/>
    <w:rsid w:val="00822664"/>
    <w:rsid w:val="00843796"/>
    <w:rsid w:val="00895229"/>
    <w:rsid w:val="008F0203"/>
    <w:rsid w:val="008F50D4"/>
    <w:rsid w:val="009239AA"/>
    <w:rsid w:val="00935ADA"/>
    <w:rsid w:val="0093793D"/>
    <w:rsid w:val="00946B6C"/>
    <w:rsid w:val="00955A71"/>
    <w:rsid w:val="0096108F"/>
    <w:rsid w:val="00973BAF"/>
    <w:rsid w:val="009B676A"/>
    <w:rsid w:val="009C13B9"/>
    <w:rsid w:val="009D01A2"/>
    <w:rsid w:val="009F5923"/>
    <w:rsid w:val="00A403BB"/>
    <w:rsid w:val="00A674DF"/>
    <w:rsid w:val="00A83AA6"/>
    <w:rsid w:val="00AE1809"/>
    <w:rsid w:val="00B31A0B"/>
    <w:rsid w:val="00B3344B"/>
    <w:rsid w:val="00B46F2C"/>
    <w:rsid w:val="00B80D76"/>
    <w:rsid w:val="00BA2105"/>
    <w:rsid w:val="00BA5520"/>
    <w:rsid w:val="00BA7E06"/>
    <w:rsid w:val="00BB43B5"/>
    <w:rsid w:val="00BB6219"/>
    <w:rsid w:val="00BD290F"/>
    <w:rsid w:val="00C008AA"/>
    <w:rsid w:val="00C0474D"/>
    <w:rsid w:val="00C14CC4"/>
    <w:rsid w:val="00C33C52"/>
    <w:rsid w:val="00C40D8B"/>
    <w:rsid w:val="00C726B8"/>
    <w:rsid w:val="00C8407A"/>
    <w:rsid w:val="00C8488C"/>
    <w:rsid w:val="00C86E91"/>
    <w:rsid w:val="00CA2650"/>
    <w:rsid w:val="00CB1078"/>
    <w:rsid w:val="00CC6FAF"/>
    <w:rsid w:val="00D24698"/>
    <w:rsid w:val="00D33E1C"/>
    <w:rsid w:val="00D6383F"/>
    <w:rsid w:val="00D71221"/>
    <w:rsid w:val="00DB59D0"/>
    <w:rsid w:val="00DC33D3"/>
    <w:rsid w:val="00E26329"/>
    <w:rsid w:val="00E32D26"/>
    <w:rsid w:val="00E40B50"/>
    <w:rsid w:val="00E50293"/>
    <w:rsid w:val="00E65FFC"/>
    <w:rsid w:val="00E80951"/>
    <w:rsid w:val="00E854FE"/>
    <w:rsid w:val="00E86CC6"/>
    <w:rsid w:val="00EB56B3"/>
    <w:rsid w:val="00ED6492"/>
    <w:rsid w:val="00EF2095"/>
    <w:rsid w:val="00F06866"/>
    <w:rsid w:val="00F15956"/>
    <w:rsid w:val="00F24CFC"/>
    <w:rsid w:val="00F3170F"/>
    <w:rsid w:val="00F3472B"/>
    <w:rsid w:val="00F4017B"/>
    <w:rsid w:val="00F976B0"/>
    <w:rsid w:val="00FA6DE7"/>
    <w:rsid w:val="00FB5A62"/>
    <w:rsid w:val="00FC0A8E"/>
    <w:rsid w:val="00FE2FA6"/>
    <w:rsid w:val="00FE3DF2"/>
    <w:rsid w:val="00FF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8EE6AAA"/>
  <w15:docId w15:val="{E042D910-DDAD-4FBF-9531-50AA1D61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3</Pages>
  <Words>1175</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Sara Wolicki</cp:lastModifiedBy>
  <cp:revision>13</cp:revision>
  <cp:lastPrinted>2016-08-09T13:16:00Z</cp:lastPrinted>
  <dcterms:created xsi:type="dcterms:W3CDTF">2016-07-14T14:34:00Z</dcterms:created>
  <dcterms:modified xsi:type="dcterms:W3CDTF">2016-08-09T15:56:00Z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