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4B3690" w:rsidRPr="004B3690">
        <w:rPr>
          <w:sz w:val="28"/>
        </w:rPr>
        <w:t>0920-1050</w:t>
      </w:r>
      <w:r>
        <w:rPr>
          <w:sz w:val="28"/>
        </w:rPr>
        <w:t>)</w:t>
      </w:r>
    </w:p>
    <w:p w:rsidR="00B46F2C" w:rsidRPr="009239AA" w:rsidRDefault="003A4C87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57A2EBA" wp14:editId="2B5F63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3448A3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  <w:r w:rsidR="00692C73">
        <w:t>Emergency Partners Information Connection (EPIC) Partner Interaction</w:t>
      </w:r>
    </w:p>
    <w:p w:rsidR="00B46F2C" w:rsidRDefault="00B46F2C"/>
    <w:p w:rsidR="00B46F2C" w:rsidRPr="00692C73" w:rsidRDefault="00B46F2C">
      <w:r>
        <w:rPr>
          <w:b/>
        </w:rPr>
        <w:t>PURPOSE</w:t>
      </w:r>
      <w:r w:rsidR="00692C73">
        <w:rPr>
          <w:b/>
        </w:rPr>
        <w:t xml:space="preserve">: </w:t>
      </w:r>
      <w:r w:rsidR="00692C73">
        <w:t xml:space="preserve">EPIC </w:t>
      </w:r>
      <w:r w:rsidR="00754F1F">
        <w:t>maintains relationships with partner organizations to aid in the dissemination of information du</w:t>
      </w:r>
      <w:r w:rsidR="00943679">
        <w:t>ring a public health emergency</w:t>
      </w:r>
      <w:r w:rsidR="00893A1A">
        <w:t xml:space="preserve">. These partnerships also provide insights into potential gaps in CDC’s communication strategies and information products. </w:t>
      </w:r>
      <w:r w:rsidR="0045303D">
        <w:t xml:space="preserve">Connecting with partners allows CDC to be better prepared to meet information needs during a public health emergency and </w:t>
      </w:r>
      <w:r w:rsidR="00943679">
        <w:t>helps EPIC stay abreast of changes at the organizations that could affect their ability to disseminate information about public health emergencies.</w:t>
      </w:r>
      <w:r w:rsidR="006D3C13">
        <w:t xml:space="preserve"> 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r w:rsidR="00692C73">
        <w:t xml:space="preserve">Respondents are </w:t>
      </w:r>
      <w:r w:rsidR="0077759E">
        <w:t xml:space="preserve">representatives from </w:t>
      </w:r>
      <w:r w:rsidR="00692C73">
        <w:t>EPIC partner organizations, such as National VOAD, the National Public Health Information Coalition, and the Corporation for National Service. EPIC partners can be non-profit organization, trade organizations, private groups, and government groups. They are chosen based on their ability to help CDC disseminate information to at-risk populations during public health emergencies.</w:t>
      </w:r>
      <w:r w:rsidR="006D3C13">
        <w:t xml:space="preserve"> Respondents will be contacted via t</w:t>
      </w:r>
      <w:r w:rsidR="006D3C13" w:rsidRPr="006D3C13">
        <w:t xml:space="preserve">elephone call, email </w:t>
      </w:r>
      <w:r w:rsidR="006D3C13">
        <w:t>or web meeting.</w:t>
      </w:r>
    </w:p>
    <w:p w:rsidR="00B46F2C" w:rsidRDefault="00B46F2C"/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</w:t>
      </w:r>
      <w:r w:rsidR="001A6B1A">
        <w:rPr>
          <w:bCs/>
          <w:sz w:val="24"/>
        </w:rPr>
        <w:t>ng (e.g., Website or Software</w:t>
      </w:r>
      <w:r w:rsidR="001A6B1A">
        <w:rPr>
          <w:bCs/>
          <w:sz w:val="24"/>
        </w:rPr>
        <w:tab/>
        <w:t xml:space="preserve">[ </w:t>
      </w:r>
      <w:r>
        <w:rPr>
          <w:bCs/>
          <w:sz w:val="24"/>
        </w:rPr>
        <w:t>] Small Discussion Group</w:t>
      </w:r>
    </w:p>
    <w:p w:rsidR="00B46F2C" w:rsidRPr="00F06866" w:rsidRDefault="00B46F2C" w:rsidP="006D3C13">
      <w:pPr>
        <w:pStyle w:val="BodyTextIndent"/>
        <w:tabs>
          <w:tab w:val="left" w:pos="360"/>
        </w:tabs>
        <w:ind w:left="3600" w:hanging="3600"/>
        <w:rPr>
          <w:bCs/>
          <w:sz w:val="24"/>
        </w:rPr>
      </w:pPr>
      <w:r>
        <w:rPr>
          <w:bCs/>
          <w:sz w:val="24"/>
        </w:rPr>
        <w:t>[</w:t>
      </w:r>
      <w:r w:rsidR="00EE054C">
        <w:rPr>
          <w:bCs/>
          <w:sz w:val="24"/>
        </w:rPr>
        <w:t xml:space="preserve"> </w:t>
      </w:r>
      <w:r w:rsidR="006D3C13">
        <w:rPr>
          <w:bCs/>
          <w:sz w:val="24"/>
        </w:rPr>
        <w:t xml:space="preserve">]  Focus Group  </w:t>
      </w:r>
      <w:r w:rsidR="006D3C13">
        <w:rPr>
          <w:bCs/>
          <w:sz w:val="24"/>
        </w:rPr>
        <w:tab/>
      </w:r>
      <w:r w:rsidR="006D3C13">
        <w:rPr>
          <w:bCs/>
          <w:sz w:val="24"/>
        </w:rPr>
        <w:tab/>
      </w:r>
      <w:r w:rsidR="006D3C13"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1A6B1A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6D3C13">
        <w:rPr>
          <w:bCs/>
          <w:sz w:val="24"/>
          <w:u w:val="single"/>
        </w:rPr>
        <w:t>Telephone call, email and web     meeting</w:t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>
        <w:t>Name:</w:t>
      </w:r>
      <w:r w:rsidR="006D108E">
        <w:t xml:space="preserve"> </w:t>
      </w:r>
      <w:r w:rsidR="002530D8">
        <w:t>Jonathan Lynch, Senior Health Communication Specialist, CDC Emergency Partners Information Connection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</w:t>
      </w:r>
      <w:r w:rsidR="00A30EAF">
        <w:t>n (PII) collected?  [</w:t>
      </w:r>
      <w:r w:rsidR="00B02A63">
        <w:t xml:space="preserve"> </w:t>
      </w:r>
      <w:r w:rsidR="00A30EAF">
        <w:t>] Yes  [</w:t>
      </w:r>
      <w:r w:rsidR="0077759E">
        <w:t xml:space="preserve"> </w:t>
      </w:r>
      <w:r w:rsidR="00B02A63">
        <w:t>X</w:t>
      </w:r>
      <w:r>
        <w:t xml:space="preserve">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Yes, is the information that will be collected included in records that are subject to the Privacy Act of 1974</w:t>
      </w:r>
      <w:r w:rsidRPr="00BD7762">
        <w:t xml:space="preserve">?   [  ] Yes [ </w:t>
      </w:r>
      <w:r w:rsidR="00BD7762" w:rsidRPr="00BD7762">
        <w:t>X</w:t>
      </w:r>
      <w:r w:rsidRPr="00BD7762">
        <w:t xml:space="preserve"> ] No</w:t>
      </w:r>
      <w:r>
        <w:t xml:space="preserve">   </w:t>
      </w:r>
    </w:p>
    <w:p w:rsidR="00B46F2C" w:rsidRPr="00BD7762" w:rsidRDefault="00B46F2C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 w:rsidRPr="00BD7762">
        <w:t>[  ] Yes  [  ] No</w:t>
      </w:r>
    </w:p>
    <w:p w:rsidR="0077759E" w:rsidRDefault="0077759E" w:rsidP="00C86E91">
      <w:pPr>
        <w:pStyle w:val="ListParagraph"/>
        <w:ind w:left="0"/>
        <w:rPr>
          <w:b/>
        </w:rPr>
      </w:pPr>
    </w:p>
    <w:p w:rsidR="00B46F2C" w:rsidRPr="00C86E91" w:rsidRDefault="00B46F2C" w:rsidP="00BD7762">
      <w:pPr>
        <w:pStyle w:val="ListParagraph"/>
        <w:keepNext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BD7762">
      <w:pPr>
        <w:keepNext/>
      </w:pPr>
      <w:r>
        <w:t>Is an incentive (e.g., money or reimbursement of expenses, token of appreciation) provide</w:t>
      </w:r>
      <w:r w:rsidR="00A30EAF">
        <w:t>d to participants?  [  ] Yes [ x</w:t>
      </w:r>
      <w:r>
        <w:t xml:space="preserve">] No  </w:t>
      </w: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5"/>
        <w:gridCol w:w="1710"/>
        <w:gridCol w:w="2070"/>
        <w:gridCol w:w="1656"/>
      </w:tblGrid>
      <w:tr w:rsidR="00B46F2C" w:rsidTr="00925368">
        <w:trPr>
          <w:trHeight w:val="274"/>
        </w:trPr>
        <w:tc>
          <w:tcPr>
            <w:tcW w:w="4225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656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925368">
        <w:trPr>
          <w:trHeight w:val="274"/>
        </w:trPr>
        <w:tc>
          <w:tcPr>
            <w:tcW w:w="4225" w:type="dxa"/>
          </w:tcPr>
          <w:p w:rsidR="00B46F2C" w:rsidRDefault="00925368" w:rsidP="00843796">
            <w:r>
              <w:t>Private/Non-profit</w:t>
            </w:r>
            <w:r w:rsidR="00A30EAF">
              <w:t xml:space="preserve"> Partner</w:t>
            </w:r>
            <w:r w:rsidR="00D11F8C">
              <w:t>s</w:t>
            </w:r>
          </w:p>
        </w:tc>
        <w:tc>
          <w:tcPr>
            <w:tcW w:w="1710" w:type="dxa"/>
          </w:tcPr>
          <w:p w:rsidR="00B46F2C" w:rsidRDefault="00925368" w:rsidP="00843796">
            <w:r>
              <w:t>44</w:t>
            </w:r>
          </w:p>
        </w:tc>
        <w:tc>
          <w:tcPr>
            <w:tcW w:w="2070" w:type="dxa"/>
          </w:tcPr>
          <w:p w:rsidR="00B46F2C" w:rsidRDefault="00F0623B" w:rsidP="006D108E">
            <w:r>
              <w:t>.17 hours</w:t>
            </w:r>
          </w:p>
        </w:tc>
        <w:tc>
          <w:tcPr>
            <w:tcW w:w="1656" w:type="dxa"/>
          </w:tcPr>
          <w:p w:rsidR="00B46F2C" w:rsidRDefault="00EF0E2B" w:rsidP="00F0623B">
            <w:r>
              <w:t>7</w:t>
            </w:r>
            <w:r w:rsidR="00F0623B">
              <w:t>.33 hours</w:t>
            </w:r>
          </w:p>
        </w:tc>
      </w:tr>
      <w:tr w:rsidR="00925368" w:rsidTr="00925368">
        <w:trPr>
          <w:trHeight w:val="274"/>
        </w:trPr>
        <w:tc>
          <w:tcPr>
            <w:tcW w:w="4225" w:type="dxa"/>
          </w:tcPr>
          <w:p w:rsidR="00925368" w:rsidRDefault="00925368" w:rsidP="00843796">
            <w:r>
              <w:t>State/local/tribal</w:t>
            </w:r>
          </w:p>
        </w:tc>
        <w:tc>
          <w:tcPr>
            <w:tcW w:w="1710" w:type="dxa"/>
          </w:tcPr>
          <w:p w:rsidR="00925368" w:rsidRDefault="00925368" w:rsidP="00843796">
            <w:r>
              <w:t>3</w:t>
            </w:r>
          </w:p>
        </w:tc>
        <w:tc>
          <w:tcPr>
            <w:tcW w:w="2070" w:type="dxa"/>
          </w:tcPr>
          <w:p w:rsidR="00925368" w:rsidRDefault="00F0623B" w:rsidP="006D108E">
            <w:r w:rsidRPr="00F0623B">
              <w:t>.17</w:t>
            </w:r>
            <w:r>
              <w:t xml:space="preserve"> hours</w:t>
            </w:r>
          </w:p>
        </w:tc>
        <w:tc>
          <w:tcPr>
            <w:tcW w:w="1656" w:type="dxa"/>
          </w:tcPr>
          <w:p w:rsidR="00925368" w:rsidRDefault="00F0623B" w:rsidP="00843796">
            <w:r>
              <w:t>.5 hours</w:t>
            </w:r>
          </w:p>
        </w:tc>
      </w:tr>
      <w:tr w:rsidR="00925368" w:rsidTr="00925368">
        <w:trPr>
          <w:trHeight w:val="274"/>
        </w:trPr>
        <w:tc>
          <w:tcPr>
            <w:tcW w:w="4225" w:type="dxa"/>
          </w:tcPr>
          <w:p w:rsidR="00925368" w:rsidRDefault="00925368" w:rsidP="00843796">
            <w:r>
              <w:t>Federal</w:t>
            </w:r>
          </w:p>
        </w:tc>
        <w:tc>
          <w:tcPr>
            <w:tcW w:w="1710" w:type="dxa"/>
          </w:tcPr>
          <w:p w:rsidR="00925368" w:rsidRDefault="00925368" w:rsidP="00843796">
            <w:r>
              <w:t>8</w:t>
            </w:r>
          </w:p>
        </w:tc>
        <w:tc>
          <w:tcPr>
            <w:tcW w:w="2070" w:type="dxa"/>
          </w:tcPr>
          <w:p w:rsidR="00925368" w:rsidRDefault="00F0623B" w:rsidP="006D108E">
            <w:r w:rsidRPr="00F0623B">
              <w:t>.17</w:t>
            </w:r>
            <w:r>
              <w:t xml:space="preserve"> hours</w:t>
            </w:r>
          </w:p>
        </w:tc>
        <w:tc>
          <w:tcPr>
            <w:tcW w:w="1656" w:type="dxa"/>
          </w:tcPr>
          <w:p w:rsidR="00925368" w:rsidRDefault="00EF0E2B" w:rsidP="00F0623B">
            <w:r>
              <w:t>1</w:t>
            </w:r>
            <w:r w:rsidR="00F0623B">
              <w:t>.33</w:t>
            </w:r>
          </w:p>
        </w:tc>
      </w:tr>
      <w:tr w:rsidR="00925368" w:rsidTr="00925368">
        <w:trPr>
          <w:trHeight w:val="274"/>
        </w:trPr>
        <w:tc>
          <w:tcPr>
            <w:tcW w:w="4225" w:type="dxa"/>
          </w:tcPr>
          <w:p w:rsidR="00925368" w:rsidRDefault="00925368" w:rsidP="00843796">
            <w:r>
              <w:t>Future partners (not yet categorized)</w:t>
            </w:r>
          </w:p>
        </w:tc>
        <w:tc>
          <w:tcPr>
            <w:tcW w:w="1710" w:type="dxa"/>
          </w:tcPr>
          <w:p w:rsidR="00925368" w:rsidRDefault="00925368" w:rsidP="00843796">
            <w:r>
              <w:t>25</w:t>
            </w:r>
          </w:p>
        </w:tc>
        <w:tc>
          <w:tcPr>
            <w:tcW w:w="2070" w:type="dxa"/>
          </w:tcPr>
          <w:p w:rsidR="00925368" w:rsidRDefault="00F0623B" w:rsidP="006D108E">
            <w:r w:rsidRPr="00F0623B">
              <w:t>.17</w:t>
            </w:r>
            <w:r>
              <w:t xml:space="preserve"> hours</w:t>
            </w:r>
          </w:p>
        </w:tc>
        <w:tc>
          <w:tcPr>
            <w:tcW w:w="1656" w:type="dxa"/>
          </w:tcPr>
          <w:p w:rsidR="00925368" w:rsidRDefault="00EF0E2B" w:rsidP="00F0623B">
            <w:r>
              <w:t>4</w:t>
            </w:r>
            <w:r w:rsidR="00F0623B">
              <w:t>.17</w:t>
            </w:r>
          </w:p>
        </w:tc>
      </w:tr>
      <w:tr w:rsidR="00B46F2C" w:rsidTr="00925368">
        <w:trPr>
          <w:trHeight w:val="274"/>
        </w:trPr>
        <w:tc>
          <w:tcPr>
            <w:tcW w:w="4225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2070" w:type="dxa"/>
          </w:tcPr>
          <w:p w:rsidR="00B46F2C" w:rsidRDefault="00B46F2C" w:rsidP="00843796"/>
        </w:tc>
        <w:tc>
          <w:tcPr>
            <w:tcW w:w="1656" w:type="dxa"/>
          </w:tcPr>
          <w:p w:rsidR="00B46F2C" w:rsidRDefault="00B46F2C" w:rsidP="00843796"/>
        </w:tc>
      </w:tr>
      <w:tr w:rsidR="00B46F2C" w:rsidTr="00925368">
        <w:trPr>
          <w:trHeight w:val="289"/>
        </w:trPr>
        <w:tc>
          <w:tcPr>
            <w:tcW w:w="4225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  <w:tc>
          <w:tcPr>
            <w:tcW w:w="2070" w:type="dxa"/>
          </w:tcPr>
          <w:p w:rsidR="00B46F2C" w:rsidRDefault="00B46F2C" w:rsidP="00843796"/>
        </w:tc>
        <w:tc>
          <w:tcPr>
            <w:tcW w:w="1656" w:type="dxa"/>
          </w:tcPr>
          <w:p w:rsidR="00B46F2C" w:rsidRPr="00512CA7" w:rsidRDefault="00EF0E2B" w:rsidP="00F0623B">
            <w:pPr>
              <w:rPr>
                <w:b/>
              </w:rPr>
            </w:pPr>
            <w:r>
              <w:rPr>
                <w:b/>
              </w:rPr>
              <w:t>13</w:t>
            </w:r>
            <w:r w:rsidR="00F0623B">
              <w:rPr>
                <w:b/>
              </w:rPr>
              <w:t>.33 hours</w:t>
            </w:r>
          </w:p>
        </w:tc>
      </w:tr>
    </w:tbl>
    <w:p w:rsidR="00B46F2C" w:rsidRDefault="00B46F2C" w:rsidP="00F3170F"/>
    <w:p w:rsidR="00B46F2C" w:rsidRDefault="00B46F2C" w:rsidP="00F3170F"/>
    <w:p w:rsidR="00D11F8C" w:rsidRDefault="00B46F2C" w:rsidP="00F06866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BD7762">
        <w:t>$694.00</w:t>
      </w:r>
    </w:p>
    <w:p w:rsidR="00D11F8C" w:rsidRDefault="00D11F8C" w:rsidP="00D11F8C">
      <w:pPr>
        <w:ind w:firstLine="720"/>
      </w:pPr>
    </w:p>
    <w:p w:rsidR="00D11F8C" w:rsidRDefault="00D11F8C" w:rsidP="00F06866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D11F8C">
        <w:t xml:space="preserve"> </w:t>
      </w:r>
      <w:r w:rsidR="00EE054C">
        <w:t>x</w:t>
      </w:r>
      <w:r>
        <w:t>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/>
    <w:p w:rsidR="00EE054C" w:rsidRDefault="00EE054C" w:rsidP="00A403BB">
      <w:r>
        <w:t>EPIC maintains a database of partner organizations. We intend to contact all of them to update our database and ask if they have any feedback</w:t>
      </w:r>
      <w:r w:rsidR="00F0623B">
        <w:t xml:space="preserve"> on the program</w:t>
      </w:r>
      <w:r>
        <w:t>.</w:t>
      </w:r>
    </w:p>
    <w:p w:rsidR="00B46F2C" w:rsidRDefault="00B46F2C" w:rsidP="00A403BB"/>
    <w:p w:rsidR="00B46F2C" w:rsidRDefault="00B46F2C" w:rsidP="00A403BB"/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 xml:space="preserve">[  ] Web-based or other forms of Social Media </w:t>
      </w:r>
    </w:p>
    <w:p w:rsidR="00B46F2C" w:rsidRDefault="00EE054C" w:rsidP="001B0AAA">
      <w:pPr>
        <w:ind w:left="720"/>
      </w:pPr>
      <w:r>
        <w:t>[x</w:t>
      </w:r>
      <w:r w:rsidR="00B46F2C">
        <w:t>] Telephone</w:t>
      </w:r>
      <w:r w:rsidR="00B46F2C">
        <w:tab/>
      </w:r>
    </w:p>
    <w:p w:rsidR="00B46F2C" w:rsidRDefault="00EE054C" w:rsidP="001B0AAA">
      <w:pPr>
        <w:ind w:left="720"/>
      </w:pPr>
      <w:r>
        <w:t>[x</w:t>
      </w:r>
      <w:r w:rsidR="00B46F2C">
        <w:t>] In-person</w:t>
      </w:r>
      <w:r w:rsidR="00B46F2C">
        <w:tab/>
      </w:r>
    </w:p>
    <w:p w:rsidR="00B46F2C" w:rsidRDefault="00EE054C" w:rsidP="001B0AAA">
      <w:pPr>
        <w:ind w:left="720"/>
      </w:pPr>
      <w:r>
        <w:t xml:space="preserve">[  </w:t>
      </w:r>
      <w:r w:rsidR="00B46F2C">
        <w:t xml:space="preserve">] Mail </w:t>
      </w:r>
    </w:p>
    <w:p w:rsidR="00B46F2C" w:rsidRDefault="00EE054C" w:rsidP="001B0AAA">
      <w:pPr>
        <w:ind w:left="720"/>
      </w:pPr>
      <w:r>
        <w:t>[x</w:t>
      </w:r>
      <w:r w:rsidR="00B46F2C">
        <w:t>] Other, Explain</w:t>
      </w:r>
      <w:r w:rsidR="00D11F8C">
        <w:t xml:space="preserve"> (Email)</w:t>
      </w:r>
      <w:r>
        <w:t xml:space="preserve"> - email</w:t>
      </w:r>
    </w:p>
    <w:p w:rsidR="00D11F8C" w:rsidRDefault="00B46F2C" w:rsidP="00D11F8C">
      <w:pPr>
        <w:pStyle w:val="ListParagraph"/>
        <w:numPr>
          <w:ilvl w:val="0"/>
          <w:numId w:val="17"/>
        </w:numPr>
      </w:pPr>
      <w:r>
        <w:t>Will interviewe</w:t>
      </w:r>
      <w:r w:rsidR="00D11F8C">
        <w:t>rs or facilitators be used?  [X</w:t>
      </w:r>
      <w:r>
        <w:t>] Yes [  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A4C87" w:rsidRPr="00F24CFC" w:rsidRDefault="003A4C87" w:rsidP="0024521E">
      <w:pPr>
        <w:rPr>
          <w:b/>
        </w:rPr>
      </w:pPr>
    </w:p>
    <w:p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RDefault="00B46F2C" w:rsidP="00F24CFC">
      <w:pPr>
        <w:rPr>
          <w:b/>
        </w:rPr>
      </w:pPr>
    </w:p>
    <w:p w:rsidR="00B46F2C" w:rsidRDefault="003A4C87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5679629" wp14:editId="71F84B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DEE22B4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B46F2C" w:rsidRPr="008F50D4" w:rsidRDefault="00B46F2C" w:rsidP="00F24CFC"/>
    <w:p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RDefault="00B46F2C" w:rsidP="00F24CFC">
      <w:pPr>
        <w:rPr>
          <w:b/>
        </w:rPr>
      </w:pP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RDefault="00B46F2C" w:rsidP="00F24CFC">
      <w:pPr>
        <w:rPr>
          <w:sz w:val="16"/>
          <w:szCs w:val="16"/>
        </w:rPr>
      </w:pPr>
    </w:p>
    <w:p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RDefault="00B46F2C" w:rsidP="00F24CFC"/>
    <w:p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RDefault="00B46F2C" w:rsidP="00F24CFC">
      <w:pPr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>BURDEN HOURS:</w:t>
      </w:r>
    </w:p>
    <w:p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RDefault="00B46F2C" w:rsidP="00F24CFC">
      <w:pPr>
        <w:keepNext/>
        <w:keepLines/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RDefault="00B46F2C" w:rsidP="00F24CFC">
      <w:pPr>
        <w:rPr>
          <w:b/>
          <w:bCs/>
          <w:u w:val="single"/>
        </w:rPr>
      </w:pPr>
    </w:p>
    <w:p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24CFC">
      <w:pPr>
        <w:rPr>
          <w:b/>
        </w:rPr>
      </w:pPr>
    </w:p>
    <w:p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RDefault="00B46F2C" w:rsidP="00F24CFC">
      <w:pPr>
        <w:rPr>
          <w:b/>
        </w:rPr>
      </w:pPr>
    </w:p>
    <w:p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3A4C87" w:rsidRDefault="003A4C87" w:rsidP="00F24CFC">
      <w:pPr>
        <w:rPr>
          <w:b/>
        </w:rPr>
      </w:pPr>
    </w:p>
    <w:p w:rsidR="00B46F2C" w:rsidRDefault="00B46F2C" w:rsidP="00EF0E2B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EF0E2B" w:rsidRDefault="00EF0E2B" w:rsidP="00EF0E2B">
      <w:pPr>
        <w:rPr>
          <w:b/>
        </w:rPr>
      </w:pPr>
    </w:p>
    <w:p w:rsidR="00EF0E2B" w:rsidRPr="00EF0E2B" w:rsidRDefault="00EF0E2B" w:rsidP="00EF0E2B">
      <w:r>
        <w:t>Please see Attachment A, which describes suggested questions to be used in semi-structured discussions with partners.</w:t>
      </w:r>
    </w:p>
    <w:sectPr w:rsidR="00EF0E2B" w:rsidRPr="00EF0E2B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F2C" w:rsidRDefault="00B46F2C">
      <w:r>
        <w:separator/>
      </w:r>
    </w:p>
  </w:endnote>
  <w:endnote w:type="continuationSeparator" w:id="0">
    <w:p w:rsidR="00B46F2C" w:rsidRDefault="00B4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C008A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B695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F2C" w:rsidRDefault="00B46F2C">
      <w:r>
        <w:separator/>
      </w:r>
    </w:p>
  </w:footnote>
  <w:footnote w:type="continuationSeparator" w:id="0">
    <w:p w:rsidR="00B46F2C" w:rsidRDefault="00B46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011BC"/>
    <w:rsid w:val="001927A4"/>
    <w:rsid w:val="00194AC6"/>
    <w:rsid w:val="001A23B0"/>
    <w:rsid w:val="001A25CC"/>
    <w:rsid w:val="001A6B1A"/>
    <w:rsid w:val="001B0AAA"/>
    <w:rsid w:val="001C39F7"/>
    <w:rsid w:val="00237B48"/>
    <w:rsid w:val="0024521E"/>
    <w:rsid w:val="002530D8"/>
    <w:rsid w:val="00263C3D"/>
    <w:rsid w:val="00274D0B"/>
    <w:rsid w:val="002821FF"/>
    <w:rsid w:val="002B3C95"/>
    <w:rsid w:val="002D0B92"/>
    <w:rsid w:val="003675DB"/>
    <w:rsid w:val="003A4C87"/>
    <w:rsid w:val="003D5BBE"/>
    <w:rsid w:val="003E3C61"/>
    <w:rsid w:val="003F1C5B"/>
    <w:rsid w:val="0041337D"/>
    <w:rsid w:val="00434E33"/>
    <w:rsid w:val="00441434"/>
    <w:rsid w:val="0045264C"/>
    <w:rsid w:val="0045303D"/>
    <w:rsid w:val="004876EC"/>
    <w:rsid w:val="004B3690"/>
    <w:rsid w:val="004D6E14"/>
    <w:rsid w:val="005009B0"/>
    <w:rsid w:val="00512CA7"/>
    <w:rsid w:val="005A1006"/>
    <w:rsid w:val="005E714A"/>
    <w:rsid w:val="006140A0"/>
    <w:rsid w:val="00636621"/>
    <w:rsid w:val="00642B49"/>
    <w:rsid w:val="006832D9"/>
    <w:rsid w:val="00692C73"/>
    <w:rsid w:val="0069403B"/>
    <w:rsid w:val="006D108E"/>
    <w:rsid w:val="006D3C13"/>
    <w:rsid w:val="006F3DDE"/>
    <w:rsid w:val="00704678"/>
    <w:rsid w:val="007425E7"/>
    <w:rsid w:val="00754F1F"/>
    <w:rsid w:val="007768EB"/>
    <w:rsid w:val="0077759E"/>
    <w:rsid w:val="007B05B4"/>
    <w:rsid w:val="00802607"/>
    <w:rsid w:val="008101A5"/>
    <w:rsid w:val="00822664"/>
    <w:rsid w:val="00843796"/>
    <w:rsid w:val="00876771"/>
    <w:rsid w:val="00893A1A"/>
    <w:rsid w:val="00895229"/>
    <w:rsid w:val="008B6958"/>
    <w:rsid w:val="008F0203"/>
    <w:rsid w:val="008F50D4"/>
    <w:rsid w:val="009239AA"/>
    <w:rsid w:val="00925368"/>
    <w:rsid w:val="00935ADA"/>
    <w:rsid w:val="00943679"/>
    <w:rsid w:val="00946B6C"/>
    <w:rsid w:val="00955A71"/>
    <w:rsid w:val="0096108F"/>
    <w:rsid w:val="009C13B9"/>
    <w:rsid w:val="009D01A2"/>
    <w:rsid w:val="009F5923"/>
    <w:rsid w:val="00A30EAF"/>
    <w:rsid w:val="00A34603"/>
    <w:rsid w:val="00A403BB"/>
    <w:rsid w:val="00A674DF"/>
    <w:rsid w:val="00A83AA6"/>
    <w:rsid w:val="00AE1809"/>
    <w:rsid w:val="00B02A63"/>
    <w:rsid w:val="00B46F2C"/>
    <w:rsid w:val="00B80D76"/>
    <w:rsid w:val="00BA2105"/>
    <w:rsid w:val="00BA7E06"/>
    <w:rsid w:val="00BB43B5"/>
    <w:rsid w:val="00BB6219"/>
    <w:rsid w:val="00BD290F"/>
    <w:rsid w:val="00BD7762"/>
    <w:rsid w:val="00C008AA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11F8C"/>
    <w:rsid w:val="00D24698"/>
    <w:rsid w:val="00D6383F"/>
    <w:rsid w:val="00D71221"/>
    <w:rsid w:val="00DB4BC1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E054C"/>
    <w:rsid w:val="00EF0E2B"/>
    <w:rsid w:val="00EF2095"/>
    <w:rsid w:val="00F0623B"/>
    <w:rsid w:val="00F06866"/>
    <w:rsid w:val="00F15956"/>
    <w:rsid w:val="00F24CFC"/>
    <w:rsid w:val="00F3170F"/>
    <w:rsid w:val="00F3472B"/>
    <w:rsid w:val="00F4017B"/>
    <w:rsid w:val="00F976B0"/>
    <w:rsid w:val="00FA6DE7"/>
    <w:rsid w:val="00FB3ED6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2018-05-10T18:12:00Z</dcterms:created>
  <dcterms:modified xsi:type="dcterms:W3CDTF">2018-05-10T18:12:00Z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