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315" w:rsidRPr="00801C14" w:rsidRDefault="00792F83" w:rsidP="00C75A49">
      <w:r w:rsidRPr="00792F83">
        <w:rPr>
          <w:noProof/>
        </w:rPr>
        <w:drawing>
          <wp:inline distT="0" distB="0" distL="0" distR="0">
            <wp:extent cx="9516836" cy="5287175"/>
            <wp:effectExtent l="0" t="0" r="8164" b="0"/>
            <wp:docPr id="5"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887201" cy="6593772"/>
                      <a:chOff x="380999" y="457200"/>
                      <a:chExt cx="11887201" cy="6593772"/>
                    </a:xfrm>
                  </a:grpSpPr>
                  <a:sp>
                    <a:nvSpPr>
                      <a:cNvPr id="124" name="Rectangle 123"/>
                      <a:cNvSpPr/>
                    </a:nvSpPr>
                    <a:spPr>
                      <a:xfrm>
                        <a:off x="381000" y="457200"/>
                        <a:ext cx="11887200" cy="228600"/>
                      </a:xfrm>
                      <a:prstGeom prst="rect">
                        <a:avLst/>
                      </a:prstGeom>
                      <a:solidFill>
                        <a:srgbClr val="9BBB59"/>
                      </a:solidFill>
                      <a:ln>
                        <a:noFill/>
                      </a:ln>
                    </a:spPr>
                    <a:txSp>
                      <a:txBody>
                        <a:bodyPr rtlCol="0" anchor="ctr"/>
                        <a:lstStyle>
                          <a:defPPr>
                            <a:defRPr lang="en-US"/>
                          </a:defPPr>
                          <a:lvl1pPr marL="0" algn="l" defTabSz="1018824" rtl="0" eaLnBrk="1" latinLnBrk="0" hangingPunct="1">
                            <a:defRPr sz="2000" kern="1200">
                              <a:solidFill>
                                <a:schemeClr val="lt1"/>
                              </a:solidFill>
                              <a:latin typeface="+mn-lt"/>
                              <a:ea typeface="+mn-ea"/>
                              <a:cs typeface="+mn-cs"/>
                            </a:defRPr>
                          </a:lvl1pPr>
                          <a:lvl2pPr marL="509412" algn="l" defTabSz="1018824" rtl="0" eaLnBrk="1" latinLnBrk="0" hangingPunct="1">
                            <a:defRPr sz="2000" kern="1200">
                              <a:solidFill>
                                <a:schemeClr val="lt1"/>
                              </a:solidFill>
                              <a:latin typeface="+mn-lt"/>
                              <a:ea typeface="+mn-ea"/>
                              <a:cs typeface="+mn-cs"/>
                            </a:defRPr>
                          </a:lvl2pPr>
                          <a:lvl3pPr marL="1018824" algn="l" defTabSz="1018824" rtl="0" eaLnBrk="1" latinLnBrk="0" hangingPunct="1">
                            <a:defRPr sz="2000" kern="1200">
                              <a:solidFill>
                                <a:schemeClr val="lt1"/>
                              </a:solidFill>
                              <a:latin typeface="+mn-lt"/>
                              <a:ea typeface="+mn-ea"/>
                              <a:cs typeface="+mn-cs"/>
                            </a:defRPr>
                          </a:lvl3pPr>
                          <a:lvl4pPr marL="1528237" algn="l" defTabSz="1018824" rtl="0" eaLnBrk="1" latinLnBrk="0" hangingPunct="1">
                            <a:defRPr sz="2000" kern="1200">
                              <a:solidFill>
                                <a:schemeClr val="lt1"/>
                              </a:solidFill>
                              <a:latin typeface="+mn-lt"/>
                              <a:ea typeface="+mn-ea"/>
                              <a:cs typeface="+mn-cs"/>
                            </a:defRPr>
                          </a:lvl4pPr>
                          <a:lvl5pPr marL="2037649" algn="l" defTabSz="1018824" rtl="0" eaLnBrk="1" latinLnBrk="0" hangingPunct="1">
                            <a:defRPr sz="2000" kern="1200">
                              <a:solidFill>
                                <a:schemeClr val="lt1"/>
                              </a:solidFill>
                              <a:latin typeface="+mn-lt"/>
                              <a:ea typeface="+mn-ea"/>
                              <a:cs typeface="+mn-cs"/>
                            </a:defRPr>
                          </a:lvl5pPr>
                          <a:lvl6pPr marL="2547061" algn="l" defTabSz="1018824" rtl="0" eaLnBrk="1" latinLnBrk="0" hangingPunct="1">
                            <a:defRPr sz="2000" kern="1200">
                              <a:solidFill>
                                <a:schemeClr val="lt1"/>
                              </a:solidFill>
                              <a:latin typeface="+mn-lt"/>
                              <a:ea typeface="+mn-ea"/>
                              <a:cs typeface="+mn-cs"/>
                            </a:defRPr>
                          </a:lvl6pPr>
                          <a:lvl7pPr marL="3056473" algn="l" defTabSz="1018824" rtl="0" eaLnBrk="1" latinLnBrk="0" hangingPunct="1">
                            <a:defRPr sz="2000" kern="1200">
                              <a:solidFill>
                                <a:schemeClr val="lt1"/>
                              </a:solidFill>
                              <a:latin typeface="+mn-lt"/>
                              <a:ea typeface="+mn-ea"/>
                              <a:cs typeface="+mn-cs"/>
                            </a:defRPr>
                          </a:lvl7pPr>
                          <a:lvl8pPr marL="3565886" algn="l" defTabSz="1018824" rtl="0" eaLnBrk="1" latinLnBrk="0" hangingPunct="1">
                            <a:defRPr sz="2000" kern="1200">
                              <a:solidFill>
                                <a:schemeClr val="lt1"/>
                              </a:solidFill>
                              <a:latin typeface="+mn-lt"/>
                              <a:ea typeface="+mn-ea"/>
                              <a:cs typeface="+mn-cs"/>
                            </a:defRPr>
                          </a:lvl8pPr>
                          <a:lvl9pPr marL="4075298" algn="l" defTabSz="1018824" rtl="0" eaLnBrk="1" latinLnBrk="0" hangingPunct="1">
                            <a:defRPr sz="20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25" name="TextBox 124"/>
                      <a:cNvSpPr txBox="1"/>
                    </a:nvSpPr>
                    <a:spPr>
                      <a:xfrm>
                        <a:off x="393700" y="457200"/>
                        <a:ext cx="7391400" cy="215444"/>
                      </a:xfrm>
                      <a:prstGeom prst="rect">
                        <a:avLst/>
                      </a:prstGeom>
                      <a:noFill/>
                    </a:spPr>
                    <a:txSp>
                      <a:txBody>
                        <a:bodyPr wrap="square"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r>
                            <a:rPr lang="en-US" sz="800" dirty="0" smtClean="0">
                              <a:latin typeface="Arial" pitchFamily="34" charset="0"/>
                              <a:cs typeface="Arial" pitchFamily="34" charset="0"/>
                            </a:rPr>
                            <a:t>HOME | QUESTIONNAIRE (PDF 238 KB) | DEFINITIONS | MATHEMATICA</a:t>
                          </a:r>
                          <a:endParaRPr lang="en-US" sz="800" dirty="0">
                            <a:latin typeface="Arial" pitchFamily="34" charset="0"/>
                            <a:cs typeface="Arial" pitchFamily="34" charset="0"/>
                          </a:endParaRPr>
                        </a:p>
                      </a:txBody>
                      <a:useSpRect/>
                    </a:txSp>
                  </a:sp>
                  <a:sp>
                    <a:nvSpPr>
                      <a:cNvPr id="126" name="TextBox 125"/>
                      <a:cNvSpPr txBox="1"/>
                    </a:nvSpPr>
                    <a:spPr>
                      <a:xfrm>
                        <a:off x="393699" y="846147"/>
                        <a:ext cx="11874501" cy="754053"/>
                      </a:xfrm>
                      <a:prstGeom prst="rect">
                        <a:avLst/>
                      </a:prstGeom>
                      <a:noFill/>
                    </a:spPr>
                    <a:txSp>
                      <a:txBody>
                        <a:bodyPr wrap="square"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pPr algn="ctr">
                            <a:spcAft>
                              <a:spcPts val="600"/>
                            </a:spcAft>
                          </a:pPr>
                          <a:r>
                            <a:rPr lang="en-US" sz="1200" b="1" dirty="0" smtClean="0">
                              <a:latin typeface="Arial" pitchFamily="34" charset="0"/>
                              <a:cs typeface="Arial" pitchFamily="34" charset="0"/>
                            </a:rPr>
                            <a:t>2014 National Mental Health Services Survey (N-MHSS)</a:t>
                          </a:r>
                        </a:p>
                        <a:p>
                          <a:pPr algn="ctr">
                            <a:spcAft>
                              <a:spcPts val="600"/>
                            </a:spcAft>
                          </a:pPr>
                          <a:r>
                            <a:rPr lang="en-US" sz="1000" b="1" dirty="0" smtClean="0">
                              <a:latin typeface="Arial" pitchFamily="34" charset="0"/>
                              <a:cs typeface="Arial" pitchFamily="34" charset="0"/>
                            </a:rPr>
                            <a:t>Sponsored by the U.S. Department of Health and Human Services</a:t>
                          </a:r>
                        </a:p>
                        <a:p>
                          <a:pPr algn="ctr">
                            <a:spcAft>
                              <a:spcPts val="600"/>
                            </a:spcAft>
                          </a:pPr>
                          <a:r>
                            <a:rPr lang="en-US" sz="1000" b="1" dirty="0" smtClean="0">
                              <a:latin typeface="Arial" pitchFamily="34" charset="0"/>
                              <a:cs typeface="Arial" pitchFamily="34" charset="0"/>
                            </a:rPr>
                            <a:t>Substance Abuse and Mental Health Services Administration (SAMHSA)</a:t>
                          </a:r>
                          <a:endParaRPr lang="en-US" sz="1000" b="1" dirty="0">
                            <a:latin typeface="Arial" pitchFamily="34" charset="0"/>
                            <a:cs typeface="Arial" pitchFamily="34" charset="0"/>
                          </a:endParaRPr>
                        </a:p>
                      </a:txBody>
                      <a:useSpRect/>
                    </a:txSp>
                  </a:sp>
                  <a:sp>
                    <a:nvSpPr>
                      <a:cNvPr id="127" name="Rectangle 126"/>
                      <a:cNvSpPr/>
                    </a:nvSpPr>
                    <a:spPr>
                      <a:xfrm>
                        <a:off x="381000" y="1698171"/>
                        <a:ext cx="11887200" cy="54429"/>
                      </a:xfrm>
                      <a:prstGeom prst="rect">
                        <a:avLst/>
                      </a:prstGeom>
                      <a:solidFill>
                        <a:srgbClr val="9BBB59"/>
                      </a:solidFill>
                      <a:ln>
                        <a:noFill/>
                      </a:ln>
                    </a:spPr>
                    <a:txSp>
                      <a:txBody>
                        <a:bodyPr rtlCol="0" anchor="ctr"/>
                        <a:lstStyle>
                          <a:defPPr>
                            <a:defRPr lang="en-US"/>
                          </a:defPPr>
                          <a:lvl1pPr marL="0" algn="l" defTabSz="1018824" rtl="0" eaLnBrk="1" latinLnBrk="0" hangingPunct="1">
                            <a:defRPr sz="2000" kern="1200">
                              <a:solidFill>
                                <a:schemeClr val="lt1"/>
                              </a:solidFill>
                              <a:latin typeface="+mn-lt"/>
                              <a:ea typeface="+mn-ea"/>
                              <a:cs typeface="+mn-cs"/>
                            </a:defRPr>
                          </a:lvl1pPr>
                          <a:lvl2pPr marL="509412" algn="l" defTabSz="1018824" rtl="0" eaLnBrk="1" latinLnBrk="0" hangingPunct="1">
                            <a:defRPr sz="2000" kern="1200">
                              <a:solidFill>
                                <a:schemeClr val="lt1"/>
                              </a:solidFill>
                              <a:latin typeface="+mn-lt"/>
                              <a:ea typeface="+mn-ea"/>
                              <a:cs typeface="+mn-cs"/>
                            </a:defRPr>
                          </a:lvl2pPr>
                          <a:lvl3pPr marL="1018824" algn="l" defTabSz="1018824" rtl="0" eaLnBrk="1" latinLnBrk="0" hangingPunct="1">
                            <a:defRPr sz="2000" kern="1200">
                              <a:solidFill>
                                <a:schemeClr val="lt1"/>
                              </a:solidFill>
                              <a:latin typeface="+mn-lt"/>
                              <a:ea typeface="+mn-ea"/>
                              <a:cs typeface="+mn-cs"/>
                            </a:defRPr>
                          </a:lvl3pPr>
                          <a:lvl4pPr marL="1528237" algn="l" defTabSz="1018824" rtl="0" eaLnBrk="1" latinLnBrk="0" hangingPunct="1">
                            <a:defRPr sz="2000" kern="1200">
                              <a:solidFill>
                                <a:schemeClr val="lt1"/>
                              </a:solidFill>
                              <a:latin typeface="+mn-lt"/>
                              <a:ea typeface="+mn-ea"/>
                              <a:cs typeface="+mn-cs"/>
                            </a:defRPr>
                          </a:lvl4pPr>
                          <a:lvl5pPr marL="2037649" algn="l" defTabSz="1018824" rtl="0" eaLnBrk="1" latinLnBrk="0" hangingPunct="1">
                            <a:defRPr sz="2000" kern="1200">
                              <a:solidFill>
                                <a:schemeClr val="lt1"/>
                              </a:solidFill>
                              <a:latin typeface="+mn-lt"/>
                              <a:ea typeface="+mn-ea"/>
                              <a:cs typeface="+mn-cs"/>
                            </a:defRPr>
                          </a:lvl5pPr>
                          <a:lvl6pPr marL="2547061" algn="l" defTabSz="1018824" rtl="0" eaLnBrk="1" latinLnBrk="0" hangingPunct="1">
                            <a:defRPr sz="2000" kern="1200">
                              <a:solidFill>
                                <a:schemeClr val="lt1"/>
                              </a:solidFill>
                              <a:latin typeface="+mn-lt"/>
                              <a:ea typeface="+mn-ea"/>
                              <a:cs typeface="+mn-cs"/>
                            </a:defRPr>
                          </a:lvl6pPr>
                          <a:lvl7pPr marL="3056473" algn="l" defTabSz="1018824" rtl="0" eaLnBrk="1" latinLnBrk="0" hangingPunct="1">
                            <a:defRPr sz="2000" kern="1200">
                              <a:solidFill>
                                <a:schemeClr val="lt1"/>
                              </a:solidFill>
                              <a:latin typeface="+mn-lt"/>
                              <a:ea typeface="+mn-ea"/>
                              <a:cs typeface="+mn-cs"/>
                            </a:defRPr>
                          </a:lvl7pPr>
                          <a:lvl8pPr marL="3565886" algn="l" defTabSz="1018824" rtl="0" eaLnBrk="1" latinLnBrk="0" hangingPunct="1">
                            <a:defRPr sz="2000" kern="1200">
                              <a:solidFill>
                                <a:schemeClr val="lt1"/>
                              </a:solidFill>
                              <a:latin typeface="+mn-lt"/>
                              <a:ea typeface="+mn-ea"/>
                              <a:cs typeface="+mn-cs"/>
                            </a:defRPr>
                          </a:lvl8pPr>
                          <a:lvl9pPr marL="4075298" algn="l" defTabSz="1018824" rtl="0" eaLnBrk="1" latinLnBrk="0" hangingPunct="1">
                            <a:defRPr sz="20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28" name="Rectangle 127"/>
                      <a:cNvSpPr/>
                    </a:nvSpPr>
                    <a:spPr>
                      <a:xfrm>
                        <a:off x="381000" y="1828800"/>
                        <a:ext cx="2438400" cy="2362200"/>
                      </a:xfrm>
                      <a:prstGeom prst="rect">
                        <a:avLst/>
                      </a:prstGeom>
                      <a:solidFill>
                        <a:srgbClr val="9BBB59"/>
                      </a:solidFill>
                      <a:ln>
                        <a:noFill/>
                      </a:ln>
                    </a:spPr>
                    <a:txSp>
                      <a:txBody>
                        <a:bodyPr rtlCol="0" anchor="ctr"/>
                        <a:lstStyle>
                          <a:defPPr>
                            <a:defRPr lang="en-US"/>
                          </a:defPPr>
                          <a:lvl1pPr marL="0" algn="l" defTabSz="1018824" rtl="0" eaLnBrk="1" latinLnBrk="0" hangingPunct="1">
                            <a:defRPr sz="2000" kern="1200">
                              <a:solidFill>
                                <a:schemeClr val="lt1"/>
                              </a:solidFill>
                              <a:latin typeface="+mn-lt"/>
                              <a:ea typeface="+mn-ea"/>
                              <a:cs typeface="+mn-cs"/>
                            </a:defRPr>
                          </a:lvl1pPr>
                          <a:lvl2pPr marL="509412" algn="l" defTabSz="1018824" rtl="0" eaLnBrk="1" latinLnBrk="0" hangingPunct="1">
                            <a:defRPr sz="2000" kern="1200">
                              <a:solidFill>
                                <a:schemeClr val="lt1"/>
                              </a:solidFill>
                              <a:latin typeface="+mn-lt"/>
                              <a:ea typeface="+mn-ea"/>
                              <a:cs typeface="+mn-cs"/>
                            </a:defRPr>
                          </a:lvl2pPr>
                          <a:lvl3pPr marL="1018824" algn="l" defTabSz="1018824" rtl="0" eaLnBrk="1" latinLnBrk="0" hangingPunct="1">
                            <a:defRPr sz="2000" kern="1200">
                              <a:solidFill>
                                <a:schemeClr val="lt1"/>
                              </a:solidFill>
                              <a:latin typeface="+mn-lt"/>
                              <a:ea typeface="+mn-ea"/>
                              <a:cs typeface="+mn-cs"/>
                            </a:defRPr>
                          </a:lvl3pPr>
                          <a:lvl4pPr marL="1528237" algn="l" defTabSz="1018824" rtl="0" eaLnBrk="1" latinLnBrk="0" hangingPunct="1">
                            <a:defRPr sz="2000" kern="1200">
                              <a:solidFill>
                                <a:schemeClr val="lt1"/>
                              </a:solidFill>
                              <a:latin typeface="+mn-lt"/>
                              <a:ea typeface="+mn-ea"/>
                              <a:cs typeface="+mn-cs"/>
                            </a:defRPr>
                          </a:lvl4pPr>
                          <a:lvl5pPr marL="2037649" algn="l" defTabSz="1018824" rtl="0" eaLnBrk="1" latinLnBrk="0" hangingPunct="1">
                            <a:defRPr sz="2000" kern="1200">
                              <a:solidFill>
                                <a:schemeClr val="lt1"/>
                              </a:solidFill>
                              <a:latin typeface="+mn-lt"/>
                              <a:ea typeface="+mn-ea"/>
                              <a:cs typeface="+mn-cs"/>
                            </a:defRPr>
                          </a:lvl5pPr>
                          <a:lvl6pPr marL="2547061" algn="l" defTabSz="1018824" rtl="0" eaLnBrk="1" latinLnBrk="0" hangingPunct="1">
                            <a:defRPr sz="2000" kern="1200">
                              <a:solidFill>
                                <a:schemeClr val="lt1"/>
                              </a:solidFill>
                              <a:latin typeface="+mn-lt"/>
                              <a:ea typeface="+mn-ea"/>
                              <a:cs typeface="+mn-cs"/>
                            </a:defRPr>
                          </a:lvl6pPr>
                          <a:lvl7pPr marL="3056473" algn="l" defTabSz="1018824" rtl="0" eaLnBrk="1" latinLnBrk="0" hangingPunct="1">
                            <a:defRPr sz="2000" kern="1200">
                              <a:solidFill>
                                <a:schemeClr val="lt1"/>
                              </a:solidFill>
                              <a:latin typeface="+mn-lt"/>
                              <a:ea typeface="+mn-ea"/>
                              <a:cs typeface="+mn-cs"/>
                            </a:defRPr>
                          </a:lvl7pPr>
                          <a:lvl8pPr marL="3565886" algn="l" defTabSz="1018824" rtl="0" eaLnBrk="1" latinLnBrk="0" hangingPunct="1">
                            <a:defRPr sz="2000" kern="1200">
                              <a:solidFill>
                                <a:schemeClr val="lt1"/>
                              </a:solidFill>
                              <a:latin typeface="+mn-lt"/>
                              <a:ea typeface="+mn-ea"/>
                              <a:cs typeface="+mn-cs"/>
                            </a:defRPr>
                          </a:lvl8pPr>
                          <a:lvl9pPr marL="4075298" algn="l" defTabSz="1018824" rtl="0" eaLnBrk="1" latinLnBrk="0" hangingPunct="1">
                            <a:defRPr sz="20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29" name="TextBox 128"/>
                      <a:cNvSpPr txBox="1"/>
                    </a:nvSpPr>
                    <a:spPr>
                      <a:xfrm>
                        <a:off x="380999" y="1828799"/>
                        <a:ext cx="2328986" cy="230832"/>
                      </a:xfrm>
                      <a:prstGeom prst="rect">
                        <a:avLst/>
                      </a:prstGeom>
                      <a:noFill/>
                    </a:spPr>
                    <a:txSp>
                      <a:txBody>
                        <a:bodyPr wrap="square" lIns="18288"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r>
                            <a:rPr lang="en-US" sz="900" dirty="0" smtClean="0">
                              <a:latin typeface="Arial" pitchFamily="34" charset="0"/>
                              <a:cs typeface="Arial" pitchFamily="34" charset="0"/>
                            </a:rPr>
                            <a:t>HOME</a:t>
                          </a:r>
                          <a:endParaRPr lang="en-US" sz="900" dirty="0">
                            <a:latin typeface="Arial" pitchFamily="34" charset="0"/>
                            <a:cs typeface="Arial" pitchFamily="34" charset="0"/>
                          </a:endParaRPr>
                        </a:p>
                      </a:txBody>
                      <a:useSpRect/>
                    </a:txSp>
                  </a:sp>
                  <a:sp>
                    <a:nvSpPr>
                      <a:cNvPr id="130" name="TextBox 129"/>
                      <a:cNvSpPr txBox="1"/>
                    </a:nvSpPr>
                    <a:spPr>
                      <a:xfrm>
                        <a:off x="380999" y="2042160"/>
                        <a:ext cx="2328986" cy="228600"/>
                      </a:xfrm>
                      <a:prstGeom prst="rect">
                        <a:avLst/>
                      </a:prstGeom>
                      <a:noFill/>
                    </a:spPr>
                    <a:txSp>
                      <a:txBody>
                        <a:bodyPr wrap="square" lIns="18288"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r>
                            <a:rPr lang="en-US" sz="900" dirty="0" smtClean="0">
                              <a:latin typeface="Arial" pitchFamily="34" charset="0"/>
                              <a:cs typeface="Arial" pitchFamily="34" charset="0"/>
                            </a:rPr>
                            <a:t>LETTERS TO FACILITIES</a:t>
                          </a:r>
                          <a:endParaRPr lang="en-US" sz="900" dirty="0">
                            <a:latin typeface="Arial" pitchFamily="34" charset="0"/>
                            <a:cs typeface="Arial" pitchFamily="34" charset="0"/>
                          </a:endParaRPr>
                        </a:p>
                      </a:txBody>
                      <a:useSpRect/>
                    </a:txSp>
                  </a:sp>
                  <a:sp>
                    <a:nvSpPr>
                      <a:cNvPr id="131" name="Rectangle 130"/>
                      <a:cNvSpPr/>
                    </a:nvSpPr>
                    <a:spPr>
                      <a:xfrm>
                        <a:off x="381000" y="2278380"/>
                        <a:ext cx="2438400" cy="228600"/>
                      </a:xfrm>
                      <a:prstGeom prst="rect">
                        <a:avLst/>
                      </a:prstGeom>
                      <a:solidFill>
                        <a:srgbClr val="FFFF99"/>
                      </a:solidFill>
                      <a:ln>
                        <a:noFill/>
                      </a:ln>
                    </a:spPr>
                    <a:txSp>
                      <a:txBody>
                        <a:bodyPr rtlCol="0" anchor="ctr"/>
                        <a:lstStyle>
                          <a:defPPr>
                            <a:defRPr lang="en-US"/>
                          </a:defPPr>
                          <a:lvl1pPr marL="0" algn="l" defTabSz="1018824" rtl="0" eaLnBrk="1" latinLnBrk="0" hangingPunct="1">
                            <a:defRPr sz="2000" kern="1200">
                              <a:solidFill>
                                <a:schemeClr val="lt1"/>
                              </a:solidFill>
                              <a:latin typeface="+mn-lt"/>
                              <a:ea typeface="+mn-ea"/>
                              <a:cs typeface="+mn-cs"/>
                            </a:defRPr>
                          </a:lvl1pPr>
                          <a:lvl2pPr marL="509412" algn="l" defTabSz="1018824" rtl="0" eaLnBrk="1" latinLnBrk="0" hangingPunct="1">
                            <a:defRPr sz="2000" kern="1200">
                              <a:solidFill>
                                <a:schemeClr val="lt1"/>
                              </a:solidFill>
                              <a:latin typeface="+mn-lt"/>
                              <a:ea typeface="+mn-ea"/>
                              <a:cs typeface="+mn-cs"/>
                            </a:defRPr>
                          </a:lvl2pPr>
                          <a:lvl3pPr marL="1018824" algn="l" defTabSz="1018824" rtl="0" eaLnBrk="1" latinLnBrk="0" hangingPunct="1">
                            <a:defRPr sz="2000" kern="1200">
                              <a:solidFill>
                                <a:schemeClr val="lt1"/>
                              </a:solidFill>
                              <a:latin typeface="+mn-lt"/>
                              <a:ea typeface="+mn-ea"/>
                              <a:cs typeface="+mn-cs"/>
                            </a:defRPr>
                          </a:lvl3pPr>
                          <a:lvl4pPr marL="1528237" algn="l" defTabSz="1018824" rtl="0" eaLnBrk="1" latinLnBrk="0" hangingPunct="1">
                            <a:defRPr sz="2000" kern="1200">
                              <a:solidFill>
                                <a:schemeClr val="lt1"/>
                              </a:solidFill>
                              <a:latin typeface="+mn-lt"/>
                              <a:ea typeface="+mn-ea"/>
                              <a:cs typeface="+mn-cs"/>
                            </a:defRPr>
                          </a:lvl4pPr>
                          <a:lvl5pPr marL="2037649" algn="l" defTabSz="1018824" rtl="0" eaLnBrk="1" latinLnBrk="0" hangingPunct="1">
                            <a:defRPr sz="2000" kern="1200">
                              <a:solidFill>
                                <a:schemeClr val="lt1"/>
                              </a:solidFill>
                              <a:latin typeface="+mn-lt"/>
                              <a:ea typeface="+mn-ea"/>
                              <a:cs typeface="+mn-cs"/>
                            </a:defRPr>
                          </a:lvl5pPr>
                          <a:lvl6pPr marL="2547061" algn="l" defTabSz="1018824" rtl="0" eaLnBrk="1" latinLnBrk="0" hangingPunct="1">
                            <a:defRPr sz="2000" kern="1200">
                              <a:solidFill>
                                <a:schemeClr val="lt1"/>
                              </a:solidFill>
                              <a:latin typeface="+mn-lt"/>
                              <a:ea typeface="+mn-ea"/>
                              <a:cs typeface="+mn-cs"/>
                            </a:defRPr>
                          </a:lvl6pPr>
                          <a:lvl7pPr marL="3056473" algn="l" defTabSz="1018824" rtl="0" eaLnBrk="1" latinLnBrk="0" hangingPunct="1">
                            <a:defRPr sz="2000" kern="1200">
                              <a:solidFill>
                                <a:schemeClr val="lt1"/>
                              </a:solidFill>
                              <a:latin typeface="+mn-lt"/>
                              <a:ea typeface="+mn-ea"/>
                              <a:cs typeface="+mn-cs"/>
                            </a:defRPr>
                          </a:lvl7pPr>
                          <a:lvl8pPr marL="3565886" algn="l" defTabSz="1018824" rtl="0" eaLnBrk="1" latinLnBrk="0" hangingPunct="1">
                            <a:defRPr sz="2000" kern="1200">
                              <a:solidFill>
                                <a:schemeClr val="lt1"/>
                              </a:solidFill>
                              <a:latin typeface="+mn-lt"/>
                              <a:ea typeface="+mn-ea"/>
                              <a:cs typeface="+mn-cs"/>
                            </a:defRPr>
                          </a:lvl8pPr>
                          <a:lvl9pPr marL="4075298" algn="l" defTabSz="1018824" rtl="0" eaLnBrk="1" latinLnBrk="0" hangingPunct="1">
                            <a:defRPr sz="20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2" name="TextBox 131"/>
                      <a:cNvSpPr txBox="1"/>
                    </a:nvSpPr>
                    <a:spPr>
                      <a:xfrm>
                        <a:off x="380999" y="2278380"/>
                        <a:ext cx="2328986" cy="230832"/>
                      </a:xfrm>
                      <a:prstGeom prst="rect">
                        <a:avLst/>
                      </a:prstGeom>
                      <a:noFill/>
                    </a:spPr>
                    <a:txSp>
                      <a:txBody>
                        <a:bodyPr wrap="square" lIns="18288"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pPr>
                            <a:tabLst>
                              <a:tab pos="174625" algn="l"/>
                              <a:tab pos="228600" algn="l"/>
                            </a:tabLst>
                          </a:pPr>
                          <a:r>
                            <a:rPr lang="en-US" sz="900" dirty="0" smtClean="0">
                              <a:latin typeface="Arial" pitchFamily="34" charset="0"/>
                              <a:cs typeface="Arial" pitchFamily="34" charset="0"/>
                            </a:rPr>
                            <a:t>	Advance Letter (PDF 64KB)</a:t>
                          </a:r>
                          <a:endParaRPr lang="en-US" sz="900" dirty="0">
                            <a:latin typeface="Arial" pitchFamily="34" charset="0"/>
                            <a:cs typeface="Arial" pitchFamily="34" charset="0"/>
                          </a:endParaRPr>
                        </a:p>
                      </a:txBody>
                      <a:useSpRect/>
                    </a:txSp>
                  </a:sp>
                  <a:cxnSp>
                    <a:nvCxnSpPr>
                      <a:cNvPr id="133" name="Straight Connector 132"/>
                      <a:cNvCxnSpPr/>
                    </a:nvCxnSpPr>
                    <a:spPr>
                      <a:xfrm>
                        <a:off x="381000" y="2038356"/>
                        <a:ext cx="2438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4" name="Straight Connector 133"/>
                      <a:cNvCxnSpPr/>
                    </a:nvCxnSpPr>
                    <a:spPr>
                      <a:xfrm>
                        <a:off x="381000" y="2271719"/>
                        <a:ext cx="2438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5" name="Straight Connector 134"/>
                      <a:cNvCxnSpPr/>
                    </a:nvCxnSpPr>
                    <a:spPr>
                      <a:xfrm>
                        <a:off x="381000" y="2505082"/>
                        <a:ext cx="2438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36" name="TextBox 135"/>
                      <a:cNvSpPr txBox="1"/>
                    </a:nvSpPr>
                    <a:spPr>
                      <a:xfrm>
                        <a:off x="380999" y="2508885"/>
                        <a:ext cx="2328986" cy="228600"/>
                      </a:xfrm>
                      <a:prstGeom prst="rect">
                        <a:avLst/>
                      </a:prstGeom>
                      <a:noFill/>
                    </a:spPr>
                    <a:txSp>
                      <a:txBody>
                        <a:bodyPr wrap="square" lIns="18288"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r>
                            <a:rPr lang="en-US" sz="900" dirty="0" smtClean="0">
                              <a:latin typeface="Arial" pitchFamily="34" charset="0"/>
                              <a:cs typeface="Arial" pitchFamily="34" charset="0"/>
                            </a:rPr>
                            <a:t>QUESTIONNAIRE (PDF 238KB)</a:t>
                          </a:r>
                          <a:endParaRPr lang="en-US" sz="900" dirty="0">
                            <a:latin typeface="Arial" pitchFamily="34" charset="0"/>
                            <a:cs typeface="Arial" pitchFamily="34" charset="0"/>
                          </a:endParaRPr>
                        </a:p>
                      </a:txBody>
                      <a:useSpRect/>
                    </a:txSp>
                  </a:sp>
                  <a:cxnSp>
                    <a:nvCxnSpPr>
                      <a:cNvPr id="137" name="Straight Connector 136"/>
                      <a:cNvCxnSpPr/>
                    </a:nvCxnSpPr>
                    <a:spPr>
                      <a:xfrm>
                        <a:off x="381000" y="2738444"/>
                        <a:ext cx="2438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38" name="TextBox 137"/>
                      <a:cNvSpPr txBox="1"/>
                    </a:nvSpPr>
                    <a:spPr>
                      <a:xfrm>
                        <a:off x="380999" y="2732723"/>
                        <a:ext cx="2328986" cy="228600"/>
                      </a:xfrm>
                      <a:prstGeom prst="rect">
                        <a:avLst/>
                      </a:prstGeom>
                      <a:noFill/>
                    </a:spPr>
                    <a:txSp>
                      <a:txBody>
                        <a:bodyPr wrap="square" lIns="18288"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r>
                            <a:rPr lang="en-US" sz="900" dirty="0" smtClean="0">
                              <a:latin typeface="Arial" pitchFamily="34" charset="0"/>
                              <a:cs typeface="Arial" pitchFamily="34" charset="0"/>
                            </a:rPr>
                            <a:t>N-MHSS DEFINITIONS</a:t>
                          </a:r>
                          <a:endParaRPr lang="en-US" sz="900" dirty="0">
                            <a:latin typeface="Arial" pitchFamily="34" charset="0"/>
                            <a:cs typeface="Arial" pitchFamily="34" charset="0"/>
                          </a:endParaRPr>
                        </a:p>
                      </a:txBody>
                      <a:useSpRect/>
                    </a:txSp>
                  </a:sp>
                  <a:cxnSp>
                    <a:nvCxnSpPr>
                      <a:cNvPr id="139" name="Straight Connector 138"/>
                      <a:cNvCxnSpPr/>
                    </a:nvCxnSpPr>
                    <a:spPr>
                      <a:xfrm>
                        <a:off x="381000" y="2962282"/>
                        <a:ext cx="2438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40" name="TextBox 139"/>
                      <a:cNvSpPr txBox="1"/>
                    </a:nvSpPr>
                    <a:spPr>
                      <a:xfrm>
                        <a:off x="381000" y="2961323"/>
                        <a:ext cx="2422771" cy="230832"/>
                      </a:xfrm>
                      <a:prstGeom prst="rect">
                        <a:avLst/>
                      </a:prstGeom>
                      <a:noFill/>
                    </a:spPr>
                    <a:txSp>
                      <a:txBody>
                        <a:bodyPr wrap="square" lIns="18288"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r>
                            <a:rPr lang="en-US" sz="900" dirty="0" smtClean="0">
                              <a:latin typeface="Arial" pitchFamily="34" charset="0"/>
                              <a:cs typeface="Arial" pitchFamily="34" charset="0"/>
                            </a:rPr>
                            <a:t>FREQUENTLY ASKED QUESTIONS</a:t>
                          </a:r>
                          <a:endParaRPr lang="en-US" sz="900" dirty="0">
                            <a:latin typeface="Arial" pitchFamily="34" charset="0"/>
                            <a:cs typeface="Arial" pitchFamily="34" charset="0"/>
                          </a:endParaRPr>
                        </a:p>
                      </a:txBody>
                      <a:useSpRect/>
                    </a:txSp>
                  </a:sp>
                  <a:cxnSp>
                    <a:nvCxnSpPr>
                      <a:cNvPr id="141" name="Straight Connector 140"/>
                      <a:cNvCxnSpPr/>
                    </a:nvCxnSpPr>
                    <a:spPr>
                      <a:xfrm>
                        <a:off x="381000" y="3190882"/>
                        <a:ext cx="2438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42" name="TextBox 141"/>
                      <a:cNvSpPr txBox="1"/>
                    </a:nvSpPr>
                    <a:spPr>
                      <a:xfrm>
                        <a:off x="381000" y="3189923"/>
                        <a:ext cx="2422771" cy="230832"/>
                      </a:xfrm>
                      <a:prstGeom prst="rect">
                        <a:avLst/>
                      </a:prstGeom>
                      <a:noFill/>
                    </a:spPr>
                    <a:txSp>
                      <a:txBody>
                        <a:bodyPr wrap="square" lIns="18288"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r>
                            <a:rPr lang="en-US" sz="900" dirty="0" smtClean="0">
                              <a:latin typeface="Arial" pitchFamily="34" charset="0"/>
                              <a:cs typeface="Arial" pitchFamily="34" charset="0"/>
                            </a:rPr>
                            <a:t>CONTACT US</a:t>
                          </a:r>
                          <a:endParaRPr lang="en-US" sz="900" dirty="0">
                            <a:latin typeface="Arial" pitchFamily="34" charset="0"/>
                            <a:cs typeface="Arial" pitchFamily="34" charset="0"/>
                          </a:endParaRPr>
                        </a:p>
                      </a:txBody>
                      <a:useSpRect/>
                    </a:txSp>
                  </a:sp>
                  <a:cxnSp>
                    <a:nvCxnSpPr>
                      <a:cNvPr id="143" name="Straight Connector 142"/>
                      <a:cNvCxnSpPr/>
                    </a:nvCxnSpPr>
                    <a:spPr>
                      <a:xfrm>
                        <a:off x="381000" y="3419482"/>
                        <a:ext cx="2438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44" name="TextBox 143"/>
                      <a:cNvSpPr txBox="1"/>
                    </a:nvSpPr>
                    <a:spPr>
                      <a:xfrm>
                        <a:off x="381000" y="3413761"/>
                        <a:ext cx="2422771" cy="230832"/>
                      </a:xfrm>
                      <a:prstGeom prst="rect">
                        <a:avLst/>
                      </a:prstGeom>
                      <a:noFill/>
                    </a:spPr>
                    <a:txSp>
                      <a:txBody>
                        <a:bodyPr wrap="square" lIns="18288"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r>
                            <a:rPr lang="en-US" sz="900" dirty="0" smtClean="0">
                              <a:latin typeface="Arial" pitchFamily="34" charset="0"/>
                              <a:cs typeface="Arial" pitchFamily="34" charset="0"/>
                            </a:rPr>
                            <a:t>MATHEMATICA POLICY RESEARCH</a:t>
                          </a:r>
                          <a:endParaRPr lang="en-US" sz="900" dirty="0">
                            <a:latin typeface="Arial" pitchFamily="34" charset="0"/>
                            <a:cs typeface="Arial" pitchFamily="34" charset="0"/>
                          </a:endParaRPr>
                        </a:p>
                      </a:txBody>
                      <a:useSpRect/>
                    </a:txSp>
                  </a:sp>
                  <a:cxnSp>
                    <a:nvCxnSpPr>
                      <a:cNvPr id="145" name="Straight Connector 144"/>
                      <a:cNvCxnSpPr/>
                    </a:nvCxnSpPr>
                    <a:spPr>
                      <a:xfrm>
                        <a:off x="381000" y="3643320"/>
                        <a:ext cx="2438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46" name="TextBox 145"/>
                      <a:cNvSpPr txBox="1"/>
                    </a:nvSpPr>
                    <a:spPr>
                      <a:xfrm>
                        <a:off x="381000" y="3642361"/>
                        <a:ext cx="2422771" cy="230832"/>
                      </a:xfrm>
                      <a:prstGeom prst="rect">
                        <a:avLst/>
                      </a:prstGeom>
                      <a:noFill/>
                    </a:spPr>
                    <a:txSp>
                      <a:txBody>
                        <a:bodyPr wrap="square" lIns="18288"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r>
                            <a:rPr lang="en-US" sz="900" dirty="0" smtClean="0">
                              <a:latin typeface="Arial" pitchFamily="34" charset="0"/>
                              <a:cs typeface="Arial" pitchFamily="34" charset="0"/>
                            </a:rPr>
                            <a:t>RELATED LINKS</a:t>
                          </a:r>
                          <a:endParaRPr lang="en-US" sz="900" dirty="0">
                            <a:latin typeface="Arial" pitchFamily="34" charset="0"/>
                            <a:cs typeface="Arial" pitchFamily="34" charset="0"/>
                          </a:endParaRPr>
                        </a:p>
                      </a:txBody>
                      <a:useSpRect/>
                    </a:txSp>
                  </a:sp>
                  <a:cxnSp>
                    <a:nvCxnSpPr>
                      <a:cNvPr id="147" name="Straight Connector 146"/>
                      <a:cNvCxnSpPr/>
                    </a:nvCxnSpPr>
                    <a:spPr>
                      <a:xfrm>
                        <a:off x="381000" y="3871920"/>
                        <a:ext cx="2438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48" name="Rectangle 147"/>
                      <a:cNvSpPr/>
                    </a:nvSpPr>
                    <a:spPr>
                      <a:xfrm>
                        <a:off x="381000" y="3878579"/>
                        <a:ext cx="2438400" cy="880745"/>
                      </a:xfrm>
                      <a:prstGeom prst="rect">
                        <a:avLst/>
                      </a:prstGeom>
                      <a:solidFill>
                        <a:srgbClr val="FFFF99"/>
                      </a:solidFill>
                      <a:ln>
                        <a:noFill/>
                      </a:ln>
                      <a:effectLst>
                        <a:outerShdw blurRad="25400" dist="50800" dir="5400000" algn="ctr" rotWithShape="0">
                          <a:srgbClr val="465723">
                            <a:alpha val="42000"/>
                          </a:srgbClr>
                        </a:outerShdw>
                      </a:effectLst>
                    </a:spPr>
                    <a:txSp>
                      <a:txBody>
                        <a:bodyPr rtlCol="0" anchor="ctr"/>
                        <a:lstStyle>
                          <a:defPPr>
                            <a:defRPr lang="en-US"/>
                          </a:defPPr>
                          <a:lvl1pPr marL="0" algn="l" defTabSz="1018824" rtl="0" eaLnBrk="1" latinLnBrk="0" hangingPunct="1">
                            <a:defRPr sz="2000" kern="1200">
                              <a:solidFill>
                                <a:schemeClr val="lt1"/>
                              </a:solidFill>
                              <a:latin typeface="+mn-lt"/>
                              <a:ea typeface="+mn-ea"/>
                              <a:cs typeface="+mn-cs"/>
                            </a:defRPr>
                          </a:lvl1pPr>
                          <a:lvl2pPr marL="509412" algn="l" defTabSz="1018824" rtl="0" eaLnBrk="1" latinLnBrk="0" hangingPunct="1">
                            <a:defRPr sz="2000" kern="1200">
                              <a:solidFill>
                                <a:schemeClr val="lt1"/>
                              </a:solidFill>
                              <a:latin typeface="+mn-lt"/>
                              <a:ea typeface="+mn-ea"/>
                              <a:cs typeface="+mn-cs"/>
                            </a:defRPr>
                          </a:lvl2pPr>
                          <a:lvl3pPr marL="1018824" algn="l" defTabSz="1018824" rtl="0" eaLnBrk="1" latinLnBrk="0" hangingPunct="1">
                            <a:defRPr sz="2000" kern="1200">
                              <a:solidFill>
                                <a:schemeClr val="lt1"/>
                              </a:solidFill>
                              <a:latin typeface="+mn-lt"/>
                              <a:ea typeface="+mn-ea"/>
                              <a:cs typeface="+mn-cs"/>
                            </a:defRPr>
                          </a:lvl3pPr>
                          <a:lvl4pPr marL="1528237" algn="l" defTabSz="1018824" rtl="0" eaLnBrk="1" latinLnBrk="0" hangingPunct="1">
                            <a:defRPr sz="2000" kern="1200">
                              <a:solidFill>
                                <a:schemeClr val="lt1"/>
                              </a:solidFill>
                              <a:latin typeface="+mn-lt"/>
                              <a:ea typeface="+mn-ea"/>
                              <a:cs typeface="+mn-cs"/>
                            </a:defRPr>
                          </a:lvl4pPr>
                          <a:lvl5pPr marL="2037649" algn="l" defTabSz="1018824" rtl="0" eaLnBrk="1" latinLnBrk="0" hangingPunct="1">
                            <a:defRPr sz="2000" kern="1200">
                              <a:solidFill>
                                <a:schemeClr val="lt1"/>
                              </a:solidFill>
                              <a:latin typeface="+mn-lt"/>
                              <a:ea typeface="+mn-ea"/>
                              <a:cs typeface="+mn-cs"/>
                            </a:defRPr>
                          </a:lvl5pPr>
                          <a:lvl6pPr marL="2547061" algn="l" defTabSz="1018824" rtl="0" eaLnBrk="1" latinLnBrk="0" hangingPunct="1">
                            <a:defRPr sz="2000" kern="1200">
                              <a:solidFill>
                                <a:schemeClr val="lt1"/>
                              </a:solidFill>
                              <a:latin typeface="+mn-lt"/>
                              <a:ea typeface="+mn-ea"/>
                              <a:cs typeface="+mn-cs"/>
                            </a:defRPr>
                          </a:lvl6pPr>
                          <a:lvl7pPr marL="3056473" algn="l" defTabSz="1018824" rtl="0" eaLnBrk="1" latinLnBrk="0" hangingPunct="1">
                            <a:defRPr sz="2000" kern="1200">
                              <a:solidFill>
                                <a:schemeClr val="lt1"/>
                              </a:solidFill>
                              <a:latin typeface="+mn-lt"/>
                              <a:ea typeface="+mn-ea"/>
                              <a:cs typeface="+mn-cs"/>
                            </a:defRPr>
                          </a:lvl7pPr>
                          <a:lvl8pPr marL="3565886" algn="l" defTabSz="1018824" rtl="0" eaLnBrk="1" latinLnBrk="0" hangingPunct="1">
                            <a:defRPr sz="2000" kern="1200">
                              <a:solidFill>
                                <a:schemeClr val="lt1"/>
                              </a:solidFill>
                              <a:latin typeface="+mn-lt"/>
                              <a:ea typeface="+mn-ea"/>
                              <a:cs typeface="+mn-cs"/>
                            </a:defRPr>
                          </a:lvl8pPr>
                          <a:lvl9pPr marL="4075298" algn="l" defTabSz="1018824" rtl="0" eaLnBrk="1" latinLnBrk="0" hangingPunct="1">
                            <a:defRPr sz="20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9" name="TextBox 148"/>
                      <a:cNvSpPr txBox="1"/>
                    </a:nvSpPr>
                    <a:spPr>
                      <a:xfrm>
                        <a:off x="381000" y="3878580"/>
                        <a:ext cx="2438400" cy="507831"/>
                      </a:xfrm>
                      <a:prstGeom prst="rect">
                        <a:avLst/>
                      </a:prstGeom>
                      <a:noFill/>
                    </a:spPr>
                    <a:txSp>
                      <a:txBody>
                        <a:bodyPr wrap="square" lIns="18288"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pPr marL="171450" indent="-171450">
                            <a:tabLst>
                              <a:tab pos="174625" algn="l"/>
                              <a:tab pos="228600" algn="l"/>
                            </a:tabLst>
                          </a:pPr>
                          <a:r>
                            <a:rPr lang="en-US" sz="900" dirty="0" smtClean="0">
                              <a:latin typeface="Arial" pitchFamily="34" charset="0"/>
                              <a:cs typeface="Arial" pitchFamily="34" charset="0"/>
                            </a:rPr>
                            <a:t>	How to access SAMHSA’s online Behavioral Health Treatment Services Locator</a:t>
                          </a:r>
                          <a:endParaRPr lang="en-US" sz="900" dirty="0">
                            <a:latin typeface="Arial" pitchFamily="34" charset="0"/>
                            <a:cs typeface="Arial" pitchFamily="34" charset="0"/>
                          </a:endParaRPr>
                        </a:p>
                      </a:txBody>
                      <a:useSpRect/>
                    </a:txSp>
                  </a:sp>
                  <a:cxnSp>
                    <a:nvCxnSpPr>
                      <a:cNvPr id="150" name="Straight Connector 149"/>
                      <a:cNvCxnSpPr/>
                    </a:nvCxnSpPr>
                    <a:spPr>
                      <a:xfrm>
                        <a:off x="381000" y="4384675"/>
                        <a:ext cx="2438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51" name="TextBox 150"/>
                      <a:cNvSpPr txBox="1"/>
                    </a:nvSpPr>
                    <a:spPr>
                      <a:xfrm>
                        <a:off x="381000" y="4387850"/>
                        <a:ext cx="2362200" cy="369332"/>
                      </a:xfrm>
                      <a:prstGeom prst="rect">
                        <a:avLst/>
                      </a:prstGeom>
                      <a:noFill/>
                    </a:spPr>
                    <a:txSp>
                      <a:txBody>
                        <a:bodyPr wrap="square" lIns="18288"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pPr marL="171450" indent="-171450">
                            <a:tabLst>
                              <a:tab pos="174625" algn="l"/>
                              <a:tab pos="228600" algn="l"/>
                            </a:tabLst>
                          </a:pPr>
                          <a:r>
                            <a:rPr lang="en-US" sz="900" dirty="0" smtClean="0">
                              <a:latin typeface="Arial" pitchFamily="34" charset="0"/>
                              <a:cs typeface="Arial" pitchFamily="34" charset="0"/>
                            </a:rPr>
                            <a:t>	Substance Abuse &amp; Mental Health Services Administration (SAMHSA)</a:t>
                          </a:r>
                          <a:endParaRPr lang="en-US" sz="900" dirty="0">
                            <a:latin typeface="Arial" pitchFamily="34" charset="0"/>
                            <a:cs typeface="Arial" pitchFamily="34" charset="0"/>
                          </a:endParaRPr>
                        </a:p>
                      </a:txBody>
                      <a:useSpRect/>
                    </a:txSp>
                  </a:sp>
                  <a:sp>
                    <a:nvSpPr>
                      <a:cNvPr id="152" name="TextBox 151"/>
                      <a:cNvSpPr txBox="1"/>
                    </a:nvSpPr>
                    <a:spPr>
                      <a:xfrm>
                        <a:off x="2971800" y="1828800"/>
                        <a:ext cx="5867400" cy="276999"/>
                      </a:xfrm>
                      <a:prstGeom prst="rect">
                        <a:avLst/>
                      </a:prstGeom>
                      <a:noFill/>
                    </a:spPr>
                    <a:txSp>
                      <a:txBody>
                        <a:bodyPr wrap="square"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r>
                            <a:rPr lang="en-US" sz="1200" b="1" dirty="0" smtClean="0">
                              <a:latin typeface="Arial" pitchFamily="34" charset="0"/>
                              <a:cs typeface="Arial" pitchFamily="34" charset="0"/>
                            </a:rPr>
                            <a:t>WELCOME TO THE N-MHSS WEBSITE</a:t>
                          </a:r>
                          <a:endParaRPr lang="en-US" sz="1200" b="1" dirty="0">
                            <a:latin typeface="Arial" pitchFamily="34" charset="0"/>
                            <a:cs typeface="Arial" pitchFamily="34" charset="0"/>
                          </a:endParaRPr>
                        </a:p>
                      </a:txBody>
                      <a:useSpRect/>
                    </a:txSp>
                  </a:sp>
                  <a:sp>
                    <a:nvSpPr>
                      <a:cNvPr id="153" name="Rectangle 152"/>
                      <a:cNvSpPr/>
                    </a:nvSpPr>
                    <a:spPr>
                      <a:xfrm>
                        <a:off x="3048000" y="2133600"/>
                        <a:ext cx="9220200" cy="3810000"/>
                      </a:xfrm>
                      <a:prstGeom prst="rect">
                        <a:avLst/>
                      </a:prstGeom>
                      <a:noFill/>
                      <a:ln>
                        <a:solidFill>
                          <a:schemeClr val="bg1">
                            <a:lumMod val="65000"/>
                          </a:schemeClr>
                        </a:solidFill>
                      </a:ln>
                    </a:spPr>
                    <a:txSp>
                      <a:txBody>
                        <a:bodyPr rtlCol="0" anchor="ctr"/>
                        <a:lstStyle>
                          <a:defPPr>
                            <a:defRPr lang="en-US"/>
                          </a:defPPr>
                          <a:lvl1pPr marL="0" algn="l" defTabSz="1018824" rtl="0" eaLnBrk="1" latinLnBrk="0" hangingPunct="1">
                            <a:defRPr sz="2000" kern="1200">
                              <a:solidFill>
                                <a:schemeClr val="lt1"/>
                              </a:solidFill>
                              <a:latin typeface="+mn-lt"/>
                              <a:ea typeface="+mn-ea"/>
                              <a:cs typeface="+mn-cs"/>
                            </a:defRPr>
                          </a:lvl1pPr>
                          <a:lvl2pPr marL="509412" algn="l" defTabSz="1018824" rtl="0" eaLnBrk="1" latinLnBrk="0" hangingPunct="1">
                            <a:defRPr sz="2000" kern="1200">
                              <a:solidFill>
                                <a:schemeClr val="lt1"/>
                              </a:solidFill>
                              <a:latin typeface="+mn-lt"/>
                              <a:ea typeface="+mn-ea"/>
                              <a:cs typeface="+mn-cs"/>
                            </a:defRPr>
                          </a:lvl2pPr>
                          <a:lvl3pPr marL="1018824" algn="l" defTabSz="1018824" rtl="0" eaLnBrk="1" latinLnBrk="0" hangingPunct="1">
                            <a:defRPr sz="2000" kern="1200">
                              <a:solidFill>
                                <a:schemeClr val="lt1"/>
                              </a:solidFill>
                              <a:latin typeface="+mn-lt"/>
                              <a:ea typeface="+mn-ea"/>
                              <a:cs typeface="+mn-cs"/>
                            </a:defRPr>
                          </a:lvl3pPr>
                          <a:lvl4pPr marL="1528237" algn="l" defTabSz="1018824" rtl="0" eaLnBrk="1" latinLnBrk="0" hangingPunct="1">
                            <a:defRPr sz="2000" kern="1200">
                              <a:solidFill>
                                <a:schemeClr val="lt1"/>
                              </a:solidFill>
                              <a:latin typeface="+mn-lt"/>
                              <a:ea typeface="+mn-ea"/>
                              <a:cs typeface="+mn-cs"/>
                            </a:defRPr>
                          </a:lvl4pPr>
                          <a:lvl5pPr marL="2037649" algn="l" defTabSz="1018824" rtl="0" eaLnBrk="1" latinLnBrk="0" hangingPunct="1">
                            <a:defRPr sz="2000" kern="1200">
                              <a:solidFill>
                                <a:schemeClr val="lt1"/>
                              </a:solidFill>
                              <a:latin typeface="+mn-lt"/>
                              <a:ea typeface="+mn-ea"/>
                              <a:cs typeface="+mn-cs"/>
                            </a:defRPr>
                          </a:lvl5pPr>
                          <a:lvl6pPr marL="2547061" algn="l" defTabSz="1018824" rtl="0" eaLnBrk="1" latinLnBrk="0" hangingPunct="1">
                            <a:defRPr sz="2000" kern="1200">
                              <a:solidFill>
                                <a:schemeClr val="lt1"/>
                              </a:solidFill>
                              <a:latin typeface="+mn-lt"/>
                              <a:ea typeface="+mn-ea"/>
                              <a:cs typeface="+mn-cs"/>
                            </a:defRPr>
                          </a:lvl6pPr>
                          <a:lvl7pPr marL="3056473" algn="l" defTabSz="1018824" rtl="0" eaLnBrk="1" latinLnBrk="0" hangingPunct="1">
                            <a:defRPr sz="2000" kern="1200">
                              <a:solidFill>
                                <a:schemeClr val="lt1"/>
                              </a:solidFill>
                              <a:latin typeface="+mn-lt"/>
                              <a:ea typeface="+mn-ea"/>
                              <a:cs typeface="+mn-cs"/>
                            </a:defRPr>
                          </a:lvl7pPr>
                          <a:lvl8pPr marL="3565886" algn="l" defTabSz="1018824" rtl="0" eaLnBrk="1" latinLnBrk="0" hangingPunct="1">
                            <a:defRPr sz="2000" kern="1200">
                              <a:solidFill>
                                <a:schemeClr val="lt1"/>
                              </a:solidFill>
                              <a:latin typeface="+mn-lt"/>
                              <a:ea typeface="+mn-ea"/>
                              <a:cs typeface="+mn-cs"/>
                            </a:defRPr>
                          </a:lvl8pPr>
                          <a:lvl9pPr marL="4075298" algn="l" defTabSz="1018824" rtl="0" eaLnBrk="1" latinLnBrk="0" hangingPunct="1">
                            <a:defRPr sz="20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4" name="TextBox 153"/>
                      <a:cNvSpPr txBox="1"/>
                    </a:nvSpPr>
                    <a:spPr>
                      <a:xfrm>
                        <a:off x="3087128" y="2190440"/>
                        <a:ext cx="9104872" cy="1661993"/>
                      </a:xfrm>
                      <a:prstGeom prst="rect">
                        <a:avLst/>
                      </a:prstGeom>
                      <a:noFill/>
                    </a:spPr>
                    <a:txSp>
                      <a:txBody>
                        <a:bodyPr wrap="square" lIns="18288"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pPr>
                            <a:spcAft>
                              <a:spcPts val="1200"/>
                            </a:spcAft>
                          </a:pPr>
                          <a:r>
                            <a:rPr lang="en-US" sz="900" dirty="0" smtClean="0">
                              <a:latin typeface="Arial" pitchFamily="34" charset="0"/>
                              <a:cs typeface="Arial" pitchFamily="34" charset="0"/>
                            </a:rPr>
                            <a:t>This site will help you find answers to our questions about completing the N-MHSS questionnaire, plus provide you with important survey-related information and other useful links.</a:t>
                          </a:r>
                        </a:p>
                        <a:p>
                          <a:pPr>
                            <a:spcAft>
                              <a:spcPts val="1200"/>
                            </a:spcAft>
                          </a:pPr>
                          <a:r>
                            <a:rPr lang="en-US" sz="900" dirty="0" smtClean="0">
                              <a:latin typeface="Arial" pitchFamily="34" charset="0"/>
                              <a:cs typeface="Arial" pitchFamily="34" charset="0"/>
                            </a:rPr>
                            <a:t>The </a:t>
                          </a:r>
                          <a:r>
                            <a:rPr lang="en-US" sz="900" b="1" dirty="0" smtClean="0">
                              <a:latin typeface="Arial" pitchFamily="34" charset="0"/>
                              <a:cs typeface="Arial" pitchFamily="34" charset="0"/>
                            </a:rPr>
                            <a:t>National Mental Health Services Survey (N-MHSS)</a:t>
                          </a:r>
                          <a:r>
                            <a:rPr lang="en-US" sz="900" dirty="0" smtClean="0">
                              <a:latin typeface="Arial" pitchFamily="34" charset="0"/>
                              <a:cs typeface="Arial" pitchFamily="34" charset="0"/>
                            </a:rPr>
                            <a:t> is designed to collect data from all known mental health treatment facilities in the nation. These data will include information about facility characteristics including the type of facility, ownership, service settings, specialty services, and specially-designed programs offered, as well as the number and characteristics of clients served.</a:t>
                          </a:r>
                        </a:p>
                        <a:p>
                          <a:pPr>
                            <a:spcAft>
                              <a:spcPts val="1200"/>
                            </a:spcAft>
                          </a:pPr>
                          <a:r>
                            <a:rPr lang="en-US" sz="900" dirty="0" smtClean="0">
                              <a:latin typeface="Arial" pitchFamily="34" charset="0"/>
                              <a:cs typeface="Arial" pitchFamily="34" charset="0"/>
                            </a:rPr>
                            <a:t>The information you provide about your facility will be used to update SAMHSA’s online Behavioral Health Treatment Services Locator and for publication in SAMHSA’s</a:t>
                          </a:r>
                          <a:r>
                            <a:rPr lang="en-US" sz="900" dirty="0" smtClean="0">
                              <a:solidFill>
                                <a:srgbClr val="77943C"/>
                              </a:solidFill>
                              <a:latin typeface="Arial" pitchFamily="34" charset="0"/>
                              <a:cs typeface="Arial" pitchFamily="34" charset="0"/>
                            </a:rPr>
                            <a:t> </a:t>
                          </a:r>
                          <a:r>
                            <a:rPr lang="en-US" sz="900" i="1" dirty="0" smtClean="0">
                              <a:solidFill>
                                <a:srgbClr val="77943C"/>
                              </a:solidFill>
                              <a:latin typeface="Arial" pitchFamily="34" charset="0"/>
                              <a:cs typeface="Arial" pitchFamily="34" charset="0"/>
                            </a:rPr>
                            <a:t>National Directory of Mental Health Treatment Facilities.</a:t>
                          </a:r>
                        </a:p>
                        <a:p>
                          <a:pPr>
                            <a:spcAft>
                              <a:spcPts val="1200"/>
                            </a:spcAft>
                          </a:pPr>
                          <a:r>
                            <a:rPr lang="en-US" sz="900" dirty="0" smtClean="0">
                              <a:latin typeface="Arial" pitchFamily="34" charset="0"/>
                              <a:cs typeface="Arial" pitchFamily="34" charset="0"/>
                            </a:rPr>
                            <a:t>The N-MHSS Survey is conducted for SAMHSA by Mathematica Policy Research.</a:t>
                          </a:r>
                          <a:endParaRPr lang="en-US" sz="900" dirty="0">
                            <a:latin typeface="Arial" pitchFamily="34" charset="0"/>
                            <a:cs typeface="Arial" pitchFamily="34" charset="0"/>
                          </a:endParaRPr>
                        </a:p>
                      </a:txBody>
                      <a:useSpRect/>
                    </a:txSp>
                  </a:sp>
                  <a:pic>
                    <a:nvPicPr>
                      <a:cNvPr id="165" name="Picture 164" descr="MPRlogo_2c_cmyk.jpg"/>
                      <a:cNvPicPr>
                        <a:picLocks noChangeAspect="1"/>
                      </a:cNvPicPr>
                    </a:nvPicPr>
                    <a:blipFill>
                      <a:blip r:embed="rId6" cstate="print"/>
                      <a:stretch>
                        <a:fillRect/>
                      </a:stretch>
                    </a:blipFill>
                    <a:spPr>
                      <a:xfrm>
                        <a:off x="914400" y="4953000"/>
                        <a:ext cx="1371600" cy="431918"/>
                      </a:xfrm>
                      <a:prstGeom prst="rect">
                        <a:avLst/>
                      </a:prstGeom>
                    </a:spPr>
                  </a:pic>
                  <a:sp>
                    <a:nvSpPr>
                      <a:cNvPr id="166" name="TextBox 165"/>
                      <a:cNvSpPr txBox="1"/>
                    </a:nvSpPr>
                    <a:spPr>
                      <a:xfrm>
                        <a:off x="381000" y="5486400"/>
                        <a:ext cx="2362200" cy="338554"/>
                      </a:xfrm>
                      <a:prstGeom prst="rect">
                        <a:avLst/>
                      </a:prstGeom>
                      <a:noFill/>
                    </a:spPr>
                    <a:txSp>
                      <a:txBody>
                        <a:bodyPr wrap="square" lIns="0" rIns="0"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pPr algn="ctr">
                            <a:tabLst>
                              <a:tab pos="228600" algn="l"/>
                            </a:tabLst>
                          </a:pPr>
                          <a:r>
                            <a:rPr lang="en-US" sz="800" dirty="0" smtClean="0">
                              <a:latin typeface="Arial" pitchFamily="34" charset="0"/>
                              <a:cs typeface="Arial" pitchFamily="34" charset="0"/>
                            </a:rPr>
                            <a:t>PDF files require the free </a:t>
                          </a:r>
                          <a:r>
                            <a:rPr lang="en-US" sz="800" dirty="0" smtClean="0">
                              <a:solidFill>
                                <a:srgbClr val="77943C"/>
                              </a:solidFill>
                              <a:latin typeface="Arial" pitchFamily="34" charset="0"/>
                              <a:cs typeface="Arial" pitchFamily="34" charset="0"/>
                            </a:rPr>
                            <a:t>Adobe Acrobat Viewer </a:t>
                          </a:r>
                          <a:r>
                            <a:rPr lang="en-US" sz="800" dirty="0" smtClean="0">
                              <a:latin typeface="Arial" pitchFamily="34" charset="0"/>
                              <a:cs typeface="Arial" pitchFamily="34" charset="0"/>
                            </a:rPr>
                            <a:t>to view</a:t>
                          </a:r>
                          <a:endParaRPr lang="en-US" sz="800" dirty="0">
                            <a:latin typeface="Arial" pitchFamily="34" charset="0"/>
                            <a:cs typeface="Arial" pitchFamily="34" charset="0"/>
                          </a:endParaRPr>
                        </a:p>
                      </a:txBody>
                      <a:useSpRect/>
                    </a:txSp>
                  </a:sp>
                  <a:sp>
                    <a:nvSpPr>
                      <a:cNvPr id="168" name="Rectangle 167"/>
                      <a:cNvSpPr/>
                    </a:nvSpPr>
                    <a:spPr>
                      <a:xfrm>
                        <a:off x="381000" y="6096000"/>
                        <a:ext cx="11887200" cy="954972"/>
                      </a:xfrm>
                      <a:prstGeom prst="rect">
                        <a:avLst/>
                      </a:prstGeom>
                      <a:solidFill>
                        <a:srgbClr val="FFFF99"/>
                      </a:solidFill>
                      <a:ln>
                        <a:noFill/>
                      </a:ln>
                      <a:effectLst/>
                    </a:spPr>
                    <a:txSp>
                      <a:txBody>
                        <a:bodyPr rtlCol="0" anchor="ctr"/>
                        <a:lstStyle>
                          <a:defPPr>
                            <a:defRPr lang="en-US"/>
                          </a:defPPr>
                          <a:lvl1pPr marL="0" algn="l" defTabSz="1018824" rtl="0" eaLnBrk="1" latinLnBrk="0" hangingPunct="1">
                            <a:defRPr sz="2000" kern="1200">
                              <a:solidFill>
                                <a:schemeClr val="lt1"/>
                              </a:solidFill>
                              <a:latin typeface="+mn-lt"/>
                              <a:ea typeface="+mn-ea"/>
                              <a:cs typeface="+mn-cs"/>
                            </a:defRPr>
                          </a:lvl1pPr>
                          <a:lvl2pPr marL="509412" algn="l" defTabSz="1018824" rtl="0" eaLnBrk="1" latinLnBrk="0" hangingPunct="1">
                            <a:defRPr sz="2000" kern="1200">
                              <a:solidFill>
                                <a:schemeClr val="lt1"/>
                              </a:solidFill>
                              <a:latin typeface="+mn-lt"/>
                              <a:ea typeface="+mn-ea"/>
                              <a:cs typeface="+mn-cs"/>
                            </a:defRPr>
                          </a:lvl2pPr>
                          <a:lvl3pPr marL="1018824" algn="l" defTabSz="1018824" rtl="0" eaLnBrk="1" latinLnBrk="0" hangingPunct="1">
                            <a:defRPr sz="2000" kern="1200">
                              <a:solidFill>
                                <a:schemeClr val="lt1"/>
                              </a:solidFill>
                              <a:latin typeface="+mn-lt"/>
                              <a:ea typeface="+mn-ea"/>
                              <a:cs typeface="+mn-cs"/>
                            </a:defRPr>
                          </a:lvl3pPr>
                          <a:lvl4pPr marL="1528237" algn="l" defTabSz="1018824" rtl="0" eaLnBrk="1" latinLnBrk="0" hangingPunct="1">
                            <a:defRPr sz="2000" kern="1200">
                              <a:solidFill>
                                <a:schemeClr val="lt1"/>
                              </a:solidFill>
                              <a:latin typeface="+mn-lt"/>
                              <a:ea typeface="+mn-ea"/>
                              <a:cs typeface="+mn-cs"/>
                            </a:defRPr>
                          </a:lvl4pPr>
                          <a:lvl5pPr marL="2037649" algn="l" defTabSz="1018824" rtl="0" eaLnBrk="1" latinLnBrk="0" hangingPunct="1">
                            <a:defRPr sz="2000" kern="1200">
                              <a:solidFill>
                                <a:schemeClr val="lt1"/>
                              </a:solidFill>
                              <a:latin typeface="+mn-lt"/>
                              <a:ea typeface="+mn-ea"/>
                              <a:cs typeface="+mn-cs"/>
                            </a:defRPr>
                          </a:lvl5pPr>
                          <a:lvl6pPr marL="2547061" algn="l" defTabSz="1018824" rtl="0" eaLnBrk="1" latinLnBrk="0" hangingPunct="1">
                            <a:defRPr sz="2000" kern="1200">
                              <a:solidFill>
                                <a:schemeClr val="lt1"/>
                              </a:solidFill>
                              <a:latin typeface="+mn-lt"/>
                              <a:ea typeface="+mn-ea"/>
                              <a:cs typeface="+mn-cs"/>
                            </a:defRPr>
                          </a:lvl6pPr>
                          <a:lvl7pPr marL="3056473" algn="l" defTabSz="1018824" rtl="0" eaLnBrk="1" latinLnBrk="0" hangingPunct="1">
                            <a:defRPr sz="2000" kern="1200">
                              <a:solidFill>
                                <a:schemeClr val="lt1"/>
                              </a:solidFill>
                              <a:latin typeface="+mn-lt"/>
                              <a:ea typeface="+mn-ea"/>
                              <a:cs typeface="+mn-cs"/>
                            </a:defRPr>
                          </a:lvl7pPr>
                          <a:lvl8pPr marL="3565886" algn="l" defTabSz="1018824" rtl="0" eaLnBrk="1" latinLnBrk="0" hangingPunct="1">
                            <a:defRPr sz="2000" kern="1200">
                              <a:solidFill>
                                <a:schemeClr val="lt1"/>
                              </a:solidFill>
                              <a:latin typeface="+mn-lt"/>
                              <a:ea typeface="+mn-ea"/>
                              <a:cs typeface="+mn-cs"/>
                            </a:defRPr>
                          </a:lvl8pPr>
                          <a:lvl9pPr marL="4075298" algn="l" defTabSz="1018824" rtl="0" eaLnBrk="1" latinLnBrk="0" hangingPunct="1">
                            <a:defRPr sz="20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9" name="TextBox 168"/>
                      <a:cNvSpPr txBox="1"/>
                    </a:nvSpPr>
                    <a:spPr>
                      <a:xfrm>
                        <a:off x="3276600" y="6117522"/>
                        <a:ext cx="6096000" cy="907941"/>
                      </a:xfrm>
                      <a:prstGeom prst="rect">
                        <a:avLst/>
                      </a:prstGeom>
                      <a:noFill/>
                    </a:spPr>
                    <a:txSp>
                      <a:txBody>
                        <a:bodyPr wrap="square" lIns="0" rIns="0" rtlCol="0">
                          <a:spAutoFit/>
                        </a:bodyPr>
                        <a:lstStyle>
                          <a:defPPr>
                            <a:defRPr lang="en-US"/>
                          </a:defPPr>
                          <a:lvl1pPr marL="0" algn="l" defTabSz="1018824" rtl="0" eaLnBrk="1" latinLnBrk="0" hangingPunct="1">
                            <a:defRPr sz="2000" kern="1200">
                              <a:solidFill>
                                <a:schemeClr val="tx1"/>
                              </a:solidFill>
                              <a:latin typeface="+mn-lt"/>
                              <a:ea typeface="+mn-ea"/>
                              <a:cs typeface="+mn-cs"/>
                            </a:defRPr>
                          </a:lvl1pPr>
                          <a:lvl2pPr marL="509412" algn="l" defTabSz="1018824" rtl="0" eaLnBrk="1" latinLnBrk="0" hangingPunct="1">
                            <a:defRPr sz="2000" kern="1200">
                              <a:solidFill>
                                <a:schemeClr val="tx1"/>
                              </a:solidFill>
                              <a:latin typeface="+mn-lt"/>
                              <a:ea typeface="+mn-ea"/>
                              <a:cs typeface="+mn-cs"/>
                            </a:defRPr>
                          </a:lvl2pPr>
                          <a:lvl3pPr marL="1018824" algn="l" defTabSz="1018824" rtl="0" eaLnBrk="1" latinLnBrk="0" hangingPunct="1">
                            <a:defRPr sz="2000" kern="1200">
                              <a:solidFill>
                                <a:schemeClr val="tx1"/>
                              </a:solidFill>
                              <a:latin typeface="+mn-lt"/>
                              <a:ea typeface="+mn-ea"/>
                              <a:cs typeface="+mn-cs"/>
                            </a:defRPr>
                          </a:lvl3pPr>
                          <a:lvl4pPr marL="1528237" algn="l" defTabSz="1018824" rtl="0" eaLnBrk="1" latinLnBrk="0" hangingPunct="1">
                            <a:defRPr sz="2000" kern="1200">
                              <a:solidFill>
                                <a:schemeClr val="tx1"/>
                              </a:solidFill>
                              <a:latin typeface="+mn-lt"/>
                              <a:ea typeface="+mn-ea"/>
                              <a:cs typeface="+mn-cs"/>
                            </a:defRPr>
                          </a:lvl4pPr>
                          <a:lvl5pPr marL="2037649" algn="l" defTabSz="1018824" rtl="0" eaLnBrk="1" latinLnBrk="0" hangingPunct="1">
                            <a:defRPr sz="2000" kern="1200">
                              <a:solidFill>
                                <a:schemeClr val="tx1"/>
                              </a:solidFill>
                              <a:latin typeface="+mn-lt"/>
                              <a:ea typeface="+mn-ea"/>
                              <a:cs typeface="+mn-cs"/>
                            </a:defRPr>
                          </a:lvl5pPr>
                          <a:lvl6pPr marL="2547061" algn="l" defTabSz="1018824" rtl="0" eaLnBrk="1" latinLnBrk="0" hangingPunct="1">
                            <a:defRPr sz="2000" kern="1200">
                              <a:solidFill>
                                <a:schemeClr val="tx1"/>
                              </a:solidFill>
                              <a:latin typeface="+mn-lt"/>
                              <a:ea typeface="+mn-ea"/>
                              <a:cs typeface="+mn-cs"/>
                            </a:defRPr>
                          </a:lvl6pPr>
                          <a:lvl7pPr marL="3056473" algn="l" defTabSz="1018824" rtl="0" eaLnBrk="1" latinLnBrk="0" hangingPunct="1">
                            <a:defRPr sz="2000" kern="1200">
                              <a:solidFill>
                                <a:schemeClr val="tx1"/>
                              </a:solidFill>
                              <a:latin typeface="+mn-lt"/>
                              <a:ea typeface="+mn-ea"/>
                              <a:cs typeface="+mn-cs"/>
                            </a:defRPr>
                          </a:lvl7pPr>
                          <a:lvl8pPr marL="3565886" algn="l" defTabSz="1018824" rtl="0" eaLnBrk="1" latinLnBrk="0" hangingPunct="1">
                            <a:defRPr sz="2000" kern="1200">
                              <a:solidFill>
                                <a:schemeClr val="tx1"/>
                              </a:solidFill>
                              <a:latin typeface="+mn-lt"/>
                              <a:ea typeface="+mn-ea"/>
                              <a:cs typeface="+mn-cs"/>
                            </a:defRPr>
                          </a:lvl8pPr>
                          <a:lvl9pPr marL="4075298" algn="l" defTabSz="1018824" rtl="0" eaLnBrk="1" latinLnBrk="0" hangingPunct="1">
                            <a:defRPr sz="2000" kern="1200">
                              <a:solidFill>
                                <a:schemeClr val="tx1"/>
                              </a:solidFill>
                              <a:latin typeface="+mn-lt"/>
                              <a:ea typeface="+mn-ea"/>
                              <a:cs typeface="+mn-cs"/>
                            </a:defRPr>
                          </a:lvl9pPr>
                        </a:lstStyle>
                        <a:p>
                          <a:pPr algn="ctr">
                            <a:tabLst>
                              <a:tab pos="228600" algn="l"/>
                            </a:tabLst>
                          </a:pPr>
                          <a:r>
                            <a:rPr lang="en-US" sz="800" dirty="0" smtClean="0">
                              <a:latin typeface="Arial" pitchFamily="34" charset="0"/>
                              <a:cs typeface="Arial" pitchFamily="34" charset="0"/>
                            </a:rPr>
                            <a:t>Improving public well-being by conducting high-quality, objective research and data collection.</a:t>
                          </a:r>
                        </a:p>
                        <a:p>
                          <a:pPr algn="ctr">
                            <a:tabLst>
                              <a:tab pos="228600" algn="l"/>
                            </a:tabLst>
                          </a:pPr>
                          <a:r>
                            <a:rPr lang="en-US" sz="800" dirty="0" smtClean="0">
                              <a:latin typeface="Arial" pitchFamily="34" charset="0"/>
                              <a:cs typeface="Arial" pitchFamily="34" charset="0"/>
                            </a:rPr>
                            <a:t>© 2014 Mathematica Policy Research, P.O. Box 2393, Princeton, NJ 08543-2393</a:t>
                          </a:r>
                        </a:p>
                        <a:p>
                          <a:pPr algn="ctr">
                            <a:tabLst>
                              <a:tab pos="228600" algn="l"/>
                            </a:tabLst>
                          </a:pPr>
                          <a:r>
                            <a:rPr lang="en-US" sz="800" dirty="0" smtClean="0">
                              <a:latin typeface="Arial" pitchFamily="34" charset="0"/>
                              <a:cs typeface="Arial" pitchFamily="34" charset="0"/>
                            </a:rPr>
                            <a:t>Phone: (609) 799-3535 Fax: (609) 799-0005</a:t>
                          </a:r>
                        </a:p>
                        <a:p>
                          <a:pPr algn="ctr">
                            <a:tabLst>
                              <a:tab pos="228600" algn="l"/>
                            </a:tabLst>
                          </a:pPr>
                          <a:r>
                            <a:rPr lang="en-US" sz="800" dirty="0" smtClean="0">
                              <a:latin typeface="Arial" pitchFamily="34" charset="0"/>
                              <a:cs typeface="Arial" pitchFamily="34" charset="0"/>
                            </a:rPr>
                            <a:t>Email comments or questions to </a:t>
                          </a:r>
                          <a:r>
                            <a:rPr lang="en-US" sz="800" dirty="0" smtClean="0">
                              <a:solidFill>
                                <a:srgbClr val="77943C"/>
                              </a:solidFill>
                              <a:latin typeface="Arial" pitchFamily="34" charset="0"/>
                              <a:cs typeface="Arial" pitchFamily="34" charset="0"/>
                            </a:rPr>
                            <a:t>info@mathematica-mpr.com</a:t>
                          </a:r>
                        </a:p>
                        <a:p>
                          <a:pPr algn="ctr">
                            <a:spcAft>
                              <a:spcPts val="600"/>
                            </a:spcAft>
                            <a:tabLst>
                              <a:tab pos="228600" algn="l"/>
                            </a:tabLst>
                          </a:pPr>
                          <a:r>
                            <a:rPr lang="en-US" sz="800" dirty="0" smtClean="0">
                              <a:latin typeface="Arial" pitchFamily="34" charset="0"/>
                              <a:cs typeface="Arial" pitchFamily="34" charset="0"/>
                            </a:rPr>
                            <a:t>Mathematica® is a registered trademark of Mathematica Policy Research</a:t>
                          </a:r>
                        </a:p>
                        <a:p>
                          <a:pPr algn="ctr">
                            <a:tabLst>
                              <a:tab pos="228600" algn="l"/>
                            </a:tabLst>
                          </a:pPr>
                          <a:r>
                            <a:rPr lang="en-US" sz="800" dirty="0" smtClean="0">
                              <a:solidFill>
                                <a:srgbClr val="77943C"/>
                              </a:solidFill>
                              <a:latin typeface="Arial" pitchFamily="34" charset="0"/>
                              <a:cs typeface="Arial" pitchFamily="34" charset="0"/>
                            </a:rPr>
                            <a:t>Plain Language</a:t>
                          </a:r>
                          <a:endParaRPr lang="en-US" sz="800" dirty="0">
                            <a:solidFill>
                              <a:srgbClr val="77943C"/>
                            </a:solidFill>
                            <a:latin typeface="Arial" pitchFamily="34" charset="0"/>
                            <a:cs typeface="Arial" pitchFamily="34" charset="0"/>
                          </a:endParaRPr>
                        </a:p>
                      </a:txBody>
                      <a:useSpRect/>
                    </a:txSp>
                  </a:sp>
                </lc:lockedCanvas>
              </a:graphicData>
            </a:graphic>
          </wp:inline>
        </w:drawing>
      </w:r>
    </w:p>
    <w:sectPr w:rsidR="00E06315" w:rsidRPr="00801C14" w:rsidSect="00E06315">
      <w:headerReference w:type="default" r:id="rId7"/>
      <w:pgSz w:w="15840" w:h="12240" w:orient="landscape"/>
      <w:pgMar w:top="1440" w:right="432" w:bottom="144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8A4" w:rsidRDefault="008D28A4" w:rsidP="00841E48">
      <w:pPr>
        <w:spacing w:after="0" w:line="240" w:lineRule="auto"/>
      </w:pPr>
      <w:r>
        <w:separator/>
      </w:r>
    </w:p>
  </w:endnote>
  <w:endnote w:type="continuationSeparator" w:id="0">
    <w:p w:rsidR="008D28A4" w:rsidRDefault="008D28A4" w:rsidP="00841E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8A4" w:rsidRDefault="008D28A4" w:rsidP="00841E48">
      <w:pPr>
        <w:spacing w:after="0" w:line="240" w:lineRule="auto"/>
      </w:pPr>
      <w:r>
        <w:separator/>
      </w:r>
    </w:p>
  </w:footnote>
  <w:footnote w:type="continuationSeparator" w:id="0">
    <w:p w:rsidR="008D28A4" w:rsidRDefault="008D28A4" w:rsidP="00841E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E48" w:rsidRPr="00B55609" w:rsidRDefault="00841E48" w:rsidP="00A06A68">
    <w:pPr>
      <w:pStyle w:val="Header"/>
      <w:jc w:val="right"/>
      <w:rPr>
        <w:rFonts w:ascii="Times New Roman" w:hAnsi="Times New Roman" w:cs="Times New Roman"/>
        <w:sz w:val="20"/>
        <w:szCs w:val="20"/>
      </w:rPr>
    </w:pPr>
    <w:r w:rsidRPr="00B55609">
      <w:rPr>
        <w:rFonts w:ascii="Times New Roman" w:hAnsi="Times New Roman" w:cs="Times New Roman"/>
        <w:sz w:val="20"/>
        <w:szCs w:val="20"/>
      </w:rPr>
      <w:t xml:space="preserve">                                                                                                                                                        Attachment A.11 – (2014 N-MHSS Online Information Site Materials </w:t>
    </w:r>
    <w:r w:rsidR="00A06A68" w:rsidRPr="00B55609">
      <w:rPr>
        <w:rFonts w:ascii="Times New Roman" w:hAnsi="Times New Roman" w:cs="Times New Roman"/>
        <w:sz w:val="20"/>
        <w:szCs w:val="20"/>
      </w:rPr>
      <w:t>_Page 1</w:t>
    </w:r>
    <w:r w:rsidRPr="00B55609">
      <w:rPr>
        <w:rFonts w:ascii="Times New Roman" w:hAnsi="Times New Roman" w:cs="Times New Roman"/>
        <w:sz w:val="20"/>
        <w:szCs w:val="20"/>
      </w:rPr>
      <w:t>)</w:t>
    </w:r>
  </w:p>
  <w:p w:rsidR="00841E48" w:rsidRDefault="00841E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06315"/>
    <w:rsid w:val="000C1901"/>
    <w:rsid w:val="002B4EC7"/>
    <w:rsid w:val="002F5889"/>
    <w:rsid w:val="00310A11"/>
    <w:rsid w:val="0055413E"/>
    <w:rsid w:val="00555B70"/>
    <w:rsid w:val="00584C58"/>
    <w:rsid w:val="005B59AB"/>
    <w:rsid w:val="00611B32"/>
    <w:rsid w:val="00653208"/>
    <w:rsid w:val="00662036"/>
    <w:rsid w:val="006B5981"/>
    <w:rsid w:val="00701996"/>
    <w:rsid w:val="00777413"/>
    <w:rsid w:val="00792F83"/>
    <w:rsid w:val="007B26A5"/>
    <w:rsid w:val="007B678E"/>
    <w:rsid w:val="00801C14"/>
    <w:rsid w:val="0082084B"/>
    <w:rsid w:val="008229BA"/>
    <w:rsid w:val="00841E48"/>
    <w:rsid w:val="008559CA"/>
    <w:rsid w:val="008D28A4"/>
    <w:rsid w:val="008F0342"/>
    <w:rsid w:val="00935E2B"/>
    <w:rsid w:val="009D39B8"/>
    <w:rsid w:val="009F1BE7"/>
    <w:rsid w:val="00A06A68"/>
    <w:rsid w:val="00A4558D"/>
    <w:rsid w:val="00B01F4A"/>
    <w:rsid w:val="00B55609"/>
    <w:rsid w:val="00C75A49"/>
    <w:rsid w:val="00E06315"/>
    <w:rsid w:val="00FA1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0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315"/>
    <w:rPr>
      <w:rFonts w:ascii="Tahoma" w:hAnsi="Tahoma" w:cs="Tahoma"/>
      <w:sz w:val="16"/>
      <w:szCs w:val="16"/>
    </w:rPr>
  </w:style>
  <w:style w:type="paragraph" w:styleId="Header">
    <w:name w:val="header"/>
    <w:basedOn w:val="Normal"/>
    <w:link w:val="HeaderChar"/>
    <w:uiPriority w:val="99"/>
    <w:unhideWhenUsed/>
    <w:rsid w:val="00841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E48"/>
  </w:style>
  <w:style w:type="paragraph" w:styleId="Footer">
    <w:name w:val="footer"/>
    <w:basedOn w:val="Normal"/>
    <w:link w:val="FooterChar"/>
    <w:uiPriority w:val="99"/>
    <w:semiHidden/>
    <w:unhideWhenUsed/>
    <w:rsid w:val="00841E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1E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BJones</dc:creator>
  <cp:lastModifiedBy>DHHS</cp:lastModifiedBy>
  <cp:revision>2</cp:revision>
  <cp:lastPrinted>2013-09-12T19:43:00Z</cp:lastPrinted>
  <dcterms:created xsi:type="dcterms:W3CDTF">2013-11-20T17:59:00Z</dcterms:created>
  <dcterms:modified xsi:type="dcterms:W3CDTF">2013-11-20T17:59:00Z</dcterms:modified>
</cp:coreProperties>
</file>