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54" w:rsidRDefault="008B5C6C">
      <w:pPr>
        <w:pStyle w:val="Heading1"/>
        <w:spacing w:before="38" w:line="375" w:lineRule="exact"/>
        <w:ind w:left="720" w:firstLine="0"/>
        <w:jc w:val="center"/>
        <w:rPr>
          <w:b w:val="0"/>
          <w:bCs w:val="0"/>
        </w:rPr>
      </w:pPr>
      <w:bookmarkStart w:id="0" w:name="Supporting_Statement_for_CMS-1957"/>
      <w:bookmarkEnd w:id="0"/>
      <w:r>
        <w:t>Supporting Statement for</w:t>
      </w:r>
      <w:r>
        <w:rPr>
          <w:spacing w:val="-11"/>
        </w:rPr>
        <w:t xml:space="preserve"> </w:t>
      </w:r>
      <w:r>
        <w:t>CMS-1957</w:t>
      </w:r>
    </w:p>
    <w:p w:rsidR="000F1954" w:rsidRDefault="008B5C6C">
      <w:pPr>
        <w:spacing w:line="375" w:lineRule="exact"/>
        <w:ind w:left="851" w:right="132"/>
        <w:rPr>
          <w:rFonts w:ascii="Cambria" w:eastAsia="Cambria" w:hAnsi="Cambria" w:cs="Cambria"/>
          <w:sz w:val="32"/>
          <w:szCs w:val="32"/>
        </w:rPr>
      </w:pPr>
      <w:bookmarkStart w:id="1" w:name="Social_Security_Office_(SSO)_Report_of_S"/>
      <w:bookmarkEnd w:id="1"/>
      <w:r>
        <w:rPr>
          <w:rFonts w:ascii="Cambria"/>
          <w:b/>
          <w:sz w:val="32"/>
        </w:rPr>
        <w:t>Social Security Office (SSO) Report of State Buy-In</w:t>
      </w:r>
      <w:r>
        <w:rPr>
          <w:rFonts w:ascii="Cambria"/>
          <w:b/>
          <w:spacing w:val="-44"/>
          <w:sz w:val="32"/>
        </w:rPr>
        <w:t xml:space="preserve"> </w:t>
      </w:r>
      <w:r>
        <w:rPr>
          <w:rFonts w:ascii="Cambria"/>
          <w:b/>
          <w:sz w:val="32"/>
        </w:rPr>
        <w:t>Problem</w:t>
      </w:r>
    </w:p>
    <w:p w:rsidR="000F1954" w:rsidRDefault="000F1954">
      <w:pPr>
        <w:rPr>
          <w:rFonts w:ascii="Cambria" w:eastAsia="Cambria" w:hAnsi="Cambria" w:cs="Cambria"/>
          <w:b/>
          <w:bCs/>
          <w:sz w:val="32"/>
          <w:szCs w:val="32"/>
        </w:rPr>
      </w:pPr>
    </w:p>
    <w:p w:rsidR="000F1954" w:rsidRDefault="000F1954">
      <w:pPr>
        <w:rPr>
          <w:rFonts w:ascii="Cambria" w:eastAsia="Cambria" w:hAnsi="Cambria" w:cs="Cambria"/>
          <w:b/>
          <w:bCs/>
          <w:sz w:val="32"/>
          <w:szCs w:val="32"/>
        </w:rPr>
      </w:pPr>
    </w:p>
    <w:p w:rsidR="000F1954" w:rsidRDefault="000F1954">
      <w:pPr>
        <w:spacing w:before="3"/>
        <w:rPr>
          <w:rFonts w:ascii="Cambria" w:eastAsia="Cambria" w:hAnsi="Cambria" w:cs="Cambria"/>
          <w:b/>
          <w:bCs/>
          <w:sz w:val="27"/>
          <w:szCs w:val="27"/>
        </w:rPr>
      </w:pPr>
    </w:p>
    <w:p w:rsidR="000F1954" w:rsidRDefault="008B5C6C">
      <w:pPr>
        <w:pStyle w:val="ListParagraph"/>
        <w:numPr>
          <w:ilvl w:val="0"/>
          <w:numId w:val="3"/>
        </w:numPr>
        <w:tabs>
          <w:tab w:val="left" w:pos="820"/>
        </w:tabs>
        <w:ind w:right="132" w:hanging="1440"/>
        <w:rPr>
          <w:rFonts w:ascii="Cambria" w:eastAsia="Cambria" w:hAnsi="Cambria" w:cs="Cambria"/>
          <w:sz w:val="32"/>
          <w:szCs w:val="32"/>
        </w:rPr>
      </w:pPr>
      <w:bookmarkStart w:id="2" w:name="A._Background"/>
      <w:bookmarkEnd w:id="2"/>
      <w:r>
        <w:rPr>
          <w:rFonts w:ascii="Cambria"/>
          <w:b/>
          <w:sz w:val="32"/>
        </w:rPr>
        <w:t>Background</w:t>
      </w:r>
    </w:p>
    <w:p w:rsidR="000F1954" w:rsidRDefault="000F1954">
      <w:pPr>
        <w:spacing w:before="1"/>
        <w:rPr>
          <w:rFonts w:ascii="Cambria" w:eastAsia="Cambria" w:hAnsi="Cambria" w:cs="Cambria"/>
          <w:b/>
          <w:bCs/>
          <w:sz w:val="28"/>
          <w:szCs w:val="28"/>
        </w:rPr>
      </w:pPr>
    </w:p>
    <w:p w:rsidR="000F1954" w:rsidRDefault="008B5C6C">
      <w:pPr>
        <w:pStyle w:val="BodyText"/>
        <w:ind w:left="819" w:right="132"/>
      </w:pPr>
      <w:r>
        <w:t xml:space="preserve">This is a request for OMB </w:t>
      </w:r>
      <w:proofErr w:type="spellStart"/>
      <w:r>
        <w:t>reapproval</w:t>
      </w:r>
      <w:proofErr w:type="spellEnd"/>
      <w:r>
        <w:t xml:space="preserve"> of the CMS-1957, SSO Report of State</w:t>
      </w:r>
      <w:r>
        <w:rPr>
          <w:spacing w:val="-19"/>
        </w:rPr>
        <w:t xml:space="preserve"> </w:t>
      </w:r>
      <w:r>
        <w:t>Buy-In</w:t>
      </w:r>
      <w:r>
        <w:rPr>
          <w:spacing w:val="-4"/>
        </w:rPr>
        <w:t xml:space="preserve"> </w:t>
      </w:r>
      <w:r>
        <w:t>Problems. Under Section 1843 of the Social Security Act, States may enter into</w:t>
      </w:r>
      <w:r>
        <w:rPr>
          <w:spacing w:val="-16"/>
        </w:rPr>
        <w:t xml:space="preserve"> </w:t>
      </w:r>
      <w:r>
        <w:t>an agreement with the Department of Health and Human Services to enroll</w:t>
      </w:r>
      <w:r>
        <w:rPr>
          <w:spacing w:val="-9"/>
        </w:rPr>
        <w:t xml:space="preserve"> </w:t>
      </w:r>
      <w:r>
        <w:t>eligible individuals in Medicare and pay their premiums. The purpose of the State</w:t>
      </w:r>
      <w:r>
        <w:rPr>
          <w:spacing w:val="-13"/>
        </w:rPr>
        <w:t xml:space="preserve"> </w:t>
      </w:r>
      <w:r>
        <w:t>Buy-in’ program is to assure that Medicaid is the payer of last resort by permitting a State</w:t>
      </w:r>
      <w:r>
        <w:rPr>
          <w:spacing w:val="-16"/>
        </w:rPr>
        <w:t xml:space="preserve"> </w:t>
      </w:r>
      <w:r>
        <w:t>to provide Medicare protection to certain groups of needy individuals, as part of the</w:t>
      </w:r>
      <w:r>
        <w:rPr>
          <w:spacing w:val="-17"/>
        </w:rPr>
        <w:t xml:space="preserve"> </w:t>
      </w:r>
      <w:r>
        <w:t>State’s total assistance plan. State Buy-in also has the effect of transferring some medical</w:t>
      </w:r>
      <w:r>
        <w:rPr>
          <w:spacing w:val="-19"/>
        </w:rPr>
        <w:t xml:space="preserve"> </w:t>
      </w:r>
      <w:r>
        <w:t>costs for this population from the Medicaid program, which is partially State funded to</w:t>
      </w:r>
      <w:r>
        <w:rPr>
          <w:spacing w:val="-15"/>
        </w:rPr>
        <w:t xml:space="preserve"> </w:t>
      </w:r>
      <w:r>
        <w:t>the Medicare program, which is funded by the federal government and individual</w:t>
      </w:r>
      <w:r>
        <w:rPr>
          <w:spacing w:val="-17"/>
        </w:rPr>
        <w:t xml:space="preserve"> </w:t>
      </w:r>
      <w:r>
        <w:t>premiums. Generally, the States Buy-in for individuals who meet the eligibility requirements</w:t>
      </w:r>
      <w:r>
        <w:rPr>
          <w:spacing w:val="-16"/>
        </w:rPr>
        <w:t xml:space="preserve"> </w:t>
      </w:r>
      <w:r>
        <w:t>for Medicare and are cash recipients or deemed cash recipients or categorically needy</w:t>
      </w:r>
      <w:r>
        <w:rPr>
          <w:spacing w:val="-2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Medicaid. In some cases, States may also include individuals who are not cash</w:t>
      </w:r>
      <w:r>
        <w:rPr>
          <w:spacing w:val="-18"/>
        </w:rPr>
        <w:t xml:space="preserve"> </w:t>
      </w:r>
      <w:r>
        <w:t>assistance recipients under the Medical Assistance Only</w:t>
      </w:r>
      <w:r>
        <w:rPr>
          <w:spacing w:val="-12"/>
        </w:rPr>
        <w:t xml:space="preserve"> </w:t>
      </w:r>
      <w:r>
        <w:t>group.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0F195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0F1954" w:rsidRDefault="008B5C6C">
      <w:pPr>
        <w:pStyle w:val="Heading1"/>
        <w:numPr>
          <w:ilvl w:val="0"/>
          <w:numId w:val="3"/>
        </w:numPr>
        <w:tabs>
          <w:tab w:val="left" w:pos="820"/>
        </w:tabs>
        <w:ind w:left="819" w:right="132" w:hanging="719"/>
        <w:rPr>
          <w:b w:val="0"/>
          <w:bCs w:val="0"/>
        </w:rPr>
      </w:pPr>
      <w:bookmarkStart w:id="3" w:name="B._Justification"/>
      <w:bookmarkEnd w:id="3"/>
      <w:r>
        <w:t>Justification</w:t>
      </w:r>
    </w:p>
    <w:p w:rsidR="000F1954" w:rsidRDefault="000F1954">
      <w:pPr>
        <w:spacing w:before="1"/>
        <w:rPr>
          <w:rFonts w:ascii="Cambria" w:eastAsia="Cambria" w:hAnsi="Cambria" w:cs="Cambria"/>
          <w:b/>
          <w:bCs/>
          <w:sz w:val="28"/>
          <w:szCs w:val="28"/>
        </w:rPr>
      </w:pPr>
    </w:p>
    <w:p w:rsidR="000F1954" w:rsidRDefault="008B5C6C">
      <w:pPr>
        <w:pStyle w:val="ListParagraph"/>
        <w:numPr>
          <w:ilvl w:val="1"/>
          <w:numId w:val="3"/>
        </w:numPr>
        <w:tabs>
          <w:tab w:val="left" w:pos="1540"/>
        </w:tabs>
        <w:ind w:right="13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Need and Legal</w:t>
      </w:r>
      <w:r>
        <w:rPr>
          <w:rFonts w:ascii="Times New Roman"/>
          <w:spacing w:val="4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Basis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spacing w:before="69"/>
        <w:ind w:left="820" w:right="132"/>
      </w:pPr>
      <w:r>
        <w:t>The statutory authority for the State Buy-in program is Section 1843 of the</w:t>
      </w:r>
      <w:r>
        <w:rPr>
          <w:spacing w:val="-18"/>
        </w:rPr>
        <w:t xml:space="preserve"> </w:t>
      </w:r>
      <w:r>
        <w:t>Social Security Act, amended through 1989. Under Section 1843, a State can enter into</w:t>
      </w:r>
      <w:r>
        <w:rPr>
          <w:spacing w:val="-14"/>
        </w:rPr>
        <w:t xml:space="preserve"> </w:t>
      </w:r>
      <w:r>
        <w:t>an agreement to provide Medicare protection to individuals who are members of a</w:t>
      </w:r>
      <w:r>
        <w:rPr>
          <w:spacing w:val="-17"/>
        </w:rPr>
        <w:t xml:space="preserve"> </w:t>
      </w:r>
      <w:r>
        <w:t>Buy-in coverage group, as specified in the State’s Buy-in</w:t>
      </w:r>
      <w:r>
        <w:rPr>
          <w:spacing w:val="-15"/>
        </w:rPr>
        <w:t xml:space="preserve"> </w:t>
      </w:r>
      <w:r>
        <w:t>agreement.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820" w:right="132"/>
      </w:pPr>
      <w:r>
        <w:t>The Code of Federal Regulations at 42 CFR Section 407.40 provides for States to</w:t>
      </w:r>
      <w:r>
        <w:rPr>
          <w:spacing w:val="-19"/>
        </w:rPr>
        <w:t xml:space="preserve"> </w:t>
      </w:r>
      <w:r>
        <w:t>enroll in Medicare and pay the premiums for all eligible members covered under a</w:t>
      </w:r>
      <w:r>
        <w:rPr>
          <w:spacing w:val="-16"/>
        </w:rPr>
        <w:t xml:space="preserve"> </w:t>
      </w:r>
      <w:r>
        <w:t>Buy-in coverage group. Individuals enrolled in Medicare through the Buy-in program must</w:t>
      </w:r>
      <w:r>
        <w:rPr>
          <w:spacing w:val="-16"/>
        </w:rPr>
        <w:t xml:space="preserve"> </w:t>
      </w:r>
      <w:r>
        <w:t>be eligible for Medicare and be an eligible member of a Buy-in coverage</w:t>
      </w:r>
      <w:r>
        <w:rPr>
          <w:spacing w:val="-16"/>
        </w:rPr>
        <w:t xml:space="preserve"> </w:t>
      </w:r>
      <w:r>
        <w:t>group.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820" w:right="420"/>
      </w:pPr>
      <w:r>
        <w:t>The day to day operations of the State Buy-in program is accomplished through</w:t>
      </w:r>
      <w:r>
        <w:rPr>
          <w:spacing w:val="-20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automated data exchange process. The automated data exchange process is used</w:t>
      </w:r>
      <w:r>
        <w:rPr>
          <w:spacing w:val="-8"/>
        </w:rPr>
        <w:t xml:space="preserve"> </w:t>
      </w:r>
      <w:r>
        <w:t>to exchange Medicare and Buy-in entitlement information between the Social</w:t>
      </w:r>
      <w:r>
        <w:rPr>
          <w:spacing w:val="-11"/>
        </w:rPr>
        <w:t xml:space="preserve"> </w:t>
      </w:r>
      <w:r>
        <w:t>Security District Offices, State Medicaid Agencies and the Centers for Medicare &amp;</w:t>
      </w:r>
      <w:r>
        <w:rPr>
          <w:spacing w:val="-17"/>
        </w:rPr>
        <w:t xml:space="preserve"> </w:t>
      </w:r>
      <w:r>
        <w:t>Medicaid Services (CMS). When problems arise that cannot be resolved though the normal</w:t>
      </w:r>
      <w:r>
        <w:rPr>
          <w:spacing w:val="-17"/>
        </w:rPr>
        <w:t xml:space="preserve"> </w:t>
      </w:r>
      <w:r>
        <w:t>data exchange process, clerical actions are required. The CMS-1957, “SSO Report of</w:t>
      </w:r>
      <w:r>
        <w:rPr>
          <w:spacing w:val="-17"/>
        </w:rPr>
        <w:t xml:space="preserve"> </w:t>
      </w:r>
      <w:r>
        <w:t>State Buy-In Problem” is used to report Buy-in problems cases. The CMS-1957 is the</w:t>
      </w:r>
      <w:r>
        <w:rPr>
          <w:spacing w:val="-13"/>
        </w:rPr>
        <w:t xml:space="preserve"> </w:t>
      </w:r>
      <w:r>
        <w:t>only standardized form available for communications between the aforementioned</w:t>
      </w:r>
      <w:r>
        <w:rPr>
          <w:spacing w:val="-17"/>
        </w:rPr>
        <w:t xml:space="preserve"> </w:t>
      </w:r>
      <w:r>
        <w:t>agencies</w:t>
      </w:r>
    </w:p>
    <w:p w:rsidR="000F1954" w:rsidRDefault="000F1954">
      <w:pPr>
        <w:sectPr w:rsidR="000F1954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</w:p>
    <w:p w:rsidR="000F1954" w:rsidRDefault="008B5C6C">
      <w:pPr>
        <w:pStyle w:val="BodyText"/>
        <w:spacing w:before="52"/>
        <w:ind w:left="440" w:right="101"/>
      </w:pPr>
      <w:proofErr w:type="gramStart"/>
      <w:r>
        <w:lastRenderedPageBreak/>
        <w:t>for</w:t>
      </w:r>
      <w:proofErr w:type="gramEnd"/>
      <w:r>
        <w:t xml:space="preserve"> the resolution of beneficiary complaints and inquiries regarding State</w:t>
      </w:r>
      <w:r>
        <w:rPr>
          <w:spacing w:val="-21"/>
        </w:rPr>
        <w:t xml:space="preserve"> </w:t>
      </w:r>
      <w:r>
        <w:t>Buy-in eligibility.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1"/>
          <w:numId w:val="3"/>
        </w:numPr>
        <w:tabs>
          <w:tab w:val="left" w:pos="1220"/>
        </w:tabs>
        <w:ind w:left="1220" w:right="101" w:hanging="7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Information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Users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spacing w:before="69"/>
        <w:ind w:left="440" w:right="101"/>
      </w:pPr>
      <w:r>
        <w:t>In most instances, the SSO becomes aware of a problem through a beneficiary</w:t>
      </w:r>
      <w:r>
        <w:rPr>
          <w:spacing w:val="-18"/>
        </w:rPr>
        <w:t xml:space="preserve"> </w:t>
      </w:r>
      <w:r>
        <w:t>complaint. Social Security District Offices and State Medicaid Agencies submit completed</w:t>
      </w:r>
      <w:r>
        <w:rPr>
          <w:spacing w:val="-14"/>
        </w:rPr>
        <w:t xml:space="preserve"> </w:t>
      </w:r>
      <w:r>
        <w:t>CMS 1957 forms to CMS to identify and correct Buy-in</w:t>
      </w:r>
      <w:r>
        <w:rPr>
          <w:spacing w:val="-14"/>
        </w:rPr>
        <w:t xml:space="preserve"> </w:t>
      </w:r>
      <w:r>
        <w:t>problems.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440" w:right="101"/>
      </w:pPr>
      <w:r>
        <w:t>A Buy-in problem usually involves one or more of the</w:t>
      </w:r>
      <w:r>
        <w:rPr>
          <w:spacing w:val="-17"/>
        </w:rPr>
        <w:t xml:space="preserve"> </w:t>
      </w:r>
      <w:r>
        <w:t>following: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2"/>
        </w:numPr>
        <w:tabs>
          <w:tab w:val="left" w:pos="1160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request to accrete or delete an individual from a State’s Buy-in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rolls.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2"/>
        </w:numPr>
        <w:tabs>
          <w:tab w:val="left" w:pos="1160"/>
        </w:tabs>
        <w:ind w:right="5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request to adjust the enrollment (accretion) and/or deletion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(dis-enrollment) date(s) annotated to CMS’ Medicare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2"/>
        </w:numPr>
        <w:tabs>
          <w:tab w:val="left" w:pos="1160"/>
        </w:tabs>
        <w:ind w:right="2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complaint of duplicate billing – occurs when State is paying the Medicare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 B premiums while the premiums are being deducted from a beneficiary’s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2"/>
        </w:numPr>
        <w:tabs>
          <w:tab w:val="left" w:pos="1160"/>
        </w:tabs>
        <w:ind w:right="7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complaint that an individual enrolled in the Buy-in program is also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being directly billed for the Medicare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premiums.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2"/>
        </w:numPr>
        <w:tabs>
          <w:tab w:val="left" w:pos="1160"/>
        </w:tabs>
        <w:ind w:right="10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request to refund Medicare premiums paid by the individual, while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the individual was an eligible member of a covered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group.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2"/>
        </w:numPr>
        <w:tabs>
          <w:tab w:val="left" w:pos="1160"/>
        </w:tabs>
        <w:ind w:righ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complaint that a Medicare claim was denied due to no Medicare coverage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while the individual was an eligible member of a covered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group.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2"/>
        </w:numPr>
        <w:tabs>
          <w:tab w:val="left" w:pos="1160"/>
        </w:tabs>
        <w:ind w:right="6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complaint that an individual received a Medicare termination notice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while being an eligible member of a Buy-in coverage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group.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2"/>
        </w:numPr>
        <w:tabs>
          <w:tab w:val="left" w:pos="1160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Individual is no longer eligible 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Buy-in.</w:t>
      </w:r>
    </w:p>
    <w:p w:rsidR="000F1954" w:rsidRDefault="000F1954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0F1954" w:rsidRDefault="008B5C6C">
      <w:pPr>
        <w:pStyle w:val="ListParagraph"/>
        <w:numPr>
          <w:ilvl w:val="0"/>
          <w:numId w:val="2"/>
        </w:numPr>
        <w:tabs>
          <w:tab w:val="left" w:pos="1160"/>
        </w:tabs>
        <w:ind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Medicare entitlement voided due to fraud or no longer meets Medicare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residency requirement.</w:t>
      </w:r>
    </w:p>
    <w:p w:rsidR="000F1954" w:rsidRDefault="000F19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1954" w:rsidRDefault="008B5C6C">
      <w:pPr>
        <w:pStyle w:val="ListParagraph"/>
        <w:numPr>
          <w:ilvl w:val="0"/>
          <w:numId w:val="2"/>
        </w:numPr>
        <w:tabs>
          <w:tab w:val="left" w:pos="1160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Individual moved out of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country.</w:t>
      </w:r>
    </w:p>
    <w:p w:rsidR="000F1954" w:rsidRDefault="000F195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1954" w:rsidRDefault="008B5C6C">
      <w:pPr>
        <w:pStyle w:val="ListParagraph"/>
        <w:numPr>
          <w:ilvl w:val="0"/>
          <w:numId w:val="2"/>
        </w:numPr>
        <w:tabs>
          <w:tab w:val="left" w:pos="1160"/>
        </w:tabs>
        <w:ind w:right="8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Establishing State Buy-in Eligibility for Railroad Retirement Board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(RRB) Annuitants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440" w:right="101"/>
      </w:pPr>
      <w:r>
        <w:t>The CMS-1957 is used in the resolution of beneficiary complaints regarding the</w:t>
      </w:r>
      <w:r>
        <w:rPr>
          <w:spacing w:val="-17"/>
        </w:rPr>
        <w:t xml:space="preserve"> </w:t>
      </w:r>
      <w:r>
        <w:t>State Buy-in Program. The SSO completes Part 1 and Part 2 of the form and forwards the</w:t>
      </w:r>
      <w:r>
        <w:rPr>
          <w:spacing w:val="-2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 the State Medicaid Agency for additional information, if necessary. The form</w:t>
      </w:r>
      <w:r>
        <w:rPr>
          <w:spacing w:val="-13"/>
        </w:rPr>
        <w:t xml:space="preserve"> </w:t>
      </w:r>
      <w:r>
        <w:t>is returned to the SSO for final review of the State data.  The SSO forwards the form</w:t>
      </w:r>
      <w:r>
        <w:rPr>
          <w:spacing w:val="-23"/>
        </w:rPr>
        <w:t xml:space="preserve"> </w:t>
      </w:r>
      <w:r>
        <w:t>to</w:t>
      </w:r>
    </w:p>
    <w:p w:rsidR="000F1954" w:rsidRDefault="000F1954">
      <w:pPr>
        <w:sectPr w:rsidR="000F1954">
          <w:pgSz w:w="12240" w:h="15840"/>
          <w:pgMar w:top="1380" w:right="1340" w:bottom="280" w:left="1720" w:header="720" w:footer="720" w:gutter="0"/>
          <w:cols w:space="720"/>
        </w:sectPr>
      </w:pPr>
    </w:p>
    <w:p w:rsidR="000F1954" w:rsidRDefault="008B5C6C">
      <w:pPr>
        <w:pStyle w:val="BodyText"/>
        <w:spacing w:before="52"/>
        <w:ind w:left="440" w:right="101"/>
      </w:pPr>
      <w:r>
        <w:lastRenderedPageBreak/>
        <w:t>CMS when the Third Party billing file and related records need</w:t>
      </w:r>
      <w:r>
        <w:rPr>
          <w:spacing w:val="-17"/>
        </w:rPr>
        <w:t xml:space="preserve"> </w:t>
      </w:r>
      <w:r>
        <w:t>correction.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440" w:right="101"/>
      </w:pPr>
      <w:r>
        <w:t>The CMS-1957 is designed as a cover letter to accumulate information necessary</w:t>
      </w:r>
      <w:r>
        <w:rPr>
          <w:spacing w:val="-17"/>
        </w:rPr>
        <w:t xml:space="preserve"> </w:t>
      </w:r>
      <w:r>
        <w:t>in resolving Buy-in problem cases. The CMS-1957 is described</w:t>
      </w:r>
      <w:r>
        <w:rPr>
          <w:spacing w:val="-16"/>
        </w:rPr>
        <w:t xml:space="preserve"> </w:t>
      </w:r>
      <w:r>
        <w:t>below: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439" w:right="101"/>
      </w:pPr>
      <w:r>
        <w:t>Identifying information is provided at the top portion of the form. This includes a</w:t>
      </w:r>
      <w:r>
        <w:rPr>
          <w:spacing w:val="-20"/>
        </w:rPr>
        <w:t xml:space="preserve"> </w:t>
      </w:r>
      <w:r>
        <w:t>“To” and “From” block; Beneficiary level-identification block including: Name;</w:t>
      </w:r>
      <w:r>
        <w:rPr>
          <w:spacing w:val="-14"/>
        </w:rPr>
        <w:t xml:space="preserve"> </w:t>
      </w:r>
      <w:r>
        <w:t>Medicare Claim Number, Social Security Number, Welfare ID Number, State and County</w:t>
      </w:r>
      <w:r>
        <w:rPr>
          <w:spacing w:val="-18"/>
        </w:rPr>
        <w:t xml:space="preserve"> </w:t>
      </w:r>
      <w:r>
        <w:t>of Residence, Sex, Date of Birth, and Claimant’s Mailing address. The SSO may need</w:t>
      </w:r>
      <w:r>
        <w:rPr>
          <w:spacing w:val="-21"/>
        </w:rPr>
        <w:t xml:space="preserve"> </w:t>
      </w:r>
      <w:r>
        <w:t>to contact the State Medicaid Agency in order to complete the identification</w:t>
      </w:r>
      <w:r>
        <w:rPr>
          <w:spacing w:val="-15"/>
        </w:rPr>
        <w:t xml:space="preserve"> </w:t>
      </w:r>
      <w:r>
        <w:t>block.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439" w:right="101"/>
      </w:pPr>
      <w:r>
        <w:t>Part 1, “Report of Problem by SSO” and Part 2, “SSI Status at SSO” (if applicable)</w:t>
      </w:r>
      <w:r>
        <w:rPr>
          <w:spacing w:val="-2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completed by the Social Security District Office. This section describes the</w:t>
      </w:r>
      <w:r>
        <w:rPr>
          <w:spacing w:val="-18"/>
        </w:rPr>
        <w:t xml:space="preserve"> </w:t>
      </w:r>
      <w:r>
        <w:t>problem and/or</w:t>
      </w:r>
      <w:r>
        <w:rPr>
          <w:spacing w:val="-3"/>
        </w:rPr>
        <w:t xml:space="preserve"> </w:t>
      </w:r>
      <w:r>
        <w:t>situation.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439" w:right="114"/>
      </w:pPr>
      <w:r>
        <w:t>Part 3, “Report of Buy-In Status by Welfare Department” and Part 4, “Information</w:t>
      </w:r>
      <w:r>
        <w:rPr>
          <w:spacing w:val="-19"/>
        </w:rPr>
        <w:t xml:space="preserve"> </w:t>
      </w:r>
      <w:r>
        <w:t>from the State’s records and/or actions being taken by State” are completed by the</w:t>
      </w:r>
      <w:r>
        <w:rPr>
          <w:spacing w:val="-18"/>
        </w:rPr>
        <w:t xml:space="preserve"> </w:t>
      </w:r>
      <w:r>
        <w:t>State Medicaid Agency. These sections are used for verifying Buy-in eligibility.</w:t>
      </w:r>
      <w:r>
        <w:rPr>
          <w:spacing w:val="48"/>
        </w:rPr>
        <w:t xml:space="preserve"> </w:t>
      </w:r>
      <w:r>
        <w:t>After verifying the Buy in status, the form is signed by the authorized State Medicaid</w:t>
      </w:r>
      <w:r>
        <w:rPr>
          <w:spacing w:val="-17"/>
        </w:rPr>
        <w:t xml:space="preserve"> </w:t>
      </w:r>
      <w:r>
        <w:t>Agency personnel; the form is dated and returned to the appropriate SSO and then the form is</w:t>
      </w:r>
      <w:r>
        <w:rPr>
          <w:spacing w:val="-18"/>
        </w:rPr>
        <w:t xml:space="preserve"> </w:t>
      </w:r>
      <w:r>
        <w:t>sent to CMS for</w:t>
      </w:r>
      <w:r>
        <w:rPr>
          <w:spacing w:val="-4"/>
        </w:rPr>
        <w:t xml:space="preserve"> </w:t>
      </w:r>
      <w:r>
        <w:t>resolution.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439" w:right="101"/>
      </w:pPr>
      <w:r>
        <w:t>Beneficiary problems and concerns related to the State Buy-in program cannot</w:t>
      </w:r>
      <w:r>
        <w:rPr>
          <w:spacing w:val="-14"/>
        </w:rPr>
        <w:t xml:space="preserve"> </w:t>
      </w:r>
      <w:r>
        <w:t>be officially documented without the use of CMS-1957 form. This form facilitates</w:t>
      </w:r>
      <w:r>
        <w:rPr>
          <w:spacing w:val="-16"/>
        </w:rPr>
        <w:t xml:space="preserve"> </w:t>
      </w:r>
      <w:r>
        <w:t>the coordination of efforts between the SSDOs, State Medicaid Agencies and CMS in</w:t>
      </w:r>
      <w:r>
        <w:rPr>
          <w:spacing w:val="-16"/>
        </w:rPr>
        <w:t xml:space="preserve"> </w:t>
      </w:r>
      <w:r>
        <w:t>the resolution of State Buy-in</w:t>
      </w:r>
      <w:r>
        <w:rPr>
          <w:spacing w:val="-9"/>
        </w:rPr>
        <w:t xml:space="preserve"> </w:t>
      </w:r>
      <w:r>
        <w:t>problems.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439" w:right="101"/>
      </w:pPr>
      <w:r>
        <w:t>The CMS-1957 is used for establishing State Buy-in eligibility for RRB Annuitants.</w:t>
      </w:r>
      <w:r>
        <w:rPr>
          <w:spacing w:val="-23"/>
        </w:rPr>
        <w:t xml:space="preserve"> </w:t>
      </w:r>
      <w:r>
        <w:t>Use of the CMS-1957 for the both purposes, reporting either Medicare or RRB</w:t>
      </w:r>
      <w:r>
        <w:rPr>
          <w:spacing w:val="-12"/>
        </w:rPr>
        <w:t xml:space="preserve"> </w:t>
      </w:r>
      <w:r>
        <w:t>Buy-in problems, promotes efficiencies across</w:t>
      </w:r>
      <w:r>
        <w:rPr>
          <w:spacing w:val="-12"/>
        </w:rPr>
        <w:t xml:space="preserve"> </w:t>
      </w:r>
      <w:r>
        <w:t>agencies.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220"/>
        </w:tabs>
        <w:ind w:right="101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Improved Information</w:t>
      </w:r>
      <w:r>
        <w:rPr>
          <w:rFonts w:ascii="Times New Roman"/>
          <w:spacing w:val="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Technology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spacing w:before="69"/>
        <w:ind w:left="439" w:right="114"/>
      </w:pPr>
      <w:r>
        <w:t>The form CMS-1957 is completed once for each Medicare Buy-in problem reported.</w:t>
      </w:r>
      <w:r>
        <w:rPr>
          <w:spacing w:val="48"/>
        </w:rPr>
        <w:t xml:space="preserve"> </w:t>
      </w:r>
      <w:r>
        <w:rPr>
          <w:spacing w:val="-4"/>
        </w:rPr>
        <w:t xml:space="preserve">In </w:t>
      </w:r>
      <w:r>
        <w:t>an effort to improve the use of the form through advance technology and</w:t>
      </w:r>
      <w:r>
        <w:rPr>
          <w:spacing w:val="-12"/>
        </w:rPr>
        <w:t xml:space="preserve"> </w:t>
      </w:r>
      <w:r>
        <w:t>electronic submissions, the form is now available in a PDF fill-able format with” save as” and</w:t>
      </w:r>
      <w:r>
        <w:rPr>
          <w:spacing w:val="-21"/>
        </w:rPr>
        <w:t xml:space="preserve"> </w:t>
      </w:r>
      <w:r>
        <w:t>‘e- signature’ features. The form CMS-1957 now lends itself to submission to CMS</w:t>
      </w:r>
      <w:r>
        <w:rPr>
          <w:spacing w:val="-20"/>
        </w:rPr>
        <w:t xml:space="preserve"> </w:t>
      </w:r>
      <w:r>
        <w:t>through electronic mail</w:t>
      </w:r>
      <w:r>
        <w:rPr>
          <w:spacing w:val="-4"/>
        </w:rPr>
        <w:t xml:space="preserve"> </w:t>
      </w:r>
      <w:r>
        <w:t>exchange.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220"/>
        </w:tabs>
        <w:ind w:left="1220" w:right="10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Duplication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spacing w:before="69"/>
        <w:ind w:right="101"/>
      </w:pPr>
      <w:r>
        <w:t>There is no duplication of work when reporting a State Buy-in problem.</w:t>
      </w:r>
      <w:r>
        <w:rPr>
          <w:spacing w:val="-12"/>
        </w:rPr>
        <w:t xml:space="preserve"> </w:t>
      </w:r>
      <w:r>
        <w:t>Each problem is unique. The information provided on the CMS-1957 is also unique</w:t>
      </w:r>
      <w:r>
        <w:rPr>
          <w:spacing w:val="-12"/>
        </w:rPr>
        <w:t xml:space="preserve"> </w:t>
      </w:r>
      <w:r>
        <w:t>to each</w:t>
      </w:r>
      <w:r>
        <w:rPr>
          <w:spacing w:val="-4"/>
        </w:rPr>
        <w:t xml:space="preserve"> </w:t>
      </w:r>
      <w:r>
        <w:t>individual.</w:t>
      </w:r>
    </w:p>
    <w:p w:rsidR="000F1954" w:rsidRDefault="000F1954">
      <w:pPr>
        <w:sectPr w:rsidR="000F1954">
          <w:pgSz w:w="12240" w:h="15840"/>
          <w:pgMar w:top="1380" w:right="1340" w:bottom="280" w:left="1720" w:header="720" w:footer="720" w:gutter="0"/>
          <w:cols w:space="720"/>
        </w:sectPr>
      </w:pPr>
    </w:p>
    <w:p w:rsidR="000F1954" w:rsidRDefault="000F1954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160"/>
        </w:tabs>
        <w:spacing w:before="69"/>
        <w:ind w:right="83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Small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Businesses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spacing w:before="69"/>
        <w:ind w:right="83"/>
      </w:pPr>
      <w:r>
        <w:t>This form is not completed by small business, but rather State and</w:t>
      </w:r>
      <w:r>
        <w:rPr>
          <w:spacing w:val="-17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Agencies.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160"/>
        </w:tabs>
        <w:ind w:right="83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Less Frequent</w:t>
      </w:r>
      <w:r>
        <w:rPr>
          <w:rFonts w:ascii="Times New Roman"/>
          <w:spacing w:val="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Collection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spacing w:before="69"/>
        <w:ind w:right="83"/>
      </w:pPr>
      <w:r>
        <w:t>This form is completed as needed when a beneficiary experiences a</w:t>
      </w:r>
      <w:r>
        <w:rPr>
          <w:spacing w:val="-13"/>
        </w:rPr>
        <w:t xml:space="preserve"> </w:t>
      </w:r>
      <w:r>
        <w:t>problem related to the State Buy-in</w:t>
      </w:r>
      <w:r>
        <w:rPr>
          <w:spacing w:val="-9"/>
        </w:rPr>
        <w:t xml:space="preserve"> </w:t>
      </w:r>
      <w:r>
        <w:t>problem.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160"/>
        </w:tabs>
        <w:ind w:right="83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Special Circumstances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spacing w:before="69"/>
        <w:ind w:right="83"/>
      </w:pPr>
      <w:r>
        <w:t>There are no special</w:t>
      </w:r>
      <w:r>
        <w:rPr>
          <w:spacing w:val="-8"/>
        </w:rPr>
        <w:t xml:space="preserve"> </w:t>
      </w:r>
      <w:r>
        <w:t>circumstances.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160"/>
        </w:tabs>
        <w:ind w:right="83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Federal Register/Outside</w:t>
      </w:r>
      <w:r>
        <w:rPr>
          <w:rFonts w:ascii="Times New Roman"/>
          <w:spacing w:val="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Consultation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tabs>
          <w:tab w:val="left" w:pos="8239"/>
        </w:tabs>
        <w:spacing w:before="69"/>
        <w:ind w:right="83"/>
      </w:pPr>
      <w:r>
        <w:t>The 60-day Federal Register notice published</w:t>
      </w:r>
      <w:r>
        <w:rPr>
          <w:spacing w:val="-10"/>
        </w:rPr>
        <w:t xml:space="preserve"> </w:t>
      </w:r>
      <w:r w:rsidR="00701C96">
        <w:t>on February 10, 2016</w:t>
      </w:r>
      <w:r>
        <w:t>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160"/>
        </w:tabs>
        <w:ind w:right="83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Payment/Gift To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Respondents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spacing w:before="69"/>
        <w:ind w:right="83"/>
      </w:pPr>
      <w:r>
        <w:t>There are no payments/gifts to</w:t>
      </w:r>
      <w:r>
        <w:rPr>
          <w:spacing w:val="-12"/>
        </w:rPr>
        <w:t xml:space="preserve"> </w:t>
      </w:r>
      <w:r>
        <w:t>respondents.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160"/>
        </w:tabs>
        <w:ind w:right="83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Confidentiality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spacing w:before="69"/>
        <w:ind w:right="83"/>
      </w:pPr>
      <w:r>
        <w:t>While there are no assurances of confidentiality provided, the information is</w:t>
      </w:r>
      <w:r>
        <w:rPr>
          <w:spacing w:val="-16"/>
        </w:rPr>
        <w:t xml:space="preserve"> </w:t>
      </w:r>
      <w:r>
        <w:t>used only within the Medicare</w:t>
      </w:r>
      <w:r>
        <w:rPr>
          <w:spacing w:val="-9"/>
        </w:rPr>
        <w:t xml:space="preserve"> </w:t>
      </w:r>
      <w:r>
        <w:t>program.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160"/>
        </w:tabs>
        <w:ind w:right="83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Sensitive</w:t>
      </w:r>
      <w:r>
        <w:rPr>
          <w:rFonts w:ascii="Times New Roman"/>
          <w:spacing w:val="-2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Questions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spacing w:before="69"/>
        <w:ind w:right="83"/>
      </w:pPr>
      <w:r>
        <w:t>There are no questions of a sensitive nature associated with this</w:t>
      </w:r>
      <w:r>
        <w:rPr>
          <w:spacing w:val="-14"/>
        </w:rPr>
        <w:t xml:space="preserve"> </w:t>
      </w:r>
      <w:r>
        <w:t>form.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160"/>
        </w:tabs>
        <w:ind w:right="83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Burden Estimate (Hours &amp; Wages)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7B1393" w:rsidRPr="007B1393" w:rsidRDefault="007B1393" w:rsidP="007B1393">
      <w:pPr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B1393">
        <w:rPr>
          <w:rFonts w:ascii="Times New Roman" w:eastAsia="Times New Roman" w:hAnsi="Times New Roman" w:cs="Times New Roman"/>
          <w:sz w:val="24"/>
          <w:szCs w:val="24"/>
        </w:rPr>
        <w:t>There are approximately 3,</w:t>
      </w:r>
      <w:r>
        <w:rPr>
          <w:rFonts w:ascii="Times New Roman" w:eastAsia="Times New Roman" w:hAnsi="Times New Roman" w:cs="Times New Roman"/>
          <w:sz w:val="24"/>
          <w:szCs w:val="24"/>
        </w:rPr>
        <w:t>936</w:t>
      </w:r>
      <w:r w:rsidRPr="007B1393">
        <w:rPr>
          <w:rFonts w:ascii="Times New Roman" w:eastAsia="Times New Roman" w:hAnsi="Times New Roman" w:cs="Times New Roman"/>
          <w:sz w:val="24"/>
          <w:szCs w:val="24"/>
        </w:rPr>
        <w:t xml:space="preserve"> forms completed and submitted to CMS for resolution annually.  It is assumed that each form represents a beneficiary making a </w:t>
      </w:r>
      <w:r>
        <w:rPr>
          <w:rFonts w:ascii="Times New Roman" w:eastAsia="Times New Roman" w:hAnsi="Times New Roman" w:cs="Times New Roman"/>
          <w:sz w:val="24"/>
          <w:szCs w:val="24"/>
        </w:rPr>
        <w:t>complaint.  Therefore, 3,936</w:t>
      </w:r>
      <w:r w:rsidRPr="007B1393">
        <w:rPr>
          <w:rFonts w:ascii="Times New Roman" w:eastAsia="Times New Roman" w:hAnsi="Times New Roman" w:cs="Times New Roman"/>
          <w:sz w:val="24"/>
          <w:szCs w:val="24"/>
        </w:rPr>
        <w:t xml:space="preserve"> beneficiaries provided information to their local SSO District Office.</w:t>
      </w:r>
    </w:p>
    <w:p w:rsidR="007B1393" w:rsidRPr="007B1393" w:rsidRDefault="007B1393" w:rsidP="007B1393">
      <w:pPr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B1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1393" w:rsidRPr="007B1393" w:rsidRDefault="007B1393" w:rsidP="007B1393">
      <w:pPr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B1393">
        <w:rPr>
          <w:rFonts w:ascii="Times New Roman" w:eastAsia="Times New Roman" w:hAnsi="Times New Roman" w:cs="Times New Roman"/>
          <w:sz w:val="24"/>
          <w:szCs w:val="24"/>
        </w:rPr>
        <w:t>The SSO completes Part 1 and Part 2 of the form by compiling and documenting information provided by the beneficiary.  The average interview and completion time for the CMS-1957 is 20 minutes.</w:t>
      </w:r>
    </w:p>
    <w:p w:rsidR="007B1393" w:rsidRPr="007B1393" w:rsidRDefault="007B1393" w:rsidP="007B1393">
      <w:pPr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bookmarkEnd w:id="4"/>
    </w:p>
    <w:p w:rsidR="007B1393" w:rsidRPr="007B1393" w:rsidRDefault="007B1393" w:rsidP="007B1393">
      <w:pPr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B1393">
        <w:rPr>
          <w:rFonts w:ascii="Times New Roman" w:eastAsia="Times New Roman" w:hAnsi="Times New Roman" w:cs="Times New Roman"/>
          <w:sz w:val="24"/>
          <w:szCs w:val="24"/>
        </w:rPr>
        <w:t>The form may be forwarded to the State Medicaid Agency for verification of the Buy-in status and returned to the SSO.  The two sections completed by the State Medicaid Agencies are merely check boxes.  Contacts in the State Medicaid Agencies estimate that this part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form can be completed in 20</w:t>
      </w:r>
      <w:r w:rsidRPr="007B1393">
        <w:rPr>
          <w:rFonts w:ascii="Times New Roman" w:eastAsia="Times New Roman" w:hAnsi="Times New Roman" w:cs="Times New Roman"/>
          <w:sz w:val="24"/>
          <w:szCs w:val="24"/>
        </w:rPr>
        <w:t xml:space="preserve"> minutes.</w:t>
      </w:r>
    </w:p>
    <w:p w:rsidR="000F1954" w:rsidRDefault="008B5C6C">
      <w:pPr>
        <w:pStyle w:val="BodyText"/>
        <w:spacing w:before="2" w:line="550" w:lineRule="atLeast"/>
        <w:ind w:left="1880" w:right="4368" w:hanging="720"/>
      </w:pPr>
      <w:r>
        <w:t>The burden is computed as</w:t>
      </w:r>
      <w:r>
        <w:rPr>
          <w:spacing w:val="-7"/>
        </w:rPr>
        <w:t xml:space="preserve"> </w:t>
      </w:r>
      <w:r>
        <w:t xml:space="preserve">follows: </w:t>
      </w:r>
      <w:r>
        <w:lastRenderedPageBreak/>
        <w:t>SSO Beneficiary</w:t>
      </w:r>
      <w:r>
        <w:rPr>
          <w:spacing w:val="-10"/>
        </w:rPr>
        <w:t xml:space="preserve"> </w:t>
      </w:r>
      <w:r>
        <w:t>Interview:</w:t>
      </w:r>
    </w:p>
    <w:p w:rsidR="000F1954" w:rsidRDefault="008B5C6C">
      <w:pPr>
        <w:pStyle w:val="BodyText"/>
        <w:ind w:left="1880" w:right="16"/>
      </w:pPr>
      <w:r>
        <w:t>3,936 beneficiary interviews multiplied by 20 minutes (1/3</w:t>
      </w:r>
      <w:r>
        <w:rPr>
          <w:spacing w:val="-14"/>
        </w:rPr>
        <w:t xml:space="preserve"> </w:t>
      </w:r>
      <w:r>
        <w:t>hr.)</w:t>
      </w:r>
    </w:p>
    <w:p w:rsidR="000F1954" w:rsidRDefault="00D64192">
      <w:pPr>
        <w:pStyle w:val="BodyText"/>
        <w:ind w:left="1880" w:right="16"/>
      </w:pPr>
      <w:r>
        <w:t>= 1,311.98</w:t>
      </w:r>
      <w:r w:rsidR="008B5C6C">
        <w:rPr>
          <w:spacing w:val="-2"/>
        </w:rPr>
        <w:t xml:space="preserve"> </w:t>
      </w:r>
      <w:r w:rsidR="008B5C6C">
        <w:t>hours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1880" w:right="16"/>
      </w:pPr>
      <w:r>
        <w:t>State Medicaid</w:t>
      </w:r>
      <w:r>
        <w:rPr>
          <w:spacing w:val="-11"/>
        </w:rPr>
        <w:t xml:space="preserve"> </w:t>
      </w:r>
      <w:r>
        <w:t>Agency:</w:t>
      </w:r>
    </w:p>
    <w:p w:rsidR="000F1954" w:rsidRDefault="008B5C6C">
      <w:pPr>
        <w:pStyle w:val="BodyText"/>
        <w:ind w:left="1880" w:right="16"/>
      </w:pPr>
      <w:r>
        <w:t>CMS only records the total count of forms received. A breakdown</w:t>
      </w:r>
      <w:r>
        <w:rPr>
          <w:spacing w:val="-10"/>
        </w:rPr>
        <w:t xml:space="preserve"> </w:t>
      </w:r>
      <w:r>
        <w:t>by Agency is not</w:t>
      </w:r>
      <w:r>
        <w:rPr>
          <w:spacing w:val="-8"/>
        </w:rPr>
        <w:t xml:space="preserve"> </w:t>
      </w:r>
      <w:r>
        <w:t>available.</w:t>
      </w:r>
    </w:p>
    <w:p w:rsidR="000F1954" w:rsidRDefault="000F195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ind w:left="1880" w:right="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Total burden = (Not applicable)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hours</w:t>
      </w:r>
    </w:p>
    <w:p w:rsidR="000F1954" w:rsidRDefault="000F195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F1954" w:rsidRDefault="008B5C6C">
      <w:pPr>
        <w:pStyle w:val="BodyText"/>
        <w:ind w:left="1880" w:right="16"/>
      </w:pPr>
      <w:r>
        <w:t>SSO Beneficiary</w:t>
      </w:r>
      <w:r>
        <w:rPr>
          <w:spacing w:val="-9"/>
        </w:rPr>
        <w:t xml:space="preserve"> </w:t>
      </w:r>
      <w:r>
        <w:t>Interview:</w:t>
      </w:r>
    </w:p>
    <w:p w:rsidR="000F1954" w:rsidRDefault="008B5C6C">
      <w:pPr>
        <w:pStyle w:val="BodyText"/>
        <w:ind w:left="1880" w:right="16"/>
      </w:pPr>
      <w:r>
        <w:t>Based on the standard hourly rate of $20.85 GS-7, step 5 multiplied</w:t>
      </w:r>
      <w:r>
        <w:rPr>
          <w:spacing w:val="-10"/>
        </w:rPr>
        <w:t xml:space="preserve"> </w:t>
      </w:r>
      <w:r>
        <w:t xml:space="preserve">by </w:t>
      </w:r>
      <w:r w:rsidR="00D64192">
        <w:t>1,311.98</w:t>
      </w:r>
      <w:r>
        <w:rPr>
          <w:spacing w:val="-1"/>
        </w:rPr>
        <w:t xml:space="preserve"> </w:t>
      </w:r>
      <w:r>
        <w:t>hours</w:t>
      </w:r>
    </w:p>
    <w:p w:rsidR="000F1954" w:rsidRDefault="008B5C6C">
      <w:pPr>
        <w:pStyle w:val="BodyText"/>
        <w:ind w:left="1880" w:right="16"/>
      </w:pPr>
      <w:r>
        <w:t>=</w:t>
      </w:r>
      <w:r>
        <w:rPr>
          <w:spacing w:val="-1"/>
        </w:rPr>
        <w:t xml:space="preserve"> </w:t>
      </w:r>
      <w:r w:rsidR="00D64192">
        <w:t>$27,354.78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220"/>
        </w:tabs>
        <w:ind w:left="1220" w:right="1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Capital Costs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1220" w:right="16"/>
      </w:pPr>
      <w:r>
        <w:t>$0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160"/>
        </w:tabs>
        <w:ind w:right="4368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Annual Cost to Federal</w:t>
      </w:r>
      <w:r>
        <w:rPr>
          <w:rFonts w:ascii="Times New Roman"/>
          <w:spacing w:val="-10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Government</w:t>
      </w:r>
      <w:r>
        <w:rPr>
          <w:rFonts w:ascii="Times New Roman"/>
          <w:sz w:val="24"/>
        </w:rPr>
        <w:t xml:space="preserve"> Printing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Costs:</w:t>
      </w:r>
    </w:p>
    <w:p w:rsidR="000F1954" w:rsidRDefault="008B5C6C">
      <w:pPr>
        <w:pStyle w:val="BodyText"/>
        <w:ind w:right="16"/>
      </w:pPr>
      <w:r>
        <w:t>No printing costs currently</w:t>
      </w:r>
      <w:r>
        <w:rPr>
          <w:spacing w:val="-11"/>
        </w:rPr>
        <w:t xml:space="preserve"> </w:t>
      </w:r>
      <w:r>
        <w:t>incurred.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right="16"/>
      </w:pPr>
      <w:r>
        <w:t>Processing</w:t>
      </w:r>
      <w:r>
        <w:rPr>
          <w:spacing w:val="-6"/>
        </w:rPr>
        <w:t xml:space="preserve"> </w:t>
      </w:r>
      <w:r>
        <w:t>Costs:</w:t>
      </w:r>
    </w:p>
    <w:p w:rsidR="000F1954" w:rsidRDefault="008B5C6C">
      <w:pPr>
        <w:pStyle w:val="BodyText"/>
        <w:ind w:right="16"/>
      </w:pPr>
      <w:r>
        <w:t>Not Applicable – CMS does not record SSA’s processing costs related to</w:t>
      </w:r>
      <w:r>
        <w:rPr>
          <w:spacing w:val="-16"/>
        </w:rPr>
        <w:t xml:space="preserve"> </w:t>
      </w:r>
      <w:r>
        <w:t>the CMS 1957</w:t>
      </w:r>
      <w:r>
        <w:rPr>
          <w:spacing w:val="-2"/>
        </w:rPr>
        <w:t xml:space="preserve"> </w:t>
      </w:r>
      <w:r>
        <w:t>form.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1159" w:right="16"/>
      </w:pPr>
      <w:r>
        <w:t>Social Security District Office Service complaints on the CMS-1957. Cost</w:t>
      </w:r>
      <w:r>
        <w:rPr>
          <w:spacing w:val="-16"/>
        </w:rPr>
        <w:t xml:space="preserve"> </w:t>
      </w:r>
      <w:r>
        <w:t>is computed as follows: GS-7, step 5, hourly rate of $20.85 multiplied by</w:t>
      </w:r>
      <w:r>
        <w:rPr>
          <w:spacing w:val="-15"/>
        </w:rPr>
        <w:t xml:space="preserve"> </w:t>
      </w:r>
      <w:r w:rsidR="00680E8E">
        <w:t xml:space="preserve">1,311.98 </w:t>
      </w:r>
      <w:r>
        <w:t>hours =</w:t>
      </w:r>
      <w:r>
        <w:rPr>
          <w:spacing w:val="-2"/>
        </w:rPr>
        <w:t xml:space="preserve"> </w:t>
      </w:r>
      <w:r w:rsidR="00680E8E">
        <w:t>$27,354.78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BodyText"/>
        <w:ind w:left="1159" w:right="16"/>
      </w:pPr>
      <w:r>
        <w:t>Total Federal Cost is</w:t>
      </w:r>
      <w:r>
        <w:rPr>
          <w:spacing w:val="-6"/>
        </w:rPr>
        <w:t xml:space="preserve"> </w:t>
      </w:r>
      <w:r w:rsidR="00680E8E">
        <w:t>$27,354.98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160"/>
        </w:tabs>
        <w:ind w:right="16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Program Changes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spacing w:before="69"/>
        <w:ind w:right="16"/>
      </w:pPr>
      <w:r>
        <w:t>The number of respondents increased since the last time this</w:t>
      </w:r>
      <w:r>
        <w:rPr>
          <w:spacing w:val="-11"/>
        </w:rPr>
        <w:t xml:space="preserve"> </w:t>
      </w:r>
      <w:r>
        <w:t>information collection was submitted for OMB approval. We have adjusted the</w:t>
      </w:r>
      <w:r>
        <w:rPr>
          <w:spacing w:val="-15"/>
        </w:rPr>
        <w:t xml:space="preserve"> </w:t>
      </w:r>
      <w:r>
        <w:t>burden accordingly.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160"/>
        </w:tabs>
        <w:ind w:right="16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Publication and Tabulation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Data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  <w:sectPr w:rsidR="000F1954">
          <w:pgSz w:w="12240" w:h="15840"/>
          <w:pgMar w:top="1380" w:right="1500" w:bottom="280" w:left="1720" w:header="720" w:footer="720" w:gutter="0"/>
          <w:cols w:space="720"/>
        </w:sectPr>
      </w:pPr>
    </w:p>
    <w:p w:rsidR="000F1954" w:rsidRDefault="000F1954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0F1954" w:rsidRDefault="008B5C6C">
      <w:pPr>
        <w:pStyle w:val="BodyText"/>
        <w:spacing w:before="69"/>
        <w:ind w:left="1540" w:right="132"/>
      </w:pPr>
      <w:r>
        <w:t>This information is not published or</w:t>
      </w:r>
      <w:r>
        <w:rPr>
          <w:spacing w:val="-12"/>
        </w:rPr>
        <w:t xml:space="preserve"> </w:t>
      </w:r>
      <w:r>
        <w:t>tabulated.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540"/>
        </w:tabs>
        <w:ind w:left="1540" w:right="132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Display of Expiration</w:t>
      </w:r>
      <w:r>
        <w:rPr>
          <w:rFonts w:ascii="Times New Roman"/>
          <w:spacing w:val="-5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Date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spacing w:before="69"/>
        <w:ind w:left="1540" w:right="104"/>
      </w:pPr>
      <w:r>
        <w:t>No expiration date currently exists on the form and we are seeking approval to</w:t>
      </w:r>
      <w:r>
        <w:rPr>
          <w:spacing w:val="-14"/>
        </w:rPr>
        <w:t xml:space="preserve"> </w:t>
      </w:r>
      <w:r>
        <w:t>not display an expiration date on the form. Neither the form nor the</w:t>
      </w:r>
      <w:r>
        <w:rPr>
          <w:spacing w:val="-13"/>
        </w:rPr>
        <w:t xml:space="preserve"> </w:t>
      </w:r>
      <w:r>
        <w:t>information requested changes from renewal to renewal. The requirement to include</w:t>
      </w:r>
      <w:r>
        <w:rPr>
          <w:spacing w:val="-9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expiration date, would necessitate the destruction of “in stock” forms with</w:t>
      </w:r>
      <w:r>
        <w:rPr>
          <w:spacing w:val="-12"/>
        </w:rPr>
        <w:t xml:space="preserve"> </w:t>
      </w:r>
      <w:r>
        <w:t>old dates. This would represent an increased cost to the Government for</w:t>
      </w:r>
      <w:r>
        <w:rPr>
          <w:spacing w:val="-9"/>
        </w:rPr>
        <w:t xml:space="preserve"> </w:t>
      </w:r>
      <w:r>
        <w:t>reprinting new</w:t>
      </w:r>
      <w:r>
        <w:rPr>
          <w:spacing w:val="-4"/>
        </w:rPr>
        <w:t xml:space="preserve"> </w:t>
      </w:r>
      <w:r>
        <w:t>forms.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8B5C6C">
      <w:pPr>
        <w:pStyle w:val="ListParagraph"/>
        <w:numPr>
          <w:ilvl w:val="0"/>
          <w:numId w:val="1"/>
        </w:numPr>
        <w:tabs>
          <w:tab w:val="left" w:pos="1599"/>
          <w:tab w:val="left" w:pos="1600"/>
        </w:tabs>
        <w:ind w:left="1600" w:right="13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Certification</w:t>
      </w:r>
    </w:p>
    <w:p w:rsidR="000F1954" w:rsidRDefault="000F1954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F1954" w:rsidRDefault="008B5C6C">
      <w:pPr>
        <w:pStyle w:val="BodyText"/>
        <w:spacing w:before="69"/>
        <w:ind w:left="1540" w:right="132"/>
      </w:pPr>
      <w:r>
        <w:t>There are no exceptions to the certification</w:t>
      </w:r>
      <w:r>
        <w:rPr>
          <w:spacing w:val="-12"/>
        </w:rPr>
        <w:t xml:space="preserve"> </w:t>
      </w:r>
      <w:r>
        <w:t>statement.</w:t>
      </w:r>
    </w:p>
    <w:p w:rsidR="000F1954" w:rsidRDefault="000F19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F1954" w:rsidRDefault="000F1954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0F1954" w:rsidRDefault="008B5C6C">
      <w:pPr>
        <w:pStyle w:val="Heading1"/>
        <w:numPr>
          <w:ilvl w:val="0"/>
          <w:numId w:val="3"/>
        </w:numPr>
        <w:tabs>
          <w:tab w:val="left" w:pos="2261"/>
        </w:tabs>
        <w:ind w:right="304" w:hanging="1440"/>
        <w:rPr>
          <w:b w:val="0"/>
          <w:bCs w:val="0"/>
        </w:rPr>
      </w:pPr>
      <w:bookmarkStart w:id="5" w:name="C.__Collections_of_Information_Employing"/>
      <w:bookmarkEnd w:id="5"/>
      <w:r>
        <w:t>Collections of Information Employing</w:t>
      </w:r>
      <w:r>
        <w:rPr>
          <w:spacing w:val="-29"/>
        </w:rPr>
        <w:t xml:space="preserve"> </w:t>
      </w:r>
      <w:r>
        <w:t>Statistical</w:t>
      </w:r>
      <w:r>
        <w:rPr>
          <w:w w:val="99"/>
        </w:rPr>
        <w:t xml:space="preserve"> </w:t>
      </w:r>
      <w:r>
        <w:t>Methods</w:t>
      </w:r>
    </w:p>
    <w:p w:rsidR="000F1954" w:rsidRDefault="000F1954">
      <w:pPr>
        <w:spacing w:before="1"/>
        <w:rPr>
          <w:rFonts w:ascii="Cambria" w:eastAsia="Cambria" w:hAnsi="Cambria" w:cs="Cambria"/>
          <w:b/>
          <w:bCs/>
          <w:sz w:val="28"/>
          <w:szCs w:val="28"/>
        </w:rPr>
      </w:pPr>
    </w:p>
    <w:p w:rsidR="000F1954" w:rsidRDefault="008B5C6C" w:rsidP="00833198">
      <w:pPr>
        <w:pStyle w:val="BodyText"/>
        <w:ind w:left="1540" w:right="132"/>
        <w:sectPr w:rsidR="000F1954">
          <w:pgSz w:w="12240" w:h="15840"/>
          <w:pgMar w:top="1500" w:right="1340" w:bottom="280" w:left="1340" w:header="720" w:footer="720" w:gutter="0"/>
          <w:cols w:space="720"/>
        </w:sectPr>
      </w:pPr>
      <w:r>
        <w:t>This section does not apply because statistical methods were not used</w:t>
      </w:r>
      <w:r>
        <w:rPr>
          <w:spacing w:val="-15"/>
        </w:rPr>
        <w:t xml:space="preserve"> </w:t>
      </w:r>
      <w:r>
        <w:t>in developing this</w:t>
      </w:r>
      <w:r>
        <w:rPr>
          <w:spacing w:val="-6"/>
        </w:rPr>
        <w:t xml:space="preserve"> </w:t>
      </w:r>
      <w:r w:rsidR="00833198">
        <w:t>collection.</w:t>
      </w:r>
    </w:p>
    <w:p w:rsidR="000F1954" w:rsidRPr="00833198" w:rsidRDefault="000F1954" w:rsidP="00833198">
      <w:pPr>
        <w:tabs>
          <w:tab w:val="left" w:pos="2415"/>
        </w:tabs>
        <w:rPr>
          <w:rFonts w:ascii="Times New Roman" w:eastAsia="Times New Roman" w:hAnsi="Times New Roman" w:cs="Times New Roman"/>
          <w:sz w:val="17"/>
          <w:szCs w:val="17"/>
        </w:rPr>
      </w:pPr>
    </w:p>
    <w:sectPr w:rsidR="000F1954" w:rsidRPr="00833198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7BDE"/>
    <w:multiLevelType w:val="hybridMultilevel"/>
    <w:tmpl w:val="92D21478"/>
    <w:lvl w:ilvl="0" w:tplc="ABECF122">
      <w:start w:val="1"/>
      <w:numFmt w:val="upperLetter"/>
      <w:lvlText w:val="%1."/>
      <w:lvlJc w:val="left"/>
      <w:pPr>
        <w:ind w:left="1540" w:hanging="720"/>
      </w:pPr>
      <w:rPr>
        <w:rFonts w:ascii="Cambria" w:eastAsia="Cambria" w:hAnsi="Cambria" w:hint="default"/>
        <w:b/>
        <w:bCs/>
        <w:w w:val="99"/>
        <w:sz w:val="32"/>
        <w:szCs w:val="32"/>
      </w:rPr>
    </w:lvl>
    <w:lvl w:ilvl="1" w:tplc="5E160EB4">
      <w:start w:val="1"/>
      <w:numFmt w:val="decimal"/>
      <w:lvlText w:val="%2."/>
      <w:lvlJc w:val="left"/>
      <w:pPr>
        <w:ind w:left="1540" w:hanging="72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D6A4958">
      <w:start w:val="1"/>
      <w:numFmt w:val="bullet"/>
      <w:lvlText w:val="•"/>
      <w:lvlJc w:val="left"/>
      <w:pPr>
        <w:ind w:left="3144" w:hanging="720"/>
      </w:pPr>
      <w:rPr>
        <w:rFonts w:hint="default"/>
      </w:rPr>
    </w:lvl>
    <w:lvl w:ilvl="3" w:tplc="0A442720">
      <w:start w:val="1"/>
      <w:numFmt w:val="bullet"/>
      <w:lvlText w:val="•"/>
      <w:lvlJc w:val="left"/>
      <w:pPr>
        <w:ind w:left="3946" w:hanging="720"/>
      </w:pPr>
      <w:rPr>
        <w:rFonts w:hint="default"/>
      </w:rPr>
    </w:lvl>
    <w:lvl w:ilvl="4" w:tplc="7244F424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5" w:tplc="A7669112">
      <w:start w:val="1"/>
      <w:numFmt w:val="bullet"/>
      <w:lvlText w:val="•"/>
      <w:lvlJc w:val="left"/>
      <w:pPr>
        <w:ind w:left="5550" w:hanging="720"/>
      </w:pPr>
      <w:rPr>
        <w:rFonts w:hint="default"/>
      </w:rPr>
    </w:lvl>
    <w:lvl w:ilvl="6" w:tplc="DA50B44E">
      <w:start w:val="1"/>
      <w:numFmt w:val="bullet"/>
      <w:lvlText w:val="•"/>
      <w:lvlJc w:val="left"/>
      <w:pPr>
        <w:ind w:left="6352" w:hanging="720"/>
      </w:pPr>
      <w:rPr>
        <w:rFonts w:hint="default"/>
      </w:rPr>
    </w:lvl>
    <w:lvl w:ilvl="7" w:tplc="BA56F914">
      <w:start w:val="1"/>
      <w:numFmt w:val="bullet"/>
      <w:lvlText w:val="•"/>
      <w:lvlJc w:val="left"/>
      <w:pPr>
        <w:ind w:left="7154" w:hanging="720"/>
      </w:pPr>
      <w:rPr>
        <w:rFonts w:hint="default"/>
      </w:rPr>
    </w:lvl>
    <w:lvl w:ilvl="8" w:tplc="0524829C">
      <w:start w:val="1"/>
      <w:numFmt w:val="bullet"/>
      <w:lvlText w:val="•"/>
      <w:lvlJc w:val="left"/>
      <w:pPr>
        <w:ind w:left="7956" w:hanging="720"/>
      </w:pPr>
      <w:rPr>
        <w:rFonts w:hint="default"/>
      </w:rPr>
    </w:lvl>
  </w:abstractNum>
  <w:abstractNum w:abstractNumId="1" w15:restartNumberingAfterBreak="0">
    <w:nsid w:val="54020D9F"/>
    <w:multiLevelType w:val="hybridMultilevel"/>
    <w:tmpl w:val="810C50D0"/>
    <w:lvl w:ilvl="0" w:tplc="C1903BC2">
      <w:start w:val="1"/>
      <w:numFmt w:val="decimal"/>
      <w:lvlText w:val="%1."/>
      <w:lvlJc w:val="left"/>
      <w:pPr>
        <w:ind w:left="1160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1600766">
      <w:start w:val="1"/>
      <w:numFmt w:val="bullet"/>
      <w:lvlText w:val="•"/>
      <w:lvlJc w:val="left"/>
      <w:pPr>
        <w:ind w:left="1962" w:hanging="720"/>
      </w:pPr>
      <w:rPr>
        <w:rFonts w:hint="default"/>
      </w:rPr>
    </w:lvl>
    <w:lvl w:ilvl="2" w:tplc="37681418">
      <w:start w:val="1"/>
      <w:numFmt w:val="bullet"/>
      <w:lvlText w:val="•"/>
      <w:lvlJc w:val="left"/>
      <w:pPr>
        <w:ind w:left="2764" w:hanging="720"/>
      </w:pPr>
      <w:rPr>
        <w:rFonts w:hint="default"/>
      </w:rPr>
    </w:lvl>
    <w:lvl w:ilvl="3" w:tplc="4F1EC77C">
      <w:start w:val="1"/>
      <w:numFmt w:val="bullet"/>
      <w:lvlText w:val="•"/>
      <w:lvlJc w:val="left"/>
      <w:pPr>
        <w:ind w:left="3566" w:hanging="720"/>
      </w:pPr>
      <w:rPr>
        <w:rFonts w:hint="default"/>
      </w:rPr>
    </w:lvl>
    <w:lvl w:ilvl="4" w:tplc="57F83610">
      <w:start w:val="1"/>
      <w:numFmt w:val="bullet"/>
      <w:lvlText w:val="•"/>
      <w:lvlJc w:val="left"/>
      <w:pPr>
        <w:ind w:left="4368" w:hanging="720"/>
      </w:pPr>
      <w:rPr>
        <w:rFonts w:hint="default"/>
      </w:rPr>
    </w:lvl>
    <w:lvl w:ilvl="5" w:tplc="925E8FA8">
      <w:start w:val="1"/>
      <w:numFmt w:val="bullet"/>
      <w:lvlText w:val="•"/>
      <w:lvlJc w:val="left"/>
      <w:pPr>
        <w:ind w:left="5170" w:hanging="720"/>
      </w:pPr>
      <w:rPr>
        <w:rFonts w:hint="default"/>
      </w:rPr>
    </w:lvl>
    <w:lvl w:ilvl="6" w:tplc="8DF0B288">
      <w:start w:val="1"/>
      <w:numFmt w:val="bullet"/>
      <w:lvlText w:val="•"/>
      <w:lvlJc w:val="left"/>
      <w:pPr>
        <w:ind w:left="5972" w:hanging="720"/>
      </w:pPr>
      <w:rPr>
        <w:rFonts w:hint="default"/>
      </w:rPr>
    </w:lvl>
    <w:lvl w:ilvl="7" w:tplc="8D50B2AE">
      <w:start w:val="1"/>
      <w:numFmt w:val="bullet"/>
      <w:lvlText w:val="•"/>
      <w:lvlJc w:val="left"/>
      <w:pPr>
        <w:ind w:left="6774" w:hanging="720"/>
      </w:pPr>
      <w:rPr>
        <w:rFonts w:hint="default"/>
      </w:rPr>
    </w:lvl>
    <w:lvl w:ilvl="8" w:tplc="587E7000">
      <w:start w:val="1"/>
      <w:numFmt w:val="bullet"/>
      <w:lvlText w:val="•"/>
      <w:lvlJc w:val="left"/>
      <w:pPr>
        <w:ind w:left="7576" w:hanging="720"/>
      </w:pPr>
      <w:rPr>
        <w:rFonts w:hint="default"/>
      </w:rPr>
    </w:lvl>
  </w:abstractNum>
  <w:abstractNum w:abstractNumId="2" w15:restartNumberingAfterBreak="0">
    <w:nsid w:val="6D5E75BF"/>
    <w:multiLevelType w:val="hybridMultilevel"/>
    <w:tmpl w:val="F586A192"/>
    <w:lvl w:ilvl="0" w:tplc="D3483070">
      <w:start w:val="3"/>
      <w:numFmt w:val="decimal"/>
      <w:lvlText w:val="%1."/>
      <w:lvlJc w:val="left"/>
      <w:pPr>
        <w:ind w:left="1160" w:hanging="78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47AD22C">
      <w:start w:val="1"/>
      <w:numFmt w:val="bullet"/>
      <w:lvlText w:val="•"/>
      <w:lvlJc w:val="left"/>
      <w:pPr>
        <w:ind w:left="1962" w:hanging="780"/>
      </w:pPr>
      <w:rPr>
        <w:rFonts w:hint="default"/>
      </w:rPr>
    </w:lvl>
    <w:lvl w:ilvl="2" w:tplc="6C289AAC">
      <w:start w:val="1"/>
      <w:numFmt w:val="bullet"/>
      <w:lvlText w:val="•"/>
      <w:lvlJc w:val="left"/>
      <w:pPr>
        <w:ind w:left="2764" w:hanging="780"/>
      </w:pPr>
      <w:rPr>
        <w:rFonts w:hint="default"/>
      </w:rPr>
    </w:lvl>
    <w:lvl w:ilvl="3" w:tplc="39E2FFE8">
      <w:start w:val="1"/>
      <w:numFmt w:val="bullet"/>
      <w:lvlText w:val="•"/>
      <w:lvlJc w:val="left"/>
      <w:pPr>
        <w:ind w:left="3566" w:hanging="780"/>
      </w:pPr>
      <w:rPr>
        <w:rFonts w:hint="default"/>
      </w:rPr>
    </w:lvl>
    <w:lvl w:ilvl="4" w:tplc="22D220B4">
      <w:start w:val="1"/>
      <w:numFmt w:val="bullet"/>
      <w:lvlText w:val="•"/>
      <w:lvlJc w:val="left"/>
      <w:pPr>
        <w:ind w:left="4368" w:hanging="780"/>
      </w:pPr>
      <w:rPr>
        <w:rFonts w:hint="default"/>
      </w:rPr>
    </w:lvl>
    <w:lvl w:ilvl="5" w:tplc="E7BE0EB8">
      <w:start w:val="1"/>
      <w:numFmt w:val="bullet"/>
      <w:lvlText w:val="•"/>
      <w:lvlJc w:val="left"/>
      <w:pPr>
        <w:ind w:left="5170" w:hanging="780"/>
      </w:pPr>
      <w:rPr>
        <w:rFonts w:hint="default"/>
      </w:rPr>
    </w:lvl>
    <w:lvl w:ilvl="6" w:tplc="221C0356">
      <w:start w:val="1"/>
      <w:numFmt w:val="bullet"/>
      <w:lvlText w:val="•"/>
      <w:lvlJc w:val="left"/>
      <w:pPr>
        <w:ind w:left="5972" w:hanging="780"/>
      </w:pPr>
      <w:rPr>
        <w:rFonts w:hint="default"/>
      </w:rPr>
    </w:lvl>
    <w:lvl w:ilvl="7" w:tplc="6B38B8B0">
      <w:start w:val="1"/>
      <w:numFmt w:val="bullet"/>
      <w:lvlText w:val="•"/>
      <w:lvlJc w:val="left"/>
      <w:pPr>
        <w:ind w:left="6774" w:hanging="780"/>
      </w:pPr>
      <w:rPr>
        <w:rFonts w:hint="default"/>
      </w:rPr>
    </w:lvl>
    <w:lvl w:ilvl="8" w:tplc="AE706A40">
      <w:start w:val="1"/>
      <w:numFmt w:val="bullet"/>
      <w:lvlText w:val="•"/>
      <w:lvlJc w:val="left"/>
      <w:pPr>
        <w:ind w:left="7576" w:hanging="7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F1954"/>
    <w:rsid w:val="000F1954"/>
    <w:rsid w:val="00680E8E"/>
    <w:rsid w:val="00701C96"/>
    <w:rsid w:val="007B1393"/>
    <w:rsid w:val="00833198"/>
    <w:rsid w:val="008B5C6C"/>
    <w:rsid w:val="00D6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5CF76C-9360-4738-B357-508DDFA6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40" w:hanging="1440"/>
      <w:outlineLvl w:val="0"/>
    </w:pPr>
    <w:rPr>
      <w:rFonts w:ascii="Cambria" w:eastAsia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10059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KAYLA WILLIAMS</cp:lastModifiedBy>
  <cp:revision>6</cp:revision>
  <dcterms:created xsi:type="dcterms:W3CDTF">2016-05-11T14:01:00Z</dcterms:created>
  <dcterms:modified xsi:type="dcterms:W3CDTF">2016-05-11T19:02:00Z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2016-05-11T00:00:00Z</vt:filetime>
  </property>
</Properties>
</file>