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3F7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Statement </w:t>
      </w:r>
      <w:r w:rsidR="007851E9">
        <w:rPr>
          <w:b/>
          <w:bCs/>
          <w:sz w:val="32"/>
          <w:szCs w:val="32"/>
        </w:rPr>
        <w:t>A</w:t>
      </w:r>
    </w:p>
    <w:p w14:paraId="6E8C7B42"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1E618F6F" w14:textId="77777777" w:rsidR="009B359F"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Energy and Mineral Development Program Grants</w:t>
      </w:r>
    </w:p>
    <w:p w14:paraId="1FC863E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65AE4354"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1076-0174</w:t>
      </w:r>
    </w:p>
    <w:p w14:paraId="6959CB40"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4D73902"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14:paraId="3FB2C4A3"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482E82E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3B616C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7FEF63"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7E0F782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81BCE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6379A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213CD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C27847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123901"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6D21986D" w14:textId="77777777" w:rsidR="00D67323" w:rsidRPr="00F86C76" w:rsidRDefault="00D67323" w:rsidP="004127B1">
      <w:pPr>
        <w:rPr>
          <w:sz w:val="24"/>
          <w:szCs w:val="24"/>
        </w:rPr>
      </w:pPr>
    </w:p>
    <w:p w14:paraId="3CE18F3A" w14:textId="7E874F71" w:rsidR="004127B1" w:rsidRPr="00F86C76" w:rsidRDefault="00F86C76" w:rsidP="00705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C76">
        <w:rPr>
          <w:sz w:val="24"/>
          <w:szCs w:val="24"/>
        </w:rPr>
        <w:t xml:space="preserve">The Energy Policy Act of 2005 authorizes the Secretary of the Interior to provide grants to Indian </w:t>
      </w:r>
      <w:r w:rsidR="007B145E">
        <w:rPr>
          <w:sz w:val="24"/>
          <w:szCs w:val="24"/>
        </w:rPr>
        <w:t>Trib</w:t>
      </w:r>
      <w:r w:rsidRPr="00F86C76">
        <w:rPr>
          <w:sz w:val="24"/>
          <w:szCs w:val="24"/>
        </w:rPr>
        <w:t>es for energy development and appropriates funds for such grants on a year-to-year basis</w:t>
      </w:r>
      <w:r w:rsidRPr="003F35F4">
        <w:rPr>
          <w:sz w:val="24"/>
          <w:szCs w:val="24"/>
        </w:rPr>
        <w:t xml:space="preserve">.  </w:t>
      </w:r>
      <w:r w:rsidRPr="007B145E">
        <w:rPr>
          <w:i/>
          <w:sz w:val="24"/>
          <w:szCs w:val="24"/>
        </w:rPr>
        <w:t>See</w:t>
      </w:r>
      <w:r w:rsidRPr="003F35F4">
        <w:rPr>
          <w:sz w:val="24"/>
          <w:szCs w:val="24"/>
        </w:rPr>
        <w:t xml:space="preserve"> 25 U.S.C. 3502</w:t>
      </w:r>
      <w:r w:rsidR="003F35F4">
        <w:rPr>
          <w:sz w:val="24"/>
          <w:szCs w:val="24"/>
        </w:rPr>
        <w:t xml:space="preserve"> (a</w:t>
      </w:r>
      <w:proofErr w:type="gramStart"/>
      <w:r w:rsidR="003F35F4">
        <w:rPr>
          <w:sz w:val="24"/>
          <w:szCs w:val="24"/>
        </w:rPr>
        <w:t>)(</w:t>
      </w:r>
      <w:proofErr w:type="gramEnd"/>
      <w:r w:rsidR="003F35F4">
        <w:rPr>
          <w:sz w:val="24"/>
          <w:szCs w:val="24"/>
        </w:rPr>
        <w:t>2)(B)</w:t>
      </w:r>
      <w:r w:rsidR="00F376EB">
        <w:rPr>
          <w:sz w:val="24"/>
          <w:szCs w:val="24"/>
        </w:rPr>
        <w:t xml:space="preserve">.  </w:t>
      </w:r>
      <w:r w:rsidRPr="00F86C76">
        <w:rPr>
          <w:sz w:val="24"/>
          <w:szCs w:val="24"/>
        </w:rPr>
        <w:t xml:space="preserve">When funding is available, the Office of Indian Energy and Economic Development (IEED) may solicit </w:t>
      </w:r>
      <w:r w:rsidR="00CD20D5">
        <w:rPr>
          <w:sz w:val="24"/>
          <w:szCs w:val="24"/>
        </w:rPr>
        <w:t>applica</w:t>
      </w:r>
      <w:r w:rsidR="007B145E">
        <w:rPr>
          <w:sz w:val="24"/>
          <w:szCs w:val="24"/>
        </w:rPr>
        <w:t>tion</w:t>
      </w:r>
      <w:r w:rsidR="00CD20D5">
        <w:rPr>
          <w:sz w:val="24"/>
          <w:szCs w:val="24"/>
        </w:rPr>
        <w:t xml:space="preserve">s </w:t>
      </w:r>
      <w:r w:rsidRPr="00F86C76">
        <w:rPr>
          <w:sz w:val="24"/>
          <w:szCs w:val="24"/>
        </w:rPr>
        <w:t xml:space="preserve">for energy development projects from Indian </w:t>
      </w:r>
      <w:r w:rsidR="007B145E">
        <w:rPr>
          <w:sz w:val="24"/>
          <w:szCs w:val="24"/>
        </w:rPr>
        <w:t>Trib</w:t>
      </w:r>
      <w:r w:rsidRPr="00F86C76">
        <w:rPr>
          <w:sz w:val="24"/>
          <w:szCs w:val="24"/>
        </w:rPr>
        <w:t>es whose lands are held in trust or restricted fee by the Federal government under the Energy and Miner</w:t>
      </w:r>
      <w:r w:rsidR="00F376EB">
        <w:rPr>
          <w:sz w:val="24"/>
          <w:szCs w:val="24"/>
        </w:rPr>
        <w:t xml:space="preserve">al Development Program (EMDP).  </w:t>
      </w:r>
      <w:r w:rsidRPr="00F86C76">
        <w:rPr>
          <w:sz w:val="24"/>
          <w:szCs w:val="24"/>
        </w:rPr>
        <w:t xml:space="preserve">Indian </w:t>
      </w:r>
      <w:r w:rsidR="007B145E">
        <w:rPr>
          <w:sz w:val="24"/>
          <w:szCs w:val="24"/>
        </w:rPr>
        <w:t>Trib</w:t>
      </w:r>
      <w:r w:rsidRPr="00F86C76">
        <w:rPr>
          <w:sz w:val="24"/>
          <w:szCs w:val="24"/>
        </w:rPr>
        <w:t>es that would like to apply for an EMDP g</w:t>
      </w:r>
      <w:r w:rsidR="00695512">
        <w:rPr>
          <w:sz w:val="24"/>
          <w:szCs w:val="24"/>
        </w:rPr>
        <w:t>rant must submit a</w:t>
      </w:r>
      <w:r w:rsidR="00CD20D5">
        <w:rPr>
          <w:sz w:val="24"/>
          <w:szCs w:val="24"/>
        </w:rPr>
        <w:t>n application</w:t>
      </w:r>
      <w:r w:rsidR="00695512">
        <w:rPr>
          <w:sz w:val="24"/>
          <w:szCs w:val="24"/>
        </w:rPr>
        <w:t xml:space="preserve"> </w:t>
      </w:r>
      <w:r w:rsidRPr="00F86C76">
        <w:rPr>
          <w:sz w:val="24"/>
          <w:szCs w:val="24"/>
        </w:rPr>
        <w:t>that includes certain information</w:t>
      </w:r>
      <w:r w:rsidR="00C95CDE">
        <w:rPr>
          <w:sz w:val="24"/>
          <w:szCs w:val="24"/>
        </w:rPr>
        <w:t>,</w:t>
      </w:r>
      <w:r w:rsidRPr="00F86C76">
        <w:rPr>
          <w:sz w:val="24"/>
          <w:szCs w:val="24"/>
        </w:rPr>
        <w:t xml:space="preserve"> and</w:t>
      </w:r>
      <w:r w:rsidR="00695512">
        <w:rPr>
          <w:sz w:val="24"/>
          <w:szCs w:val="24"/>
        </w:rPr>
        <w:t xml:space="preserve"> once </w:t>
      </w:r>
      <w:r w:rsidRPr="00F86C76">
        <w:rPr>
          <w:sz w:val="24"/>
          <w:szCs w:val="24"/>
        </w:rPr>
        <w:t xml:space="preserve">funding is </w:t>
      </w:r>
      <w:r w:rsidR="00F376EB" w:rsidRPr="00F86C76">
        <w:rPr>
          <w:sz w:val="24"/>
          <w:szCs w:val="24"/>
        </w:rPr>
        <w:t>received</w:t>
      </w:r>
      <w:r w:rsidR="00695512">
        <w:rPr>
          <w:sz w:val="24"/>
          <w:szCs w:val="24"/>
        </w:rPr>
        <w:t>, recipients</w:t>
      </w:r>
      <w:r w:rsidRPr="00F86C76">
        <w:rPr>
          <w:sz w:val="24"/>
          <w:szCs w:val="24"/>
        </w:rPr>
        <w:t xml:space="preserve"> must submit reports on how they are using the funding.  </w:t>
      </w:r>
      <w:r w:rsidR="00705958" w:rsidRPr="00705958">
        <w:rPr>
          <w:sz w:val="24"/>
          <w:szCs w:val="24"/>
        </w:rPr>
        <w:t xml:space="preserve">Awards will be made either as a direct service to </w:t>
      </w:r>
      <w:r w:rsidR="002A603C">
        <w:rPr>
          <w:sz w:val="24"/>
          <w:szCs w:val="24"/>
        </w:rPr>
        <w:t>Trib</w:t>
      </w:r>
      <w:r w:rsidR="00705958" w:rsidRPr="00705958">
        <w:rPr>
          <w:sz w:val="24"/>
          <w:szCs w:val="24"/>
        </w:rPr>
        <w:t>es or pursuant to the Indian Self</w:t>
      </w:r>
      <w:r w:rsidR="00705958">
        <w:rPr>
          <w:sz w:val="24"/>
          <w:szCs w:val="24"/>
        </w:rPr>
        <w:t>-</w:t>
      </w:r>
      <w:r w:rsidR="00705958" w:rsidRPr="00705958">
        <w:rPr>
          <w:sz w:val="24"/>
          <w:szCs w:val="24"/>
        </w:rPr>
        <w:t>Determination</w:t>
      </w:r>
      <w:r w:rsidR="00EF39BA">
        <w:rPr>
          <w:sz w:val="24"/>
          <w:szCs w:val="24"/>
        </w:rPr>
        <w:t xml:space="preserve"> </w:t>
      </w:r>
      <w:r w:rsidR="00705958" w:rsidRPr="00705958">
        <w:rPr>
          <w:sz w:val="24"/>
          <w:szCs w:val="24"/>
        </w:rPr>
        <w:t>and Education Assistance Act (ISDA), 25 U.S.C. section 450, et seq.</w:t>
      </w:r>
      <w:r w:rsidR="00EF39BA">
        <w:rPr>
          <w:sz w:val="24"/>
          <w:szCs w:val="24"/>
        </w:rPr>
        <w:t xml:space="preserve"> </w:t>
      </w:r>
      <w:r w:rsidR="00705958" w:rsidRPr="00705958">
        <w:rPr>
          <w:sz w:val="24"/>
          <w:szCs w:val="24"/>
        </w:rPr>
        <w:t>Tribal organizations, as defined at 25 U.S.C section 450b (l), are eligible for funding.</w:t>
      </w:r>
    </w:p>
    <w:p w14:paraId="344077C4"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83F6FEC"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24B582C8"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6669F839" w14:textId="77777777" w:rsidR="00675DC6"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F86C76">
        <w:rPr>
          <w:bCs/>
          <w:sz w:val="24"/>
          <w:szCs w:val="22"/>
        </w:rPr>
        <w:t>IEED uses the informati</w:t>
      </w:r>
      <w:r w:rsidR="00695512">
        <w:rPr>
          <w:bCs/>
          <w:sz w:val="24"/>
          <w:szCs w:val="22"/>
        </w:rPr>
        <w:t xml:space="preserve">on provided by </w:t>
      </w:r>
      <w:r w:rsidR="007B145E">
        <w:rPr>
          <w:bCs/>
          <w:sz w:val="24"/>
          <w:szCs w:val="22"/>
        </w:rPr>
        <w:t>Trib</w:t>
      </w:r>
      <w:r w:rsidR="00695512">
        <w:rPr>
          <w:bCs/>
          <w:sz w:val="24"/>
          <w:szCs w:val="22"/>
        </w:rPr>
        <w:t xml:space="preserve">es in their </w:t>
      </w:r>
      <w:r w:rsidR="00CD20D5">
        <w:rPr>
          <w:bCs/>
          <w:sz w:val="24"/>
          <w:szCs w:val="22"/>
        </w:rPr>
        <w:t>application</w:t>
      </w:r>
      <w:r w:rsidRPr="00F86C76">
        <w:rPr>
          <w:bCs/>
          <w:sz w:val="24"/>
          <w:szCs w:val="22"/>
        </w:rPr>
        <w:t xml:space="preserve"> to determine whether they are eligible for EMPD funding.  </w:t>
      </w:r>
      <w:r w:rsidR="009A3C64" w:rsidRPr="009A3C64">
        <w:rPr>
          <w:bCs/>
          <w:sz w:val="24"/>
          <w:szCs w:val="22"/>
        </w:rPr>
        <w:t xml:space="preserve">Indian Tribes that would like to apply for an EMDP grant must </w:t>
      </w:r>
      <w:r w:rsidR="009A3C64" w:rsidRPr="009A3C64">
        <w:rPr>
          <w:bCs/>
          <w:sz w:val="24"/>
          <w:szCs w:val="22"/>
        </w:rPr>
        <w:lastRenderedPageBreak/>
        <w:t xml:space="preserve">submit an application that includes certain information.  A complete application must contain a current, signed Tribal resolution that provides sufficient information to authorize the project and comply with the terms of the grant; a proposal describing the planned activities and deliverable products; and a detailed budget estimate.  </w:t>
      </w:r>
      <w:r w:rsidR="00675DC6" w:rsidRPr="00675DC6">
        <w:rPr>
          <w:bCs/>
          <w:sz w:val="24"/>
          <w:szCs w:val="22"/>
        </w:rPr>
        <w:t>The information collected in conjunction with the contract proposal</w:t>
      </w:r>
      <w:r w:rsidR="00675DC6">
        <w:rPr>
          <w:bCs/>
          <w:sz w:val="24"/>
          <w:szCs w:val="22"/>
        </w:rPr>
        <w:t xml:space="preserve"> also</w:t>
      </w:r>
      <w:r w:rsidR="00675DC6" w:rsidRPr="00675DC6">
        <w:rPr>
          <w:bCs/>
          <w:sz w:val="24"/>
          <w:szCs w:val="22"/>
        </w:rPr>
        <w:t xml:space="preserve"> includes:  the full name, address and telephone number of the Indian Tribe or Tribal organization proposing the contract; a copy of the authorizing resolution from the Indian Tribe(s) to be served; the date of submission of the proposal; a brief statement of the programs, functions, services, or activities that the Indian Tribe or Tribal organization proposes to perform, the amount of funds requested; and the proposed starting date and term of the contract.</w:t>
      </w:r>
      <w:r w:rsidR="00675DC6">
        <w:rPr>
          <w:bCs/>
          <w:sz w:val="24"/>
          <w:szCs w:val="22"/>
        </w:rPr>
        <w:t xml:space="preserve">  </w:t>
      </w:r>
      <w:r w:rsidR="009A3C64" w:rsidRPr="009A3C64">
        <w:rPr>
          <w:bCs/>
          <w:sz w:val="24"/>
          <w:szCs w:val="22"/>
        </w:rPr>
        <w:t xml:space="preserve">The IEED requires this information to ensure that it provides funding only to those projects that meet the goals of the EMDP and purposes for which Congress provides the appropriation. </w:t>
      </w:r>
    </w:p>
    <w:p w14:paraId="4C6C9422" w14:textId="77777777" w:rsidR="00675DC6" w:rsidRDefault="00675D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p>
    <w:p w14:paraId="346A660B" w14:textId="250646E2" w:rsidR="00942F6E" w:rsidRPr="00942F6E" w:rsidRDefault="009A3C64" w:rsidP="00942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9A3C64">
        <w:rPr>
          <w:bCs/>
          <w:sz w:val="24"/>
          <w:szCs w:val="22"/>
        </w:rPr>
        <w:t xml:space="preserve">Upon acceptance of an application, a Tribe must then submit one – to two – </w:t>
      </w:r>
      <w:proofErr w:type="gramStart"/>
      <w:r w:rsidRPr="009A3C64">
        <w:rPr>
          <w:bCs/>
          <w:sz w:val="24"/>
          <w:szCs w:val="22"/>
        </w:rPr>
        <w:t>page</w:t>
      </w:r>
      <w:proofErr w:type="gramEnd"/>
      <w:r w:rsidRPr="009A3C64">
        <w:rPr>
          <w:bCs/>
          <w:sz w:val="24"/>
          <w:szCs w:val="22"/>
        </w:rPr>
        <w:t xml:space="preserve"> quarterly progress reports summarizing events, accomplishments, problems and/or results in executing the project. </w:t>
      </w:r>
      <w:r w:rsidR="00675DC6">
        <w:rPr>
          <w:bCs/>
          <w:sz w:val="24"/>
          <w:szCs w:val="22"/>
        </w:rPr>
        <w:t xml:space="preserve"> </w:t>
      </w:r>
      <w:r w:rsidR="00942F6E" w:rsidRPr="00942F6E">
        <w:rPr>
          <w:bCs/>
          <w:sz w:val="24"/>
          <w:szCs w:val="22"/>
        </w:rPr>
        <w:t>Qu</w:t>
      </w:r>
      <w:r w:rsidR="00942F6E">
        <w:rPr>
          <w:bCs/>
          <w:sz w:val="24"/>
          <w:szCs w:val="22"/>
        </w:rPr>
        <w:t>arterly reports assist IEED</w:t>
      </w:r>
      <w:r w:rsidR="00942F6E" w:rsidRPr="00942F6E">
        <w:rPr>
          <w:bCs/>
          <w:sz w:val="24"/>
          <w:szCs w:val="22"/>
        </w:rPr>
        <w:t xml:space="preserve"> staff with project monitoring of the EMDP </w:t>
      </w:r>
      <w:r w:rsidR="00942F6E">
        <w:rPr>
          <w:bCs/>
          <w:sz w:val="24"/>
          <w:szCs w:val="22"/>
        </w:rPr>
        <w:t>program</w:t>
      </w:r>
      <w:r w:rsidR="00942F6E" w:rsidRPr="00942F6E">
        <w:rPr>
          <w:bCs/>
          <w:sz w:val="24"/>
          <w:szCs w:val="22"/>
        </w:rPr>
        <w:t xml:space="preserve"> and ensure that projects are making adequate progress in achieving the project’s objectives</w:t>
      </w:r>
      <w:r w:rsidR="00942F6E">
        <w:rPr>
          <w:bCs/>
          <w:sz w:val="24"/>
          <w:szCs w:val="22"/>
        </w:rPr>
        <w:t>.</w:t>
      </w:r>
      <w:r w:rsidR="00942F6E" w:rsidRPr="00942F6E">
        <w:rPr>
          <w:bCs/>
          <w:sz w:val="24"/>
          <w:szCs w:val="22"/>
        </w:rPr>
        <w:t xml:space="preserve"> </w:t>
      </w:r>
      <w:r w:rsidR="00942F6E">
        <w:rPr>
          <w:bCs/>
          <w:sz w:val="24"/>
          <w:szCs w:val="22"/>
        </w:rPr>
        <w:t xml:space="preserve"> </w:t>
      </w:r>
      <w:r w:rsidR="00942F6E" w:rsidRPr="00942F6E">
        <w:rPr>
          <w:bCs/>
          <w:sz w:val="24"/>
          <w:szCs w:val="22"/>
        </w:rPr>
        <w:t xml:space="preserve">IEED uses the application information in conjunction with the information provided in the Tribe’s reports to determine whether the Tribe is using the funding for the stated purpose of exploration, assessment, development, feasibility, or market studies.  </w:t>
      </w:r>
    </w:p>
    <w:p w14:paraId="70D989B6" w14:textId="397064C6" w:rsidR="00942F6E" w:rsidRPr="00942F6E" w:rsidRDefault="00942F6E" w:rsidP="00942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p>
    <w:p w14:paraId="32F7B13B" w14:textId="71EF6772" w:rsidR="00675DC6" w:rsidRPr="00675DC6" w:rsidRDefault="00942F6E" w:rsidP="00942F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942F6E">
        <w:rPr>
          <w:bCs/>
          <w:sz w:val="24"/>
          <w:szCs w:val="22"/>
        </w:rPr>
        <w:t>Quarterly reports consist of a brief narrative description of project performance for the specific quarter, and the necessary S</w:t>
      </w:r>
      <w:r w:rsidR="00D53592">
        <w:rPr>
          <w:bCs/>
          <w:sz w:val="24"/>
          <w:szCs w:val="22"/>
        </w:rPr>
        <w:t>tandard Form</w:t>
      </w:r>
      <w:r w:rsidRPr="00942F6E">
        <w:rPr>
          <w:bCs/>
          <w:sz w:val="24"/>
          <w:szCs w:val="22"/>
        </w:rPr>
        <w:t xml:space="preserve"> 425</w:t>
      </w:r>
      <w:r w:rsidR="00D53592">
        <w:rPr>
          <w:bCs/>
          <w:sz w:val="24"/>
          <w:szCs w:val="22"/>
        </w:rPr>
        <w:t>, a</w:t>
      </w:r>
      <w:bookmarkStart w:id="0" w:name="_GoBack"/>
      <w:bookmarkEnd w:id="0"/>
      <w:r w:rsidRPr="00942F6E">
        <w:rPr>
          <w:bCs/>
          <w:sz w:val="24"/>
          <w:szCs w:val="22"/>
        </w:rPr>
        <w:t xml:space="preserve"> Financial Report form.  Quarter reporting dates are listed in the Award Agreement Terms and Conditions.</w:t>
      </w:r>
      <w:r w:rsidRPr="00942F6E">
        <w:rPr>
          <w:bCs/>
          <w:sz w:val="24"/>
          <w:szCs w:val="22"/>
        </w:rPr>
        <w:t xml:space="preserve"> </w:t>
      </w:r>
    </w:p>
    <w:p w14:paraId="189CB52D" w14:textId="77777777" w:rsidR="00675DC6" w:rsidRDefault="00675D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14:paraId="62670886" w14:textId="6356EBB0" w:rsidR="00295103" w:rsidRPr="00F86C76"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86C76">
        <w:rPr>
          <w:sz w:val="24"/>
          <w:szCs w:val="22"/>
        </w:rPr>
        <w:t>The information is not disseminated to the public or used to support information that will be disseminated to the public.</w:t>
      </w:r>
    </w:p>
    <w:p w14:paraId="25BEDCAA" w14:textId="77777777" w:rsidR="00F86C76" w:rsidRPr="00BB6435" w:rsidRDefault="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624336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5D4175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449004D3"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F86C76">
        <w:rPr>
          <w:sz w:val="24"/>
          <w:szCs w:val="22"/>
        </w:rPr>
        <w:t xml:space="preserve">IEED accepts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007B145E">
        <w:rPr>
          <w:sz w:val="24"/>
          <w:szCs w:val="22"/>
        </w:rPr>
        <w:t xml:space="preserve"> reports by email</w:t>
      </w:r>
      <w:r w:rsidRPr="00F86C76">
        <w:rPr>
          <w:sz w:val="24"/>
          <w:szCs w:val="22"/>
        </w:rPr>
        <w:t>, by fax, and by regular mail.</w:t>
      </w:r>
    </w:p>
    <w:p w14:paraId="6415F08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B9A8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458097E6"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1503502" w14:textId="77777777" w:rsidR="00F86C76" w:rsidRPr="00F86C76" w:rsidRDefault="00F86C76" w:rsidP="00F86C76">
      <w:pPr>
        <w:rPr>
          <w:sz w:val="24"/>
          <w:szCs w:val="24"/>
        </w:rPr>
      </w:pPr>
      <w:r w:rsidRPr="00F86C76">
        <w:rPr>
          <w:sz w:val="24"/>
          <w:szCs w:val="24"/>
        </w:rPr>
        <w:t xml:space="preserve">The information that IEED collects is not available from any other source.  The information collected is unique to each </w:t>
      </w:r>
      <w:r w:rsidR="007B145E">
        <w:rPr>
          <w:sz w:val="24"/>
          <w:szCs w:val="24"/>
        </w:rPr>
        <w:t>Trib</w:t>
      </w:r>
      <w:r w:rsidRPr="00F86C76">
        <w:rPr>
          <w:sz w:val="24"/>
          <w:szCs w:val="24"/>
        </w:rPr>
        <w:t xml:space="preserve">e and unique to each </w:t>
      </w:r>
      <w:r w:rsidR="007B145E">
        <w:rPr>
          <w:sz w:val="24"/>
          <w:szCs w:val="24"/>
        </w:rPr>
        <w:t>Trib</w:t>
      </w:r>
      <w:r w:rsidRPr="00F86C76">
        <w:rPr>
          <w:sz w:val="24"/>
          <w:szCs w:val="24"/>
        </w:rPr>
        <w:t xml:space="preserve">e’s plans for energy exploration, assessment, and development. </w:t>
      </w:r>
    </w:p>
    <w:p w14:paraId="2D0E81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08A8AA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xml:space="preserve">, describe </w:t>
      </w:r>
      <w:r w:rsidRPr="00BB6435">
        <w:rPr>
          <w:b/>
          <w:sz w:val="24"/>
          <w:szCs w:val="24"/>
        </w:rPr>
        <w:lastRenderedPageBreak/>
        <w:t>any methods used to minimize burden.</w:t>
      </w:r>
    </w:p>
    <w:p w14:paraId="7DF6E8C2"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044C597C" w14:textId="77777777" w:rsidR="00F86C76" w:rsidRDefault="00F86C76" w:rsidP="00F86C76">
      <w:pPr>
        <w:rPr>
          <w:sz w:val="24"/>
          <w:szCs w:val="24"/>
        </w:rPr>
      </w:pPr>
      <w:r w:rsidRPr="00F86C76">
        <w:rPr>
          <w:sz w:val="24"/>
          <w:szCs w:val="24"/>
        </w:rPr>
        <w:t xml:space="preserve">Indian </w:t>
      </w:r>
      <w:r w:rsidR="007B145E">
        <w:rPr>
          <w:sz w:val="24"/>
          <w:szCs w:val="24"/>
        </w:rPr>
        <w:t>Trib</w:t>
      </w:r>
      <w:r w:rsidRPr="00F86C76">
        <w:rPr>
          <w:sz w:val="24"/>
          <w:szCs w:val="24"/>
        </w:rPr>
        <w:t xml:space="preserve">es are not considered small entities, but they may finance small businesses that conduct the energy exploration, assessment, and development.  To ensure that the burden of providing information is minimized, IEED collects only information that is necessary for it to determine whether a </w:t>
      </w:r>
      <w:r w:rsidR="007B145E">
        <w:rPr>
          <w:sz w:val="24"/>
          <w:szCs w:val="24"/>
        </w:rPr>
        <w:t>Trib</w:t>
      </w:r>
      <w:r w:rsidRPr="00F86C76">
        <w:rPr>
          <w:sz w:val="24"/>
          <w:szCs w:val="24"/>
        </w:rPr>
        <w:t xml:space="preserve">e is eligible for funding and whether the funding is being appropriately </w:t>
      </w:r>
      <w:r w:rsidR="007B145E">
        <w:rPr>
          <w:sz w:val="24"/>
          <w:szCs w:val="24"/>
        </w:rPr>
        <w:t>allocated</w:t>
      </w:r>
      <w:r w:rsidRPr="00F86C76">
        <w:rPr>
          <w:sz w:val="24"/>
          <w:szCs w:val="24"/>
        </w:rPr>
        <w:t xml:space="preserve">.  </w:t>
      </w:r>
    </w:p>
    <w:p w14:paraId="1B62CF55" w14:textId="77777777" w:rsidR="002A603C" w:rsidRDefault="002A603C" w:rsidP="00F86C76">
      <w:pPr>
        <w:rPr>
          <w:sz w:val="24"/>
          <w:szCs w:val="24"/>
        </w:rPr>
      </w:pPr>
    </w:p>
    <w:p w14:paraId="38B8B0C5" w14:textId="5DD94863" w:rsidR="002A603C" w:rsidRPr="00F86C76" w:rsidRDefault="002A603C" w:rsidP="002A603C">
      <w:pPr>
        <w:rPr>
          <w:sz w:val="24"/>
          <w:szCs w:val="24"/>
        </w:rPr>
      </w:pPr>
      <w:r>
        <w:rPr>
          <w:sz w:val="24"/>
          <w:szCs w:val="24"/>
        </w:rPr>
        <w:t xml:space="preserve">Additionally, </w:t>
      </w:r>
      <w:r w:rsidRPr="002A603C">
        <w:rPr>
          <w:sz w:val="24"/>
          <w:szCs w:val="24"/>
        </w:rPr>
        <w:t>IEED’s Division of Energy and Mineral Development (DEMD) maintains extensive data and</w:t>
      </w:r>
      <w:r>
        <w:rPr>
          <w:sz w:val="24"/>
          <w:szCs w:val="24"/>
        </w:rPr>
        <w:t xml:space="preserve"> </w:t>
      </w:r>
      <w:r w:rsidRPr="002A603C">
        <w:rPr>
          <w:sz w:val="24"/>
          <w:szCs w:val="24"/>
        </w:rPr>
        <w:t xml:space="preserve">information on </w:t>
      </w:r>
      <w:r>
        <w:rPr>
          <w:sz w:val="24"/>
          <w:szCs w:val="24"/>
        </w:rPr>
        <w:t>Trib</w:t>
      </w:r>
      <w:r w:rsidRPr="002A603C">
        <w:rPr>
          <w:sz w:val="24"/>
          <w:szCs w:val="24"/>
        </w:rPr>
        <w:t>al energy and mineral resources, including</w:t>
      </w:r>
      <w:r>
        <w:rPr>
          <w:sz w:val="24"/>
          <w:szCs w:val="24"/>
        </w:rPr>
        <w:t xml:space="preserve"> digital land grids, geographic </w:t>
      </w:r>
      <w:r w:rsidRPr="002A603C">
        <w:rPr>
          <w:sz w:val="24"/>
          <w:szCs w:val="24"/>
        </w:rPr>
        <w:t>information system (GIS) data, and imagery data for many re</w:t>
      </w:r>
      <w:r>
        <w:rPr>
          <w:sz w:val="24"/>
          <w:szCs w:val="24"/>
        </w:rPr>
        <w:t xml:space="preserve">servations. Therefore, DEMD can </w:t>
      </w:r>
      <w:r w:rsidRPr="002A603C">
        <w:rPr>
          <w:sz w:val="24"/>
          <w:szCs w:val="24"/>
        </w:rPr>
        <w:t>often help with common requests such as well and production data, geoph</w:t>
      </w:r>
      <w:r>
        <w:rPr>
          <w:sz w:val="24"/>
          <w:szCs w:val="24"/>
        </w:rPr>
        <w:t xml:space="preserve">ysical data (including </w:t>
      </w:r>
      <w:r w:rsidRPr="002A603C">
        <w:rPr>
          <w:sz w:val="24"/>
          <w:szCs w:val="24"/>
        </w:rPr>
        <w:t>seismic data), geology and engineering data. DEMD may have, or be able to obtain, much of the</w:t>
      </w:r>
      <w:r>
        <w:rPr>
          <w:sz w:val="24"/>
          <w:szCs w:val="24"/>
        </w:rPr>
        <w:t xml:space="preserve"> </w:t>
      </w:r>
      <w:r w:rsidRPr="002A603C">
        <w:rPr>
          <w:sz w:val="24"/>
          <w:szCs w:val="24"/>
        </w:rPr>
        <w:t xml:space="preserve">data needed for </w:t>
      </w:r>
      <w:r>
        <w:rPr>
          <w:sz w:val="24"/>
          <w:szCs w:val="24"/>
        </w:rPr>
        <w:t>Trib</w:t>
      </w:r>
      <w:r w:rsidRPr="002A603C">
        <w:rPr>
          <w:sz w:val="24"/>
          <w:szCs w:val="24"/>
        </w:rPr>
        <w:t>es to submit requests, thereby reducing the a</w:t>
      </w:r>
      <w:r>
        <w:rPr>
          <w:sz w:val="24"/>
          <w:szCs w:val="24"/>
        </w:rPr>
        <w:t xml:space="preserve">nticipated cost for the Tribe’s </w:t>
      </w:r>
      <w:r w:rsidRPr="002A603C">
        <w:rPr>
          <w:sz w:val="24"/>
          <w:szCs w:val="24"/>
        </w:rPr>
        <w:t>project.</w:t>
      </w:r>
    </w:p>
    <w:p w14:paraId="001199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E2877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14:paraId="316E57A6"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12540B0"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86C76">
        <w:rPr>
          <w:bCs/>
          <w:sz w:val="24"/>
          <w:szCs w:val="24"/>
        </w:rPr>
        <w:t xml:space="preserve">If IEED were unable to conduct this information collection, then </w:t>
      </w:r>
      <w:r w:rsidR="007B145E">
        <w:rPr>
          <w:bCs/>
          <w:sz w:val="24"/>
          <w:szCs w:val="24"/>
        </w:rPr>
        <w:t>Trib</w:t>
      </w:r>
      <w:r w:rsidRPr="00F86C76">
        <w:rPr>
          <w:bCs/>
          <w:sz w:val="24"/>
          <w:szCs w:val="24"/>
        </w:rPr>
        <w:t xml:space="preserve">es would be deprived of funding that is statutorily authorized and appropriated.  As a consequence, many </w:t>
      </w:r>
      <w:r w:rsidR="007B145E">
        <w:rPr>
          <w:bCs/>
          <w:sz w:val="24"/>
          <w:szCs w:val="24"/>
        </w:rPr>
        <w:t>Trib</w:t>
      </w:r>
      <w:r w:rsidRPr="00F86C76">
        <w:rPr>
          <w:bCs/>
          <w:sz w:val="24"/>
          <w:szCs w:val="24"/>
        </w:rPr>
        <w:t>es that otherwise would be recipients of this funding would not be able to perform exploration, assessment</w:t>
      </w:r>
      <w:r w:rsidR="007B145E">
        <w:rPr>
          <w:bCs/>
          <w:sz w:val="24"/>
          <w:szCs w:val="24"/>
        </w:rPr>
        <w:t>,</w:t>
      </w:r>
      <w:r w:rsidRPr="00F86C76">
        <w:rPr>
          <w:bCs/>
          <w:sz w:val="24"/>
          <w:szCs w:val="24"/>
        </w:rPr>
        <w:t xml:space="preserve"> and development of energy resources, depriving them of the opportunity to economically benefit from such resources.</w:t>
      </w:r>
    </w:p>
    <w:p w14:paraId="3D2F816B"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284CBD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1B8D25D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requiring</w:t>
      </w:r>
      <w:proofErr w:type="gramEnd"/>
      <w:r w:rsidRPr="00BB6435">
        <w:rPr>
          <w:b/>
          <w:sz w:val="24"/>
          <w:szCs w:val="24"/>
        </w:rPr>
        <w:t xml:space="preserve"> respondents to report information to the agency more often than quarterly;</w:t>
      </w:r>
    </w:p>
    <w:p w14:paraId="10F173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19D7EB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0B5F561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63756F5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r>
      <w:proofErr w:type="gramStart"/>
      <w:r w:rsidRPr="00BB6435">
        <w:rPr>
          <w:b/>
          <w:sz w:val="24"/>
          <w:szCs w:val="24"/>
        </w:rPr>
        <w:t>in</w:t>
      </w:r>
      <w:proofErr w:type="gramEnd"/>
      <w:r w:rsidRPr="00BB6435">
        <w:rPr>
          <w:b/>
          <w:sz w:val="24"/>
          <w:szCs w:val="24"/>
        </w:rPr>
        <w:t xml:space="preserve">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2B3D3A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6E87EE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058512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w:t>
      </w:r>
      <w:r w:rsidRPr="00BB6435">
        <w:rPr>
          <w:b/>
          <w:sz w:val="24"/>
          <w:szCs w:val="24"/>
        </w:rPr>
        <w:lastRenderedPageBreak/>
        <w:t>protect the information's confidentiality to the extent permitted by law.</w:t>
      </w:r>
    </w:p>
    <w:p w14:paraId="572D658F"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039E017C" w14:textId="77777777" w:rsidR="00F86C76" w:rsidRPr="00F86C76" w:rsidRDefault="00F86C76" w:rsidP="00F86C76">
      <w:pPr>
        <w:rPr>
          <w:sz w:val="24"/>
          <w:szCs w:val="24"/>
        </w:rPr>
      </w:pPr>
      <w:r w:rsidRPr="00F86C76">
        <w:rPr>
          <w:sz w:val="24"/>
          <w:szCs w:val="24"/>
        </w:rPr>
        <w:t>There are no circumstances that require IEED to collect the information in a manner inconsistent with OMB guidelines.</w:t>
      </w:r>
    </w:p>
    <w:p w14:paraId="5FABAE7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4FE7F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2AA1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BC36F5A" w14:textId="77777777" w:rsidR="00585F4E" w:rsidRDefault="00FC6F44"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IEED</w:t>
      </w:r>
      <w:r w:rsidR="00585F4E" w:rsidRPr="00BB6435">
        <w:rPr>
          <w:color w:val="000000"/>
          <w:sz w:val="24"/>
          <w:szCs w:val="24"/>
        </w:rPr>
        <w:t xml:space="preserve"> published the 60-day notice soliciting comments in the Federal Register on </w:t>
      </w:r>
      <w:r w:rsidR="007B145E">
        <w:rPr>
          <w:color w:val="000000"/>
          <w:sz w:val="24"/>
          <w:szCs w:val="24"/>
        </w:rPr>
        <w:t>April 1</w:t>
      </w:r>
      <w:r w:rsidR="00585F4E">
        <w:rPr>
          <w:color w:val="000000"/>
          <w:sz w:val="24"/>
          <w:szCs w:val="24"/>
        </w:rPr>
        <w:t>, 201</w:t>
      </w:r>
      <w:r w:rsidR="007B145E">
        <w:rPr>
          <w:color w:val="000000"/>
          <w:sz w:val="24"/>
          <w:szCs w:val="24"/>
        </w:rPr>
        <w:t>6</w:t>
      </w:r>
      <w:r w:rsidR="00F86C76">
        <w:rPr>
          <w:color w:val="000000"/>
          <w:sz w:val="24"/>
          <w:szCs w:val="24"/>
        </w:rPr>
        <w:t xml:space="preserve"> (</w:t>
      </w:r>
      <w:r w:rsidR="007B145E">
        <w:rPr>
          <w:color w:val="000000"/>
          <w:sz w:val="24"/>
          <w:szCs w:val="24"/>
        </w:rPr>
        <w:t>81</w:t>
      </w:r>
      <w:r w:rsidR="00585F4E" w:rsidRPr="00BB6435">
        <w:rPr>
          <w:color w:val="000000"/>
          <w:sz w:val="24"/>
          <w:szCs w:val="24"/>
        </w:rPr>
        <w:t xml:space="preserve"> </w:t>
      </w:r>
      <w:r w:rsidR="00585F4E" w:rsidRPr="00F86C76">
        <w:rPr>
          <w:color w:val="000000"/>
          <w:sz w:val="24"/>
          <w:szCs w:val="24"/>
        </w:rPr>
        <w:t xml:space="preserve">FR </w:t>
      </w:r>
      <w:r w:rsidR="007B145E">
        <w:rPr>
          <w:bCs/>
          <w:sz w:val="24"/>
          <w:szCs w:val="24"/>
        </w:rPr>
        <w:t>18876</w:t>
      </w:r>
      <w:r w:rsidR="00585F4E">
        <w:rPr>
          <w:color w:val="000000"/>
          <w:sz w:val="24"/>
          <w:szCs w:val="24"/>
        </w:rPr>
        <w:t xml:space="preserve">).  </w:t>
      </w:r>
      <w:r w:rsidR="00DF2A72">
        <w:rPr>
          <w:color w:val="000000"/>
          <w:sz w:val="24"/>
          <w:szCs w:val="24"/>
        </w:rPr>
        <w:t>No comments were received in response to this notice.</w:t>
      </w:r>
    </w:p>
    <w:p w14:paraId="63937801" w14:textId="77777777" w:rsidR="00585F4E" w:rsidRDefault="00585F4E"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B6FB3E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14:paraId="775664B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627D3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056BBFB8"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1A6A38E" w14:textId="77777777" w:rsidR="00A117DF" w:rsidRDefault="00A117DF" w:rsidP="00A117DF">
      <w:pPr>
        <w:rPr>
          <w:color w:val="000000"/>
          <w:sz w:val="24"/>
          <w:szCs w:val="24"/>
        </w:rPr>
      </w:pPr>
      <w:r w:rsidRPr="004D4DD4">
        <w:rPr>
          <w:color w:val="000000"/>
          <w:sz w:val="24"/>
          <w:szCs w:val="24"/>
        </w:rPr>
        <w:t>The following persons outside the agency were contacted to obtain their views on the availability of data</w:t>
      </w:r>
      <w:r w:rsidR="00C95CDE">
        <w:rPr>
          <w:color w:val="000000"/>
          <w:sz w:val="24"/>
          <w:szCs w:val="24"/>
        </w:rPr>
        <w:t>;</w:t>
      </w:r>
      <w:r w:rsidRPr="004D4DD4">
        <w:rPr>
          <w:color w:val="000000"/>
          <w:sz w:val="24"/>
          <w:szCs w:val="24"/>
        </w:rPr>
        <w:t xml:space="preserve"> frequency of collection</w:t>
      </w:r>
      <w:r w:rsidR="00C95CDE">
        <w:rPr>
          <w:color w:val="000000"/>
          <w:sz w:val="24"/>
          <w:szCs w:val="24"/>
        </w:rPr>
        <w:t>;</w:t>
      </w:r>
      <w:r w:rsidRPr="004D4DD4">
        <w:rPr>
          <w:color w:val="000000"/>
          <w:sz w:val="24"/>
          <w:szCs w:val="24"/>
        </w:rPr>
        <w:t xml:space="preserve"> the clarity of instructions and recordkeeping, disclosure, or reporting format (if any)</w:t>
      </w:r>
      <w:r w:rsidR="00C95CDE">
        <w:rPr>
          <w:color w:val="000000"/>
          <w:sz w:val="24"/>
          <w:szCs w:val="24"/>
        </w:rPr>
        <w:t>,</w:t>
      </w:r>
      <w:r w:rsidRPr="004D4DD4">
        <w:rPr>
          <w:color w:val="000000"/>
          <w:sz w:val="24"/>
          <w:szCs w:val="24"/>
        </w:rPr>
        <w:t xml:space="preserve"> and on the data elements to be recorded, disclosed, or reported:  </w:t>
      </w:r>
    </w:p>
    <w:p w14:paraId="40DD2A6B" w14:textId="77777777" w:rsidR="00A117DF" w:rsidRDefault="00A117DF" w:rsidP="00A117DF">
      <w:pPr>
        <w:rPr>
          <w:color w:val="000000"/>
          <w:sz w:val="24"/>
          <w:szCs w:val="24"/>
        </w:rPr>
      </w:pPr>
    </w:p>
    <w:p w14:paraId="7FB12EAC" w14:textId="77777777" w:rsidR="00F00694" w:rsidRDefault="00F00694" w:rsidP="00F00694">
      <w:pPr>
        <w:pStyle w:val="ListParagraph"/>
        <w:numPr>
          <w:ilvl w:val="0"/>
          <w:numId w:val="3"/>
        </w:numPr>
        <w:rPr>
          <w:color w:val="000000"/>
          <w:sz w:val="24"/>
          <w:szCs w:val="24"/>
        </w:rPr>
      </w:pPr>
      <w:r w:rsidRPr="00F00694">
        <w:rPr>
          <w:color w:val="000000"/>
          <w:sz w:val="24"/>
          <w:szCs w:val="24"/>
        </w:rPr>
        <w:t xml:space="preserve">Jana </w:t>
      </w:r>
      <w:proofErr w:type="spellStart"/>
      <w:r w:rsidRPr="00F00694">
        <w:rPr>
          <w:color w:val="000000"/>
          <w:sz w:val="24"/>
          <w:szCs w:val="24"/>
        </w:rPr>
        <w:t>Ganion</w:t>
      </w:r>
      <w:proofErr w:type="spellEnd"/>
      <w:r>
        <w:rPr>
          <w:color w:val="000000"/>
          <w:sz w:val="24"/>
          <w:szCs w:val="24"/>
        </w:rPr>
        <w:t xml:space="preserve">, Blue Lake Rancheria, </w:t>
      </w:r>
      <w:r w:rsidR="001C2080">
        <w:rPr>
          <w:color w:val="000000"/>
          <w:sz w:val="24"/>
          <w:szCs w:val="24"/>
        </w:rPr>
        <w:t xml:space="preserve">428 </w:t>
      </w:r>
      <w:proofErr w:type="spellStart"/>
      <w:r w:rsidR="001C2080">
        <w:rPr>
          <w:color w:val="000000"/>
          <w:sz w:val="24"/>
          <w:szCs w:val="24"/>
        </w:rPr>
        <w:t>Chartin</w:t>
      </w:r>
      <w:proofErr w:type="spellEnd"/>
      <w:r w:rsidR="001C2080">
        <w:rPr>
          <w:color w:val="000000"/>
          <w:sz w:val="24"/>
          <w:szCs w:val="24"/>
        </w:rPr>
        <w:t xml:space="preserve"> Road, Blue Lake, C</w:t>
      </w:r>
      <w:r w:rsidR="00C95CDE">
        <w:rPr>
          <w:color w:val="000000"/>
          <w:sz w:val="24"/>
          <w:szCs w:val="24"/>
        </w:rPr>
        <w:t xml:space="preserve">alifornia </w:t>
      </w:r>
      <w:r w:rsidR="001C2080">
        <w:rPr>
          <w:color w:val="000000"/>
          <w:sz w:val="24"/>
          <w:szCs w:val="24"/>
        </w:rPr>
        <w:t xml:space="preserve"> 95525, telephone: (206) 617-0073</w:t>
      </w:r>
    </w:p>
    <w:p w14:paraId="4B587A97" w14:textId="77777777" w:rsidR="00F00694" w:rsidRDefault="00F00694" w:rsidP="00F00694">
      <w:pPr>
        <w:pStyle w:val="ListParagraph"/>
        <w:numPr>
          <w:ilvl w:val="0"/>
          <w:numId w:val="3"/>
        </w:numPr>
        <w:rPr>
          <w:color w:val="000000"/>
          <w:sz w:val="24"/>
          <w:szCs w:val="24"/>
        </w:rPr>
      </w:pPr>
      <w:r w:rsidRPr="00F00694">
        <w:rPr>
          <w:color w:val="000000"/>
          <w:sz w:val="24"/>
          <w:szCs w:val="24"/>
        </w:rPr>
        <w:t>Darien Cabral , Northern Pueblo Housing Authority, Picuris Pueblo, 5 West Gutierrez Rd., Suite 10, Santa Fe, N</w:t>
      </w:r>
      <w:r w:rsidR="00C95CDE">
        <w:rPr>
          <w:color w:val="000000"/>
          <w:sz w:val="24"/>
          <w:szCs w:val="24"/>
        </w:rPr>
        <w:t xml:space="preserve">ew Mexico </w:t>
      </w:r>
      <w:r w:rsidRPr="00F00694">
        <w:rPr>
          <w:color w:val="000000"/>
          <w:sz w:val="24"/>
          <w:szCs w:val="24"/>
        </w:rPr>
        <w:t xml:space="preserve"> 87506, telephone: (505) 455-7973; e-mail: </w:t>
      </w:r>
      <w:hyperlink r:id="rId7" w:history="1">
        <w:r w:rsidRPr="00F1402C">
          <w:rPr>
            <w:rStyle w:val="Hyperlink"/>
            <w:sz w:val="24"/>
            <w:szCs w:val="24"/>
          </w:rPr>
          <w:t>darien@nphouisng.com</w:t>
        </w:r>
      </w:hyperlink>
      <w:r>
        <w:rPr>
          <w:color w:val="000000"/>
          <w:sz w:val="24"/>
          <w:szCs w:val="24"/>
        </w:rPr>
        <w:t xml:space="preserve"> </w:t>
      </w:r>
    </w:p>
    <w:p w14:paraId="1C63C14F" w14:textId="77777777" w:rsidR="004E6C64" w:rsidRPr="004E6C64" w:rsidRDefault="004E6C64" w:rsidP="004E6C64">
      <w:pPr>
        <w:pStyle w:val="ListParagraph"/>
        <w:numPr>
          <w:ilvl w:val="0"/>
          <w:numId w:val="3"/>
        </w:numPr>
        <w:rPr>
          <w:color w:val="000000"/>
          <w:sz w:val="24"/>
          <w:szCs w:val="24"/>
        </w:rPr>
      </w:pPr>
      <w:proofErr w:type="spellStart"/>
      <w:r w:rsidRPr="004E6C64">
        <w:rPr>
          <w:color w:val="000000"/>
          <w:sz w:val="24"/>
          <w:szCs w:val="24"/>
        </w:rPr>
        <w:t>Genelle</w:t>
      </w:r>
      <w:proofErr w:type="spellEnd"/>
      <w:r w:rsidRPr="004E6C64">
        <w:rPr>
          <w:color w:val="000000"/>
          <w:sz w:val="24"/>
          <w:szCs w:val="24"/>
        </w:rPr>
        <w:t xml:space="preserve"> Winter, </w:t>
      </w:r>
      <w:proofErr w:type="spellStart"/>
      <w:r w:rsidRPr="004E6C64">
        <w:rPr>
          <w:color w:val="000000"/>
          <w:sz w:val="24"/>
          <w:szCs w:val="24"/>
        </w:rPr>
        <w:t>Metlakatla</w:t>
      </w:r>
      <w:proofErr w:type="spellEnd"/>
      <w:r w:rsidRPr="004E6C64">
        <w:rPr>
          <w:color w:val="000000"/>
          <w:sz w:val="24"/>
          <w:szCs w:val="24"/>
        </w:rPr>
        <w:t xml:space="preserve"> Indian Community, Box 8, </w:t>
      </w:r>
      <w:proofErr w:type="spellStart"/>
      <w:r w:rsidRPr="004E6C64">
        <w:rPr>
          <w:color w:val="000000"/>
          <w:sz w:val="24"/>
          <w:szCs w:val="24"/>
        </w:rPr>
        <w:t>Metlakatla</w:t>
      </w:r>
      <w:proofErr w:type="spellEnd"/>
      <w:r w:rsidRPr="004E6C64">
        <w:rPr>
          <w:color w:val="000000"/>
          <w:sz w:val="24"/>
          <w:szCs w:val="24"/>
        </w:rPr>
        <w:t>, A</w:t>
      </w:r>
      <w:r w:rsidR="00C95CDE">
        <w:rPr>
          <w:color w:val="000000"/>
          <w:sz w:val="24"/>
          <w:szCs w:val="24"/>
        </w:rPr>
        <w:t xml:space="preserve">laska </w:t>
      </w:r>
      <w:r w:rsidRPr="004E6C64">
        <w:rPr>
          <w:color w:val="000000"/>
          <w:sz w:val="24"/>
          <w:szCs w:val="24"/>
        </w:rPr>
        <w:t xml:space="preserve"> 99926, telephone: (907) 886-5401</w:t>
      </w:r>
      <w:r>
        <w:rPr>
          <w:color w:val="000000"/>
          <w:sz w:val="24"/>
          <w:szCs w:val="24"/>
        </w:rPr>
        <w:t>;</w:t>
      </w:r>
      <w:r w:rsidRPr="004E6C64">
        <w:rPr>
          <w:color w:val="000000"/>
          <w:sz w:val="24"/>
          <w:szCs w:val="24"/>
        </w:rPr>
        <w:t xml:space="preserve"> </w:t>
      </w:r>
      <w:r>
        <w:rPr>
          <w:color w:val="000000"/>
          <w:sz w:val="24"/>
          <w:szCs w:val="24"/>
        </w:rPr>
        <w:t xml:space="preserve">e-mail: </w:t>
      </w:r>
      <w:hyperlink r:id="rId8" w:history="1">
        <w:r w:rsidRPr="00F1402C">
          <w:rPr>
            <w:rStyle w:val="Hyperlink"/>
            <w:sz w:val="24"/>
            <w:szCs w:val="24"/>
          </w:rPr>
          <w:t>GWinter@metlakatla.com</w:t>
        </w:r>
      </w:hyperlink>
      <w:r>
        <w:rPr>
          <w:color w:val="000000"/>
          <w:sz w:val="24"/>
          <w:szCs w:val="24"/>
        </w:rPr>
        <w:t xml:space="preserve"> </w:t>
      </w:r>
    </w:p>
    <w:p w14:paraId="39FBADFE" w14:textId="77777777" w:rsidR="00A117DF" w:rsidRPr="00A117DF" w:rsidRDefault="00A117DF" w:rsidP="00A117DF">
      <w:pPr>
        <w:rPr>
          <w:color w:val="000000"/>
          <w:sz w:val="24"/>
          <w:szCs w:val="24"/>
        </w:rPr>
      </w:pPr>
    </w:p>
    <w:p w14:paraId="074ECF41" w14:textId="77777777" w:rsidR="00A117DF" w:rsidRDefault="00A117DF" w:rsidP="00A117DF">
      <w:pPr>
        <w:rPr>
          <w:color w:val="000000"/>
          <w:sz w:val="24"/>
          <w:szCs w:val="24"/>
        </w:rPr>
      </w:pPr>
      <w:r w:rsidRPr="004D4DD4">
        <w:rPr>
          <w:color w:val="000000"/>
          <w:sz w:val="24"/>
          <w:szCs w:val="24"/>
        </w:rPr>
        <w:t xml:space="preserve">In summary, the above persons felt the purpose of the information collection </w:t>
      </w:r>
      <w:r>
        <w:rPr>
          <w:color w:val="000000"/>
          <w:sz w:val="24"/>
          <w:szCs w:val="24"/>
        </w:rPr>
        <w:t>was necessar</w:t>
      </w:r>
      <w:r w:rsidR="0054600F">
        <w:rPr>
          <w:color w:val="000000"/>
          <w:sz w:val="24"/>
          <w:szCs w:val="24"/>
        </w:rPr>
        <w:t>y to obtain EDMP</w:t>
      </w:r>
      <w:r>
        <w:rPr>
          <w:color w:val="000000"/>
          <w:sz w:val="24"/>
          <w:szCs w:val="24"/>
        </w:rPr>
        <w:t xml:space="preserve"> grants.  They felt the instructions were clear and easy to understand.  All three individuals c</w:t>
      </w:r>
      <w:r w:rsidR="0054600F">
        <w:rPr>
          <w:color w:val="000000"/>
          <w:sz w:val="24"/>
          <w:szCs w:val="24"/>
        </w:rPr>
        <w:t xml:space="preserve">oncurred with the burden hours and had no issues with the frequency in which the </w:t>
      </w:r>
      <w:r w:rsidR="00CD20D5">
        <w:rPr>
          <w:color w:val="000000"/>
          <w:sz w:val="24"/>
          <w:szCs w:val="24"/>
        </w:rPr>
        <w:t>applications</w:t>
      </w:r>
      <w:r w:rsidR="0054600F">
        <w:rPr>
          <w:color w:val="000000"/>
          <w:sz w:val="24"/>
          <w:szCs w:val="24"/>
        </w:rPr>
        <w:t xml:space="preserve"> and progress reports are collected.</w:t>
      </w:r>
    </w:p>
    <w:p w14:paraId="7571AC41" w14:textId="77777777" w:rsidR="00A117DF" w:rsidRDefault="00A117DF" w:rsidP="00A117DF">
      <w:pPr>
        <w:rPr>
          <w:color w:val="000000"/>
          <w:sz w:val="24"/>
          <w:szCs w:val="24"/>
        </w:rPr>
      </w:pPr>
    </w:p>
    <w:p w14:paraId="24EA29E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46577417"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240D6E06" w14:textId="77777777" w:rsidR="00F86C76" w:rsidRPr="00695512" w:rsidRDefault="00F86C76" w:rsidP="00F86C76">
      <w:pPr>
        <w:rPr>
          <w:sz w:val="24"/>
          <w:szCs w:val="22"/>
        </w:rPr>
      </w:pPr>
      <w:r w:rsidRPr="00695512">
        <w:rPr>
          <w:sz w:val="24"/>
          <w:szCs w:val="22"/>
        </w:rPr>
        <w:t>IEED does not provide gifts or payments to respondents.</w:t>
      </w:r>
    </w:p>
    <w:p w14:paraId="3242A39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18A8F4D"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7BA866B1" w14:textId="77777777"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14:paraId="06789FD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C97F728"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CF19864" w14:textId="2B2560E5"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p>
    <w:p w14:paraId="6B700C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49D1C23"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5A4D520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5135F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D90AAB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71F0E6DE" w14:textId="77777777" w:rsidR="00F71A50" w:rsidRPr="00F86C76"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1D5D70C" w14:textId="77777777" w:rsidR="00F86C76" w:rsidRPr="00F86C76" w:rsidRDefault="00C95CDE" w:rsidP="00F86C76">
      <w:pPr>
        <w:rPr>
          <w:sz w:val="24"/>
          <w:szCs w:val="24"/>
        </w:rPr>
      </w:pPr>
      <w:r>
        <w:rPr>
          <w:sz w:val="24"/>
          <w:szCs w:val="24"/>
        </w:rPr>
        <w:t>The program</w:t>
      </w:r>
      <w:r w:rsidR="00F86C76" w:rsidRPr="00F86C76">
        <w:rPr>
          <w:sz w:val="24"/>
          <w:szCs w:val="24"/>
        </w:rPr>
        <w:t xml:space="preserve"> ant</w:t>
      </w:r>
      <w:r w:rsidR="00F376EB">
        <w:rPr>
          <w:sz w:val="24"/>
          <w:szCs w:val="24"/>
        </w:rPr>
        <w:t>icipate</w:t>
      </w:r>
      <w:r>
        <w:rPr>
          <w:sz w:val="24"/>
          <w:szCs w:val="24"/>
        </w:rPr>
        <w:t>s</w:t>
      </w:r>
      <w:r w:rsidR="00F376EB">
        <w:rPr>
          <w:sz w:val="24"/>
          <w:szCs w:val="24"/>
        </w:rPr>
        <w:t xml:space="preserve"> receiving approximately</w:t>
      </w:r>
      <w:r w:rsidR="00156768">
        <w:rPr>
          <w:sz w:val="24"/>
          <w:szCs w:val="24"/>
        </w:rPr>
        <w:t xml:space="preserve"> </w:t>
      </w:r>
      <w:r w:rsidR="001C2080">
        <w:rPr>
          <w:sz w:val="24"/>
          <w:szCs w:val="24"/>
        </w:rPr>
        <w:t>53</w:t>
      </w:r>
      <w:r w:rsidR="00156768">
        <w:rPr>
          <w:sz w:val="24"/>
          <w:szCs w:val="24"/>
        </w:rPr>
        <w:t xml:space="preserve"> </w:t>
      </w:r>
      <w:r w:rsidR="00CD20D5">
        <w:rPr>
          <w:sz w:val="24"/>
          <w:szCs w:val="24"/>
        </w:rPr>
        <w:t>applications</w:t>
      </w:r>
      <w:r w:rsidR="00F86C76" w:rsidRPr="00F86C76">
        <w:rPr>
          <w:sz w:val="24"/>
          <w:szCs w:val="24"/>
        </w:rPr>
        <w:t xml:space="preserve"> each year, at</w:t>
      </w:r>
      <w:r w:rsidR="007B145E">
        <w:rPr>
          <w:sz w:val="24"/>
          <w:szCs w:val="24"/>
        </w:rPr>
        <w:t xml:space="preserve"> </w:t>
      </w:r>
      <w:r w:rsidR="00B556E8">
        <w:rPr>
          <w:sz w:val="24"/>
          <w:szCs w:val="24"/>
        </w:rPr>
        <w:t>40</w:t>
      </w:r>
      <w:r w:rsidR="00F86C76" w:rsidRPr="00F86C76">
        <w:rPr>
          <w:sz w:val="24"/>
          <w:szCs w:val="24"/>
        </w:rPr>
        <w:t xml:space="preserve"> hours each, for a total of </w:t>
      </w:r>
      <w:r w:rsidR="00B556E8">
        <w:rPr>
          <w:sz w:val="24"/>
          <w:szCs w:val="24"/>
        </w:rPr>
        <w:t>2,120</w:t>
      </w:r>
      <w:r w:rsidR="00156768">
        <w:rPr>
          <w:sz w:val="24"/>
          <w:szCs w:val="24"/>
        </w:rPr>
        <w:t xml:space="preserve"> </w:t>
      </w:r>
      <w:r w:rsidR="00F86C76" w:rsidRPr="00F86C76">
        <w:rPr>
          <w:sz w:val="24"/>
          <w:szCs w:val="24"/>
        </w:rPr>
        <w:t xml:space="preserve">hours.  In addition, </w:t>
      </w:r>
      <w:r>
        <w:rPr>
          <w:sz w:val="24"/>
          <w:szCs w:val="24"/>
        </w:rPr>
        <w:t xml:space="preserve">the program anticipates </w:t>
      </w:r>
      <w:r w:rsidR="00F86C76" w:rsidRPr="00F86C76">
        <w:rPr>
          <w:sz w:val="24"/>
          <w:szCs w:val="24"/>
        </w:rPr>
        <w:t xml:space="preserve">accepting </w:t>
      </w:r>
      <w:r w:rsidR="001C2080">
        <w:rPr>
          <w:sz w:val="24"/>
          <w:szCs w:val="24"/>
        </w:rPr>
        <w:t>34</w:t>
      </w:r>
      <w:r w:rsidR="00F86C76" w:rsidRPr="00F86C76">
        <w:rPr>
          <w:sz w:val="24"/>
          <w:szCs w:val="24"/>
        </w:rPr>
        <w:t xml:space="preserve"> </w:t>
      </w:r>
      <w:r w:rsidR="00CD20D5">
        <w:rPr>
          <w:sz w:val="24"/>
          <w:szCs w:val="24"/>
        </w:rPr>
        <w:t>applicants</w:t>
      </w:r>
      <w:r w:rsidR="00F86C76" w:rsidRPr="00F86C76">
        <w:rPr>
          <w:sz w:val="24"/>
          <w:szCs w:val="24"/>
        </w:rPr>
        <w:t xml:space="preserve">, and each of those project participants will submit a progress report four times a year at </w:t>
      </w:r>
      <w:r w:rsidR="00B556E8">
        <w:rPr>
          <w:sz w:val="24"/>
          <w:szCs w:val="24"/>
        </w:rPr>
        <w:t>1.5</w:t>
      </w:r>
      <w:r w:rsidR="00815167">
        <w:rPr>
          <w:sz w:val="24"/>
          <w:szCs w:val="24"/>
        </w:rPr>
        <w:t xml:space="preserve"> </w:t>
      </w:r>
      <w:r w:rsidR="00F86C76" w:rsidRPr="00F86C76">
        <w:rPr>
          <w:sz w:val="24"/>
          <w:szCs w:val="24"/>
        </w:rPr>
        <w:t xml:space="preserve">hours per report, for a total of </w:t>
      </w:r>
      <w:r w:rsidR="00F141C2">
        <w:rPr>
          <w:sz w:val="24"/>
          <w:szCs w:val="24"/>
        </w:rPr>
        <w:t>204</w:t>
      </w:r>
      <w:r w:rsidR="00F86C76" w:rsidRPr="00F86C76">
        <w:rPr>
          <w:sz w:val="24"/>
          <w:szCs w:val="24"/>
        </w:rPr>
        <w:t xml:space="preserve"> hours.  </w:t>
      </w:r>
      <w:r>
        <w:rPr>
          <w:sz w:val="24"/>
          <w:szCs w:val="24"/>
        </w:rPr>
        <w:t>Using the total compensation, including benefits, for all workers</w:t>
      </w:r>
      <w:r w:rsidR="00FC6F44">
        <w:rPr>
          <w:sz w:val="24"/>
          <w:szCs w:val="24"/>
        </w:rPr>
        <w:t xml:space="preserve">, the total annual reporting for this collection is estimated to be </w:t>
      </w:r>
      <w:r>
        <w:rPr>
          <w:sz w:val="24"/>
          <w:szCs w:val="24"/>
        </w:rPr>
        <w:t>2,</w:t>
      </w:r>
      <w:r w:rsidR="00F141C2">
        <w:rPr>
          <w:sz w:val="24"/>
          <w:szCs w:val="24"/>
        </w:rPr>
        <w:t>324</w:t>
      </w:r>
      <w:r w:rsidR="004C213C">
        <w:rPr>
          <w:sz w:val="24"/>
          <w:szCs w:val="24"/>
        </w:rPr>
        <w:t xml:space="preserve"> </w:t>
      </w:r>
      <w:r w:rsidR="00FC6F44">
        <w:rPr>
          <w:sz w:val="24"/>
          <w:szCs w:val="24"/>
        </w:rPr>
        <w:t>hours or the amount equivalent to $</w:t>
      </w:r>
      <w:r w:rsidR="00F141C2">
        <w:rPr>
          <w:sz w:val="24"/>
          <w:szCs w:val="24"/>
        </w:rPr>
        <w:t>104,510</w:t>
      </w:r>
      <w:r w:rsidR="00FC6F44">
        <w:rPr>
          <w:sz w:val="24"/>
          <w:szCs w:val="24"/>
        </w:rPr>
        <w:t>.</w:t>
      </w:r>
      <w:r w:rsidR="00F86C76" w:rsidRPr="00F86C76">
        <w:rPr>
          <w:sz w:val="24"/>
          <w:szCs w:val="24"/>
        </w:rPr>
        <w:t xml:space="preserve">  </w:t>
      </w:r>
    </w:p>
    <w:p w14:paraId="43A7BFB3" w14:textId="77777777" w:rsidR="00F86C76" w:rsidRPr="00F86C76" w:rsidRDefault="00F86C76" w:rsidP="00F86C76">
      <w:pPr>
        <w:rPr>
          <w:b/>
          <w:sz w:val="22"/>
          <w:szCs w:val="22"/>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493"/>
        <w:gridCol w:w="1607"/>
        <w:gridCol w:w="1316"/>
        <w:gridCol w:w="1114"/>
        <w:gridCol w:w="1188"/>
        <w:gridCol w:w="1132"/>
      </w:tblGrid>
      <w:tr w:rsidR="00F141C2" w:rsidRPr="00F86C76" w14:paraId="2429BE1F" w14:textId="77777777" w:rsidTr="00F141C2">
        <w:tc>
          <w:tcPr>
            <w:tcW w:w="1726" w:type="dxa"/>
            <w:shd w:val="clear" w:color="auto" w:fill="auto"/>
          </w:tcPr>
          <w:p w14:paraId="157215CA" w14:textId="77777777" w:rsidR="00F141C2" w:rsidRPr="00676ECC" w:rsidRDefault="00F141C2" w:rsidP="00676ECC">
            <w:pPr>
              <w:rPr>
                <w:b/>
                <w:sz w:val="18"/>
              </w:rPr>
            </w:pPr>
            <w:r w:rsidRPr="00676ECC">
              <w:rPr>
                <w:b/>
                <w:sz w:val="18"/>
              </w:rPr>
              <w:t>Regulation/</w:t>
            </w:r>
          </w:p>
          <w:p w14:paraId="54BA9F1A" w14:textId="77777777" w:rsidR="00F141C2" w:rsidRPr="00676ECC" w:rsidRDefault="00F141C2" w:rsidP="00676ECC">
            <w:pPr>
              <w:rPr>
                <w:b/>
                <w:sz w:val="18"/>
              </w:rPr>
            </w:pPr>
            <w:r w:rsidRPr="00676ECC">
              <w:rPr>
                <w:b/>
                <w:sz w:val="18"/>
              </w:rPr>
              <w:t>Activity</w:t>
            </w:r>
          </w:p>
        </w:tc>
        <w:tc>
          <w:tcPr>
            <w:tcW w:w="1493" w:type="dxa"/>
          </w:tcPr>
          <w:p w14:paraId="1676958B" w14:textId="77777777" w:rsidR="00F141C2" w:rsidRPr="00676ECC" w:rsidRDefault="00F141C2" w:rsidP="00676ECC">
            <w:pPr>
              <w:rPr>
                <w:b/>
                <w:sz w:val="18"/>
              </w:rPr>
            </w:pPr>
            <w:r>
              <w:rPr>
                <w:b/>
                <w:sz w:val="18"/>
              </w:rPr>
              <w:t>Annual Number of Respondents</w:t>
            </w:r>
          </w:p>
        </w:tc>
        <w:tc>
          <w:tcPr>
            <w:tcW w:w="1607" w:type="dxa"/>
            <w:shd w:val="clear" w:color="auto" w:fill="auto"/>
          </w:tcPr>
          <w:p w14:paraId="5E53BAF4" w14:textId="77777777" w:rsidR="00F141C2" w:rsidRPr="00676ECC" w:rsidRDefault="00F141C2" w:rsidP="00676ECC">
            <w:pPr>
              <w:rPr>
                <w:b/>
                <w:sz w:val="18"/>
              </w:rPr>
            </w:pPr>
            <w:r w:rsidRPr="00676ECC">
              <w:rPr>
                <w:b/>
                <w:sz w:val="18"/>
              </w:rPr>
              <w:t>Annual Number of Responses</w:t>
            </w:r>
          </w:p>
        </w:tc>
        <w:tc>
          <w:tcPr>
            <w:tcW w:w="1316" w:type="dxa"/>
            <w:shd w:val="clear" w:color="auto" w:fill="auto"/>
          </w:tcPr>
          <w:p w14:paraId="4D380B17" w14:textId="77777777" w:rsidR="00F141C2" w:rsidRPr="00676ECC" w:rsidRDefault="00F141C2" w:rsidP="00676ECC">
            <w:pPr>
              <w:rPr>
                <w:b/>
                <w:sz w:val="18"/>
              </w:rPr>
            </w:pPr>
            <w:r w:rsidRPr="00676ECC">
              <w:rPr>
                <w:b/>
                <w:sz w:val="18"/>
              </w:rPr>
              <w:t>Completion Time (hours) Per Response</w:t>
            </w:r>
          </w:p>
        </w:tc>
        <w:tc>
          <w:tcPr>
            <w:tcW w:w="1114" w:type="dxa"/>
            <w:shd w:val="clear" w:color="auto" w:fill="auto"/>
          </w:tcPr>
          <w:p w14:paraId="7A0E5322" w14:textId="77777777" w:rsidR="00F141C2" w:rsidRPr="00676ECC" w:rsidRDefault="00F141C2" w:rsidP="00676ECC">
            <w:pPr>
              <w:rPr>
                <w:b/>
                <w:sz w:val="18"/>
              </w:rPr>
            </w:pPr>
            <w:r w:rsidRPr="00676ECC">
              <w:rPr>
                <w:b/>
                <w:sz w:val="18"/>
              </w:rPr>
              <w:t xml:space="preserve">Total </w:t>
            </w:r>
          </w:p>
          <w:p w14:paraId="12984121" w14:textId="77777777" w:rsidR="00F141C2" w:rsidRPr="00676ECC" w:rsidRDefault="00F141C2" w:rsidP="00FC6F44">
            <w:pPr>
              <w:rPr>
                <w:b/>
                <w:sz w:val="18"/>
              </w:rPr>
            </w:pPr>
            <w:r w:rsidRPr="00676ECC">
              <w:rPr>
                <w:b/>
                <w:sz w:val="18"/>
              </w:rPr>
              <w:t>Annual Hours</w:t>
            </w:r>
          </w:p>
        </w:tc>
        <w:tc>
          <w:tcPr>
            <w:tcW w:w="1188" w:type="dxa"/>
            <w:shd w:val="clear" w:color="auto" w:fill="auto"/>
          </w:tcPr>
          <w:p w14:paraId="7607598A" w14:textId="77777777" w:rsidR="00F141C2" w:rsidRPr="00676ECC" w:rsidRDefault="00F141C2" w:rsidP="00C95CDE">
            <w:pPr>
              <w:rPr>
                <w:b/>
                <w:sz w:val="16"/>
                <w:szCs w:val="16"/>
              </w:rPr>
            </w:pPr>
            <w:r w:rsidRPr="00676ECC">
              <w:rPr>
                <w:b/>
                <w:sz w:val="18"/>
              </w:rPr>
              <w:t xml:space="preserve">Hourly Rate </w:t>
            </w:r>
          </w:p>
          <w:p w14:paraId="1302F913" w14:textId="77777777" w:rsidR="00F141C2" w:rsidRPr="00676ECC" w:rsidRDefault="00F141C2" w:rsidP="00676ECC">
            <w:pPr>
              <w:rPr>
                <w:b/>
                <w:sz w:val="16"/>
                <w:szCs w:val="16"/>
              </w:rPr>
            </w:pPr>
          </w:p>
        </w:tc>
        <w:tc>
          <w:tcPr>
            <w:tcW w:w="1132" w:type="dxa"/>
            <w:shd w:val="clear" w:color="auto" w:fill="auto"/>
          </w:tcPr>
          <w:p w14:paraId="7419FDC7" w14:textId="77777777" w:rsidR="00F141C2" w:rsidRPr="00676ECC" w:rsidRDefault="00F141C2" w:rsidP="00FC6F44">
            <w:pPr>
              <w:rPr>
                <w:b/>
                <w:sz w:val="18"/>
              </w:rPr>
            </w:pPr>
            <w:r w:rsidRPr="00676ECC">
              <w:rPr>
                <w:b/>
                <w:sz w:val="18"/>
              </w:rPr>
              <w:t>$ Value of Annual Hours</w:t>
            </w:r>
          </w:p>
        </w:tc>
      </w:tr>
      <w:tr w:rsidR="00F141C2" w:rsidRPr="00F86C76" w14:paraId="61115E9A" w14:textId="77777777" w:rsidTr="00F141C2">
        <w:tc>
          <w:tcPr>
            <w:tcW w:w="1726" w:type="dxa"/>
            <w:shd w:val="clear" w:color="auto" w:fill="auto"/>
          </w:tcPr>
          <w:p w14:paraId="706F646E" w14:textId="77777777" w:rsidR="00F141C2" w:rsidRPr="00676ECC" w:rsidRDefault="00F141C2"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18"/>
                <w:szCs w:val="18"/>
              </w:rPr>
            </w:pPr>
            <w:r>
              <w:rPr>
                <w:b/>
                <w:color w:val="000000"/>
                <w:sz w:val="18"/>
                <w:szCs w:val="18"/>
              </w:rPr>
              <w:t>Applications</w:t>
            </w:r>
          </w:p>
          <w:p w14:paraId="7C6CC080" w14:textId="77777777" w:rsidR="00F141C2" w:rsidRPr="00676ECC" w:rsidRDefault="00F141C2"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color w:val="000000"/>
                <w:sz w:val="18"/>
                <w:szCs w:val="18"/>
              </w:rPr>
              <w:lastRenderedPageBreak/>
              <w:t xml:space="preserve">– </w:t>
            </w:r>
            <w:r>
              <w:rPr>
                <w:color w:val="000000"/>
                <w:sz w:val="18"/>
                <w:szCs w:val="18"/>
              </w:rPr>
              <w:t>Trib</w:t>
            </w:r>
            <w:r w:rsidRPr="00676ECC">
              <w:rPr>
                <w:color w:val="000000"/>
                <w:sz w:val="18"/>
                <w:szCs w:val="18"/>
              </w:rPr>
              <w:t xml:space="preserve">al </w:t>
            </w:r>
            <w:proofErr w:type="spellStart"/>
            <w:r w:rsidRPr="00676ECC">
              <w:rPr>
                <w:color w:val="000000"/>
                <w:sz w:val="18"/>
                <w:szCs w:val="18"/>
              </w:rPr>
              <w:t>Govt</w:t>
            </w:r>
            <w:proofErr w:type="spellEnd"/>
          </w:p>
        </w:tc>
        <w:tc>
          <w:tcPr>
            <w:tcW w:w="1493" w:type="dxa"/>
          </w:tcPr>
          <w:p w14:paraId="7321E81B" w14:textId="77777777" w:rsidR="00F141C2" w:rsidRDefault="00F141C2" w:rsidP="00676ECC">
            <w:pPr>
              <w:rPr>
                <w:sz w:val="18"/>
                <w:szCs w:val="18"/>
              </w:rPr>
            </w:pPr>
            <w:r>
              <w:rPr>
                <w:sz w:val="18"/>
                <w:szCs w:val="18"/>
              </w:rPr>
              <w:lastRenderedPageBreak/>
              <w:t>53</w:t>
            </w:r>
          </w:p>
        </w:tc>
        <w:tc>
          <w:tcPr>
            <w:tcW w:w="1607" w:type="dxa"/>
            <w:shd w:val="clear" w:color="auto" w:fill="auto"/>
          </w:tcPr>
          <w:p w14:paraId="76D24C84" w14:textId="77777777" w:rsidR="00F141C2" w:rsidRPr="00A44A1F" w:rsidRDefault="00F141C2" w:rsidP="00676ECC">
            <w:pPr>
              <w:rPr>
                <w:sz w:val="18"/>
                <w:szCs w:val="18"/>
              </w:rPr>
            </w:pPr>
            <w:r>
              <w:rPr>
                <w:sz w:val="18"/>
                <w:szCs w:val="18"/>
              </w:rPr>
              <w:t>53</w:t>
            </w:r>
          </w:p>
        </w:tc>
        <w:tc>
          <w:tcPr>
            <w:tcW w:w="1316" w:type="dxa"/>
            <w:shd w:val="clear" w:color="auto" w:fill="auto"/>
          </w:tcPr>
          <w:p w14:paraId="7CCE55C4" w14:textId="77777777" w:rsidR="00F141C2" w:rsidRPr="00676ECC" w:rsidRDefault="00F141C2" w:rsidP="00676ECC">
            <w:pPr>
              <w:rPr>
                <w:sz w:val="18"/>
                <w:szCs w:val="18"/>
              </w:rPr>
            </w:pPr>
            <w:r>
              <w:rPr>
                <w:sz w:val="18"/>
                <w:szCs w:val="18"/>
              </w:rPr>
              <w:t>40</w:t>
            </w:r>
          </w:p>
        </w:tc>
        <w:tc>
          <w:tcPr>
            <w:tcW w:w="1114" w:type="dxa"/>
            <w:shd w:val="clear" w:color="auto" w:fill="auto"/>
          </w:tcPr>
          <w:p w14:paraId="12BD3D1D" w14:textId="77777777" w:rsidR="00F141C2" w:rsidRPr="00676ECC" w:rsidRDefault="00F141C2" w:rsidP="00156768">
            <w:pPr>
              <w:rPr>
                <w:sz w:val="18"/>
                <w:szCs w:val="18"/>
              </w:rPr>
            </w:pPr>
            <w:r>
              <w:rPr>
                <w:sz w:val="18"/>
                <w:szCs w:val="18"/>
              </w:rPr>
              <w:t>2,120</w:t>
            </w:r>
          </w:p>
        </w:tc>
        <w:tc>
          <w:tcPr>
            <w:tcW w:w="1188" w:type="dxa"/>
            <w:shd w:val="clear" w:color="auto" w:fill="auto"/>
          </w:tcPr>
          <w:p w14:paraId="00DE2D39" w14:textId="77777777" w:rsidR="00F141C2" w:rsidRPr="00676ECC" w:rsidRDefault="00F141C2" w:rsidP="00676ECC">
            <w:pPr>
              <w:rPr>
                <w:sz w:val="18"/>
                <w:szCs w:val="18"/>
              </w:rPr>
            </w:pPr>
            <w:r>
              <w:rPr>
                <w:sz w:val="18"/>
                <w:szCs w:val="18"/>
              </w:rPr>
              <w:t>$44.97</w:t>
            </w:r>
          </w:p>
        </w:tc>
        <w:tc>
          <w:tcPr>
            <w:tcW w:w="1132" w:type="dxa"/>
            <w:shd w:val="clear" w:color="auto" w:fill="auto"/>
          </w:tcPr>
          <w:p w14:paraId="66799336" w14:textId="77777777" w:rsidR="00F141C2" w:rsidRPr="00676ECC" w:rsidRDefault="00F141C2" w:rsidP="00676ECC">
            <w:pPr>
              <w:rPr>
                <w:sz w:val="18"/>
              </w:rPr>
            </w:pPr>
            <w:r>
              <w:rPr>
                <w:sz w:val="18"/>
              </w:rPr>
              <w:t>$95,336</w:t>
            </w:r>
          </w:p>
        </w:tc>
      </w:tr>
      <w:tr w:rsidR="00F141C2" w:rsidRPr="00F86C76" w14:paraId="3906C9E7" w14:textId="77777777" w:rsidTr="00F141C2">
        <w:tc>
          <w:tcPr>
            <w:tcW w:w="1726" w:type="dxa"/>
            <w:shd w:val="clear" w:color="auto" w:fill="auto"/>
          </w:tcPr>
          <w:p w14:paraId="72671308" w14:textId="77777777" w:rsidR="00F141C2" w:rsidRPr="00676ECC" w:rsidRDefault="00F141C2"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lastRenderedPageBreak/>
              <w:t>Progress Reports</w:t>
            </w:r>
            <w:r w:rsidRPr="00676ECC">
              <w:rPr>
                <w:color w:val="000000"/>
                <w:sz w:val="18"/>
                <w:szCs w:val="18"/>
              </w:rPr>
              <w:t xml:space="preserve">                                               - </w:t>
            </w:r>
            <w:r>
              <w:rPr>
                <w:color w:val="000000"/>
                <w:sz w:val="18"/>
                <w:szCs w:val="18"/>
              </w:rPr>
              <w:t>Trib</w:t>
            </w:r>
            <w:r w:rsidRPr="00676ECC">
              <w:rPr>
                <w:color w:val="000000"/>
                <w:sz w:val="18"/>
                <w:szCs w:val="18"/>
              </w:rPr>
              <w:t xml:space="preserve">al </w:t>
            </w:r>
            <w:proofErr w:type="spellStart"/>
            <w:r w:rsidRPr="00676ECC">
              <w:rPr>
                <w:color w:val="000000"/>
                <w:sz w:val="18"/>
                <w:szCs w:val="18"/>
              </w:rPr>
              <w:t>Govt</w:t>
            </w:r>
            <w:proofErr w:type="spellEnd"/>
          </w:p>
        </w:tc>
        <w:tc>
          <w:tcPr>
            <w:tcW w:w="1493" w:type="dxa"/>
          </w:tcPr>
          <w:p w14:paraId="775218FB" w14:textId="77777777" w:rsidR="00F141C2" w:rsidRDefault="00F141C2" w:rsidP="00676ECC">
            <w:pPr>
              <w:rPr>
                <w:sz w:val="18"/>
                <w:szCs w:val="18"/>
              </w:rPr>
            </w:pPr>
            <w:r>
              <w:rPr>
                <w:sz w:val="18"/>
                <w:szCs w:val="18"/>
              </w:rPr>
              <w:t>34</w:t>
            </w:r>
          </w:p>
        </w:tc>
        <w:tc>
          <w:tcPr>
            <w:tcW w:w="1607" w:type="dxa"/>
            <w:shd w:val="clear" w:color="auto" w:fill="auto"/>
          </w:tcPr>
          <w:p w14:paraId="239557C9" w14:textId="77777777" w:rsidR="00F141C2" w:rsidRPr="00676ECC" w:rsidRDefault="00F141C2" w:rsidP="00676ECC">
            <w:pPr>
              <w:rPr>
                <w:sz w:val="18"/>
                <w:szCs w:val="18"/>
              </w:rPr>
            </w:pPr>
            <w:r>
              <w:rPr>
                <w:sz w:val="18"/>
                <w:szCs w:val="18"/>
              </w:rPr>
              <w:t>136</w:t>
            </w:r>
          </w:p>
        </w:tc>
        <w:tc>
          <w:tcPr>
            <w:tcW w:w="1316" w:type="dxa"/>
            <w:shd w:val="clear" w:color="auto" w:fill="auto"/>
          </w:tcPr>
          <w:p w14:paraId="33558493" w14:textId="77777777" w:rsidR="00F141C2" w:rsidRPr="00676ECC" w:rsidRDefault="00F141C2" w:rsidP="00676ECC">
            <w:pPr>
              <w:rPr>
                <w:sz w:val="18"/>
                <w:szCs w:val="18"/>
              </w:rPr>
            </w:pPr>
            <w:r>
              <w:rPr>
                <w:sz w:val="18"/>
                <w:szCs w:val="18"/>
              </w:rPr>
              <w:t>1.5</w:t>
            </w:r>
          </w:p>
        </w:tc>
        <w:tc>
          <w:tcPr>
            <w:tcW w:w="1114" w:type="dxa"/>
            <w:shd w:val="clear" w:color="auto" w:fill="auto"/>
          </w:tcPr>
          <w:p w14:paraId="72CBCAF9" w14:textId="77777777" w:rsidR="00F141C2" w:rsidRPr="00676ECC" w:rsidRDefault="00F141C2" w:rsidP="00676ECC">
            <w:pPr>
              <w:rPr>
                <w:sz w:val="18"/>
                <w:szCs w:val="18"/>
              </w:rPr>
            </w:pPr>
            <w:r>
              <w:rPr>
                <w:sz w:val="18"/>
                <w:szCs w:val="18"/>
              </w:rPr>
              <w:t>204</w:t>
            </w:r>
          </w:p>
        </w:tc>
        <w:tc>
          <w:tcPr>
            <w:tcW w:w="1188" w:type="dxa"/>
            <w:shd w:val="clear" w:color="auto" w:fill="auto"/>
          </w:tcPr>
          <w:p w14:paraId="0F36AEEB" w14:textId="77777777" w:rsidR="00F141C2" w:rsidRPr="00676ECC" w:rsidRDefault="00F141C2" w:rsidP="00676ECC">
            <w:pPr>
              <w:rPr>
                <w:sz w:val="18"/>
                <w:szCs w:val="18"/>
              </w:rPr>
            </w:pPr>
            <w:r>
              <w:rPr>
                <w:sz w:val="18"/>
                <w:szCs w:val="18"/>
              </w:rPr>
              <w:t>$44.97</w:t>
            </w:r>
          </w:p>
        </w:tc>
        <w:tc>
          <w:tcPr>
            <w:tcW w:w="1132" w:type="dxa"/>
            <w:shd w:val="clear" w:color="auto" w:fill="auto"/>
          </w:tcPr>
          <w:p w14:paraId="3FE1159C" w14:textId="77777777" w:rsidR="00F141C2" w:rsidRPr="00676ECC" w:rsidRDefault="00F141C2" w:rsidP="00F141C2">
            <w:pPr>
              <w:rPr>
                <w:sz w:val="18"/>
              </w:rPr>
            </w:pPr>
            <w:r>
              <w:rPr>
                <w:sz w:val="18"/>
              </w:rPr>
              <w:t>$9,174</w:t>
            </w:r>
          </w:p>
        </w:tc>
      </w:tr>
      <w:tr w:rsidR="00F141C2" w:rsidRPr="00F86C76" w14:paraId="12D4A5E4" w14:textId="77777777" w:rsidTr="00CC098E">
        <w:tc>
          <w:tcPr>
            <w:tcW w:w="1726" w:type="dxa"/>
            <w:shd w:val="clear" w:color="auto" w:fill="auto"/>
          </w:tcPr>
          <w:p w14:paraId="547C80A7" w14:textId="77777777" w:rsidR="00F141C2" w:rsidRPr="00676ECC" w:rsidRDefault="00F141C2"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p>
          <w:p w14:paraId="4760696C" w14:textId="77777777" w:rsidR="00F141C2" w:rsidRPr="00676ECC" w:rsidRDefault="00F141C2"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r w:rsidRPr="00676ECC">
              <w:rPr>
                <w:b/>
                <w:color w:val="000000"/>
                <w:szCs w:val="18"/>
              </w:rPr>
              <w:t>Totals</w:t>
            </w:r>
          </w:p>
        </w:tc>
        <w:tc>
          <w:tcPr>
            <w:tcW w:w="1493" w:type="dxa"/>
            <w:shd w:val="clear" w:color="auto" w:fill="A6A6A6" w:themeFill="background1" w:themeFillShade="A6"/>
          </w:tcPr>
          <w:p w14:paraId="58B93D82" w14:textId="77777777" w:rsidR="00F141C2" w:rsidRDefault="00F141C2" w:rsidP="00676ECC">
            <w:pPr>
              <w:rPr>
                <w:b/>
                <w:sz w:val="18"/>
                <w:szCs w:val="18"/>
              </w:rPr>
            </w:pPr>
          </w:p>
        </w:tc>
        <w:tc>
          <w:tcPr>
            <w:tcW w:w="1607" w:type="dxa"/>
            <w:shd w:val="clear" w:color="auto" w:fill="auto"/>
          </w:tcPr>
          <w:p w14:paraId="557985EF" w14:textId="77777777" w:rsidR="00F141C2" w:rsidRDefault="00F141C2" w:rsidP="00676ECC">
            <w:pPr>
              <w:rPr>
                <w:b/>
                <w:sz w:val="18"/>
                <w:szCs w:val="18"/>
              </w:rPr>
            </w:pPr>
          </w:p>
          <w:p w14:paraId="3213F645" w14:textId="77777777" w:rsidR="00F141C2" w:rsidRPr="00676ECC" w:rsidRDefault="00F141C2" w:rsidP="00A44A1F">
            <w:pPr>
              <w:rPr>
                <w:b/>
                <w:sz w:val="18"/>
                <w:szCs w:val="18"/>
              </w:rPr>
            </w:pPr>
            <w:r>
              <w:rPr>
                <w:b/>
                <w:sz w:val="18"/>
                <w:szCs w:val="18"/>
              </w:rPr>
              <w:t>189</w:t>
            </w:r>
          </w:p>
        </w:tc>
        <w:tc>
          <w:tcPr>
            <w:tcW w:w="1316" w:type="dxa"/>
            <w:shd w:val="pct25" w:color="auto" w:fill="auto"/>
          </w:tcPr>
          <w:p w14:paraId="42DB83BE" w14:textId="77777777" w:rsidR="00F141C2" w:rsidRPr="00676ECC" w:rsidRDefault="00F141C2" w:rsidP="00676ECC">
            <w:pPr>
              <w:rPr>
                <w:b/>
                <w:sz w:val="18"/>
                <w:szCs w:val="18"/>
              </w:rPr>
            </w:pPr>
          </w:p>
        </w:tc>
        <w:tc>
          <w:tcPr>
            <w:tcW w:w="1114" w:type="dxa"/>
            <w:shd w:val="clear" w:color="auto" w:fill="auto"/>
          </w:tcPr>
          <w:p w14:paraId="7A59DF38" w14:textId="77777777" w:rsidR="00F141C2" w:rsidRDefault="00F141C2" w:rsidP="00A44A1F">
            <w:pPr>
              <w:rPr>
                <w:b/>
                <w:sz w:val="18"/>
                <w:szCs w:val="18"/>
              </w:rPr>
            </w:pPr>
          </w:p>
          <w:p w14:paraId="64D56752" w14:textId="77777777" w:rsidR="00F141C2" w:rsidRPr="00676ECC" w:rsidRDefault="00F141C2" w:rsidP="00F141C2">
            <w:pPr>
              <w:rPr>
                <w:b/>
                <w:sz w:val="18"/>
                <w:szCs w:val="18"/>
              </w:rPr>
            </w:pPr>
            <w:r>
              <w:rPr>
                <w:b/>
                <w:sz w:val="18"/>
                <w:szCs w:val="18"/>
              </w:rPr>
              <w:t>2,324</w:t>
            </w:r>
          </w:p>
        </w:tc>
        <w:tc>
          <w:tcPr>
            <w:tcW w:w="1188" w:type="dxa"/>
            <w:shd w:val="pct25" w:color="auto" w:fill="auto"/>
          </w:tcPr>
          <w:p w14:paraId="69E997EB" w14:textId="77777777" w:rsidR="00F141C2" w:rsidRPr="00676ECC" w:rsidRDefault="00F141C2" w:rsidP="00676ECC">
            <w:pPr>
              <w:rPr>
                <w:b/>
                <w:sz w:val="18"/>
                <w:szCs w:val="18"/>
              </w:rPr>
            </w:pPr>
          </w:p>
        </w:tc>
        <w:tc>
          <w:tcPr>
            <w:tcW w:w="1132" w:type="dxa"/>
            <w:shd w:val="clear" w:color="auto" w:fill="auto"/>
          </w:tcPr>
          <w:p w14:paraId="4175F820" w14:textId="77777777" w:rsidR="00F141C2" w:rsidRPr="00676ECC" w:rsidRDefault="00F141C2" w:rsidP="00676ECC">
            <w:pPr>
              <w:rPr>
                <w:b/>
                <w:sz w:val="18"/>
              </w:rPr>
            </w:pPr>
          </w:p>
          <w:p w14:paraId="65BCB0B9" w14:textId="77777777" w:rsidR="00F141C2" w:rsidRPr="00676ECC" w:rsidRDefault="00F141C2" w:rsidP="00F141C2">
            <w:pPr>
              <w:rPr>
                <w:b/>
                <w:sz w:val="18"/>
              </w:rPr>
            </w:pPr>
            <w:r>
              <w:rPr>
                <w:b/>
                <w:sz w:val="18"/>
              </w:rPr>
              <w:t>$104,510</w:t>
            </w:r>
          </w:p>
        </w:tc>
      </w:tr>
    </w:tbl>
    <w:p w14:paraId="02ECD8E6"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p w14:paraId="5349A474" w14:textId="54030D5A" w:rsidR="00F86C76" w:rsidRPr="00FC6F44" w:rsidRDefault="00F86C76" w:rsidP="00F86C76">
      <w:pPr>
        <w:widowControl/>
        <w:rPr>
          <w:i/>
          <w:sz w:val="24"/>
          <w:szCs w:val="24"/>
        </w:rPr>
      </w:pPr>
      <w:r w:rsidRPr="00F86C76">
        <w:rPr>
          <w:sz w:val="22"/>
        </w:rPr>
        <w:t xml:space="preserve">*To obtain the hourly rate for </w:t>
      </w:r>
      <w:r w:rsidR="007B145E">
        <w:rPr>
          <w:sz w:val="22"/>
        </w:rPr>
        <w:t>Trib</w:t>
      </w:r>
      <w:r w:rsidRPr="00F86C76">
        <w:rPr>
          <w:sz w:val="22"/>
        </w:rPr>
        <w:t xml:space="preserve">al government employees, we used the </w:t>
      </w:r>
      <w:r w:rsidR="00F56A95">
        <w:rPr>
          <w:sz w:val="22"/>
        </w:rPr>
        <w:t xml:space="preserve">total compensation </w:t>
      </w:r>
      <w:r w:rsidRPr="00F86C76">
        <w:rPr>
          <w:sz w:val="22"/>
        </w:rPr>
        <w:t xml:space="preserve">figure for all </w:t>
      </w:r>
      <w:r w:rsidR="00C95CDE">
        <w:rPr>
          <w:sz w:val="22"/>
        </w:rPr>
        <w:t>workers from BLS Release USDL-</w:t>
      </w:r>
      <w:r w:rsidR="00FC6F44">
        <w:rPr>
          <w:sz w:val="22"/>
        </w:rPr>
        <w:t>1</w:t>
      </w:r>
      <w:r w:rsidR="00C95CDE">
        <w:rPr>
          <w:sz w:val="22"/>
        </w:rPr>
        <w:t>6</w:t>
      </w:r>
      <w:r w:rsidR="00FC6F44">
        <w:rPr>
          <w:sz w:val="22"/>
        </w:rPr>
        <w:t>-04</w:t>
      </w:r>
      <w:r w:rsidR="00C95CDE">
        <w:rPr>
          <w:sz w:val="22"/>
        </w:rPr>
        <w:t>63</w:t>
      </w:r>
      <w:r w:rsidRPr="00F86C76">
        <w:rPr>
          <w:sz w:val="22"/>
        </w:rPr>
        <w:t xml:space="preserve">, </w:t>
      </w:r>
      <w:r w:rsidRPr="00F86C76">
        <w:rPr>
          <w:i/>
          <w:sz w:val="22"/>
        </w:rPr>
        <w:t>Employer Costs for Employee Compensation—</w:t>
      </w:r>
      <w:r w:rsidR="00C95CDE">
        <w:rPr>
          <w:i/>
          <w:sz w:val="22"/>
        </w:rPr>
        <w:t xml:space="preserve">December </w:t>
      </w:r>
      <w:r w:rsidR="00533027">
        <w:rPr>
          <w:i/>
          <w:sz w:val="22"/>
        </w:rPr>
        <w:t>201</w:t>
      </w:r>
      <w:r w:rsidR="00C95CDE">
        <w:rPr>
          <w:i/>
          <w:sz w:val="22"/>
        </w:rPr>
        <w:t>5</w:t>
      </w:r>
      <w:r w:rsidRPr="00F86C76">
        <w:rPr>
          <w:sz w:val="22"/>
        </w:rPr>
        <w:t xml:space="preserve">, Table </w:t>
      </w:r>
      <w:r w:rsidR="00C95CDE">
        <w:rPr>
          <w:sz w:val="22"/>
        </w:rPr>
        <w:t xml:space="preserve">3 </w:t>
      </w:r>
      <w:r w:rsidR="00C95CDE" w:rsidRPr="00C95CDE">
        <w:rPr>
          <w:i/>
          <w:sz w:val="22"/>
        </w:rPr>
        <w:t>Employer costs per hour worked for employee compensation and costs as a percent of total compensation: State and local government workers, by major occupational and industry group, December 2015</w:t>
      </w:r>
      <w:r w:rsidRPr="00F86C76">
        <w:rPr>
          <w:i/>
          <w:sz w:val="22"/>
        </w:rPr>
        <w:t xml:space="preserve">.  </w:t>
      </w:r>
      <w:r w:rsidR="00FC6F44">
        <w:rPr>
          <w:sz w:val="22"/>
        </w:rPr>
        <w:t>(</w:t>
      </w:r>
      <w:r w:rsidR="00FC6F44" w:rsidRPr="007B145E">
        <w:rPr>
          <w:i/>
          <w:sz w:val="24"/>
          <w:szCs w:val="24"/>
        </w:rPr>
        <w:t xml:space="preserve">See </w:t>
      </w:r>
      <w:r w:rsidR="00C95CDE" w:rsidRPr="00C95CDE">
        <w:t>http://www.bls.gov/news.release/pdf/ecec.pdf</w:t>
      </w:r>
      <w:r w:rsidR="00FC6F44" w:rsidRPr="00FC6F44">
        <w:rPr>
          <w:sz w:val="24"/>
          <w:szCs w:val="24"/>
        </w:rPr>
        <w:t>)</w:t>
      </w:r>
    </w:p>
    <w:p w14:paraId="4B36D91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46915"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w:t>
      </w:r>
      <w:proofErr w:type="spellStart"/>
      <w:r w:rsidRPr="00F86C76">
        <w:rPr>
          <w:b/>
          <w:sz w:val="24"/>
          <w:szCs w:val="24"/>
        </w:rPr>
        <w:t>recordkeepers</w:t>
      </w:r>
      <w:proofErr w:type="spellEnd"/>
      <w:r w:rsidRPr="00F86C76">
        <w:rPr>
          <w:b/>
          <w:sz w:val="24"/>
          <w:szCs w:val="24"/>
        </w:rPr>
        <w:t xml:space="preserve">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7FB016E7"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16B98A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7CCE8F5"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B11DD1D" w14:textId="77777777"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075C80C6" w14:textId="77777777" w:rsidR="00533027" w:rsidRDefault="00F86C76" w:rsidP="001F29FB">
      <w:pPr>
        <w:pStyle w:val="NormalWeb"/>
        <w:spacing w:before="0" w:beforeAutospacing="0" w:after="0" w:afterAutospacing="0"/>
        <w:rPr>
          <w:sz w:val="22"/>
          <w:szCs w:val="22"/>
        </w:rPr>
      </w:pPr>
      <w:r w:rsidRPr="001F29FB">
        <w:t>We have not identified any non-hour costs associated with this information collection</w:t>
      </w:r>
      <w:r w:rsidRPr="00F86C76">
        <w:rPr>
          <w:sz w:val="22"/>
          <w:szCs w:val="22"/>
        </w:rPr>
        <w:t>.</w:t>
      </w:r>
    </w:p>
    <w:p w14:paraId="02C4DA3D" w14:textId="77777777" w:rsidR="00695512" w:rsidRPr="00F86C76" w:rsidRDefault="00695512" w:rsidP="001F29FB">
      <w:pPr>
        <w:pStyle w:val="NormalWeb"/>
        <w:spacing w:before="0" w:beforeAutospacing="0" w:after="0" w:afterAutospacing="0"/>
        <w:rPr>
          <w:sz w:val="22"/>
          <w:szCs w:val="22"/>
        </w:rPr>
      </w:pPr>
    </w:p>
    <w:p w14:paraId="54F51360"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58F53313"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1B551A5" w14:textId="77777777" w:rsidR="00F86C76" w:rsidRPr="00695512"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2"/>
        </w:rPr>
      </w:pPr>
      <w:r w:rsidRPr="00695512">
        <w:rPr>
          <w:bCs/>
          <w:sz w:val="24"/>
          <w:szCs w:val="22"/>
        </w:rPr>
        <w:t xml:space="preserve">We estimate the annual cost to the Federal Government to administer this information collection </w:t>
      </w:r>
      <w:r w:rsidRPr="00695512">
        <w:rPr>
          <w:bCs/>
          <w:sz w:val="24"/>
          <w:szCs w:val="22"/>
        </w:rPr>
        <w:lastRenderedPageBreak/>
        <w:t xml:space="preserve">to be </w:t>
      </w:r>
      <w:r w:rsidR="00774C74" w:rsidRPr="00774C74">
        <w:rPr>
          <w:b/>
          <w:bCs/>
          <w:sz w:val="24"/>
          <w:szCs w:val="22"/>
        </w:rPr>
        <w:t>$16,186</w:t>
      </w:r>
      <w:r w:rsidRPr="00695512">
        <w:rPr>
          <w:b/>
          <w:bCs/>
          <w:sz w:val="24"/>
          <w:szCs w:val="22"/>
        </w:rPr>
        <w:t>.</w:t>
      </w:r>
      <w:r w:rsidRPr="00695512">
        <w:rPr>
          <w:bCs/>
          <w:sz w:val="24"/>
          <w:szCs w:val="22"/>
        </w:rPr>
        <w:t xml:space="preserve"> </w:t>
      </w:r>
    </w:p>
    <w:p w14:paraId="3409F671"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1425"/>
        <w:gridCol w:w="1534"/>
        <w:gridCol w:w="1446"/>
      </w:tblGrid>
      <w:tr w:rsidR="00774C74" w:rsidRPr="00F86C76" w14:paraId="3CD86503" w14:textId="77777777" w:rsidTr="00FC6F44">
        <w:trPr>
          <w:jc w:val="center"/>
        </w:trPr>
        <w:tc>
          <w:tcPr>
            <w:tcW w:w="2214" w:type="dxa"/>
            <w:shd w:val="clear" w:color="auto" w:fill="auto"/>
          </w:tcPr>
          <w:p w14:paraId="7D401C2C" w14:textId="77777777" w:rsidR="00774C74" w:rsidRPr="00676ECC" w:rsidRDefault="00774C74" w:rsidP="00676ECC">
            <w:pPr>
              <w:rPr>
                <w:b/>
                <w:sz w:val="18"/>
              </w:rPr>
            </w:pPr>
            <w:r w:rsidRPr="00676ECC">
              <w:rPr>
                <w:b/>
                <w:sz w:val="18"/>
              </w:rPr>
              <w:t>Regulation/</w:t>
            </w:r>
          </w:p>
          <w:p w14:paraId="1F85BCFF" w14:textId="77777777" w:rsidR="00774C74" w:rsidRPr="00676ECC" w:rsidRDefault="00774C74" w:rsidP="00676ECC">
            <w:pPr>
              <w:rPr>
                <w:b/>
                <w:sz w:val="18"/>
              </w:rPr>
            </w:pPr>
            <w:r w:rsidRPr="00676ECC">
              <w:rPr>
                <w:b/>
                <w:sz w:val="18"/>
              </w:rPr>
              <w:t>Activity</w:t>
            </w:r>
          </w:p>
        </w:tc>
        <w:tc>
          <w:tcPr>
            <w:tcW w:w="1425" w:type="dxa"/>
            <w:shd w:val="clear" w:color="auto" w:fill="auto"/>
          </w:tcPr>
          <w:p w14:paraId="68B04399" w14:textId="77777777" w:rsidR="00774C74" w:rsidRPr="00676ECC" w:rsidRDefault="00774C74" w:rsidP="00676ECC">
            <w:pPr>
              <w:rPr>
                <w:b/>
                <w:sz w:val="18"/>
              </w:rPr>
            </w:pPr>
            <w:r w:rsidRPr="00676ECC">
              <w:rPr>
                <w:b/>
                <w:sz w:val="18"/>
              </w:rPr>
              <w:t xml:space="preserve">Total </w:t>
            </w:r>
          </w:p>
          <w:p w14:paraId="4D1E30EE" w14:textId="77777777" w:rsidR="00774C74" w:rsidRPr="00676ECC" w:rsidRDefault="00774C74" w:rsidP="00676ECC">
            <w:pPr>
              <w:rPr>
                <w:b/>
                <w:sz w:val="18"/>
              </w:rPr>
            </w:pPr>
            <w:r w:rsidRPr="00676ECC">
              <w:rPr>
                <w:b/>
                <w:sz w:val="18"/>
              </w:rPr>
              <w:t>Annual Burden Hours</w:t>
            </w:r>
          </w:p>
        </w:tc>
        <w:tc>
          <w:tcPr>
            <w:tcW w:w="1534" w:type="dxa"/>
            <w:shd w:val="clear" w:color="auto" w:fill="auto"/>
          </w:tcPr>
          <w:p w14:paraId="1A47E6F7" w14:textId="77777777" w:rsidR="00774C74" w:rsidRPr="00676ECC" w:rsidRDefault="00774C74" w:rsidP="00774C74">
            <w:pPr>
              <w:rPr>
                <w:b/>
                <w:sz w:val="16"/>
                <w:szCs w:val="16"/>
              </w:rPr>
            </w:pPr>
            <w:r w:rsidRPr="00676ECC">
              <w:rPr>
                <w:b/>
                <w:sz w:val="18"/>
              </w:rPr>
              <w:t xml:space="preserve">Hourly Rate </w:t>
            </w:r>
            <w:r>
              <w:rPr>
                <w:b/>
                <w:sz w:val="18"/>
              </w:rPr>
              <w:t>*</w:t>
            </w:r>
          </w:p>
          <w:p w14:paraId="537456AA" w14:textId="77777777" w:rsidR="00774C74" w:rsidRPr="00676ECC" w:rsidRDefault="00774C74" w:rsidP="00676ECC">
            <w:pPr>
              <w:rPr>
                <w:b/>
                <w:sz w:val="16"/>
                <w:szCs w:val="16"/>
              </w:rPr>
            </w:pPr>
          </w:p>
        </w:tc>
        <w:tc>
          <w:tcPr>
            <w:tcW w:w="1446" w:type="dxa"/>
            <w:shd w:val="clear" w:color="auto" w:fill="auto"/>
          </w:tcPr>
          <w:p w14:paraId="312D95CB" w14:textId="77777777" w:rsidR="00774C74" w:rsidRPr="00676ECC" w:rsidRDefault="00774C74" w:rsidP="00676ECC">
            <w:pPr>
              <w:rPr>
                <w:b/>
                <w:sz w:val="18"/>
              </w:rPr>
            </w:pPr>
            <w:r w:rsidRPr="00676ECC">
              <w:rPr>
                <w:b/>
                <w:sz w:val="18"/>
              </w:rPr>
              <w:t>$ Value of Annual Burden Hours</w:t>
            </w:r>
          </w:p>
        </w:tc>
      </w:tr>
      <w:tr w:rsidR="00774C74" w:rsidRPr="00F86C76" w14:paraId="7C9998D5" w14:textId="77777777" w:rsidTr="00FC6F44">
        <w:trPr>
          <w:jc w:val="center"/>
        </w:trPr>
        <w:tc>
          <w:tcPr>
            <w:tcW w:w="2214" w:type="dxa"/>
            <w:shd w:val="clear" w:color="auto" w:fill="auto"/>
          </w:tcPr>
          <w:p w14:paraId="54A7FCE1" w14:textId="77777777" w:rsidR="00774C74" w:rsidRPr="00676ECC" w:rsidRDefault="00774C74"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t>Registration administration</w:t>
            </w:r>
          </w:p>
        </w:tc>
        <w:tc>
          <w:tcPr>
            <w:tcW w:w="1425" w:type="dxa"/>
            <w:shd w:val="clear" w:color="auto" w:fill="auto"/>
          </w:tcPr>
          <w:p w14:paraId="4B9D26F1" w14:textId="77777777" w:rsidR="00774C74" w:rsidRPr="00676ECC" w:rsidRDefault="00774C74" w:rsidP="00676ECC">
            <w:pPr>
              <w:rPr>
                <w:sz w:val="18"/>
                <w:szCs w:val="18"/>
              </w:rPr>
            </w:pPr>
            <w:r>
              <w:rPr>
                <w:sz w:val="18"/>
                <w:szCs w:val="18"/>
              </w:rPr>
              <w:t>150</w:t>
            </w:r>
          </w:p>
        </w:tc>
        <w:tc>
          <w:tcPr>
            <w:tcW w:w="1534" w:type="dxa"/>
            <w:shd w:val="clear" w:color="auto" w:fill="auto"/>
            <w:vAlign w:val="center"/>
          </w:tcPr>
          <w:p w14:paraId="66EBD845" w14:textId="77777777" w:rsidR="00774C74" w:rsidRPr="00676ECC" w:rsidRDefault="00774C74" w:rsidP="00774C74">
            <w:pPr>
              <w:rPr>
                <w:sz w:val="18"/>
                <w:szCs w:val="18"/>
              </w:rPr>
            </w:pPr>
            <w:r w:rsidRPr="00774C74">
              <w:rPr>
                <w:sz w:val="18"/>
                <w:szCs w:val="18"/>
              </w:rPr>
              <w:t>$53.95</w:t>
            </w:r>
          </w:p>
        </w:tc>
        <w:tc>
          <w:tcPr>
            <w:tcW w:w="1446" w:type="dxa"/>
            <w:shd w:val="clear" w:color="auto" w:fill="auto"/>
          </w:tcPr>
          <w:p w14:paraId="00D4BE6A" w14:textId="77777777" w:rsidR="00774C74" w:rsidRPr="00676ECC" w:rsidRDefault="00774C74" w:rsidP="00676ECC">
            <w:pPr>
              <w:rPr>
                <w:sz w:val="18"/>
              </w:rPr>
            </w:pPr>
            <w:r>
              <w:rPr>
                <w:sz w:val="18"/>
              </w:rPr>
              <w:t>$8,093</w:t>
            </w:r>
          </w:p>
        </w:tc>
      </w:tr>
      <w:tr w:rsidR="00774C74" w:rsidRPr="00F86C76" w14:paraId="2287B276" w14:textId="77777777" w:rsidTr="00FC6F44">
        <w:trPr>
          <w:jc w:val="center"/>
        </w:trPr>
        <w:tc>
          <w:tcPr>
            <w:tcW w:w="2214" w:type="dxa"/>
            <w:shd w:val="clear" w:color="auto" w:fill="auto"/>
          </w:tcPr>
          <w:p w14:paraId="2B8929A7" w14:textId="77777777" w:rsidR="00774C74" w:rsidRPr="00676ECC" w:rsidRDefault="00774C74"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18"/>
                <w:szCs w:val="18"/>
              </w:rPr>
            </w:pPr>
            <w:r w:rsidRPr="00676ECC">
              <w:rPr>
                <w:b/>
                <w:color w:val="000000"/>
                <w:sz w:val="18"/>
                <w:szCs w:val="18"/>
              </w:rPr>
              <w:t>Collect and Assess Data</w:t>
            </w:r>
          </w:p>
        </w:tc>
        <w:tc>
          <w:tcPr>
            <w:tcW w:w="1425" w:type="dxa"/>
            <w:shd w:val="clear" w:color="auto" w:fill="auto"/>
            <w:vAlign w:val="center"/>
          </w:tcPr>
          <w:p w14:paraId="480FBDDD" w14:textId="77777777" w:rsidR="00774C74" w:rsidRPr="00676ECC" w:rsidRDefault="00774C74" w:rsidP="00676ECC">
            <w:pPr>
              <w:rPr>
                <w:sz w:val="18"/>
                <w:szCs w:val="18"/>
              </w:rPr>
            </w:pPr>
            <w:r>
              <w:rPr>
                <w:sz w:val="18"/>
                <w:szCs w:val="18"/>
              </w:rPr>
              <w:t>150</w:t>
            </w:r>
          </w:p>
        </w:tc>
        <w:tc>
          <w:tcPr>
            <w:tcW w:w="1534" w:type="dxa"/>
            <w:shd w:val="clear" w:color="auto" w:fill="auto"/>
            <w:vAlign w:val="center"/>
          </w:tcPr>
          <w:p w14:paraId="1EF3AB18" w14:textId="77777777" w:rsidR="00774C74" w:rsidRPr="00676ECC" w:rsidRDefault="00774C74" w:rsidP="00774C74">
            <w:pPr>
              <w:rPr>
                <w:sz w:val="18"/>
                <w:szCs w:val="18"/>
              </w:rPr>
            </w:pPr>
            <w:r w:rsidRPr="00774C74">
              <w:rPr>
                <w:sz w:val="18"/>
                <w:szCs w:val="18"/>
              </w:rPr>
              <w:t>$53.95</w:t>
            </w:r>
          </w:p>
        </w:tc>
        <w:tc>
          <w:tcPr>
            <w:tcW w:w="1446" w:type="dxa"/>
            <w:shd w:val="clear" w:color="auto" w:fill="auto"/>
          </w:tcPr>
          <w:p w14:paraId="04F7691A" w14:textId="77777777" w:rsidR="00774C74" w:rsidRPr="00676ECC" w:rsidRDefault="00774C74" w:rsidP="00676ECC">
            <w:pPr>
              <w:rPr>
                <w:sz w:val="18"/>
              </w:rPr>
            </w:pPr>
            <w:r>
              <w:rPr>
                <w:sz w:val="18"/>
              </w:rPr>
              <w:t>$8,093</w:t>
            </w:r>
          </w:p>
        </w:tc>
      </w:tr>
      <w:tr w:rsidR="00774C74" w:rsidRPr="00F86C76" w14:paraId="392EFEC8" w14:textId="77777777" w:rsidTr="00FC6F44">
        <w:trPr>
          <w:jc w:val="center"/>
        </w:trPr>
        <w:tc>
          <w:tcPr>
            <w:tcW w:w="2214" w:type="dxa"/>
            <w:shd w:val="clear" w:color="auto" w:fill="auto"/>
          </w:tcPr>
          <w:p w14:paraId="4AD60C31" w14:textId="77777777" w:rsidR="00774C74" w:rsidRPr="00676ECC" w:rsidRDefault="00774C74"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p>
          <w:p w14:paraId="109E9DE7" w14:textId="77777777" w:rsidR="00774C74" w:rsidRPr="00676ECC" w:rsidRDefault="00774C74" w:rsidP="00676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Cs w:val="18"/>
              </w:rPr>
            </w:pPr>
            <w:r w:rsidRPr="00676ECC">
              <w:rPr>
                <w:b/>
                <w:color w:val="000000"/>
                <w:szCs w:val="18"/>
              </w:rPr>
              <w:t>Totals</w:t>
            </w:r>
          </w:p>
        </w:tc>
        <w:tc>
          <w:tcPr>
            <w:tcW w:w="1425" w:type="dxa"/>
            <w:shd w:val="clear" w:color="auto" w:fill="auto"/>
          </w:tcPr>
          <w:p w14:paraId="301C6230" w14:textId="77777777" w:rsidR="00774C74" w:rsidRDefault="00774C74" w:rsidP="00676ECC">
            <w:pPr>
              <w:rPr>
                <w:sz w:val="18"/>
                <w:szCs w:val="18"/>
              </w:rPr>
            </w:pPr>
          </w:p>
          <w:p w14:paraId="4BEF98EA" w14:textId="77777777" w:rsidR="00774C74" w:rsidRPr="00A44A1F" w:rsidRDefault="00774C74" w:rsidP="00A44A1F">
            <w:pPr>
              <w:rPr>
                <w:b/>
                <w:sz w:val="18"/>
                <w:szCs w:val="18"/>
              </w:rPr>
            </w:pPr>
            <w:r w:rsidRPr="00A44A1F">
              <w:rPr>
                <w:b/>
                <w:sz w:val="18"/>
                <w:szCs w:val="18"/>
              </w:rPr>
              <w:t>300</w:t>
            </w:r>
          </w:p>
        </w:tc>
        <w:tc>
          <w:tcPr>
            <w:tcW w:w="1534" w:type="dxa"/>
            <w:shd w:val="pct25" w:color="auto" w:fill="auto"/>
          </w:tcPr>
          <w:p w14:paraId="41CA1BCE" w14:textId="77777777" w:rsidR="00774C74" w:rsidRPr="00676ECC" w:rsidRDefault="00774C74" w:rsidP="00676ECC">
            <w:pPr>
              <w:rPr>
                <w:sz w:val="18"/>
                <w:szCs w:val="18"/>
              </w:rPr>
            </w:pPr>
          </w:p>
        </w:tc>
        <w:tc>
          <w:tcPr>
            <w:tcW w:w="1446" w:type="dxa"/>
            <w:shd w:val="clear" w:color="auto" w:fill="auto"/>
          </w:tcPr>
          <w:p w14:paraId="01997CAA" w14:textId="77777777" w:rsidR="00774C74" w:rsidRPr="00676ECC" w:rsidRDefault="00774C74" w:rsidP="00676ECC">
            <w:pPr>
              <w:rPr>
                <w:sz w:val="18"/>
              </w:rPr>
            </w:pPr>
          </w:p>
          <w:p w14:paraId="78503C87" w14:textId="77777777" w:rsidR="00774C74" w:rsidRPr="00774C74" w:rsidRDefault="00774C74" w:rsidP="00774C74">
            <w:pPr>
              <w:rPr>
                <w:b/>
                <w:sz w:val="18"/>
              </w:rPr>
            </w:pPr>
            <w:r w:rsidRPr="00774C74">
              <w:rPr>
                <w:b/>
                <w:sz w:val="18"/>
              </w:rPr>
              <w:t>$16,186</w:t>
            </w:r>
          </w:p>
        </w:tc>
      </w:tr>
    </w:tbl>
    <w:p w14:paraId="5AF107B6"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F86C76">
        <w:rPr>
          <w:b/>
          <w:bCs/>
          <w:sz w:val="22"/>
          <w:szCs w:val="22"/>
        </w:rPr>
        <w:tab/>
      </w:r>
    </w:p>
    <w:p w14:paraId="6BC1AEC6" w14:textId="77777777" w:rsidR="00F86C76" w:rsidRPr="00F86C76" w:rsidRDefault="00F86C76" w:rsidP="00774C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p>
    <w:p w14:paraId="005AE416"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2"/>
          <w:szCs w:val="22"/>
        </w:rPr>
      </w:pPr>
      <w:r w:rsidRPr="00F86C76">
        <w:rPr>
          <w:bCs/>
          <w:sz w:val="22"/>
          <w:szCs w:val="22"/>
        </w:rPr>
        <w:tab/>
        <w:t xml:space="preserve">*Using the </w:t>
      </w:r>
      <w:r w:rsidR="00676ECC">
        <w:rPr>
          <w:bCs/>
          <w:sz w:val="22"/>
          <w:szCs w:val="22"/>
        </w:rPr>
        <w:t>January 201</w:t>
      </w:r>
      <w:r w:rsidR="00774C74">
        <w:rPr>
          <w:bCs/>
          <w:sz w:val="22"/>
          <w:szCs w:val="22"/>
        </w:rPr>
        <w:t>6</w:t>
      </w:r>
      <w:r w:rsidR="00676ECC">
        <w:rPr>
          <w:bCs/>
          <w:sz w:val="22"/>
          <w:szCs w:val="22"/>
        </w:rPr>
        <w:t xml:space="preserve"> GS Salary Schedule</w:t>
      </w:r>
      <w:r w:rsidRPr="00F86C76">
        <w:rPr>
          <w:bCs/>
          <w:sz w:val="22"/>
          <w:szCs w:val="22"/>
        </w:rPr>
        <w:t>, the salary r</w:t>
      </w:r>
      <w:r w:rsidR="00533027">
        <w:rPr>
          <w:bCs/>
          <w:sz w:val="22"/>
          <w:szCs w:val="22"/>
        </w:rPr>
        <w:t>ate for a GS-12/step 5 is $</w:t>
      </w:r>
      <w:r w:rsidR="00774C74">
        <w:rPr>
          <w:bCs/>
          <w:sz w:val="22"/>
          <w:szCs w:val="22"/>
        </w:rPr>
        <w:t>53.95</w:t>
      </w:r>
      <w:r w:rsidRPr="00F86C76">
        <w:rPr>
          <w:bCs/>
          <w:sz w:val="22"/>
          <w:szCs w:val="22"/>
        </w:rPr>
        <w:t xml:space="preserve"> including benefits ($3</w:t>
      </w:r>
      <w:r w:rsidR="00774C74">
        <w:rPr>
          <w:bCs/>
          <w:sz w:val="22"/>
          <w:szCs w:val="22"/>
        </w:rPr>
        <w:t>3</w:t>
      </w:r>
      <w:r w:rsidR="00533027">
        <w:rPr>
          <w:bCs/>
          <w:sz w:val="22"/>
          <w:szCs w:val="22"/>
        </w:rPr>
        <w:t>.7</w:t>
      </w:r>
      <w:r w:rsidR="00774C74">
        <w:rPr>
          <w:bCs/>
          <w:sz w:val="22"/>
          <w:szCs w:val="22"/>
        </w:rPr>
        <w:t>2</w:t>
      </w:r>
      <w:r w:rsidRPr="00F86C76">
        <w:rPr>
          <w:bCs/>
          <w:sz w:val="22"/>
          <w:szCs w:val="22"/>
        </w:rPr>
        <w:t xml:space="preserve"> hourly rate multiplied by 1.</w:t>
      </w:r>
      <w:r w:rsidR="00774C74">
        <w:rPr>
          <w:bCs/>
          <w:sz w:val="22"/>
          <w:szCs w:val="22"/>
        </w:rPr>
        <w:t xml:space="preserve">6 </w:t>
      </w:r>
      <w:r w:rsidRPr="00F86C76">
        <w:rPr>
          <w:bCs/>
          <w:sz w:val="22"/>
          <w:szCs w:val="22"/>
        </w:rPr>
        <w:t xml:space="preserve">to account for benefits).  </w:t>
      </w:r>
    </w:p>
    <w:p w14:paraId="39ECC0BD" w14:textId="77777777" w:rsidR="0060758B" w:rsidRPr="00BB6435" w:rsidRDefault="0060758B" w:rsidP="00774C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AAAD49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16AAD3D1" w14:textId="77777777" w:rsidR="002440D5" w:rsidRDefault="002440D5" w:rsidP="004127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328CB16C" w14:textId="77777777" w:rsidR="00F86C76" w:rsidRPr="004B261D" w:rsidRDefault="00A70C96" w:rsidP="00F86C76">
      <w:pPr>
        <w:pStyle w:val="CM22"/>
        <w:spacing w:line="253" w:lineRule="atLeast"/>
        <w:rPr>
          <w:sz w:val="22"/>
          <w:szCs w:val="22"/>
        </w:rPr>
      </w:pPr>
      <w:r>
        <w:rPr>
          <w:rFonts w:ascii="Times New Roman" w:hAnsi="Times New Roman" w:cs="Times New Roman"/>
          <w:color w:val="000000"/>
        </w:rPr>
        <w:t xml:space="preserve">There are no program changes.  Adjustments were made to </w:t>
      </w:r>
      <w:r w:rsidR="00A44A1F">
        <w:rPr>
          <w:rFonts w:ascii="Times New Roman" w:hAnsi="Times New Roman" w:cs="Times New Roman"/>
          <w:color w:val="000000"/>
        </w:rPr>
        <w:t>reflect the actual number of applications received, decreasing from 75 to 53, and projects awarded, increasing from 30 to 34, in FY 2015.</w:t>
      </w:r>
    </w:p>
    <w:p w14:paraId="5A7F546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61D6AB6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037B0F34" w14:textId="77777777" w:rsidR="00F86C76" w:rsidRPr="00F86C76" w:rsidRDefault="00F86C76" w:rsidP="00F86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6C76">
        <w:rPr>
          <w:sz w:val="24"/>
          <w:szCs w:val="24"/>
        </w:rPr>
        <w:t>We will not publish the results of this information collection</w:t>
      </w:r>
      <w:r w:rsidR="00397E9C">
        <w:rPr>
          <w:sz w:val="24"/>
          <w:szCs w:val="24"/>
        </w:rPr>
        <w:t>.</w:t>
      </w:r>
    </w:p>
    <w:p w14:paraId="2302DD83"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8B71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14:paraId="4394D8A7"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485CB4" w14:textId="77777777" w:rsidR="00695512" w:rsidRPr="00BB6435" w:rsidRDefault="00695512" w:rsidP="006955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We will display the OMB Control Number and expiration date on all appropriate materials.</w:t>
      </w:r>
    </w:p>
    <w:p w14:paraId="33193DA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5F2ED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6094117E"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B6FFB7F"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0210001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9D61C3" w15:done="0"/>
  <w15:commentEx w15:paraId="3DBC79DD" w15:done="0"/>
  <w15:commentEx w15:paraId="029BEF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257C8"/>
    <w:rsid w:val="00026233"/>
    <w:rsid w:val="000526DE"/>
    <w:rsid w:val="000F1C17"/>
    <w:rsid w:val="000F3AF1"/>
    <w:rsid w:val="00156768"/>
    <w:rsid w:val="00162B02"/>
    <w:rsid w:val="001C2080"/>
    <w:rsid w:val="001D2EA8"/>
    <w:rsid w:val="001F29FB"/>
    <w:rsid w:val="002440D5"/>
    <w:rsid w:val="0029161D"/>
    <w:rsid w:val="00295103"/>
    <w:rsid w:val="002A603C"/>
    <w:rsid w:val="00323AC2"/>
    <w:rsid w:val="00352210"/>
    <w:rsid w:val="00397E9C"/>
    <w:rsid w:val="003C3292"/>
    <w:rsid w:val="003F35F4"/>
    <w:rsid w:val="004127B1"/>
    <w:rsid w:val="004A6DFA"/>
    <w:rsid w:val="004C213C"/>
    <w:rsid w:val="004E6C64"/>
    <w:rsid w:val="00525467"/>
    <w:rsid w:val="00533027"/>
    <w:rsid w:val="0054600F"/>
    <w:rsid w:val="00585F4E"/>
    <w:rsid w:val="005C4E9E"/>
    <w:rsid w:val="005D39A7"/>
    <w:rsid w:val="005E0031"/>
    <w:rsid w:val="0060758B"/>
    <w:rsid w:val="00646EE4"/>
    <w:rsid w:val="00675DC6"/>
    <w:rsid w:val="00676ECC"/>
    <w:rsid w:val="00695512"/>
    <w:rsid w:val="006E339F"/>
    <w:rsid w:val="006F73B7"/>
    <w:rsid w:val="00701C0C"/>
    <w:rsid w:val="00705958"/>
    <w:rsid w:val="00774C74"/>
    <w:rsid w:val="007851E9"/>
    <w:rsid w:val="007A1BD3"/>
    <w:rsid w:val="007B145E"/>
    <w:rsid w:val="007E21B5"/>
    <w:rsid w:val="0081259F"/>
    <w:rsid w:val="00815167"/>
    <w:rsid w:val="00821B99"/>
    <w:rsid w:val="008B79D8"/>
    <w:rsid w:val="009247A1"/>
    <w:rsid w:val="00942F6E"/>
    <w:rsid w:val="00944C21"/>
    <w:rsid w:val="009A3C64"/>
    <w:rsid w:val="009B359F"/>
    <w:rsid w:val="00A117DF"/>
    <w:rsid w:val="00A42C99"/>
    <w:rsid w:val="00A44A1F"/>
    <w:rsid w:val="00A70C96"/>
    <w:rsid w:val="00AD3906"/>
    <w:rsid w:val="00B556E8"/>
    <w:rsid w:val="00BB6435"/>
    <w:rsid w:val="00BD4C47"/>
    <w:rsid w:val="00BD680A"/>
    <w:rsid w:val="00C236D1"/>
    <w:rsid w:val="00C92E04"/>
    <w:rsid w:val="00C95CDE"/>
    <w:rsid w:val="00CC098E"/>
    <w:rsid w:val="00CD20D5"/>
    <w:rsid w:val="00D53592"/>
    <w:rsid w:val="00D67323"/>
    <w:rsid w:val="00DE1FFE"/>
    <w:rsid w:val="00DE7630"/>
    <w:rsid w:val="00DF2A72"/>
    <w:rsid w:val="00E6013B"/>
    <w:rsid w:val="00E860ED"/>
    <w:rsid w:val="00EC60D2"/>
    <w:rsid w:val="00EF39BA"/>
    <w:rsid w:val="00F00694"/>
    <w:rsid w:val="00F141C2"/>
    <w:rsid w:val="00F376EB"/>
    <w:rsid w:val="00F56A95"/>
    <w:rsid w:val="00F629B6"/>
    <w:rsid w:val="00F71A50"/>
    <w:rsid w:val="00F73931"/>
    <w:rsid w:val="00F86C76"/>
    <w:rsid w:val="00FA7D0A"/>
    <w:rsid w:val="00FC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2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Winter@metlakatla.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darien@nphouisng.com" TargetMode="Externa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E6D52-93A0-4762-9B10-9500E8B0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2807</Words>
  <Characters>16081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Fry, Ashley Dawn</cp:lastModifiedBy>
  <cp:revision>6</cp:revision>
  <cp:lastPrinted>2010-09-28T21:50:00Z</cp:lastPrinted>
  <dcterms:created xsi:type="dcterms:W3CDTF">2016-05-13T15:13:00Z</dcterms:created>
  <dcterms:modified xsi:type="dcterms:W3CDTF">2016-05-18T18:45:00Z</dcterms:modified>
</cp:coreProperties>
</file>