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5"/>
        <w:gridCol w:w="4675"/>
      </w:tblGrid>
      <w:tr w:rsidR="00F26635" w:rsidTr="006C508F">
        <w:trPr>
          <w:trHeight w:val="1358"/>
        </w:trPr>
        <w:tc>
          <w:tcPr>
            <w:tcW w:w="4675" w:type="dxa"/>
            <w:tcBorders>
              <w:top w:val="nil"/>
              <w:left w:val="nil"/>
              <w:bottom w:val="single" w:sz="6" w:space="0" w:color="auto"/>
              <w:right w:val="nil"/>
            </w:tcBorders>
            <w:vAlign w:val="center"/>
          </w:tcPr>
          <w:p w:rsidR="00F26635" w:rsidRDefault="00F26635" w:rsidP="006C508F">
            <w:pPr>
              <w:tabs>
                <w:tab w:val="left" w:pos="5040"/>
              </w:tabs>
            </w:pPr>
            <w:bookmarkStart w:id="0" w:name="_GoBack"/>
            <w:bookmarkEnd w:id="0"/>
            <w:r>
              <w:rPr>
                <w:noProof/>
              </w:rPr>
              <w:drawing>
                <wp:inline distT="0" distB="0" distL="0" distR="0" wp14:anchorId="1FC30F95" wp14:editId="19398DB7">
                  <wp:extent cx="800100" cy="801417"/>
                  <wp:effectExtent l="19050" t="0" r="0" b="0"/>
                  <wp:docPr id="5" name="Picture 1" descr="H:\OJP seals\OJP-seal-color-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P seals\OJP-seal-color-med.gif"/>
                          <pic:cNvPicPr>
                            <a:picLocks noChangeAspect="1" noChangeArrowheads="1"/>
                          </pic:cNvPicPr>
                        </pic:nvPicPr>
                        <pic:blipFill>
                          <a:blip r:embed="rId7"/>
                          <a:srcRect/>
                          <a:stretch>
                            <a:fillRect/>
                          </a:stretch>
                        </pic:blipFill>
                        <pic:spPr bwMode="auto">
                          <a:xfrm>
                            <a:off x="0" y="0"/>
                            <a:ext cx="800100" cy="801417"/>
                          </a:xfrm>
                          <a:prstGeom prst="rect">
                            <a:avLst/>
                          </a:prstGeom>
                          <a:noFill/>
                          <a:ln w="9525">
                            <a:noFill/>
                            <a:miter lim="800000"/>
                            <a:headEnd/>
                            <a:tailEnd/>
                          </a:ln>
                        </pic:spPr>
                      </pic:pic>
                    </a:graphicData>
                  </a:graphic>
                </wp:inline>
              </w:drawing>
            </w:r>
          </w:p>
        </w:tc>
        <w:tc>
          <w:tcPr>
            <w:tcW w:w="4675" w:type="dxa"/>
            <w:tcBorders>
              <w:top w:val="nil"/>
              <w:left w:val="nil"/>
              <w:bottom w:val="single" w:sz="6" w:space="0" w:color="auto"/>
              <w:right w:val="nil"/>
            </w:tcBorders>
          </w:tcPr>
          <w:p w:rsidR="00F26635" w:rsidRDefault="00F26635" w:rsidP="00453DBB">
            <w:pPr>
              <w:tabs>
                <w:tab w:val="left" w:pos="5040"/>
              </w:tabs>
              <w:rPr>
                <w:b/>
              </w:rPr>
            </w:pPr>
          </w:p>
          <w:p w:rsidR="00F26635" w:rsidRDefault="00F26635" w:rsidP="00453DBB">
            <w:pPr>
              <w:tabs>
                <w:tab w:val="left" w:pos="5040"/>
              </w:tabs>
              <w:rPr>
                <w:b/>
              </w:rPr>
            </w:pPr>
          </w:p>
          <w:p w:rsidR="00F26635" w:rsidRDefault="00F26635" w:rsidP="00645D4A">
            <w:pPr>
              <w:tabs>
                <w:tab w:val="left" w:pos="5040"/>
              </w:tabs>
              <w:spacing w:after="120"/>
              <w:ind w:left="720"/>
              <w:rPr>
                <w:b/>
              </w:rPr>
            </w:pPr>
            <w:r w:rsidRPr="00C547E7">
              <w:rPr>
                <w:b/>
              </w:rPr>
              <w:t>U.S. Department of Justice</w:t>
            </w:r>
          </w:p>
          <w:p w:rsidR="00F26635" w:rsidRDefault="00F26635" w:rsidP="00645D4A">
            <w:pPr>
              <w:tabs>
                <w:tab w:val="left" w:pos="5040"/>
              </w:tabs>
              <w:spacing w:after="120"/>
              <w:ind w:left="720"/>
            </w:pPr>
            <w:r w:rsidRPr="00C547E7">
              <w:t>Office of Justice Programs</w:t>
            </w:r>
          </w:p>
          <w:p w:rsidR="00F26635" w:rsidRDefault="00F26635" w:rsidP="00645D4A">
            <w:pPr>
              <w:tabs>
                <w:tab w:val="left" w:pos="5040"/>
              </w:tabs>
              <w:spacing w:after="120"/>
              <w:ind w:left="720"/>
            </w:pPr>
            <w:r w:rsidRPr="00C547E7">
              <w:rPr>
                <w:i/>
              </w:rPr>
              <w:t>Bureau of Justice Statistics</w:t>
            </w:r>
          </w:p>
        </w:tc>
      </w:tr>
      <w:tr w:rsidR="00F26635" w:rsidTr="00522723">
        <w:trPr>
          <w:trHeight w:val="432"/>
        </w:trPr>
        <w:tc>
          <w:tcPr>
            <w:tcW w:w="4675" w:type="dxa"/>
            <w:tcBorders>
              <w:top w:val="single" w:sz="6" w:space="0" w:color="auto"/>
              <w:left w:val="nil"/>
              <w:bottom w:val="nil"/>
              <w:right w:val="nil"/>
            </w:tcBorders>
          </w:tcPr>
          <w:p w:rsidR="00F26635" w:rsidRDefault="00F26635" w:rsidP="00453DBB">
            <w:pPr>
              <w:tabs>
                <w:tab w:val="left" w:pos="5040"/>
              </w:tabs>
              <w:rPr>
                <w:noProof/>
              </w:rPr>
            </w:pPr>
          </w:p>
        </w:tc>
        <w:tc>
          <w:tcPr>
            <w:tcW w:w="4675" w:type="dxa"/>
            <w:tcBorders>
              <w:top w:val="single" w:sz="6" w:space="0" w:color="auto"/>
              <w:left w:val="nil"/>
              <w:bottom w:val="nil"/>
              <w:right w:val="nil"/>
            </w:tcBorders>
          </w:tcPr>
          <w:p w:rsidR="00F26635" w:rsidRPr="00C547E7" w:rsidRDefault="00F26635" w:rsidP="00645D4A">
            <w:pPr>
              <w:tabs>
                <w:tab w:val="left" w:pos="5040"/>
              </w:tabs>
              <w:ind w:left="720"/>
              <w:rPr>
                <w:b/>
              </w:rPr>
            </w:pPr>
            <w:r>
              <w:rPr>
                <w:i/>
                <w:sz w:val="16"/>
                <w:szCs w:val="16"/>
              </w:rPr>
              <w:t xml:space="preserve">    </w:t>
            </w:r>
            <w:r w:rsidRPr="008234FE">
              <w:rPr>
                <w:i/>
                <w:sz w:val="16"/>
                <w:szCs w:val="16"/>
              </w:rPr>
              <w:t>Washington, D.C. 20531</w:t>
            </w:r>
          </w:p>
        </w:tc>
      </w:tr>
    </w:tbl>
    <w:p w:rsidR="00F26635" w:rsidRDefault="00F26635" w:rsidP="006C508F">
      <w:r>
        <w:t>To:</w:t>
      </w:r>
      <w:r>
        <w:tab/>
      </w:r>
      <w:r w:rsidR="0078771F">
        <w:tab/>
      </w:r>
      <w:r>
        <w:t>Brecht Dono</w:t>
      </w:r>
      <w:r w:rsidR="007058E3">
        <w:t>g</w:t>
      </w:r>
      <w:r>
        <w:t>hue, OJJDP</w:t>
      </w:r>
    </w:p>
    <w:p w:rsidR="008B6EC0" w:rsidRDefault="008B6EC0" w:rsidP="006C508F">
      <w:r>
        <w:tab/>
      </w:r>
      <w:r>
        <w:tab/>
        <w:t>Benjamin Adams, OJJDP</w:t>
      </w:r>
    </w:p>
    <w:p w:rsidR="00F26635" w:rsidRDefault="00F26635" w:rsidP="006C508F">
      <w:r>
        <w:t>From:</w:t>
      </w:r>
      <w:r>
        <w:tab/>
      </w:r>
      <w:r w:rsidR="0078771F">
        <w:tab/>
      </w:r>
      <w:r>
        <w:t>Howard Snyder, BJS</w:t>
      </w:r>
    </w:p>
    <w:p w:rsidR="00F26635" w:rsidRDefault="00F26635" w:rsidP="006C508F">
      <w:r>
        <w:tab/>
      </w:r>
      <w:r w:rsidR="0078771F">
        <w:tab/>
      </w:r>
      <w:r>
        <w:t>Allen Beck, BJS</w:t>
      </w:r>
    </w:p>
    <w:p w:rsidR="00F26635" w:rsidRDefault="00F26635" w:rsidP="006C508F">
      <w:r>
        <w:t>Date:</w:t>
      </w:r>
      <w:r>
        <w:tab/>
      </w:r>
      <w:r w:rsidR="0078771F">
        <w:tab/>
      </w:r>
      <w:r>
        <w:t>September 28, 2016</w:t>
      </w:r>
    </w:p>
    <w:p w:rsidR="00F26635" w:rsidRDefault="00F26635" w:rsidP="006C508F">
      <w:r>
        <w:t>Re:</w:t>
      </w:r>
      <w:r>
        <w:tab/>
      </w:r>
      <w:r w:rsidR="0078771F">
        <w:tab/>
      </w:r>
      <w:r>
        <w:t>Comments on OMB Package for the 2016 JRFC</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5"/>
        <w:gridCol w:w="4675"/>
      </w:tblGrid>
      <w:tr w:rsidR="00F26635" w:rsidTr="00960793">
        <w:trPr>
          <w:trHeight w:val="432"/>
        </w:trPr>
        <w:tc>
          <w:tcPr>
            <w:tcW w:w="4675" w:type="dxa"/>
            <w:tcBorders>
              <w:top w:val="single" w:sz="6" w:space="0" w:color="auto"/>
              <w:left w:val="nil"/>
              <w:bottom w:val="nil"/>
              <w:right w:val="nil"/>
            </w:tcBorders>
          </w:tcPr>
          <w:p w:rsidR="00F26635" w:rsidRDefault="00F26635" w:rsidP="00960793">
            <w:pPr>
              <w:tabs>
                <w:tab w:val="left" w:pos="5040"/>
              </w:tabs>
              <w:rPr>
                <w:noProof/>
              </w:rPr>
            </w:pPr>
          </w:p>
        </w:tc>
        <w:tc>
          <w:tcPr>
            <w:tcW w:w="4675" w:type="dxa"/>
            <w:tcBorders>
              <w:top w:val="single" w:sz="6" w:space="0" w:color="auto"/>
              <w:left w:val="nil"/>
              <w:bottom w:val="nil"/>
              <w:right w:val="nil"/>
            </w:tcBorders>
          </w:tcPr>
          <w:p w:rsidR="00F26635" w:rsidRPr="00C547E7" w:rsidRDefault="00F26635" w:rsidP="00960793">
            <w:pPr>
              <w:tabs>
                <w:tab w:val="left" w:pos="5040"/>
              </w:tabs>
              <w:ind w:left="720"/>
              <w:rPr>
                <w:b/>
              </w:rPr>
            </w:pPr>
            <w:r>
              <w:rPr>
                <w:i/>
                <w:sz w:val="16"/>
                <w:szCs w:val="16"/>
              </w:rPr>
              <w:t xml:space="preserve">    </w:t>
            </w:r>
            <w:r w:rsidRPr="008234FE">
              <w:rPr>
                <w:i/>
                <w:sz w:val="16"/>
                <w:szCs w:val="16"/>
              </w:rPr>
              <w:t>Washington, D.C. 20531</w:t>
            </w:r>
          </w:p>
        </w:tc>
      </w:tr>
    </w:tbl>
    <w:p w:rsidR="00F26635" w:rsidRDefault="00F26635" w:rsidP="00F26635">
      <w:pPr>
        <w:spacing w:after="0" w:line="276" w:lineRule="auto"/>
        <w:rPr>
          <w:rFonts w:eastAsia="Times New Roman" w:cs="Arial"/>
        </w:rPr>
      </w:pPr>
      <w:r>
        <w:rPr>
          <w:rFonts w:eastAsia="Times New Roman" w:cs="Arial"/>
        </w:rPr>
        <w:t>As requested, we have read the OMB Package you provided.  Our reactions to the package are found in this memo and the comments embedded in its attachment.</w:t>
      </w:r>
    </w:p>
    <w:p w:rsidR="00F26635" w:rsidRDefault="00F26635" w:rsidP="00F26635">
      <w:pPr>
        <w:spacing w:after="0" w:line="276" w:lineRule="auto"/>
        <w:rPr>
          <w:rFonts w:eastAsia="Times New Roman" w:cs="Arial"/>
        </w:rPr>
      </w:pPr>
    </w:p>
    <w:p w:rsidR="00F26635" w:rsidRPr="00F26635" w:rsidRDefault="00F26635" w:rsidP="00F26635">
      <w:pPr>
        <w:spacing w:after="0" w:line="276" w:lineRule="auto"/>
        <w:rPr>
          <w:rFonts w:eastAsia="Times New Roman" w:cs="Arial"/>
        </w:rPr>
      </w:pPr>
      <w:r w:rsidRPr="00F26635">
        <w:rPr>
          <w:rFonts w:eastAsia="Times New Roman" w:cs="Arial"/>
        </w:rPr>
        <w:t xml:space="preserve">Part A </w:t>
      </w:r>
      <w:r>
        <w:rPr>
          <w:rFonts w:eastAsia="Times New Roman" w:cs="Arial"/>
        </w:rPr>
        <w:t xml:space="preserve">of the package </w:t>
      </w:r>
      <w:r w:rsidRPr="00F26635">
        <w:rPr>
          <w:rFonts w:eastAsia="Times New Roman" w:cs="Arial"/>
        </w:rPr>
        <w:t xml:space="preserve">is not in bad shape.  It needs editing to bring it up-to-date and to make it less generic.  </w:t>
      </w:r>
      <w:r>
        <w:rPr>
          <w:rFonts w:eastAsia="Times New Roman" w:cs="Arial"/>
        </w:rPr>
        <w:t>Our</w:t>
      </w:r>
      <w:r w:rsidRPr="00F26635">
        <w:rPr>
          <w:rFonts w:eastAsia="Times New Roman" w:cs="Arial"/>
        </w:rPr>
        <w:t xml:space="preserve"> notes on these </w:t>
      </w:r>
      <w:r>
        <w:rPr>
          <w:rFonts w:eastAsia="Times New Roman" w:cs="Arial"/>
        </w:rPr>
        <w:t xml:space="preserve">and other </w:t>
      </w:r>
      <w:r w:rsidRPr="00F26635">
        <w:rPr>
          <w:rFonts w:eastAsia="Times New Roman" w:cs="Arial"/>
        </w:rPr>
        <w:t>points are embedded in the text and comment bubbles.</w:t>
      </w:r>
    </w:p>
    <w:p w:rsidR="00F26635" w:rsidRPr="00F26635" w:rsidRDefault="00F26635" w:rsidP="00F26635">
      <w:pPr>
        <w:spacing w:after="0" w:line="276" w:lineRule="auto"/>
        <w:rPr>
          <w:rFonts w:eastAsia="Times New Roman" w:cs="Arial"/>
        </w:rPr>
      </w:pPr>
    </w:p>
    <w:p w:rsidR="00F26635" w:rsidRPr="00F26635" w:rsidRDefault="00F26635" w:rsidP="00F26635">
      <w:pPr>
        <w:spacing w:after="0" w:line="276" w:lineRule="auto"/>
        <w:rPr>
          <w:rFonts w:eastAsia="Times New Roman" w:cs="Arial"/>
        </w:rPr>
      </w:pPr>
      <w:r>
        <w:rPr>
          <w:rFonts w:eastAsia="Times New Roman" w:cs="Arial"/>
        </w:rPr>
        <w:t>We believe</w:t>
      </w:r>
      <w:r w:rsidRPr="00F26635">
        <w:rPr>
          <w:rFonts w:eastAsia="Times New Roman" w:cs="Arial"/>
        </w:rPr>
        <w:t xml:space="preserve"> Part B could be substantially improved.  </w:t>
      </w:r>
      <w:r>
        <w:rPr>
          <w:rFonts w:eastAsia="Times New Roman" w:cs="Arial"/>
        </w:rPr>
        <w:t>It has</w:t>
      </w:r>
      <w:r w:rsidRPr="00F26635">
        <w:rPr>
          <w:rFonts w:eastAsia="Times New Roman" w:cs="Arial"/>
        </w:rPr>
        <w:t xml:space="preserve"> all the needed sections headers but the materials presented under each do not include the detail that is generally expected by OMB.  </w:t>
      </w:r>
      <w:r>
        <w:rPr>
          <w:rFonts w:eastAsia="Times New Roman" w:cs="Arial"/>
        </w:rPr>
        <w:t xml:space="preserve">Along with the </w:t>
      </w:r>
      <w:r w:rsidRPr="00F26635">
        <w:rPr>
          <w:rFonts w:eastAsia="Times New Roman" w:cs="Arial"/>
        </w:rPr>
        <w:t xml:space="preserve">comments </w:t>
      </w:r>
      <w:r>
        <w:rPr>
          <w:rFonts w:eastAsia="Times New Roman" w:cs="Arial"/>
        </w:rPr>
        <w:t xml:space="preserve">and recommendations found attachment, </w:t>
      </w:r>
      <w:r w:rsidRPr="00F26635">
        <w:rPr>
          <w:rFonts w:eastAsia="Times New Roman" w:cs="Arial"/>
        </w:rPr>
        <w:t>there are some areas that need extra attention:</w:t>
      </w:r>
    </w:p>
    <w:p w:rsidR="00F26635" w:rsidRPr="00F26635" w:rsidRDefault="00F26635" w:rsidP="00F26635">
      <w:pPr>
        <w:widowControl w:val="0"/>
        <w:numPr>
          <w:ilvl w:val="0"/>
          <w:numId w:val="1"/>
        </w:numPr>
        <w:autoSpaceDE w:val="0"/>
        <w:autoSpaceDN w:val="0"/>
        <w:adjustRightInd w:val="0"/>
        <w:spacing w:after="0" w:line="276" w:lineRule="auto"/>
        <w:rPr>
          <w:rFonts w:eastAsia="Times New Roman" w:cs="Arial"/>
        </w:rPr>
      </w:pPr>
      <w:r w:rsidRPr="00F26635">
        <w:rPr>
          <w:rFonts w:eastAsia="Times New Roman" w:cs="Arial"/>
        </w:rPr>
        <w:t xml:space="preserve">There could be more detail on how Census systematically maintains the universe list.  Currently, the text reads as if it is almost an informal process with no guarantee that the </w:t>
      </w:r>
      <w:r>
        <w:rPr>
          <w:rFonts w:eastAsia="Times New Roman" w:cs="Arial"/>
        </w:rPr>
        <w:t>changes in the universe</w:t>
      </w:r>
      <w:r w:rsidRPr="00F26635">
        <w:rPr>
          <w:rFonts w:eastAsia="Times New Roman" w:cs="Arial"/>
        </w:rPr>
        <w:t xml:space="preserve"> will be identified.  </w:t>
      </w:r>
    </w:p>
    <w:p w:rsidR="008B6EC0" w:rsidRDefault="00F26635" w:rsidP="0051557B">
      <w:pPr>
        <w:widowControl w:val="0"/>
        <w:numPr>
          <w:ilvl w:val="0"/>
          <w:numId w:val="1"/>
        </w:numPr>
        <w:autoSpaceDE w:val="0"/>
        <w:autoSpaceDN w:val="0"/>
        <w:adjustRightInd w:val="0"/>
        <w:spacing w:after="0" w:line="276" w:lineRule="auto"/>
        <w:rPr>
          <w:rFonts w:eastAsia="Times New Roman" w:cs="Arial"/>
        </w:rPr>
      </w:pPr>
      <w:r w:rsidRPr="00F26635">
        <w:rPr>
          <w:rFonts w:eastAsia="Times New Roman" w:cs="Arial"/>
        </w:rPr>
        <w:t xml:space="preserve">Normally, a survey instrument (whether it be a new survey instrument or the repeat of a prior survey instrument) should be reviewed prior to each administration by experts in the field for change recommendations and then tested with a small sample of likely respondents to assess the viability of the items and the burden. </w:t>
      </w:r>
      <w:r w:rsidR="0078771F" w:rsidRPr="0078771F">
        <w:rPr>
          <w:rFonts w:eastAsia="Times New Roman" w:cs="Arial"/>
        </w:rPr>
        <w:t>[</w:t>
      </w:r>
      <w:r w:rsidR="0078771F" w:rsidRPr="00F26635">
        <w:rPr>
          <w:rFonts w:eastAsia="Times New Roman" w:cs="Arial"/>
        </w:rPr>
        <w:t xml:space="preserve">The package should </w:t>
      </w:r>
      <w:r w:rsidR="0078771F" w:rsidRPr="0078771F">
        <w:rPr>
          <w:rFonts w:eastAsia="Times New Roman" w:cs="Arial"/>
        </w:rPr>
        <w:t xml:space="preserve">also </w:t>
      </w:r>
      <w:r w:rsidR="0078771F" w:rsidRPr="00F26635">
        <w:rPr>
          <w:rFonts w:eastAsia="Times New Roman" w:cs="Arial"/>
        </w:rPr>
        <w:t>include the names of these individuals.</w:t>
      </w:r>
      <w:r w:rsidR="0078771F" w:rsidRPr="0078771F">
        <w:rPr>
          <w:rFonts w:eastAsia="Times New Roman" w:cs="Arial"/>
        </w:rPr>
        <w:t>]</w:t>
      </w:r>
      <w:r w:rsidR="0078771F" w:rsidRPr="00F26635">
        <w:rPr>
          <w:rFonts w:eastAsia="Times New Roman" w:cs="Arial"/>
        </w:rPr>
        <w:t xml:space="preserve">  </w:t>
      </w:r>
      <w:r w:rsidRPr="00F26635">
        <w:rPr>
          <w:rFonts w:eastAsia="Times New Roman" w:cs="Arial"/>
        </w:rPr>
        <w:t>The instrument testing should also include some cognitive interviewing to obtain the reactions from likely respondents.  All this may or may not lead to changes in the instrument.  If changes are made, they shoul</w:t>
      </w:r>
      <w:r w:rsidR="0078771F">
        <w:rPr>
          <w:rFonts w:eastAsia="Times New Roman" w:cs="Arial"/>
        </w:rPr>
        <w:t xml:space="preserve">d be detailed in the package.  We </w:t>
      </w:r>
      <w:r w:rsidRPr="00F26635">
        <w:rPr>
          <w:rFonts w:eastAsia="Times New Roman" w:cs="Arial"/>
        </w:rPr>
        <w:t xml:space="preserve"> assume there was little to no expert review or testin</w:t>
      </w:r>
      <w:r w:rsidR="0078771F">
        <w:rPr>
          <w:rFonts w:eastAsia="Times New Roman" w:cs="Arial"/>
        </w:rPr>
        <w:t>g of the 2016 survey.  If not, we</w:t>
      </w:r>
      <w:r w:rsidRPr="00F26635">
        <w:rPr>
          <w:rFonts w:eastAsia="Times New Roman" w:cs="Arial"/>
        </w:rPr>
        <w:t xml:space="preserve"> suggest describing as best you can the last time this work was done and the effect it had on the survey content, </w:t>
      </w:r>
      <w:r w:rsidR="0078771F">
        <w:rPr>
          <w:rFonts w:eastAsia="Times New Roman" w:cs="Arial"/>
        </w:rPr>
        <w:t>possibility</w:t>
      </w:r>
      <w:r w:rsidRPr="00F26635">
        <w:rPr>
          <w:rFonts w:eastAsia="Times New Roman" w:cs="Arial"/>
        </w:rPr>
        <w:t xml:space="preserve"> </w:t>
      </w:r>
      <w:r w:rsidR="0078771F">
        <w:rPr>
          <w:rFonts w:eastAsia="Times New Roman" w:cs="Arial"/>
        </w:rPr>
        <w:t>demonstrating</w:t>
      </w:r>
      <w:r w:rsidRPr="00F26635">
        <w:rPr>
          <w:rFonts w:eastAsia="Times New Roman" w:cs="Arial"/>
        </w:rPr>
        <w:t xml:space="preserve"> the lack of need for revision of the survey.  </w:t>
      </w:r>
    </w:p>
    <w:p w:rsidR="00F26635" w:rsidRPr="00F26635" w:rsidRDefault="00F26635" w:rsidP="008B6EC0">
      <w:pPr>
        <w:widowControl w:val="0"/>
        <w:autoSpaceDE w:val="0"/>
        <w:autoSpaceDN w:val="0"/>
        <w:adjustRightInd w:val="0"/>
        <w:spacing w:after="0" w:line="276" w:lineRule="auto"/>
        <w:rPr>
          <w:rFonts w:eastAsia="Times New Roman" w:cs="Arial"/>
        </w:rPr>
      </w:pPr>
    </w:p>
    <w:p w:rsidR="00F26635" w:rsidRPr="00F26635" w:rsidRDefault="00F26635" w:rsidP="00F26635">
      <w:pPr>
        <w:widowControl w:val="0"/>
        <w:numPr>
          <w:ilvl w:val="0"/>
          <w:numId w:val="1"/>
        </w:numPr>
        <w:autoSpaceDE w:val="0"/>
        <w:autoSpaceDN w:val="0"/>
        <w:adjustRightInd w:val="0"/>
        <w:spacing w:after="0" w:line="276" w:lineRule="auto"/>
        <w:rPr>
          <w:rFonts w:eastAsia="Times New Roman" w:cs="Arial"/>
        </w:rPr>
      </w:pPr>
      <w:r w:rsidRPr="00F26635">
        <w:rPr>
          <w:rFonts w:eastAsia="Times New Roman" w:cs="Arial"/>
        </w:rPr>
        <w:lastRenderedPageBreak/>
        <w:t xml:space="preserve">The package could use a more detailed data collection protocol, with definite dates for each step along the way.  Also, any planned communication with the respondents should be described in the text with copies of the proposed correspondence and telephone scripts attached.  Also the package would benefit from more detail about the nature, frequency and termination of your non-response follow-up procedures; this should include any plans for a greatly reduced critical item survey. </w:t>
      </w:r>
    </w:p>
    <w:p w:rsidR="00F26635" w:rsidRDefault="00F26635" w:rsidP="00F26635">
      <w:pPr>
        <w:widowControl w:val="0"/>
        <w:numPr>
          <w:ilvl w:val="0"/>
          <w:numId w:val="1"/>
        </w:numPr>
        <w:autoSpaceDE w:val="0"/>
        <w:autoSpaceDN w:val="0"/>
        <w:adjustRightInd w:val="0"/>
        <w:spacing w:after="0" w:line="276" w:lineRule="auto"/>
        <w:rPr>
          <w:rFonts w:eastAsia="Times New Roman" w:cs="Arial"/>
        </w:rPr>
      </w:pPr>
      <w:r w:rsidRPr="00F26635">
        <w:rPr>
          <w:rFonts w:eastAsia="Times New Roman" w:cs="Arial"/>
        </w:rPr>
        <w:t>While there is an imputation document attached to the package, a detailed summary of the processes should be included in the text.  The attachment also would be better if it were written as a technical document rather than as a memo.  [The current memo could also be edited to remove marginal text (such as the discussion about “makeshift beds”) and focus on the procedures that will be used to impute and weight the 2016 survey responses, and not what was done in 2014.</w:t>
      </w:r>
    </w:p>
    <w:p w:rsidR="00F26635" w:rsidRPr="00F26635" w:rsidRDefault="0078771F" w:rsidP="00F26635">
      <w:pPr>
        <w:widowControl w:val="0"/>
        <w:numPr>
          <w:ilvl w:val="0"/>
          <w:numId w:val="1"/>
        </w:numPr>
        <w:autoSpaceDE w:val="0"/>
        <w:autoSpaceDN w:val="0"/>
        <w:adjustRightInd w:val="0"/>
        <w:spacing w:after="0" w:line="276" w:lineRule="auto"/>
        <w:rPr>
          <w:rFonts w:eastAsia="Times New Roman" w:cs="Arial"/>
        </w:rPr>
      </w:pPr>
      <w:r>
        <w:rPr>
          <w:rFonts w:eastAsia="Times New Roman" w:cs="Arial"/>
        </w:rPr>
        <w:t xml:space="preserve">Finally, as detailed in the attachment, the package should present a detailed budget for the work.  This should include a breakdown of costs for the prime contractor and all subcontractors, along with the estimated personal costs for OJJDP staff working on the project.  </w:t>
      </w:r>
    </w:p>
    <w:p w:rsidR="00D64C64" w:rsidRDefault="001C6E13"/>
    <w:p w:rsidR="00496F08" w:rsidRDefault="00496F08">
      <w:r>
        <w:t xml:space="preserve">We hope to find these comments useful.  If you believe we can be helpful in the future, we would be willing to do so. </w:t>
      </w:r>
    </w:p>
    <w:p w:rsidR="00496F08" w:rsidRDefault="00496F08"/>
    <w:p w:rsidR="00496F08" w:rsidRDefault="00496F08"/>
    <w:p w:rsidR="0078771F" w:rsidRPr="00F26635" w:rsidRDefault="0078771F">
      <w:r>
        <w:t>Attachment:</w:t>
      </w:r>
      <w:r>
        <w:tab/>
        <w:t>Final JRFC Supporting Statements 5-31-16_w_BJS_notes.docx</w:t>
      </w:r>
    </w:p>
    <w:sectPr w:rsidR="0078771F" w:rsidRPr="00F266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08" w:rsidRDefault="00496F08" w:rsidP="00496F08">
      <w:pPr>
        <w:spacing w:after="0" w:line="240" w:lineRule="auto"/>
      </w:pPr>
      <w:r>
        <w:separator/>
      </w:r>
    </w:p>
  </w:endnote>
  <w:endnote w:type="continuationSeparator" w:id="0">
    <w:p w:rsidR="00496F08" w:rsidRDefault="00496F08" w:rsidP="0049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08" w:rsidRDefault="00496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137399"/>
      <w:docPartObj>
        <w:docPartGallery w:val="Page Numbers (Bottom of Page)"/>
        <w:docPartUnique/>
      </w:docPartObj>
    </w:sdtPr>
    <w:sdtEndPr/>
    <w:sdtContent>
      <w:sdt>
        <w:sdtPr>
          <w:id w:val="1728636285"/>
          <w:docPartObj>
            <w:docPartGallery w:val="Page Numbers (Top of Page)"/>
            <w:docPartUnique/>
          </w:docPartObj>
        </w:sdtPr>
        <w:sdtEndPr/>
        <w:sdtContent>
          <w:p w:rsidR="00496F08" w:rsidRPr="00496F08" w:rsidRDefault="00496F08">
            <w:pPr>
              <w:pStyle w:val="Footer"/>
              <w:jc w:val="center"/>
            </w:pPr>
            <w:r w:rsidRPr="00496F08">
              <w:t xml:space="preserve">Page </w:t>
            </w:r>
            <w:r w:rsidRPr="00496F08">
              <w:rPr>
                <w:b/>
                <w:bCs/>
              </w:rPr>
              <w:fldChar w:fldCharType="begin"/>
            </w:r>
            <w:r w:rsidRPr="00496F08">
              <w:rPr>
                <w:b/>
                <w:bCs/>
              </w:rPr>
              <w:instrText xml:space="preserve"> PAGE </w:instrText>
            </w:r>
            <w:r w:rsidRPr="00496F08">
              <w:rPr>
                <w:b/>
                <w:bCs/>
              </w:rPr>
              <w:fldChar w:fldCharType="separate"/>
            </w:r>
            <w:r w:rsidR="001C6E13">
              <w:rPr>
                <w:b/>
                <w:bCs/>
                <w:noProof/>
              </w:rPr>
              <w:t>2</w:t>
            </w:r>
            <w:r w:rsidRPr="00496F08">
              <w:rPr>
                <w:b/>
                <w:bCs/>
              </w:rPr>
              <w:fldChar w:fldCharType="end"/>
            </w:r>
            <w:r w:rsidRPr="00496F08">
              <w:t xml:space="preserve"> of </w:t>
            </w:r>
            <w:r w:rsidRPr="00496F08">
              <w:rPr>
                <w:b/>
                <w:bCs/>
              </w:rPr>
              <w:fldChar w:fldCharType="begin"/>
            </w:r>
            <w:r w:rsidRPr="00496F08">
              <w:rPr>
                <w:b/>
                <w:bCs/>
              </w:rPr>
              <w:instrText xml:space="preserve"> NUMPAGES  </w:instrText>
            </w:r>
            <w:r w:rsidRPr="00496F08">
              <w:rPr>
                <w:b/>
                <w:bCs/>
              </w:rPr>
              <w:fldChar w:fldCharType="separate"/>
            </w:r>
            <w:r w:rsidR="001C6E13">
              <w:rPr>
                <w:b/>
                <w:bCs/>
                <w:noProof/>
              </w:rPr>
              <w:t>2</w:t>
            </w:r>
            <w:r w:rsidRPr="00496F08">
              <w:rPr>
                <w:b/>
                <w:bCs/>
              </w:rPr>
              <w:fldChar w:fldCharType="end"/>
            </w:r>
          </w:p>
        </w:sdtContent>
      </w:sdt>
    </w:sdtContent>
  </w:sdt>
  <w:p w:rsidR="00496F08" w:rsidRDefault="00496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08" w:rsidRDefault="00496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08" w:rsidRDefault="00496F08" w:rsidP="00496F08">
      <w:pPr>
        <w:spacing w:after="0" w:line="240" w:lineRule="auto"/>
      </w:pPr>
      <w:r>
        <w:separator/>
      </w:r>
    </w:p>
  </w:footnote>
  <w:footnote w:type="continuationSeparator" w:id="0">
    <w:p w:rsidR="00496F08" w:rsidRDefault="00496F08" w:rsidP="00496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08" w:rsidRDefault="00496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08" w:rsidRDefault="00496F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08" w:rsidRDefault="00496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2060F"/>
    <w:multiLevelType w:val="hybridMultilevel"/>
    <w:tmpl w:val="1C6E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35"/>
    <w:rsid w:val="000067E1"/>
    <w:rsid w:val="00071978"/>
    <w:rsid w:val="0007218D"/>
    <w:rsid w:val="00094DB4"/>
    <w:rsid w:val="001233B3"/>
    <w:rsid w:val="00164A3C"/>
    <w:rsid w:val="00177569"/>
    <w:rsid w:val="001C6E13"/>
    <w:rsid w:val="001E5B0D"/>
    <w:rsid w:val="002441FA"/>
    <w:rsid w:val="0027492F"/>
    <w:rsid w:val="002D0F7B"/>
    <w:rsid w:val="002E5095"/>
    <w:rsid w:val="00336B0D"/>
    <w:rsid w:val="00347B22"/>
    <w:rsid w:val="003743F8"/>
    <w:rsid w:val="003C01E4"/>
    <w:rsid w:val="003C18A3"/>
    <w:rsid w:val="004057F9"/>
    <w:rsid w:val="00431257"/>
    <w:rsid w:val="004452EE"/>
    <w:rsid w:val="004605DF"/>
    <w:rsid w:val="0049446B"/>
    <w:rsid w:val="00496F08"/>
    <w:rsid w:val="004C6BA0"/>
    <w:rsid w:val="005045DD"/>
    <w:rsid w:val="0054131D"/>
    <w:rsid w:val="005431E0"/>
    <w:rsid w:val="005A280C"/>
    <w:rsid w:val="005B6913"/>
    <w:rsid w:val="00616410"/>
    <w:rsid w:val="00621684"/>
    <w:rsid w:val="00630DAE"/>
    <w:rsid w:val="00631B24"/>
    <w:rsid w:val="00664D4D"/>
    <w:rsid w:val="00666516"/>
    <w:rsid w:val="006B6A49"/>
    <w:rsid w:val="006F0EE2"/>
    <w:rsid w:val="007058E3"/>
    <w:rsid w:val="00732D77"/>
    <w:rsid w:val="007642F7"/>
    <w:rsid w:val="007644A2"/>
    <w:rsid w:val="007769FF"/>
    <w:rsid w:val="0078771F"/>
    <w:rsid w:val="007B3F7A"/>
    <w:rsid w:val="007C0F81"/>
    <w:rsid w:val="007D22B3"/>
    <w:rsid w:val="007E0CF4"/>
    <w:rsid w:val="00807ED8"/>
    <w:rsid w:val="00840C1A"/>
    <w:rsid w:val="00841173"/>
    <w:rsid w:val="008607B8"/>
    <w:rsid w:val="008627E5"/>
    <w:rsid w:val="00862FA7"/>
    <w:rsid w:val="0088019B"/>
    <w:rsid w:val="008874CC"/>
    <w:rsid w:val="008A4ECE"/>
    <w:rsid w:val="008B6EC0"/>
    <w:rsid w:val="008B7446"/>
    <w:rsid w:val="008D7E13"/>
    <w:rsid w:val="008E436A"/>
    <w:rsid w:val="0091384B"/>
    <w:rsid w:val="009672CF"/>
    <w:rsid w:val="00972936"/>
    <w:rsid w:val="009B4546"/>
    <w:rsid w:val="00A04D92"/>
    <w:rsid w:val="00A25E11"/>
    <w:rsid w:val="00A412F3"/>
    <w:rsid w:val="00A56856"/>
    <w:rsid w:val="00A91641"/>
    <w:rsid w:val="00AA6E06"/>
    <w:rsid w:val="00AB5C19"/>
    <w:rsid w:val="00AD33D8"/>
    <w:rsid w:val="00B26643"/>
    <w:rsid w:val="00B2704E"/>
    <w:rsid w:val="00B93AA4"/>
    <w:rsid w:val="00BC1D53"/>
    <w:rsid w:val="00BE3928"/>
    <w:rsid w:val="00C02E91"/>
    <w:rsid w:val="00C11F67"/>
    <w:rsid w:val="00CA0ADF"/>
    <w:rsid w:val="00CA2997"/>
    <w:rsid w:val="00CB4215"/>
    <w:rsid w:val="00CB681F"/>
    <w:rsid w:val="00D226BB"/>
    <w:rsid w:val="00D40246"/>
    <w:rsid w:val="00D41753"/>
    <w:rsid w:val="00DB358E"/>
    <w:rsid w:val="00DC6421"/>
    <w:rsid w:val="00E35F50"/>
    <w:rsid w:val="00E7656F"/>
    <w:rsid w:val="00EB4226"/>
    <w:rsid w:val="00F03F35"/>
    <w:rsid w:val="00F140ED"/>
    <w:rsid w:val="00F14A99"/>
    <w:rsid w:val="00F26635"/>
    <w:rsid w:val="00F4716D"/>
    <w:rsid w:val="00F66325"/>
    <w:rsid w:val="00FE3A2B"/>
    <w:rsid w:val="00FF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E65F3-78A7-4173-9EA0-51FDD21C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F08"/>
  </w:style>
  <w:style w:type="paragraph" w:styleId="Footer">
    <w:name w:val="footer"/>
    <w:basedOn w:val="Normal"/>
    <w:link w:val="FooterChar"/>
    <w:uiPriority w:val="99"/>
    <w:unhideWhenUsed/>
    <w:rsid w:val="0049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CC6C0683.dotm</Template>
  <TotalTime>0</TotalTime>
  <Pages>2</Pages>
  <Words>526</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Howard</dc:creator>
  <cp:keywords/>
  <dc:description/>
  <cp:lastModifiedBy>Donoghue, Brecht</cp:lastModifiedBy>
  <cp:revision>2</cp:revision>
  <dcterms:created xsi:type="dcterms:W3CDTF">2016-10-07T15:03:00Z</dcterms:created>
  <dcterms:modified xsi:type="dcterms:W3CDTF">2016-10-07T15:03:00Z</dcterms:modified>
</cp:coreProperties>
</file>