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05E27" w14:textId="77777777" w:rsidR="00090555" w:rsidRPr="00E3567A" w:rsidRDefault="00090555">
      <w:pPr>
        <w:jc w:val="center"/>
        <w:rPr>
          <w:rFonts w:ascii="Times New Roman" w:hAnsi="Times New Roman"/>
          <w:szCs w:val="24"/>
        </w:rPr>
      </w:pPr>
      <w:r w:rsidRPr="00E3567A">
        <w:rPr>
          <w:rFonts w:ascii="Times New Roman" w:hAnsi="Times New Roman"/>
          <w:szCs w:val="24"/>
        </w:rPr>
        <w:t>DEPARTMENT OF JUSTICE</w:t>
      </w:r>
    </w:p>
    <w:p w14:paraId="3A88B0E5" w14:textId="77777777" w:rsidR="00090555" w:rsidRPr="00E3567A" w:rsidRDefault="00090555">
      <w:pPr>
        <w:jc w:val="center"/>
        <w:rPr>
          <w:rFonts w:ascii="Times New Roman" w:hAnsi="Times New Roman"/>
          <w:szCs w:val="24"/>
        </w:rPr>
      </w:pPr>
      <w:r w:rsidRPr="00E3567A">
        <w:rPr>
          <w:rFonts w:ascii="Times New Roman" w:hAnsi="Times New Roman"/>
          <w:szCs w:val="24"/>
        </w:rPr>
        <w:t>BUREAU OF ALCOHOL, TOBACCO, FIREARMS AND EXPLOSIVES</w:t>
      </w:r>
    </w:p>
    <w:p w14:paraId="28F719E9" w14:textId="77777777" w:rsidR="00090555" w:rsidRPr="00E3567A" w:rsidRDefault="00090555">
      <w:pPr>
        <w:jc w:val="center"/>
        <w:rPr>
          <w:rFonts w:ascii="Times New Roman" w:hAnsi="Times New Roman"/>
          <w:szCs w:val="24"/>
        </w:rPr>
      </w:pPr>
    </w:p>
    <w:p w14:paraId="2AA9C0FC" w14:textId="77777777" w:rsidR="00090555" w:rsidRPr="00E3567A" w:rsidRDefault="00090555">
      <w:pPr>
        <w:jc w:val="center"/>
        <w:rPr>
          <w:rFonts w:ascii="Times New Roman" w:hAnsi="Times New Roman"/>
          <w:szCs w:val="24"/>
        </w:rPr>
      </w:pPr>
      <w:r w:rsidRPr="00E3567A">
        <w:rPr>
          <w:rFonts w:ascii="Times New Roman" w:hAnsi="Times New Roman"/>
          <w:szCs w:val="24"/>
        </w:rPr>
        <w:t>Information Collection Request</w:t>
      </w:r>
    </w:p>
    <w:p w14:paraId="4D5D4602" w14:textId="77777777" w:rsidR="00090555" w:rsidRPr="00E3567A" w:rsidRDefault="00090555">
      <w:pPr>
        <w:jc w:val="center"/>
        <w:rPr>
          <w:rFonts w:ascii="Times New Roman" w:hAnsi="Times New Roman"/>
          <w:szCs w:val="24"/>
        </w:rPr>
      </w:pPr>
      <w:r w:rsidRPr="00E3567A">
        <w:rPr>
          <w:rFonts w:ascii="Times New Roman" w:hAnsi="Times New Roman"/>
          <w:szCs w:val="24"/>
        </w:rPr>
        <w:t>Supporting Statement</w:t>
      </w:r>
    </w:p>
    <w:p w14:paraId="0E5398FD" w14:textId="77777777" w:rsidR="00090555" w:rsidRPr="00E3567A" w:rsidRDefault="00090555">
      <w:pPr>
        <w:rPr>
          <w:rFonts w:ascii="Times New Roman" w:hAnsi="Times New Roman"/>
          <w:szCs w:val="24"/>
        </w:rPr>
      </w:pPr>
    </w:p>
    <w:p w14:paraId="3820E8B8" w14:textId="77777777" w:rsidR="00090555" w:rsidRPr="00E3567A" w:rsidRDefault="00090555">
      <w:pPr>
        <w:jc w:val="center"/>
        <w:rPr>
          <w:rFonts w:ascii="Times New Roman" w:hAnsi="Times New Roman"/>
          <w:szCs w:val="24"/>
        </w:rPr>
      </w:pPr>
      <w:r w:rsidRPr="00E3567A">
        <w:rPr>
          <w:rFonts w:ascii="Times New Roman" w:hAnsi="Times New Roman"/>
          <w:szCs w:val="24"/>
        </w:rPr>
        <w:t>OMB 1140-0014 ATF Form 4 (5320.4)</w:t>
      </w:r>
    </w:p>
    <w:p w14:paraId="618CA745" w14:textId="77777777" w:rsidR="00090555" w:rsidRPr="00E3567A" w:rsidRDefault="00090555">
      <w:pPr>
        <w:jc w:val="center"/>
        <w:rPr>
          <w:rFonts w:ascii="Times New Roman" w:hAnsi="Times New Roman"/>
          <w:szCs w:val="24"/>
        </w:rPr>
      </w:pPr>
      <w:r w:rsidRPr="00E3567A">
        <w:rPr>
          <w:rFonts w:ascii="Times New Roman" w:hAnsi="Times New Roman"/>
          <w:szCs w:val="24"/>
        </w:rPr>
        <w:t>Application for Tax Paid Transfer</w:t>
      </w:r>
      <w:r w:rsidR="006E60E8">
        <w:rPr>
          <w:rFonts w:ascii="Times New Roman" w:hAnsi="Times New Roman"/>
          <w:szCs w:val="24"/>
        </w:rPr>
        <w:t xml:space="preserve"> </w:t>
      </w:r>
      <w:r w:rsidRPr="00E3567A">
        <w:rPr>
          <w:rFonts w:ascii="Times New Roman" w:hAnsi="Times New Roman"/>
          <w:szCs w:val="24"/>
        </w:rPr>
        <w:t>and Registration of Firearm</w:t>
      </w:r>
    </w:p>
    <w:p w14:paraId="6BF9E665" w14:textId="77777777" w:rsidR="00090555" w:rsidRPr="00E3567A" w:rsidRDefault="00090555">
      <w:pPr>
        <w:jc w:val="center"/>
        <w:rPr>
          <w:rFonts w:ascii="Times New Roman" w:hAnsi="Times New Roman"/>
          <w:szCs w:val="24"/>
        </w:rPr>
      </w:pPr>
    </w:p>
    <w:p w14:paraId="6D0892D8" w14:textId="77777777" w:rsidR="00090555" w:rsidRPr="00E3567A" w:rsidRDefault="00090555">
      <w:pPr>
        <w:numPr>
          <w:ilvl w:val="0"/>
          <w:numId w:val="1"/>
        </w:numPr>
        <w:rPr>
          <w:rFonts w:ascii="Times New Roman" w:hAnsi="Times New Roman"/>
          <w:szCs w:val="24"/>
        </w:rPr>
      </w:pPr>
      <w:r w:rsidRPr="00E3567A">
        <w:rPr>
          <w:rFonts w:ascii="Times New Roman" w:hAnsi="Times New Roman"/>
          <w:szCs w:val="24"/>
          <w:u w:val="single"/>
        </w:rPr>
        <w:t>JUSTIFICATION</w:t>
      </w:r>
    </w:p>
    <w:p w14:paraId="7CF666DF" w14:textId="77777777" w:rsidR="00090555" w:rsidRPr="00E3567A" w:rsidRDefault="00090555">
      <w:pPr>
        <w:rPr>
          <w:rFonts w:ascii="Times New Roman" w:hAnsi="Times New Roman"/>
          <w:szCs w:val="24"/>
        </w:rPr>
      </w:pPr>
    </w:p>
    <w:p w14:paraId="13D56357" w14:textId="77777777" w:rsidR="00C944B0" w:rsidRDefault="00090555">
      <w:pPr>
        <w:numPr>
          <w:ilvl w:val="0"/>
          <w:numId w:val="2"/>
        </w:numPr>
        <w:rPr>
          <w:rFonts w:ascii="Times New Roman" w:hAnsi="Times New Roman"/>
          <w:szCs w:val="24"/>
        </w:rPr>
      </w:pPr>
      <w:r w:rsidRPr="00E3567A">
        <w:rPr>
          <w:rFonts w:ascii="Times New Roman" w:hAnsi="Times New Roman"/>
          <w:szCs w:val="24"/>
        </w:rPr>
        <w:t xml:space="preserve">The ATF Form 4 (5320.4) is required </w:t>
      </w:r>
      <w:r w:rsidR="008C7B45">
        <w:rPr>
          <w:rFonts w:ascii="Times New Roman" w:hAnsi="Times New Roman"/>
          <w:szCs w:val="24"/>
        </w:rPr>
        <w:t>for a person with a registered National Firearms Act (NFA</w:t>
      </w:r>
      <w:proofErr w:type="gramStart"/>
      <w:r w:rsidR="008C7B45">
        <w:rPr>
          <w:rFonts w:ascii="Times New Roman" w:hAnsi="Times New Roman"/>
          <w:szCs w:val="24"/>
        </w:rPr>
        <w:t>)</w:t>
      </w:r>
      <w:r w:rsidR="00C944B0">
        <w:rPr>
          <w:rFonts w:ascii="Times New Roman" w:hAnsi="Times New Roman"/>
          <w:szCs w:val="24"/>
        </w:rPr>
        <w:t>(</w:t>
      </w:r>
      <w:proofErr w:type="gramEnd"/>
      <w:r w:rsidR="00C944B0">
        <w:rPr>
          <w:rFonts w:ascii="Times New Roman" w:hAnsi="Times New Roman"/>
          <w:szCs w:val="24"/>
        </w:rPr>
        <w:t>Title 26, United States Code, Chapter 53)</w:t>
      </w:r>
      <w:r w:rsidR="008C7B45">
        <w:rPr>
          <w:rFonts w:ascii="Times New Roman" w:hAnsi="Times New Roman"/>
          <w:szCs w:val="24"/>
        </w:rPr>
        <w:t xml:space="preserve"> firearm </w:t>
      </w:r>
      <w:r w:rsidRPr="00E3567A">
        <w:rPr>
          <w:rFonts w:ascii="Times New Roman" w:hAnsi="Times New Roman"/>
          <w:szCs w:val="24"/>
        </w:rPr>
        <w:t xml:space="preserve">to apply for </w:t>
      </w:r>
      <w:r w:rsidR="008C7B45">
        <w:rPr>
          <w:rFonts w:ascii="Times New Roman" w:hAnsi="Times New Roman"/>
          <w:szCs w:val="24"/>
        </w:rPr>
        <w:t xml:space="preserve">and receive </w:t>
      </w:r>
      <w:r w:rsidR="001505B6">
        <w:rPr>
          <w:rFonts w:ascii="Times New Roman" w:hAnsi="Times New Roman"/>
          <w:szCs w:val="24"/>
        </w:rPr>
        <w:t>approval</w:t>
      </w:r>
      <w:r w:rsidR="008C7B45">
        <w:rPr>
          <w:rFonts w:ascii="Times New Roman" w:hAnsi="Times New Roman"/>
          <w:szCs w:val="24"/>
        </w:rPr>
        <w:t xml:space="preserve"> for </w:t>
      </w:r>
      <w:r w:rsidRPr="00E3567A">
        <w:rPr>
          <w:rFonts w:ascii="Times New Roman" w:hAnsi="Times New Roman"/>
          <w:szCs w:val="24"/>
        </w:rPr>
        <w:t xml:space="preserve">the transfer and registration </w:t>
      </w:r>
      <w:r w:rsidR="001505B6">
        <w:rPr>
          <w:rFonts w:ascii="Times New Roman" w:hAnsi="Times New Roman"/>
          <w:szCs w:val="24"/>
        </w:rPr>
        <w:t>of t</w:t>
      </w:r>
      <w:r w:rsidR="008C7B45">
        <w:rPr>
          <w:rFonts w:ascii="Times New Roman" w:hAnsi="Times New Roman"/>
          <w:szCs w:val="24"/>
        </w:rPr>
        <w:t>he</w:t>
      </w:r>
      <w:r w:rsidRPr="00E3567A">
        <w:rPr>
          <w:rFonts w:ascii="Times New Roman" w:hAnsi="Times New Roman"/>
          <w:szCs w:val="24"/>
        </w:rPr>
        <w:t xml:space="preserve"> firearm.  </w:t>
      </w:r>
      <w:r w:rsidR="00C944B0">
        <w:rPr>
          <w:rFonts w:ascii="Times New Roman" w:hAnsi="Times New Roman"/>
          <w:szCs w:val="24"/>
        </w:rPr>
        <w:t xml:space="preserve">The implementing regulations are in Title 27, Code of Federal Regulations, </w:t>
      </w:r>
      <w:proofErr w:type="gramStart"/>
      <w:r w:rsidR="00C944B0">
        <w:rPr>
          <w:rFonts w:ascii="Times New Roman" w:hAnsi="Times New Roman"/>
          <w:szCs w:val="24"/>
        </w:rPr>
        <w:t>Part</w:t>
      </w:r>
      <w:proofErr w:type="gramEnd"/>
      <w:r w:rsidR="00C944B0">
        <w:rPr>
          <w:rFonts w:ascii="Times New Roman" w:hAnsi="Times New Roman"/>
          <w:szCs w:val="24"/>
        </w:rPr>
        <w:t xml:space="preserve"> 479.</w:t>
      </w:r>
    </w:p>
    <w:p w14:paraId="7C50AA7D" w14:textId="77777777" w:rsidR="00C944B0" w:rsidRDefault="00C944B0" w:rsidP="00EF6199">
      <w:pPr>
        <w:ind w:left="1125"/>
        <w:rPr>
          <w:rFonts w:ascii="Times New Roman" w:hAnsi="Times New Roman"/>
          <w:szCs w:val="24"/>
        </w:rPr>
      </w:pPr>
    </w:p>
    <w:p w14:paraId="3DA96BDB" w14:textId="77777777" w:rsidR="00090555" w:rsidRPr="00C944B0" w:rsidRDefault="00090555" w:rsidP="00EF6199">
      <w:pPr>
        <w:ind w:left="1125"/>
        <w:rPr>
          <w:rFonts w:ascii="Times New Roman" w:hAnsi="Times New Roman"/>
          <w:szCs w:val="24"/>
        </w:rPr>
      </w:pPr>
      <w:r w:rsidRPr="00C944B0">
        <w:rPr>
          <w:rFonts w:ascii="Times New Roman" w:hAnsi="Times New Roman"/>
          <w:szCs w:val="24"/>
        </w:rPr>
        <w:t>Under the provisions of 26 U.S.C. § 5812, an NFA firearm shall not be transferred until the transferor has applied for and received approval from the Attorney General of the United States (delegated to ATF) and paid the applicable transfer tax.  The transfer of an NFA firearm is subject to a tax of $200 or $5 (for a firearm classified as an “any other weapon”) as established by § 5811.  The statutory requirements are implemented in §§ 479.81 th</w:t>
      </w:r>
      <w:r w:rsidR="00B13C02" w:rsidRPr="00C944B0">
        <w:rPr>
          <w:rFonts w:ascii="Times New Roman" w:hAnsi="Times New Roman"/>
          <w:szCs w:val="24"/>
        </w:rPr>
        <w:t>r</w:t>
      </w:r>
      <w:r w:rsidRPr="00C944B0">
        <w:rPr>
          <w:rFonts w:ascii="Times New Roman" w:hAnsi="Times New Roman"/>
          <w:szCs w:val="24"/>
        </w:rPr>
        <w:t>ough 479.87, Title 27, Code of Federal Regulations.</w:t>
      </w:r>
    </w:p>
    <w:p w14:paraId="279B8082" w14:textId="77777777" w:rsidR="00090555" w:rsidRPr="00E3567A" w:rsidRDefault="00090555">
      <w:pPr>
        <w:rPr>
          <w:rFonts w:ascii="Times New Roman" w:hAnsi="Times New Roman"/>
          <w:szCs w:val="24"/>
        </w:rPr>
      </w:pPr>
    </w:p>
    <w:p w14:paraId="139DCDCD" w14:textId="77777777" w:rsidR="00631986" w:rsidRDefault="008C7B45">
      <w:pPr>
        <w:ind w:left="1170"/>
        <w:rPr>
          <w:rFonts w:ascii="Times New Roman" w:hAnsi="Times New Roman"/>
          <w:szCs w:val="24"/>
        </w:rPr>
      </w:pPr>
      <w:r>
        <w:rPr>
          <w:rFonts w:ascii="Times New Roman" w:hAnsi="Times New Roman"/>
          <w:szCs w:val="24"/>
        </w:rPr>
        <w:t xml:space="preserve">Section 5812 also requires that the application form identify the </w:t>
      </w:r>
      <w:r w:rsidR="00631986">
        <w:rPr>
          <w:rFonts w:ascii="Times New Roman" w:hAnsi="Times New Roman"/>
          <w:szCs w:val="24"/>
        </w:rPr>
        <w:t xml:space="preserve">transferee in such manner as the Attorney General may by regulations prescribe, except that if the transferee is an individual, his fingerprints and photographs must be included in the application.  Similarly, the transferor and firearm must also be identified in such manner as the Attorney General may by regulations prescribe.  </w:t>
      </w:r>
    </w:p>
    <w:p w14:paraId="27ECEB65" w14:textId="77777777" w:rsidR="00631986" w:rsidRDefault="00631986">
      <w:pPr>
        <w:ind w:left="1170"/>
        <w:rPr>
          <w:rFonts w:ascii="Times New Roman" w:hAnsi="Times New Roman"/>
          <w:szCs w:val="24"/>
        </w:rPr>
      </w:pPr>
    </w:p>
    <w:p w14:paraId="470F44D4" w14:textId="77777777" w:rsidR="00631986" w:rsidRDefault="00631986">
      <w:pPr>
        <w:ind w:left="1170"/>
        <w:rPr>
          <w:rFonts w:ascii="Times New Roman" w:hAnsi="Times New Roman"/>
          <w:szCs w:val="24"/>
        </w:rPr>
      </w:pPr>
      <w:r>
        <w:rPr>
          <w:rFonts w:ascii="Times New Roman" w:hAnsi="Times New Roman"/>
          <w:szCs w:val="24"/>
        </w:rPr>
        <w:t>In a recent rulemaking, ATF extended the requirements for fingerprints and photographs to other transferees.  Prior to the rulemaking, if the transferee was a trust or legal entity, such as an LLC or corporation, fingerprints and photographs were not required.  The rulemaking defined responsible persons in regard to trusts and legal entities and requires that any responsible person must submit fingerprints and photographs.</w:t>
      </w:r>
    </w:p>
    <w:p w14:paraId="2FD04944" w14:textId="77777777" w:rsidR="00631986" w:rsidRDefault="00631986">
      <w:pPr>
        <w:ind w:left="1170"/>
        <w:rPr>
          <w:rFonts w:ascii="Times New Roman" w:hAnsi="Times New Roman"/>
          <w:szCs w:val="24"/>
        </w:rPr>
      </w:pPr>
    </w:p>
    <w:p w14:paraId="64977DC8" w14:textId="77777777" w:rsidR="00631986" w:rsidRDefault="00631986">
      <w:pPr>
        <w:ind w:left="1170"/>
        <w:rPr>
          <w:rFonts w:ascii="Times New Roman" w:hAnsi="Times New Roman"/>
          <w:szCs w:val="24"/>
        </w:rPr>
      </w:pPr>
      <w:r>
        <w:rPr>
          <w:rFonts w:ascii="Times New Roman" w:hAnsi="Times New Roman"/>
          <w:szCs w:val="24"/>
        </w:rPr>
        <w:t xml:space="preserve">The regulations had required an individual transferee to obtain a certification from their local chief law enforcement officer that the transfer and possession of the firearm was not prohibited by State or local law and that the official had no knowledge that the transferee would use the firearm for any unlawful reason.  This rulemaking rescinded the requirement for the certification and replaced it with a notification to the local chief law enforcement officer of the proposed transfer of the firearm.  The notification is required for all </w:t>
      </w:r>
      <w:r w:rsidR="00AC2EA5">
        <w:rPr>
          <w:rFonts w:ascii="Times New Roman" w:hAnsi="Times New Roman"/>
          <w:szCs w:val="24"/>
        </w:rPr>
        <w:t>transferee</w:t>
      </w:r>
      <w:r>
        <w:rPr>
          <w:rFonts w:ascii="Times New Roman" w:hAnsi="Times New Roman"/>
          <w:szCs w:val="24"/>
        </w:rPr>
        <w:t>s and responsible persons.</w:t>
      </w:r>
    </w:p>
    <w:p w14:paraId="22C157D2" w14:textId="77777777" w:rsidR="00095AC6" w:rsidRDefault="00095AC6">
      <w:pPr>
        <w:ind w:left="1170"/>
        <w:rPr>
          <w:rFonts w:ascii="Times New Roman" w:hAnsi="Times New Roman"/>
          <w:szCs w:val="24"/>
        </w:rPr>
      </w:pPr>
    </w:p>
    <w:p w14:paraId="6E52D7EC" w14:textId="77777777" w:rsidR="00095AC6" w:rsidRDefault="00095AC6">
      <w:pPr>
        <w:ind w:left="1170"/>
        <w:rPr>
          <w:rFonts w:ascii="Times New Roman" w:hAnsi="Times New Roman"/>
          <w:szCs w:val="24"/>
        </w:rPr>
      </w:pPr>
      <w:r>
        <w:rPr>
          <w:rFonts w:ascii="Times New Roman" w:hAnsi="Times New Roman"/>
          <w:szCs w:val="24"/>
        </w:rPr>
        <w:lastRenderedPageBreak/>
        <w:t xml:space="preserve">Two comment periods were held regarding this form with the second comment period closing on May 31, 2016.  Changes, as discussed below were made to this form.  </w:t>
      </w:r>
    </w:p>
    <w:p w14:paraId="7B326142" w14:textId="77777777" w:rsidR="008C7B45" w:rsidRDefault="008C7B45">
      <w:pPr>
        <w:ind w:left="1170"/>
        <w:rPr>
          <w:rFonts w:ascii="Times New Roman" w:hAnsi="Times New Roman"/>
          <w:szCs w:val="24"/>
        </w:rPr>
      </w:pPr>
    </w:p>
    <w:p w14:paraId="56CA09CD" w14:textId="77777777" w:rsidR="00BC7678" w:rsidRPr="00E3567A" w:rsidRDefault="00BC7678">
      <w:pPr>
        <w:ind w:left="1170"/>
        <w:rPr>
          <w:rFonts w:ascii="Times New Roman" w:hAnsi="Times New Roman"/>
          <w:szCs w:val="24"/>
        </w:rPr>
      </w:pPr>
    </w:p>
    <w:p w14:paraId="1FE6DBCF" w14:textId="77777777" w:rsidR="00BC7678" w:rsidRDefault="00BC7678">
      <w:pPr>
        <w:ind w:left="1170"/>
        <w:rPr>
          <w:rFonts w:ascii="Times New Roman" w:hAnsi="Times New Roman"/>
          <w:szCs w:val="24"/>
        </w:rPr>
      </w:pPr>
      <w:r w:rsidRPr="00E3567A">
        <w:rPr>
          <w:rFonts w:ascii="Times New Roman" w:hAnsi="Times New Roman"/>
          <w:szCs w:val="24"/>
          <w:u w:val="single"/>
        </w:rPr>
        <w:t>Form Changes</w:t>
      </w:r>
      <w:r w:rsidRPr="00E3567A">
        <w:rPr>
          <w:rFonts w:ascii="Times New Roman" w:hAnsi="Times New Roman"/>
          <w:szCs w:val="24"/>
        </w:rPr>
        <w:t xml:space="preserve">.  </w:t>
      </w:r>
      <w:r w:rsidR="006E60E8">
        <w:rPr>
          <w:rFonts w:ascii="Times New Roman" w:hAnsi="Times New Roman"/>
          <w:szCs w:val="24"/>
        </w:rPr>
        <w:t xml:space="preserve">ATF </w:t>
      </w:r>
      <w:r w:rsidR="00095AC6">
        <w:rPr>
          <w:rFonts w:ascii="Times New Roman" w:hAnsi="Times New Roman"/>
          <w:szCs w:val="24"/>
        </w:rPr>
        <w:t>has made</w:t>
      </w:r>
      <w:r w:rsidR="006E60E8">
        <w:rPr>
          <w:rFonts w:ascii="Times New Roman" w:hAnsi="Times New Roman"/>
          <w:szCs w:val="24"/>
        </w:rPr>
        <w:t xml:space="preserve"> the following changes to </w:t>
      </w:r>
      <w:r w:rsidRPr="00E3567A">
        <w:rPr>
          <w:rFonts w:ascii="Times New Roman" w:hAnsi="Times New Roman"/>
          <w:szCs w:val="24"/>
        </w:rPr>
        <w:t>ATF Form 4 (5320.4):</w:t>
      </w:r>
    </w:p>
    <w:p w14:paraId="768B61F9" w14:textId="77777777" w:rsidR="001120FA" w:rsidRDefault="001120FA">
      <w:pPr>
        <w:ind w:left="1170"/>
        <w:rPr>
          <w:rFonts w:ascii="Times New Roman" w:hAnsi="Times New Roman"/>
          <w:szCs w:val="24"/>
        </w:rPr>
      </w:pPr>
    </w:p>
    <w:p w14:paraId="5C3A7C20" w14:textId="77777777" w:rsidR="00046708" w:rsidRDefault="00046708" w:rsidP="00EF6199">
      <w:pPr>
        <w:pStyle w:val="ListParagraph"/>
        <w:numPr>
          <w:ilvl w:val="0"/>
          <w:numId w:val="6"/>
        </w:numPr>
        <w:rPr>
          <w:rFonts w:ascii="Times New Roman" w:hAnsi="Times New Roman"/>
          <w:szCs w:val="24"/>
        </w:rPr>
      </w:pPr>
      <w:r>
        <w:rPr>
          <w:rFonts w:ascii="Times New Roman" w:hAnsi="Times New Roman"/>
          <w:szCs w:val="24"/>
        </w:rPr>
        <w:t xml:space="preserve">Provide a new print format for the form.  Rather than a long sheet of paper, the form will be printed in </w:t>
      </w:r>
      <w:r w:rsidR="00047DB3">
        <w:rPr>
          <w:rFonts w:ascii="Times New Roman" w:hAnsi="Times New Roman"/>
          <w:szCs w:val="24"/>
        </w:rPr>
        <w:t>a set of 3</w:t>
      </w:r>
      <w:r>
        <w:rPr>
          <w:rFonts w:ascii="Times New Roman" w:hAnsi="Times New Roman"/>
          <w:szCs w:val="24"/>
        </w:rPr>
        <w:t xml:space="preserve"> (ATF, registrant and CLEO)</w:t>
      </w:r>
      <w:r w:rsidR="00047DB3">
        <w:rPr>
          <w:rFonts w:ascii="Times New Roman" w:hAnsi="Times New Roman"/>
          <w:szCs w:val="24"/>
        </w:rPr>
        <w:t xml:space="preserve"> with each titled accordingly</w:t>
      </w:r>
      <w:r>
        <w:rPr>
          <w:rFonts w:ascii="Times New Roman" w:hAnsi="Times New Roman"/>
          <w:szCs w:val="24"/>
        </w:rPr>
        <w:t>.</w:t>
      </w:r>
    </w:p>
    <w:p w14:paraId="4AB8BC67" w14:textId="77777777" w:rsidR="00046708" w:rsidRDefault="00046708" w:rsidP="00EF6199">
      <w:pPr>
        <w:pStyle w:val="ListParagraph"/>
        <w:numPr>
          <w:ilvl w:val="0"/>
          <w:numId w:val="6"/>
        </w:numPr>
        <w:rPr>
          <w:rFonts w:ascii="Times New Roman" w:hAnsi="Times New Roman"/>
          <w:szCs w:val="24"/>
        </w:rPr>
      </w:pPr>
      <w:r>
        <w:rPr>
          <w:rFonts w:ascii="Times New Roman" w:hAnsi="Times New Roman"/>
          <w:szCs w:val="24"/>
        </w:rPr>
        <w:t>Items 1, 2 and 3 relocated on the form for mailing purposes.</w:t>
      </w:r>
    </w:p>
    <w:p w14:paraId="2C20A106" w14:textId="11748BDC" w:rsidR="00047DB3" w:rsidRDefault="00047DB3" w:rsidP="00EF6199">
      <w:pPr>
        <w:pStyle w:val="ListParagraph"/>
        <w:numPr>
          <w:ilvl w:val="0"/>
          <w:numId w:val="6"/>
        </w:numPr>
        <w:rPr>
          <w:rFonts w:ascii="Times New Roman" w:hAnsi="Times New Roman"/>
          <w:szCs w:val="24"/>
        </w:rPr>
      </w:pPr>
      <w:r>
        <w:rPr>
          <w:rFonts w:ascii="Times New Roman" w:hAnsi="Times New Roman"/>
          <w:szCs w:val="24"/>
        </w:rPr>
        <w:t>Item 4g – serial number will be obscured on the CLEO copy</w:t>
      </w:r>
      <w:r w:rsidR="00270541">
        <w:rPr>
          <w:rFonts w:ascii="Times New Roman" w:hAnsi="Times New Roman"/>
          <w:szCs w:val="24"/>
        </w:rPr>
        <w:t xml:space="preserve"> (see instruction </w:t>
      </w:r>
      <w:proofErr w:type="gramStart"/>
      <w:r w:rsidR="00270541">
        <w:rPr>
          <w:rFonts w:ascii="Times New Roman" w:hAnsi="Times New Roman"/>
          <w:szCs w:val="24"/>
        </w:rPr>
        <w:t>2.d(</w:t>
      </w:r>
      <w:proofErr w:type="gramEnd"/>
      <w:r w:rsidR="00270541">
        <w:rPr>
          <w:rFonts w:ascii="Times New Roman" w:hAnsi="Times New Roman"/>
          <w:szCs w:val="24"/>
        </w:rPr>
        <w:t>6)</w:t>
      </w:r>
      <w:r>
        <w:rPr>
          <w:rFonts w:ascii="Times New Roman" w:hAnsi="Times New Roman"/>
          <w:szCs w:val="24"/>
        </w:rPr>
        <w:t>.</w:t>
      </w:r>
    </w:p>
    <w:p w14:paraId="7ACE2257" w14:textId="77777777" w:rsidR="00046708" w:rsidRDefault="00046708" w:rsidP="00EF6199">
      <w:pPr>
        <w:pStyle w:val="ListParagraph"/>
        <w:numPr>
          <w:ilvl w:val="0"/>
          <w:numId w:val="6"/>
        </w:numPr>
        <w:rPr>
          <w:rFonts w:ascii="Times New Roman" w:hAnsi="Times New Roman"/>
          <w:szCs w:val="24"/>
        </w:rPr>
      </w:pPr>
      <w:r>
        <w:rPr>
          <w:rFonts w:ascii="Times New Roman" w:hAnsi="Times New Roman"/>
          <w:szCs w:val="24"/>
        </w:rPr>
        <w:t xml:space="preserve">Item 3b – field noted to show the supplying of </w:t>
      </w:r>
      <w:r w:rsidR="00C91621">
        <w:rPr>
          <w:rFonts w:ascii="Times New Roman" w:hAnsi="Times New Roman"/>
          <w:szCs w:val="24"/>
        </w:rPr>
        <w:t>the email address</w:t>
      </w:r>
      <w:r>
        <w:rPr>
          <w:rFonts w:ascii="Times New Roman" w:hAnsi="Times New Roman"/>
          <w:szCs w:val="24"/>
        </w:rPr>
        <w:t xml:space="preserve"> is optional</w:t>
      </w:r>
      <w:r w:rsidR="00DF7FE4">
        <w:rPr>
          <w:rFonts w:ascii="Times New Roman" w:hAnsi="Times New Roman"/>
          <w:szCs w:val="24"/>
        </w:rPr>
        <w:t>.</w:t>
      </w:r>
    </w:p>
    <w:p w14:paraId="51086887" w14:textId="77777777" w:rsidR="00DF7FE4" w:rsidRDefault="00DF7FE4" w:rsidP="00EF6199">
      <w:pPr>
        <w:pStyle w:val="ListParagraph"/>
        <w:numPr>
          <w:ilvl w:val="0"/>
          <w:numId w:val="6"/>
        </w:numPr>
        <w:rPr>
          <w:rFonts w:ascii="Times New Roman" w:hAnsi="Times New Roman"/>
          <w:szCs w:val="24"/>
        </w:rPr>
      </w:pPr>
      <w:r>
        <w:rPr>
          <w:rFonts w:ascii="Times New Roman" w:hAnsi="Times New Roman"/>
          <w:szCs w:val="24"/>
        </w:rPr>
        <w:t xml:space="preserve">Item 12 – combined </w:t>
      </w:r>
      <w:r w:rsidR="00C91621">
        <w:rPr>
          <w:rFonts w:ascii="Times New Roman" w:hAnsi="Times New Roman"/>
          <w:szCs w:val="24"/>
        </w:rPr>
        <w:t xml:space="preserve">the lines for the </w:t>
      </w:r>
      <w:r>
        <w:rPr>
          <w:rFonts w:ascii="Times New Roman" w:hAnsi="Times New Roman"/>
          <w:szCs w:val="24"/>
        </w:rPr>
        <w:t>agency name and official’s name and title into one line and deleted the line for ‘date sent to agency.’</w:t>
      </w:r>
    </w:p>
    <w:p w14:paraId="4A9EE5E0" w14:textId="51F05DD5" w:rsidR="00DF7FE4" w:rsidRDefault="00DF7FE4" w:rsidP="00EF6199">
      <w:pPr>
        <w:pStyle w:val="ListParagraph"/>
        <w:numPr>
          <w:ilvl w:val="0"/>
          <w:numId w:val="6"/>
        </w:numPr>
        <w:rPr>
          <w:rFonts w:ascii="Times New Roman" w:hAnsi="Times New Roman"/>
          <w:szCs w:val="24"/>
        </w:rPr>
      </w:pPr>
      <w:r>
        <w:rPr>
          <w:rFonts w:ascii="Times New Roman" w:hAnsi="Times New Roman"/>
          <w:szCs w:val="24"/>
        </w:rPr>
        <w:t>Certification (</w:t>
      </w:r>
      <w:r w:rsidR="00B224CE">
        <w:rPr>
          <w:rFonts w:ascii="Times New Roman" w:hAnsi="Times New Roman"/>
          <w:szCs w:val="24"/>
        </w:rPr>
        <w:t>following item 17</w:t>
      </w:r>
      <w:r>
        <w:rPr>
          <w:rFonts w:ascii="Times New Roman" w:hAnsi="Times New Roman"/>
          <w:szCs w:val="24"/>
        </w:rPr>
        <w:t>) – changed language to reflect concerns about sending a completed c</w:t>
      </w:r>
      <w:r w:rsidR="00B224CE">
        <w:rPr>
          <w:rFonts w:ascii="Times New Roman" w:hAnsi="Times New Roman"/>
          <w:szCs w:val="24"/>
        </w:rPr>
        <w:t>o</w:t>
      </w:r>
      <w:r>
        <w:rPr>
          <w:rFonts w:ascii="Times New Roman" w:hAnsi="Times New Roman"/>
          <w:szCs w:val="24"/>
        </w:rPr>
        <w:t xml:space="preserve">py of the form to meet the </w:t>
      </w:r>
      <w:r w:rsidR="00B224CE">
        <w:rPr>
          <w:rFonts w:ascii="Times New Roman" w:hAnsi="Times New Roman"/>
          <w:szCs w:val="24"/>
        </w:rPr>
        <w:t xml:space="preserve">notification </w:t>
      </w:r>
      <w:r>
        <w:rPr>
          <w:rFonts w:ascii="Times New Roman" w:hAnsi="Times New Roman"/>
          <w:szCs w:val="24"/>
        </w:rPr>
        <w:t>requirement when the form had not yet been signed/completed.  Also revised to clarify that not all fields require information for a completed form.  The certification now reads that a completed copy will be sent upon the submission of the form.</w:t>
      </w:r>
      <w:r w:rsidR="00D63514">
        <w:rPr>
          <w:rFonts w:ascii="Times New Roman" w:hAnsi="Times New Roman"/>
          <w:szCs w:val="24"/>
        </w:rPr>
        <w:t xml:space="preserve">  See instructions </w:t>
      </w:r>
      <w:proofErr w:type="gramStart"/>
      <w:r w:rsidR="00D63514">
        <w:rPr>
          <w:rFonts w:ascii="Times New Roman" w:hAnsi="Times New Roman"/>
          <w:szCs w:val="24"/>
        </w:rPr>
        <w:t>2.d(</w:t>
      </w:r>
      <w:proofErr w:type="gramEnd"/>
      <w:r w:rsidR="00D63514">
        <w:rPr>
          <w:rFonts w:ascii="Times New Roman" w:hAnsi="Times New Roman"/>
          <w:szCs w:val="24"/>
        </w:rPr>
        <w:t>2) and 2.d(3) for information as to what items shall be completed when the application is filed by either an individual or a trust or other legal entity.</w:t>
      </w:r>
    </w:p>
    <w:p w14:paraId="4CE58C41" w14:textId="77777777" w:rsidR="00DF7FE4" w:rsidRDefault="00DF7FE4" w:rsidP="00EF6199">
      <w:pPr>
        <w:pStyle w:val="ListParagraph"/>
        <w:numPr>
          <w:ilvl w:val="0"/>
          <w:numId w:val="6"/>
        </w:numPr>
        <w:rPr>
          <w:rFonts w:ascii="Times New Roman" w:hAnsi="Times New Roman"/>
          <w:szCs w:val="24"/>
        </w:rPr>
      </w:pPr>
      <w:r>
        <w:rPr>
          <w:rFonts w:ascii="Times New Roman" w:hAnsi="Times New Roman"/>
          <w:szCs w:val="24"/>
        </w:rPr>
        <w:t>Item 19 – revised to allow entry of additional responsible person names.</w:t>
      </w:r>
    </w:p>
    <w:p w14:paraId="1D427733" w14:textId="517B4147" w:rsidR="00DF7FE4" w:rsidRDefault="00DF7FE4" w:rsidP="00EF6199">
      <w:pPr>
        <w:pStyle w:val="ListParagraph"/>
        <w:numPr>
          <w:ilvl w:val="0"/>
          <w:numId w:val="6"/>
        </w:numPr>
        <w:rPr>
          <w:rFonts w:ascii="Times New Roman" w:hAnsi="Times New Roman"/>
          <w:szCs w:val="24"/>
        </w:rPr>
      </w:pPr>
      <w:r>
        <w:rPr>
          <w:rFonts w:ascii="Times New Roman" w:hAnsi="Times New Roman"/>
          <w:szCs w:val="24"/>
        </w:rPr>
        <w:t xml:space="preserve">Item 20 – financial information will only be completed on the ATF copy of the form.  The field </w:t>
      </w:r>
      <w:r w:rsidR="005276B7">
        <w:rPr>
          <w:rFonts w:ascii="Times New Roman" w:hAnsi="Times New Roman"/>
          <w:szCs w:val="24"/>
        </w:rPr>
        <w:t>is</w:t>
      </w:r>
      <w:r>
        <w:rPr>
          <w:rFonts w:ascii="Times New Roman" w:hAnsi="Times New Roman"/>
          <w:szCs w:val="24"/>
        </w:rPr>
        <w:t xml:space="preserve"> obscured on the </w:t>
      </w:r>
      <w:r w:rsidR="005276B7">
        <w:rPr>
          <w:rFonts w:ascii="Times New Roman" w:hAnsi="Times New Roman"/>
          <w:szCs w:val="24"/>
        </w:rPr>
        <w:t>ATF Copy 2 (R</w:t>
      </w:r>
      <w:r>
        <w:rPr>
          <w:rFonts w:ascii="Times New Roman" w:hAnsi="Times New Roman"/>
          <w:szCs w:val="24"/>
        </w:rPr>
        <w:t>egistrant</w:t>
      </w:r>
      <w:r w:rsidR="005276B7">
        <w:rPr>
          <w:rFonts w:ascii="Times New Roman" w:hAnsi="Times New Roman"/>
          <w:szCs w:val="24"/>
        </w:rPr>
        <w:t>)</w:t>
      </w:r>
      <w:r>
        <w:rPr>
          <w:rFonts w:ascii="Times New Roman" w:hAnsi="Times New Roman"/>
          <w:szCs w:val="24"/>
        </w:rPr>
        <w:t xml:space="preserve"> and CLEO copy.  </w:t>
      </w:r>
      <w:r w:rsidR="005276B7">
        <w:rPr>
          <w:rFonts w:ascii="Times New Roman" w:hAnsi="Times New Roman"/>
          <w:szCs w:val="24"/>
        </w:rPr>
        <w:t xml:space="preserve">See instruction </w:t>
      </w:r>
      <w:proofErr w:type="gramStart"/>
      <w:r w:rsidR="005276B7">
        <w:rPr>
          <w:rFonts w:ascii="Times New Roman" w:hAnsi="Times New Roman"/>
          <w:szCs w:val="24"/>
        </w:rPr>
        <w:t>2.d(</w:t>
      </w:r>
      <w:proofErr w:type="gramEnd"/>
      <w:r w:rsidR="005276B7">
        <w:rPr>
          <w:rFonts w:ascii="Times New Roman" w:hAnsi="Times New Roman"/>
          <w:szCs w:val="24"/>
        </w:rPr>
        <w:t>6).</w:t>
      </w:r>
    </w:p>
    <w:p w14:paraId="19E3B459" w14:textId="77777777" w:rsidR="008B10B6" w:rsidRDefault="008B10B6" w:rsidP="00EF6199">
      <w:pPr>
        <w:pStyle w:val="ListParagraph"/>
        <w:numPr>
          <w:ilvl w:val="0"/>
          <w:numId w:val="6"/>
        </w:numPr>
        <w:rPr>
          <w:rFonts w:ascii="Times New Roman" w:hAnsi="Times New Roman"/>
          <w:szCs w:val="24"/>
        </w:rPr>
      </w:pPr>
      <w:r>
        <w:rPr>
          <w:rFonts w:ascii="Times New Roman" w:hAnsi="Times New Roman"/>
          <w:szCs w:val="24"/>
        </w:rPr>
        <w:t>Instruction 2.a – revised to clarify what is a completed form and provide instructions as to the dissemination of the form.</w:t>
      </w:r>
    </w:p>
    <w:p w14:paraId="4F8A857C" w14:textId="77777777" w:rsidR="008B10B6" w:rsidRPr="00EF6199" w:rsidRDefault="008B10B6" w:rsidP="00EF6199">
      <w:pPr>
        <w:pStyle w:val="ListParagraph"/>
        <w:numPr>
          <w:ilvl w:val="0"/>
          <w:numId w:val="6"/>
        </w:numPr>
        <w:rPr>
          <w:rFonts w:ascii="Times New Roman" w:hAnsi="Times New Roman"/>
          <w:szCs w:val="24"/>
        </w:rPr>
      </w:pPr>
      <w:r>
        <w:rPr>
          <w:rFonts w:ascii="Times New Roman" w:hAnsi="Times New Roman"/>
          <w:szCs w:val="24"/>
        </w:rPr>
        <w:t>Instruction 2.l - revised to clarify what is a completed form and provide instructions as to the dissemination of the form.</w:t>
      </w:r>
    </w:p>
    <w:p w14:paraId="102FC702" w14:textId="77777777" w:rsidR="00BC7678" w:rsidRPr="00E3567A" w:rsidRDefault="00BC7678">
      <w:pPr>
        <w:ind w:left="1170"/>
        <w:rPr>
          <w:rFonts w:ascii="Times New Roman" w:hAnsi="Times New Roman"/>
          <w:szCs w:val="24"/>
        </w:rPr>
      </w:pPr>
    </w:p>
    <w:p w14:paraId="13F24CDB" w14:textId="77777777" w:rsidR="0016065C" w:rsidRPr="00E3567A" w:rsidRDefault="0016065C" w:rsidP="00EF6199">
      <w:pPr>
        <w:pStyle w:val="ListParagraph"/>
        <w:ind w:left="1530"/>
        <w:rPr>
          <w:rFonts w:ascii="Times New Roman" w:hAnsi="Times New Roman"/>
          <w:szCs w:val="24"/>
        </w:rPr>
      </w:pPr>
    </w:p>
    <w:p w14:paraId="517B18B7" w14:textId="77777777" w:rsidR="00090555" w:rsidRPr="00E3567A" w:rsidRDefault="00090555">
      <w:pPr>
        <w:numPr>
          <w:ilvl w:val="0"/>
          <w:numId w:val="2"/>
        </w:numPr>
        <w:rPr>
          <w:rFonts w:ascii="Times New Roman" w:hAnsi="Times New Roman"/>
          <w:szCs w:val="24"/>
        </w:rPr>
      </w:pPr>
      <w:r w:rsidRPr="00E3567A">
        <w:rPr>
          <w:rFonts w:ascii="Times New Roman" w:hAnsi="Times New Roman"/>
          <w:szCs w:val="24"/>
        </w:rPr>
        <w:t>The information on this form is used by NFA Branch personnel to</w:t>
      </w:r>
      <w:r w:rsidR="00C96331" w:rsidRPr="00E3567A">
        <w:rPr>
          <w:rFonts w:ascii="Times New Roman" w:hAnsi="Times New Roman"/>
          <w:szCs w:val="24"/>
        </w:rPr>
        <w:t xml:space="preserve"> </w:t>
      </w:r>
      <w:r w:rsidR="00C944B0">
        <w:rPr>
          <w:rFonts w:ascii="Times New Roman" w:hAnsi="Times New Roman"/>
          <w:szCs w:val="24"/>
        </w:rPr>
        <w:t xml:space="preserve">determine the legality of the application under Federal, State and local law.  The form </w:t>
      </w:r>
      <w:r w:rsidR="00C96331" w:rsidRPr="00E3567A">
        <w:rPr>
          <w:rFonts w:ascii="Times New Roman" w:hAnsi="Times New Roman"/>
          <w:szCs w:val="24"/>
        </w:rPr>
        <w:t>identif</w:t>
      </w:r>
      <w:r w:rsidR="00C944B0">
        <w:rPr>
          <w:rFonts w:ascii="Times New Roman" w:hAnsi="Times New Roman"/>
          <w:szCs w:val="24"/>
        </w:rPr>
        <w:t>ies</w:t>
      </w:r>
      <w:r w:rsidR="00C96331" w:rsidRPr="00E3567A">
        <w:rPr>
          <w:rFonts w:ascii="Times New Roman" w:hAnsi="Times New Roman"/>
          <w:szCs w:val="24"/>
        </w:rPr>
        <w:t xml:space="preserve"> the transferor, transferee, </w:t>
      </w:r>
      <w:r w:rsidR="0085475E" w:rsidRPr="00E3567A">
        <w:rPr>
          <w:rFonts w:ascii="Times New Roman" w:hAnsi="Times New Roman"/>
          <w:szCs w:val="24"/>
        </w:rPr>
        <w:t xml:space="preserve">and </w:t>
      </w:r>
      <w:r w:rsidR="00C96331" w:rsidRPr="00E3567A">
        <w:rPr>
          <w:rFonts w:ascii="Times New Roman" w:hAnsi="Times New Roman"/>
          <w:szCs w:val="24"/>
        </w:rPr>
        <w:t>firearm</w:t>
      </w:r>
      <w:r w:rsidRPr="00E3567A">
        <w:rPr>
          <w:rFonts w:ascii="Times New Roman" w:hAnsi="Times New Roman"/>
          <w:szCs w:val="24"/>
        </w:rPr>
        <w:t xml:space="preserve">.  Section 5812 provides that an application shall not be approved if the receipt or possession would place the person receiving the firearm in violation of law.  </w:t>
      </w:r>
    </w:p>
    <w:p w14:paraId="7A70164B" w14:textId="77777777" w:rsidR="00090555" w:rsidRPr="00E3567A" w:rsidRDefault="00090555">
      <w:pPr>
        <w:ind w:left="720" w:firstLine="450"/>
        <w:rPr>
          <w:rFonts w:ascii="Times New Roman" w:hAnsi="Times New Roman"/>
          <w:szCs w:val="24"/>
        </w:rPr>
      </w:pPr>
    </w:p>
    <w:p w14:paraId="39143814" w14:textId="77777777" w:rsidR="00535128" w:rsidRDefault="00535128">
      <w:pPr>
        <w:ind w:left="1170"/>
        <w:rPr>
          <w:rFonts w:ascii="Times New Roman" w:hAnsi="Times New Roman"/>
          <w:szCs w:val="24"/>
        </w:rPr>
      </w:pPr>
      <w:r>
        <w:rPr>
          <w:rFonts w:ascii="Times New Roman" w:hAnsi="Times New Roman"/>
          <w:szCs w:val="24"/>
        </w:rPr>
        <w:t xml:space="preserve">An individual transferee is asked to respond, under penalties of perjury, to questions to determine whether he or she is prohibited by Federal law from possessing firearms.  For a trust or legal entity, each responsible person will provide this </w:t>
      </w:r>
      <w:r>
        <w:rPr>
          <w:rFonts w:ascii="Times New Roman" w:hAnsi="Times New Roman"/>
          <w:szCs w:val="24"/>
        </w:rPr>
        <w:lastRenderedPageBreak/>
        <w:t xml:space="preserve">information via the filing of Form 5320.23, National Firearms Act (NFA) Responsible Person Questionnaire.  </w:t>
      </w:r>
    </w:p>
    <w:p w14:paraId="57B8226B" w14:textId="77777777" w:rsidR="00535128" w:rsidRDefault="00535128">
      <w:pPr>
        <w:ind w:left="1170"/>
        <w:rPr>
          <w:rFonts w:ascii="Times New Roman" w:hAnsi="Times New Roman"/>
          <w:szCs w:val="24"/>
        </w:rPr>
      </w:pPr>
    </w:p>
    <w:p w14:paraId="4E0D43D4" w14:textId="77777777" w:rsidR="006B6C47" w:rsidRDefault="00535128">
      <w:pPr>
        <w:ind w:left="1170"/>
        <w:rPr>
          <w:rFonts w:ascii="Times New Roman" w:hAnsi="Times New Roman"/>
          <w:szCs w:val="24"/>
        </w:rPr>
      </w:pPr>
      <w:r>
        <w:rPr>
          <w:rFonts w:ascii="Times New Roman" w:hAnsi="Times New Roman"/>
          <w:szCs w:val="24"/>
        </w:rPr>
        <w:t xml:space="preserve">The requirement for the submission of fingerprints for both individual transferees and responsible persons allows ATF to determine, based on criminal history checks, whether </w:t>
      </w:r>
      <w:r w:rsidR="006B6C47">
        <w:rPr>
          <w:rFonts w:ascii="Times New Roman" w:hAnsi="Times New Roman"/>
          <w:szCs w:val="24"/>
        </w:rPr>
        <w:t xml:space="preserve">individual transferee or responsible person would be prohibited by Federal law from possessing a firearm.  The law enforcement notification required of the transferee and </w:t>
      </w:r>
      <w:r w:rsidR="002D39E7">
        <w:rPr>
          <w:rFonts w:ascii="Times New Roman" w:hAnsi="Times New Roman"/>
          <w:szCs w:val="24"/>
        </w:rPr>
        <w:t>any responsible person</w:t>
      </w:r>
      <w:r w:rsidR="006B6C47">
        <w:rPr>
          <w:rFonts w:ascii="Times New Roman" w:hAnsi="Times New Roman"/>
          <w:szCs w:val="24"/>
        </w:rPr>
        <w:t xml:space="preserve"> </w:t>
      </w:r>
      <w:r w:rsidR="002D39E7">
        <w:rPr>
          <w:rFonts w:ascii="Times New Roman" w:hAnsi="Times New Roman"/>
          <w:szCs w:val="24"/>
        </w:rPr>
        <w:t xml:space="preserve">(via Form 5320.23) </w:t>
      </w:r>
      <w:r w:rsidR="006B6C47">
        <w:rPr>
          <w:rFonts w:ascii="Times New Roman" w:hAnsi="Times New Roman"/>
          <w:szCs w:val="24"/>
        </w:rPr>
        <w:t xml:space="preserve">allows local law enforcement authorities to provide any information that would indicate whether the transferee or any responsible person is prohibited by Federal law from possessing a firearm.  </w:t>
      </w:r>
    </w:p>
    <w:p w14:paraId="6DEFF780" w14:textId="77777777" w:rsidR="006B6C47" w:rsidRDefault="006B6C47">
      <w:pPr>
        <w:ind w:left="1170"/>
        <w:rPr>
          <w:rFonts w:ascii="Times New Roman" w:hAnsi="Times New Roman"/>
          <w:szCs w:val="24"/>
        </w:rPr>
      </w:pPr>
    </w:p>
    <w:p w14:paraId="29F6E163" w14:textId="77777777" w:rsidR="00090555" w:rsidRPr="00E3567A" w:rsidRDefault="00090555">
      <w:pPr>
        <w:ind w:left="1170"/>
        <w:rPr>
          <w:rFonts w:ascii="Times New Roman" w:hAnsi="Times New Roman"/>
          <w:szCs w:val="24"/>
        </w:rPr>
      </w:pPr>
      <w:r w:rsidRPr="00E3567A">
        <w:rPr>
          <w:rFonts w:ascii="Times New Roman" w:hAnsi="Times New Roman"/>
          <w:szCs w:val="24"/>
        </w:rPr>
        <w:t xml:space="preserve">The </w:t>
      </w:r>
      <w:r w:rsidR="006B6C47">
        <w:rPr>
          <w:rFonts w:ascii="Times New Roman" w:hAnsi="Times New Roman"/>
          <w:szCs w:val="24"/>
        </w:rPr>
        <w:t>application is submitted in duplicate.  The a</w:t>
      </w:r>
      <w:r w:rsidR="006B6C47" w:rsidRPr="00E3567A">
        <w:rPr>
          <w:rFonts w:ascii="Times New Roman" w:hAnsi="Times New Roman"/>
          <w:szCs w:val="24"/>
        </w:rPr>
        <w:t xml:space="preserve">pproval </w:t>
      </w:r>
      <w:r w:rsidRPr="00E3567A">
        <w:rPr>
          <w:rFonts w:ascii="Times New Roman" w:hAnsi="Times New Roman"/>
          <w:szCs w:val="24"/>
        </w:rPr>
        <w:t>of the application effectuates the registration of the firearm to the transferee.  Both copies of the application are noted to reflect the approval – one copy is returned to the applicant for tra</w:t>
      </w:r>
      <w:r w:rsidR="00B371FB" w:rsidRPr="00E3567A">
        <w:rPr>
          <w:rFonts w:ascii="Times New Roman" w:hAnsi="Times New Roman"/>
          <w:szCs w:val="24"/>
        </w:rPr>
        <w:t xml:space="preserve">nsmission to the transferee as </w:t>
      </w:r>
      <w:r w:rsidRPr="00E3567A">
        <w:rPr>
          <w:rFonts w:ascii="Times New Roman" w:hAnsi="Times New Roman"/>
          <w:szCs w:val="24"/>
        </w:rPr>
        <w:t xml:space="preserve">proof of registration </w:t>
      </w:r>
      <w:r w:rsidR="006B6C47">
        <w:rPr>
          <w:rFonts w:ascii="Times New Roman" w:hAnsi="Times New Roman"/>
          <w:szCs w:val="24"/>
        </w:rPr>
        <w:t xml:space="preserve">and payment of the transfer tax </w:t>
      </w:r>
      <w:r w:rsidRPr="00E3567A">
        <w:rPr>
          <w:rFonts w:ascii="Times New Roman" w:hAnsi="Times New Roman"/>
          <w:szCs w:val="24"/>
        </w:rPr>
        <w:t xml:space="preserve">and the other is retained by ATF as part of the National Firearms Registration and Transfer Record.  The information is used to verify any subsequent transfer and registration of the firearm.  In addition, registration information </w:t>
      </w:r>
      <w:r w:rsidR="00B13C02" w:rsidRPr="00E3567A">
        <w:rPr>
          <w:rFonts w:ascii="Times New Roman" w:hAnsi="Times New Roman"/>
          <w:szCs w:val="24"/>
        </w:rPr>
        <w:t xml:space="preserve">is </w:t>
      </w:r>
      <w:r w:rsidRPr="00E3567A">
        <w:rPr>
          <w:rFonts w:ascii="Times New Roman" w:hAnsi="Times New Roman"/>
          <w:szCs w:val="24"/>
        </w:rPr>
        <w:t>used to determine the non-registration of a firearm, a violation as specified in § 5861.</w:t>
      </w:r>
    </w:p>
    <w:p w14:paraId="7F315E6A" w14:textId="77777777" w:rsidR="00090555" w:rsidRPr="00E3567A" w:rsidRDefault="00090555">
      <w:pPr>
        <w:rPr>
          <w:rFonts w:ascii="Times New Roman" w:hAnsi="Times New Roman"/>
          <w:szCs w:val="24"/>
        </w:rPr>
      </w:pPr>
    </w:p>
    <w:p w14:paraId="4BB8E46F" w14:textId="418D02E9" w:rsidR="00C4641C" w:rsidRPr="00EF6199" w:rsidRDefault="003D12DE" w:rsidP="005A7513">
      <w:pPr>
        <w:pStyle w:val="ListParagraph"/>
        <w:numPr>
          <w:ilvl w:val="0"/>
          <w:numId w:val="2"/>
        </w:numPr>
        <w:rPr>
          <w:rFonts w:ascii="Times New Roman" w:hAnsi="Times New Roman"/>
          <w:szCs w:val="24"/>
        </w:rPr>
      </w:pPr>
      <w:r w:rsidRPr="005276B7">
        <w:rPr>
          <w:rFonts w:ascii="Times New Roman" w:hAnsi="Times New Roman"/>
          <w:szCs w:val="24"/>
        </w:rPr>
        <w:t xml:space="preserve">The </w:t>
      </w:r>
      <w:r w:rsidR="005276B7" w:rsidRPr="005276B7">
        <w:rPr>
          <w:rFonts w:ascii="Times New Roman" w:hAnsi="Times New Roman"/>
          <w:szCs w:val="24"/>
        </w:rPr>
        <w:t xml:space="preserve">form was made electronic but, due to difficulties which caused the ATF eForms system to crash, the form had to be withdrawn from service until it could be fixed.  ATF has not had the resources to do so.  However, with these regulatory changes being made, the form and supporting databases must be modified.  ATF’s goal is to have the electronic form available by the end of Calendar Year 2016.  In the interim, the </w:t>
      </w:r>
      <w:r w:rsidRPr="005276B7">
        <w:rPr>
          <w:rFonts w:ascii="Times New Roman" w:hAnsi="Times New Roman"/>
          <w:szCs w:val="24"/>
        </w:rPr>
        <w:t>form is available on the ATF website (</w:t>
      </w:r>
      <w:hyperlink r:id="rId8" w:history="1">
        <w:r w:rsidRPr="005276B7">
          <w:rPr>
            <w:rStyle w:val="Hyperlink"/>
            <w:rFonts w:ascii="Times New Roman" w:hAnsi="Times New Roman"/>
            <w:szCs w:val="24"/>
          </w:rPr>
          <w:t>www.atf.gov</w:t>
        </w:r>
      </w:hyperlink>
      <w:r w:rsidRPr="005276B7">
        <w:rPr>
          <w:rFonts w:ascii="Times New Roman" w:hAnsi="Times New Roman"/>
          <w:szCs w:val="24"/>
        </w:rPr>
        <w:t>) in a fillable version which can be downloaded, printed and filed</w:t>
      </w:r>
      <w:r w:rsidR="005276B7" w:rsidRPr="005276B7">
        <w:rPr>
          <w:rFonts w:ascii="Times New Roman" w:hAnsi="Times New Roman"/>
          <w:szCs w:val="24"/>
        </w:rPr>
        <w:t xml:space="preserve"> and in hard copy</w:t>
      </w:r>
      <w:r w:rsidRPr="005276B7">
        <w:rPr>
          <w:rFonts w:ascii="Times New Roman" w:hAnsi="Times New Roman"/>
          <w:szCs w:val="24"/>
        </w:rPr>
        <w:t>.  The form cannot currently be filed electronically; however, ATF intends to make the form an eForm which may then be filed via ATF’s eForms system (</w:t>
      </w:r>
      <w:hyperlink r:id="rId9" w:history="1">
        <w:r w:rsidRPr="005276B7">
          <w:rPr>
            <w:rStyle w:val="Hyperlink"/>
            <w:rFonts w:ascii="Times New Roman" w:hAnsi="Times New Roman"/>
            <w:szCs w:val="24"/>
          </w:rPr>
          <w:t>www.atfonline.gov</w:t>
        </w:r>
      </w:hyperlink>
      <w:r w:rsidR="005276B7">
        <w:rPr>
          <w:rStyle w:val="Hyperlink"/>
          <w:rFonts w:ascii="Times New Roman" w:hAnsi="Times New Roman"/>
          <w:szCs w:val="24"/>
        </w:rPr>
        <w:t>)</w:t>
      </w:r>
      <w:bookmarkStart w:id="0" w:name="_GoBack"/>
      <w:bookmarkEnd w:id="0"/>
      <w:r w:rsidR="00C4641C" w:rsidRPr="00EF6199">
        <w:rPr>
          <w:rFonts w:ascii="Times New Roman" w:hAnsi="Times New Roman"/>
          <w:szCs w:val="24"/>
        </w:rPr>
        <w:t>.</w:t>
      </w:r>
    </w:p>
    <w:p w14:paraId="0F2051D1" w14:textId="77777777" w:rsidR="00090555" w:rsidRPr="00E3567A" w:rsidRDefault="00090555">
      <w:pPr>
        <w:rPr>
          <w:rFonts w:ascii="Times New Roman" w:hAnsi="Times New Roman"/>
          <w:szCs w:val="24"/>
        </w:rPr>
      </w:pPr>
    </w:p>
    <w:p w14:paraId="65EF6A15" w14:textId="77777777" w:rsidR="00090555" w:rsidRPr="00E3567A" w:rsidRDefault="00090555">
      <w:pPr>
        <w:numPr>
          <w:ilvl w:val="0"/>
          <w:numId w:val="2"/>
        </w:numPr>
        <w:rPr>
          <w:rFonts w:ascii="Times New Roman" w:hAnsi="Times New Roman"/>
          <w:szCs w:val="24"/>
        </w:rPr>
      </w:pPr>
      <w:r w:rsidRPr="00E3567A">
        <w:rPr>
          <w:rFonts w:ascii="Times New Roman" w:hAnsi="Times New Roman"/>
          <w:szCs w:val="24"/>
        </w:rPr>
        <w:t xml:space="preserve">ATF uses a </w:t>
      </w:r>
      <w:r w:rsidR="00145092" w:rsidRPr="00E3567A">
        <w:rPr>
          <w:rFonts w:ascii="Times New Roman" w:hAnsi="Times New Roman"/>
          <w:szCs w:val="24"/>
        </w:rPr>
        <w:t>uniform subject classification system to identify duplication and to ensure that any similar information already available cannot be used or modified for use for the purpose of this information collection</w:t>
      </w:r>
      <w:r w:rsidRPr="00E3567A">
        <w:rPr>
          <w:rFonts w:ascii="Times New Roman" w:hAnsi="Times New Roman"/>
          <w:szCs w:val="24"/>
        </w:rPr>
        <w:t>.</w:t>
      </w:r>
    </w:p>
    <w:p w14:paraId="2CC59972" w14:textId="77777777" w:rsidR="00090555" w:rsidRPr="00E3567A" w:rsidRDefault="00090555">
      <w:pPr>
        <w:pStyle w:val="Header"/>
        <w:tabs>
          <w:tab w:val="clear" w:pos="4320"/>
          <w:tab w:val="clear" w:pos="8640"/>
        </w:tabs>
        <w:rPr>
          <w:rFonts w:ascii="Times New Roman" w:hAnsi="Times New Roman"/>
          <w:szCs w:val="24"/>
        </w:rPr>
      </w:pPr>
    </w:p>
    <w:p w14:paraId="339C80E2" w14:textId="77777777" w:rsidR="00090555" w:rsidRPr="00E3567A" w:rsidRDefault="00090555">
      <w:pPr>
        <w:numPr>
          <w:ilvl w:val="0"/>
          <w:numId w:val="2"/>
        </w:numPr>
        <w:rPr>
          <w:rFonts w:ascii="Times New Roman" w:hAnsi="Times New Roman"/>
          <w:szCs w:val="24"/>
        </w:rPr>
      </w:pPr>
      <w:r w:rsidRPr="00E3567A">
        <w:rPr>
          <w:rFonts w:ascii="Times New Roman" w:hAnsi="Times New Roman"/>
          <w:szCs w:val="24"/>
        </w:rPr>
        <w:t>The</w:t>
      </w:r>
      <w:r w:rsidR="00145092" w:rsidRPr="00E3567A">
        <w:rPr>
          <w:rFonts w:ascii="Times New Roman" w:hAnsi="Times New Roman"/>
          <w:szCs w:val="24"/>
        </w:rPr>
        <w:t xml:space="preserve"> information </w:t>
      </w:r>
      <w:r w:rsidR="006B6C47">
        <w:rPr>
          <w:rFonts w:ascii="Times New Roman" w:hAnsi="Times New Roman"/>
          <w:szCs w:val="24"/>
        </w:rPr>
        <w:t xml:space="preserve">on this form is unique to the person supplying it and would have little or </w:t>
      </w:r>
      <w:r w:rsidR="00145092" w:rsidRPr="00E3567A">
        <w:rPr>
          <w:rFonts w:ascii="Times New Roman" w:hAnsi="Times New Roman"/>
          <w:szCs w:val="24"/>
        </w:rPr>
        <w:t>no impact on small business or other small entities</w:t>
      </w:r>
      <w:r w:rsidRPr="00E3567A">
        <w:rPr>
          <w:rFonts w:ascii="Times New Roman" w:hAnsi="Times New Roman"/>
          <w:szCs w:val="24"/>
        </w:rPr>
        <w:t>.</w:t>
      </w:r>
    </w:p>
    <w:p w14:paraId="1609291C" w14:textId="77777777" w:rsidR="00090555" w:rsidRPr="00E3567A" w:rsidRDefault="00090555">
      <w:pPr>
        <w:rPr>
          <w:rFonts w:ascii="Times New Roman" w:hAnsi="Times New Roman"/>
          <w:szCs w:val="24"/>
        </w:rPr>
      </w:pPr>
    </w:p>
    <w:p w14:paraId="787AC3D3" w14:textId="77777777" w:rsidR="00090555" w:rsidRPr="00E3567A" w:rsidRDefault="002D712C">
      <w:pPr>
        <w:numPr>
          <w:ilvl w:val="0"/>
          <w:numId w:val="2"/>
        </w:numPr>
        <w:rPr>
          <w:rFonts w:ascii="Times New Roman" w:hAnsi="Times New Roman"/>
          <w:szCs w:val="24"/>
        </w:rPr>
      </w:pPr>
      <w:r w:rsidRPr="00E3567A">
        <w:rPr>
          <w:rFonts w:ascii="Times New Roman" w:hAnsi="Times New Roman"/>
          <w:szCs w:val="24"/>
        </w:rPr>
        <w:t>The consequence</w:t>
      </w:r>
      <w:r w:rsidR="00BE2F19" w:rsidRPr="00E3567A">
        <w:rPr>
          <w:rFonts w:ascii="Times New Roman" w:hAnsi="Times New Roman"/>
          <w:szCs w:val="24"/>
        </w:rPr>
        <w:t xml:space="preserve"> of not conducting this information collection </w:t>
      </w:r>
      <w:r w:rsidR="00BE48E9">
        <w:rPr>
          <w:rFonts w:ascii="Times New Roman" w:hAnsi="Times New Roman"/>
          <w:szCs w:val="24"/>
        </w:rPr>
        <w:t>c</w:t>
      </w:r>
      <w:r w:rsidR="00BE2F19" w:rsidRPr="00E3567A">
        <w:rPr>
          <w:rFonts w:ascii="Times New Roman" w:hAnsi="Times New Roman"/>
          <w:szCs w:val="24"/>
        </w:rPr>
        <w:t xml:space="preserve">ould result in firearms being transferred to </w:t>
      </w:r>
      <w:r w:rsidR="00BE48E9">
        <w:rPr>
          <w:rFonts w:ascii="Times New Roman" w:hAnsi="Times New Roman"/>
          <w:szCs w:val="24"/>
        </w:rPr>
        <w:t xml:space="preserve">a </w:t>
      </w:r>
      <w:r w:rsidR="00BE2F19" w:rsidRPr="00E3567A">
        <w:rPr>
          <w:rFonts w:ascii="Times New Roman" w:hAnsi="Times New Roman"/>
          <w:szCs w:val="24"/>
        </w:rPr>
        <w:t>person</w:t>
      </w:r>
      <w:r w:rsidR="00BE48E9">
        <w:rPr>
          <w:rFonts w:ascii="Times New Roman" w:hAnsi="Times New Roman"/>
          <w:szCs w:val="24"/>
        </w:rPr>
        <w:t xml:space="preserve"> </w:t>
      </w:r>
      <w:r w:rsidR="00BE2F19" w:rsidRPr="00E3567A">
        <w:rPr>
          <w:rFonts w:ascii="Times New Roman" w:hAnsi="Times New Roman"/>
          <w:szCs w:val="24"/>
        </w:rPr>
        <w:t>who</w:t>
      </w:r>
      <w:r w:rsidR="006B6C47">
        <w:rPr>
          <w:rFonts w:ascii="Times New Roman" w:hAnsi="Times New Roman"/>
          <w:szCs w:val="24"/>
        </w:rPr>
        <w:t>se possession</w:t>
      </w:r>
      <w:r w:rsidR="00BE2F19" w:rsidRPr="00E3567A">
        <w:rPr>
          <w:rFonts w:ascii="Times New Roman" w:hAnsi="Times New Roman"/>
          <w:szCs w:val="24"/>
        </w:rPr>
        <w:t xml:space="preserve"> would be in violation of the law</w:t>
      </w:r>
      <w:r w:rsidR="00090555" w:rsidRPr="00E3567A">
        <w:rPr>
          <w:rFonts w:ascii="Times New Roman" w:hAnsi="Times New Roman"/>
          <w:szCs w:val="24"/>
        </w:rPr>
        <w:t>.</w:t>
      </w:r>
      <w:r w:rsidR="006B6C47">
        <w:rPr>
          <w:rFonts w:ascii="Times New Roman" w:hAnsi="Times New Roman"/>
          <w:szCs w:val="24"/>
        </w:rPr>
        <w:t xml:space="preserve">  The information is used to ensure the legal transfer and possession of a firearm and to effectuate the registration of the firearm to the transferee in the National Firearms Registration and Transfer record.</w:t>
      </w:r>
    </w:p>
    <w:p w14:paraId="18B77FBF" w14:textId="77777777" w:rsidR="00090555" w:rsidRPr="00E3567A" w:rsidRDefault="00090555">
      <w:pPr>
        <w:rPr>
          <w:rFonts w:ascii="Times New Roman" w:hAnsi="Times New Roman"/>
          <w:szCs w:val="24"/>
        </w:rPr>
      </w:pPr>
    </w:p>
    <w:p w14:paraId="52AC933C" w14:textId="77777777" w:rsidR="00090555" w:rsidRPr="00E3567A" w:rsidRDefault="00BE48E9">
      <w:pPr>
        <w:numPr>
          <w:ilvl w:val="0"/>
          <w:numId w:val="2"/>
        </w:numPr>
        <w:rPr>
          <w:rFonts w:ascii="Times New Roman" w:hAnsi="Times New Roman"/>
          <w:szCs w:val="24"/>
        </w:rPr>
      </w:pPr>
      <w:r>
        <w:rPr>
          <w:rFonts w:ascii="Times New Roman" w:hAnsi="Times New Roman"/>
          <w:szCs w:val="24"/>
        </w:rPr>
        <w:t>There are no special circumstances associated with this collection and the</w:t>
      </w:r>
      <w:r w:rsidR="00090555" w:rsidRPr="00E3567A">
        <w:rPr>
          <w:rFonts w:ascii="Times New Roman" w:hAnsi="Times New Roman"/>
          <w:szCs w:val="24"/>
        </w:rPr>
        <w:t xml:space="preserve"> collection is conducted in a manner consistent with the requirement in 5 CFR 1320.6.</w:t>
      </w:r>
    </w:p>
    <w:p w14:paraId="41993E43" w14:textId="77777777" w:rsidR="00090555" w:rsidRPr="00E3567A" w:rsidRDefault="00090555">
      <w:pPr>
        <w:rPr>
          <w:rFonts w:ascii="Times New Roman" w:hAnsi="Times New Roman"/>
          <w:szCs w:val="24"/>
        </w:rPr>
      </w:pPr>
    </w:p>
    <w:p w14:paraId="2EF66589" w14:textId="72181153" w:rsidR="00090555" w:rsidRPr="00E3567A" w:rsidRDefault="001505B6">
      <w:pPr>
        <w:numPr>
          <w:ilvl w:val="0"/>
          <w:numId w:val="2"/>
        </w:numPr>
        <w:rPr>
          <w:rFonts w:ascii="Times New Roman" w:hAnsi="Times New Roman"/>
          <w:szCs w:val="24"/>
        </w:rPr>
      </w:pPr>
      <w:r>
        <w:rPr>
          <w:rFonts w:ascii="Times New Roman" w:hAnsi="Times New Roman"/>
          <w:szCs w:val="24"/>
        </w:rPr>
        <w:t>In September 2013, ATF published a Notice of Proposed Rule</w:t>
      </w:r>
      <w:r w:rsidR="005539ED">
        <w:rPr>
          <w:rFonts w:ascii="Times New Roman" w:hAnsi="Times New Roman"/>
          <w:szCs w:val="24"/>
        </w:rPr>
        <w:t>m</w:t>
      </w:r>
      <w:r>
        <w:rPr>
          <w:rFonts w:ascii="Times New Roman" w:hAnsi="Times New Roman"/>
          <w:szCs w:val="24"/>
        </w:rPr>
        <w:t>aking (Docket No. ATF 41P) in conjunction with information collection RIN: 1140-AA43, including the proposed forms.  The comment period ended in December 2013.  This form was revised based on comment</w:t>
      </w:r>
      <w:r w:rsidR="005539ED">
        <w:rPr>
          <w:rFonts w:ascii="Times New Roman" w:hAnsi="Times New Roman"/>
          <w:szCs w:val="24"/>
        </w:rPr>
        <w:t>s</w:t>
      </w:r>
      <w:r>
        <w:rPr>
          <w:rFonts w:ascii="Times New Roman" w:hAnsi="Times New Roman"/>
          <w:szCs w:val="24"/>
        </w:rPr>
        <w:t xml:space="preserve"> made to the proposed rulemaking and as a result of changes made to the regulations in the </w:t>
      </w:r>
      <w:r w:rsidR="005F0B40">
        <w:rPr>
          <w:rFonts w:ascii="Times New Roman" w:hAnsi="Times New Roman"/>
          <w:szCs w:val="24"/>
        </w:rPr>
        <w:t>Final Rule published in the Federal Register (81 FR 2657) on 15 January 2016</w:t>
      </w:r>
      <w:r>
        <w:rPr>
          <w:rFonts w:ascii="Times New Roman" w:hAnsi="Times New Roman"/>
          <w:szCs w:val="24"/>
        </w:rPr>
        <w:t xml:space="preserve">.  </w:t>
      </w:r>
      <w:r w:rsidR="00136D29">
        <w:rPr>
          <w:rFonts w:ascii="Times New Roman" w:hAnsi="Times New Roman"/>
          <w:szCs w:val="24"/>
        </w:rPr>
        <w:t>C</w:t>
      </w:r>
      <w:r>
        <w:rPr>
          <w:rFonts w:ascii="Times New Roman" w:hAnsi="Times New Roman"/>
          <w:szCs w:val="24"/>
        </w:rPr>
        <w:t>omments on the revisions to this form in accordance with OMB requirements</w:t>
      </w:r>
      <w:r w:rsidR="00136D29">
        <w:rPr>
          <w:rFonts w:ascii="Times New Roman" w:hAnsi="Times New Roman"/>
          <w:szCs w:val="24"/>
        </w:rPr>
        <w:t>, were addressed and resolved</w:t>
      </w:r>
      <w:r>
        <w:rPr>
          <w:rFonts w:ascii="Times New Roman" w:hAnsi="Times New Roman"/>
          <w:szCs w:val="24"/>
        </w:rPr>
        <w:t>.</w:t>
      </w:r>
      <w:r w:rsidR="005276B7">
        <w:rPr>
          <w:rFonts w:ascii="Times New Roman" w:hAnsi="Times New Roman"/>
          <w:szCs w:val="24"/>
        </w:rPr>
        <w:t xml:space="preserve">  Specifically suggestions for formatting changes were included in Section 1 under the sub-heading form changes.  Additional comments and ATF responses were combined and submitted to ROCIS in one combined comments document in PDF format.</w:t>
      </w:r>
    </w:p>
    <w:p w14:paraId="3DA20067" w14:textId="77777777" w:rsidR="00090555" w:rsidRPr="00E3567A" w:rsidRDefault="00090555">
      <w:pPr>
        <w:pStyle w:val="Header"/>
        <w:tabs>
          <w:tab w:val="clear" w:pos="4320"/>
          <w:tab w:val="clear" w:pos="8640"/>
        </w:tabs>
        <w:rPr>
          <w:rFonts w:ascii="Times New Roman" w:hAnsi="Times New Roman"/>
          <w:szCs w:val="24"/>
        </w:rPr>
      </w:pPr>
    </w:p>
    <w:p w14:paraId="0AF63BC6" w14:textId="77777777" w:rsidR="00090555" w:rsidRPr="00E3567A" w:rsidRDefault="00C22A89">
      <w:pPr>
        <w:numPr>
          <w:ilvl w:val="0"/>
          <w:numId w:val="2"/>
        </w:numPr>
        <w:rPr>
          <w:rFonts w:ascii="Times New Roman" w:hAnsi="Times New Roman"/>
          <w:szCs w:val="24"/>
        </w:rPr>
      </w:pPr>
      <w:r w:rsidRPr="00E3567A">
        <w:rPr>
          <w:rFonts w:ascii="Times New Roman" w:hAnsi="Times New Roman"/>
          <w:szCs w:val="24"/>
        </w:rPr>
        <w:t xml:space="preserve">No </w:t>
      </w:r>
      <w:r w:rsidR="00090555" w:rsidRPr="00E3567A">
        <w:rPr>
          <w:rFonts w:ascii="Times New Roman" w:hAnsi="Times New Roman"/>
          <w:szCs w:val="24"/>
        </w:rPr>
        <w:t>payment or gift is associated with this collection.</w:t>
      </w:r>
    </w:p>
    <w:p w14:paraId="235FD1EE" w14:textId="77777777" w:rsidR="00090555" w:rsidRPr="00E3567A" w:rsidRDefault="00090555">
      <w:pPr>
        <w:rPr>
          <w:rFonts w:ascii="Times New Roman" w:hAnsi="Times New Roman"/>
          <w:szCs w:val="24"/>
        </w:rPr>
      </w:pPr>
    </w:p>
    <w:p w14:paraId="2E055760" w14:textId="77777777" w:rsidR="00090555" w:rsidRPr="00E3567A" w:rsidRDefault="00C22A89">
      <w:pPr>
        <w:numPr>
          <w:ilvl w:val="0"/>
          <w:numId w:val="2"/>
        </w:numPr>
        <w:rPr>
          <w:rFonts w:ascii="Times New Roman" w:hAnsi="Times New Roman"/>
          <w:szCs w:val="24"/>
        </w:rPr>
      </w:pPr>
      <w:r w:rsidRPr="00E3567A">
        <w:rPr>
          <w:rFonts w:ascii="Times New Roman" w:hAnsi="Times New Roman"/>
          <w:szCs w:val="24"/>
        </w:rPr>
        <w:t xml:space="preserve">The information from this </w:t>
      </w:r>
      <w:r w:rsidR="00BE48E9" w:rsidRPr="00E3567A">
        <w:rPr>
          <w:rFonts w:ascii="Times New Roman" w:hAnsi="Times New Roman"/>
          <w:szCs w:val="24"/>
        </w:rPr>
        <w:t>application</w:t>
      </w:r>
      <w:r w:rsidR="00BE48E9">
        <w:rPr>
          <w:rFonts w:ascii="Times New Roman" w:hAnsi="Times New Roman"/>
          <w:szCs w:val="24"/>
        </w:rPr>
        <w:t xml:space="preserve"> is classified as “tax information’ or “tax return information” and any release is severely restricted by the Tax Reform Act (26 U.S.C. § 6103) and </w:t>
      </w:r>
      <w:r w:rsidRPr="00E3567A">
        <w:rPr>
          <w:rFonts w:ascii="Times New Roman" w:hAnsi="Times New Roman"/>
          <w:szCs w:val="24"/>
        </w:rPr>
        <w:t>may be only disclosed to Federal authorities for purposes of prosecution for violation of the National Firearms Act.  The respondent’s information is kept in a secured location</w:t>
      </w:r>
      <w:r w:rsidR="0063417B" w:rsidRPr="00E3567A">
        <w:rPr>
          <w:rFonts w:ascii="Times New Roman" w:hAnsi="Times New Roman"/>
          <w:szCs w:val="24"/>
        </w:rPr>
        <w:t>.  Confidentiality is not assured</w:t>
      </w:r>
      <w:r w:rsidRPr="00E3567A">
        <w:rPr>
          <w:rFonts w:ascii="Times New Roman" w:hAnsi="Times New Roman"/>
          <w:szCs w:val="24"/>
        </w:rPr>
        <w:t>.</w:t>
      </w:r>
    </w:p>
    <w:p w14:paraId="1DF5D565" w14:textId="77777777" w:rsidR="00090555" w:rsidRPr="00E3567A" w:rsidRDefault="00090555">
      <w:pPr>
        <w:rPr>
          <w:rFonts w:ascii="Times New Roman" w:hAnsi="Times New Roman"/>
          <w:szCs w:val="24"/>
        </w:rPr>
      </w:pPr>
    </w:p>
    <w:p w14:paraId="7B083D28" w14:textId="77777777" w:rsidR="00090555" w:rsidRPr="000D4A8A" w:rsidRDefault="00090555" w:rsidP="00EF6199">
      <w:pPr>
        <w:numPr>
          <w:ilvl w:val="0"/>
          <w:numId w:val="2"/>
        </w:numPr>
        <w:rPr>
          <w:rFonts w:ascii="Times New Roman" w:hAnsi="Times New Roman"/>
          <w:szCs w:val="24"/>
        </w:rPr>
      </w:pPr>
      <w:r w:rsidRPr="000D4A8A">
        <w:rPr>
          <w:rFonts w:ascii="Times New Roman" w:hAnsi="Times New Roman"/>
          <w:szCs w:val="24"/>
        </w:rPr>
        <w:t>Questions of a sensitive nature are included on the form.  These relate to the qualifications of the transferee, such as whether the transferee has been convicted of any crime, is a fugitive from justice, is a drug user, is an illegal alien, etc.  This information is needed to determine whether the transferee is prohibited by Federal law from possessing firearms.</w:t>
      </w:r>
    </w:p>
    <w:p w14:paraId="061F33F3" w14:textId="77777777" w:rsidR="00CB25D3" w:rsidRPr="000D4A8A" w:rsidRDefault="00CB25D3" w:rsidP="00EF6199">
      <w:pPr>
        <w:rPr>
          <w:rFonts w:ascii="Times New Roman" w:hAnsi="Times New Roman"/>
          <w:szCs w:val="24"/>
        </w:rPr>
      </w:pPr>
    </w:p>
    <w:p w14:paraId="7618B409" w14:textId="77777777" w:rsidR="00CB25D3" w:rsidRPr="000D4A8A" w:rsidRDefault="00CB25D3" w:rsidP="00CB25D3">
      <w:pPr>
        <w:numPr>
          <w:ilvl w:val="0"/>
          <w:numId w:val="2"/>
        </w:numPr>
        <w:tabs>
          <w:tab w:val="clear" w:pos="1125"/>
          <w:tab w:val="num" w:pos="1170"/>
        </w:tabs>
        <w:ind w:left="1170"/>
        <w:rPr>
          <w:rFonts w:ascii="Times New Roman" w:hAnsi="Times New Roman"/>
          <w:szCs w:val="24"/>
        </w:rPr>
      </w:pPr>
      <w:r w:rsidRPr="000D4A8A">
        <w:rPr>
          <w:rFonts w:ascii="Times New Roman" w:hAnsi="Times New Roman"/>
          <w:i/>
          <w:szCs w:val="24"/>
        </w:rPr>
        <w:t xml:space="preserve">Estimated total annual reporting and/or recordkeeping burden:  </w:t>
      </w:r>
      <w:r w:rsidRPr="000D4A8A">
        <w:rPr>
          <w:rFonts w:ascii="Times New Roman" w:hAnsi="Times New Roman"/>
          <w:szCs w:val="24"/>
        </w:rPr>
        <w:t xml:space="preserve">466,755 hours (current estimated total annual reporting and/or recordkeeping burden from OMB Information Collection Number 1140-0014: 109,552 hours).  </w:t>
      </w:r>
    </w:p>
    <w:p w14:paraId="2CBFB767" w14:textId="77777777" w:rsidR="00CB25D3" w:rsidRPr="000D4A8A" w:rsidRDefault="00CB25D3" w:rsidP="00CB25D3">
      <w:pPr>
        <w:pStyle w:val="ListParagraph"/>
        <w:rPr>
          <w:rFonts w:ascii="Times New Roman" w:hAnsi="Times New Roman"/>
          <w:szCs w:val="24"/>
        </w:rPr>
      </w:pPr>
    </w:p>
    <w:p w14:paraId="51EBC741" w14:textId="77777777" w:rsidR="00CB25D3" w:rsidRPr="000D4A8A" w:rsidRDefault="00CB25D3" w:rsidP="00CB25D3">
      <w:pPr>
        <w:ind w:left="1170"/>
        <w:rPr>
          <w:rFonts w:ascii="Times New Roman" w:hAnsi="Times New Roman"/>
          <w:szCs w:val="24"/>
        </w:rPr>
      </w:pPr>
      <w:r w:rsidRPr="000D4A8A">
        <w:rPr>
          <w:rFonts w:ascii="Times New Roman" w:hAnsi="Times New Roman"/>
          <w:szCs w:val="24"/>
        </w:rPr>
        <w:t>As discussed in the final rule, there is a total of 123,339 respondents.  Of these, 4,257 Government/Federal firearm licensee respondents will take 20 minutes per response (1,419 hours); 93,739 trust and legal entity responders will take 260 minutes per response (406,202 hours); and 25,343 individual respondents will take 140 minutes per response (59,134 hours).</w:t>
      </w:r>
    </w:p>
    <w:p w14:paraId="5D47E479" w14:textId="77777777" w:rsidR="00CB25D3" w:rsidRPr="000D4A8A" w:rsidRDefault="00CB25D3" w:rsidP="00CB25D3">
      <w:pPr>
        <w:ind w:left="1170"/>
        <w:rPr>
          <w:rFonts w:ascii="Times New Roman" w:hAnsi="Times New Roman"/>
          <w:szCs w:val="24"/>
        </w:rPr>
      </w:pPr>
    </w:p>
    <w:p w14:paraId="2A14EA53" w14:textId="77777777" w:rsidR="00CB25D3" w:rsidRPr="000D4A8A" w:rsidRDefault="00CB25D3" w:rsidP="00CB25D3">
      <w:pPr>
        <w:ind w:left="1170"/>
        <w:rPr>
          <w:rFonts w:ascii="Times New Roman" w:hAnsi="Times New Roman"/>
          <w:szCs w:val="24"/>
        </w:rPr>
      </w:pPr>
      <w:r w:rsidRPr="000D4A8A">
        <w:rPr>
          <w:rFonts w:ascii="Times New Roman" w:hAnsi="Times New Roman"/>
          <w:i/>
          <w:szCs w:val="24"/>
        </w:rPr>
        <w:t xml:space="preserve">Estimated average burden hours per respondent and/or </w:t>
      </w:r>
      <w:proofErr w:type="spellStart"/>
      <w:r w:rsidRPr="000D4A8A">
        <w:rPr>
          <w:rFonts w:ascii="Times New Roman" w:hAnsi="Times New Roman"/>
          <w:i/>
          <w:szCs w:val="24"/>
        </w:rPr>
        <w:t>recordkeeper</w:t>
      </w:r>
      <w:proofErr w:type="spellEnd"/>
      <w:r w:rsidRPr="000D4A8A">
        <w:rPr>
          <w:rFonts w:ascii="Times New Roman" w:hAnsi="Times New Roman"/>
          <w:i/>
          <w:szCs w:val="24"/>
        </w:rPr>
        <w:t xml:space="preserve">:  </w:t>
      </w:r>
      <w:r w:rsidR="000C3259" w:rsidRPr="000D4A8A">
        <w:rPr>
          <w:rFonts w:ascii="Times New Roman" w:hAnsi="Times New Roman"/>
          <w:szCs w:val="24"/>
        </w:rPr>
        <w:t>3.</w:t>
      </w:r>
      <w:r w:rsidR="0018716C" w:rsidRPr="000D4A8A">
        <w:rPr>
          <w:rFonts w:ascii="Times New Roman" w:hAnsi="Times New Roman"/>
          <w:szCs w:val="24"/>
        </w:rPr>
        <w:t>78</w:t>
      </w:r>
      <w:r w:rsidRPr="000D4A8A">
        <w:rPr>
          <w:rFonts w:ascii="Times New Roman" w:hAnsi="Times New Roman"/>
          <w:szCs w:val="24"/>
        </w:rPr>
        <w:t xml:space="preserve"> hours (current estimated average burden hours per respondent or </w:t>
      </w:r>
      <w:proofErr w:type="spellStart"/>
      <w:r w:rsidRPr="000D4A8A">
        <w:rPr>
          <w:rFonts w:ascii="Times New Roman" w:hAnsi="Times New Roman"/>
          <w:szCs w:val="24"/>
        </w:rPr>
        <w:t>recordkeeper</w:t>
      </w:r>
      <w:proofErr w:type="spellEnd"/>
      <w:r w:rsidRPr="000D4A8A">
        <w:rPr>
          <w:rFonts w:ascii="Times New Roman" w:hAnsi="Times New Roman"/>
          <w:szCs w:val="24"/>
        </w:rPr>
        <w:t xml:space="preserve"> from OMB Information Collection Number </w:t>
      </w:r>
      <w:r w:rsidR="000C3259" w:rsidRPr="000D4A8A">
        <w:rPr>
          <w:rFonts w:ascii="Times New Roman" w:hAnsi="Times New Roman"/>
          <w:szCs w:val="24"/>
        </w:rPr>
        <w:t>1140-0014: 1.68</w:t>
      </w:r>
      <w:r w:rsidRPr="000D4A8A">
        <w:rPr>
          <w:rFonts w:ascii="Times New Roman" w:hAnsi="Times New Roman"/>
          <w:szCs w:val="24"/>
        </w:rPr>
        <w:t xml:space="preserve"> hours).</w:t>
      </w:r>
    </w:p>
    <w:p w14:paraId="7F6E28FF" w14:textId="77777777" w:rsidR="00CB25D3" w:rsidRPr="000D4A8A" w:rsidRDefault="00CB25D3" w:rsidP="00CB25D3">
      <w:pPr>
        <w:ind w:left="1170"/>
        <w:rPr>
          <w:rFonts w:ascii="Times New Roman" w:hAnsi="Times New Roman"/>
          <w:szCs w:val="24"/>
        </w:rPr>
      </w:pPr>
    </w:p>
    <w:p w14:paraId="4027BD57" w14:textId="77777777" w:rsidR="00CB25D3" w:rsidRPr="000D4A8A" w:rsidRDefault="00CB25D3" w:rsidP="00CB25D3">
      <w:pPr>
        <w:ind w:left="1170"/>
        <w:rPr>
          <w:rFonts w:ascii="Times New Roman" w:hAnsi="Times New Roman"/>
          <w:szCs w:val="24"/>
        </w:rPr>
      </w:pPr>
      <w:r w:rsidRPr="000D4A8A">
        <w:rPr>
          <w:rFonts w:ascii="Times New Roman" w:hAnsi="Times New Roman"/>
          <w:i/>
          <w:szCs w:val="24"/>
        </w:rPr>
        <w:lastRenderedPageBreak/>
        <w:t xml:space="preserve">Estimated number of respondents and/or </w:t>
      </w:r>
      <w:proofErr w:type="spellStart"/>
      <w:r w:rsidRPr="000D4A8A">
        <w:rPr>
          <w:rFonts w:ascii="Times New Roman" w:hAnsi="Times New Roman"/>
          <w:i/>
          <w:szCs w:val="24"/>
        </w:rPr>
        <w:t>recordkeepers</w:t>
      </w:r>
      <w:proofErr w:type="spellEnd"/>
      <w:r w:rsidRPr="000D4A8A">
        <w:rPr>
          <w:rFonts w:ascii="Times New Roman" w:hAnsi="Times New Roman"/>
          <w:i/>
          <w:szCs w:val="24"/>
        </w:rPr>
        <w:t>:</w:t>
      </w:r>
      <w:r w:rsidRPr="000D4A8A">
        <w:rPr>
          <w:rFonts w:ascii="Times New Roman" w:hAnsi="Times New Roman"/>
          <w:szCs w:val="24"/>
        </w:rPr>
        <w:t xml:space="preserve">  </w:t>
      </w:r>
      <w:r w:rsidR="000C3259" w:rsidRPr="000D4A8A">
        <w:rPr>
          <w:rFonts w:ascii="Times New Roman" w:hAnsi="Times New Roman"/>
          <w:szCs w:val="24"/>
        </w:rPr>
        <w:t>123,339</w:t>
      </w:r>
      <w:r w:rsidRPr="000D4A8A">
        <w:rPr>
          <w:rFonts w:ascii="Times New Roman" w:hAnsi="Times New Roman"/>
          <w:szCs w:val="24"/>
        </w:rPr>
        <w:t xml:space="preserve"> (current estimated number of respondents and/or </w:t>
      </w:r>
      <w:proofErr w:type="spellStart"/>
      <w:r w:rsidRPr="000D4A8A">
        <w:rPr>
          <w:rFonts w:ascii="Times New Roman" w:hAnsi="Times New Roman"/>
          <w:szCs w:val="24"/>
        </w:rPr>
        <w:t>recordkeepers</w:t>
      </w:r>
      <w:proofErr w:type="spellEnd"/>
      <w:r w:rsidRPr="000D4A8A">
        <w:rPr>
          <w:rFonts w:ascii="Times New Roman" w:hAnsi="Times New Roman"/>
          <w:szCs w:val="24"/>
        </w:rPr>
        <w:t xml:space="preserve"> from OMB Informa</w:t>
      </w:r>
      <w:r w:rsidR="000C3259" w:rsidRPr="000D4A8A">
        <w:rPr>
          <w:rFonts w:ascii="Times New Roman" w:hAnsi="Times New Roman"/>
          <w:szCs w:val="24"/>
        </w:rPr>
        <w:t>tion Collection Number 1140-0014</w:t>
      </w:r>
      <w:r w:rsidRPr="000D4A8A">
        <w:rPr>
          <w:rFonts w:ascii="Times New Roman" w:hAnsi="Times New Roman"/>
          <w:szCs w:val="24"/>
        </w:rPr>
        <w:t xml:space="preserve">: </w:t>
      </w:r>
      <w:r w:rsidR="000C3259" w:rsidRPr="000D4A8A">
        <w:rPr>
          <w:rFonts w:ascii="Times New Roman" w:hAnsi="Times New Roman"/>
          <w:szCs w:val="24"/>
        </w:rPr>
        <w:t>65,085</w:t>
      </w:r>
      <w:r w:rsidRPr="000D4A8A">
        <w:rPr>
          <w:rFonts w:ascii="Times New Roman" w:hAnsi="Times New Roman"/>
          <w:szCs w:val="24"/>
        </w:rPr>
        <w:t>).</w:t>
      </w:r>
    </w:p>
    <w:p w14:paraId="4F979270" w14:textId="77777777" w:rsidR="00CB25D3" w:rsidRPr="000D4A8A" w:rsidRDefault="00CB25D3" w:rsidP="00CB25D3">
      <w:pPr>
        <w:ind w:left="1170"/>
        <w:rPr>
          <w:rFonts w:ascii="Times New Roman" w:hAnsi="Times New Roman"/>
          <w:szCs w:val="24"/>
        </w:rPr>
      </w:pPr>
    </w:p>
    <w:p w14:paraId="04D9B8BE" w14:textId="77777777" w:rsidR="00327DC9" w:rsidRPr="000D4A8A" w:rsidRDefault="00CB25D3" w:rsidP="00CB25D3">
      <w:pPr>
        <w:ind w:left="1170"/>
        <w:rPr>
          <w:rFonts w:ascii="Times New Roman" w:hAnsi="Times New Roman"/>
          <w:szCs w:val="24"/>
        </w:rPr>
      </w:pPr>
      <w:r w:rsidRPr="000D4A8A">
        <w:rPr>
          <w:rFonts w:ascii="Times New Roman" w:hAnsi="Times New Roman"/>
          <w:i/>
          <w:szCs w:val="24"/>
        </w:rPr>
        <w:t xml:space="preserve">Estimated annual frequency of responses: </w:t>
      </w:r>
      <w:r w:rsidRPr="000D4A8A">
        <w:rPr>
          <w:rFonts w:ascii="Times New Roman" w:hAnsi="Times New Roman"/>
          <w:szCs w:val="24"/>
        </w:rPr>
        <w:t xml:space="preserve"> 1 (current estimated annual frequency of responses from OMB Information</w:t>
      </w:r>
      <w:r w:rsidR="000C3259" w:rsidRPr="000D4A8A">
        <w:rPr>
          <w:rFonts w:ascii="Times New Roman" w:hAnsi="Times New Roman"/>
          <w:szCs w:val="24"/>
        </w:rPr>
        <w:t xml:space="preserve"> Collection Number 1140-0014</w:t>
      </w:r>
      <w:r w:rsidRPr="000D4A8A">
        <w:rPr>
          <w:rFonts w:ascii="Times New Roman" w:hAnsi="Times New Roman"/>
          <w:szCs w:val="24"/>
        </w:rPr>
        <w:t>:  1).</w:t>
      </w:r>
    </w:p>
    <w:p w14:paraId="2F9113A3" w14:textId="77777777" w:rsidR="00F24741" w:rsidRPr="000D4A8A" w:rsidRDefault="00F24741" w:rsidP="00F24741">
      <w:pPr>
        <w:ind w:left="1080" w:firstLine="360"/>
        <w:rPr>
          <w:rFonts w:ascii="Times New Roman" w:hAnsi="Times New Roman"/>
          <w:szCs w:val="24"/>
        </w:rPr>
      </w:pPr>
    </w:p>
    <w:p w14:paraId="6BAB1A0C" w14:textId="77777777" w:rsidR="00327DC9" w:rsidRPr="000D4A8A" w:rsidRDefault="00327DC9" w:rsidP="00327DC9">
      <w:pPr>
        <w:pStyle w:val="ListParagraph"/>
        <w:numPr>
          <w:ilvl w:val="0"/>
          <w:numId w:val="2"/>
        </w:numPr>
        <w:tabs>
          <w:tab w:val="clear" w:pos="1125"/>
          <w:tab w:val="num" w:pos="1170"/>
        </w:tabs>
        <w:ind w:left="1170"/>
        <w:rPr>
          <w:rFonts w:ascii="Times New Roman" w:hAnsi="Times New Roman"/>
          <w:szCs w:val="24"/>
        </w:rPr>
      </w:pPr>
      <w:r w:rsidRPr="000D4A8A">
        <w:rPr>
          <w:rFonts w:ascii="Times New Roman" w:hAnsi="Times New Roman"/>
          <w:i/>
          <w:szCs w:val="24"/>
        </w:rPr>
        <w:t>Estimated total costs:</w:t>
      </w:r>
      <w:r w:rsidRPr="000D4A8A">
        <w:rPr>
          <w:rFonts w:ascii="Times New Roman" w:hAnsi="Times New Roman"/>
          <w:szCs w:val="24"/>
        </w:rPr>
        <w:t xml:space="preserve">  $6,649,</w:t>
      </w:r>
      <w:r w:rsidR="0018716C" w:rsidRPr="000D4A8A">
        <w:rPr>
          <w:rFonts w:ascii="Times New Roman" w:hAnsi="Times New Roman"/>
          <w:szCs w:val="24"/>
        </w:rPr>
        <w:t xml:space="preserve">205.00 </w:t>
      </w:r>
      <w:r w:rsidRPr="000D4A8A">
        <w:rPr>
          <w:rFonts w:ascii="Times New Roman" w:hAnsi="Times New Roman"/>
          <w:szCs w:val="24"/>
        </w:rPr>
        <w:t xml:space="preserve"> (current estimated totals costs from OMB Information Collection Number 1140-0014:  $</w:t>
      </w:r>
      <w:r w:rsidR="000A00CC" w:rsidRPr="000D4A8A">
        <w:rPr>
          <w:rFonts w:ascii="Times New Roman" w:hAnsi="Times New Roman"/>
          <w:szCs w:val="24"/>
        </w:rPr>
        <w:t>979,645</w:t>
      </w:r>
      <w:r w:rsidRPr="000D4A8A">
        <w:rPr>
          <w:rFonts w:ascii="Times New Roman" w:hAnsi="Times New Roman"/>
          <w:szCs w:val="24"/>
        </w:rPr>
        <w:t>)</w:t>
      </w:r>
    </w:p>
    <w:p w14:paraId="1E13234A" w14:textId="77777777" w:rsidR="00327DC9" w:rsidRPr="00A85913" w:rsidRDefault="00327DC9" w:rsidP="00327DC9">
      <w:pPr>
        <w:pStyle w:val="ListParagraph"/>
        <w:ind w:left="1170"/>
        <w:rPr>
          <w:rFonts w:ascii="Times New Roman" w:hAnsi="Times New Roman"/>
          <w:szCs w:val="24"/>
        </w:rPr>
      </w:pPr>
    </w:p>
    <w:p w14:paraId="5F3D9B22" w14:textId="77777777" w:rsidR="00327DC9" w:rsidRDefault="00327DC9" w:rsidP="00327DC9">
      <w:pPr>
        <w:pStyle w:val="ListParagraph"/>
        <w:numPr>
          <w:ilvl w:val="0"/>
          <w:numId w:val="4"/>
        </w:numPr>
        <w:rPr>
          <w:rFonts w:ascii="Times New Roman" w:hAnsi="Times New Roman"/>
          <w:szCs w:val="24"/>
        </w:rPr>
      </w:pPr>
      <w:r>
        <w:rPr>
          <w:rFonts w:ascii="Times New Roman" w:hAnsi="Times New Roman"/>
          <w:szCs w:val="24"/>
        </w:rPr>
        <w:t>Fingerprints and photographs:  $6,380,373</w:t>
      </w:r>
    </w:p>
    <w:p w14:paraId="59754B9B" w14:textId="77777777" w:rsidR="00327DC9" w:rsidRDefault="00327DC9" w:rsidP="00327DC9">
      <w:pPr>
        <w:pStyle w:val="ListParagraph"/>
        <w:numPr>
          <w:ilvl w:val="1"/>
          <w:numId w:val="4"/>
        </w:numPr>
        <w:rPr>
          <w:rFonts w:ascii="Times New Roman" w:hAnsi="Times New Roman"/>
          <w:szCs w:val="24"/>
        </w:rPr>
      </w:pPr>
      <w:r>
        <w:rPr>
          <w:rFonts w:ascii="Times New Roman" w:hAnsi="Times New Roman"/>
          <w:szCs w:val="24"/>
        </w:rPr>
        <w:t>$29.98 x 25,343 individual applicants:  $759,783</w:t>
      </w:r>
    </w:p>
    <w:p w14:paraId="03E25480" w14:textId="77777777" w:rsidR="00327DC9" w:rsidRDefault="00327DC9" w:rsidP="00327DC9">
      <w:pPr>
        <w:pStyle w:val="ListParagraph"/>
        <w:numPr>
          <w:ilvl w:val="1"/>
          <w:numId w:val="4"/>
        </w:numPr>
        <w:rPr>
          <w:rFonts w:ascii="Times New Roman" w:hAnsi="Times New Roman"/>
          <w:szCs w:val="24"/>
        </w:rPr>
      </w:pPr>
      <w:r>
        <w:rPr>
          <w:rFonts w:ascii="Times New Roman" w:hAnsi="Times New Roman"/>
          <w:szCs w:val="24"/>
        </w:rPr>
        <w:t>$29.98 x 187,</w:t>
      </w:r>
      <w:r w:rsidR="00A44FE4">
        <w:rPr>
          <w:rFonts w:ascii="Times New Roman" w:hAnsi="Times New Roman"/>
          <w:szCs w:val="24"/>
        </w:rPr>
        <w:t>47</w:t>
      </w:r>
      <w:r>
        <w:rPr>
          <w:rFonts w:ascii="Times New Roman" w:hAnsi="Times New Roman"/>
          <w:szCs w:val="24"/>
        </w:rPr>
        <w:t>8 responsible persons:  $5,620,590</w:t>
      </w:r>
    </w:p>
    <w:p w14:paraId="1CD06827" w14:textId="77777777" w:rsidR="00327DC9" w:rsidRDefault="00327DC9" w:rsidP="00327DC9">
      <w:pPr>
        <w:pStyle w:val="ListParagraph"/>
        <w:numPr>
          <w:ilvl w:val="0"/>
          <w:numId w:val="4"/>
        </w:numPr>
        <w:rPr>
          <w:rFonts w:ascii="Times New Roman" w:hAnsi="Times New Roman"/>
          <w:szCs w:val="24"/>
        </w:rPr>
      </w:pPr>
      <w:r>
        <w:rPr>
          <w:rFonts w:ascii="Times New Roman" w:hAnsi="Times New Roman"/>
          <w:szCs w:val="24"/>
        </w:rPr>
        <w:t>Copies of legal entity documents:  $149,842</w:t>
      </w:r>
    </w:p>
    <w:p w14:paraId="023855BF" w14:textId="77777777" w:rsidR="00327DC9" w:rsidRDefault="00327DC9" w:rsidP="00327DC9">
      <w:pPr>
        <w:pStyle w:val="ListParagraph"/>
        <w:numPr>
          <w:ilvl w:val="1"/>
          <w:numId w:val="4"/>
        </w:numPr>
        <w:rPr>
          <w:rFonts w:ascii="Times New Roman" w:hAnsi="Times New Roman"/>
          <w:szCs w:val="24"/>
        </w:rPr>
      </w:pPr>
      <w:r>
        <w:rPr>
          <w:rFonts w:ascii="Times New Roman" w:hAnsi="Times New Roman"/>
          <w:szCs w:val="24"/>
        </w:rPr>
        <w:t xml:space="preserve">$1.60 x 93,739 trusts or legal entity applicants:  $149,892  </w:t>
      </w:r>
    </w:p>
    <w:p w14:paraId="463E2EFE" w14:textId="77777777" w:rsidR="00327DC9" w:rsidRDefault="00327DC9" w:rsidP="00327DC9">
      <w:pPr>
        <w:pStyle w:val="ListParagraph"/>
        <w:numPr>
          <w:ilvl w:val="0"/>
          <w:numId w:val="4"/>
        </w:numPr>
        <w:rPr>
          <w:rFonts w:ascii="Times New Roman" w:hAnsi="Times New Roman"/>
          <w:szCs w:val="24"/>
        </w:rPr>
      </w:pPr>
      <w:r w:rsidRPr="009569AB">
        <w:rPr>
          <w:rFonts w:ascii="Times New Roman" w:hAnsi="Times New Roman"/>
          <w:szCs w:val="24"/>
        </w:rPr>
        <w:t>Mailing:  $</w:t>
      </w:r>
      <w:r>
        <w:rPr>
          <w:rFonts w:ascii="Times New Roman" w:hAnsi="Times New Roman"/>
          <w:szCs w:val="24"/>
        </w:rPr>
        <w:t>118,786.29</w:t>
      </w:r>
    </w:p>
    <w:p w14:paraId="5A9D9F5D" w14:textId="77777777" w:rsidR="00327DC9" w:rsidRDefault="00327DC9" w:rsidP="00327DC9">
      <w:pPr>
        <w:pStyle w:val="ListParagraph"/>
        <w:numPr>
          <w:ilvl w:val="1"/>
          <w:numId w:val="4"/>
        </w:numPr>
        <w:rPr>
          <w:rFonts w:ascii="Times New Roman" w:hAnsi="Times New Roman"/>
          <w:szCs w:val="24"/>
        </w:rPr>
      </w:pPr>
      <w:r w:rsidRPr="009569AB">
        <w:rPr>
          <w:rFonts w:ascii="Times New Roman" w:hAnsi="Times New Roman"/>
          <w:szCs w:val="24"/>
        </w:rPr>
        <w:t xml:space="preserve">$.98 x </w:t>
      </w:r>
      <w:r>
        <w:rPr>
          <w:rFonts w:ascii="Times New Roman" w:hAnsi="Times New Roman"/>
          <w:szCs w:val="24"/>
        </w:rPr>
        <w:t>119,082</w:t>
      </w:r>
      <w:r w:rsidRPr="009569AB">
        <w:rPr>
          <w:rFonts w:ascii="Times New Roman" w:hAnsi="Times New Roman"/>
          <w:szCs w:val="24"/>
        </w:rPr>
        <w:t xml:space="preserve"> individual and trust or legal entity respondents</w:t>
      </w:r>
      <w:r>
        <w:rPr>
          <w:rFonts w:ascii="Times New Roman" w:hAnsi="Times New Roman"/>
          <w:szCs w:val="24"/>
        </w:rPr>
        <w:t>: $116,700.36</w:t>
      </w:r>
    </w:p>
    <w:p w14:paraId="6BF7A280" w14:textId="77777777" w:rsidR="00327DC9" w:rsidRDefault="00327DC9" w:rsidP="00327DC9">
      <w:pPr>
        <w:pStyle w:val="ListParagraph"/>
        <w:numPr>
          <w:ilvl w:val="1"/>
          <w:numId w:val="4"/>
        </w:numPr>
        <w:rPr>
          <w:rFonts w:ascii="Times New Roman" w:hAnsi="Times New Roman"/>
          <w:szCs w:val="24"/>
        </w:rPr>
      </w:pPr>
      <w:r>
        <w:rPr>
          <w:rFonts w:ascii="Times New Roman" w:hAnsi="Times New Roman"/>
          <w:szCs w:val="24"/>
        </w:rPr>
        <w:t>$.49 x 4,257 government or FFL respondents:  $2,085.93</w:t>
      </w:r>
    </w:p>
    <w:p w14:paraId="16220209" w14:textId="77777777" w:rsidR="00327DC9" w:rsidRPr="00B17170" w:rsidRDefault="00327DC9" w:rsidP="00327DC9">
      <w:pPr>
        <w:pStyle w:val="ListParagraph"/>
        <w:ind w:left="2160"/>
        <w:rPr>
          <w:rFonts w:ascii="Times New Roman" w:hAnsi="Times New Roman"/>
          <w:szCs w:val="24"/>
        </w:rPr>
      </w:pPr>
    </w:p>
    <w:p w14:paraId="31B4DEB9" w14:textId="77777777" w:rsidR="00587BEF" w:rsidRPr="00A85913" w:rsidRDefault="00587BEF" w:rsidP="00587BEF">
      <w:pPr>
        <w:numPr>
          <w:ilvl w:val="0"/>
          <w:numId w:val="2"/>
        </w:numPr>
        <w:tabs>
          <w:tab w:val="clear" w:pos="1125"/>
          <w:tab w:val="num" w:pos="1170"/>
        </w:tabs>
        <w:ind w:left="1170"/>
        <w:rPr>
          <w:rFonts w:ascii="Times New Roman" w:hAnsi="Times New Roman"/>
          <w:szCs w:val="24"/>
        </w:rPr>
      </w:pPr>
      <w:r w:rsidRPr="00A85913">
        <w:rPr>
          <w:rFonts w:ascii="Times New Roman" w:hAnsi="Times New Roman"/>
          <w:szCs w:val="24"/>
        </w:rPr>
        <w:t>The estimated annual cost of $</w:t>
      </w:r>
      <w:r>
        <w:rPr>
          <w:rFonts w:ascii="Times New Roman" w:hAnsi="Times New Roman"/>
          <w:szCs w:val="24"/>
        </w:rPr>
        <w:t>5,105,503.10</w:t>
      </w:r>
      <w:r w:rsidRPr="00A85913">
        <w:rPr>
          <w:rFonts w:ascii="Times New Roman" w:hAnsi="Times New Roman"/>
          <w:szCs w:val="24"/>
        </w:rPr>
        <w:t xml:space="preserve"> to the Federal Government is as follows:</w:t>
      </w:r>
    </w:p>
    <w:p w14:paraId="02D135AE" w14:textId="77777777" w:rsidR="00587BEF" w:rsidRPr="00A85913" w:rsidRDefault="00587BEF" w:rsidP="00587BEF">
      <w:pPr>
        <w:rPr>
          <w:rFonts w:ascii="Times New Roman" w:hAnsi="Times New Roman"/>
          <w:szCs w:val="24"/>
        </w:rPr>
      </w:pPr>
    </w:p>
    <w:p w14:paraId="2F04F8DA" w14:textId="77777777" w:rsidR="00587BEF" w:rsidRDefault="00587BEF" w:rsidP="00587BEF">
      <w:pPr>
        <w:pStyle w:val="ListParagraph"/>
        <w:numPr>
          <w:ilvl w:val="0"/>
          <w:numId w:val="4"/>
        </w:numPr>
        <w:rPr>
          <w:rFonts w:ascii="Times New Roman" w:hAnsi="Times New Roman"/>
          <w:szCs w:val="24"/>
        </w:rPr>
      </w:pPr>
      <w:r>
        <w:rPr>
          <w:rFonts w:ascii="Times New Roman" w:hAnsi="Times New Roman"/>
          <w:szCs w:val="24"/>
        </w:rPr>
        <w:t>P</w:t>
      </w:r>
      <w:r w:rsidRPr="00CA2D59">
        <w:rPr>
          <w:rFonts w:ascii="Times New Roman" w:hAnsi="Times New Roman"/>
          <w:szCs w:val="24"/>
        </w:rPr>
        <w:t xml:space="preserve">rinting Forms </w:t>
      </w:r>
      <w:r>
        <w:rPr>
          <w:rFonts w:ascii="Times New Roman" w:hAnsi="Times New Roman"/>
          <w:szCs w:val="24"/>
        </w:rPr>
        <w:t>4: $38,235.09</w:t>
      </w:r>
    </w:p>
    <w:p w14:paraId="6CCB9637" w14:textId="77777777" w:rsidR="00587BEF" w:rsidRPr="00CA2D59" w:rsidRDefault="00587BEF" w:rsidP="00587BEF">
      <w:pPr>
        <w:pStyle w:val="ListParagraph"/>
        <w:numPr>
          <w:ilvl w:val="1"/>
          <w:numId w:val="4"/>
        </w:numPr>
        <w:rPr>
          <w:rFonts w:ascii="Times New Roman" w:hAnsi="Times New Roman"/>
          <w:szCs w:val="24"/>
        </w:rPr>
      </w:pPr>
      <w:r w:rsidRPr="00CA2D59">
        <w:rPr>
          <w:rFonts w:ascii="Times New Roman" w:hAnsi="Times New Roman"/>
          <w:szCs w:val="24"/>
        </w:rPr>
        <w:t>(</w:t>
      </w:r>
      <w:r>
        <w:rPr>
          <w:rFonts w:ascii="Times New Roman" w:hAnsi="Times New Roman"/>
          <w:szCs w:val="24"/>
        </w:rPr>
        <w:t>123,339 forms</w:t>
      </w:r>
      <w:r w:rsidRPr="00CA2D59">
        <w:rPr>
          <w:rFonts w:ascii="Times New Roman" w:hAnsi="Times New Roman"/>
          <w:szCs w:val="24"/>
        </w:rPr>
        <w:t xml:space="preserve"> x </w:t>
      </w:r>
      <w:r>
        <w:rPr>
          <w:rFonts w:ascii="Times New Roman" w:hAnsi="Times New Roman"/>
          <w:szCs w:val="24"/>
        </w:rPr>
        <w:t>$.3</w:t>
      </w:r>
      <w:r w:rsidRPr="00CA2D59">
        <w:rPr>
          <w:rFonts w:ascii="Times New Roman" w:hAnsi="Times New Roman"/>
          <w:szCs w:val="24"/>
        </w:rPr>
        <w:t>1</w:t>
      </w:r>
      <w:r>
        <w:rPr>
          <w:rFonts w:ascii="Times New Roman" w:hAnsi="Times New Roman"/>
          <w:szCs w:val="24"/>
        </w:rPr>
        <w:t xml:space="preserve"> per form</w:t>
      </w:r>
      <w:r w:rsidRPr="00CA2D59">
        <w:rPr>
          <w:rFonts w:ascii="Times New Roman" w:hAnsi="Times New Roman"/>
          <w:szCs w:val="24"/>
        </w:rPr>
        <w:t>)</w:t>
      </w:r>
    </w:p>
    <w:p w14:paraId="594EB6B6" w14:textId="77777777" w:rsidR="00587BEF" w:rsidRDefault="00587BEF" w:rsidP="00587BEF">
      <w:pPr>
        <w:pStyle w:val="ListParagraph"/>
        <w:numPr>
          <w:ilvl w:val="0"/>
          <w:numId w:val="4"/>
        </w:numPr>
        <w:rPr>
          <w:rFonts w:ascii="Times New Roman" w:hAnsi="Times New Roman"/>
          <w:szCs w:val="24"/>
        </w:rPr>
      </w:pPr>
      <w:r>
        <w:rPr>
          <w:rFonts w:ascii="Times New Roman" w:hAnsi="Times New Roman"/>
          <w:szCs w:val="24"/>
        </w:rPr>
        <w:t>P</w:t>
      </w:r>
      <w:r w:rsidRPr="00A85913">
        <w:rPr>
          <w:rFonts w:ascii="Times New Roman" w:hAnsi="Times New Roman"/>
          <w:szCs w:val="24"/>
        </w:rPr>
        <w:t>rocessing fingerprints</w:t>
      </w:r>
      <w:r>
        <w:rPr>
          <w:rFonts w:ascii="Times New Roman" w:hAnsi="Times New Roman"/>
          <w:szCs w:val="24"/>
        </w:rPr>
        <w:t>:  $2,713,467.75</w:t>
      </w:r>
    </w:p>
    <w:p w14:paraId="3BC45256" w14:textId="77777777" w:rsidR="00587BEF" w:rsidRPr="00A85913" w:rsidRDefault="00587BEF" w:rsidP="00587BEF">
      <w:pPr>
        <w:pStyle w:val="ListParagraph"/>
        <w:numPr>
          <w:ilvl w:val="1"/>
          <w:numId w:val="4"/>
        </w:numPr>
        <w:rPr>
          <w:rFonts w:ascii="Times New Roman" w:hAnsi="Times New Roman"/>
          <w:szCs w:val="24"/>
        </w:rPr>
      </w:pPr>
      <w:r w:rsidRPr="00A85913">
        <w:rPr>
          <w:rFonts w:ascii="Times New Roman" w:hAnsi="Times New Roman"/>
          <w:szCs w:val="24"/>
        </w:rPr>
        <w:t xml:space="preserve"> ($</w:t>
      </w:r>
      <w:r>
        <w:rPr>
          <w:rFonts w:ascii="Times New Roman" w:hAnsi="Times New Roman"/>
          <w:szCs w:val="24"/>
        </w:rPr>
        <w:t>12.75</w:t>
      </w:r>
      <w:r w:rsidRPr="00A85913">
        <w:rPr>
          <w:rFonts w:ascii="Times New Roman" w:hAnsi="Times New Roman"/>
          <w:szCs w:val="24"/>
        </w:rPr>
        <w:t xml:space="preserve"> x </w:t>
      </w:r>
      <w:r>
        <w:rPr>
          <w:rFonts w:ascii="Times New Roman" w:hAnsi="Times New Roman"/>
          <w:szCs w:val="24"/>
        </w:rPr>
        <w:t>212,821 individuals and responsible persons</w:t>
      </w:r>
      <w:r w:rsidRPr="00A85913">
        <w:rPr>
          <w:rFonts w:ascii="Times New Roman" w:hAnsi="Times New Roman"/>
          <w:szCs w:val="24"/>
        </w:rPr>
        <w:t>)</w:t>
      </w:r>
    </w:p>
    <w:p w14:paraId="75978E7F" w14:textId="77777777" w:rsidR="00587BEF" w:rsidRDefault="00587BEF" w:rsidP="00587BEF">
      <w:pPr>
        <w:pStyle w:val="ListParagraph"/>
        <w:numPr>
          <w:ilvl w:val="0"/>
          <w:numId w:val="4"/>
        </w:numPr>
        <w:rPr>
          <w:rFonts w:ascii="Times New Roman" w:hAnsi="Times New Roman"/>
          <w:szCs w:val="24"/>
        </w:rPr>
      </w:pPr>
      <w:r>
        <w:rPr>
          <w:rFonts w:ascii="Times New Roman" w:hAnsi="Times New Roman"/>
          <w:szCs w:val="24"/>
        </w:rPr>
        <w:t>C</w:t>
      </w:r>
      <w:r w:rsidRPr="00A85913">
        <w:rPr>
          <w:rFonts w:ascii="Times New Roman" w:hAnsi="Times New Roman"/>
          <w:szCs w:val="24"/>
        </w:rPr>
        <w:t xml:space="preserve">onducting and reviewing background checks of individual </w:t>
      </w:r>
      <w:r>
        <w:rPr>
          <w:rFonts w:ascii="Times New Roman" w:hAnsi="Times New Roman"/>
          <w:szCs w:val="24"/>
        </w:rPr>
        <w:t xml:space="preserve">and responsible person </w:t>
      </w:r>
      <w:r w:rsidRPr="00A85913">
        <w:rPr>
          <w:rFonts w:ascii="Times New Roman" w:hAnsi="Times New Roman"/>
          <w:szCs w:val="24"/>
        </w:rPr>
        <w:t>respondents</w:t>
      </w:r>
      <w:r>
        <w:rPr>
          <w:rFonts w:ascii="Times New Roman" w:hAnsi="Times New Roman"/>
          <w:szCs w:val="24"/>
        </w:rPr>
        <w:t>:  $2,353,800.26</w:t>
      </w:r>
    </w:p>
    <w:p w14:paraId="5242957F" w14:textId="77777777" w:rsidR="00425F7D" w:rsidRPr="00E3567A" w:rsidRDefault="00587BEF" w:rsidP="00EF6199">
      <w:pPr>
        <w:pStyle w:val="ListParagraph"/>
        <w:numPr>
          <w:ilvl w:val="1"/>
          <w:numId w:val="4"/>
        </w:numPr>
        <w:rPr>
          <w:rFonts w:ascii="Times New Roman" w:hAnsi="Times New Roman"/>
          <w:szCs w:val="24"/>
        </w:rPr>
      </w:pPr>
      <w:r w:rsidRPr="00A85913">
        <w:rPr>
          <w:rFonts w:ascii="Times New Roman" w:hAnsi="Times New Roman"/>
          <w:szCs w:val="24"/>
        </w:rPr>
        <w:t>($</w:t>
      </w:r>
      <w:r>
        <w:rPr>
          <w:rFonts w:ascii="Times New Roman" w:hAnsi="Times New Roman"/>
          <w:szCs w:val="24"/>
        </w:rPr>
        <w:t>11.06</w:t>
      </w:r>
      <w:r w:rsidRPr="00A85913">
        <w:rPr>
          <w:rFonts w:ascii="Times New Roman" w:hAnsi="Times New Roman"/>
          <w:szCs w:val="24"/>
        </w:rPr>
        <w:t xml:space="preserve"> (15 minutes at $</w:t>
      </w:r>
      <w:r>
        <w:rPr>
          <w:rFonts w:ascii="Times New Roman" w:hAnsi="Times New Roman"/>
          <w:szCs w:val="24"/>
        </w:rPr>
        <w:t>44.22</w:t>
      </w:r>
      <w:r w:rsidRPr="00A85913">
        <w:rPr>
          <w:rFonts w:ascii="Times New Roman" w:hAnsi="Times New Roman"/>
          <w:szCs w:val="24"/>
        </w:rPr>
        <w:t xml:space="preserve"> per hour) x </w:t>
      </w:r>
      <w:r>
        <w:rPr>
          <w:rFonts w:ascii="Times New Roman" w:hAnsi="Times New Roman"/>
          <w:szCs w:val="24"/>
        </w:rPr>
        <w:t>212,821</w:t>
      </w:r>
      <w:r w:rsidRPr="00A85913">
        <w:rPr>
          <w:rFonts w:ascii="Times New Roman" w:hAnsi="Times New Roman"/>
          <w:szCs w:val="24"/>
        </w:rPr>
        <w:t>)</w:t>
      </w:r>
    </w:p>
    <w:p w14:paraId="5F6E109C" w14:textId="77777777" w:rsidR="00090555" w:rsidRPr="00E3567A" w:rsidRDefault="00090555">
      <w:pPr>
        <w:rPr>
          <w:rFonts w:ascii="Times New Roman" w:hAnsi="Times New Roman"/>
          <w:szCs w:val="24"/>
        </w:rPr>
      </w:pPr>
    </w:p>
    <w:p w14:paraId="1C802AF5" w14:textId="77777777" w:rsidR="0090501F" w:rsidRDefault="00425F7D" w:rsidP="0090501F">
      <w:pPr>
        <w:numPr>
          <w:ilvl w:val="0"/>
          <w:numId w:val="2"/>
        </w:numPr>
        <w:tabs>
          <w:tab w:val="clear" w:pos="1125"/>
          <w:tab w:val="num" w:pos="1170"/>
        </w:tabs>
        <w:ind w:left="1170"/>
        <w:rPr>
          <w:rFonts w:ascii="Times New Roman" w:hAnsi="Times New Roman"/>
          <w:szCs w:val="24"/>
        </w:rPr>
      </w:pPr>
      <w:r w:rsidRPr="00A44FE4">
        <w:rPr>
          <w:rFonts w:ascii="Times New Roman" w:hAnsi="Times New Roman"/>
          <w:szCs w:val="24"/>
        </w:rPr>
        <w:t xml:space="preserve">The </w:t>
      </w:r>
      <w:r w:rsidR="0090501F" w:rsidRPr="00A44FE4">
        <w:rPr>
          <w:rFonts w:ascii="Times New Roman" w:hAnsi="Times New Roman"/>
          <w:szCs w:val="24"/>
        </w:rPr>
        <w:t xml:space="preserve">adjustments made to </w:t>
      </w:r>
      <w:r w:rsidR="00955894" w:rsidRPr="00A44FE4">
        <w:rPr>
          <w:rFonts w:ascii="Times New Roman" w:hAnsi="Times New Roman"/>
          <w:szCs w:val="24"/>
        </w:rPr>
        <w:t xml:space="preserve">this collection are an increase in the number of respondents to </w:t>
      </w:r>
      <w:r w:rsidR="00A44FE4">
        <w:rPr>
          <w:rFonts w:ascii="Times New Roman" w:hAnsi="Times New Roman"/>
          <w:szCs w:val="24"/>
        </w:rPr>
        <w:t>123,339</w:t>
      </w:r>
      <w:r w:rsidR="00955894" w:rsidRPr="00A44FE4">
        <w:rPr>
          <w:rFonts w:ascii="Times New Roman" w:hAnsi="Times New Roman"/>
          <w:szCs w:val="24"/>
        </w:rPr>
        <w:t xml:space="preserve">, </w:t>
      </w:r>
      <w:r w:rsidR="00EE421F" w:rsidRPr="00A44FE4">
        <w:rPr>
          <w:rFonts w:ascii="Times New Roman" w:hAnsi="Times New Roman"/>
          <w:szCs w:val="24"/>
        </w:rPr>
        <w:t>a change</w:t>
      </w:r>
      <w:r w:rsidR="00955894" w:rsidRPr="00A44FE4">
        <w:rPr>
          <w:rFonts w:ascii="Times New Roman" w:hAnsi="Times New Roman"/>
          <w:szCs w:val="24"/>
        </w:rPr>
        <w:t xml:space="preserve"> in the total annual burden hours to </w:t>
      </w:r>
      <w:r w:rsidR="00A44FE4">
        <w:rPr>
          <w:rFonts w:ascii="Times New Roman" w:hAnsi="Times New Roman"/>
          <w:szCs w:val="24"/>
        </w:rPr>
        <w:t>466,755</w:t>
      </w:r>
      <w:r w:rsidR="00955894" w:rsidRPr="00A44FE4">
        <w:rPr>
          <w:rFonts w:ascii="Times New Roman" w:hAnsi="Times New Roman"/>
          <w:szCs w:val="24"/>
        </w:rPr>
        <w:t>, and an increase in cost burden</w:t>
      </w:r>
      <w:r w:rsidR="0090501F" w:rsidRPr="00A44FE4">
        <w:rPr>
          <w:rFonts w:ascii="Times New Roman" w:hAnsi="Times New Roman"/>
          <w:szCs w:val="24"/>
        </w:rPr>
        <w:t>.</w:t>
      </w:r>
    </w:p>
    <w:p w14:paraId="21A349C1" w14:textId="77777777" w:rsidR="005276B7" w:rsidRDefault="005276B7" w:rsidP="005A7513">
      <w:pPr>
        <w:rPr>
          <w:rFonts w:ascii="Times New Roman" w:hAnsi="Times New Roman"/>
          <w:szCs w:val="24"/>
        </w:rPr>
      </w:pPr>
    </w:p>
    <w:p w14:paraId="2FD85CEF" w14:textId="77777777" w:rsidR="005276B7" w:rsidRDefault="005276B7" w:rsidP="005276B7">
      <w:pPr>
        <w:ind w:left="1170"/>
        <w:rPr>
          <w:rFonts w:ascii="Times New Roman" w:hAnsi="Times New Roman"/>
          <w:szCs w:val="24"/>
        </w:rPr>
      </w:pPr>
      <w:r w:rsidRPr="00E3567A">
        <w:rPr>
          <w:rFonts w:ascii="Times New Roman" w:hAnsi="Times New Roman"/>
          <w:szCs w:val="24"/>
          <w:u w:val="single"/>
        </w:rPr>
        <w:t>Form Changes</w:t>
      </w:r>
      <w:r w:rsidRPr="00E3567A">
        <w:rPr>
          <w:rFonts w:ascii="Times New Roman" w:hAnsi="Times New Roman"/>
          <w:szCs w:val="24"/>
        </w:rPr>
        <w:t xml:space="preserve">.  </w:t>
      </w:r>
      <w:r>
        <w:rPr>
          <w:rFonts w:ascii="Times New Roman" w:hAnsi="Times New Roman"/>
          <w:szCs w:val="24"/>
        </w:rPr>
        <w:t xml:space="preserve">ATF has made the following changes to </w:t>
      </w:r>
      <w:r w:rsidRPr="00E3567A">
        <w:rPr>
          <w:rFonts w:ascii="Times New Roman" w:hAnsi="Times New Roman"/>
          <w:szCs w:val="24"/>
        </w:rPr>
        <w:t>ATF Form 4 (5320.4):</w:t>
      </w:r>
    </w:p>
    <w:p w14:paraId="1A71FE3D" w14:textId="77777777" w:rsidR="005276B7" w:rsidRDefault="005276B7" w:rsidP="005276B7">
      <w:pPr>
        <w:ind w:left="1170"/>
        <w:rPr>
          <w:rFonts w:ascii="Times New Roman" w:hAnsi="Times New Roman"/>
          <w:szCs w:val="24"/>
        </w:rPr>
      </w:pPr>
    </w:p>
    <w:p w14:paraId="22333398" w14:textId="77777777" w:rsidR="005276B7" w:rsidRDefault="005276B7" w:rsidP="005276B7">
      <w:pPr>
        <w:pStyle w:val="ListParagraph"/>
        <w:numPr>
          <w:ilvl w:val="0"/>
          <w:numId w:val="6"/>
        </w:numPr>
        <w:rPr>
          <w:rFonts w:ascii="Times New Roman" w:hAnsi="Times New Roman"/>
          <w:szCs w:val="24"/>
        </w:rPr>
      </w:pPr>
      <w:r>
        <w:rPr>
          <w:rFonts w:ascii="Times New Roman" w:hAnsi="Times New Roman"/>
          <w:szCs w:val="24"/>
        </w:rPr>
        <w:t>Provide a new print format for the form.  Rather than a long sheet of paper, the form will be printed in a set of 3 (ATF, registrant and CLEO) with each titled accordingly.</w:t>
      </w:r>
    </w:p>
    <w:p w14:paraId="214F01FF" w14:textId="77777777" w:rsidR="005276B7" w:rsidRDefault="005276B7" w:rsidP="005276B7">
      <w:pPr>
        <w:pStyle w:val="ListParagraph"/>
        <w:numPr>
          <w:ilvl w:val="0"/>
          <w:numId w:val="6"/>
        </w:numPr>
        <w:rPr>
          <w:rFonts w:ascii="Times New Roman" w:hAnsi="Times New Roman"/>
          <w:szCs w:val="24"/>
        </w:rPr>
      </w:pPr>
      <w:r>
        <w:rPr>
          <w:rFonts w:ascii="Times New Roman" w:hAnsi="Times New Roman"/>
          <w:szCs w:val="24"/>
        </w:rPr>
        <w:t>Items 1, 2 and 3 relocated on the form for mailing purposes.</w:t>
      </w:r>
    </w:p>
    <w:p w14:paraId="6F0C5AD1" w14:textId="77777777" w:rsidR="005276B7" w:rsidRDefault="005276B7" w:rsidP="005276B7">
      <w:pPr>
        <w:pStyle w:val="ListParagraph"/>
        <w:numPr>
          <w:ilvl w:val="0"/>
          <w:numId w:val="6"/>
        </w:numPr>
        <w:rPr>
          <w:rFonts w:ascii="Times New Roman" w:hAnsi="Times New Roman"/>
          <w:szCs w:val="24"/>
        </w:rPr>
      </w:pPr>
      <w:r>
        <w:rPr>
          <w:rFonts w:ascii="Times New Roman" w:hAnsi="Times New Roman"/>
          <w:szCs w:val="24"/>
        </w:rPr>
        <w:t xml:space="preserve">Item 4g – serial number will be obscured on the CLEO copy (see instruction </w:t>
      </w:r>
      <w:proofErr w:type="gramStart"/>
      <w:r>
        <w:rPr>
          <w:rFonts w:ascii="Times New Roman" w:hAnsi="Times New Roman"/>
          <w:szCs w:val="24"/>
        </w:rPr>
        <w:t>2.d(</w:t>
      </w:r>
      <w:proofErr w:type="gramEnd"/>
      <w:r>
        <w:rPr>
          <w:rFonts w:ascii="Times New Roman" w:hAnsi="Times New Roman"/>
          <w:szCs w:val="24"/>
        </w:rPr>
        <w:t>6).</w:t>
      </w:r>
    </w:p>
    <w:p w14:paraId="4804F332" w14:textId="77777777" w:rsidR="005276B7" w:rsidRDefault="005276B7" w:rsidP="005276B7">
      <w:pPr>
        <w:pStyle w:val="ListParagraph"/>
        <w:numPr>
          <w:ilvl w:val="0"/>
          <w:numId w:val="6"/>
        </w:numPr>
        <w:rPr>
          <w:rFonts w:ascii="Times New Roman" w:hAnsi="Times New Roman"/>
          <w:szCs w:val="24"/>
        </w:rPr>
      </w:pPr>
      <w:r>
        <w:rPr>
          <w:rFonts w:ascii="Times New Roman" w:hAnsi="Times New Roman"/>
          <w:szCs w:val="24"/>
        </w:rPr>
        <w:t>Item 3b – field noted to show the supplying of the email address is optional.</w:t>
      </w:r>
    </w:p>
    <w:p w14:paraId="00F294F8" w14:textId="77777777" w:rsidR="005276B7" w:rsidRDefault="005276B7" w:rsidP="005276B7">
      <w:pPr>
        <w:pStyle w:val="ListParagraph"/>
        <w:numPr>
          <w:ilvl w:val="0"/>
          <w:numId w:val="6"/>
        </w:numPr>
        <w:rPr>
          <w:rFonts w:ascii="Times New Roman" w:hAnsi="Times New Roman"/>
          <w:szCs w:val="24"/>
        </w:rPr>
      </w:pPr>
      <w:r>
        <w:rPr>
          <w:rFonts w:ascii="Times New Roman" w:hAnsi="Times New Roman"/>
          <w:szCs w:val="24"/>
        </w:rPr>
        <w:lastRenderedPageBreak/>
        <w:t>Item 12 – combined the lines for the agency name and official’s name and title into one line and deleted the line for ‘date sent to agency.’</w:t>
      </w:r>
    </w:p>
    <w:p w14:paraId="75498C5D" w14:textId="77777777" w:rsidR="005276B7" w:rsidRDefault="005276B7" w:rsidP="005276B7">
      <w:pPr>
        <w:pStyle w:val="ListParagraph"/>
        <w:numPr>
          <w:ilvl w:val="0"/>
          <w:numId w:val="6"/>
        </w:numPr>
        <w:rPr>
          <w:rFonts w:ascii="Times New Roman" w:hAnsi="Times New Roman"/>
          <w:szCs w:val="24"/>
        </w:rPr>
      </w:pPr>
      <w:r>
        <w:rPr>
          <w:rFonts w:ascii="Times New Roman" w:hAnsi="Times New Roman"/>
          <w:szCs w:val="24"/>
        </w:rPr>
        <w:t xml:space="preserve">Certification (following item 17) – changed language to reflect concerns about sending a completed copy of the form to meet the notification requirement when the form had not yet been signed/completed.  Also revised to clarify that not all fields require information for a completed form.  The certification now reads that a completed copy will be sent upon the submission of the form.  See instructions </w:t>
      </w:r>
      <w:proofErr w:type="gramStart"/>
      <w:r>
        <w:rPr>
          <w:rFonts w:ascii="Times New Roman" w:hAnsi="Times New Roman"/>
          <w:szCs w:val="24"/>
        </w:rPr>
        <w:t>2.d(</w:t>
      </w:r>
      <w:proofErr w:type="gramEnd"/>
      <w:r>
        <w:rPr>
          <w:rFonts w:ascii="Times New Roman" w:hAnsi="Times New Roman"/>
          <w:szCs w:val="24"/>
        </w:rPr>
        <w:t>2) and 2.d(3) for information as to what items shall be completed when the application is filed by either an individual or a trust or other legal entity.</w:t>
      </w:r>
    </w:p>
    <w:p w14:paraId="219AB450" w14:textId="77777777" w:rsidR="005276B7" w:rsidRDefault="005276B7" w:rsidP="005276B7">
      <w:pPr>
        <w:pStyle w:val="ListParagraph"/>
        <w:numPr>
          <w:ilvl w:val="0"/>
          <w:numId w:val="6"/>
        </w:numPr>
        <w:rPr>
          <w:rFonts w:ascii="Times New Roman" w:hAnsi="Times New Roman"/>
          <w:szCs w:val="24"/>
        </w:rPr>
      </w:pPr>
      <w:r>
        <w:rPr>
          <w:rFonts w:ascii="Times New Roman" w:hAnsi="Times New Roman"/>
          <w:szCs w:val="24"/>
        </w:rPr>
        <w:t>Item 19 – revised to allow entry of additional responsible person names.</w:t>
      </w:r>
    </w:p>
    <w:p w14:paraId="47042F10" w14:textId="77777777" w:rsidR="005276B7" w:rsidRDefault="005276B7" w:rsidP="005276B7">
      <w:pPr>
        <w:pStyle w:val="ListParagraph"/>
        <w:numPr>
          <w:ilvl w:val="0"/>
          <w:numId w:val="6"/>
        </w:numPr>
        <w:rPr>
          <w:rFonts w:ascii="Times New Roman" w:hAnsi="Times New Roman"/>
          <w:szCs w:val="24"/>
        </w:rPr>
      </w:pPr>
      <w:r>
        <w:rPr>
          <w:rFonts w:ascii="Times New Roman" w:hAnsi="Times New Roman"/>
          <w:szCs w:val="24"/>
        </w:rPr>
        <w:t xml:space="preserve">Item 20 – financial information will only be completed on the ATF copy of the form.  The field is obscured on the ATF Copy 2 (Registrant) and CLEO copy.  See instruction </w:t>
      </w:r>
      <w:proofErr w:type="gramStart"/>
      <w:r>
        <w:rPr>
          <w:rFonts w:ascii="Times New Roman" w:hAnsi="Times New Roman"/>
          <w:szCs w:val="24"/>
        </w:rPr>
        <w:t>2.d(</w:t>
      </w:r>
      <w:proofErr w:type="gramEnd"/>
      <w:r>
        <w:rPr>
          <w:rFonts w:ascii="Times New Roman" w:hAnsi="Times New Roman"/>
          <w:szCs w:val="24"/>
        </w:rPr>
        <w:t>6).</w:t>
      </w:r>
    </w:p>
    <w:p w14:paraId="068E5607" w14:textId="77777777" w:rsidR="005276B7" w:rsidRDefault="005276B7" w:rsidP="005276B7">
      <w:pPr>
        <w:pStyle w:val="ListParagraph"/>
        <w:numPr>
          <w:ilvl w:val="0"/>
          <w:numId w:val="6"/>
        </w:numPr>
        <w:rPr>
          <w:rFonts w:ascii="Times New Roman" w:hAnsi="Times New Roman"/>
          <w:szCs w:val="24"/>
        </w:rPr>
      </w:pPr>
      <w:r>
        <w:rPr>
          <w:rFonts w:ascii="Times New Roman" w:hAnsi="Times New Roman"/>
          <w:szCs w:val="24"/>
        </w:rPr>
        <w:t>Instruction 2.a – revised to clarify what is a completed form and provide instructions as to the dissemination of the form.</w:t>
      </w:r>
    </w:p>
    <w:p w14:paraId="1D86FC86" w14:textId="77777777" w:rsidR="005276B7" w:rsidRPr="00EF6199" w:rsidRDefault="005276B7" w:rsidP="005276B7">
      <w:pPr>
        <w:pStyle w:val="ListParagraph"/>
        <w:numPr>
          <w:ilvl w:val="0"/>
          <w:numId w:val="6"/>
        </w:numPr>
        <w:rPr>
          <w:rFonts w:ascii="Times New Roman" w:hAnsi="Times New Roman"/>
          <w:szCs w:val="24"/>
        </w:rPr>
      </w:pPr>
      <w:r>
        <w:rPr>
          <w:rFonts w:ascii="Times New Roman" w:hAnsi="Times New Roman"/>
          <w:szCs w:val="24"/>
        </w:rPr>
        <w:t>Instruction 2.l - revised to clarify what is a completed form and provide instructions as to the dissemination of the form.</w:t>
      </w:r>
    </w:p>
    <w:p w14:paraId="1051384C" w14:textId="77777777" w:rsidR="005276B7" w:rsidRPr="00A44FE4" w:rsidRDefault="005276B7" w:rsidP="005A7513">
      <w:pPr>
        <w:ind w:left="540"/>
        <w:rPr>
          <w:rFonts w:ascii="Times New Roman" w:hAnsi="Times New Roman"/>
          <w:szCs w:val="24"/>
        </w:rPr>
      </w:pPr>
    </w:p>
    <w:p w14:paraId="7BFCBD43" w14:textId="77777777" w:rsidR="00090555" w:rsidRPr="00E3567A" w:rsidRDefault="00090555">
      <w:pPr>
        <w:rPr>
          <w:rFonts w:ascii="Times New Roman" w:hAnsi="Times New Roman"/>
          <w:szCs w:val="24"/>
        </w:rPr>
      </w:pPr>
    </w:p>
    <w:p w14:paraId="29F59F63" w14:textId="77777777" w:rsidR="00090555" w:rsidRPr="00E3567A" w:rsidRDefault="00090555">
      <w:pPr>
        <w:numPr>
          <w:ilvl w:val="0"/>
          <w:numId w:val="2"/>
        </w:numPr>
        <w:rPr>
          <w:rFonts w:ascii="Times New Roman" w:hAnsi="Times New Roman"/>
          <w:szCs w:val="24"/>
        </w:rPr>
      </w:pPr>
      <w:r w:rsidRPr="00E3567A">
        <w:rPr>
          <w:rFonts w:ascii="Times New Roman" w:hAnsi="Times New Roman"/>
          <w:szCs w:val="24"/>
        </w:rPr>
        <w:t>The results of this collection will not be published.</w:t>
      </w:r>
    </w:p>
    <w:p w14:paraId="4EF0701B" w14:textId="77777777" w:rsidR="00090555" w:rsidRPr="00E3567A" w:rsidRDefault="00090555">
      <w:pPr>
        <w:rPr>
          <w:rFonts w:ascii="Times New Roman" w:hAnsi="Times New Roman"/>
          <w:szCs w:val="24"/>
        </w:rPr>
      </w:pPr>
    </w:p>
    <w:p w14:paraId="79099F29" w14:textId="77777777" w:rsidR="00090555" w:rsidRPr="00E3567A" w:rsidRDefault="00090555">
      <w:pPr>
        <w:numPr>
          <w:ilvl w:val="0"/>
          <w:numId w:val="2"/>
        </w:numPr>
        <w:rPr>
          <w:rFonts w:ascii="Times New Roman" w:hAnsi="Times New Roman"/>
          <w:szCs w:val="24"/>
        </w:rPr>
      </w:pPr>
      <w:r w:rsidRPr="00E3567A">
        <w:rPr>
          <w:rFonts w:ascii="Times New Roman" w:hAnsi="Times New Roman"/>
          <w:szCs w:val="24"/>
        </w:rPr>
        <w:t>ATF does not request approval to not display the expiration date of the OMB approval for this collection.</w:t>
      </w:r>
    </w:p>
    <w:p w14:paraId="012BE28E" w14:textId="77777777" w:rsidR="00090555" w:rsidRPr="00E3567A" w:rsidRDefault="00090555">
      <w:pPr>
        <w:rPr>
          <w:rFonts w:ascii="Times New Roman" w:hAnsi="Times New Roman"/>
          <w:szCs w:val="24"/>
        </w:rPr>
      </w:pPr>
    </w:p>
    <w:p w14:paraId="0B9F2267" w14:textId="77777777" w:rsidR="00090555" w:rsidRPr="00E3567A" w:rsidRDefault="00090555">
      <w:pPr>
        <w:numPr>
          <w:ilvl w:val="0"/>
          <w:numId w:val="2"/>
        </w:numPr>
        <w:rPr>
          <w:rFonts w:ascii="Times New Roman" w:hAnsi="Times New Roman"/>
          <w:szCs w:val="24"/>
        </w:rPr>
      </w:pPr>
      <w:r w:rsidRPr="00E3567A">
        <w:rPr>
          <w:rFonts w:ascii="Times New Roman" w:hAnsi="Times New Roman"/>
          <w:szCs w:val="24"/>
        </w:rPr>
        <w:t>There are no exceptions to the certification statement.</w:t>
      </w:r>
    </w:p>
    <w:p w14:paraId="72F78176" w14:textId="77777777" w:rsidR="00090555" w:rsidRPr="00E3567A" w:rsidRDefault="00090555">
      <w:pPr>
        <w:rPr>
          <w:rFonts w:ascii="Times New Roman" w:hAnsi="Times New Roman"/>
          <w:szCs w:val="24"/>
        </w:rPr>
      </w:pPr>
    </w:p>
    <w:p w14:paraId="1C2E927A" w14:textId="77777777" w:rsidR="00090555" w:rsidRPr="00E3567A" w:rsidRDefault="00090555">
      <w:pPr>
        <w:numPr>
          <w:ilvl w:val="0"/>
          <w:numId w:val="1"/>
        </w:numPr>
        <w:rPr>
          <w:rFonts w:ascii="Times New Roman" w:hAnsi="Times New Roman"/>
          <w:szCs w:val="24"/>
        </w:rPr>
      </w:pPr>
      <w:r w:rsidRPr="00E3567A">
        <w:rPr>
          <w:rFonts w:ascii="Times New Roman" w:hAnsi="Times New Roman"/>
          <w:szCs w:val="24"/>
        </w:rPr>
        <w:t>Collections of Information Employing Statistical Methods</w:t>
      </w:r>
      <w:r w:rsidR="00A678BD">
        <w:rPr>
          <w:rFonts w:ascii="Times New Roman" w:hAnsi="Times New Roman"/>
          <w:szCs w:val="24"/>
        </w:rPr>
        <w:t>.</w:t>
      </w:r>
      <w:r w:rsidRPr="00E3567A">
        <w:rPr>
          <w:rFonts w:ascii="Times New Roman" w:hAnsi="Times New Roman"/>
          <w:szCs w:val="24"/>
        </w:rPr>
        <w:t xml:space="preserve"> </w:t>
      </w:r>
    </w:p>
    <w:p w14:paraId="41B62544" w14:textId="77777777" w:rsidR="00090555" w:rsidRPr="00E3567A" w:rsidRDefault="00090555">
      <w:pPr>
        <w:rPr>
          <w:rFonts w:ascii="Times New Roman" w:hAnsi="Times New Roman"/>
          <w:szCs w:val="24"/>
        </w:rPr>
      </w:pPr>
    </w:p>
    <w:p w14:paraId="03C07E78" w14:textId="77777777" w:rsidR="00090555" w:rsidRPr="00E3567A" w:rsidRDefault="00A678BD">
      <w:pPr>
        <w:rPr>
          <w:rFonts w:ascii="Times New Roman" w:hAnsi="Times New Roman"/>
          <w:szCs w:val="24"/>
        </w:rPr>
      </w:pPr>
      <w:r>
        <w:rPr>
          <w:rFonts w:ascii="Times New Roman" w:hAnsi="Times New Roman"/>
          <w:szCs w:val="24"/>
        </w:rPr>
        <w:t xml:space="preserve">          </w:t>
      </w:r>
      <w:r w:rsidR="00090555" w:rsidRPr="00E3567A">
        <w:rPr>
          <w:rFonts w:ascii="Times New Roman" w:hAnsi="Times New Roman"/>
          <w:szCs w:val="24"/>
        </w:rPr>
        <w:t>None</w:t>
      </w:r>
    </w:p>
    <w:sectPr w:rsidR="00090555" w:rsidRPr="00E3567A" w:rsidSect="00B13C02">
      <w:headerReference w:type="even" r:id="rId10"/>
      <w:head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61BD0" w14:textId="77777777" w:rsidR="00E53269" w:rsidRDefault="00E53269">
      <w:r>
        <w:separator/>
      </w:r>
    </w:p>
  </w:endnote>
  <w:endnote w:type="continuationSeparator" w:id="0">
    <w:p w14:paraId="68CADEA0" w14:textId="77777777" w:rsidR="00E53269" w:rsidRDefault="00E5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A10A5" w14:textId="77777777" w:rsidR="00E53269" w:rsidRDefault="00E53269">
      <w:r>
        <w:separator/>
      </w:r>
    </w:p>
  </w:footnote>
  <w:footnote w:type="continuationSeparator" w:id="0">
    <w:p w14:paraId="3E9B21A9" w14:textId="77777777" w:rsidR="00E53269" w:rsidRDefault="00E53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F7E03" w14:textId="77777777" w:rsidR="00697A0E" w:rsidRDefault="0016505F">
    <w:pPr>
      <w:pStyle w:val="Header"/>
      <w:framePr w:wrap="around" w:vAnchor="text" w:hAnchor="margin" w:xAlign="center" w:y="1"/>
      <w:rPr>
        <w:rStyle w:val="PageNumber"/>
      </w:rPr>
    </w:pPr>
    <w:r>
      <w:rPr>
        <w:rStyle w:val="PageNumber"/>
      </w:rPr>
      <w:fldChar w:fldCharType="begin"/>
    </w:r>
    <w:r w:rsidR="00697A0E">
      <w:rPr>
        <w:rStyle w:val="PageNumber"/>
      </w:rPr>
      <w:instrText xml:space="preserve">PAGE  </w:instrText>
    </w:r>
    <w:r>
      <w:rPr>
        <w:rStyle w:val="PageNumber"/>
      </w:rPr>
      <w:fldChar w:fldCharType="separate"/>
    </w:r>
    <w:r w:rsidR="00697A0E">
      <w:rPr>
        <w:rStyle w:val="PageNumber"/>
        <w:noProof/>
      </w:rPr>
      <w:t>1</w:t>
    </w:r>
    <w:r>
      <w:rPr>
        <w:rStyle w:val="PageNumber"/>
      </w:rPr>
      <w:fldChar w:fldCharType="end"/>
    </w:r>
  </w:p>
  <w:p w14:paraId="1D621AE0" w14:textId="77777777" w:rsidR="00697A0E" w:rsidRDefault="00697A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BD806" w14:textId="77777777" w:rsidR="00697A0E" w:rsidRPr="00B13C02" w:rsidRDefault="0016505F" w:rsidP="00B13C02">
    <w:pPr>
      <w:pStyle w:val="Header"/>
      <w:framePr w:wrap="around" w:vAnchor="text" w:hAnchor="page" w:x="6087" w:y="-3"/>
      <w:rPr>
        <w:rStyle w:val="PageNumber"/>
        <w:rFonts w:ascii="Times New Roman" w:hAnsi="Times New Roman"/>
      </w:rPr>
    </w:pPr>
    <w:r w:rsidRPr="00B13C02">
      <w:rPr>
        <w:rStyle w:val="PageNumber"/>
        <w:rFonts w:ascii="Times New Roman" w:hAnsi="Times New Roman"/>
      </w:rPr>
      <w:fldChar w:fldCharType="begin"/>
    </w:r>
    <w:r w:rsidR="00697A0E" w:rsidRPr="00B13C02">
      <w:rPr>
        <w:rStyle w:val="PageNumber"/>
        <w:rFonts w:ascii="Times New Roman" w:hAnsi="Times New Roman"/>
      </w:rPr>
      <w:instrText xml:space="preserve">PAGE  </w:instrText>
    </w:r>
    <w:r w:rsidRPr="00B13C02">
      <w:rPr>
        <w:rStyle w:val="PageNumber"/>
        <w:rFonts w:ascii="Times New Roman" w:hAnsi="Times New Roman"/>
      </w:rPr>
      <w:fldChar w:fldCharType="separate"/>
    </w:r>
    <w:r w:rsidR="003E5E45">
      <w:rPr>
        <w:rStyle w:val="PageNumber"/>
        <w:rFonts w:ascii="Times New Roman" w:hAnsi="Times New Roman"/>
        <w:noProof/>
      </w:rPr>
      <w:t>6</w:t>
    </w:r>
    <w:r w:rsidRPr="00B13C02">
      <w:rPr>
        <w:rStyle w:val="PageNumber"/>
        <w:rFonts w:ascii="Times New Roman" w:hAnsi="Times New Roman"/>
      </w:rPr>
      <w:fldChar w:fldCharType="end"/>
    </w:r>
  </w:p>
  <w:p w14:paraId="15EB29A3" w14:textId="77777777" w:rsidR="00697A0E" w:rsidRDefault="00697A0E">
    <w:pPr>
      <w:pStyle w:val="Header"/>
    </w:pPr>
  </w:p>
  <w:p w14:paraId="79A90251" w14:textId="77777777" w:rsidR="00697A0E" w:rsidRDefault="00697A0E">
    <w:pPr>
      <w:pStyle w:val="Header"/>
    </w:pPr>
  </w:p>
  <w:p w14:paraId="63CACECA" w14:textId="77777777" w:rsidR="00697A0E" w:rsidRPr="00B13C02" w:rsidRDefault="00697A0E">
    <w:pPr>
      <w:pStyle w:val="Header"/>
      <w:rPr>
        <w:rFonts w:ascii="Times New Roman" w:hAnsi="Times New Roman"/>
      </w:rPr>
    </w:pPr>
    <w:r w:rsidRPr="00B13C02">
      <w:rPr>
        <w:rFonts w:ascii="Times New Roman" w:hAnsi="Times New Roman"/>
      </w:rPr>
      <w:t>ATF Form 4 (5320.4)</w:t>
    </w:r>
  </w:p>
  <w:p w14:paraId="766C14D7" w14:textId="77777777" w:rsidR="00697A0E" w:rsidRPr="00B13C02" w:rsidRDefault="00697A0E">
    <w:pPr>
      <w:pStyle w:val="Header"/>
      <w:rPr>
        <w:rFonts w:ascii="Times New Roman" w:hAnsi="Times New Roman"/>
      </w:rPr>
    </w:pPr>
    <w:r w:rsidRPr="00B13C02">
      <w:rPr>
        <w:rFonts w:ascii="Times New Roman" w:hAnsi="Times New Roman"/>
      </w:rPr>
      <w:t>1140-0014</w:t>
    </w:r>
  </w:p>
  <w:p w14:paraId="2B6866CE" w14:textId="77777777" w:rsidR="00697A0E" w:rsidRDefault="00697A0E">
    <w:pPr>
      <w:pStyle w:val="Header"/>
    </w:pPr>
  </w:p>
  <w:p w14:paraId="5F3CB97C" w14:textId="77777777" w:rsidR="00697A0E" w:rsidRDefault="00697A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2067B"/>
    <w:multiLevelType w:val="hybridMultilevel"/>
    <w:tmpl w:val="B8FC0E0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199342D8"/>
    <w:multiLevelType w:val="singleLevel"/>
    <w:tmpl w:val="22C073F0"/>
    <w:lvl w:ilvl="0">
      <w:start w:val="1"/>
      <w:numFmt w:val="upperLetter"/>
      <w:lvlText w:val="%1."/>
      <w:lvlJc w:val="left"/>
      <w:pPr>
        <w:tabs>
          <w:tab w:val="num" w:pos="585"/>
        </w:tabs>
        <w:ind w:left="585" w:hanging="585"/>
      </w:pPr>
      <w:rPr>
        <w:rFonts w:hint="default"/>
      </w:rPr>
    </w:lvl>
  </w:abstractNum>
  <w:abstractNum w:abstractNumId="2" w15:restartNumberingAfterBreak="0">
    <w:nsid w:val="2FFD4830"/>
    <w:multiLevelType w:val="singleLevel"/>
    <w:tmpl w:val="4E84929C"/>
    <w:lvl w:ilvl="0">
      <w:start w:val="1"/>
      <w:numFmt w:val="decimal"/>
      <w:lvlText w:val="%1."/>
      <w:lvlJc w:val="left"/>
      <w:pPr>
        <w:tabs>
          <w:tab w:val="num" w:pos="1125"/>
        </w:tabs>
        <w:ind w:left="1125" w:hanging="585"/>
      </w:pPr>
      <w:rPr>
        <w:rFonts w:hint="default"/>
      </w:rPr>
    </w:lvl>
  </w:abstractNum>
  <w:abstractNum w:abstractNumId="3" w15:restartNumberingAfterBreak="0">
    <w:nsid w:val="33E212C3"/>
    <w:multiLevelType w:val="hybridMultilevel"/>
    <w:tmpl w:val="2FD8CB36"/>
    <w:lvl w:ilvl="0" w:tplc="663A3D18">
      <w:numFmt w:val="bullet"/>
      <w:lvlText w:val=""/>
      <w:lvlJc w:val="left"/>
      <w:pPr>
        <w:ind w:left="1530" w:hanging="360"/>
      </w:pPr>
      <w:rPr>
        <w:rFonts w:ascii="Symbol" w:eastAsia="Times New Roman" w:hAnsi="Symbol"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7AF97DAB"/>
    <w:multiLevelType w:val="hybridMultilevel"/>
    <w:tmpl w:val="8D6269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334DC5"/>
    <w:multiLevelType w:val="singleLevel"/>
    <w:tmpl w:val="9E00F97A"/>
    <w:lvl w:ilvl="0">
      <w:start w:val="1"/>
      <w:numFmt w:val="lowerLetter"/>
      <w:lvlText w:val="%1."/>
      <w:lvlJc w:val="left"/>
      <w:pPr>
        <w:tabs>
          <w:tab w:val="num" w:pos="1755"/>
        </w:tabs>
        <w:ind w:left="1755" w:hanging="585"/>
      </w:pPr>
      <w:rPr>
        <w:rFont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92"/>
    <w:rsid w:val="00010C4C"/>
    <w:rsid w:val="000113F0"/>
    <w:rsid w:val="000147CC"/>
    <w:rsid w:val="000446AB"/>
    <w:rsid w:val="00046708"/>
    <w:rsid w:val="00047DB3"/>
    <w:rsid w:val="00072BFF"/>
    <w:rsid w:val="00090555"/>
    <w:rsid w:val="00095AC6"/>
    <w:rsid w:val="000A00CC"/>
    <w:rsid w:val="000A5FA8"/>
    <w:rsid w:val="000C3259"/>
    <w:rsid w:val="000D4A8A"/>
    <w:rsid w:val="001120FA"/>
    <w:rsid w:val="00115D40"/>
    <w:rsid w:val="00134AA3"/>
    <w:rsid w:val="00136D29"/>
    <w:rsid w:val="00145092"/>
    <w:rsid w:val="001505B6"/>
    <w:rsid w:val="00156B8B"/>
    <w:rsid w:val="0016065C"/>
    <w:rsid w:val="0016505F"/>
    <w:rsid w:val="00180B64"/>
    <w:rsid w:val="0018716C"/>
    <w:rsid w:val="001D446F"/>
    <w:rsid w:val="001F7559"/>
    <w:rsid w:val="00217DCF"/>
    <w:rsid w:val="002445C8"/>
    <w:rsid w:val="002579B2"/>
    <w:rsid w:val="002704B7"/>
    <w:rsid w:val="00270541"/>
    <w:rsid w:val="00273929"/>
    <w:rsid w:val="00292DD9"/>
    <w:rsid w:val="00294EB1"/>
    <w:rsid w:val="002D39E7"/>
    <w:rsid w:val="002D712C"/>
    <w:rsid w:val="002E7C80"/>
    <w:rsid w:val="002F6176"/>
    <w:rsid w:val="003217C1"/>
    <w:rsid w:val="00327DC9"/>
    <w:rsid w:val="003317AF"/>
    <w:rsid w:val="00346355"/>
    <w:rsid w:val="00381037"/>
    <w:rsid w:val="003A03DA"/>
    <w:rsid w:val="003C2F10"/>
    <w:rsid w:val="003D12DE"/>
    <w:rsid w:val="003E5E45"/>
    <w:rsid w:val="0040522D"/>
    <w:rsid w:val="00414E7A"/>
    <w:rsid w:val="00425F7D"/>
    <w:rsid w:val="00455070"/>
    <w:rsid w:val="0046301E"/>
    <w:rsid w:val="004A5D80"/>
    <w:rsid w:val="004F3942"/>
    <w:rsid w:val="00514B15"/>
    <w:rsid w:val="005276B7"/>
    <w:rsid w:val="00530921"/>
    <w:rsid w:val="0053445D"/>
    <w:rsid w:val="00535128"/>
    <w:rsid w:val="005363B8"/>
    <w:rsid w:val="00552C6C"/>
    <w:rsid w:val="005539ED"/>
    <w:rsid w:val="00587BEF"/>
    <w:rsid w:val="005A7513"/>
    <w:rsid w:val="005B59B6"/>
    <w:rsid w:val="005B79B3"/>
    <w:rsid w:val="005D6D4F"/>
    <w:rsid w:val="005F0B40"/>
    <w:rsid w:val="0060203E"/>
    <w:rsid w:val="0062260D"/>
    <w:rsid w:val="00631986"/>
    <w:rsid w:val="0063417B"/>
    <w:rsid w:val="006560F0"/>
    <w:rsid w:val="00674E15"/>
    <w:rsid w:val="00692A75"/>
    <w:rsid w:val="00697A0E"/>
    <w:rsid w:val="006B6C47"/>
    <w:rsid w:val="006C50D5"/>
    <w:rsid w:val="006D5058"/>
    <w:rsid w:val="006E452A"/>
    <w:rsid w:val="006E60E8"/>
    <w:rsid w:val="006F1884"/>
    <w:rsid w:val="0070160F"/>
    <w:rsid w:val="00726360"/>
    <w:rsid w:val="00743961"/>
    <w:rsid w:val="007462B7"/>
    <w:rsid w:val="00755818"/>
    <w:rsid w:val="007719ED"/>
    <w:rsid w:val="00775D37"/>
    <w:rsid w:val="00777A00"/>
    <w:rsid w:val="007F395B"/>
    <w:rsid w:val="00814069"/>
    <w:rsid w:val="00821E7B"/>
    <w:rsid w:val="008331CA"/>
    <w:rsid w:val="008500EE"/>
    <w:rsid w:val="0085475E"/>
    <w:rsid w:val="008669D0"/>
    <w:rsid w:val="00884C1E"/>
    <w:rsid w:val="008859E3"/>
    <w:rsid w:val="008B10B6"/>
    <w:rsid w:val="008C7B45"/>
    <w:rsid w:val="008D62A5"/>
    <w:rsid w:val="008F43C5"/>
    <w:rsid w:val="0090501F"/>
    <w:rsid w:val="009250BA"/>
    <w:rsid w:val="00931882"/>
    <w:rsid w:val="00955894"/>
    <w:rsid w:val="00967DFD"/>
    <w:rsid w:val="00971BEE"/>
    <w:rsid w:val="00982C5F"/>
    <w:rsid w:val="00983FF9"/>
    <w:rsid w:val="009A7425"/>
    <w:rsid w:val="009D4559"/>
    <w:rsid w:val="00A31893"/>
    <w:rsid w:val="00A44FE4"/>
    <w:rsid w:val="00A63E33"/>
    <w:rsid w:val="00A678BD"/>
    <w:rsid w:val="00AA43F6"/>
    <w:rsid w:val="00AA7D8A"/>
    <w:rsid w:val="00AC2EA5"/>
    <w:rsid w:val="00B04442"/>
    <w:rsid w:val="00B13C02"/>
    <w:rsid w:val="00B224CE"/>
    <w:rsid w:val="00B371FB"/>
    <w:rsid w:val="00B45C3F"/>
    <w:rsid w:val="00B67810"/>
    <w:rsid w:val="00BA3781"/>
    <w:rsid w:val="00BA65AD"/>
    <w:rsid w:val="00BC755A"/>
    <w:rsid w:val="00BC7678"/>
    <w:rsid w:val="00BE2F19"/>
    <w:rsid w:val="00BE48E9"/>
    <w:rsid w:val="00C06F33"/>
    <w:rsid w:val="00C22A89"/>
    <w:rsid w:val="00C42F5D"/>
    <w:rsid w:val="00C4641C"/>
    <w:rsid w:val="00C630E5"/>
    <w:rsid w:val="00C91621"/>
    <w:rsid w:val="00C944B0"/>
    <w:rsid w:val="00C96331"/>
    <w:rsid w:val="00CB25D3"/>
    <w:rsid w:val="00D11899"/>
    <w:rsid w:val="00D331B4"/>
    <w:rsid w:val="00D434AC"/>
    <w:rsid w:val="00D451F4"/>
    <w:rsid w:val="00D63514"/>
    <w:rsid w:val="00D92755"/>
    <w:rsid w:val="00DB784A"/>
    <w:rsid w:val="00DD4D47"/>
    <w:rsid w:val="00DE2ADF"/>
    <w:rsid w:val="00DF7FE4"/>
    <w:rsid w:val="00E00DBE"/>
    <w:rsid w:val="00E14E2E"/>
    <w:rsid w:val="00E166FF"/>
    <w:rsid w:val="00E34D1F"/>
    <w:rsid w:val="00E3567A"/>
    <w:rsid w:val="00E53269"/>
    <w:rsid w:val="00E60B4A"/>
    <w:rsid w:val="00E768D5"/>
    <w:rsid w:val="00ED534F"/>
    <w:rsid w:val="00EE0953"/>
    <w:rsid w:val="00EE1077"/>
    <w:rsid w:val="00EE421F"/>
    <w:rsid w:val="00EF3850"/>
    <w:rsid w:val="00EF6199"/>
    <w:rsid w:val="00F00E2E"/>
    <w:rsid w:val="00F02AEA"/>
    <w:rsid w:val="00F03998"/>
    <w:rsid w:val="00F05D75"/>
    <w:rsid w:val="00F24741"/>
    <w:rsid w:val="00F25216"/>
    <w:rsid w:val="00F4602B"/>
    <w:rsid w:val="00F47F01"/>
    <w:rsid w:val="00F90AB7"/>
    <w:rsid w:val="00FF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6E0BFF"/>
  <w15:docId w15:val="{2E817316-E415-482E-8D10-17B6717A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E7B"/>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1E7B"/>
    <w:pPr>
      <w:tabs>
        <w:tab w:val="center" w:pos="4320"/>
        <w:tab w:val="right" w:pos="8640"/>
      </w:tabs>
    </w:pPr>
  </w:style>
  <w:style w:type="character" w:styleId="PageNumber">
    <w:name w:val="page number"/>
    <w:basedOn w:val="DefaultParagraphFont"/>
    <w:rsid w:val="00821E7B"/>
  </w:style>
  <w:style w:type="paragraph" w:styleId="Footer">
    <w:name w:val="footer"/>
    <w:basedOn w:val="Normal"/>
    <w:rsid w:val="00821E7B"/>
    <w:pPr>
      <w:tabs>
        <w:tab w:val="center" w:pos="4320"/>
        <w:tab w:val="right" w:pos="8640"/>
      </w:tabs>
    </w:pPr>
  </w:style>
  <w:style w:type="paragraph" w:styleId="ListParagraph">
    <w:name w:val="List Paragraph"/>
    <w:basedOn w:val="Normal"/>
    <w:link w:val="ListParagraphChar"/>
    <w:uiPriority w:val="34"/>
    <w:qFormat/>
    <w:rsid w:val="00C4641C"/>
    <w:pPr>
      <w:ind w:left="720"/>
      <w:contextualSpacing/>
    </w:pPr>
  </w:style>
  <w:style w:type="character" w:styleId="CommentReference">
    <w:name w:val="annotation reference"/>
    <w:basedOn w:val="DefaultParagraphFont"/>
    <w:rsid w:val="00971BEE"/>
    <w:rPr>
      <w:sz w:val="16"/>
      <w:szCs w:val="16"/>
    </w:rPr>
  </w:style>
  <w:style w:type="paragraph" w:styleId="CommentText">
    <w:name w:val="annotation text"/>
    <w:basedOn w:val="Normal"/>
    <w:link w:val="CommentTextChar"/>
    <w:rsid w:val="00971BEE"/>
    <w:rPr>
      <w:sz w:val="20"/>
    </w:rPr>
  </w:style>
  <w:style w:type="character" w:customStyle="1" w:styleId="CommentTextChar">
    <w:name w:val="Comment Text Char"/>
    <w:basedOn w:val="DefaultParagraphFont"/>
    <w:link w:val="CommentText"/>
    <w:rsid w:val="00971BEE"/>
    <w:rPr>
      <w:rFonts w:ascii="Courier New" w:hAnsi="Courier New"/>
    </w:rPr>
  </w:style>
  <w:style w:type="paragraph" w:styleId="CommentSubject">
    <w:name w:val="annotation subject"/>
    <w:basedOn w:val="CommentText"/>
    <w:next w:val="CommentText"/>
    <w:link w:val="CommentSubjectChar"/>
    <w:rsid w:val="00971BEE"/>
    <w:rPr>
      <w:b/>
      <w:bCs/>
    </w:rPr>
  </w:style>
  <w:style w:type="character" w:customStyle="1" w:styleId="CommentSubjectChar">
    <w:name w:val="Comment Subject Char"/>
    <w:basedOn w:val="CommentTextChar"/>
    <w:link w:val="CommentSubject"/>
    <w:rsid w:val="00971BEE"/>
    <w:rPr>
      <w:rFonts w:ascii="Courier New" w:hAnsi="Courier New"/>
      <w:b/>
      <w:bCs/>
    </w:rPr>
  </w:style>
  <w:style w:type="paragraph" w:styleId="BalloonText">
    <w:name w:val="Balloon Text"/>
    <w:basedOn w:val="Normal"/>
    <w:link w:val="BalloonTextChar"/>
    <w:rsid w:val="00971BEE"/>
    <w:rPr>
      <w:rFonts w:ascii="Tahoma" w:hAnsi="Tahoma" w:cs="Tahoma"/>
      <w:sz w:val="16"/>
      <w:szCs w:val="16"/>
    </w:rPr>
  </w:style>
  <w:style w:type="character" w:customStyle="1" w:styleId="BalloonTextChar">
    <w:name w:val="Balloon Text Char"/>
    <w:basedOn w:val="DefaultParagraphFont"/>
    <w:link w:val="BalloonText"/>
    <w:rsid w:val="00971BEE"/>
    <w:rPr>
      <w:rFonts w:ascii="Tahoma" w:hAnsi="Tahoma" w:cs="Tahoma"/>
      <w:sz w:val="16"/>
      <w:szCs w:val="16"/>
    </w:rPr>
  </w:style>
  <w:style w:type="character" w:customStyle="1" w:styleId="ListParagraphChar">
    <w:name w:val="List Paragraph Char"/>
    <w:basedOn w:val="DefaultParagraphFont"/>
    <w:link w:val="ListParagraph"/>
    <w:uiPriority w:val="34"/>
    <w:rsid w:val="00F24741"/>
    <w:rPr>
      <w:rFonts w:ascii="Courier New" w:hAnsi="Courier New"/>
      <w:sz w:val="24"/>
    </w:rPr>
  </w:style>
  <w:style w:type="character" w:styleId="Hyperlink">
    <w:name w:val="Hyperlink"/>
    <w:basedOn w:val="DefaultParagraphFont"/>
    <w:unhideWhenUsed/>
    <w:rsid w:val="006B6C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f.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tfonl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16FEF-1472-4873-BF44-E126AD854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Bur of ATF</Company>
  <LinksUpToDate>false</LinksUpToDate>
  <CharactersWithSpaces>13754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Preferred Customer</dc:creator>
  <cp:keywords/>
  <cp:lastModifiedBy>Schaible, Gary N.</cp:lastModifiedBy>
  <cp:revision>3</cp:revision>
  <cp:lastPrinted>2013-08-22T22:00:00Z</cp:lastPrinted>
  <dcterms:created xsi:type="dcterms:W3CDTF">2016-06-16T17:05:00Z</dcterms:created>
  <dcterms:modified xsi:type="dcterms:W3CDTF">2016-06-16T17:05:00Z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-229443842</vt:i4>
  </property>
  <property fmtid="{D5CDD505-2E9C-101B-9397-08002B2CF9AE}" pid="4" name="_EmailSubject">
    <vt:lpwstr>Request: Timeline for OMB Approval of Forms 1140-0011 (ATF Form 1),1140-0014 (ATF Form 4),1140-0015 ATF Form 5), and ATF Form 5320.23</vt:lpwstr>
  </property>
  <property fmtid="{D5CDD505-2E9C-101B-9397-08002B2CF9AE}" pid="5" name="_AuthorEmail">
    <vt:lpwstr>Gary.Schaible@atf.gov</vt:lpwstr>
  </property>
  <property fmtid="{D5CDD505-2E9C-101B-9397-08002B2CF9AE}" pid="6" name="_AuthorEmailDisplayName">
    <vt:lpwstr>Schaible, Gary N.</vt:lpwstr>
  </property>
</Properties>
</file>