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796" w:rsidRDefault="003D6796" w:rsidP="006E528A">
      <w:pPr>
        <w:jc w:val="center"/>
        <w:rPr>
          <w:b/>
          <w:bCs/>
        </w:rPr>
      </w:pPr>
      <w:bookmarkStart w:id="0" w:name="_GoBack"/>
      <w:bookmarkEnd w:id="0"/>
      <w:r>
        <w:rPr>
          <w:b/>
          <w:bCs/>
        </w:rPr>
        <w:t>SUPPORTING STATEMENT</w:t>
      </w:r>
    </w:p>
    <w:p w:rsidR="006E528A" w:rsidRDefault="0040416F" w:rsidP="003D6796">
      <w:pPr>
        <w:jc w:val="center"/>
        <w:rPr>
          <w:b/>
        </w:rPr>
      </w:pPr>
      <w:r w:rsidRPr="0040416F">
        <w:rPr>
          <w:b/>
        </w:rPr>
        <w:t>Migrant and Seasonal Farmworker Monitoring Report and Complaint/Apparent Violation Form</w:t>
      </w:r>
      <w:r w:rsidR="00A9710A">
        <w:rPr>
          <w:b/>
        </w:rPr>
        <w:t xml:space="preserve"> </w:t>
      </w:r>
    </w:p>
    <w:p w:rsidR="003D6796" w:rsidRDefault="006E528A" w:rsidP="003D6796">
      <w:pPr>
        <w:jc w:val="center"/>
        <w:rPr>
          <w:b/>
          <w:bCs/>
        </w:rPr>
      </w:pPr>
      <w:r>
        <w:rPr>
          <w:b/>
          <w:bCs/>
        </w:rPr>
        <w:t>OMB CONTROL No</w:t>
      </w:r>
      <w:r w:rsidR="003D6796">
        <w:rPr>
          <w:b/>
          <w:bCs/>
        </w:rPr>
        <w:t>. 1205-0039</w:t>
      </w:r>
    </w:p>
    <w:p w:rsidR="006E528A" w:rsidRDefault="006E528A" w:rsidP="003D6796">
      <w:pPr>
        <w:jc w:val="center"/>
        <w:rPr>
          <w:b/>
          <w:bCs/>
        </w:rPr>
      </w:pPr>
      <w:r w:rsidRPr="006E528A">
        <w:rPr>
          <w:b/>
          <w:bCs/>
        </w:rPr>
        <w:t>Associated with Rulemaking – RIN: 1205-AB73</w:t>
      </w:r>
    </w:p>
    <w:p w:rsidR="00614095" w:rsidRDefault="00614095">
      <w:pPr>
        <w:rPr>
          <w:b/>
        </w:rPr>
      </w:pPr>
    </w:p>
    <w:p w:rsidR="00F26973" w:rsidRPr="006E528A" w:rsidRDefault="00F26973" w:rsidP="006E528A">
      <w:pPr>
        <w:pStyle w:val="ListParagraph"/>
        <w:numPr>
          <w:ilvl w:val="0"/>
          <w:numId w:val="27"/>
        </w:numPr>
        <w:rPr>
          <w:b/>
          <w:u w:val="single"/>
        </w:rPr>
      </w:pPr>
      <w:r w:rsidRPr="006E528A">
        <w:rPr>
          <w:b/>
          <w:u w:val="single"/>
        </w:rPr>
        <w:t>J</w:t>
      </w:r>
      <w:r w:rsidR="007F7467" w:rsidRPr="006E528A">
        <w:rPr>
          <w:b/>
          <w:u w:val="single"/>
        </w:rPr>
        <w:t>USTIFICATION</w:t>
      </w:r>
    </w:p>
    <w:p w:rsidR="006E528A" w:rsidRDefault="006E528A" w:rsidP="006E528A">
      <w:pPr>
        <w:pStyle w:val="ListParagraph"/>
        <w:rPr>
          <w:u w:val="single"/>
        </w:rPr>
      </w:pPr>
    </w:p>
    <w:p w:rsidR="006E528A" w:rsidRPr="006E528A" w:rsidRDefault="0096069C" w:rsidP="006E528A">
      <w:pPr>
        <w:pStyle w:val="ListParagraph"/>
        <w:ind w:left="0"/>
        <w:rPr>
          <w:u w:val="single"/>
        </w:rPr>
      </w:pPr>
      <w:r w:rsidRPr="0096069C">
        <w:t>This ICR is being submitted in association with the Workforce Innovation and Opportunity Act (WIOA); Final Rule.  This ICR adds the regulatory citations from the Final Rule.</w:t>
      </w:r>
    </w:p>
    <w:p w:rsidR="00F26973" w:rsidRPr="00FE66E8" w:rsidRDefault="00F26973">
      <w:pPr>
        <w:tabs>
          <w:tab w:val="left" w:pos="360"/>
        </w:tabs>
        <w:ind w:left="360"/>
        <w:rPr>
          <w:b/>
          <w:bCs/>
        </w:rPr>
      </w:pPr>
    </w:p>
    <w:p w:rsidR="00856383" w:rsidRDefault="006E528A" w:rsidP="00856383">
      <w:r>
        <w:rPr>
          <w:i/>
        </w:rPr>
        <w:t>1.</w:t>
      </w:r>
      <w:r>
        <w:rPr>
          <w:i/>
        </w:rPr>
        <w:tab/>
      </w:r>
      <w:r w:rsidRPr="006E528A">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D7ACC" w:rsidRPr="00856383" w:rsidRDefault="00FD7ACC">
      <w:pPr>
        <w:rPr>
          <w:b/>
          <w:bCs/>
          <w:iCs/>
        </w:rPr>
      </w:pPr>
    </w:p>
    <w:p w:rsidR="00B33ECF" w:rsidRPr="00FE66E8" w:rsidRDefault="00FD7ACC" w:rsidP="00B33ECF">
      <w:r w:rsidRPr="00FE66E8">
        <w:t>Employment and Training Administration (ETA) regulations at 20 CFR 651, 653, and 658</w:t>
      </w:r>
      <w:r w:rsidR="005F6EFD">
        <w:t>,</w:t>
      </w:r>
      <w:r w:rsidRPr="00FE66E8">
        <w:t xml:space="preserve"> </w:t>
      </w:r>
      <w:r w:rsidR="00C222B5">
        <w:t xml:space="preserve">authorized </w:t>
      </w:r>
      <w:r w:rsidR="005F6EFD">
        <w:t>by</w:t>
      </w:r>
      <w:r w:rsidR="005F6EFD" w:rsidRPr="00FE66E8">
        <w:t xml:space="preserve"> </w:t>
      </w:r>
      <w:r w:rsidRPr="00FE66E8">
        <w:t xml:space="preserve">the Wagner-Peyser Act, set forth requirements to ensure that </w:t>
      </w:r>
      <w:r w:rsidR="005F6EFD">
        <w:t>m</w:t>
      </w:r>
      <w:r w:rsidRPr="00FE66E8">
        <w:t xml:space="preserve">igrant and </w:t>
      </w:r>
      <w:r w:rsidR="005F6EFD">
        <w:t>s</w:t>
      </w:r>
      <w:r w:rsidRPr="00FE66E8">
        <w:t xml:space="preserve">easonal </w:t>
      </w:r>
      <w:r w:rsidR="005F6EFD">
        <w:t>f</w:t>
      </w:r>
      <w:r w:rsidRPr="00FE66E8">
        <w:t xml:space="preserve">armworkers (MSFWs) receive services that are qualitatively equivalent and quantitatively proportionate to the services proved to non-MSFWs.  </w:t>
      </w:r>
      <w:r w:rsidR="005F6EFD">
        <w:t xml:space="preserve">The regulations at </w:t>
      </w:r>
      <w:r w:rsidR="005F6EFD" w:rsidRPr="00FE66E8">
        <w:t>20 CFR 653.</w:t>
      </w:r>
      <w:r w:rsidR="005A455D">
        <w:t>109</w:t>
      </w:r>
      <w:r w:rsidR="005F6EFD">
        <w:t xml:space="preserve"> require </w:t>
      </w:r>
      <w:r w:rsidR="005F6EFD" w:rsidRPr="00FE66E8">
        <w:t xml:space="preserve">State Workforce Agencies (SWAs) </w:t>
      </w:r>
      <w:r w:rsidR="005F6EFD">
        <w:t>to report on a q</w:t>
      </w:r>
      <w:r w:rsidR="00B33ECF" w:rsidRPr="00FE66E8">
        <w:t xml:space="preserve">uarterly </w:t>
      </w:r>
      <w:r w:rsidR="005F6EFD">
        <w:t xml:space="preserve">basis, their compliance with </w:t>
      </w:r>
      <w:r w:rsidR="00943546">
        <w:t xml:space="preserve">the appropriate regulations at </w:t>
      </w:r>
      <w:r w:rsidR="005F6EFD">
        <w:t xml:space="preserve">20 </w:t>
      </w:r>
      <w:r w:rsidR="005F6EFD" w:rsidRPr="00FE66E8">
        <w:t>CFR 653</w:t>
      </w:r>
      <w:r w:rsidR="00C30B7C">
        <w:t xml:space="preserve"> and 658</w:t>
      </w:r>
      <w:r w:rsidR="005F6EFD">
        <w:t>.  Such reporting helps DOL monitor SWA compliance with</w:t>
      </w:r>
      <w:r w:rsidR="00943546">
        <w:t xml:space="preserve"> the regulations</w:t>
      </w:r>
      <w:r w:rsidR="00B33ECF" w:rsidRPr="00FE66E8">
        <w:t xml:space="preserve">.  </w:t>
      </w:r>
      <w:r w:rsidR="00190D27" w:rsidRPr="00FE66E8">
        <w:t>The data collected represents the minimum information necessary to assure SWA compliance with federal regulations.  (See 20 CFR 653.100 through 653.113)</w:t>
      </w:r>
      <w:r w:rsidR="00DB68CE">
        <w:t>.</w:t>
      </w:r>
    </w:p>
    <w:p w:rsidR="00FD7ACC" w:rsidRPr="00FE66E8" w:rsidRDefault="00FD7ACC" w:rsidP="00FD7ACC"/>
    <w:p w:rsidR="00430B79" w:rsidRPr="00FE66E8" w:rsidRDefault="00107155" w:rsidP="009F6999">
      <w:r>
        <w:t xml:space="preserve">The Workforce Innovation and Opportunity Act (WIOA) </w:t>
      </w:r>
      <w:r w:rsidR="0049390C">
        <w:t xml:space="preserve">Title III section 302 uses </w:t>
      </w:r>
      <w:r w:rsidR="004218BB">
        <w:t>the</w:t>
      </w:r>
      <w:r>
        <w:t xml:space="preserve"> term, </w:t>
      </w:r>
      <w:r w:rsidR="0049390C">
        <w:t xml:space="preserve">“employment service” </w:t>
      </w:r>
      <w:r w:rsidR="002F01D1">
        <w:t>i</w:t>
      </w:r>
      <w:r w:rsidR="0049390C">
        <w:t xml:space="preserve">nstead of </w:t>
      </w:r>
      <w:r>
        <w:t>“job service</w:t>
      </w:r>
      <w:r w:rsidR="0049390C">
        <w:t>.</w:t>
      </w:r>
      <w:r>
        <w:t xml:space="preserve">” The updates to the federal regulations </w:t>
      </w:r>
      <w:r w:rsidR="008F293D" w:rsidRPr="00FE66E8">
        <w:t xml:space="preserve">at 20 CFR 658, Subpart E, </w:t>
      </w:r>
      <w:r>
        <w:t xml:space="preserve">would change the name of the Job Service Complaint System to </w:t>
      </w:r>
      <w:r w:rsidR="008F293D" w:rsidRPr="00FE66E8">
        <w:t>the Employment Service</w:t>
      </w:r>
      <w:r w:rsidR="00F7371F">
        <w:t xml:space="preserve"> and Employment-Related Law</w:t>
      </w:r>
      <w:r w:rsidR="008F293D" w:rsidRPr="00FE66E8">
        <w:t xml:space="preserve"> Complaint System</w:t>
      </w:r>
      <w:r w:rsidR="00F7371F">
        <w:t xml:space="preserve"> (Complaint System)</w:t>
      </w:r>
      <w:r w:rsidR="008F293D" w:rsidRPr="00FE66E8">
        <w:t>.</w:t>
      </w:r>
      <w:r w:rsidR="00A53D1C" w:rsidRPr="00FE66E8">
        <w:t xml:space="preserve">  </w:t>
      </w:r>
      <w:r>
        <w:t>Therefore, DOL intends t</w:t>
      </w:r>
      <w:r w:rsidR="00F7371F">
        <w:t xml:space="preserve">o simplify </w:t>
      </w:r>
      <w:r>
        <w:t xml:space="preserve">and update </w:t>
      </w:r>
      <w:r w:rsidR="00F7371F">
        <w:t>t</w:t>
      </w:r>
      <w:r w:rsidR="00A53D1C" w:rsidRPr="00FE66E8">
        <w:t xml:space="preserve">he </w:t>
      </w:r>
      <w:r w:rsidR="00430B79" w:rsidRPr="00FE66E8">
        <w:t xml:space="preserve">name of the </w:t>
      </w:r>
      <w:r>
        <w:t>Job Service Complaint F</w:t>
      </w:r>
      <w:r w:rsidR="00430B79" w:rsidRPr="00FE66E8">
        <w:t>orm</w:t>
      </w:r>
      <w:r w:rsidR="00F7371F">
        <w:t xml:space="preserve">, </w:t>
      </w:r>
      <w:r>
        <w:t>to</w:t>
      </w:r>
      <w:r w:rsidR="00430B79" w:rsidRPr="00FE66E8">
        <w:t xml:space="preserve"> </w:t>
      </w:r>
      <w:r>
        <w:t>“</w:t>
      </w:r>
      <w:r w:rsidR="00A53D1C" w:rsidRPr="00FE66E8">
        <w:t>Complaint</w:t>
      </w:r>
      <w:r w:rsidR="00C30B7C">
        <w:t>/Apparent Violation</w:t>
      </w:r>
      <w:r w:rsidR="00A53D1C" w:rsidRPr="00FE66E8">
        <w:t xml:space="preserve"> </w:t>
      </w:r>
      <w:r w:rsidR="00A16EB1">
        <w:t>Form</w:t>
      </w:r>
      <w:r w:rsidR="00A53D1C" w:rsidRPr="00FE66E8">
        <w:t>.</w:t>
      </w:r>
      <w:r>
        <w:t>”</w:t>
      </w:r>
    </w:p>
    <w:p w:rsidR="002F01D1" w:rsidRDefault="00FD7ACC" w:rsidP="002F01D1">
      <w:pPr>
        <w:spacing w:before="100" w:beforeAutospacing="1" w:after="100" w:afterAutospacing="1"/>
      </w:pPr>
      <w:r w:rsidRPr="00FE66E8">
        <w:t xml:space="preserve">The regulations </w:t>
      </w:r>
      <w:r w:rsidR="001F3AC1" w:rsidRPr="00FE66E8">
        <w:t xml:space="preserve">at 20 CFR 658 </w:t>
      </w:r>
      <w:r w:rsidRPr="00FE66E8">
        <w:t xml:space="preserve">ensure that </w:t>
      </w:r>
      <w:r w:rsidR="00377284" w:rsidRPr="00FE66E8">
        <w:t xml:space="preserve">SWAs handle </w:t>
      </w:r>
      <w:r w:rsidRPr="00FE66E8">
        <w:t xml:space="preserve">complaints </w:t>
      </w:r>
      <w:r w:rsidR="001F3AC1" w:rsidRPr="00FE66E8">
        <w:t>appropriately</w:t>
      </w:r>
      <w:r w:rsidR="00377284" w:rsidRPr="00FE66E8">
        <w:t xml:space="preserve"> and uniformly. </w:t>
      </w:r>
      <w:r w:rsidR="009F6999" w:rsidRPr="00FE66E8">
        <w:t xml:space="preserve"> </w:t>
      </w:r>
      <w:r w:rsidR="00A16EB1">
        <w:t>SWAs are required to use t</w:t>
      </w:r>
      <w:r w:rsidR="009F6999" w:rsidRPr="00FE66E8">
        <w:t xml:space="preserve">he </w:t>
      </w:r>
      <w:r w:rsidR="00A53D1C" w:rsidRPr="00FE66E8">
        <w:t>Complaint</w:t>
      </w:r>
      <w:r w:rsidR="00A16EB1">
        <w:t xml:space="preserve"> Form</w:t>
      </w:r>
      <w:r w:rsidR="00EE35CE" w:rsidRPr="00FE66E8">
        <w:t xml:space="preserve">, </w:t>
      </w:r>
      <w:r w:rsidR="006529E5">
        <w:t>ETA-</w:t>
      </w:r>
      <w:r w:rsidR="009F6999" w:rsidRPr="00FE66E8">
        <w:t xml:space="preserve"> 8429 to process complaints pursuant to 20 CFR 658</w:t>
      </w:r>
      <w:r w:rsidR="00943546">
        <w:t xml:space="preserve"> Subpart E</w:t>
      </w:r>
      <w:r w:rsidR="00A16EB1">
        <w:t>.</w:t>
      </w:r>
      <w:r w:rsidR="002F01D1">
        <w:t xml:space="preserve">  A revised definition of</w:t>
      </w:r>
      <w:r w:rsidR="002F01D1">
        <w:rPr>
          <w:i/>
          <w:iCs/>
        </w:rPr>
        <w:t xml:space="preserve"> complaint</w:t>
      </w:r>
      <w:r w:rsidR="002F01D1">
        <w:t xml:space="preserve"> </w:t>
      </w:r>
      <w:r w:rsidR="00751AD2">
        <w:t>will</w:t>
      </w:r>
      <w:r w:rsidR="002F01D1">
        <w:t xml:space="preserve"> align with language in section 2 of the Wagner-Peyser Act, as amended by WIOA Title III section 302, to refer to “employment service” offices rather than “job service” offices.  The revised definition specifies that complaints are representations or referrals of </w:t>
      </w:r>
      <w:r w:rsidR="002F01D1">
        <w:rPr>
          <w:i/>
          <w:iCs/>
        </w:rPr>
        <w:t>alleged</w:t>
      </w:r>
      <w:r w:rsidR="002F01D1">
        <w:t xml:space="preserve"> violations of employment service regulations, Federal laws enforced by DOL’s Wage and Hour Division (WHD) or Occupational Safety and Health Administration (OSHA), or </w:t>
      </w:r>
      <w:r w:rsidR="00C30B7C">
        <w:t xml:space="preserve">Federal, </w:t>
      </w:r>
      <w:r w:rsidR="002F01D1">
        <w:t>State or local employment</w:t>
      </w:r>
      <w:r w:rsidR="008871A8">
        <w:t xml:space="preserve">-related laws.  DOL </w:t>
      </w:r>
      <w:r w:rsidR="002F01D1">
        <w:t>add</w:t>
      </w:r>
      <w:r w:rsidR="008871A8">
        <w:t>s</w:t>
      </w:r>
      <w:r w:rsidR="002F01D1">
        <w:t xml:space="preserve"> language in the definition clarifying that the complaints filed are alleging a violation occurred, rather than confirming that a complaint represents an actual violation—which may be determined after the complaint is under investigation pursuant to 658 Subpart F. </w:t>
      </w:r>
    </w:p>
    <w:p w:rsidR="00553F65" w:rsidRPr="00E3680E" w:rsidRDefault="008D6132" w:rsidP="00C62679">
      <w:pPr>
        <w:rPr>
          <w:color w:val="000000"/>
        </w:rPr>
      </w:pPr>
      <w:r w:rsidRPr="008D6132">
        <w:rPr>
          <w:color w:val="000000"/>
        </w:rPr>
        <w:t>More specifically, t</w:t>
      </w:r>
      <w:r w:rsidRPr="008D6132">
        <w:rPr>
          <w:color w:val="000000" w:themeColor="text1"/>
        </w:rPr>
        <w:t xml:space="preserve">he WIOA </w:t>
      </w:r>
      <w:r w:rsidR="008871A8">
        <w:rPr>
          <w:color w:val="000000" w:themeColor="text1"/>
        </w:rPr>
        <w:t>Final Rule</w:t>
      </w:r>
      <w:r w:rsidRPr="008D6132">
        <w:rPr>
          <w:color w:val="000000" w:themeColor="text1"/>
        </w:rPr>
        <w:t xml:space="preserve"> sections containing information collections approved under this control number are: 20 CFR § 653.107, § 653.108(g)(6), §</w:t>
      </w:r>
      <w:r w:rsidR="00374AA5">
        <w:rPr>
          <w:color w:val="000000" w:themeColor="text1"/>
        </w:rPr>
        <w:t> </w:t>
      </w:r>
      <w:r w:rsidRPr="008D6132">
        <w:rPr>
          <w:color w:val="000000" w:themeColor="text1"/>
        </w:rPr>
        <w:t xml:space="preserve">653.108(s), §  653.108(i), § </w:t>
      </w:r>
      <w:r w:rsidRPr="008D6132">
        <w:rPr>
          <w:color w:val="000000" w:themeColor="text1"/>
        </w:rPr>
        <w:lastRenderedPageBreak/>
        <w:t xml:space="preserve">653.108(m), § 658.601.  </w:t>
      </w:r>
      <w:r w:rsidRPr="008D6132">
        <w:t>These regulations ensure that SWAs handle complaints appropriately and uniformly.  The Complaint/</w:t>
      </w:r>
      <w:r w:rsidR="00D52087">
        <w:t>Apparent Violation</w:t>
      </w:r>
      <w:r w:rsidR="00B16AE7">
        <w:t xml:space="preserve"> Form</w:t>
      </w:r>
      <w:r w:rsidRPr="008D6132">
        <w:t>, ETA- 8429, is used by SWAs to process complaints.</w:t>
      </w:r>
    </w:p>
    <w:p w:rsidR="00886C1F" w:rsidRPr="00FE66E8" w:rsidRDefault="00886C1F" w:rsidP="00C62679"/>
    <w:p w:rsidR="0031454F" w:rsidRDefault="006E528A" w:rsidP="0031454F">
      <w:r w:rsidRPr="006E528A">
        <w:rPr>
          <w:i/>
        </w:rPr>
        <w:t xml:space="preserve">2. </w:t>
      </w:r>
      <w:r w:rsidRPr="006E528A">
        <w:rPr>
          <w:i/>
        </w:rPr>
        <w:tab/>
        <w:t>Indicate how, by whom, and for what purpose the information is to be used.  Except for a new collection, indicate the actual use the agency has made of the information received from the current collection.</w:t>
      </w:r>
      <w:r w:rsidR="0031454F">
        <w:rPr>
          <w:b/>
          <w:bCs/>
        </w:rPr>
        <w:t xml:space="preserve"> </w:t>
      </w:r>
    </w:p>
    <w:p w:rsidR="0031454F" w:rsidRDefault="0031454F" w:rsidP="00B33ECF">
      <w:pPr>
        <w:rPr>
          <w:bCs/>
        </w:rPr>
      </w:pPr>
    </w:p>
    <w:p w:rsidR="008F293D" w:rsidRPr="00FE66E8" w:rsidRDefault="004F547B" w:rsidP="008F293D">
      <w:r>
        <w:t>Pursuant to</w:t>
      </w:r>
      <w:r w:rsidRPr="00FE66E8">
        <w:t xml:space="preserve"> 20 CFR 653.109, DOL </w:t>
      </w:r>
      <w:r w:rsidR="00107155">
        <w:t xml:space="preserve">uses ETA Form 5148 to </w:t>
      </w:r>
      <w:r>
        <w:t xml:space="preserve">collect information </w:t>
      </w:r>
      <w:r w:rsidR="00107155">
        <w:t>on SWAs’ provision of services to MSFWs.  This helps DOL monitor SWA regulatory compliance</w:t>
      </w:r>
      <w:r w:rsidR="00C5136C">
        <w:t xml:space="preserve">. </w:t>
      </w:r>
      <w:r>
        <w:t xml:space="preserve"> SWAs </w:t>
      </w:r>
      <w:r w:rsidR="00C5136C">
        <w:t xml:space="preserve">must </w:t>
      </w:r>
      <w:r>
        <w:t>submit ETA Form 5148 q</w:t>
      </w:r>
      <w:r w:rsidR="005D4AF1" w:rsidRPr="00FE66E8">
        <w:t xml:space="preserve">uarterly </w:t>
      </w:r>
      <w:r>
        <w:t>to</w:t>
      </w:r>
      <w:r w:rsidR="005D4AF1" w:rsidRPr="00FE66E8">
        <w:t xml:space="preserve"> report </w:t>
      </w:r>
      <w:r w:rsidR="00C5136C">
        <w:t xml:space="preserve">the </w:t>
      </w:r>
      <w:r w:rsidR="00B33ECF" w:rsidRPr="00FE66E8">
        <w:t>level of services provided to MSFWs through the One-Stop Career Centers</w:t>
      </w:r>
      <w:r w:rsidR="004A73B3" w:rsidRPr="00FE66E8">
        <w:t xml:space="preserve"> and </w:t>
      </w:r>
      <w:r w:rsidR="00C5136C">
        <w:t>to demonstrate</w:t>
      </w:r>
      <w:r w:rsidR="004A73B3" w:rsidRPr="00FE66E8">
        <w:t xml:space="preserve"> </w:t>
      </w:r>
      <w:r w:rsidR="00DE5415">
        <w:t xml:space="preserve">the degree to which </w:t>
      </w:r>
      <w:r w:rsidR="00C5136C">
        <w:t>MSFWs</w:t>
      </w:r>
      <w:r w:rsidR="00C5136C" w:rsidRPr="00FE66E8">
        <w:t xml:space="preserve"> </w:t>
      </w:r>
      <w:r w:rsidR="004A73B3" w:rsidRPr="00FE66E8">
        <w:t xml:space="preserve">are </w:t>
      </w:r>
      <w:r w:rsidR="00943546">
        <w:t>offered</w:t>
      </w:r>
      <w:r w:rsidR="00943546" w:rsidRPr="00FE66E8">
        <w:t xml:space="preserve"> </w:t>
      </w:r>
      <w:r w:rsidR="004A73B3" w:rsidRPr="00FE66E8">
        <w:t>services that are “</w:t>
      </w:r>
      <w:r w:rsidR="00B33ECF" w:rsidRPr="00FE66E8">
        <w:t>qualitative</w:t>
      </w:r>
      <w:r w:rsidR="004A73B3" w:rsidRPr="00FE66E8">
        <w:t>ly</w:t>
      </w:r>
      <w:r w:rsidR="00B33ECF" w:rsidRPr="00FE66E8">
        <w:t xml:space="preserve"> equivalent and quantitatively proportionate</w:t>
      </w:r>
      <w:r w:rsidR="004A73B3" w:rsidRPr="00FE66E8">
        <w:t>”</w:t>
      </w:r>
      <w:r w:rsidR="00B33ECF" w:rsidRPr="00FE66E8">
        <w:t xml:space="preserve"> </w:t>
      </w:r>
      <w:r w:rsidR="004A73B3" w:rsidRPr="00FE66E8">
        <w:t xml:space="preserve">to the </w:t>
      </w:r>
      <w:r w:rsidR="00B33ECF" w:rsidRPr="00FE66E8">
        <w:t xml:space="preserve">services </w:t>
      </w:r>
      <w:r w:rsidR="004A73B3" w:rsidRPr="00FE66E8">
        <w:t>provided to non-MSFWs</w:t>
      </w:r>
      <w:r w:rsidR="00C5136C">
        <w:t>, as required in the Judge Richey Court Order</w:t>
      </w:r>
      <w:r w:rsidR="005D4AF1" w:rsidRPr="00FE66E8">
        <w:t>.</w:t>
      </w:r>
    </w:p>
    <w:p w:rsidR="00B33ECF" w:rsidRPr="00FE66E8" w:rsidRDefault="00B33ECF" w:rsidP="00B33ECF"/>
    <w:p w:rsidR="009F6999" w:rsidRPr="00FE66E8" w:rsidRDefault="00113C43" w:rsidP="009F6999">
      <w:r>
        <w:rPr>
          <w:bCs/>
        </w:rPr>
        <w:t>SWAs use t</w:t>
      </w:r>
      <w:r w:rsidR="005D4AF1" w:rsidRPr="00FE66E8">
        <w:rPr>
          <w:bCs/>
        </w:rPr>
        <w:t xml:space="preserve">he </w:t>
      </w:r>
      <w:r w:rsidR="00A53D1C" w:rsidRPr="00FE66E8">
        <w:rPr>
          <w:bCs/>
        </w:rPr>
        <w:t>Complaint</w:t>
      </w:r>
      <w:r w:rsidR="00DF596A" w:rsidRPr="00FE66E8">
        <w:rPr>
          <w:bCs/>
        </w:rPr>
        <w:t xml:space="preserve"> </w:t>
      </w:r>
      <w:r>
        <w:rPr>
          <w:bCs/>
        </w:rPr>
        <w:t>Form</w:t>
      </w:r>
      <w:r w:rsidR="005D4AF1" w:rsidRPr="00FE66E8">
        <w:rPr>
          <w:bCs/>
        </w:rPr>
        <w:t xml:space="preserve">, ETA Form 8429 </w:t>
      </w:r>
      <w:r w:rsidR="008F293D" w:rsidRPr="00FE66E8">
        <w:t>to record and process complaints</w:t>
      </w:r>
      <w:r w:rsidR="000A62DA">
        <w:t xml:space="preserve"> and apparent violations</w:t>
      </w:r>
      <w:r w:rsidR="00D144C5" w:rsidRPr="00FE66E8">
        <w:t>.</w:t>
      </w:r>
      <w:r w:rsidR="008F293D" w:rsidRPr="00FE66E8">
        <w:t xml:space="preserve">  </w:t>
      </w:r>
      <w:r w:rsidRPr="00FE66E8">
        <w:t xml:space="preserve">MSFW </w:t>
      </w:r>
      <w:r>
        <w:t xml:space="preserve">complaints </w:t>
      </w:r>
      <w:r w:rsidR="008F293D" w:rsidRPr="00FE66E8">
        <w:t xml:space="preserve">are coded </w:t>
      </w:r>
      <w:r w:rsidR="005D4AF1" w:rsidRPr="00FE66E8">
        <w:t xml:space="preserve">to </w:t>
      </w:r>
      <w:r>
        <w:t>expedite the process</w:t>
      </w:r>
      <w:r w:rsidR="00DE5415">
        <w:t xml:space="preserve"> which ensures</w:t>
      </w:r>
      <w:r w:rsidR="009F6999" w:rsidRPr="00FE66E8">
        <w:t xml:space="preserve"> that complaints </w:t>
      </w:r>
      <w:r w:rsidR="000A62DA">
        <w:t xml:space="preserve">and apparent violations </w:t>
      </w:r>
      <w:r w:rsidR="009F6999" w:rsidRPr="00FE66E8">
        <w:t xml:space="preserve">have a greater </w:t>
      </w:r>
      <w:r w:rsidR="00667188" w:rsidRPr="00FE66E8">
        <w:t>probability</w:t>
      </w:r>
      <w:r w:rsidR="009F6999" w:rsidRPr="00FE66E8">
        <w:t xml:space="preserve"> of being resolved before</w:t>
      </w:r>
      <w:r w:rsidR="00667188" w:rsidRPr="00FE66E8">
        <w:t xml:space="preserve"> MSFWs move </w:t>
      </w:r>
      <w:r w:rsidR="009F6999" w:rsidRPr="00FE66E8">
        <w:t>to another area.</w:t>
      </w:r>
    </w:p>
    <w:p w:rsidR="00F26973" w:rsidRDefault="00F26973" w:rsidP="0031454F">
      <w:pPr>
        <w:tabs>
          <w:tab w:val="left" w:pos="240"/>
        </w:tabs>
      </w:pPr>
    </w:p>
    <w:p w:rsidR="0031454F" w:rsidRPr="00725135" w:rsidRDefault="006E528A" w:rsidP="0031454F">
      <w:pPr>
        <w:rPr>
          <w:i/>
        </w:rPr>
      </w:pPr>
      <w:r w:rsidRPr="006E528A">
        <w:rPr>
          <w:i/>
        </w:rPr>
        <w:t>3.</w:t>
      </w:r>
      <w:r w:rsidR="00725135">
        <w:rPr>
          <w:i/>
        </w:rPr>
        <w:tab/>
      </w:r>
      <w:r w:rsidRPr="006E528A">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1454F" w:rsidRPr="00FE66E8" w:rsidRDefault="0031454F" w:rsidP="0031454F">
      <w:pPr>
        <w:tabs>
          <w:tab w:val="left" w:pos="240"/>
        </w:tabs>
      </w:pPr>
    </w:p>
    <w:p w:rsidR="00F26973" w:rsidRPr="00FE66E8" w:rsidRDefault="009C52E8">
      <w:pPr>
        <w:tabs>
          <w:tab w:val="left" w:pos="0"/>
        </w:tabs>
      </w:pPr>
      <w:r w:rsidRPr="00FE66E8">
        <w:t xml:space="preserve">Reports are produced electronically through ETA’s </w:t>
      </w:r>
      <w:r w:rsidR="007E3B84" w:rsidRPr="00C9502E">
        <w:t>Enterprise Business Support System</w:t>
      </w:r>
      <w:r w:rsidR="007E3B84">
        <w:rPr>
          <w:rFonts w:ascii="Verdana" w:hAnsi="Verdana"/>
          <w:b/>
          <w:bCs/>
          <w:color w:val="000066"/>
          <w:sz w:val="20"/>
          <w:szCs w:val="20"/>
        </w:rPr>
        <w:t xml:space="preserve"> </w:t>
      </w:r>
      <w:r w:rsidR="007E3B84" w:rsidRPr="00FE66E8">
        <w:t>(E</w:t>
      </w:r>
      <w:r w:rsidR="007E3B84">
        <w:t>BSS</w:t>
      </w:r>
      <w:r w:rsidR="007E3B84" w:rsidRPr="00FE66E8">
        <w:t xml:space="preserve">) </w:t>
      </w:r>
      <w:r w:rsidRPr="00FE66E8">
        <w:t>which can be accessed by SWAs via the Internet.  Some data elements are generated from the ETA</w:t>
      </w:r>
      <w:r w:rsidR="00DF596A" w:rsidRPr="00FE66E8">
        <w:t>’s</w:t>
      </w:r>
      <w:r w:rsidR="00615B7F" w:rsidRPr="00FE66E8">
        <w:t xml:space="preserve"> </w:t>
      </w:r>
      <w:r w:rsidRPr="00FE66E8">
        <w:t xml:space="preserve">9002 </w:t>
      </w:r>
      <w:r w:rsidR="00DF596A" w:rsidRPr="00FE66E8">
        <w:t xml:space="preserve">Report </w:t>
      </w:r>
      <w:r w:rsidRPr="00FE66E8">
        <w:t xml:space="preserve">(i.e., number of applicants and types of services) others items such as outreach </w:t>
      </w:r>
      <w:r w:rsidR="00D144C5" w:rsidRPr="00FE66E8">
        <w:t xml:space="preserve">contacts and </w:t>
      </w:r>
      <w:r w:rsidRPr="00FE66E8">
        <w:t xml:space="preserve">complaints are manually </w:t>
      </w:r>
      <w:r w:rsidR="00D144C5" w:rsidRPr="00FE66E8">
        <w:t xml:space="preserve">compiled </w:t>
      </w:r>
      <w:r w:rsidRPr="00FE66E8">
        <w:t>at the state level.</w:t>
      </w:r>
    </w:p>
    <w:p w:rsidR="009C52E8" w:rsidRPr="00FE66E8" w:rsidRDefault="009C52E8">
      <w:pPr>
        <w:tabs>
          <w:tab w:val="left" w:pos="0"/>
        </w:tabs>
      </w:pPr>
    </w:p>
    <w:p w:rsidR="00F26973" w:rsidRPr="00FE66E8" w:rsidRDefault="00BF76F6">
      <w:pPr>
        <w:tabs>
          <w:tab w:val="left" w:pos="0"/>
        </w:tabs>
      </w:pPr>
      <w:r>
        <w:t>ETA does not believe</w:t>
      </w:r>
      <w:r w:rsidR="00F26973" w:rsidRPr="00FE66E8">
        <w:t xml:space="preserve"> that the automation of</w:t>
      </w:r>
      <w:r w:rsidR="00A53D1C" w:rsidRPr="00FE66E8">
        <w:t xml:space="preserve"> Complaint</w:t>
      </w:r>
      <w:r w:rsidR="000A62DA">
        <w:t>/Apparent Violation</w:t>
      </w:r>
      <w:r w:rsidR="00DE5415">
        <w:t xml:space="preserve"> Form</w:t>
      </w:r>
      <w:r w:rsidR="00D87632" w:rsidRPr="00FE66E8">
        <w:t xml:space="preserve">, </w:t>
      </w:r>
      <w:r w:rsidR="00281DB4" w:rsidRPr="00FE66E8">
        <w:t xml:space="preserve">ETA </w:t>
      </w:r>
      <w:r w:rsidR="002C3832">
        <w:t>-</w:t>
      </w:r>
      <w:r w:rsidR="00F26973" w:rsidRPr="00FE66E8">
        <w:t xml:space="preserve">8429 is beneficial or cost effective.  </w:t>
      </w:r>
      <w:r w:rsidR="00F25CCF" w:rsidRPr="00FE66E8">
        <w:t xml:space="preserve">This form is available </w:t>
      </w:r>
      <w:r w:rsidR="00776A3E" w:rsidRPr="00FE66E8">
        <w:t xml:space="preserve">electronically and can be </w:t>
      </w:r>
      <w:r w:rsidR="00F25CCF" w:rsidRPr="00FE66E8">
        <w:t>accessed via the Internet</w:t>
      </w:r>
      <w:r w:rsidR="00D8229C" w:rsidRPr="00FE66E8">
        <w:t xml:space="preserve"> at </w:t>
      </w:r>
      <w:hyperlink r:id="rId9" w:history="1">
        <w:r w:rsidR="00D8229C" w:rsidRPr="00FE66E8">
          <w:rPr>
            <w:rStyle w:val="Hyperlink"/>
          </w:rPr>
          <w:t>http://www.doleta.gov/programs/MSFW.cfm</w:t>
        </w:r>
      </w:hyperlink>
      <w:r w:rsidR="004076B1" w:rsidRPr="00FE66E8">
        <w:t xml:space="preserve">.  This </w:t>
      </w:r>
      <w:r w:rsidR="00776A3E" w:rsidRPr="00FE66E8">
        <w:t xml:space="preserve">allows </w:t>
      </w:r>
      <w:r w:rsidR="004076B1" w:rsidRPr="00FE66E8">
        <w:t>individuals</w:t>
      </w:r>
      <w:r w:rsidR="00F26973" w:rsidRPr="00FE66E8">
        <w:t xml:space="preserve"> </w:t>
      </w:r>
      <w:r w:rsidR="00776A3E" w:rsidRPr="00FE66E8">
        <w:t>to ac</w:t>
      </w:r>
      <w:r w:rsidR="004076B1" w:rsidRPr="00FE66E8">
        <w:t xml:space="preserve">cess </w:t>
      </w:r>
      <w:r w:rsidR="00F26973" w:rsidRPr="00FE66E8">
        <w:t>the electronic version for downloading, faxing</w:t>
      </w:r>
      <w:r w:rsidR="00DE5415">
        <w:t>,</w:t>
      </w:r>
      <w:r w:rsidR="00F26973" w:rsidRPr="00FE66E8">
        <w:t xml:space="preserve"> or e-mailing to SWAs for review and processing.  </w:t>
      </w:r>
    </w:p>
    <w:p w:rsidR="00725135" w:rsidRDefault="00725135" w:rsidP="00725135">
      <w:pPr>
        <w:tabs>
          <w:tab w:val="left" w:pos="0"/>
        </w:tabs>
      </w:pPr>
    </w:p>
    <w:p w:rsidR="000D0800" w:rsidRPr="000D0800" w:rsidRDefault="00725135" w:rsidP="00725135">
      <w:pPr>
        <w:tabs>
          <w:tab w:val="left" w:pos="0"/>
        </w:tabs>
      </w:pPr>
      <w:r w:rsidRPr="00725135">
        <w:rPr>
          <w:i/>
        </w:rPr>
        <w:t>4.</w:t>
      </w:r>
      <w:r w:rsidRPr="00725135">
        <w:rPr>
          <w:i/>
        </w:rPr>
        <w:tab/>
        <w:t>Describe efforts to identify duplication.  Show specifically why any similar information already available cannot be used or modified for use for the purposes described in Item 2 above.</w:t>
      </w:r>
    </w:p>
    <w:p w:rsidR="00F26973" w:rsidRPr="00FE66E8" w:rsidRDefault="00F26973" w:rsidP="000D0800">
      <w:pPr>
        <w:tabs>
          <w:tab w:val="left" w:pos="0"/>
        </w:tabs>
      </w:pPr>
      <w:r w:rsidRPr="00FE66E8">
        <w:rPr>
          <w:b/>
          <w:bCs/>
        </w:rPr>
        <w:t xml:space="preserve">  </w:t>
      </w:r>
    </w:p>
    <w:p w:rsidR="00725135" w:rsidRDefault="004708BF" w:rsidP="00862F04">
      <w:r w:rsidRPr="00FE66E8">
        <w:t xml:space="preserve">Efforts are continually underway to identify </w:t>
      </w:r>
      <w:r w:rsidR="00DD6BCB">
        <w:t xml:space="preserve">and eliminate </w:t>
      </w:r>
      <w:r w:rsidRPr="00FE66E8">
        <w:t xml:space="preserve">duplication.  </w:t>
      </w:r>
      <w:r w:rsidR="009F6999" w:rsidRPr="00FE66E8">
        <w:t xml:space="preserve">None of the information recorded on ETA Form 8429 is duplicative of any other information that is already captured by the SWAs.  Likewise, the information captured on Parts 1, 2, &amp; </w:t>
      </w:r>
      <w:r w:rsidR="002B6341" w:rsidRPr="00FE66E8">
        <w:t>4</w:t>
      </w:r>
      <w:r w:rsidR="009F6999" w:rsidRPr="00FE66E8">
        <w:t xml:space="preserve"> of</w:t>
      </w:r>
      <w:r w:rsidR="00D87632" w:rsidRPr="00FE66E8">
        <w:t xml:space="preserve"> the Services to MSFW </w:t>
      </w:r>
      <w:r w:rsidR="007F7467" w:rsidRPr="00FE66E8">
        <w:t>Report</w:t>
      </w:r>
      <w:r w:rsidR="00D87632" w:rsidRPr="00FE66E8">
        <w:t xml:space="preserve"> </w:t>
      </w:r>
      <w:r w:rsidR="009F6999" w:rsidRPr="00FE66E8">
        <w:t xml:space="preserve">ETA 5148 is unique and not </w:t>
      </w:r>
      <w:r w:rsidR="000A62DA">
        <w:t xml:space="preserve">currently </w:t>
      </w:r>
      <w:r w:rsidR="009F6999" w:rsidRPr="00FE66E8">
        <w:t>captured elsewhere.</w:t>
      </w:r>
      <w:r w:rsidRPr="00FE66E8">
        <w:t xml:space="preserve">  </w:t>
      </w:r>
      <w:r w:rsidR="00F26973" w:rsidRPr="00FE66E8">
        <w:t xml:space="preserve">There is </w:t>
      </w:r>
      <w:r w:rsidR="001A653F" w:rsidRPr="00FE66E8">
        <w:t>some</w:t>
      </w:r>
      <w:r w:rsidR="00F26973" w:rsidRPr="00FE66E8">
        <w:t xml:space="preserve"> duplication on the collection of information </w:t>
      </w:r>
      <w:r w:rsidR="001A653F" w:rsidRPr="00FE66E8">
        <w:t xml:space="preserve">on </w:t>
      </w:r>
      <w:r w:rsidRPr="00FE66E8">
        <w:t xml:space="preserve">Part 3 of </w:t>
      </w:r>
      <w:r w:rsidR="001A653F" w:rsidRPr="00FE66E8">
        <w:t xml:space="preserve">ETA Form 5148.  </w:t>
      </w:r>
      <w:r w:rsidR="00282A03" w:rsidRPr="00FE66E8">
        <w:t xml:space="preserve">Some of the </w:t>
      </w:r>
      <w:r w:rsidR="001A653F" w:rsidRPr="00FE66E8">
        <w:t xml:space="preserve">data elements that comprise the Equity Indicators (Part 3) are </w:t>
      </w:r>
      <w:r w:rsidR="00282A03" w:rsidRPr="00FE66E8">
        <w:t xml:space="preserve">derived from the </w:t>
      </w:r>
      <w:r w:rsidR="001A653F" w:rsidRPr="00FE66E8">
        <w:t>current ETA 9002 reporting system.</w:t>
      </w:r>
      <w:r w:rsidR="00282A03" w:rsidRPr="00FE66E8">
        <w:t xml:space="preserve">  </w:t>
      </w:r>
      <w:r w:rsidRPr="00FE66E8">
        <w:t xml:space="preserve">The burden to the </w:t>
      </w:r>
      <w:r w:rsidR="00282A03" w:rsidRPr="00FE66E8">
        <w:t>s</w:t>
      </w:r>
      <w:r w:rsidRPr="00FE66E8">
        <w:t xml:space="preserve">tates of extracting data from ETA 9002 </w:t>
      </w:r>
      <w:r w:rsidR="00DF596A" w:rsidRPr="00FE66E8">
        <w:t xml:space="preserve">reporting system </w:t>
      </w:r>
      <w:r w:rsidRPr="00FE66E8">
        <w:t>and inserting it into</w:t>
      </w:r>
      <w:r w:rsidR="00C3071E" w:rsidRPr="00FE66E8">
        <w:t xml:space="preserve"> the Services to </w:t>
      </w:r>
      <w:r w:rsidR="00DF596A" w:rsidRPr="00FE66E8">
        <w:t>MSFW</w:t>
      </w:r>
      <w:r w:rsidR="00C3071E" w:rsidRPr="00FE66E8">
        <w:t xml:space="preserve">, </w:t>
      </w:r>
      <w:r w:rsidRPr="00FE66E8">
        <w:t>ETA Form 5148 is minimal and allows State Monitor Advocates</w:t>
      </w:r>
      <w:r w:rsidR="00C3071E" w:rsidRPr="00FE66E8">
        <w:t xml:space="preserve">, states and </w:t>
      </w:r>
      <w:r w:rsidRPr="00FE66E8">
        <w:t xml:space="preserve">federal staff to have a complete </w:t>
      </w:r>
      <w:r w:rsidR="00C3071E" w:rsidRPr="00FE66E8">
        <w:t xml:space="preserve">view </w:t>
      </w:r>
      <w:r w:rsidRPr="00FE66E8">
        <w:t xml:space="preserve">of services to MSFWs in one document.  </w:t>
      </w:r>
    </w:p>
    <w:p w:rsidR="00F26973" w:rsidRPr="00FE66E8" w:rsidRDefault="00725135" w:rsidP="000508EB">
      <w:pPr>
        <w:tabs>
          <w:tab w:val="left" w:pos="240"/>
        </w:tabs>
        <w:rPr>
          <w:b/>
          <w:bCs/>
        </w:rPr>
      </w:pPr>
      <w:r w:rsidRPr="00725135">
        <w:rPr>
          <w:i/>
        </w:rPr>
        <w:lastRenderedPageBreak/>
        <w:t>5.</w:t>
      </w:r>
      <w:r>
        <w:rPr>
          <w:i/>
        </w:rPr>
        <w:tab/>
      </w:r>
      <w:r>
        <w:rPr>
          <w:i/>
        </w:rPr>
        <w:tab/>
      </w:r>
      <w:r w:rsidRPr="00725135">
        <w:rPr>
          <w:i/>
        </w:rPr>
        <w:t>If the collection of information impacts small businesses or other small entities, describe any methods used to minimize burden.</w:t>
      </w:r>
    </w:p>
    <w:p w:rsidR="000508EB" w:rsidRDefault="000508EB"/>
    <w:p w:rsidR="00F26973" w:rsidRPr="00FE66E8" w:rsidRDefault="00D8229C">
      <w:r w:rsidRPr="00FE66E8">
        <w:t>There is no impact to small businesses or other small entities.</w:t>
      </w:r>
    </w:p>
    <w:p w:rsidR="00F26973" w:rsidRPr="00FE66E8" w:rsidRDefault="00F26973"/>
    <w:p w:rsidR="000508EB" w:rsidRDefault="00725135" w:rsidP="000508EB">
      <w:r w:rsidRPr="00725135">
        <w:rPr>
          <w:i/>
        </w:rPr>
        <w:t>6.</w:t>
      </w:r>
      <w:r w:rsidRPr="00725135">
        <w:rPr>
          <w:i/>
        </w:rPr>
        <w:tab/>
        <w:t>Describe the consequence to Federal program or policy activities if the collection is not conducted or is conducted less frequently, as well as any technical or legal obstacles to reducing burden.</w:t>
      </w:r>
      <w:r w:rsidR="000508EB">
        <w:t xml:space="preserve"> </w:t>
      </w:r>
    </w:p>
    <w:p w:rsidR="000508EB" w:rsidRPr="00FE66E8" w:rsidRDefault="000508EB"/>
    <w:p w:rsidR="00F26973" w:rsidRPr="00FE66E8" w:rsidRDefault="00F26973">
      <w:r w:rsidRPr="00FE66E8">
        <w:t>If data were not collected</w:t>
      </w:r>
      <w:r w:rsidR="000E05A6" w:rsidRPr="00FE66E8">
        <w:t xml:space="preserve"> quarterly</w:t>
      </w:r>
      <w:r w:rsidRPr="00FE66E8">
        <w:t xml:space="preserve">, </w:t>
      </w:r>
      <w:r w:rsidR="000E05A6" w:rsidRPr="00FE66E8">
        <w:t xml:space="preserve">SWAs and </w:t>
      </w:r>
      <w:r w:rsidR="00863415" w:rsidRPr="00FE66E8">
        <w:t xml:space="preserve">DOL </w:t>
      </w:r>
      <w:r w:rsidRPr="00FE66E8">
        <w:t xml:space="preserve">would not be in compliance with </w:t>
      </w:r>
      <w:r w:rsidR="000E05A6" w:rsidRPr="00FE66E8">
        <w:t xml:space="preserve">federal regulations at </w:t>
      </w:r>
      <w:r w:rsidRPr="00FE66E8">
        <w:t>20 CFR 653.10</w:t>
      </w:r>
      <w:r w:rsidR="000E05A6" w:rsidRPr="00FE66E8">
        <w:t xml:space="preserve">0 </w:t>
      </w:r>
      <w:r w:rsidR="000E05A6" w:rsidRPr="00FE66E8">
        <w:rPr>
          <w:u w:val="single"/>
        </w:rPr>
        <w:t>et</w:t>
      </w:r>
      <w:r w:rsidR="000E05A6" w:rsidRPr="00FE66E8">
        <w:t xml:space="preserve">. </w:t>
      </w:r>
      <w:r w:rsidR="000E05A6" w:rsidRPr="00FE66E8">
        <w:rPr>
          <w:i/>
          <w:u w:val="single"/>
        </w:rPr>
        <w:t>seq</w:t>
      </w:r>
      <w:r w:rsidR="000E05A6" w:rsidRPr="00FE66E8">
        <w:t>.</w:t>
      </w:r>
      <w:r w:rsidR="00554451">
        <w:t xml:space="preserve"> and the Department would not be able to track SWA compliance with the Judge Richey Court Order. </w:t>
      </w:r>
    </w:p>
    <w:p w:rsidR="000508EB" w:rsidRDefault="000508EB"/>
    <w:p w:rsidR="000508EB" w:rsidRDefault="00725135" w:rsidP="000508EB">
      <w:r w:rsidRPr="00725135">
        <w:rPr>
          <w:i/>
        </w:rPr>
        <w:t>7.</w:t>
      </w:r>
      <w:r w:rsidRPr="00725135">
        <w:rPr>
          <w:i/>
        </w:rPr>
        <w:tab/>
        <w:t xml:space="preserve">Explain any special circumstances that would cause an information collection to be conducted in a manner: </w:t>
      </w:r>
      <w:r w:rsidR="000508EB">
        <w:rPr>
          <w:b/>
          <w:bCs/>
        </w:rPr>
        <w:t xml:space="preserve"> </w:t>
      </w:r>
    </w:p>
    <w:p w:rsidR="00F26973" w:rsidRPr="00FE66E8" w:rsidRDefault="00F26973"/>
    <w:p w:rsidR="00F26973" w:rsidRPr="00FE66E8" w:rsidRDefault="00F26973">
      <w:r w:rsidRPr="00FE66E8">
        <w:t>There are no special circumstances concerning the information collection process.</w:t>
      </w:r>
    </w:p>
    <w:p w:rsidR="00F26973" w:rsidRPr="00FE66E8" w:rsidRDefault="00F26973"/>
    <w:p w:rsidR="00725135" w:rsidRPr="00725135" w:rsidRDefault="00725135" w:rsidP="00725135">
      <w:pPr>
        <w:tabs>
          <w:tab w:val="right" w:pos="360"/>
          <w:tab w:val="left" w:pos="540"/>
        </w:tabs>
        <w:autoSpaceDE w:val="0"/>
        <w:autoSpaceDN w:val="0"/>
        <w:adjustRightInd w:val="0"/>
        <w:rPr>
          <w:i/>
        </w:rPr>
      </w:pPr>
      <w:r w:rsidRPr="00725135">
        <w:rPr>
          <w:i/>
        </w:rPr>
        <w:t>8.</w:t>
      </w:r>
      <w:r w:rsidRPr="00725135">
        <w:rPr>
          <w:i/>
        </w:rPr>
        <w:tab/>
      </w:r>
      <w:r>
        <w:rPr>
          <w:i/>
        </w:rPr>
        <w:tab/>
      </w:r>
      <w:r w:rsidRPr="00725135">
        <w:rPr>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25135" w:rsidRDefault="00725135" w:rsidP="00725135">
      <w:pPr>
        <w:autoSpaceDE w:val="0"/>
        <w:autoSpaceDN w:val="0"/>
        <w:adjustRightInd w:val="0"/>
        <w:rPr>
          <w:i/>
        </w:rPr>
      </w:pPr>
    </w:p>
    <w:p w:rsidR="00725135" w:rsidRPr="00725135" w:rsidRDefault="00725135" w:rsidP="00725135">
      <w:pPr>
        <w:autoSpaceDE w:val="0"/>
        <w:autoSpaceDN w:val="0"/>
        <w:adjustRightInd w:val="0"/>
        <w:rPr>
          <w:i/>
        </w:rPr>
      </w:pPr>
      <w:r w:rsidRPr="00725135">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25135" w:rsidRPr="00725135" w:rsidRDefault="00725135" w:rsidP="00725135">
      <w:pPr>
        <w:autoSpaceDE w:val="0"/>
        <w:autoSpaceDN w:val="0"/>
        <w:adjustRightInd w:val="0"/>
        <w:ind w:left="540"/>
        <w:rPr>
          <w:i/>
        </w:rPr>
      </w:pPr>
    </w:p>
    <w:p w:rsidR="00B85A0A" w:rsidRDefault="00725135" w:rsidP="00725135">
      <w:pPr>
        <w:rPr>
          <w:b/>
          <w:bCs/>
        </w:rPr>
      </w:pPr>
      <w:r w:rsidRPr="00725135">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FE3E57" w:rsidRDefault="00FE3E57" w:rsidP="00B85A0A"/>
    <w:p w:rsidR="00FE3E57" w:rsidRPr="00751AD2" w:rsidRDefault="00FE3E57" w:rsidP="00751AD2">
      <w:pPr>
        <w:widowControl w:val="0"/>
        <w:tabs>
          <w:tab w:val="left" w:pos="-1440"/>
          <w:tab w:val="left" w:pos="-720"/>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30B34">
        <w:rPr>
          <w:rFonts w:eastAsia="Calibri"/>
          <w:bCs/>
        </w:rPr>
        <w:t>Concurrent with submission of this ICR submission</w:t>
      </w:r>
      <w:r w:rsidR="007C58A3">
        <w:rPr>
          <w:rFonts w:eastAsia="Calibri"/>
          <w:bCs/>
        </w:rPr>
        <w:t xml:space="preserve"> </w:t>
      </w:r>
      <w:r w:rsidR="007C58A3" w:rsidRPr="007C58A3">
        <w:rPr>
          <w:rFonts w:eastAsia="Calibri"/>
          <w:bCs/>
        </w:rPr>
        <w:t>April 16, 2015</w:t>
      </w:r>
      <w:r w:rsidRPr="00E30B34">
        <w:rPr>
          <w:rFonts w:eastAsia="Calibri"/>
          <w:bCs/>
        </w:rPr>
        <w:t xml:space="preserve">, ETA issued a Notice of Proposed Rulemaking </w:t>
      </w:r>
      <w:r w:rsidR="00751AD2" w:rsidRPr="00AF2316">
        <w:rPr>
          <w:rFonts w:eastAsia="Calibri"/>
          <w:bCs/>
        </w:rPr>
        <w:t xml:space="preserve">(80 FR 20689) </w:t>
      </w:r>
      <w:r w:rsidRPr="00E30B34">
        <w:rPr>
          <w:rFonts w:eastAsia="Calibri"/>
          <w:bCs/>
        </w:rPr>
        <w:t>that provide</w:t>
      </w:r>
      <w:r w:rsidR="00751AD2">
        <w:rPr>
          <w:rFonts w:eastAsia="Calibri"/>
          <w:bCs/>
        </w:rPr>
        <w:t>d</w:t>
      </w:r>
      <w:r w:rsidRPr="00E30B34">
        <w:rPr>
          <w:rFonts w:eastAsia="Calibri"/>
          <w:bCs/>
        </w:rPr>
        <w:t xml:space="preserve"> a 60-day period for the public to comment</w:t>
      </w:r>
      <w:r w:rsidR="0049390C">
        <w:rPr>
          <w:rFonts w:eastAsia="Calibri"/>
          <w:bCs/>
        </w:rPr>
        <w:t xml:space="preserve">.  </w:t>
      </w:r>
    </w:p>
    <w:p w:rsidR="00AF6972" w:rsidRDefault="00AF6972">
      <w:pPr>
        <w:rPr>
          <w:bCs/>
          <w:color w:val="000000"/>
        </w:rPr>
      </w:pPr>
    </w:p>
    <w:p w:rsidR="00810AFB" w:rsidRPr="00810AFB" w:rsidRDefault="00E3680E" w:rsidP="00810AFB">
      <w:pPr>
        <w:pStyle w:val="NoSpacing"/>
        <w:rPr>
          <w:rFonts w:ascii="Times New Roman" w:eastAsia="Calibri" w:hAnsi="Times New Roman" w:cs="Times New Roman"/>
          <w:bCs/>
          <w:sz w:val="24"/>
          <w:szCs w:val="24"/>
        </w:rPr>
      </w:pPr>
      <w:bookmarkStart w:id="1" w:name="DataCollection"/>
      <w:r>
        <w:rPr>
          <w:rFonts w:ascii="Times New Roman" w:eastAsia="Calibri" w:hAnsi="Times New Roman" w:cs="Times New Roman"/>
          <w:bCs/>
          <w:sz w:val="24"/>
          <w:szCs w:val="24"/>
        </w:rPr>
        <w:t xml:space="preserve">Section 653.109 </w:t>
      </w:r>
      <w:r w:rsidR="00810AFB" w:rsidRPr="00810AFB">
        <w:rPr>
          <w:rFonts w:ascii="Times New Roman" w:eastAsia="Calibri" w:hAnsi="Times New Roman" w:cs="Times New Roman"/>
          <w:bCs/>
          <w:sz w:val="24"/>
          <w:szCs w:val="24"/>
        </w:rPr>
        <w:t>Data collection and performance accountability measures.</w:t>
      </w:r>
    </w:p>
    <w:p w:rsidR="00810AFB" w:rsidRDefault="00810AFB" w:rsidP="00810AFB">
      <w:pPr>
        <w:pStyle w:val="NoSpacing"/>
        <w:rPr>
          <w:rFonts w:ascii="Times New Roman" w:eastAsia="Calibri" w:hAnsi="Times New Roman" w:cs="Times New Roman"/>
          <w:bCs/>
          <w:sz w:val="24"/>
          <w:szCs w:val="24"/>
        </w:rPr>
      </w:pPr>
    </w:p>
    <w:p w:rsidR="00216921" w:rsidRDefault="00216921" w:rsidP="00810AFB">
      <w:pPr>
        <w:pStyle w:val="NoSpacing"/>
        <w:rPr>
          <w:rFonts w:ascii="Times New Roman" w:eastAsia="Calibri" w:hAnsi="Times New Roman" w:cs="Times New Roman"/>
          <w:bCs/>
          <w:sz w:val="24"/>
          <w:szCs w:val="24"/>
        </w:rPr>
      </w:pPr>
      <w:r>
        <w:rPr>
          <w:rFonts w:ascii="Times New Roman" w:eastAsia="Calibri" w:hAnsi="Times New Roman" w:cs="Times New Roman"/>
          <w:bCs/>
          <w:sz w:val="24"/>
          <w:szCs w:val="24"/>
        </w:rPr>
        <w:t>During the NPRM</w:t>
      </w:r>
      <w:r w:rsidR="00E3680E">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the Department received some comments on the data collection section. </w:t>
      </w:r>
    </w:p>
    <w:p w:rsidR="00216921" w:rsidRPr="00810AFB" w:rsidRDefault="00216921" w:rsidP="00810AFB">
      <w:pPr>
        <w:pStyle w:val="NoSpacing"/>
        <w:rPr>
          <w:rFonts w:ascii="Times New Roman" w:eastAsia="Calibri" w:hAnsi="Times New Roman" w:cs="Times New Roman"/>
          <w:bCs/>
          <w:sz w:val="24"/>
          <w:szCs w:val="24"/>
        </w:rPr>
      </w:pPr>
    </w:p>
    <w:bookmarkEnd w:id="1"/>
    <w:p w:rsidR="00AB259C" w:rsidRDefault="00AB259C" w:rsidP="00AB259C">
      <w:r>
        <w:rPr>
          <w:u w:val="single"/>
        </w:rPr>
        <w:t>Comments</w:t>
      </w:r>
      <w:r>
        <w:t>:  A couple commenters recommended the Department revise the references to the pre-WIOA performance measures.</w:t>
      </w:r>
      <w:r>
        <w:rPr>
          <w:rStyle w:val="FootnoteReference"/>
        </w:rPr>
        <w:t xml:space="preserve"> </w:t>
      </w:r>
      <w:r>
        <w:rPr>
          <w:rStyle w:val="FootnoteReference"/>
        </w:rPr>
        <w:footnoteReference w:customMarkFollows="1" w:id="2"/>
        <w:t>[1]</w:t>
      </w:r>
      <w:r>
        <w:t xml:space="preserve">  Another commenter noted that some of the proposed performance measures in § 653.109 are not in line with the WIOA measures to track participants in unsubsidized employment in the second quarter after exit, participants in unsubsidized </w:t>
      </w:r>
      <w:r>
        <w:lastRenderedPageBreak/>
        <w:t>employment in the fourth quarter after exit, and median earnings.  Therefore, this commenter recommended the Department bring those measures in line with WIOA to ensure consistency across all programs.</w:t>
      </w:r>
      <w:r>
        <w:rPr>
          <w:rStyle w:val="FootnoteReference"/>
        </w:rPr>
        <w:footnoteReference w:customMarkFollows="1" w:id="3"/>
        <w:t>[2]</w:t>
      </w:r>
    </w:p>
    <w:p w:rsidR="00AB259C" w:rsidRDefault="00AB259C" w:rsidP="00AB259C"/>
    <w:p w:rsidR="00810AFB" w:rsidRPr="00AB259C" w:rsidRDefault="00AB259C" w:rsidP="00AB259C">
      <w:pPr>
        <w:pStyle w:val="NoSpacing"/>
        <w:rPr>
          <w:rFonts w:ascii="Times New Roman" w:eastAsia="Calibri" w:hAnsi="Times New Roman" w:cs="Times New Roman"/>
          <w:bCs/>
          <w:sz w:val="24"/>
          <w:szCs w:val="24"/>
        </w:rPr>
      </w:pPr>
      <w:r w:rsidRPr="00AB259C">
        <w:rPr>
          <w:rFonts w:ascii="Times New Roman" w:hAnsi="Times New Roman" w:cs="Times New Roman"/>
          <w:sz w:val="24"/>
          <w:szCs w:val="24"/>
          <w:u w:val="single"/>
        </w:rPr>
        <w:t>Department’s Response</w:t>
      </w:r>
      <w:r w:rsidRPr="00AB259C">
        <w:rPr>
          <w:rFonts w:ascii="Times New Roman" w:hAnsi="Times New Roman" w:cs="Times New Roman"/>
          <w:sz w:val="24"/>
          <w:szCs w:val="24"/>
        </w:rPr>
        <w:t>:  The Department agrees and has changed § 653.109(a) to be consistent with the WIOA performance indicators listed in sec. 116 of the law.</w:t>
      </w:r>
      <w:r w:rsidR="00AF2316" w:rsidRPr="00AB259C">
        <w:rPr>
          <w:rFonts w:ascii="Times New Roman" w:eastAsia="Calibri" w:hAnsi="Times New Roman" w:cs="Times New Roman"/>
          <w:bCs/>
          <w:sz w:val="24"/>
          <w:szCs w:val="24"/>
        </w:rPr>
        <w:t xml:space="preserve"> </w:t>
      </w:r>
    </w:p>
    <w:p w:rsidR="00810AFB" w:rsidRPr="00AB259C" w:rsidRDefault="00810AFB">
      <w:pPr>
        <w:rPr>
          <w:bCs/>
          <w:color w:val="000000"/>
        </w:rPr>
      </w:pPr>
    </w:p>
    <w:p w:rsidR="00F26973" w:rsidRPr="00FE66E8" w:rsidRDefault="00725135" w:rsidP="00725135">
      <w:pPr>
        <w:rPr>
          <w:b/>
          <w:bCs/>
        </w:rPr>
      </w:pPr>
      <w:r w:rsidRPr="00725135">
        <w:rPr>
          <w:i/>
        </w:rPr>
        <w:t>9.</w:t>
      </w:r>
      <w:r w:rsidRPr="00725135">
        <w:rPr>
          <w:i/>
        </w:rPr>
        <w:tab/>
        <w:t>Explain any decision to provide any payment or gift to respondents, other than remuneration of contractors or grantees.</w:t>
      </w:r>
    </w:p>
    <w:p w:rsidR="00F26973" w:rsidRPr="00FE66E8" w:rsidRDefault="00F26973"/>
    <w:p w:rsidR="00F26973" w:rsidRPr="00FE66E8" w:rsidRDefault="00F26973">
      <w:r w:rsidRPr="00FE66E8">
        <w:t>There is no payment or gift to respondents.</w:t>
      </w:r>
    </w:p>
    <w:p w:rsidR="001C2D0F" w:rsidRDefault="001C2D0F" w:rsidP="001C2D0F">
      <w:pPr>
        <w:rPr>
          <w:b/>
          <w:bCs/>
        </w:rPr>
      </w:pPr>
    </w:p>
    <w:p w:rsidR="001C2D0F" w:rsidRDefault="00725135" w:rsidP="001C2D0F">
      <w:r w:rsidRPr="00725135">
        <w:rPr>
          <w:i/>
        </w:rPr>
        <w:t>10.</w:t>
      </w:r>
      <w:r w:rsidRPr="00725135">
        <w:rPr>
          <w:i/>
        </w:rPr>
        <w:tab/>
        <w:t>Describe any assurance of confidentiality provided to respondents and the basis for the assurance in statute, regulation, or agency policy.</w:t>
      </w:r>
    </w:p>
    <w:p w:rsidR="00F26973" w:rsidRPr="00FE66E8" w:rsidRDefault="00F26973"/>
    <w:p w:rsidR="00F26973" w:rsidRPr="00FE66E8" w:rsidRDefault="00D8229C">
      <w:r w:rsidRPr="00FE66E8">
        <w:t>There is no</w:t>
      </w:r>
      <w:r w:rsidR="00F26973" w:rsidRPr="00FE66E8">
        <w:t xml:space="preserve"> assurance of confidentiality of the information collected.  There are no individuals identifiers on the report submitted to the National Office.</w:t>
      </w:r>
    </w:p>
    <w:p w:rsidR="00F26973" w:rsidRPr="00FE66E8" w:rsidRDefault="00F26973"/>
    <w:p w:rsidR="001C2D0F" w:rsidRDefault="00725135" w:rsidP="001C2D0F">
      <w:r w:rsidRPr="00725135">
        <w:rPr>
          <w:i/>
        </w:rPr>
        <w:t>11.</w:t>
      </w:r>
      <w:r w:rsidRPr="00725135">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C2D0F" w:rsidRPr="00FE66E8" w:rsidRDefault="001C2D0F"/>
    <w:p w:rsidR="00F26973" w:rsidRPr="00FE66E8" w:rsidRDefault="00F26973">
      <w:r w:rsidRPr="00FE66E8">
        <w:t>There are no questions of a sensitive nature.</w:t>
      </w:r>
    </w:p>
    <w:p w:rsidR="00F26973" w:rsidRPr="00FE66E8" w:rsidRDefault="00F26973"/>
    <w:p w:rsidR="00757A9D" w:rsidRDefault="002609FB" w:rsidP="00757A9D">
      <w:r w:rsidRPr="002609FB">
        <w:rPr>
          <w:i/>
        </w:rPr>
        <w:t>12.</w:t>
      </w:r>
      <w:r w:rsidRPr="002609FB">
        <w:rPr>
          <w:i/>
        </w:rPr>
        <w:tab/>
        <w:t xml:space="preserve">Provide estimates of the hour burden of the collection of information. </w:t>
      </w:r>
    </w:p>
    <w:p w:rsidR="00DC7BAB" w:rsidRPr="00FE66E8" w:rsidRDefault="00DC7BAB"/>
    <w:p w:rsidR="00F26973" w:rsidRPr="000E6290" w:rsidRDefault="00F26973">
      <w:r w:rsidRPr="00FE66E8">
        <w:t xml:space="preserve">Estimates of </w:t>
      </w:r>
      <w:r w:rsidR="006B55F1" w:rsidRPr="00FE66E8">
        <w:t xml:space="preserve">the following </w:t>
      </w:r>
      <w:r w:rsidRPr="00FE66E8">
        <w:t xml:space="preserve">burden </w:t>
      </w:r>
      <w:r w:rsidR="006B55F1" w:rsidRPr="00FE66E8">
        <w:t xml:space="preserve">hours </w:t>
      </w:r>
      <w:r w:rsidRPr="00FE66E8">
        <w:t>of collection of information</w:t>
      </w:r>
      <w:r w:rsidR="006B55F1" w:rsidRPr="00FE66E8">
        <w:t xml:space="preserve"> were derived after consultations with a number of State Monitor Advocates that are intensively involved with these activities. </w:t>
      </w:r>
      <w:r w:rsidR="00864399">
        <w:t xml:space="preserve">  </w:t>
      </w:r>
      <w:r w:rsidR="00864399" w:rsidRPr="000E6290">
        <w:t xml:space="preserve">State Monitor Advocates have determined from years of experience that they spend 3.428 hours </w:t>
      </w:r>
      <w:r w:rsidR="00F16DD6" w:rsidRPr="000E6290">
        <w:t xml:space="preserve">annually doing the </w:t>
      </w:r>
      <w:r w:rsidR="00864399" w:rsidRPr="000E6290">
        <w:t xml:space="preserve">recordkeeping </w:t>
      </w:r>
      <w:r w:rsidR="00F16DD6" w:rsidRPr="000E6290">
        <w:t xml:space="preserve">involved </w:t>
      </w:r>
      <w:r w:rsidR="00864399" w:rsidRPr="000E6290">
        <w:t xml:space="preserve">for </w:t>
      </w:r>
      <w:r w:rsidR="00EB40B4">
        <w:t>ETA</w:t>
      </w:r>
      <w:r w:rsidR="00DD1202">
        <w:t>-</w:t>
      </w:r>
      <w:r w:rsidR="00EB40B4">
        <w:t>51</w:t>
      </w:r>
      <w:r w:rsidR="00DD1202">
        <w:t>4</w:t>
      </w:r>
      <w:r w:rsidR="00EB40B4">
        <w:t>8</w:t>
      </w:r>
      <w:r w:rsidR="00864399" w:rsidRPr="000E6290">
        <w:t>.</w:t>
      </w:r>
    </w:p>
    <w:p w:rsidR="00725135" w:rsidRDefault="00725135" w:rsidP="00D8229C">
      <w:pPr>
        <w:ind w:firstLine="720"/>
        <w:rPr>
          <w:b/>
          <w:bCs/>
        </w:rPr>
      </w:pPr>
    </w:p>
    <w:p w:rsidR="00D8229C" w:rsidRPr="00FE66E8" w:rsidRDefault="00DD1202" w:rsidP="00725135">
      <w:pPr>
        <w:ind w:firstLine="720"/>
        <w:rPr>
          <w:b/>
          <w:bCs/>
        </w:rPr>
      </w:pPr>
      <w:r>
        <w:rPr>
          <w:b/>
          <w:bCs/>
        </w:rPr>
        <w:t>COMPLAINT LOG (ETA-</w:t>
      </w:r>
      <w:r w:rsidR="00D8229C" w:rsidRPr="000E6290">
        <w:rPr>
          <w:b/>
          <w:bCs/>
        </w:rPr>
        <w:t>8429)</w:t>
      </w:r>
    </w:p>
    <w:p w:rsidR="00D8229C" w:rsidRPr="00FE66E8" w:rsidRDefault="00CA67C6" w:rsidP="00117091">
      <w:pPr>
        <w:numPr>
          <w:ilvl w:val="1"/>
          <w:numId w:val="16"/>
        </w:numPr>
      </w:pPr>
      <w:r>
        <w:rPr>
          <w:b/>
        </w:rPr>
        <w:t>Third Party Disclosure</w:t>
      </w:r>
      <w:r w:rsidR="00D8229C" w:rsidRPr="00FE66E8">
        <w:rPr>
          <w:b/>
        </w:rPr>
        <w:t>:</w:t>
      </w:r>
    </w:p>
    <w:p w:rsidR="00D8229C" w:rsidRPr="00FE66E8" w:rsidRDefault="00FB22E0" w:rsidP="008C4296">
      <w:pPr>
        <w:numPr>
          <w:ilvl w:val="0"/>
          <w:numId w:val="14"/>
        </w:numPr>
      </w:pPr>
      <w:r>
        <w:t>Annual average n</w:t>
      </w:r>
      <w:r w:rsidR="00D8229C" w:rsidRPr="00FE66E8">
        <w:t>umber of</w:t>
      </w:r>
      <w:r w:rsidR="00CD45EB">
        <w:t xml:space="preserve"> complaints</w:t>
      </w:r>
      <w:r w:rsidR="00B0764E">
        <w:t>:</w:t>
      </w:r>
      <w:r w:rsidR="00B0764E">
        <w:tab/>
      </w:r>
      <w:r w:rsidR="00B0764E">
        <w:tab/>
      </w:r>
      <w:r w:rsidR="00B0764E">
        <w:tab/>
      </w:r>
      <w:r w:rsidR="00F84525">
        <w:t>3500</w:t>
      </w:r>
      <w:r w:rsidR="00D163EA">
        <w:t>*</w:t>
      </w:r>
    </w:p>
    <w:p w:rsidR="00D8229C" w:rsidRPr="00FE66E8" w:rsidRDefault="00CA564F" w:rsidP="008C4296">
      <w:pPr>
        <w:numPr>
          <w:ilvl w:val="0"/>
          <w:numId w:val="14"/>
        </w:numPr>
      </w:pPr>
      <w:r>
        <w:t>Annual minutes per intake</w:t>
      </w:r>
      <w:r w:rsidR="00B0764E">
        <w:t>:</w:t>
      </w:r>
      <w:r w:rsidR="00B0764E">
        <w:tab/>
        <w:t xml:space="preserve">  </w:t>
      </w:r>
      <w:r w:rsidR="004E7F56">
        <w:t xml:space="preserve">   </w:t>
      </w:r>
      <w:r w:rsidR="00DB268E">
        <w:t xml:space="preserve">  </w:t>
      </w:r>
      <w:r w:rsidR="00CD45EB">
        <w:t xml:space="preserve">            </w:t>
      </w:r>
      <w:r w:rsidR="00FB22E0">
        <w:tab/>
      </w:r>
      <w:r w:rsidR="00FB22E0">
        <w:tab/>
      </w:r>
      <w:r w:rsidR="00F84525">
        <w:t>30</w:t>
      </w:r>
    </w:p>
    <w:p w:rsidR="00D8229C" w:rsidRPr="00FE66E8" w:rsidRDefault="00D8229C" w:rsidP="008C4296">
      <w:pPr>
        <w:numPr>
          <w:ilvl w:val="0"/>
          <w:numId w:val="14"/>
        </w:numPr>
      </w:pPr>
      <w:r w:rsidRPr="00FE66E8">
        <w:t xml:space="preserve">Total </w:t>
      </w:r>
      <w:r w:rsidR="00CA564F">
        <w:t>burden hours:</w:t>
      </w:r>
      <w:r w:rsidR="00B0764E">
        <w:tab/>
      </w:r>
      <w:r w:rsidR="00B0764E">
        <w:tab/>
      </w:r>
      <w:r w:rsidR="00DB268E">
        <w:t xml:space="preserve">   </w:t>
      </w:r>
      <w:r w:rsidR="00FB22E0">
        <w:tab/>
      </w:r>
      <w:r w:rsidR="00FB22E0">
        <w:tab/>
      </w:r>
      <w:r w:rsidR="00FB22E0">
        <w:tab/>
      </w:r>
      <w:r w:rsidR="00F84525">
        <w:t>1750</w:t>
      </w:r>
      <w:r w:rsidR="00F84525" w:rsidRPr="00FE66E8">
        <w:t xml:space="preserve"> </w:t>
      </w:r>
    </w:p>
    <w:p w:rsidR="00D8229C" w:rsidRDefault="00D8229C" w:rsidP="00D8229C">
      <w:pPr>
        <w:ind w:firstLine="720"/>
      </w:pPr>
    </w:p>
    <w:p w:rsidR="00404A0F" w:rsidRPr="00FE66E8" w:rsidRDefault="00404A0F" w:rsidP="00D8229C">
      <w:pPr>
        <w:ind w:firstLine="720"/>
      </w:pPr>
    </w:p>
    <w:p w:rsidR="00D8229C" w:rsidRPr="00FE66E8" w:rsidRDefault="00E823C6" w:rsidP="00117091">
      <w:pPr>
        <w:numPr>
          <w:ilvl w:val="1"/>
          <w:numId w:val="14"/>
        </w:numPr>
        <w:rPr>
          <w:b/>
        </w:rPr>
      </w:pPr>
      <w:r>
        <w:rPr>
          <w:b/>
        </w:rPr>
        <w:t>Reporting</w:t>
      </w:r>
      <w:r w:rsidR="00D8229C" w:rsidRPr="00FE66E8">
        <w:rPr>
          <w:b/>
        </w:rPr>
        <w:t>:</w:t>
      </w:r>
    </w:p>
    <w:p w:rsidR="00D8229C" w:rsidRPr="00FE66E8" w:rsidRDefault="00D8229C" w:rsidP="00B0764E">
      <w:pPr>
        <w:numPr>
          <w:ilvl w:val="0"/>
          <w:numId w:val="20"/>
        </w:numPr>
      </w:pPr>
      <w:r w:rsidRPr="00FE66E8">
        <w:t>Annual average number of forms</w:t>
      </w:r>
      <w:r w:rsidR="00B0764E">
        <w:t>:</w:t>
      </w:r>
      <w:r w:rsidR="00A40E35">
        <w:tab/>
      </w:r>
      <w:r w:rsidR="00A40E35">
        <w:tab/>
      </w:r>
      <w:r w:rsidR="00776B5A">
        <w:t xml:space="preserve"> </w:t>
      </w:r>
      <w:r w:rsidR="000051A6">
        <w:tab/>
      </w:r>
      <w:r w:rsidR="000051A6">
        <w:tab/>
      </w:r>
      <w:r w:rsidR="00F84525">
        <w:t>3500</w:t>
      </w:r>
      <w:r w:rsidR="00776B5A">
        <w:t>*</w:t>
      </w:r>
    </w:p>
    <w:p w:rsidR="00D8229C" w:rsidRPr="00FE66E8" w:rsidRDefault="00D8229C" w:rsidP="00B0764E">
      <w:pPr>
        <w:numPr>
          <w:ilvl w:val="0"/>
          <w:numId w:val="20"/>
        </w:numPr>
      </w:pPr>
      <w:r w:rsidRPr="00FE66E8">
        <w:t>Minutes per form</w:t>
      </w:r>
      <w:r w:rsidR="00D117FF">
        <w:t>:</w:t>
      </w:r>
      <w:r w:rsidR="00A40E35">
        <w:tab/>
      </w:r>
      <w:r w:rsidR="00A40E35">
        <w:tab/>
      </w:r>
      <w:r w:rsidR="00D117FF">
        <w:tab/>
      </w:r>
      <w:r w:rsidR="00D117FF">
        <w:tab/>
        <w:t xml:space="preserve">    </w:t>
      </w:r>
      <w:r w:rsidR="000051A6">
        <w:tab/>
      </w:r>
      <w:r w:rsidR="000051A6">
        <w:tab/>
        <w:t xml:space="preserve">   </w:t>
      </w:r>
      <w:r w:rsidR="00EC6A51">
        <w:t>120</w:t>
      </w:r>
    </w:p>
    <w:p w:rsidR="00D8229C" w:rsidRPr="00FE66E8" w:rsidRDefault="00E823C6" w:rsidP="00B0764E">
      <w:pPr>
        <w:numPr>
          <w:ilvl w:val="0"/>
          <w:numId w:val="20"/>
        </w:numPr>
      </w:pPr>
      <w:r>
        <w:t>Total reporting</w:t>
      </w:r>
      <w:r w:rsidR="00D8229C" w:rsidRPr="00FE66E8">
        <w:t xml:space="preserve"> hours</w:t>
      </w:r>
      <w:r w:rsidR="00D117FF">
        <w:t>:</w:t>
      </w:r>
      <w:r w:rsidR="00D117FF">
        <w:tab/>
      </w:r>
      <w:r w:rsidR="00D117FF">
        <w:tab/>
      </w:r>
      <w:r w:rsidR="00D117FF">
        <w:tab/>
      </w:r>
      <w:r w:rsidR="00EC6A51">
        <w:t xml:space="preserve"> </w:t>
      </w:r>
      <w:r w:rsidR="000051A6">
        <w:tab/>
      </w:r>
      <w:r w:rsidR="000051A6">
        <w:tab/>
      </w:r>
      <w:r w:rsidR="00F84525">
        <w:t>7,000</w:t>
      </w:r>
      <w:r w:rsidR="00D8229C" w:rsidRPr="00FE66E8">
        <w:t xml:space="preserve"> </w:t>
      </w:r>
    </w:p>
    <w:p w:rsidR="00D8229C" w:rsidRPr="00FE66E8" w:rsidRDefault="00D8229C" w:rsidP="00D8229C">
      <w:pPr>
        <w:ind w:firstLine="720"/>
      </w:pPr>
    </w:p>
    <w:p w:rsidR="00D8229C" w:rsidRDefault="00D8229C" w:rsidP="00D8229C">
      <w:r w:rsidRPr="00FE66E8">
        <w:lastRenderedPageBreak/>
        <w:t>*Not</w:t>
      </w:r>
      <w:r w:rsidR="00325DAA">
        <w:t>e</w:t>
      </w:r>
      <w:r w:rsidR="00EA1B24">
        <w:t xml:space="preserve"> -</w:t>
      </w:r>
      <w:r w:rsidRPr="00FE66E8">
        <w:t xml:space="preserve"> all complaints that are logged utilize the Complaint</w:t>
      </w:r>
      <w:r w:rsidR="000A62DA">
        <w:t>/Apparent Violation</w:t>
      </w:r>
      <w:r w:rsidR="00DE5415">
        <w:t xml:space="preserve"> Form</w:t>
      </w:r>
      <w:r w:rsidRPr="00FE66E8">
        <w:t>, ETA Form 8429</w:t>
      </w:r>
      <w:r w:rsidR="00540B18">
        <w:t>, or another form approved by DOL</w:t>
      </w:r>
      <w:r w:rsidRPr="00FE66E8">
        <w:t>.  The SWAs are only required to utilize this form for MSFW complaints</w:t>
      </w:r>
      <w:r w:rsidR="000A62DA">
        <w:t xml:space="preserve"> and apparent violations</w:t>
      </w:r>
      <w:r w:rsidRPr="00FE66E8">
        <w:t xml:space="preserve"> and ES related complaints from non-MSFWs.  Based upon contacts with those states with the highest level of reported complaint activity, we believe that </w:t>
      </w:r>
      <w:r w:rsidR="00D163EA">
        <w:t>approximately</w:t>
      </w:r>
      <w:r w:rsidRPr="00FE66E8">
        <w:t xml:space="preserve"> </w:t>
      </w:r>
      <w:r w:rsidR="00EC6A51">
        <w:t>3</w:t>
      </w:r>
      <w:r w:rsidRPr="00FE66E8">
        <w:t>,</w:t>
      </w:r>
      <w:r w:rsidR="00B82511">
        <w:t>536</w:t>
      </w:r>
      <w:r w:rsidRPr="00FE66E8">
        <w:t xml:space="preserve"> complaint</w:t>
      </w:r>
      <w:r w:rsidR="00DD1202">
        <w:t>s were captured on the ETA-</w:t>
      </w:r>
      <w:r w:rsidRPr="00FE66E8">
        <w:t xml:space="preserve"> 8429</w:t>
      </w:r>
      <w:r w:rsidR="000A62DA">
        <w:t xml:space="preserve"> </w:t>
      </w:r>
      <w:r w:rsidR="00124D5E">
        <w:t xml:space="preserve">according to </w:t>
      </w:r>
      <w:r w:rsidRPr="00FE66E8">
        <w:t xml:space="preserve">the </w:t>
      </w:r>
      <w:r w:rsidR="00124D5E">
        <w:t xml:space="preserve">most recent </w:t>
      </w:r>
      <w:r w:rsidRPr="00FE66E8">
        <w:t>program year</w:t>
      </w:r>
      <w:r w:rsidR="00124D5E">
        <w:t xml:space="preserve"> for which data is available</w:t>
      </w:r>
      <w:r w:rsidRPr="00FE66E8">
        <w:t xml:space="preserve">.  </w:t>
      </w:r>
    </w:p>
    <w:p w:rsidR="00325DAA" w:rsidRDefault="00325DAA" w:rsidP="00D8229C">
      <w:pPr>
        <w:rPr>
          <w:i/>
          <w:color w:val="0000FF"/>
          <w:u w:val="single"/>
        </w:rPr>
      </w:pPr>
      <w:r w:rsidRPr="00D05D3B">
        <w:rPr>
          <w:i/>
          <w:sz w:val="22"/>
          <w:szCs w:val="22"/>
        </w:rPr>
        <w:t xml:space="preserve">The estimate above is based on the Bureau of Labor Statistics </w:t>
      </w:r>
      <w:r w:rsidR="0029445E" w:rsidRPr="00D05D3B">
        <w:rPr>
          <w:i/>
          <w:sz w:val="22"/>
          <w:szCs w:val="22"/>
        </w:rPr>
        <w:t xml:space="preserve">data </w:t>
      </w:r>
      <w:r w:rsidRPr="00D05D3B">
        <w:rPr>
          <w:i/>
          <w:sz w:val="22"/>
          <w:szCs w:val="22"/>
        </w:rPr>
        <w:t>provided</w:t>
      </w:r>
      <w:r w:rsidR="0029445E" w:rsidRPr="00D05D3B">
        <w:rPr>
          <w:i/>
          <w:sz w:val="22"/>
          <w:szCs w:val="22"/>
        </w:rPr>
        <w:t xml:space="preserve"> by the SWAs as reported in the </w:t>
      </w:r>
      <w:r w:rsidRPr="00D05D3B">
        <w:rPr>
          <w:i/>
          <w:sz w:val="22"/>
          <w:szCs w:val="22"/>
        </w:rPr>
        <w:t>Occupational Employment Statistics (OES)</w:t>
      </w:r>
      <w:r w:rsidR="00D05D3B" w:rsidRPr="00D05D3B">
        <w:rPr>
          <w:i/>
          <w:sz w:val="22"/>
          <w:szCs w:val="22"/>
        </w:rPr>
        <w:t xml:space="preserve"> </w:t>
      </w:r>
      <w:r w:rsidR="0029445E" w:rsidRPr="00D05D3B">
        <w:rPr>
          <w:i/>
          <w:sz w:val="22"/>
          <w:szCs w:val="22"/>
        </w:rPr>
        <w:t>National Monitor Advocate Annual Report for PY 2012 located at</w:t>
      </w:r>
      <w:r w:rsidRPr="00D05D3B">
        <w:rPr>
          <w:i/>
          <w:sz w:val="22"/>
          <w:szCs w:val="22"/>
        </w:rPr>
        <w:t xml:space="preserve">: </w:t>
      </w:r>
      <w:r w:rsidR="0029445E" w:rsidRPr="00D05D3B">
        <w:rPr>
          <w:i/>
          <w:u w:val="single"/>
        </w:rPr>
        <w:t xml:space="preserve"> </w:t>
      </w:r>
      <w:hyperlink r:id="rId10" w:history="1">
        <w:r w:rsidRPr="00611F24">
          <w:rPr>
            <w:i/>
            <w:color w:val="0000FF"/>
            <w:u w:val="single"/>
          </w:rPr>
          <w:t>http://www.bls.gov/oes/current/oes434061.htm</w:t>
        </w:r>
      </w:hyperlink>
      <w:r w:rsidRPr="002D6FD8">
        <w:rPr>
          <w:i/>
          <w:sz w:val="22"/>
          <w:szCs w:val="22"/>
        </w:rPr>
        <w:t>.</w:t>
      </w:r>
      <w:hyperlink r:id="rId11" w:history="1">
        <w:r w:rsidR="0029445E" w:rsidRPr="00E676E1">
          <w:rPr>
            <w:rStyle w:val="Hyperlink"/>
            <w:i/>
          </w:rPr>
          <w:t>http://doleta.gov/programs/nat_mon_advocate_annual_rep.cfm</w:t>
        </w:r>
      </w:hyperlink>
    </w:p>
    <w:p w:rsidR="0029445E" w:rsidRDefault="0029445E" w:rsidP="00D8229C"/>
    <w:p w:rsidR="00E823C6" w:rsidRPr="00FE66E8" w:rsidRDefault="00C82D87" w:rsidP="00D8229C">
      <w:r w:rsidRPr="00D92B14">
        <w:t>TOTAL burden hours for ETA</w:t>
      </w:r>
      <w:r w:rsidR="001E3D1E">
        <w:t>-</w:t>
      </w:r>
      <w:r w:rsidRPr="00D92B14">
        <w:t xml:space="preserve"> 8429:  </w:t>
      </w:r>
      <w:r w:rsidR="00330676">
        <w:t>1,750</w:t>
      </w:r>
      <w:r w:rsidR="00330676" w:rsidRPr="00D92B14">
        <w:t xml:space="preserve"> </w:t>
      </w:r>
      <w:r w:rsidR="00CA67C6">
        <w:t>(third party disclosure</w:t>
      </w:r>
      <w:r w:rsidR="00F61B48" w:rsidRPr="00D92B14">
        <w:t xml:space="preserve">) + </w:t>
      </w:r>
      <w:r w:rsidR="00330676">
        <w:t>7,000</w:t>
      </w:r>
      <w:r w:rsidR="00F61B48" w:rsidRPr="00D92B14">
        <w:t xml:space="preserve"> (reporting) =</w:t>
      </w:r>
      <w:r w:rsidR="007C58A3">
        <w:t xml:space="preserve"> 8</w:t>
      </w:r>
      <w:r w:rsidR="00330676">
        <w:t>,750</w:t>
      </w:r>
      <w:r w:rsidR="00330676" w:rsidRPr="00D92B14">
        <w:t xml:space="preserve"> </w:t>
      </w:r>
      <w:r w:rsidR="00F61B48" w:rsidRPr="00D92B14">
        <w:t>hours</w:t>
      </w:r>
    </w:p>
    <w:p w:rsidR="00D8229C" w:rsidRPr="00FE66E8" w:rsidRDefault="00D8229C" w:rsidP="00D8229C"/>
    <w:p w:rsidR="00D8229C" w:rsidRPr="00FE66E8" w:rsidRDefault="00C37549" w:rsidP="00D8229C">
      <w:pPr>
        <w:ind w:firstLine="720"/>
        <w:rPr>
          <w:b/>
          <w:bCs/>
        </w:rPr>
      </w:pPr>
      <w:r>
        <w:rPr>
          <w:b/>
          <w:bCs/>
        </w:rPr>
        <w:t>OUTREACH LOG (ETA-</w:t>
      </w:r>
      <w:r w:rsidR="00D8229C" w:rsidRPr="00FE66E8">
        <w:rPr>
          <w:b/>
          <w:bCs/>
        </w:rPr>
        <w:t xml:space="preserve"> 5148)</w:t>
      </w:r>
    </w:p>
    <w:p w:rsidR="00D8229C" w:rsidRPr="00FE66E8" w:rsidRDefault="00D8229C" w:rsidP="00D8229C">
      <w:pPr>
        <w:ind w:left="360"/>
      </w:pPr>
    </w:p>
    <w:p w:rsidR="00EF449A" w:rsidRPr="00FE66E8" w:rsidRDefault="00EF449A" w:rsidP="00EF449A">
      <w:pPr>
        <w:numPr>
          <w:ilvl w:val="0"/>
          <w:numId w:val="21"/>
        </w:numPr>
      </w:pPr>
      <w:r w:rsidRPr="00FE66E8">
        <w:rPr>
          <w:b/>
        </w:rPr>
        <w:t>Recordkeeping:</w:t>
      </w:r>
    </w:p>
    <w:p w:rsidR="00EF449A" w:rsidRPr="00FE66E8" w:rsidRDefault="00EF449A" w:rsidP="00EF449A">
      <w:pPr>
        <w:numPr>
          <w:ilvl w:val="0"/>
          <w:numId w:val="23"/>
        </w:numPr>
      </w:pPr>
      <w:r w:rsidRPr="00FE66E8">
        <w:t>Number of record keepers</w:t>
      </w:r>
      <w:r>
        <w:t>:</w:t>
      </w:r>
      <w:r>
        <w:tab/>
      </w:r>
      <w:r>
        <w:tab/>
      </w:r>
      <w:r>
        <w:tab/>
        <w:t xml:space="preserve">   </w:t>
      </w:r>
      <w:r w:rsidR="00C07205">
        <w:t xml:space="preserve">    </w:t>
      </w:r>
      <w:r>
        <w:t>20</w:t>
      </w:r>
      <w:r w:rsidR="00591B30">
        <w:t>8</w:t>
      </w:r>
      <w:r w:rsidR="00150702">
        <w:t xml:space="preserve">  </w:t>
      </w:r>
    </w:p>
    <w:p w:rsidR="00C07205" w:rsidRPr="00FE66E8" w:rsidRDefault="00EF449A" w:rsidP="00C07205">
      <w:pPr>
        <w:numPr>
          <w:ilvl w:val="0"/>
          <w:numId w:val="23"/>
        </w:numPr>
      </w:pPr>
      <w:r w:rsidRPr="00FE66E8">
        <w:t xml:space="preserve">Estimated </w:t>
      </w:r>
      <w:r w:rsidR="00F16DD6">
        <w:t xml:space="preserve">annual </w:t>
      </w:r>
      <w:r w:rsidRPr="00FE66E8">
        <w:t>hours</w:t>
      </w:r>
      <w:r w:rsidR="00C07205">
        <w:t xml:space="preserve"> per record keeper         3.428 </w:t>
      </w:r>
    </w:p>
    <w:p w:rsidR="000762D5" w:rsidRDefault="00C07205" w:rsidP="00C07205">
      <w:pPr>
        <w:numPr>
          <w:ilvl w:val="1"/>
          <w:numId w:val="23"/>
        </w:numPr>
      </w:pPr>
      <w:r w:rsidRPr="00FE66E8">
        <w:t xml:space="preserve">Estimated </w:t>
      </w:r>
      <w:r>
        <w:t>annual hours for all</w:t>
      </w:r>
      <w:r w:rsidRPr="00FE66E8">
        <w:t xml:space="preserve"> </w:t>
      </w:r>
      <w:r>
        <w:t xml:space="preserve">200 </w:t>
      </w:r>
      <w:r w:rsidRPr="00FE66E8">
        <w:t>record keeper</w:t>
      </w:r>
      <w:r>
        <w:t xml:space="preserve">s </w:t>
      </w:r>
      <w:r w:rsidR="000762D5">
        <w:t xml:space="preserve">= </w:t>
      </w:r>
      <w:r w:rsidR="00591B30">
        <w:t>713.</w:t>
      </w:r>
      <w:r w:rsidR="00D65EFA">
        <w:t>024</w:t>
      </w:r>
    </w:p>
    <w:p w:rsidR="00C07205" w:rsidRPr="00FE66E8" w:rsidRDefault="000762D5" w:rsidP="000762D5">
      <w:pPr>
        <w:ind w:left="1152"/>
      </w:pPr>
      <w:proofErr w:type="gramStart"/>
      <w:r>
        <w:t>or</w:t>
      </w:r>
      <w:proofErr w:type="gramEnd"/>
      <w:r>
        <w:t xml:space="preserve"> 4 </w:t>
      </w:r>
      <w:r w:rsidR="00330676">
        <w:t xml:space="preserve">quarterly reports </w:t>
      </w:r>
      <w:r>
        <w:t>per state (</w:t>
      </w:r>
      <w:r w:rsidR="007A32A3">
        <w:t xml:space="preserve">52 </w:t>
      </w:r>
      <w:r w:rsidR="007740ED">
        <w:t>states</w:t>
      </w:r>
      <w:r w:rsidR="00C07205">
        <w:t xml:space="preserve"> (respondents)</w:t>
      </w:r>
      <w:r w:rsidR="00C07205">
        <w:tab/>
        <w:t xml:space="preserve">                                              </w:t>
      </w:r>
    </w:p>
    <w:p w:rsidR="00EF449A" w:rsidRDefault="000762D5" w:rsidP="00C07205">
      <w:pPr>
        <w:ind w:left="1440"/>
      </w:pPr>
      <w:r>
        <w:t xml:space="preserve">=  </w:t>
      </w:r>
      <w:r w:rsidR="00C07205">
        <w:t xml:space="preserve">685.6 (686) divided by </w:t>
      </w:r>
      <w:r>
        <w:t>4 = 171.4</w:t>
      </w:r>
    </w:p>
    <w:p w:rsidR="000762D5" w:rsidRPr="00FE66E8" w:rsidRDefault="000762D5" w:rsidP="00C07205">
      <w:pPr>
        <w:ind w:left="1440"/>
      </w:pPr>
      <w:r>
        <w:t>x 50 (states, respondents) = 685.6 or 686 annual recordkeeping hours</w:t>
      </w:r>
    </w:p>
    <w:p w:rsidR="00EF449A" w:rsidRPr="00FE66E8" w:rsidRDefault="00EF449A" w:rsidP="00EF449A">
      <w:pPr>
        <w:ind w:firstLine="720"/>
      </w:pPr>
    </w:p>
    <w:p w:rsidR="00EF449A" w:rsidRPr="00FE66E8" w:rsidRDefault="00A33D4A" w:rsidP="00EF449A">
      <w:pPr>
        <w:numPr>
          <w:ilvl w:val="0"/>
          <w:numId w:val="22"/>
        </w:numPr>
      </w:pPr>
      <w:r>
        <w:rPr>
          <w:b/>
        </w:rPr>
        <w:t xml:space="preserve">Reporting, </w:t>
      </w:r>
      <w:r w:rsidR="00EF449A" w:rsidRPr="00FE66E8">
        <w:rPr>
          <w:b/>
        </w:rPr>
        <w:t xml:space="preserve">ETA 5148 </w:t>
      </w:r>
      <w:r w:rsidR="003A45A4">
        <w:rPr>
          <w:b/>
        </w:rPr>
        <w:t>Reports:</w:t>
      </w:r>
    </w:p>
    <w:p w:rsidR="00EF449A" w:rsidRPr="00FE66E8" w:rsidRDefault="00EF449A" w:rsidP="00EF449A">
      <w:pPr>
        <w:numPr>
          <w:ilvl w:val="0"/>
          <w:numId w:val="24"/>
        </w:numPr>
      </w:pPr>
      <w:r w:rsidRPr="00FE66E8">
        <w:t>Annual number of reports</w:t>
      </w:r>
      <w:r>
        <w:t>:</w:t>
      </w:r>
      <w:r>
        <w:tab/>
      </w:r>
      <w:r>
        <w:tab/>
      </w:r>
      <w:r>
        <w:tab/>
        <w:t xml:space="preserve">   </w:t>
      </w:r>
      <w:r w:rsidR="00180998">
        <w:t>208</w:t>
      </w:r>
    </w:p>
    <w:p w:rsidR="00EF449A" w:rsidRPr="00FE66E8" w:rsidRDefault="00EF449A" w:rsidP="00EF449A">
      <w:pPr>
        <w:ind w:left="1440"/>
      </w:pPr>
      <w:r>
        <w:t>(</w:t>
      </w:r>
      <w:r w:rsidR="00180998">
        <w:t xml:space="preserve">4 </w:t>
      </w:r>
      <w:r>
        <w:t>reports multiplied by 5</w:t>
      </w:r>
      <w:r w:rsidR="007A32A3">
        <w:t>2</w:t>
      </w:r>
      <w:r w:rsidRPr="00FE66E8">
        <w:t xml:space="preserve"> respondents)</w:t>
      </w:r>
      <w:r w:rsidRPr="00FE66E8">
        <w:tab/>
      </w:r>
      <w:r w:rsidRPr="00FE66E8">
        <w:tab/>
      </w:r>
    </w:p>
    <w:p w:rsidR="00EF449A" w:rsidRPr="00FE66E8" w:rsidRDefault="00EF449A" w:rsidP="00EF449A">
      <w:pPr>
        <w:numPr>
          <w:ilvl w:val="0"/>
          <w:numId w:val="24"/>
        </w:numPr>
      </w:pPr>
      <w:r w:rsidRPr="00FE66E8">
        <w:t>Estimated minutes per report</w:t>
      </w:r>
      <w:r>
        <w:t>:</w:t>
      </w:r>
      <w:r>
        <w:tab/>
      </w:r>
      <w:r>
        <w:tab/>
      </w:r>
      <w:r>
        <w:tab/>
        <w:t xml:space="preserve">     </w:t>
      </w:r>
      <w:r w:rsidRPr="00FE66E8">
        <w:t>70</w:t>
      </w:r>
    </w:p>
    <w:p w:rsidR="00EF449A" w:rsidRDefault="00EF449A" w:rsidP="00EF449A">
      <w:pPr>
        <w:numPr>
          <w:ilvl w:val="0"/>
          <w:numId w:val="24"/>
        </w:numPr>
      </w:pPr>
      <w:r w:rsidRPr="00FE66E8">
        <w:t>Total record keeping hours</w:t>
      </w:r>
      <w:r>
        <w:t>:</w:t>
      </w:r>
      <w:r>
        <w:tab/>
      </w:r>
      <w:r>
        <w:tab/>
      </w:r>
      <w:r>
        <w:tab/>
        <w:t xml:space="preserve">  </w:t>
      </w:r>
      <w:r w:rsidR="00180998">
        <w:t xml:space="preserve"> 24</w:t>
      </w:r>
      <w:r w:rsidR="00217C86">
        <w:t>2.6528</w:t>
      </w:r>
    </w:p>
    <w:p w:rsidR="009F1380" w:rsidRPr="00FE66E8" w:rsidRDefault="009F1380" w:rsidP="009F1380">
      <w:pPr>
        <w:ind w:left="1152"/>
      </w:pPr>
      <w:r>
        <w:t>(50 x 5 x 70 minutes divided by 1 hour (60 minutes)</w:t>
      </w:r>
    </w:p>
    <w:p w:rsidR="00EF449A" w:rsidRPr="00FE66E8" w:rsidRDefault="00EF449A" w:rsidP="002D6FD8">
      <w:pPr>
        <w:ind w:firstLine="720"/>
      </w:pPr>
    </w:p>
    <w:p w:rsidR="00EF449A" w:rsidRDefault="00EF449A" w:rsidP="00EF449A">
      <w:pPr>
        <w:ind w:left="360"/>
      </w:pPr>
      <w:r w:rsidRPr="000E6290">
        <w:rPr>
          <w:b/>
        </w:rPr>
        <w:t>Estimated total Burden Hours for ETA</w:t>
      </w:r>
      <w:r w:rsidR="00C37549">
        <w:rPr>
          <w:b/>
        </w:rPr>
        <w:t>-</w:t>
      </w:r>
      <w:r w:rsidRPr="000E6290">
        <w:rPr>
          <w:b/>
        </w:rPr>
        <w:t xml:space="preserve"> 5148 = </w:t>
      </w:r>
      <w:r w:rsidR="00180998" w:rsidRPr="000E6290">
        <w:rPr>
          <w:b/>
        </w:rPr>
        <w:t>9</w:t>
      </w:r>
      <w:r w:rsidR="00180998">
        <w:rPr>
          <w:b/>
        </w:rPr>
        <w:t>56</w:t>
      </w:r>
      <w:r w:rsidR="00180998" w:rsidRPr="000E6290">
        <w:rPr>
          <w:b/>
        </w:rPr>
        <w:t xml:space="preserve"> </w:t>
      </w:r>
      <w:r w:rsidRPr="000E6290">
        <w:t>(</w:t>
      </w:r>
      <w:r w:rsidR="00180998">
        <w:t>713</w:t>
      </w:r>
      <w:r w:rsidR="00180998" w:rsidRPr="000E6290">
        <w:t xml:space="preserve"> </w:t>
      </w:r>
      <w:r w:rsidRPr="000E6290">
        <w:t xml:space="preserve">+ </w:t>
      </w:r>
      <w:r w:rsidR="00180998">
        <w:t>243</w:t>
      </w:r>
      <w:r w:rsidRPr="000E6290">
        <w:t>)</w:t>
      </w:r>
    </w:p>
    <w:p w:rsidR="008D0C6D" w:rsidRPr="000E6290" w:rsidRDefault="008D0C6D" w:rsidP="00EF449A">
      <w:pPr>
        <w:ind w:left="360"/>
      </w:pPr>
    </w:p>
    <w:p w:rsidR="00EF449A" w:rsidRDefault="001849D6" w:rsidP="00EF449A">
      <w:pPr>
        <w:ind w:left="360"/>
      </w:pPr>
      <w:r w:rsidRPr="000E6290">
        <w:t>Any differences in ROCIS are due to rounding off to whole numbers.</w:t>
      </w:r>
    </w:p>
    <w:p w:rsidR="00DB5A76" w:rsidRPr="000E6290" w:rsidRDefault="00797A66" w:rsidP="00EF449A">
      <w:pPr>
        <w:ind w:left="360"/>
      </w:pPr>
      <w:r>
        <w:t>TOTAL respondents for ETA</w:t>
      </w:r>
      <w:r w:rsidR="00C37549">
        <w:t>-</w:t>
      </w:r>
      <w:r>
        <w:t xml:space="preserve"> </w:t>
      </w:r>
      <w:r w:rsidR="00DB5A76">
        <w:t>5148:  5</w:t>
      </w:r>
      <w:r w:rsidR="007A32A3">
        <w:t>2</w:t>
      </w:r>
    </w:p>
    <w:p w:rsidR="006C5490" w:rsidRPr="000E6290" w:rsidRDefault="006C5490" w:rsidP="00EF449A">
      <w:pPr>
        <w:ind w:left="360"/>
      </w:pPr>
    </w:p>
    <w:p w:rsidR="000762D5" w:rsidRDefault="006C5490" w:rsidP="00EF449A">
      <w:pPr>
        <w:ind w:left="360"/>
      </w:pPr>
      <w:r w:rsidRPr="000E6290">
        <w:t>TOTAL burden hours for ETA</w:t>
      </w:r>
      <w:r w:rsidR="00C37549">
        <w:t>-</w:t>
      </w:r>
      <w:r w:rsidRPr="000E6290">
        <w:t xml:space="preserve"> 8429 </w:t>
      </w:r>
      <w:r w:rsidR="000762D5">
        <w:t>(</w:t>
      </w:r>
      <w:r w:rsidR="00F70C91">
        <w:t>8,750</w:t>
      </w:r>
      <w:r w:rsidR="000762D5">
        <w:t xml:space="preserve"> hours) </w:t>
      </w:r>
    </w:p>
    <w:p w:rsidR="000762D5" w:rsidRDefault="000762D5" w:rsidP="00EF449A">
      <w:pPr>
        <w:ind w:left="360"/>
      </w:pPr>
      <w:proofErr w:type="gramStart"/>
      <w:r>
        <w:t>plus</w:t>
      </w:r>
      <w:proofErr w:type="gramEnd"/>
      <w:r>
        <w:t xml:space="preserve"> ETA</w:t>
      </w:r>
      <w:r w:rsidR="00C37549">
        <w:t>-</w:t>
      </w:r>
      <w:r>
        <w:t xml:space="preserve"> 5148 </w:t>
      </w:r>
      <w:r w:rsidR="008D0C6D">
        <w:t>(</w:t>
      </w:r>
      <w:r w:rsidR="00F70C91">
        <w:t xml:space="preserve">713 </w:t>
      </w:r>
      <w:r w:rsidR="008D0C6D">
        <w:t xml:space="preserve">+ </w:t>
      </w:r>
      <w:r w:rsidR="00F70C91">
        <w:t>243</w:t>
      </w:r>
      <w:r w:rsidR="002B660A">
        <w:t>) = (</w:t>
      </w:r>
      <w:r w:rsidR="00F70C91">
        <w:t>956</w:t>
      </w:r>
      <w:r w:rsidR="002B660A">
        <w:t xml:space="preserve"> hours)</w:t>
      </w:r>
    </w:p>
    <w:p w:rsidR="000762D5" w:rsidRDefault="000762D5" w:rsidP="00EF449A">
      <w:pPr>
        <w:ind w:left="360"/>
      </w:pPr>
    </w:p>
    <w:p w:rsidR="006C5490" w:rsidRDefault="00F70C91" w:rsidP="00EF449A">
      <w:pPr>
        <w:ind w:left="360"/>
      </w:pPr>
      <w:proofErr w:type="gramStart"/>
      <w:r>
        <w:t>8,750</w:t>
      </w:r>
      <w:r w:rsidR="000762D5">
        <w:t xml:space="preserve"> hours + </w:t>
      </w:r>
      <w:r>
        <w:t>956</w:t>
      </w:r>
      <w:r w:rsidR="002B660A">
        <w:t xml:space="preserve"> hours = </w:t>
      </w:r>
      <w:r>
        <w:t>9,706</w:t>
      </w:r>
      <w:r w:rsidR="006C5490" w:rsidRPr="000E6290">
        <w:t xml:space="preserve"> hours.</w:t>
      </w:r>
      <w:proofErr w:type="gramEnd"/>
    </w:p>
    <w:p w:rsidR="009E07DA" w:rsidRDefault="009E07DA" w:rsidP="00EF449A">
      <w:pPr>
        <w:ind w:left="360"/>
      </w:pPr>
    </w:p>
    <w:p w:rsidR="0066638D" w:rsidRDefault="00AB259C" w:rsidP="00404A0F">
      <w:pPr>
        <w:ind w:left="360"/>
        <w:rPr>
          <w:i/>
        </w:rPr>
      </w:pPr>
      <w:r w:rsidRPr="00AB259C">
        <w:rPr>
          <w:i/>
        </w:rPr>
        <w:t>The following table can be used as a guide to calculate the total burden of an information collection.</w:t>
      </w:r>
    </w:p>
    <w:p w:rsidR="00CB5076" w:rsidRPr="00404A0F" w:rsidRDefault="00CB5076" w:rsidP="00404A0F">
      <w:pPr>
        <w:ind w:left="360"/>
        <w:rPr>
          <w:i/>
        </w:rPr>
      </w:pPr>
    </w:p>
    <w:p w:rsidR="00AB259C" w:rsidRDefault="0066638D" w:rsidP="0066638D">
      <w:pPr>
        <w:ind w:left="360"/>
        <w:jc w:val="center"/>
      </w:pPr>
      <w:r>
        <w:t>Estimated Annualized Respondent Hour and Cost Burdens</w:t>
      </w:r>
    </w:p>
    <w:p w:rsidR="00CB5076" w:rsidRDefault="00CB5076" w:rsidP="0066638D">
      <w:pPr>
        <w:ind w:left="360"/>
        <w:jc w:val="center"/>
      </w:pPr>
    </w:p>
    <w:p w:rsidR="00404A0F" w:rsidRDefault="00404A0F" w:rsidP="0066638D">
      <w:pPr>
        <w:ind w:left="360"/>
        <w:jc w:val="cente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350"/>
        <w:gridCol w:w="1260"/>
        <w:gridCol w:w="1170"/>
        <w:gridCol w:w="1170"/>
        <w:gridCol w:w="900"/>
        <w:gridCol w:w="1350"/>
      </w:tblGrid>
      <w:tr w:rsidR="007740ED" w:rsidRPr="00AB259C" w:rsidTr="00404A0F">
        <w:tc>
          <w:tcPr>
            <w:tcW w:w="1440" w:type="dxa"/>
            <w:tcBorders>
              <w:top w:val="single" w:sz="4" w:space="0" w:color="auto"/>
              <w:left w:val="single" w:sz="4" w:space="0" w:color="auto"/>
              <w:bottom w:val="single" w:sz="4" w:space="0" w:color="auto"/>
              <w:right w:val="single" w:sz="4" w:space="0" w:color="auto"/>
            </w:tcBorders>
            <w:shd w:val="clear" w:color="auto" w:fill="8DB3E2"/>
            <w:hideMark/>
          </w:tcPr>
          <w:p w:rsidR="00AB259C" w:rsidRPr="00AB259C" w:rsidRDefault="00AB259C" w:rsidP="00AB259C">
            <w:pPr>
              <w:spacing w:line="276" w:lineRule="auto"/>
              <w:rPr>
                <w:b/>
                <w:sz w:val="22"/>
                <w:szCs w:val="22"/>
              </w:rPr>
            </w:pPr>
            <w:r w:rsidRPr="00AB259C">
              <w:rPr>
                <w:b/>
                <w:sz w:val="22"/>
                <w:szCs w:val="22"/>
              </w:rPr>
              <w:lastRenderedPageBreak/>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hideMark/>
          </w:tcPr>
          <w:p w:rsidR="00AB259C" w:rsidRPr="00AB259C" w:rsidRDefault="00AB259C" w:rsidP="00AB259C">
            <w:pPr>
              <w:spacing w:line="276" w:lineRule="auto"/>
              <w:rPr>
                <w:b/>
                <w:sz w:val="22"/>
                <w:szCs w:val="22"/>
              </w:rPr>
            </w:pPr>
            <w:r w:rsidRPr="00AB259C">
              <w:rPr>
                <w:b/>
                <w:sz w:val="22"/>
                <w:szCs w:val="22"/>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hideMark/>
          </w:tcPr>
          <w:p w:rsidR="00AB259C" w:rsidRPr="00AB259C" w:rsidRDefault="00E65CE9" w:rsidP="00E65CE9">
            <w:pPr>
              <w:spacing w:line="276" w:lineRule="auto"/>
              <w:rPr>
                <w:b/>
                <w:sz w:val="22"/>
                <w:szCs w:val="22"/>
              </w:rPr>
            </w:pPr>
            <w:r>
              <w:rPr>
                <w:b/>
                <w:sz w:val="22"/>
                <w:szCs w:val="22"/>
              </w:rPr>
              <w:t xml:space="preserve">Number of Responses per </w:t>
            </w:r>
            <w:r w:rsidR="007740ED">
              <w:rPr>
                <w:b/>
                <w:sz w:val="22"/>
                <w:szCs w:val="22"/>
              </w:rPr>
              <w:t>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AB259C" w:rsidRPr="00AB259C" w:rsidRDefault="00AB259C" w:rsidP="00AB259C">
            <w:pPr>
              <w:spacing w:line="276" w:lineRule="auto"/>
              <w:rPr>
                <w:b/>
                <w:sz w:val="22"/>
                <w:szCs w:val="22"/>
              </w:rPr>
            </w:pPr>
            <w:r w:rsidRPr="00AB259C">
              <w:rPr>
                <w:b/>
                <w:sz w:val="22"/>
                <w:szCs w:val="22"/>
              </w:rPr>
              <w:t xml:space="preserve">Total </w:t>
            </w:r>
            <w:r w:rsidR="007740ED">
              <w:rPr>
                <w:b/>
                <w:sz w:val="22"/>
                <w:szCs w:val="22"/>
              </w:rPr>
              <w:t xml:space="preserve">Number of </w:t>
            </w:r>
            <w:r w:rsidRPr="00AB259C">
              <w:rPr>
                <w:b/>
                <w:sz w:val="22"/>
                <w:szCs w:val="22"/>
              </w:rPr>
              <w:t>Responses</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B259C" w:rsidRDefault="00AB259C" w:rsidP="00AB259C">
            <w:pPr>
              <w:spacing w:line="276" w:lineRule="auto"/>
              <w:rPr>
                <w:b/>
                <w:sz w:val="22"/>
                <w:szCs w:val="22"/>
              </w:rPr>
            </w:pPr>
            <w:r w:rsidRPr="00AB259C">
              <w:rPr>
                <w:b/>
                <w:sz w:val="22"/>
                <w:szCs w:val="22"/>
              </w:rPr>
              <w:t>Time Per Response</w:t>
            </w:r>
          </w:p>
          <w:p w:rsidR="00E65CE9" w:rsidRPr="00AB259C" w:rsidRDefault="00E65CE9" w:rsidP="00E65CE9">
            <w:pPr>
              <w:spacing w:line="276" w:lineRule="auto"/>
              <w:rPr>
                <w:b/>
                <w:sz w:val="22"/>
                <w:szCs w:val="22"/>
              </w:rPr>
            </w:pPr>
            <w:r>
              <w:rPr>
                <w:b/>
                <w:sz w:val="22"/>
                <w:szCs w:val="22"/>
              </w:rPr>
              <w:t xml:space="preserve">(in hours) </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B259C" w:rsidRPr="00AB259C" w:rsidRDefault="00AB259C" w:rsidP="00AB259C">
            <w:pPr>
              <w:spacing w:line="276" w:lineRule="auto"/>
              <w:rPr>
                <w:b/>
                <w:sz w:val="22"/>
                <w:szCs w:val="22"/>
              </w:rPr>
            </w:pPr>
            <w:r w:rsidRPr="00AB259C">
              <w:rPr>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hideMark/>
          </w:tcPr>
          <w:p w:rsidR="00E65CE9" w:rsidRDefault="00AB259C" w:rsidP="00AB259C">
            <w:pPr>
              <w:spacing w:line="276" w:lineRule="auto"/>
              <w:rPr>
                <w:b/>
                <w:sz w:val="22"/>
                <w:szCs w:val="22"/>
              </w:rPr>
            </w:pPr>
            <w:r w:rsidRPr="00AB259C">
              <w:rPr>
                <w:b/>
                <w:sz w:val="22"/>
                <w:szCs w:val="22"/>
              </w:rPr>
              <w:t>Hourly</w:t>
            </w:r>
          </w:p>
          <w:p w:rsidR="00AB259C" w:rsidRPr="00AB259C" w:rsidRDefault="00E65CE9" w:rsidP="00AB259C">
            <w:pPr>
              <w:spacing w:line="276" w:lineRule="auto"/>
              <w:rPr>
                <w:b/>
                <w:sz w:val="22"/>
                <w:szCs w:val="22"/>
              </w:rPr>
            </w:pPr>
            <w:r>
              <w:rPr>
                <w:b/>
                <w:sz w:val="22"/>
                <w:szCs w:val="22"/>
              </w:rPr>
              <w:t xml:space="preserve">Wage </w:t>
            </w:r>
            <w:r w:rsidR="00AB259C" w:rsidRPr="00AB259C">
              <w:rPr>
                <w:b/>
                <w:sz w:val="22"/>
                <w:szCs w:val="22"/>
              </w:rPr>
              <w:t xml:space="preserve"> Rate*</w:t>
            </w:r>
          </w:p>
        </w:tc>
        <w:tc>
          <w:tcPr>
            <w:tcW w:w="1350" w:type="dxa"/>
            <w:tcBorders>
              <w:top w:val="single" w:sz="4" w:space="0" w:color="auto"/>
              <w:left w:val="single" w:sz="4" w:space="0" w:color="auto"/>
              <w:bottom w:val="single" w:sz="4" w:space="0" w:color="auto"/>
              <w:right w:val="single" w:sz="4" w:space="0" w:color="auto"/>
            </w:tcBorders>
            <w:shd w:val="clear" w:color="auto" w:fill="8DB3E2"/>
            <w:hideMark/>
          </w:tcPr>
          <w:p w:rsidR="00AB259C" w:rsidRPr="00AB259C" w:rsidRDefault="00E65CE9" w:rsidP="00E65CE9">
            <w:pPr>
              <w:spacing w:line="276" w:lineRule="auto"/>
              <w:rPr>
                <w:b/>
                <w:sz w:val="22"/>
                <w:szCs w:val="22"/>
              </w:rPr>
            </w:pPr>
            <w:r>
              <w:rPr>
                <w:b/>
                <w:sz w:val="22"/>
                <w:szCs w:val="22"/>
              </w:rPr>
              <w:t>Total Cost Burden</w:t>
            </w:r>
            <w:r w:rsidR="00AB259C" w:rsidRPr="00AB259C">
              <w:rPr>
                <w:b/>
                <w:sz w:val="22"/>
                <w:szCs w:val="22"/>
              </w:rPr>
              <w:t xml:space="preserve"> </w:t>
            </w:r>
          </w:p>
        </w:tc>
      </w:tr>
      <w:tr w:rsidR="00797A66" w:rsidRPr="00AB259C" w:rsidTr="00404A0F">
        <w:tc>
          <w:tcPr>
            <w:tcW w:w="1440" w:type="dxa"/>
            <w:tcBorders>
              <w:top w:val="single" w:sz="4" w:space="0" w:color="auto"/>
              <w:left w:val="single" w:sz="4" w:space="0" w:color="auto"/>
              <w:bottom w:val="single" w:sz="4" w:space="0" w:color="auto"/>
              <w:right w:val="single" w:sz="4" w:space="0" w:color="auto"/>
            </w:tcBorders>
            <w:vAlign w:val="bottom"/>
          </w:tcPr>
          <w:p w:rsidR="00AB259C" w:rsidRDefault="00797A66" w:rsidP="00797A66">
            <w:pPr>
              <w:spacing w:line="276" w:lineRule="auto"/>
              <w:jc w:val="center"/>
              <w:rPr>
                <w:sz w:val="22"/>
                <w:szCs w:val="22"/>
              </w:rPr>
            </w:pPr>
            <w:r>
              <w:rPr>
                <w:sz w:val="22"/>
                <w:szCs w:val="22"/>
              </w:rPr>
              <w:t>ETA 8429</w:t>
            </w:r>
            <w:r w:rsidR="00882BB1">
              <w:rPr>
                <w:sz w:val="22"/>
                <w:szCs w:val="22"/>
              </w:rPr>
              <w:t>,</w:t>
            </w:r>
          </w:p>
          <w:p w:rsidR="00882BB1" w:rsidRPr="00AB259C" w:rsidRDefault="00CA67C6" w:rsidP="00797A66">
            <w:pPr>
              <w:spacing w:line="276" w:lineRule="auto"/>
              <w:jc w:val="center"/>
              <w:rPr>
                <w:sz w:val="22"/>
                <w:szCs w:val="22"/>
              </w:rPr>
            </w:pPr>
            <w:r>
              <w:rPr>
                <w:sz w:val="22"/>
                <w:szCs w:val="22"/>
              </w:rPr>
              <w:t>Third Party Disclosure</w:t>
            </w:r>
          </w:p>
        </w:tc>
        <w:tc>
          <w:tcPr>
            <w:tcW w:w="1440" w:type="dxa"/>
            <w:tcBorders>
              <w:top w:val="single" w:sz="4" w:space="0" w:color="auto"/>
              <w:left w:val="single" w:sz="4" w:space="0" w:color="auto"/>
              <w:bottom w:val="single" w:sz="4" w:space="0" w:color="auto"/>
              <w:right w:val="single" w:sz="4" w:space="0" w:color="auto"/>
            </w:tcBorders>
            <w:vAlign w:val="bottom"/>
          </w:tcPr>
          <w:p w:rsidR="00AB259C" w:rsidRPr="00AB259C" w:rsidRDefault="00736EDE" w:rsidP="00892C22">
            <w:pPr>
              <w:spacing w:line="276" w:lineRule="auto"/>
              <w:jc w:val="center"/>
              <w:rPr>
                <w:sz w:val="22"/>
                <w:szCs w:val="22"/>
              </w:rPr>
            </w:pPr>
            <w:r>
              <w:rPr>
                <w:sz w:val="22"/>
                <w:szCs w:val="22"/>
              </w:rPr>
              <w:t>3,500</w:t>
            </w:r>
          </w:p>
        </w:tc>
        <w:tc>
          <w:tcPr>
            <w:tcW w:w="1350" w:type="dxa"/>
            <w:tcBorders>
              <w:top w:val="single" w:sz="4" w:space="0" w:color="auto"/>
              <w:left w:val="single" w:sz="4" w:space="0" w:color="auto"/>
              <w:bottom w:val="single" w:sz="4" w:space="0" w:color="auto"/>
              <w:right w:val="single" w:sz="4" w:space="0" w:color="auto"/>
            </w:tcBorders>
            <w:vAlign w:val="bottom"/>
          </w:tcPr>
          <w:p w:rsidR="00AB259C" w:rsidRPr="00AB259C" w:rsidRDefault="00CA67C6" w:rsidP="008947EC">
            <w:pPr>
              <w:spacing w:line="276" w:lineRule="auto"/>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bottom"/>
          </w:tcPr>
          <w:p w:rsidR="00AB259C" w:rsidRPr="00AB259C" w:rsidRDefault="005606B1" w:rsidP="00797A66">
            <w:pPr>
              <w:spacing w:line="276" w:lineRule="auto"/>
              <w:jc w:val="center"/>
              <w:rPr>
                <w:sz w:val="22"/>
                <w:szCs w:val="22"/>
              </w:rPr>
            </w:pPr>
            <w:r>
              <w:rPr>
                <w:sz w:val="22"/>
                <w:szCs w:val="22"/>
              </w:rPr>
              <w:t>3</w:t>
            </w:r>
            <w:r w:rsidR="00736EDE">
              <w:rPr>
                <w:sz w:val="22"/>
                <w:szCs w:val="22"/>
              </w:rPr>
              <w:t>,</w:t>
            </w:r>
            <w:r>
              <w:rPr>
                <w:sz w:val="22"/>
                <w:szCs w:val="22"/>
              </w:rPr>
              <w:t>500</w:t>
            </w:r>
          </w:p>
        </w:tc>
        <w:tc>
          <w:tcPr>
            <w:tcW w:w="1170" w:type="dxa"/>
            <w:tcBorders>
              <w:top w:val="single" w:sz="4" w:space="0" w:color="auto"/>
              <w:left w:val="single" w:sz="4" w:space="0" w:color="auto"/>
              <w:bottom w:val="single" w:sz="4" w:space="0" w:color="auto"/>
              <w:right w:val="single" w:sz="4" w:space="0" w:color="auto"/>
            </w:tcBorders>
            <w:vAlign w:val="bottom"/>
          </w:tcPr>
          <w:p w:rsidR="00AB259C" w:rsidRPr="00AB259C" w:rsidRDefault="00E65CE9" w:rsidP="00892C22">
            <w:pPr>
              <w:spacing w:line="276" w:lineRule="auto"/>
              <w:jc w:val="center"/>
              <w:rPr>
                <w:sz w:val="22"/>
                <w:szCs w:val="22"/>
              </w:rPr>
            </w:pPr>
            <w:r>
              <w:rPr>
                <w:sz w:val="22"/>
                <w:szCs w:val="22"/>
              </w:rPr>
              <w:t>.</w:t>
            </w:r>
            <w:r w:rsidR="00226A31">
              <w:rPr>
                <w:sz w:val="22"/>
                <w:szCs w:val="22"/>
              </w:rPr>
              <w:t>5</w:t>
            </w:r>
          </w:p>
        </w:tc>
        <w:tc>
          <w:tcPr>
            <w:tcW w:w="1170" w:type="dxa"/>
            <w:tcBorders>
              <w:top w:val="single" w:sz="4" w:space="0" w:color="auto"/>
              <w:left w:val="single" w:sz="4" w:space="0" w:color="auto"/>
              <w:bottom w:val="single" w:sz="4" w:space="0" w:color="auto"/>
              <w:right w:val="single" w:sz="4" w:space="0" w:color="auto"/>
            </w:tcBorders>
            <w:vAlign w:val="bottom"/>
          </w:tcPr>
          <w:p w:rsidR="00B972F8" w:rsidRDefault="00B972F8" w:rsidP="00E65CE9">
            <w:pPr>
              <w:spacing w:line="276" w:lineRule="auto"/>
              <w:jc w:val="center"/>
              <w:rPr>
                <w:sz w:val="22"/>
                <w:szCs w:val="22"/>
              </w:rPr>
            </w:pPr>
          </w:p>
          <w:p w:rsidR="00AB259C" w:rsidRPr="00AB259C" w:rsidRDefault="005606B1" w:rsidP="00B972F8">
            <w:pPr>
              <w:spacing w:line="276" w:lineRule="auto"/>
              <w:jc w:val="center"/>
              <w:rPr>
                <w:sz w:val="22"/>
                <w:szCs w:val="22"/>
              </w:rPr>
            </w:pPr>
            <w:r>
              <w:rPr>
                <w:sz w:val="22"/>
                <w:szCs w:val="22"/>
              </w:rPr>
              <w:t>1,750</w:t>
            </w:r>
            <w:r w:rsidR="00226A31">
              <w:rPr>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vAlign w:val="bottom"/>
          </w:tcPr>
          <w:p w:rsidR="00AB259C" w:rsidRPr="00AB259C" w:rsidRDefault="00797A66" w:rsidP="00797A66">
            <w:pPr>
              <w:spacing w:line="276" w:lineRule="auto"/>
              <w:jc w:val="center"/>
              <w:rPr>
                <w:sz w:val="22"/>
                <w:szCs w:val="22"/>
              </w:rPr>
            </w:pPr>
            <w:r>
              <w:rPr>
                <w:sz w:val="22"/>
                <w:szCs w:val="22"/>
              </w:rPr>
              <w:t>$45.33</w:t>
            </w:r>
          </w:p>
        </w:tc>
        <w:tc>
          <w:tcPr>
            <w:tcW w:w="1350" w:type="dxa"/>
            <w:tcBorders>
              <w:top w:val="single" w:sz="4" w:space="0" w:color="auto"/>
              <w:left w:val="single" w:sz="4" w:space="0" w:color="auto"/>
              <w:bottom w:val="single" w:sz="4" w:space="0" w:color="auto"/>
              <w:right w:val="single" w:sz="4" w:space="0" w:color="auto"/>
            </w:tcBorders>
            <w:vAlign w:val="bottom"/>
          </w:tcPr>
          <w:p w:rsidR="00B972F8" w:rsidRDefault="00B972F8" w:rsidP="00B972F8">
            <w:pPr>
              <w:spacing w:line="276" w:lineRule="auto"/>
              <w:jc w:val="center"/>
              <w:rPr>
                <w:sz w:val="22"/>
                <w:szCs w:val="22"/>
              </w:rPr>
            </w:pPr>
          </w:p>
          <w:p w:rsidR="00AB259C" w:rsidRPr="00AB259C" w:rsidRDefault="00404A0F" w:rsidP="00B972F8">
            <w:pPr>
              <w:spacing w:line="276" w:lineRule="auto"/>
              <w:jc w:val="center"/>
              <w:rPr>
                <w:sz w:val="22"/>
                <w:szCs w:val="22"/>
              </w:rPr>
            </w:pPr>
            <w:r>
              <w:rPr>
                <w:sz w:val="22"/>
                <w:szCs w:val="22"/>
              </w:rPr>
              <w:t>$</w:t>
            </w:r>
            <w:r w:rsidR="005606B1">
              <w:rPr>
                <w:sz w:val="22"/>
                <w:szCs w:val="22"/>
              </w:rPr>
              <w:t>79,328</w:t>
            </w:r>
          </w:p>
        </w:tc>
      </w:tr>
      <w:tr w:rsidR="00882BB1" w:rsidRPr="00AB259C" w:rsidTr="00404A0F">
        <w:tc>
          <w:tcPr>
            <w:tcW w:w="1440" w:type="dxa"/>
            <w:tcBorders>
              <w:top w:val="single" w:sz="4" w:space="0" w:color="auto"/>
              <w:left w:val="single" w:sz="4" w:space="0" w:color="auto"/>
              <w:bottom w:val="single" w:sz="4" w:space="0" w:color="auto"/>
              <w:right w:val="single" w:sz="4" w:space="0" w:color="auto"/>
            </w:tcBorders>
            <w:vAlign w:val="bottom"/>
          </w:tcPr>
          <w:p w:rsidR="00882BB1" w:rsidRDefault="00882BB1" w:rsidP="00917EEC">
            <w:pPr>
              <w:spacing w:line="276" w:lineRule="auto"/>
              <w:jc w:val="center"/>
              <w:rPr>
                <w:sz w:val="22"/>
                <w:szCs w:val="22"/>
              </w:rPr>
            </w:pPr>
            <w:r>
              <w:rPr>
                <w:sz w:val="22"/>
                <w:szCs w:val="22"/>
              </w:rPr>
              <w:t>ETA 8429,</w:t>
            </w:r>
          </w:p>
          <w:p w:rsidR="00882BB1" w:rsidRDefault="00882BB1" w:rsidP="00917EEC">
            <w:pPr>
              <w:spacing w:line="276" w:lineRule="auto"/>
              <w:jc w:val="center"/>
              <w:rPr>
                <w:sz w:val="22"/>
                <w:szCs w:val="22"/>
              </w:rPr>
            </w:pPr>
            <w:r>
              <w:rPr>
                <w:sz w:val="22"/>
                <w:szCs w:val="22"/>
              </w:rPr>
              <w:t>Reporting</w:t>
            </w:r>
          </w:p>
        </w:tc>
        <w:tc>
          <w:tcPr>
            <w:tcW w:w="1440" w:type="dxa"/>
            <w:tcBorders>
              <w:top w:val="single" w:sz="4" w:space="0" w:color="auto"/>
              <w:left w:val="single" w:sz="4" w:space="0" w:color="auto"/>
              <w:bottom w:val="single" w:sz="4" w:space="0" w:color="auto"/>
              <w:right w:val="single" w:sz="4" w:space="0" w:color="auto"/>
            </w:tcBorders>
            <w:vAlign w:val="bottom"/>
          </w:tcPr>
          <w:p w:rsidR="00882BB1" w:rsidRDefault="00892C22" w:rsidP="00917EEC">
            <w:pPr>
              <w:spacing w:line="276" w:lineRule="auto"/>
              <w:jc w:val="center"/>
              <w:rPr>
                <w:sz w:val="22"/>
                <w:szCs w:val="22"/>
              </w:rPr>
            </w:pPr>
            <w:r>
              <w:rPr>
                <w:sz w:val="22"/>
                <w:szCs w:val="22"/>
              </w:rPr>
              <w:t>52</w:t>
            </w:r>
          </w:p>
        </w:tc>
        <w:tc>
          <w:tcPr>
            <w:tcW w:w="1350" w:type="dxa"/>
            <w:tcBorders>
              <w:top w:val="single" w:sz="4" w:space="0" w:color="auto"/>
              <w:left w:val="single" w:sz="4" w:space="0" w:color="auto"/>
              <w:bottom w:val="single" w:sz="4" w:space="0" w:color="auto"/>
              <w:right w:val="single" w:sz="4" w:space="0" w:color="auto"/>
            </w:tcBorders>
            <w:vAlign w:val="bottom"/>
          </w:tcPr>
          <w:p w:rsidR="00882BB1" w:rsidRDefault="005606B1" w:rsidP="00B972F8">
            <w:pPr>
              <w:spacing w:line="276" w:lineRule="auto"/>
              <w:jc w:val="center"/>
              <w:rPr>
                <w:sz w:val="22"/>
                <w:szCs w:val="22"/>
              </w:rPr>
            </w:pPr>
            <w:r>
              <w:rPr>
                <w:sz w:val="22"/>
                <w:szCs w:val="22"/>
              </w:rPr>
              <w:t>67.3</w:t>
            </w:r>
          </w:p>
        </w:tc>
        <w:tc>
          <w:tcPr>
            <w:tcW w:w="1260" w:type="dxa"/>
            <w:tcBorders>
              <w:top w:val="single" w:sz="4" w:space="0" w:color="auto"/>
              <w:left w:val="single" w:sz="4" w:space="0" w:color="auto"/>
              <w:bottom w:val="single" w:sz="4" w:space="0" w:color="auto"/>
              <w:right w:val="single" w:sz="4" w:space="0" w:color="auto"/>
            </w:tcBorders>
            <w:vAlign w:val="bottom"/>
          </w:tcPr>
          <w:p w:rsidR="00882BB1" w:rsidRDefault="005606B1" w:rsidP="00C43B7C">
            <w:pPr>
              <w:spacing w:line="276" w:lineRule="auto"/>
              <w:jc w:val="center"/>
              <w:rPr>
                <w:sz w:val="22"/>
                <w:szCs w:val="22"/>
              </w:rPr>
            </w:pPr>
            <w:r>
              <w:rPr>
                <w:sz w:val="22"/>
                <w:szCs w:val="22"/>
              </w:rPr>
              <w:t>3,500</w:t>
            </w:r>
          </w:p>
        </w:tc>
        <w:tc>
          <w:tcPr>
            <w:tcW w:w="1170" w:type="dxa"/>
            <w:tcBorders>
              <w:top w:val="single" w:sz="4" w:space="0" w:color="auto"/>
              <w:left w:val="single" w:sz="4" w:space="0" w:color="auto"/>
              <w:bottom w:val="single" w:sz="4" w:space="0" w:color="auto"/>
              <w:right w:val="single" w:sz="4" w:space="0" w:color="auto"/>
            </w:tcBorders>
            <w:vAlign w:val="bottom"/>
          </w:tcPr>
          <w:p w:rsidR="00882BB1" w:rsidRDefault="00E65CE9" w:rsidP="00797A66">
            <w:pPr>
              <w:spacing w:line="276" w:lineRule="auto"/>
              <w:jc w:val="center"/>
              <w:rPr>
                <w:sz w:val="22"/>
                <w:szCs w:val="22"/>
              </w:rPr>
            </w:pPr>
            <w:r>
              <w:rPr>
                <w:sz w:val="22"/>
                <w:szCs w:val="22"/>
              </w:rPr>
              <w:t>2</w:t>
            </w:r>
          </w:p>
        </w:tc>
        <w:tc>
          <w:tcPr>
            <w:tcW w:w="1170" w:type="dxa"/>
            <w:tcBorders>
              <w:top w:val="single" w:sz="4" w:space="0" w:color="auto"/>
              <w:left w:val="single" w:sz="4" w:space="0" w:color="auto"/>
              <w:bottom w:val="single" w:sz="4" w:space="0" w:color="auto"/>
              <w:right w:val="single" w:sz="4" w:space="0" w:color="auto"/>
            </w:tcBorders>
            <w:vAlign w:val="bottom"/>
          </w:tcPr>
          <w:p w:rsidR="00C43B7C" w:rsidRDefault="00C43B7C" w:rsidP="00917EEC">
            <w:pPr>
              <w:spacing w:line="276" w:lineRule="auto"/>
              <w:rPr>
                <w:sz w:val="22"/>
                <w:szCs w:val="22"/>
              </w:rPr>
            </w:pPr>
          </w:p>
          <w:p w:rsidR="009C07C8" w:rsidRDefault="009C07C8" w:rsidP="00E65CE9">
            <w:pPr>
              <w:spacing w:line="276" w:lineRule="auto"/>
              <w:jc w:val="center"/>
              <w:rPr>
                <w:sz w:val="22"/>
                <w:szCs w:val="22"/>
              </w:rPr>
            </w:pPr>
          </w:p>
          <w:p w:rsidR="00882BB1" w:rsidRDefault="00C43B7C" w:rsidP="005606B1">
            <w:pPr>
              <w:spacing w:line="276" w:lineRule="auto"/>
              <w:jc w:val="center"/>
              <w:rPr>
                <w:sz w:val="22"/>
                <w:szCs w:val="22"/>
              </w:rPr>
            </w:pPr>
            <w:r>
              <w:rPr>
                <w:sz w:val="22"/>
                <w:szCs w:val="22"/>
              </w:rPr>
              <w:t>7,</w:t>
            </w:r>
            <w:r w:rsidR="005606B1">
              <w:rPr>
                <w:sz w:val="22"/>
                <w:szCs w:val="22"/>
              </w:rPr>
              <w:t>000</w:t>
            </w:r>
          </w:p>
        </w:tc>
        <w:tc>
          <w:tcPr>
            <w:tcW w:w="900" w:type="dxa"/>
            <w:tcBorders>
              <w:top w:val="single" w:sz="4" w:space="0" w:color="auto"/>
              <w:left w:val="single" w:sz="4" w:space="0" w:color="auto"/>
              <w:bottom w:val="single" w:sz="4" w:space="0" w:color="auto"/>
              <w:right w:val="single" w:sz="4" w:space="0" w:color="auto"/>
            </w:tcBorders>
            <w:vAlign w:val="bottom"/>
          </w:tcPr>
          <w:p w:rsidR="00882BB1" w:rsidRDefault="00A636F5" w:rsidP="00797A66">
            <w:pPr>
              <w:spacing w:line="276" w:lineRule="auto"/>
              <w:jc w:val="center"/>
              <w:rPr>
                <w:sz w:val="22"/>
                <w:szCs w:val="22"/>
              </w:rPr>
            </w:pPr>
            <w:r>
              <w:rPr>
                <w:sz w:val="22"/>
                <w:szCs w:val="22"/>
              </w:rPr>
              <w:t>$45.33</w:t>
            </w:r>
          </w:p>
        </w:tc>
        <w:tc>
          <w:tcPr>
            <w:tcW w:w="1350" w:type="dxa"/>
            <w:tcBorders>
              <w:top w:val="single" w:sz="4" w:space="0" w:color="auto"/>
              <w:left w:val="single" w:sz="4" w:space="0" w:color="auto"/>
              <w:bottom w:val="single" w:sz="4" w:space="0" w:color="auto"/>
              <w:right w:val="single" w:sz="4" w:space="0" w:color="auto"/>
            </w:tcBorders>
            <w:vAlign w:val="bottom"/>
          </w:tcPr>
          <w:p w:rsidR="00882BB1" w:rsidRDefault="00882BB1" w:rsidP="00B972F8">
            <w:pPr>
              <w:spacing w:line="276" w:lineRule="auto"/>
              <w:jc w:val="center"/>
              <w:rPr>
                <w:sz w:val="22"/>
                <w:szCs w:val="22"/>
              </w:rPr>
            </w:pPr>
          </w:p>
          <w:p w:rsidR="00B972F8" w:rsidRPr="00AB259C" w:rsidRDefault="00404A0F" w:rsidP="00B972F8">
            <w:pPr>
              <w:spacing w:line="276" w:lineRule="auto"/>
              <w:jc w:val="center"/>
              <w:rPr>
                <w:sz w:val="22"/>
                <w:szCs w:val="22"/>
              </w:rPr>
            </w:pPr>
            <w:r>
              <w:rPr>
                <w:sz w:val="22"/>
                <w:szCs w:val="22"/>
              </w:rPr>
              <w:t>$</w:t>
            </w:r>
            <w:r w:rsidR="00B972F8">
              <w:rPr>
                <w:sz w:val="22"/>
                <w:szCs w:val="22"/>
              </w:rPr>
              <w:t>317,310</w:t>
            </w:r>
          </w:p>
        </w:tc>
      </w:tr>
      <w:tr w:rsidR="00E65CE9" w:rsidRPr="00AB259C" w:rsidTr="00404A0F">
        <w:tc>
          <w:tcPr>
            <w:tcW w:w="1440" w:type="dxa"/>
            <w:tcBorders>
              <w:top w:val="single" w:sz="4" w:space="0" w:color="auto"/>
              <w:left w:val="single" w:sz="4" w:space="0" w:color="auto"/>
              <w:bottom w:val="single" w:sz="4" w:space="0" w:color="auto"/>
              <w:right w:val="single" w:sz="4" w:space="0" w:color="auto"/>
            </w:tcBorders>
            <w:vAlign w:val="bottom"/>
          </w:tcPr>
          <w:p w:rsidR="00E65CE9" w:rsidRDefault="00E65CE9" w:rsidP="00797A66">
            <w:pPr>
              <w:spacing w:line="276" w:lineRule="auto"/>
              <w:jc w:val="center"/>
              <w:rPr>
                <w:sz w:val="22"/>
                <w:szCs w:val="22"/>
              </w:rPr>
            </w:pPr>
            <w:r>
              <w:rPr>
                <w:sz w:val="22"/>
                <w:szCs w:val="22"/>
              </w:rPr>
              <w:t>ETA 5148</w:t>
            </w:r>
          </w:p>
          <w:p w:rsidR="00E65CE9" w:rsidRDefault="00E65CE9" w:rsidP="00797A66">
            <w:pPr>
              <w:spacing w:line="276" w:lineRule="auto"/>
              <w:jc w:val="center"/>
              <w:rPr>
                <w:sz w:val="22"/>
                <w:szCs w:val="22"/>
              </w:rPr>
            </w:pPr>
            <w:r>
              <w:rPr>
                <w:sz w:val="22"/>
                <w:szCs w:val="22"/>
              </w:rPr>
              <w:t>Record</w:t>
            </w:r>
          </w:p>
          <w:p w:rsidR="00E65CE9" w:rsidRDefault="007740ED" w:rsidP="00797A66">
            <w:pPr>
              <w:spacing w:line="276" w:lineRule="auto"/>
              <w:jc w:val="center"/>
              <w:rPr>
                <w:sz w:val="22"/>
                <w:szCs w:val="22"/>
              </w:rPr>
            </w:pPr>
            <w:r>
              <w:rPr>
                <w:sz w:val="22"/>
                <w:szCs w:val="22"/>
              </w:rPr>
              <w:t>K</w:t>
            </w:r>
            <w:r w:rsidR="00E65CE9">
              <w:rPr>
                <w:sz w:val="22"/>
                <w:szCs w:val="22"/>
              </w:rPr>
              <w:t>eeping</w:t>
            </w:r>
          </w:p>
        </w:tc>
        <w:tc>
          <w:tcPr>
            <w:tcW w:w="1440" w:type="dxa"/>
            <w:tcBorders>
              <w:top w:val="single" w:sz="4" w:space="0" w:color="auto"/>
              <w:left w:val="single" w:sz="4" w:space="0" w:color="auto"/>
              <w:bottom w:val="single" w:sz="4" w:space="0" w:color="auto"/>
              <w:right w:val="single" w:sz="4" w:space="0" w:color="auto"/>
            </w:tcBorders>
            <w:vAlign w:val="bottom"/>
          </w:tcPr>
          <w:p w:rsidR="00E65CE9" w:rsidRDefault="00591B30" w:rsidP="00797A66">
            <w:pPr>
              <w:spacing w:line="276" w:lineRule="auto"/>
              <w:jc w:val="center"/>
              <w:rPr>
                <w:sz w:val="22"/>
                <w:szCs w:val="22"/>
              </w:rPr>
            </w:pPr>
            <w:r>
              <w:rPr>
                <w:sz w:val="22"/>
                <w:szCs w:val="22"/>
              </w:rPr>
              <w:t>52</w:t>
            </w:r>
          </w:p>
        </w:tc>
        <w:tc>
          <w:tcPr>
            <w:tcW w:w="1350" w:type="dxa"/>
            <w:tcBorders>
              <w:top w:val="single" w:sz="4" w:space="0" w:color="auto"/>
              <w:left w:val="single" w:sz="4" w:space="0" w:color="auto"/>
              <w:bottom w:val="single" w:sz="4" w:space="0" w:color="auto"/>
              <w:right w:val="single" w:sz="4" w:space="0" w:color="auto"/>
            </w:tcBorders>
            <w:vAlign w:val="bottom"/>
          </w:tcPr>
          <w:p w:rsidR="00E65CE9" w:rsidDel="00E65CE9" w:rsidRDefault="0060752A" w:rsidP="00E65CE9">
            <w:pPr>
              <w:spacing w:line="276" w:lineRule="auto"/>
              <w:jc w:val="center"/>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vAlign w:val="bottom"/>
          </w:tcPr>
          <w:p w:rsidR="00E65CE9" w:rsidRDefault="0060752A" w:rsidP="00591B30">
            <w:pPr>
              <w:spacing w:line="276" w:lineRule="auto"/>
              <w:jc w:val="center"/>
              <w:rPr>
                <w:sz w:val="22"/>
                <w:szCs w:val="22"/>
              </w:rPr>
            </w:pPr>
            <w:r>
              <w:rPr>
                <w:sz w:val="22"/>
                <w:szCs w:val="22"/>
              </w:rPr>
              <w:t>20</w:t>
            </w:r>
            <w:r w:rsidR="00591B30">
              <w:rPr>
                <w:sz w:val="22"/>
                <w:szCs w:val="22"/>
              </w:rPr>
              <w:t>8</w:t>
            </w:r>
          </w:p>
        </w:tc>
        <w:tc>
          <w:tcPr>
            <w:tcW w:w="1170" w:type="dxa"/>
            <w:tcBorders>
              <w:top w:val="single" w:sz="4" w:space="0" w:color="auto"/>
              <w:left w:val="single" w:sz="4" w:space="0" w:color="auto"/>
              <w:bottom w:val="single" w:sz="4" w:space="0" w:color="auto"/>
              <w:right w:val="single" w:sz="4" w:space="0" w:color="auto"/>
            </w:tcBorders>
            <w:vAlign w:val="bottom"/>
          </w:tcPr>
          <w:p w:rsidR="00E65CE9" w:rsidDel="00E65CE9" w:rsidRDefault="0060752A" w:rsidP="00797A66">
            <w:pPr>
              <w:spacing w:line="276" w:lineRule="auto"/>
              <w:jc w:val="center"/>
              <w:rPr>
                <w:sz w:val="22"/>
                <w:szCs w:val="22"/>
              </w:rPr>
            </w:pPr>
            <w:r>
              <w:rPr>
                <w:sz w:val="22"/>
                <w:szCs w:val="22"/>
              </w:rPr>
              <w:t>3.43</w:t>
            </w:r>
          </w:p>
        </w:tc>
        <w:tc>
          <w:tcPr>
            <w:tcW w:w="1170" w:type="dxa"/>
            <w:tcBorders>
              <w:top w:val="single" w:sz="4" w:space="0" w:color="auto"/>
              <w:left w:val="single" w:sz="4" w:space="0" w:color="auto"/>
              <w:bottom w:val="single" w:sz="4" w:space="0" w:color="auto"/>
              <w:right w:val="single" w:sz="4" w:space="0" w:color="auto"/>
            </w:tcBorders>
            <w:vAlign w:val="bottom"/>
          </w:tcPr>
          <w:p w:rsidR="00E65CE9" w:rsidRDefault="00591B30" w:rsidP="00797A66">
            <w:pPr>
              <w:spacing w:line="276" w:lineRule="auto"/>
              <w:jc w:val="center"/>
              <w:rPr>
                <w:sz w:val="22"/>
                <w:szCs w:val="22"/>
              </w:rPr>
            </w:pPr>
            <w:r>
              <w:rPr>
                <w:sz w:val="22"/>
                <w:szCs w:val="22"/>
              </w:rPr>
              <w:t>713</w:t>
            </w:r>
          </w:p>
        </w:tc>
        <w:tc>
          <w:tcPr>
            <w:tcW w:w="900" w:type="dxa"/>
            <w:tcBorders>
              <w:top w:val="single" w:sz="4" w:space="0" w:color="auto"/>
              <w:left w:val="single" w:sz="4" w:space="0" w:color="auto"/>
              <w:bottom w:val="single" w:sz="4" w:space="0" w:color="auto"/>
              <w:right w:val="single" w:sz="4" w:space="0" w:color="auto"/>
            </w:tcBorders>
            <w:vAlign w:val="bottom"/>
          </w:tcPr>
          <w:p w:rsidR="00E65CE9" w:rsidRDefault="0060752A" w:rsidP="00797A66">
            <w:pPr>
              <w:spacing w:line="276" w:lineRule="auto"/>
              <w:jc w:val="center"/>
              <w:rPr>
                <w:sz w:val="22"/>
                <w:szCs w:val="22"/>
              </w:rPr>
            </w:pPr>
            <w:r>
              <w:rPr>
                <w:sz w:val="22"/>
                <w:szCs w:val="22"/>
              </w:rPr>
              <w:t>$45.33</w:t>
            </w:r>
          </w:p>
        </w:tc>
        <w:tc>
          <w:tcPr>
            <w:tcW w:w="1350" w:type="dxa"/>
            <w:tcBorders>
              <w:top w:val="single" w:sz="4" w:space="0" w:color="auto"/>
              <w:left w:val="single" w:sz="4" w:space="0" w:color="auto"/>
              <w:bottom w:val="single" w:sz="4" w:space="0" w:color="auto"/>
              <w:right w:val="single" w:sz="4" w:space="0" w:color="auto"/>
            </w:tcBorders>
            <w:vAlign w:val="bottom"/>
          </w:tcPr>
          <w:p w:rsidR="00591B30" w:rsidRDefault="00591B30" w:rsidP="00591B30">
            <w:pPr>
              <w:spacing w:line="276" w:lineRule="auto"/>
              <w:jc w:val="center"/>
              <w:rPr>
                <w:sz w:val="22"/>
                <w:szCs w:val="22"/>
              </w:rPr>
            </w:pPr>
          </w:p>
          <w:p w:rsidR="00E65CE9" w:rsidRDefault="00404A0F" w:rsidP="00591B30">
            <w:pPr>
              <w:spacing w:line="276" w:lineRule="auto"/>
              <w:jc w:val="center"/>
              <w:rPr>
                <w:sz w:val="22"/>
                <w:szCs w:val="22"/>
              </w:rPr>
            </w:pPr>
            <w:r>
              <w:rPr>
                <w:sz w:val="22"/>
                <w:szCs w:val="22"/>
              </w:rPr>
              <w:t>$</w:t>
            </w:r>
            <w:r w:rsidR="005606B1">
              <w:rPr>
                <w:sz w:val="22"/>
                <w:szCs w:val="22"/>
              </w:rPr>
              <w:t>32,320</w:t>
            </w:r>
          </w:p>
        </w:tc>
      </w:tr>
      <w:tr w:rsidR="00DA3C68" w:rsidRPr="00AB259C" w:rsidTr="00404A0F">
        <w:tc>
          <w:tcPr>
            <w:tcW w:w="1440" w:type="dxa"/>
            <w:tcBorders>
              <w:top w:val="single" w:sz="4" w:space="0" w:color="auto"/>
              <w:left w:val="single" w:sz="4" w:space="0" w:color="auto"/>
              <w:bottom w:val="single" w:sz="4" w:space="0" w:color="auto"/>
              <w:right w:val="single" w:sz="4" w:space="0" w:color="auto"/>
            </w:tcBorders>
            <w:vAlign w:val="bottom"/>
          </w:tcPr>
          <w:p w:rsidR="00DA3C68" w:rsidRDefault="00DA3C68" w:rsidP="00797A66">
            <w:pPr>
              <w:spacing w:line="276" w:lineRule="auto"/>
              <w:jc w:val="center"/>
              <w:rPr>
                <w:sz w:val="22"/>
                <w:szCs w:val="22"/>
              </w:rPr>
            </w:pPr>
            <w:r>
              <w:rPr>
                <w:sz w:val="22"/>
                <w:szCs w:val="22"/>
              </w:rPr>
              <w:t>ETA 5148, Reporting</w:t>
            </w:r>
          </w:p>
        </w:tc>
        <w:tc>
          <w:tcPr>
            <w:tcW w:w="1440" w:type="dxa"/>
            <w:tcBorders>
              <w:top w:val="single" w:sz="4" w:space="0" w:color="auto"/>
              <w:left w:val="single" w:sz="4" w:space="0" w:color="auto"/>
              <w:bottom w:val="single" w:sz="4" w:space="0" w:color="auto"/>
              <w:right w:val="single" w:sz="4" w:space="0" w:color="auto"/>
            </w:tcBorders>
            <w:vAlign w:val="bottom"/>
          </w:tcPr>
          <w:p w:rsidR="00DA3C68" w:rsidRDefault="00591B30" w:rsidP="00591B30">
            <w:pPr>
              <w:spacing w:line="276" w:lineRule="auto"/>
              <w:jc w:val="center"/>
              <w:rPr>
                <w:sz w:val="22"/>
                <w:szCs w:val="22"/>
              </w:rPr>
            </w:pPr>
            <w:r>
              <w:rPr>
                <w:sz w:val="22"/>
                <w:szCs w:val="22"/>
              </w:rPr>
              <w:t>52</w:t>
            </w:r>
          </w:p>
        </w:tc>
        <w:tc>
          <w:tcPr>
            <w:tcW w:w="1350" w:type="dxa"/>
            <w:tcBorders>
              <w:top w:val="single" w:sz="4" w:space="0" w:color="auto"/>
              <w:left w:val="single" w:sz="4" w:space="0" w:color="auto"/>
              <w:bottom w:val="single" w:sz="4" w:space="0" w:color="auto"/>
              <w:right w:val="single" w:sz="4" w:space="0" w:color="auto"/>
            </w:tcBorders>
            <w:vAlign w:val="bottom"/>
          </w:tcPr>
          <w:p w:rsidR="00591B30" w:rsidRDefault="00591B30" w:rsidP="00730F9E">
            <w:pPr>
              <w:spacing w:line="276" w:lineRule="auto"/>
              <w:jc w:val="center"/>
              <w:rPr>
                <w:sz w:val="22"/>
                <w:szCs w:val="22"/>
              </w:rPr>
            </w:pPr>
          </w:p>
          <w:p w:rsidR="00DA3C68" w:rsidRDefault="00730F9E" w:rsidP="00730F9E">
            <w:pPr>
              <w:spacing w:line="276" w:lineRule="auto"/>
              <w:jc w:val="center"/>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vAlign w:val="bottom"/>
          </w:tcPr>
          <w:p w:rsidR="00591B30" w:rsidRDefault="00591B30" w:rsidP="00591B30">
            <w:pPr>
              <w:spacing w:line="276" w:lineRule="auto"/>
              <w:jc w:val="center"/>
              <w:rPr>
                <w:sz w:val="22"/>
                <w:szCs w:val="22"/>
              </w:rPr>
            </w:pPr>
          </w:p>
          <w:p w:rsidR="00DA3C68" w:rsidRDefault="00730F9E" w:rsidP="00591B30">
            <w:pPr>
              <w:spacing w:line="276" w:lineRule="auto"/>
              <w:jc w:val="center"/>
              <w:rPr>
                <w:sz w:val="22"/>
                <w:szCs w:val="22"/>
              </w:rPr>
            </w:pPr>
            <w:r>
              <w:rPr>
                <w:sz w:val="22"/>
                <w:szCs w:val="22"/>
              </w:rPr>
              <w:t>20</w:t>
            </w:r>
            <w:r w:rsidR="00591B30">
              <w:rPr>
                <w:sz w:val="22"/>
                <w:szCs w:val="22"/>
              </w:rPr>
              <w:t>8</w:t>
            </w:r>
          </w:p>
        </w:tc>
        <w:tc>
          <w:tcPr>
            <w:tcW w:w="1170" w:type="dxa"/>
            <w:tcBorders>
              <w:top w:val="single" w:sz="4" w:space="0" w:color="auto"/>
              <w:left w:val="single" w:sz="4" w:space="0" w:color="auto"/>
              <w:bottom w:val="single" w:sz="4" w:space="0" w:color="auto"/>
              <w:right w:val="single" w:sz="4" w:space="0" w:color="auto"/>
            </w:tcBorders>
            <w:vAlign w:val="bottom"/>
          </w:tcPr>
          <w:p w:rsidR="00DA3C68" w:rsidRDefault="00E65CE9" w:rsidP="00797A66">
            <w:pPr>
              <w:spacing w:line="276" w:lineRule="auto"/>
              <w:jc w:val="center"/>
              <w:rPr>
                <w:sz w:val="22"/>
                <w:szCs w:val="22"/>
              </w:rPr>
            </w:pPr>
            <w:r>
              <w:rPr>
                <w:sz w:val="22"/>
                <w:szCs w:val="22"/>
              </w:rPr>
              <w:t>1.166</w:t>
            </w:r>
            <w:r w:rsidR="0060752A">
              <w:rPr>
                <w:sz w:val="22"/>
                <w:szCs w:val="22"/>
              </w:rPr>
              <w:t>6</w:t>
            </w:r>
          </w:p>
        </w:tc>
        <w:tc>
          <w:tcPr>
            <w:tcW w:w="1170" w:type="dxa"/>
            <w:tcBorders>
              <w:top w:val="single" w:sz="4" w:space="0" w:color="auto"/>
              <w:left w:val="single" w:sz="4" w:space="0" w:color="auto"/>
              <w:bottom w:val="single" w:sz="4" w:space="0" w:color="auto"/>
              <w:right w:val="single" w:sz="4" w:space="0" w:color="auto"/>
            </w:tcBorders>
            <w:vAlign w:val="bottom"/>
          </w:tcPr>
          <w:p w:rsidR="00591B30" w:rsidRDefault="00591B30" w:rsidP="00591B30">
            <w:pPr>
              <w:spacing w:line="276" w:lineRule="auto"/>
              <w:jc w:val="center"/>
              <w:rPr>
                <w:sz w:val="22"/>
                <w:szCs w:val="22"/>
              </w:rPr>
            </w:pPr>
          </w:p>
          <w:p w:rsidR="00DA3C68" w:rsidRDefault="00591B30" w:rsidP="00900371">
            <w:pPr>
              <w:spacing w:line="276" w:lineRule="auto"/>
              <w:jc w:val="center"/>
              <w:rPr>
                <w:sz w:val="22"/>
                <w:szCs w:val="22"/>
              </w:rPr>
            </w:pPr>
            <w:r>
              <w:rPr>
                <w:sz w:val="22"/>
                <w:szCs w:val="22"/>
              </w:rPr>
              <w:t>243</w:t>
            </w:r>
          </w:p>
        </w:tc>
        <w:tc>
          <w:tcPr>
            <w:tcW w:w="900" w:type="dxa"/>
            <w:tcBorders>
              <w:top w:val="single" w:sz="4" w:space="0" w:color="auto"/>
              <w:left w:val="single" w:sz="4" w:space="0" w:color="auto"/>
              <w:bottom w:val="single" w:sz="4" w:space="0" w:color="auto"/>
              <w:right w:val="single" w:sz="4" w:space="0" w:color="auto"/>
            </w:tcBorders>
            <w:vAlign w:val="bottom"/>
          </w:tcPr>
          <w:p w:rsidR="00DA3C68" w:rsidRDefault="005272B8" w:rsidP="00797A66">
            <w:pPr>
              <w:spacing w:line="276" w:lineRule="auto"/>
              <w:jc w:val="center"/>
              <w:rPr>
                <w:sz w:val="22"/>
                <w:szCs w:val="22"/>
              </w:rPr>
            </w:pPr>
            <w:r>
              <w:rPr>
                <w:sz w:val="22"/>
                <w:szCs w:val="22"/>
              </w:rPr>
              <w:t>$ 45.33</w:t>
            </w:r>
          </w:p>
        </w:tc>
        <w:tc>
          <w:tcPr>
            <w:tcW w:w="1350" w:type="dxa"/>
            <w:tcBorders>
              <w:top w:val="single" w:sz="4" w:space="0" w:color="auto"/>
              <w:left w:val="single" w:sz="4" w:space="0" w:color="auto"/>
              <w:bottom w:val="single" w:sz="4" w:space="0" w:color="auto"/>
              <w:right w:val="single" w:sz="4" w:space="0" w:color="auto"/>
            </w:tcBorders>
            <w:vAlign w:val="bottom"/>
          </w:tcPr>
          <w:p w:rsidR="00DA3C68" w:rsidRDefault="00DA3C68" w:rsidP="00591B30">
            <w:pPr>
              <w:spacing w:line="276" w:lineRule="auto"/>
              <w:jc w:val="center"/>
              <w:rPr>
                <w:sz w:val="22"/>
                <w:szCs w:val="22"/>
              </w:rPr>
            </w:pPr>
          </w:p>
          <w:p w:rsidR="00591B30" w:rsidRPr="00AB259C" w:rsidRDefault="00591B30" w:rsidP="00591B30">
            <w:pPr>
              <w:spacing w:line="276" w:lineRule="auto"/>
              <w:jc w:val="center"/>
              <w:rPr>
                <w:sz w:val="22"/>
                <w:szCs w:val="22"/>
              </w:rPr>
            </w:pPr>
            <w:r>
              <w:rPr>
                <w:sz w:val="22"/>
                <w:szCs w:val="22"/>
              </w:rPr>
              <w:t>$11,015</w:t>
            </w:r>
          </w:p>
        </w:tc>
      </w:tr>
      <w:tr w:rsidR="00797A66" w:rsidRPr="00AB259C" w:rsidTr="00404A0F">
        <w:tc>
          <w:tcPr>
            <w:tcW w:w="1440" w:type="dxa"/>
            <w:tcBorders>
              <w:top w:val="single" w:sz="4" w:space="0" w:color="auto"/>
              <w:left w:val="single" w:sz="4" w:space="0" w:color="auto"/>
              <w:bottom w:val="single" w:sz="4" w:space="0" w:color="auto"/>
              <w:right w:val="single" w:sz="4" w:space="0" w:color="auto"/>
            </w:tcBorders>
            <w:hideMark/>
          </w:tcPr>
          <w:p w:rsidR="00AB259C" w:rsidRPr="00AB259C" w:rsidRDefault="00AB259C" w:rsidP="00797A66">
            <w:pPr>
              <w:spacing w:line="276" w:lineRule="auto"/>
              <w:jc w:val="center"/>
              <w:rPr>
                <w:b/>
                <w:i/>
                <w:sz w:val="22"/>
                <w:szCs w:val="22"/>
              </w:rPr>
            </w:pPr>
            <w:r w:rsidRPr="00AB259C">
              <w:rPr>
                <w:b/>
                <w:i/>
                <w:sz w:val="22"/>
                <w:szCs w:val="22"/>
              </w:rPr>
              <w:t>Unduplicated Totals</w:t>
            </w:r>
          </w:p>
        </w:tc>
        <w:tc>
          <w:tcPr>
            <w:tcW w:w="1440" w:type="dxa"/>
            <w:tcBorders>
              <w:top w:val="single" w:sz="4" w:space="0" w:color="auto"/>
              <w:left w:val="single" w:sz="4" w:space="0" w:color="auto"/>
              <w:bottom w:val="single" w:sz="4" w:space="0" w:color="auto"/>
              <w:right w:val="single" w:sz="4" w:space="0" w:color="auto"/>
            </w:tcBorders>
            <w:vAlign w:val="bottom"/>
          </w:tcPr>
          <w:p w:rsidR="00AB259C" w:rsidRPr="00AB259C" w:rsidRDefault="00AB259C" w:rsidP="00797A66">
            <w:pPr>
              <w:spacing w:line="276" w:lineRule="auto"/>
              <w:jc w:val="center"/>
              <w:rPr>
                <w:b/>
                <w:i/>
                <w:sz w:val="22"/>
                <w:szCs w:val="22"/>
              </w:rPr>
            </w:pPr>
          </w:p>
        </w:tc>
        <w:tc>
          <w:tcPr>
            <w:tcW w:w="1350" w:type="dxa"/>
            <w:tcBorders>
              <w:top w:val="single" w:sz="4" w:space="0" w:color="auto"/>
              <w:left w:val="single" w:sz="4" w:space="0" w:color="auto"/>
              <w:bottom w:val="single" w:sz="4" w:space="0" w:color="auto"/>
              <w:right w:val="single" w:sz="4" w:space="0" w:color="auto"/>
            </w:tcBorders>
            <w:vAlign w:val="bottom"/>
          </w:tcPr>
          <w:p w:rsidR="00AB259C" w:rsidRPr="00AB259C" w:rsidRDefault="00AB259C" w:rsidP="00797A66">
            <w:pPr>
              <w:spacing w:line="276" w:lineRule="auto"/>
              <w:jc w:val="center"/>
              <w:rPr>
                <w:b/>
                <w:i/>
                <w:sz w:val="22"/>
                <w:szCs w:val="22"/>
              </w:rPr>
            </w:pPr>
          </w:p>
        </w:tc>
        <w:tc>
          <w:tcPr>
            <w:tcW w:w="1260" w:type="dxa"/>
            <w:tcBorders>
              <w:top w:val="single" w:sz="4" w:space="0" w:color="auto"/>
              <w:left w:val="single" w:sz="4" w:space="0" w:color="auto"/>
              <w:bottom w:val="single" w:sz="4" w:space="0" w:color="auto"/>
              <w:right w:val="single" w:sz="4" w:space="0" w:color="auto"/>
            </w:tcBorders>
            <w:vAlign w:val="bottom"/>
          </w:tcPr>
          <w:p w:rsidR="00AB259C" w:rsidRPr="00AB259C" w:rsidRDefault="009C07C8" w:rsidP="00797A66">
            <w:pPr>
              <w:spacing w:line="276" w:lineRule="auto"/>
              <w:jc w:val="center"/>
              <w:rPr>
                <w:b/>
                <w:i/>
                <w:sz w:val="22"/>
                <w:szCs w:val="22"/>
              </w:rPr>
            </w:pPr>
            <w:r>
              <w:rPr>
                <w:b/>
                <w:i/>
                <w:sz w:val="22"/>
                <w:szCs w:val="22"/>
              </w:rPr>
              <w:t>7,</w:t>
            </w:r>
            <w:r w:rsidR="00217C86">
              <w:rPr>
                <w:b/>
                <w:i/>
                <w:sz w:val="22"/>
                <w:szCs w:val="22"/>
              </w:rPr>
              <w:t>416</w:t>
            </w:r>
          </w:p>
        </w:tc>
        <w:tc>
          <w:tcPr>
            <w:tcW w:w="1170" w:type="dxa"/>
            <w:tcBorders>
              <w:top w:val="single" w:sz="4" w:space="0" w:color="auto"/>
              <w:left w:val="single" w:sz="4" w:space="0" w:color="auto"/>
              <w:bottom w:val="single" w:sz="4" w:space="0" w:color="auto"/>
              <w:right w:val="single" w:sz="4" w:space="0" w:color="auto"/>
            </w:tcBorders>
            <w:vAlign w:val="bottom"/>
          </w:tcPr>
          <w:p w:rsidR="00AB259C" w:rsidRPr="00AB259C" w:rsidRDefault="00AB259C" w:rsidP="00797A66">
            <w:pPr>
              <w:spacing w:line="276" w:lineRule="auto"/>
              <w:jc w:val="center"/>
              <w:rPr>
                <w:b/>
                <w:i/>
                <w:sz w:val="22"/>
                <w:szCs w:val="22"/>
              </w:rPr>
            </w:pPr>
          </w:p>
        </w:tc>
        <w:tc>
          <w:tcPr>
            <w:tcW w:w="1170" w:type="dxa"/>
            <w:tcBorders>
              <w:top w:val="single" w:sz="4" w:space="0" w:color="auto"/>
              <w:left w:val="single" w:sz="4" w:space="0" w:color="auto"/>
              <w:bottom w:val="single" w:sz="4" w:space="0" w:color="auto"/>
              <w:right w:val="single" w:sz="4" w:space="0" w:color="auto"/>
            </w:tcBorders>
            <w:vAlign w:val="bottom"/>
          </w:tcPr>
          <w:p w:rsidR="00AB259C" w:rsidRPr="00AB259C" w:rsidRDefault="007C58A3" w:rsidP="00797A66">
            <w:pPr>
              <w:spacing w:line="276" w:lineRule="auto"/>
              <w:jc w:val="center"/>
              <w:rPr>
                <w:b/>
                <w:i/>
                <w:sz w:val="22"/>
                <w:szCs w:val="22"/>
              </w:rPr>
            </w:pPr>
            <w:r>
              <w:rPr>
                <w:b/>
                <w:i/>
                <w:sz w:val="22"/>
                <w:szCs w:val="22"/>
              </w:rPr>
              <w:t>9,706</w:t>
            </w:r>
          </w:p>
        </w:tc>
        <w:tc>
          <w:tcPr>
            <w:tcW w:w="900" w:type="dxa"/>
            <w:tcBorders>
              <w:top w:val="single" w:sz="4" w:space="0" w:color="auto"/>
              <w:left w:val="single" w:sz="4" w:space="0" w:color="auto"/>
              <w:bottom w:val="single" w:sz="4" w:space="0" w:color="auto"/>
              <w:right w:val="single" w:sz="4" w:space="0" w:color="auto"/>
            </w:tcBorders>
            <w:vAlign w:val="bottom"/>
          </w:tcPr>
          <w:p w:rsidR="00AB259C" w:rsidRPr="00AB259C" w:rsidRDefault="00AB259C" w:rsidP="00797A66">
            <w:pPr>
              <w:spacing w:line="276" w:lineRule="auto"/>
              <w:jc w:val="center"/>
              <w:rPr>
                <w:b/>
                <w:i/>
                <w:sz w:val="22"/>
                <w:szCs w:val="22"/>
              </w:rPr>
            </w:pPr>
          </w:p>
        </w:tc>
        <w:tc>
          <w:tcPr>
            <w:tcW w:w="1350" w:type="dxa"/>
            <w:tcBorders>
              <w:top w:val="single" w:sz="4" w:space="0" w:color="auto"/>
              <w:left w:val="single" w:sz="4" w:space="0" w:color="auto"/>
              <w:bottom w:val="single" w:sz="4" w:space="0" w:color="auto"/>
              <w:right w:val="single" w:sz="4" w:space="0" w:color="auto"/>
            </w:tcBorders>
            <w:vAlign w:val="bottom"/>
          </w:tcPr>
          <w:p w:rsidR="00AB259C" w:rsidRPr="00AB259C" w:rsidRDefault="00281917" w:rsidP="005606B1">
            <w:pPr>
              <w:spacing w:line="276" w:lineRule="auto"/>
              <w:jc w:val="center"/>
              <w:rPr>
                <w:b/>
                <w:i/>
                <w:sz w:val="22"/>
                <w:szCs w:val="22"/>
              </w:rPr>
            </w:pPr>
            <w:r>
              <w:rPr>
                <w:b/>
                <w:i/>
                <w:sz w:val="22"/>
                <w:szCs w:val="22"/>
              </w:rPr>
              <w:t>$</w:t>
            </w:r>
            <w:r w:rsidR="005606B1">
              <w:rPr>
                <w:b/>
                <w:i/>
                <w:sz w:val="22"/>
                <w:szCs w:val="22"/>
              </w:rPr>
              <w:t>439,973</w:t>
            </w:r>
          </w:p>
        </w:tc>
      </w:tr>
    </w:tbl>
    <w:p w:rsidR="00425E8A" w:rsidRDefault="009E07DA" w:rsidP="00AC2C44">
      <w:pPr>
        <w:ind w:left="360"/>
      </w:pPr>
      <w:r>
        <w:t xml:space="preserve">State monitor advocates and SWAs are estimated at </w:t>
      </w:r>
      <w:r w:rsidR="00425E8A">
        <w:t xml:space="preserve">the average hourly pay level of </w:t>
      </w:r>
      <w:r>
        <w:t>GS 13</w:t>
      </w:r>
      <w:r w:rsidR="00425E8A">
        <w:t xml:space="preserve"> step 5, or $45.33.  8,521 hours x $45.33 = $386,257 annualized.</w:t>
      </w:r>
    </w:p>
    <w:p w:rsidR="00425E8A" w:rsidRPr="00751A30" w:rsidRDefault="007B1C08" w:rsidP="00EF449A">
      <w:pPr>
        <w:ind w:left="360"/>
      </w:pPr>
      <w:hyperlink r:id="rId12" w:history="1">
        <w:r w:rsidR="00127A36" w:rsidRPr="00127A36">
          <w:rPr>
            <w:rStyle w:val="Hyperlink"/>
          </w:rPr>
          <w:t>http://www.opm.gov/policy-data-oversight/pay-leave/salaries-wages/salary-tables/pdf/2015/RUS_h.pdf</w:t>
        </w:r>
      </w:hyperlink>
    </w:p>
    <w:p w:rsidR="006C5490" w:rsidRPr="00FE66E8" w:rsidRDefault="00425E8A" w:rsidP="00EF449A">
      <w:pPr>
        <w:ind w:left="360"/>
      </w:pPr>
      <w:r>
        <w:t xml:space="preserve"> </w:t>
      </w:r>
    </w:p>
    <w:p w:rsidR="00757A9D" w:rsidRDefault="002609FB" w:rsidP="00757A9D">
      <w:r w:rsidRPr="002609FB">
        <w:rPr>
          <w:i/>
        </w:rPr>
        <w:t>13.</w:t>
      </w:r>
      <w:r w:rsidRPr="002609FB">
        <w:rPr>
          <w:i/>
        </w:rPr>
        <w:tab/>
        <w:t>Provide an estimate for the total annual cost burden to respondents or record keepers resulting from the collection of information.  (Do not include the cost of any hour burden already reflected on the burden worksheet).</w:t>
      </w:r>
    </w:p>
    <w:p w:rsidR="00F26973" w:rsidRPr="00FE66E8" w:rsidRDefault="00F26973" w:rsidP="002609FB"/>
    <w:p w:rsidR="00ED72C5" w:rsidRPr="00FE66E8" w:rsidRDefault="00D8229C">
      <w:r w:rsidRPr="00FE66E8">
        <w:t>There are no annual reporting and recordkeeping cost burdens under this collection.</w:t>
      </w:r>
    </w:p>
    <w:p w:rsidR="0043510A" w:rsidRPr="00FE66E8" w:rsidRDefault="0043510A"/>
    <w:p w:rsidR="00B53341" w:rsidRDefault="002609FB" w:rsidP="00B53341">
      <w:r w:rsidRPr="002609FB">
        <w:rPr>
          <w:i/>
        </w:rPr>
        <w:t>14.</w:t>
      </w:r>
      <w:r w:rsidRPr="002609FB">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B53341" w:rsidRPr="00FE66E8" w:rsidRDefault="00B53341" w:rsidP="00B726D9"/>
    <w:p w:rsidR="00325DAA" w:rsidRPr="005A455D" w:rsidRDefault="00B726D9" w:rsidP="00B726D9">
      <w:pPr>
        <w:rPr>
          <w:lang w:val="fr-FR"/>
        </w:rPr>
      </w:pPr>
      <w:r w:rsidRPr="00FE66E8">
        <w:t xml:space="preserve">Based on the </w:t>
      </w:r>
      <w:r w:rsidR="001B1B8D">
        <w:t>basic hourly rate</w:t>
      </w:r>
      <w:r w:rsidR="00755B9C">
        <w:t xml:space="preserve"> of </w:t>
      </w:r>
      <w:r w:rsidRPr="00FE66E8">
        <w:t xml:space="preserve">Monitor Advocates </w:t>
      </w:r>
      <w:r w:rsidR="00755B9C">
        <w:t xml:space="preserve">at the GS-13 step 5 level </w:t>
      </w:r>
      <w:r w:rsidRPr="00FE66E8">
        <w:t>in each region (</w:t>
      </w:r>
      <w:r w:rsidR="004238C6">
        <w:t xml:space="preserve">computed for </w:t>
      </w:r>
      <w:r w:rsidR="00B25726">
        <w:t xml:space="preserve">GS-13 step 5, </w:t>
      </w:r>
      <w:r w:rsidR="001B1B8D">
        <w:t>$39.31</w:t>
      </w:r>
      <w:r w:rsidR="004238C6">
        <w:t xml:space="preserve"> in 2014</w:t>
      </w:r>
      <w:r w:rsidRPr="00FE66E8">
        <w:t>)</w:t>
      </w:r>
      <w:r w:rsidR="004238C6">
        <w:t>,</w:t>
      </w:r>
      <w:r w:rsidRPr="00FE66E8">
        <w:t xml:space="preserve"> who spend approximately 40 hours </w:t>
      </w:r>
      <w:r w:rsidR="00703B08">
        <w:t>or 40 x $39.31</w:t>
      </w:r>
      <w:r w:rsidRPr="00FE66E8">
        <w:t xml:space="preserve"> </w:t>
      </w:r>
      <w:r w:rsidR="00703B08">
        <w:t xml:space="preserve">($1,572) </w:t>
      </w:r>
      <w:r w:rsidRPr="00FE66E8">
        <w:t xml:space="preserve">per year to review the complaint form, the average Federal cost </w:t>
      </w:r>
      <w:r w:rsidR="00703B08">
        <w:t>of</w:t>
      </w:r>
      <w:r w:rsidRPr="00FE66E8">
        <w:t xml:space="preserve"> $</w:t>
      </w:r>
      <w:r w:rsidR="00703B08">
        <w:t>1,572</w:t>
      </w:r>
      <w:r w:rsidRPr="00FE66E8">
        <w:t xml:space="preserve"> x 6 regions = $</w:t>
      </w:r>
      <w:r w:rsidR="00703B08">
        <w:t>9,434</w:t>
      </w:r>
      <w:r w:rsidR="00A27ADE">
        <w:t>.</w:t>
      </w:r>
      <w:r w:rsidR="00152B12">
        <w:t xml:space="preserve">  </w:t>
      </w:r>
      <w:r w:rsidR="00325DAA" w:rsidRPr="005A455D">
        <w:rPr>
          <w:lang w:val="fr-FR"/>
        </w:rPr>
        <w:t>(Source:</w:t>
      </w:r>
      <w:r w:rsidR="00EA1B24" w:rsidRPr="005A455D">
        <w:rPr>
          <w:lang w:val="fr-FR"/>
        </w:rPr>
        <w:t xml:space="preserve"> </w:t>
      </w:r>
      <w:hyperlink r:id="rId13" w:history="1">
        <w:r w:rsidR="00EA1B24" w:rsidRPr="005A455D">
          <w:rPr>
            <w:color w:val="0000FF"/>
            <w:u w:val="single"/>
            <w:lang w:val="fr-FR"/>
          </w:rPr>
          <w:t>http://www.opm.gov/policy-data-oversight/pay-leave/salaries-wages/salary-tables/pdf/2014/salhrl.pdf</w:t>
        </w:r>
      </w:hyperlink>
      <w:r w:rsidR="00325DAA" w:rsidRPr="005A455D">
        <w:rPr>
          <w:lang w:val="fr-FR"/>
        </w:rPr>
        <w:t xml:space="preserve"> </w:t>
      </w:r>
      <w:r w:rsidR="00DE5FBB" w:rsidRPr="005A455D">
        <w:rPr>
          <w:lang w:val="fr-FR"/>
        </w:rPr>
        <w:t>)</w:t>
      </w:r>
    </w:p>
    <w:p w:rsidR="00F26973" w:rsidRPr="005A455D" w:rsidRDefault="00F26973">
      <w:pPr>
        <w:rPr>
          <w:strike/>
          <w:lang w:val="fr-FR"/>
        </w:rPr>
      </w:pPr>
    </w:p>
    <w:p w:rsidR="00B53341" w:rsidRDefault="002609FB" w:rsidP="00B53341">
      <w:r w:rsidRPr="002609FB">
        <w:rPr>
          <w:i/>
        </w:rPr>
        <w:t>15.</w:t>
      </w:r>
      <w:r w:rsidRPr="002609FB">
        <w:rPr>
          <w:i/>
        </w:rPr>
        <w:tab/>
        <w:t>Explain the reasons for any program changes or adjustments reported on the burden worksheet.</w:t>
      </w:r>
      <w:r w:rsidR="00B53341">
        <w:rPr>
          <w:b/>
          <w:bCs/>
          <w:u w:val="single"/>
        </w:rPr>
        <w:t xml:space="preserve"> </w:t>
      </w:r>
    </w:p>
    <w:p w:rsidR="00B53341" w:rsidRPr="00FE66E8" w:rsidRDefault="00B53341"/>
    <w:p w:rsidR="00C8059B" w:rsidRPr="00C8059B" w:rsidRDefault="00C8059B" w:rsidP="00C8059B">
      <w:r w:rsidRPr="00C8059B">
        <w:t xml:space="preserve">The annual burden for these information collections increased from </w:t>
      </w:r>
      <w:r>
        <w:t xml:space="preserve">8,992 </w:t>
      </w:r>
      <w:r w:rsidR="00F65925">
        <w:t xml:space="preserve">hours </w:t>
      </w:r>
      <w:r>
        <w:t>to 9,706</w:t>
      </w:r>
      <w:r w:rsidRPr="00C8059B">
        <w:rPr>
          <w:rFonts w:eastAsia="Calibri"/>
          <w:b/>
          <w:i/>
          <w:sz w:val="20"/>
          <w:szCs w:val="20"/>
        </w:rPr>
        <w:t xml:space="preserve"> </w:t>
      </w:r>
      <w:r w:rsidRPr="00C8059B">
        <w:t>hours re</w:t>
      </w:r>
      <w:r>
        <w:t>sulting in an increase of 714</w:t>
      </w:r>
      <w:r w:rsidRPr="00C8059B">
        <w:t xml:space="preserve"> hours over ETA’s previous estimate.  The burden hours have </w:t>
      </w:r>
      <w:r w:rsidRPr="00C8059B">
        <w:lastRenderedPageBreak/>
        <w:t xml:space="preserve">increased </w:t>
      </w:r>
      <w:r>
        <w:t>due to the agency realizing that it takes longer to complete Form ETA 8429</w:t>
      </w:r>
      <w:r w:rsidRPr="00C8059B">
        <w:t xml:space="preserve">.  </w:t>
      </w:r>
      <w:r>
        <w:t>The number of respon</w:t>
      </w:r>
      <w:r w:rsidR="00917EEC">
        <w:t>ses has increased by 94 from 7,</w:t>
      </w:r>
      <w:r>
        <w:t>322 to 7,416.</w:t>
      </w:r>
      <w:r w:rsidR="00917EEC">
        <w:t xml:space="preserve"> </w:t>
      </w:r>
    </w:p>
    <w:p w:rsidR="00F26973" w:rsidRPr="00C8059B" w:rsidRDefault="00F26973"/>
    <w:p w:rsidR="00F26973" w:rsidRPr="00FE66E8" w:rsidRDefault="002609FB">
      <w:r w:rsidRPr="002609FB">
        <w:rPr>
          <w:i/>
        </w:rPr>
        <w:t>16.</w:t>
      </w:r>
      <w:r w:rsidRPr="002609FB">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53341" w:rsidRDefault="00B53341"/>
    <w:p w:rsidR="00D5253D" w:rsidRDefault="0066638D">
      <w:r>
        <w:t>T</w:t>
      </w:r>
      <w:r w:rsidR="00F26973" w:rsidRPr="00FE66E8">
        <w:t xml:space="preserve">here are no plans to publish </w:t>
      </w:r>
      <w:r w:rsidR="00FA63BE">
        <w:t xml:space="preserve">this </w:t>
      </w:r>
      <w:r w:rsidR="00F26973" w:rsidRPr="00FE66E8">
        <w:t>data</w:t>
      </w:r>
      <w:r w:rsidR="00404A0F">
        <w:t xml:space="preserve"> at this time</w:t>
      </w:r>
      <w:r w:rsidR="00F26973" w:rsidRPr="00FE66E8">
        <w:t xml:space="preserve">.  </w:t>
      </w:r>
    </w:p>
    <w:p w:rsidR="00C77BF3" w:rsidRPr="00FE66E8" w:rsidRDefault="00C77BF3"/>
    <w:p w:rsidR="00D5253D" w:rsidRDefault="002609FB" w:rsidP="00D5253D">
      <w:pPr>
        <w:rPr>
          <w:i/>
        </w:rPr>
      </w:pPr>
      <w:r w:rsidRPr="002609FB">
        <w:rPr>
          <w:i/>
        </w:rPr>
        <w:t>17.</w:t>
      </w:r>
      <w:r w:rsidRPr="002609FB">
        <w:rPr>
          <w:i/>
        </w:rPr>
        <w:tab/>
        <w:t>If seeking approval not to display the expiration date for OMB approval of the information collection, explain the reasons that display would be inappropriate.</w:t>
      </w:r>
    </w:p>
    <w:p w:rsidR="007740ED" w:rsidRDefault="007740ED" w:rsidP="00D5253D"/>
    <w:p w:rsidR="00F26973" w:rsidRPr="00FE66E8" w:rsidRDefault="00917EEC">
      <w:r w:rsidRPr="00917EEC">
        <w:t>ETA will display the OMB control number and expiration date.</w:t>
      </w:r>
      <w:r>
        <w:t xml:space="preserve"> </w:t>
      </w:r>
    </w:p>
    <w:p w:rsidR="00F26973" w:rsidRDefault="00F26973"/>
    <w:p w:rsidR="00D5253D" w:rsidRDefault="002609FB" w:rsidP="00D5253D">
      <w:r w:rsidRPr="002609FB">
        <w:rPr>
          <w:i/>
        </w:rPr>
        <w:t>18.</w:t>
      </w:r>
      <w:r w:rsidRPr="002609FB">
        <w:rPr>
          <w:i/>
        </w:rPr>
        <w:tab/>
        <w:t>Explain each exception to the topics of the certification statement identified in “Certification for Paperwork Reduction Act Submissions,”</w:t>
      </w:r>
    </w:p>
    <w:p w:rsidR="00D5253D" w:rsidRPr="00FE66E8" w:rsidRDefault="00D5253D"/>
    <w:p w:rsidR="00F26973" w:rsidRPr="00FE66E8" w:rsidRDefault="00F26973">
      <w:r w:rsidRPr="00FE66E8">
        <w:t>There are no exceptions.</w:t>
      </w:r>
    </w:p>
    <w:p w:rsidR="00F26973" w:rsidRDefault="00F26973"/>
    <w:p w:rsidR="002609FB" w:rsidRPr="00FE66E8" w:rsidRDefault="002609FB"/>
    <w:p w:rsidR="00D5253D" w:rsidRDefault="00D5253D" w:rsidP="00D5253D">
      <w:r>
        <w:rPr>
          <w:b/>
          <w:bCs/>
        </w:rPr>
        <w:t>B.  COLLECTIONS OF INFORMATION EMPLOYING STATISTICAL METHODS</w:t>
      </w:r>
    </w:p>
    <w:p w:rsidR="00741B7E" w:rsidRDefault="00741B7E" w:rsidP="00D5253D">
      <w:pPr>
        <w:rPr>
          <w:iCs/>
        </w:rPr>
      </w:pPr>
    </w:p>
    <w:p w:rsidR="00D5253D" w:rsidRDefault="00741B7E" w:rsidP="00D5253D">
      <w:r>
        <w:rPr>
          <w:iCs/>
        </w:rPr>
        <w:t>This collection of information does not employ statistical methodologies.</w:t>
      </w:r>
    </w:p>
    <w:sectPr w:rsidR="00D5253D" w:rsidSect="00FE66E8">
      <w:headerReference w:type="default" r:id="rId14"/>
      <w:footerReference w:type="even" r:id="rId15"/>
      <w:footerReference w:type="default" r:id="rId16"/>
      <w:headerReference w:type="first" r:id="rId17"/>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C08" w:rsidRDefault="007B1C08">
      <w:r>
        <w:separator/>
      </w:r>
    </w:p>
  </w:endnote>
  <w:endnote w:type="continuationSeparator" w:id="0">
    <w:p w:rsidR="007B1C08" w:rsidRDefault="007B1C08">
      <w:r>
        <w:continuationSeparator/>
      </w:r>
    </w:p>
  </w:endnote>
  <w:endnote w:type="continuationNotice" w:id="1">
    <w:p w:rsidR="007B1C08" w:rsidRDefault="007B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C6D" w:rsidRDefault="009B7A37">
    <w:pPr>
      <w:pStyle w:val="Footer"/>
      <w:framePr w:wrap="around" w:vAnchor="text" w:hAnchor="margin" w:xAlign="center" w:y="1"/>
      <w:rPr>
        <w:rStyle w:val="PageNumber"/>
      </w:rPr>
    </w:pPr>
    <w:r>
      <w:rPr>
        <w:rStyle w:val="PageNumber"/>
      </w:rPr>
      <w:fldChar w:fldCharType="begin"/>
    </w:r>
    <w:r w:rsidR="008D0C6D">
      <w:rPr>
        <w:rStyle w:val="PageNumber"/>
      </w:rPr>
      <w:instrText xml:space="preserve">PAGE  </w:instrText>
    </w:r>
    <w:r>
      <w:rPr>
        <w:rStyle w:val="PageNumber"/>
      </w:rPr>
      <w:fldChar w:fldCharType="separate"/>
    </w:r>
    <w:r w:rsidR="008D0C6D">
      <w:rPr>
        <w:rStyle w:val="PageNumber"/>
        <w:noProof/>
      </w:rPr>
      <w:t>2</w:t>
    </w:r>
    <w:r>
      <w:rPr>
        <w:rStyle w:val="PageNumber"/>
      </w:rPr>
      <w:fldChar w:fldCharType="end"/>
    </w:r>
  </w:p>
  <w:p w:rsidR="008D0C6D" w:rsidRDefault="008D0C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C6D" w:rsidRDefault="009B7A37">
    <w:pPr>
      <w:pStyle w:val="Footer"/>
      <w:framePr w:wrap="around" w:vAnchor="text" w:hAnchor="margin" w:xAlign="center" w:y="1"/>
      <w:rPr>
        <w:rStyle w:val="PageNumber"/>
      </w:rPr>
    </w:pPr>
    <w:r>
      <w:rPr>
        <w:rStyle w:val="PageNumber"/>
      </w:rPr>
      <w:fldChar w:fldCharType="begin"/>
    </w:r>
    <w:r w:rsidR="008D0C6D">
      <w:rPr>
        <w:rStyle w:val="PageNumber"/>
      </w:rPr>
      <w:instrText xml:space="preserve">PAGE  </w:instrText>
    </w:r>
    <w:r>
      <w:rPr>
        <w:rStyle w:val="PageNumber"/>
      </w:rPr>
      <w:fldChar w:fldCharType="separate"/>
    </w:r>
    <w:r w:rsidR="00917EEC">
      <w:rPr>
        <w:rStyle w:val="PageNumber"/>
        <w:noProof/>
      </w:rPr>
      <w:t>2</w:t>
    </w:r>
    <w:r>
      <w:rPr>
        <w:rStyle w:val="PageNumber"/>
      </w:rPr>
      <w:fldChar w:fldCharType="end"/>
    </w:r>
  </w:p>
  <w:p w:rsidR="008D0C6D" w:rsidRDefault="008D0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C08" w:rsidRDefault="007B1C08">
      <w:r>
        <w:separator/>
      </w:r>
    </w:p>
  </w:footnote>
  <w:footnote w:type="continuationSeparator" w:id="0">
    <w:p w:rsidR="007B1C08" w:rsidRDefault="007B1C08">
      <w:r>
        <w:continuationSeparator/>
      </w:r>
    </w:p>
  </w:footnote>
  <w:footnote w:type="continuationNotice" w:id="1">
    <w:p w:rsidR="007B1C08" w:rsidRDefault="007B1C08"/>
  </w:footnote>
  <w:footnote w:id="2">
    <w:p w:rsidR="00AB259C" w:rsidRDefault="00AB259C" w:rsidP="00AB259C">
      <w:pPr>
        <w:pStyle w:val="FootnoteText"/>
        <w:rPr>
          <w:rFonts w:ascii="Calibri" w:hAnsi="Calibri"/>
        </w:rPr>
      </w:pPr>
      <w:r>
        <w:rPr>
          <w:rStyle w:val="FootnoteReference"/>
        </w:rPr>
        <w:t>[1]</w:t>
      </w:r>
      <w:r>
        <w:t xml:space="preserve"> Texas Workforce Commission; Workforce Solutions Borderplex.</w:t>
      </w:r>
    </w:p>
  </w:footnote>
  <w:footnote w:id="3">
    <w:p w:rsidR="00AB259C" w:rsidRDefault="00AB259C" w:rsidP="00AB259C">
      <w:pPr>
        <w:pStyle w:val="FootnoteText"/>
      </w:pPr>
      <w:r>
        <w:rPr>
          <w:rStyle w:val="FootnoteReference"/>
        </w:rPr>
        <w:t>[2]</w:t>
      </w:r>
      <w:r>
        <w:t xml:space="preserve"> CareerSource Florida;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28A" w:rsidRPr="006E528A" w:rsidRDefault="0040416F" w:rsidP="006E528A">
    <w:pPr>
      <w:pStyle w:val="Header"/>
      <w:tabs>
        <w:tab w:val="clear" w:pos="4320"/>
        <w:tab w:val="clear" w:pos="8640"/>
        <w:tab w:val="right" w:pos="9360"/>
      </w:tabs>
    </w:pPr>
    <w:r w:rsidRPr="0040416F">
      <w:t>Migrant and Seasonal Farmworker Monitoring Report and Complaint/Apparent Violation Form</w:t>
    </w:r>
  </w:p>
  <w:p w:rsidR="006E528A" w:rsidRPr="006E528A" w:rsidRDefault="006E528A" w:rsidP="006E528A">
    <w:pPr>
      <w:pStyle w:val="Header"/>
    </w:pPr>
    <w:r w:rsidRPr="006E528A">
      <w:t>OMB Control No. 1205-0039</w:t>
    </w:r>
  </w:p>
  <w:p w:rsidR="00886C1F" w:rsidRDefault="0066638D" w:rsidP="006E528A">
    <w:pPr>
      <w:pStyle w:val="Header"/>
      <w:tabs>
        <w:tab w:val="clear" w:pos="4320"/>
        <w:tab w:val="clear" w:pos="8640"/>
        <w:tab w:val="right" w:pos="9360"/>
      </w:tabs>
    </w:pPr>
    <w:r>
      <w:t>June</w:t>
    </w:r>
    <w:r w:rsidRPr="006E528A">
      <w:t xml:space="preserve"> </w:t>
    </w:r>
    <w:r w:rsidR="006E528A" w:rsidRPr="006E528A">
      <w:t>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AD2" w:rsidRPr="00751AD2" w:rsidRDefault="0040416F" w:rsidP="00751AD2">
    <w:pPr>
      <w:pStyle w:val="Header"/>
      <w:tabs>
        <w:tab w:val="clear" w:pos="4320"/>
        <w:tab w:val="clear" w:pos="8640"/>
        <w:tab w:val="right" w:pos="9360"/>
      </w:tabs>
    </w:pPr>
    <w:r w:rsidRPr="0040416F">
      <w:t>Migrant and Seasonal Farmworker Monitoring Report and Complaint/Apparent Violation Form</w:t>
    </w:r>
  </w:p>
  <w:p w:rsidR="00751AD2" w:rsidRPr="00751AD2" w:rsidRDefault="006E528A" w:rsidP="00751AD2">
    <w:pPr>
      <w:tabs>
        <w:tab w:val="right" w:pos="9360"/>
      </w:tabs>
    </w:pPr>
    <w:r>
      <w:t xml:space="preserve">OMB Control No. </w:t>
    </w:r>
    <w:r w:rsidR="00751AD2" w:rsidRPr="00751AD2">
      <w:t>1205-0039</w:t>
    </w:r>
  </w:p>
  <w:p w:rsidR="00751AD2" w:rsidRPr="00751AD2" w:rsidRDefault="0066638D" w:rsidP="00751AD2">
    <w:pPr>
      <w:tabs>
        <w:tab w:val="right" w:pos="9360"/>
      </w:tabs>
    </w:pPr>
    <w:r>
      <w:t>June</w:t>
    </w:r>
    <w:r w:rsidRPr="00751AD2">
      <w:t xml:space="preserve"> </w:t>
    </w:r>
    <w:r w:rsidR="00751AD2" w:rsidRPr="00751AD2">
      <w:t>2016</w:t>
    </w:r>
  </w:p>
  <w:p w:rsidR="00886C1F" w:rsidRDefault="00886C1F" w:rsidP="00751AD2">
    <w:pPr>
      <w:pStyle w:val="Header"/>
      <w:tabs>
        <w:tab w:val="clear" w:pos="4320"/>
        <w:tab w:val="clear"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4DB"/>
    <w:multiLevelType w:val="hybridMultilevel"/>
    <w:tmpl w:val="F04AD1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91031"/>
    <w:multiLevelType w:val="hybridMultilevel"/>
    <w:tmpl w:val="0194EC26"/>
    <w:lvl w:ilvl="0" w:tplc="E46A7946">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nsid w:val="07B60159"/>
    <w:multiLevelType w:val="multilevel"/>
    <w:tmpl w:val="8A00A4F4"/>
    <w:lvl w:ilvl="0">
      <w:start w:val="1"/>
      <w:numFmt w:val="bullet"/>
      <w:lvlText w:val=""/>
      <w:lvlJc w:val="left"/>
      <w:pPr>
        <w:tabs>
          <w:tab w:val="num" w:pos="1728"/>
        </w:tabs>
        <w:ind w:left="1728" w:hanging="288"/>
      </w:pPr>
      <w:rPr>
        <w:rFonts w:ascii="Wingdings" w:hAnsi="Wingdings" w:hint="default"/>
        <w:color w:val="auto"/>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nsid w:val="08223AB2"/>
    <w:multiLevelType w:val="hybridMultilevel"/>
    <w:tmpl w:val="4C388070"/>
    <w:lvl w:ilvl="0" w:tplc="83B4F736">
      <w:start w:val="1"/>
      <w:numFmt w:val="bullet"/>
      <w:lvlText w:val=""/>
      <w:lvlJc w:val="left"/>
      <w:pPr>
        <w:tabs>
          <w:tab w:val="num" w:pos="1440"/>
        </w:tabs>
        <w:ind w:left="1440"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nsid w:val="112D14AA"/>
    <w:multiLevelType w:val="hybridMultilevel"/>
    <w:tmpl w:val="98F0DC64"/>
    <w:lvl w:ilvl="0" w:tplc="CD70CC42">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nsid w:val="14DF523C"/>
    <w:multiLevelType w:val="hybridMultilevel"/>
    <w:tmpl w:val="A320B1AE"/>
    <w:lvl w:ilvl="0" w:tplc="133C5C20">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nsid w:val="1D5340A0"/>
    <w:multiLevelType w:val="hybridMultilevel"/>
    <w:tmpl w:val="07CED9FE"/>
    <w:lvl w:ilvl="0" w:tplc="69BCAC22">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F3B28BF2">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4DF3A68"/>
    <w:multiLevelType w:val="hybridMultilevel"/>
    <w:tmpl w:val="768C61B6"/>
    <w:lvl w:ilvl="0" w:tplc="1C343804">
      <w:start w:val="4"/>
      <w:numFmt w:val="decimal"/>
      <w:lvlText w:val="%1."/>
      <w:lvlJc w:val="left"/>
      <w:pPr>
        <w:tabs>
          <w:tab w:val="num" w:pos="360"/>
        </w:tabs>
        <w:ind w:left="360" w:hanging="36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A455B19"/>
    <w:multiLevelType w:val="hybridMultilevel"/>
    <w:tmpl w:val="E618ED98"/>
    <w:lvl w:ilvl="0" w:tplc="8480A954">
      <w:start w:val="2"/>
      <w:numFmt w:val="lowerLetter"/>
      <w:lvlText w:val="%1."/>
      <w:lvlJc w:val="left"/>
      <w:pPr>
        <w:tabs>
          <w:tab w:val="num" w:pos="1152"/>
        </w:tabs>
        <w:ind w:left="1152" w:hanging="432"/>
      </w:pPr>
      <w:rPr>
        <w:rFonts w:hint="default"/>
        <w:b/>
      </w:rPr>
    </w:lvl>
    <w:lvl w:ilvl="1" w:tplc="83B4F736">
      <w:start w:val="1"/>
      <w:numFmt w:val="bullet"/>
      <w:lvlText w:val=""/>
      <w:lvlJc w:val="left"/>
      <w:pPr>
        <w:tabs>
          <w:tab w:val="num" w:pos="-216"/>
        </w:tabs>
        <w:ind w:left="-216" w:hanging="288"/>
      </w:pPr>
      <w:rPr>
        <w:rFonts w:ascii="Wingdings" w:hAnsi="Wingdings" w:hint="default"/>
        <w:b/>
        <w:color w:val="auto"/>
      </w:rPr>
    </w:lvl>
    <w:lvl w:ilvl="2" w:tplc="0409001B">
      <w:start w:val="1"/>
      <w:numFmt w:val="lowerRoman"/>
      <w:lvlText w:val="%3."/>
      <w:lvlJc w:val="right"/>
      <w:pPr>
        <w:tabs>
          <w:tab w:val="num" w:pos="576"/>
        </w:tabs>
        <w:ind w:left="576" w:hanging="180"/>
      </w:pPr>
    </w:lvl>
    <w:lvl w:ilvl="3" w:tplc="0409000F">
      <w:start w:val="1"/>
      <w:numFmt w:val="decimal"/>
      <w:lvlText w:val="%4."/>
      <w:lvlJc w:val="left"/>
      <w:pPr>
        <w:tabs>
          <w:tab w:val="num" w:pos="1296"/>
        </w:tabs>
        <w:ind w:left="1296" w:hanging="360"/>
      </w:pPr>
    </w:lvl>
    <w:lvl w:ilvl="4" w:tplc="04090019">
      <w:start w:val="1"/>
      <w:numFmt w:val="lowerLetter"/>
      <w:lvlText w:val="%5."/>
      <w:lvlJc w:val="left"/>
      <w:pPr>
        <w:tabs>
          <w:tab w:val="num" w:pos="2016"/>
        </w:tabs>
        <w:ind w:left="2016" w:hanging="360"/>
      </w:pPr>
    </w:lvl>
    <w:lvl w:ilvl="5" w:tplc="0409001B" w:tentative="1">
      <w:start w:val="1"/>
      <w:numFmt w:val="lowerRoman"/>
      <w:lvlText w:val="%6."/>
      <w:lvlJc w:val="right"/>
      <w:pPr>
        <w:tabs>
          <w:tab w:val="num" w:pos="2736"/>
        </w:tabs>
        <w:ind w:left="2736" w:hanging="180"/>
      </w:pPr>
    </w:lvl>
    <w:lvl w:ilvl="6" w:tplc="0409000F" w:tentative="1">
      <w:start w:val="1"/>
      <w:numFmt w:val="decimal"/>
      <w:lvlText w:val="%7."/>
      <w:lvlJc w:val="left"/>
      <w:pPr>
        <w:tabs>
          <w:tab w:val="num" w:pos="3456"/>
        </w:tabs>
        <w:ind w:left="3456" w:hanging="360"/>
      </w:pPr>
    </w:lvl>
    <w:lvl w:ilvl="7" w:tplc="04090019" w:tentative="1">
      <w:start w:val="1"/>
      <w:numFmt w:val="lowerLetter"/>
      <w:lvlText w:val="%8."/>
      <w:lvlJc w:val="left"/>
      <w:pPr>
        <w:tabs>
          <w:tab w:val="num" w:pos="4176"/>
        </w:tabs>
        <w:ind w:left="4176" w:hanging="360"/>
      </w:pPr>
    </w:lvl>
    <w:lvl w:ilvl="8" w:tplc="0409001B" w:tentative="1">
      <w:start w:val="1"/>
      <w:numFmt w:val="lowerRoman"/>
      <w:lvlText w:val="%9."/>
      <w:lvlJc w:val="right"/>
      <w:pPr>
        <w:tabs>
          <w:tab w:val="num" w:pos="4896"/>
        </w:tabs>
        <w:ind w:left="4896" w:hanging="180"/>
      </w:pPr>
    </w:lvl>
  </w:abstractNum>
  <w:abstractNum w:abstractNumId="9">
    <w:nsid w:val="2AE42F0F"/>
    <w:multiLevelType w:val="hybridMultilevel"/>
    <w:tmpl w:val="A38EEBFC"/>
    <w:lvl w:ilvl="0" w:tplc="83B4F736">
      <w:start w:val="1"/>
      <w:numFmt w:val="bullet"/>
      <w:lvlText w:val=""/>
      <w:lvlJc w:val="left"/>
      <w:pPr>
        <w:tabs>
          <w:tab w:val="num" w:pos="1728"/>
        </w:tabs>
        <w:ind w:left="1728" w:hanging="288"/>
      </w:pPr>
      <w:rPr>
        <w:rFonts w:ascii="Wingdings" w:hAnsi="Wingdings" w:hint="default"/>
        <w:color w:val="auto"/>
      </w:rPr>
    </w:lvl>
    <w:lvl w:ilvl="1" w:tplc="F6941F4A">
      <w:start w:val="2"/>
      <w:numFmt w:val="lowerLetter"/>
      <w:lvlText w:val="%2."/>
      <w:lvlJc w:val="left"/>
      <w:pPr>
        <w:tabs>
          <w:tab w:val="num" w:pos="1440"/>
        </w:tabs>
        <w:ind w:left="1440" w:hanging="720"/>
      </w:pPr>
      <w:rPr>
        <w:rFonts w:hint="default"/>
        <w:color w:val="auto"/>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33A68F2"/>
    <w:multiLevelType w:val="hybridMultilevel"/>
    <w:tmpl w:val="5D40D19C"/>
    <w:lvl w:ilvl="0" w:tplc="75781328">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
    <w:nsid w:val="339B7BC3"/>
    <w:multiLevelType w:val="hybridMultilevel"/>
    <w:tmpl w:val="371A663A"/>
    <w:lvl w:ilvl="0" w:tplc="83B4F736">
      <w:start w:val="1"/>
      <w:numFmt w:val="bullet"/>
      <w:lvlText w:val=""/>
      <w:lvlJc w:val="left"/>
      <w:pPr>
        <w:tabs>
          <w:tab w:val="num" w:pos="1728"/>
        </w:tabs>
        <w:ind w:left="1728"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DE7C39"/>
    <w:multiLevelType w:val="hybridMultilevel"/>
    <w:tmpl w:val="F16E90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777D05"/>
    <w:multiLevelType w:val="hybridMultilevel"/>
    <w:tmpl w:val="F6E448F6"/>
    <w:lvl w:ilvl="0" w:tplc="BBC8868A">
      <w:start w:val="3"/>
      <w:numFmt w:val="decimal"/>
      <w:lvlText w:val="%1."/>
      <w:lvlJc w:val="left"/>
      <w:pPr>
        <w:tabs>
          <w:tab w:val="num" w:pos="600"/>
        </w:tabs>
        <w:ind w:left="600" w:hanging="360"/>
      </w:pPr>
      <w:rPr>
        <w:rFonts w:hint="default"/>
        <w:b w:val="0"/>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nsid w:val="39703C99"/>
    <w:multiLevelType w:val="multilevel"/>
    <w:tmpl w:val="A37443FE"/>
    <w:lvl w:ilvl="0">
      <w:start w:val="1"/>
      <w:numFmt w:val="lowerLetter"/>
      <w:lvlText w:val="%1."/>
      <w:lvlJc w:val="left"/>
      <w:pPr>
        <w:tabs>
          <w:tab w:val="num" w:pos="2016"/>
        </w:tabs>
        <w:ind w:left="2016"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09A250C"/>
    <w:multiLevelType w:val="hybridMultilevel"/>
    <w:tmpl w:val="523890F2"/>
    <w:lvl w:ilvl="0" w:tplc="32DEFE38">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nsid w:val="43270366"/>
    <w:multiLevelType w:val="hybridMultilevel"/>
    <w:tmpl w:val="255CAE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42783C"/>
    <w:multiLevelType w:val="hybridMultilevel"/>
    <w:tmpl w:val="2FD46192"/>
    <w:lvl w:ilvl="0" w:tplc="83B4F736">
      <w:start w:val="1"/>
      <w:numFmt w:val="bullet"/>
      <w:lvlText w:val=""/>
      <w:lvlJc w:val="left"/>
      <w:pPr>
        <w:tabs>
          <w:tab w:val="num" w:pos="1440"/>
        </w:tabs>
        <w:ind w:left="1440"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8">
    <w:nsid w:val="4EC94599"/>
    <w:multiLevelType w:val="hybridMultilevel"/>
    <w:tmpl w:val="7C2AC10A"/>
    <w:lvl w:ilvl="0" w:tplc="2780C066">
      <w:start w:val="1"/>
      <w:numFmt w:val="upperLetter"/>
      <w:lvlText w:val="%1."/>
      <w:lvlJc w:val="left"/>
      <w:pPr>
        <w:ind w:left="720" w:hanging="660"/>
      </w:pPr>
      <w:rPr>
        <w:rFonts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519A4B82"/>
    <w:multiLevelType w:val="multilevel"/>
    <w:tmpl w:val="D6A07AA4"/>
    <w:lvl w:ilvl="0">
      <w:start w:val="1"/>
      <w:numFmt w:val="lowerLetter"/>
      <w:lvlText w:val="%1."/>
      <w:lvlJc w:val="left"/>
      <w:pPr>
        <w:tabs>
          <w:tab w:val="num" w:pos="2016"/>
        </w:tabs>
        <w:ind w:left="2016" w:hanging="432"/>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9EF6C13"/>
    <w:multiLevelType w:val="hybridMultilevel"/>
    <w:tmpl w:val="9C1666D8"/>
    <w:lvl w:ilvl="0" w:tplc="EB56E92E">
      <w:start w:val="1"/>
      <w:numFmt w:val="lowerLetter"/>
      <w:lvlText w:val="%1."/>
      <w:lvlJc w:val="left"/>
      <w:pPr>
        <w:tabs>
          <w:tab w:val="num" w:pos="1152"/>
        </w:tabs>
        <w:ind w:left="1152" w:hanging="432"/>
      </w:pPr>
      <w:rPr>
        <w:rFonts w:hint="default"/>
        <w:b/>
      </w:rPr>
    </w:lvl>
    <w:lvl w:ilvl="1" w:tplc="04090019">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21">
    <w:nsid w:val="62744180"/>
    <w:multiLevelType w:val="hybridMultilevel"/>
    <w:tmpl w:val="8F182ECA"/>
    <w:lvl w:ilvl="0" w:tplc="7DC8F4EC">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B557299"/>
    <w:multiLevelType w:val="hybridMultilevel"/>
    <w:tmpl w:val="B09A7F70"/>
    <w:lvl w:ilvl="0" w:tplc="C7D032FE">
      <w:start w:val="5"/>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3">
    <w:nsid w:val="7558751B"/>
    <w:multiLevelType w:val="multilevel"/>
    <w:tmpl w:val="D6A07AA4"/>
    <w:lvl w:ilvl="0">
      <w:start w:val="1"/>
      <w:numFmt w:val="lowerLetter"/>
      <w:lvlText w:val="%1."/>
      <w:lvlJc w:val="left"/>
      <w:pPr>
        <w:tabs>
          <w:tab w:val="num" w:pos="2016"/>
        </w:tabs>
        <w:ind w:left="2016" w:hanging="432"/>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6A4732"/>
    <w:multiLevelType w:val="hybridMultilevel"/>
    <w:tmpl w:val="D1008DA0"/>
    <w:lvl w:ilvl="0" w:tplc="BD445DF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BA24FF6"/>
    <w:multiLevelType w:val="hybridMultilevel"/>
    <w:tmpl w:val="D60E5296"/>
    <w:lvl w:ilvl="0" w:tplc="E68069BE">
      <w:start w:val="1"/>
      <w:numFmt w:val="lowerLetter"/>
      <w:lvlText w:val="%1."/>
      <w:lvlJc w:val="left"/>
      <w:pPr>
        <w:tabs>
          <w:tab w:val="num" w:pos="2016"/>
        </w:tabs>
        <w:ind w:left="2016" w:hanging="432"/>
      </w:pPr>
      <w:rPr>
        <w:rFonts w:hint="default"/>
      </w:rPr>
    </w:lvl>
    <w:lvl w:ilvl="1" w:tplc="9B523742">
      <w:start w:val="1"/>
      <w:numFmt w:val="lowerLetter"/>
      <w:lvlText w:val="%2."/>
      <w:lvlJc w:val="left"/>
      <w:pPr>
        <w:tabs>
          <w:tab w:val="num" w:pos="1440"/>
        </w:tabs>
        <w:ind w:left="144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8F61A8"/>
    <w:multiLevelType w:val="hybridMultilevel"/>
    <w:tmpl w:val="BDE45EAA"/>
    <w:lvl w:ilvl="0" w:tplc="DFF455CA">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0"/>
  </w:num>
  <w:num w:numId="2">
    <w:abstractNumId w:val="16"/>
  </w:num>
  <w:num w:numId="3">
    <w:abstractNumId w:val="12"/>
  </w:num>
  <w:num w:numId="4">
    <w:abstractNumId w:val="13"/>
  </w:num>
  <w:num w:numId="5">
    <w:abstractNumId w:val="15"/>
  </w:num>
  <w:num w:numId="6">
    <w:abstractNumId w:val="26"/>
  </w:num>
  <w:num w:numId="7">
    <w:abstractNumId w:val="4"/>
  </w:num>
  <w:num w:numId="8">
    <w:abstractNumId w:val="10"/>
  </w:num>
  <w:num w:numId="9">
    <w:abstractNumId w:val="1"/>
  </w:num>
  <w:num w:numId="10">
    <w:abstractNumId w:val="5"/>
  </w:num>
  <w:num w:numId="11">
    <w:abstractNumId w:val="22"/>
  </w:num>
  <w:num w:numId="12">
    <w:abstractNumId w:val="6"/>
  </w:num>
  <w:num w:numId="13">
    <w:abstractNumId w:val="24"/>
  </w:num>
  <w:num w:numId="14">
    <w:abstractNumId w:val="9"/>
  </w:num>
  <w:num w:numId="15">
    <w:abstractNumId w:val="2"/>
  </w:num>
  <w:num w:numId="16">
    <w:abstractNumId w:val="25"/>
  </w:num>
  <w:num w:numId="17">
    <w:abstractNumId w:val="14"/>
  </w:num>
  <w:num w:numId="18">
    <w:abstractNumId w:val="19"/>
  </w:num>
  <w:num w:numId="19">
    <w:abstractNumId w:val="23"/>
  </w:num>
  <w:num w:numId="20">
    <w:abstractNumId w:val="11"/>
  </w:num>
  <w:num w:numId="21">
    <w:abstractNumId w:val="20"/>
  </w:num>
  <w:num w:numId="22">
    <w:abstractNumId w:val="8"/>
  </w:num>
  <w:num w:numId="23">
    <w:abstractNumId w:val="3"/>
  </w:num>
  <w:num w:numId="24">
    <w:abstractNumId w:val="17"/>
  </w:num>
  <w:num w:numId="25">
    <w:abstractNumId w:val="7"/>
  </w:num>
  <w:num w:numId="26">
    <w:abstractNumId w:val="2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62"/>
    <w:rsid w:val="000051A6"/>
    <w:rsid w:val="000077C1"/>
    <w:rsid w:val="0001288B"/>
    <w:rsid w:val="00014387"/>
    <w:rsid w:val="00020506"/>
    <w:rsid w:val="00035CF7"/>
    <w:rsid w:val="0004071F"/>
    <w:rsid w:val="00047A7D"/>
    <w:rsid w:val="000508EB"/>
    <w:rsid w:val="00050D2E"/>
    <w:rsid w:val="00051438"/>
    <w:rsid w:val="000762D5"/>
    <w:rsid w:val="00076493"/>
    <w:rsid w:val="0007780A"/>
    <w:rsid w:val="000A62DA"/>
    <w:rsid w:val="000A7737"/>
    <w:rsid w:val="000B4539"/>
    <w:rsid w:val="000C21F6"/>
    <w:rsid w:val="000C46DB"/>
    <w:rsid w:val="000D0800"/>
    <w:rsid w:val="000E05A6"/>
    <w:rsid w:val="000E6290"/>
    <w:rsid w:val="001046FB"/>
    <w:rsid w:val="00106BC8"/>
    <w:rsid w:val="00107155"/>
    <w:rsid w:val="00113C43"/>
    <w:rsid w:val="00113F64"/>
    <w:rsid w:val="00117091"/>
    <w:rsid w:val="00124D5E"/>
    <w:rsid w:val="00127A36"/>
    <w:rsid w:val="00131D1C"/>
    <w:rsid w:val="00150702"/>
    <w:rsid w:val="00150F72"/>
    <w:rsid w:val="001515E9"/>
    <w:rsid w:val="00152B12"/>
    <w:rsid w:val="00180998"/>
    <w:rsid w:val="001849D6"/>
    <w:rsid w:val="00186F46"/>
    <w:rsid w:val="00190D27"/>
    <w:rsid w:val="001931F3"/>
    <w:rsid w:val="001A4336"/>
    <w:rsid w:val="001A653F"/>
    <w:rsid w:val="001B1B8D"/>
    <w:rsid w:val="001B2532"/>
    <w:rsid w:val="001B50DE"/>
    <w:rsid w:val="001C1CE0"/>
    <w:rsid w:val="001C2D0F"/>
    <w:rsid w:val="001C43D4"/>
    <w:rsid w:val="001C6A45"/>
    <w:rsid w:val="001C706B"/>
    <w:rsid w:val="001C7272"/>
    <w:rsid w:val="001C7657"/>
    <w:rsid w:val="001D1CF7"/>
    <w:rsid w:val="001E3D1E"/>
    <w:rsid w:val="001F3AC1"/>
    <w:rsid w:val="00202894"/>
    <w:rsid w:val="00207869"/>
    <w:rsid w:val="00216921"/>
    <w:rsid w:val="00217C86"/>
    <w:rsid w:val="00226A31"/>
    <w:rsid w:val="00230D05"/>
    <w:rsid w:val="0023544C"/>
    <w:rsid w:val="00247000"/>
    <w:rsid w:val="002609FB"/>
    <w:rsid w:val="0027011A"/>
    <w:rsid w:val="00273CD2"/>
    <w:rsid w:val="00277D9A"/>
    <w:rsid w:val="00281917"/>
    <w:rsid w:val="00281DB4"/>
    <w:rsid w:val="0028215D"/>
    <w:rsid w:val="00282A03"/>
    <w:rsid w:val="00282AAD"/>
    <w:rsid w:val="002906BD"/>
    <w:rsid w:val="00290D32"/>
    <w:rsid w:val="0029445E"/>
    <w:rsid w:val="002A1055"/>
    <w:rsid w:val="002A2DB1"/>
    <w:rsid w:val="002A34F3"/>
    <w:rsid w:val="002A4BD6"/>
    <w:rsid w:val="002A50D5"/>
    <w:rsid w:val="002A63A9"/>
    <w:rsid w:val="002B568D"/>
    <w:rsid w:val="002B6341"/>
    <w:rsid w:val="002B660A"/>
    <w:rsid w:val="002C18C6"/>
    <w:rsid w:val="002C3832"/>
    <w:rsid w:val="002C6381"/>
    <w:rsid w:val="002C65CA"/>
    <w:rsid w:val="002D38B2"/>
    <w:rsid w:val="002D6FD8"/>
    <w:rsid w:val="002E6549"/>
    <w:rsid w:val="002F01D1"/>
    <w:rsid w:val="002F15CE"/>
    <w:rsid w:val="002F2079"/>
    <w:rsid w:val="0031454F"/>
    <w:rsid w:val="00325DAA"/>
    <w:rsid w:val="00330676"/>
    <w:rsid w:val="003310D0"/>
    <w:rsid w:val="00333FEE"/>
    <w:rsid w:val="00334A60"/>
    <w:rsid w:val="00345A5C"/>
    <w:rsid w:val="0034798F"/>
    <w:rsid w:val="003601CA"/>
    <w:rsid w:val="00374AA5"/>
    <w:rsid w:val="00377284"/>
    <w:rsid w:val="003848FC"/>
    <w:rsid w:val="0038779D"/>
    <w:rsid w:val="0039385C"/>
    <w:rsid w:val="003A45A4"/>
    <w:rsid w:val="003A7C49"/>
    <w:rsid w:val="003B3881"/>
    <w:rsid w:val="003D2B69"/>
    <w:rsid w:val="003D6796"/>
    <w:rsid w:val="003E1A97"/>
    <w:rsid w:val="003F6091"/>
    <w:rsid w:val="00403032"/>
    <w:rsid w:val="0040416F"/>
    <w:rsid w:val="00404A0F"/>
    <w:rsid w:val="004076B1"/>
    <w:rsid w:val="004218BB"/>
    <w:rsid w:val="004238C1"/>
    <w:rsid w:val="004238C6"/>
    <w:rsid w:val="00425E8A"/>
    <w:rsid w:val="00430B79"/>
    <w:rsid w:val="00431CC2"/>
    <w:rsid w:val="0043510A"/>
    <w:rsid w:val="00437DBC"/>
    <w:rsid w:val="00446389"/>
    <w:rsid w:val="004507DE"/>
    <w:rsid w:val="004513DF"/>
    <w:rsid w:val="00451D93"/>
    <w:rsid w:val="00465302"/>
    <w:rsid w:val="00466951"/>
    <w:rsid w:val="004708BF"/>
    <w:rsid w:val="0049390C"/>
    <w:rsid w:val="004A73B3"/>
    <w:rsid w:val="004B4609"/>
    <w:rsid w:val="004C2A76"/>
    <w:rsid w:val="004D17D5"/>
    <w:rsid w:val="004D7964"/>
    <w:rsid w:val="004E0B1F"/>
    <w:rsid w:val="004E5BB4"/>
    <w:rsid w:val="004E6FA6"/>
    <w:rsid w:val="004E7F56"/>
    <w:rsid w:val="004F2FFE"/>
    <w:rsid w:val="004F547B"/>
    <w:rsid w:val="00502067"/>
    <w:rsid w:val="00503275"/>
    <w:rsid w:val="00523CE6"/>
    <w:rsid w:val="005272B8"/>
    <w:rsid w:val="00540B18"/>
    <w:rsid w:val="00552078"/>
    <w:rsid w:val="00553F65"/>
    <w:rsid w:val="00554451"/>
    <w:rsid w:val="005606B1"/>
    <w:rsid w:val="00591B30"/>
    <w:rsid w:val="005A455D"/>
    <w:rsid w:val="005B56C0"/>
    <w:rsid w:val="005D1B29"/>
    <w:rsid w:val="005D30D3"/>
    <w:rsid w:val="005D4AF1"/>
    <w:rsid w:val="005D7CC3"/>
    <w:rsid w:val="005D7D57"/>
    <w:rsid w:val="005F291E"/>
    <w:rsid w:val="005F6EFD"/>
    <w:rsid w:val="00603542"/>
    <w:rsid w:val="0060752A"/>
    <w:rsid w:val="00607DF9"/>
    <w:rsid w:val="00612E80"/>
    <w:rsid w:val="00614095"/>
    <w:rsid w:val="00615B7F"/>
    <w:rsid w:val="00617C76"/>
    <w:rsid w:val="00622D72"/>
    <w:rsid w:val="006248FB"/>
    <w:rsid w:val="00626865"/>
    <w:rsid w:val="006529E5"/>
    <w:rsid w:val="0066638D"/>
    <w:rsid w:val="00666A35"/>
    <w:rsid w:val="00667188"/>
    <w:rsid w:val="00667C51"/>
    <w:rsid w:val="006877CB"/>
    <w:rsid w:val="006923C7"/>
    <w:rsid w:val="0069574E"/>
    <w:rsid w:val="006970EF"/>
    <w:rsid w:val="006A76D7"/>
    <w:rsid w:val="006B3FD5"/>
    <w:rsid w:val="006B55F1"/>
    <w:rsid w:val="006C3E76"/>
    <w:rsid w:val="006C5490"/>
    <w:rsid w:val="006E528A"/>
    <w:rsid w:val="006E5B41"/>
    <w:rsid w:val="00703B08"/>
    <w:rsid w:val="00707D83"/>
    <w:rsid w:val="00725135"/>
    <w:rsid w:val="00725909"/>
    <w:rsid w:val="00730533"/>
    <w:rsid w:val="00730F9E"/>
    <w:rsid w:val="00736EDE"/>
    <w:rsid w:val="0073716A"/>
    <w:rsid w:val="00741B7E"/>
    <w:rsid w:val="00751A30"/>
    <w:rsid w:val="00751AD2"/>
    <w:rsid w:val="00755B9C"/>
    <w:rsid w:val="00757A9D"/>
    <w:rsid w:val="007740ED"/>
    <w:rsid w:val="00776A3E"/>
    <w:rsid w:val="00776B5A"/>
    <w:rsid w:val="00797A66"/>
    <w:rsid w:val="007A32A3"/>
    <w:rsid w:val="007B1120"/>
    <w:rsid w:val="007B1C08"/>
    <w:rsid w:val="007B247E"/>
    <w:rsid w:val="007C0A03"/>
    <w:rsid w:val="007C17BD"/>
    <w:rsid w:val="007C58A3"/>
    <w:rsid w:val="007C755B"/>
    <w:rsid w:val="007D1355"/>
    <w:rsid w:val="007D57A9"/>
    <w:rsid w:val="007D7B8A"/>
    <w:rsid w:val="007E3B84"/>
    <w:rsid w:val="007F7467"/>
    <w:rsid w:val="008067D0"/>
    <w:rsid w:val="00807CAC"/>
    <w:rsid w:val="00810AFB"/>
    <w:rsid w:val="0082114C"/>
    <w:rsid w:val="00822091"/>
    <w:rsid w:val="00831DB2"/>
    <w:rsid w:val="00835A99"/>
    <w:rsid w:val="008550D7"/>
    <w:rsid w:val="00856383"/>
    <w:rsid w:val="00862F04"/>
    <w:rsid w:val="00863415"/>
    <w:rsid w:val="00864399"/>
    <w:rsid w:val="0087747E"/>
    <w:rsid w:val="00882BB1"/>
    <w:rsid w:val="00886C1F"/>
    <w:rsid w:val="008871A8"/>
    <w:rsid w:val="00892C22"/>
    <w:rsid w:val="008947EC"/>
    <w:rsid w:val="008A5FC3"/>
    <w:rsid w:val="008A6167"/>
    <w:rsid w:val="008B31F3"/>
    <w:rsid w:val="008C3061"/>
    <w:rsid w:val="008C4296"/>
    <w:rsid w:val="008C6395"/>
    <w:rsid w:val="008D0C6D"/>
    <w:rsid w:val="008D4C60"/>
    <w:rsid w:val="008D6132"/>
    <w:rsid w:val="008E3EE7"/>
    <w:rsid w:val="008E455D"/>
    <w:rsid w:val="008F0F73"/>
    <w:rsid w:val="008F135E"/>
    <w:rsid w:val="008F1B03"/>
    <w:rsid w:val="008F293D"/>
    <w:rsid w:val="00900371"/>
    <w:rsid w:val="009035CB"/>
    <w:rsid w:val="00917EEC"/>
    <w:rsid w:val="00925345"/>
    <w:rsid w:val="00933F85"/>
    <w:rsid w:val="00940362"/>
    <w:rsid w:val="00943546"/>
    <w:rsid w:val="00947701"/>
    <w:rsid w:val="00957E64"/>
    <w:rsid w:val="009603E2"/>
    <w:rsid w:val="0096069C"/>
    <w:rsid w:val="00967342"/>
    <w:rsid w:val="00972CCC"/>
    <w:rsid w:val="009739F3"/>
    <w:rsid w:val="00975EE4"/>
    <w:rsid w:val="009775DB"/>
    <w:rsid w:val="009A1B64"/>
    <w:rsid w:val="009B7A37"/>
    <w:rsid w:val="009C07C8"/>
    <w:rsid w:val="009C467C"/>
    <w:rsid w:val="009C52E8"/>
    <w:rsid w:val="009C7C79"/>
    <w:rsid w:val="009E07DA"/>
    <w:rsid w:val="009F1380"/>
    <w:rsid w:val="009F6999"/>
    <w:rsid w:val="00A0609A"/>
    <w:rsid w:val="00A1589E"/>
    <w:rsid w:val="00A16EB1"/>
    <w:rsid w:val="00A25764"/>
    <w:rsid w:val="00A25E01"/>
    <w:rsid w:val="00A27ADE"/>
    <w:rsid w:val="00A33D4A"/>
    <w:rsid w:val="00A40E35"/>
    <w:rsid w:val="00A53D1C"/>
    <w:rsid w:val="00A636F5"/>
    <w:rsid w:val="00A75145"/>
    <w:rsid w:val="00A75628"/>
    <w:rsid w:val="00A845A9"/>
    <w:rsid w:val="00A87C0A"/>
    <w:rsid w:val="00A9710A"/>
    <w:rsid w:val="00AB259C"/>
    <w:rsid w:val="00AB2B42"/>
    <w:rsid w:val="00AB6D36"/>
    <w:rsid w:val="00AC2446"/>
    <w:rsid w:val="00AC2C44"/>
    <w:rsid w:val="00AC3037"/>
    <w:rsid w:val="00AC3B16"/>
    <w:rsid w:val="00AD5187"/>
    <w:rsid w:val="00AD61F5"/>
    <w:rsid w:val="00AE5134"/>
    <w:rsid w:val="00AE7D37"/>
    <w:rsid w:val="00AF2316"/>
    <w:rsid w:val="00AF6972"/>
    <w:rsid w:val="00B0764E"/>
    <w:rsid w:val="00B15ABD"/>
    <w:rsid w:val="00B169FB"/>
    <w:rsid w:val="00B16AE7"/>
    <w:rsid w:val="00B24E1D"/>
    <w:rsid w:val="00B25726"/>
    <w:rsid w:val="00B33ECF"/>
    <w:rsid w:val="00B3472B"/>
    <w:rsid w:val="00B44794"/>
    <w:rsid w:val="00B53341"/>
    <w:rsid w:val="00B62DA4"/>
    <w:rsid w:val="00B65412"/>
    <w:rsid w:val="00B65534"/>
    <w:rsid w:val="00B726D9"/>
    <w:rsid w:val="00B82511"/>
    <w:rsid w:val="00B85A0A"/>
    <w:rsid w:val="00B90273"/>
    <w:rsid w:val="00B96BD5"/>
    <w:rsid w:val="00B96EC2"/>
    <w:rsid w:val="00B972F8"/>
    <w:rsid w:val="00BA196E"/>
    <w:rsid w:val="00BB1024"/>
    <w:rsid w:val="00BB3B60"/>
    <w:rsid w:val="00BB4DA2"/>
    <w:rsid w:val="00BC1180"/>
    <w:rsid w:val="00BD25A6"/>
    <w:rsid w:val="00BD6EC7"/>
    <w:rsid w:val="00BF14A7"/>
    <w:rsid w:val="00BF76F6"/>
    <w:rsid w:val="00C07205"/>
    <w:rsid w:val="00C07F09"/>
    <w:rsid w:val="00C10246"/>
    <w:rsid w:val="00C11227"/>
    <w:rsid w:val="00C222B5"/>
    <w:rsid w:val="00C24F62"/>
    <w:rsid w:val="00C3071E"/>
    <w:rsid w:val="00C30B7C"/>
    <w:rsid w:val="00C3326F"/>
    <w:rsid w:val="00C37549"/>
    <w:rsid w:val="00C40FF8"/>
    <w:rsid w:val="00C4301A"/>
    <w:rsid w:val="00C43B7C"/>
    <w:rsid w:val="00C46ED5"/>
    <w:rsid w:val="00C5136C"/>
    <w:rsid w:val="00C60932"/>
    <w:rsid w:val="00C62679"/>
    <w:rsid w:val="00C626E5"/>
    <w:rsid w:val="00C653CA"/>
    <w:rsid w:val="00C77BF3"/>
    <w:rsid w:val="00C8059B"/>
    <w:rsid w:val="00C82D87"/>
    <w:rsid w:val="00C86E86"/>
    <w:rsid w:val="00C95E0C"/>
    <w:rsid w:val="00CA564F"/>
    <w:rsid w:val="00CA67C6"/>
    <w:rsid w:val="00CB234A"/>
    <w:rsid w:val="00CB5076"/>
    <w:rsid w:val="00CB5173"/>
    <w:rsid w:val="00CD45DA"/>
    <w:rsid w:val="00CD45EB"/>
    <w:rsid w:val="00CF3072"/>
    <w:rsid w:val="00D05D3B"/>
    <w:rsid w:val="00D117FF"/>
    <w:rsid w:val="00D12BCE"/>
    <w:rsid w:val="00D14331"/>
    <w:rsid w:val="00D144C5"/>
    <w:rsid w:val="00D163EA"/>
    <w:rsid w:val="00D16D6C"/>
    <w:rsid w:val="00D21A22"/>
    <w:rsid w:val="00D26612"/>
    <w:rsid w:val="00D30741"/>
    <w:rsid w:val="00D33650"/>
    <w:rsid w:val="00D43486"/>
    <w:rsid w:val="00D46997"/>
    <w:rsid w:val="00D52087"/>
    <w:rsid w:val="00D5253D"/>
    <w:rsid w:val="00D54A3D"/>
    <w:rsid w:val="00D54AC9"/>
    <w:rsid w:val="00D6489A"/>
    <w:rsid w:val="00D64F1C"/>
    <w:rsid w:val="00D65EFA"/>
    <w:rsid w:val="00D7412D"/>
    <w:rsid w:val="00D8229C"/>
    <w:rsid w:val="00D87632"/>
    <w:rsid w:val="00D92B14"/>
    <w:rsid w:val="00DA3C68"/>
    <w:rsid w:val="00DB1C49"/>
    <w:rsid w:val="00DB268E"/>
    <w:rsid w:val="00DB35FF"/>
    <w:rsid w:val="00DB5A76"/>
    <w:rsid w:val="00DB68CE"/>
    <w:rsid w:val="00DC7BAB"/>
    <w:rsid w:val="00DD1202"/>
    <w:rsid w:val="00DD22C1"/>
    <w:rsid w:val="00DD6BCB"/>
    <w:rsid w:val="00DE5415"/>
    <w:rsid w:val="00DE5FBB"/>
    <w:rsid w:val="00DF4208"/>
    <w:rsid w:val="00DF5351"/>
    <w:rsid w:val="00DF596A"/>
    <w:rsid w:val="00DF59AC"/>
    <w:rsid w:val="00E1279D"/>
    <w:rsid w:val="00E17918"/>
    <w:rsid w:val="00E238C8"/>
    <w:rsid w:val="00E24DFA"/>
    <w:rsid w:val="00E304DE"/>
    <w:rsid w:val="00E31A89"/>
    <w:rsid w:val="00E34E87"/>
    <w:rsid w:val="00E3680E"/>
    <w:rsid w:val="00E4175A"/>
    <w:rsid w:val="00E65CE9"/>
    <w:rsid w:val="00E72360"/>
    <w:rsid w:val="00E81360"/>
    <w:rsid w:val="00E823C6"/>
    <w:rsid w:val="00E873C7"/>
    <w:rsid w:val="00E91227"/>
    <w:rsid w:val="00E97576"/>
    <w:rsid w:val="00EA1B24"/>
    <w:rsid w:val="00EB40B4"/>
    <w:rsid w:val="00EB6CB8"/>
    <w:rsid w:val="00EC6A51"/>
    <w:rsid w:val="00ED2239"/>
    <w:rsid w:val="00ED72C5"/>
    <w:rsid w:val="00EE206D"/>
    <w:rsid w:val="00EE2EA5"/>
    <w:rsid w:val="00EE35CE"/>
    <w:rsid w:val="00EF1163"/>
    <w:rsid w:val="00EF449A"/>
    <w:rsid w:val="00F07083"/>
    <w:rsid w:val="00F16DD6"/>
    <w:rsid w:val="00F25CCF"/>
    <w:rsid w:val="00F26973"/>
    <w:rsid w:val="00F37A1E"/>
    <w:rsid w:val="00F504C6"/>
    <w:rsid w:val="00F54541"/>
    <w:rsid w:val="00F57466"/>
    <w:rsid w:val="00F61B48"/>
    <w:rsid w:val="00F65925"/>
    <w:rsid w:val="00F676FC"/>
    <w:rsid w:val="00F70C91"/>
    <w:rsid w:val="00F70EBF"/>
    <w:rsid w:val="00F71684"/>
    <w:rsid w:val="00F7371F"/>
    <w:rsid w:val="00F76D37"/>
    <w:rsid w:val="00F77849"/>
    <w:rsid w:val="00F84525"/>
    <w:rsid w:val="00F85878"/>
    <w:rsid w:val="00F87D36"/>
    <w:rsid w:val="00FA63BE"/>
    <w:rsid w:val="00FB22E0"/>
    <w:rsid w:val="00FB4796"/>
    <w:rsid w:val="00FB563A"/>
    <w:rsid w:val="00FC1195"/>
    <w:rsid w:val="00FC5945"/>
    <w:rsid w:val="00FC7EF7"/>
    <w:rsid w:val="00FD2706"/>
    <w:rsid w:val="00FD7ACC"/>
    <w:rsid w:val="00FE2988"/>
    <w:rsid w:val="00FE3E57"/>
    <w:rsid w:val="00FE66E8"/>
    <w:rsid w:val="00FF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7D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D17D5"/>
    <w:pPr>
      <w:tabs>
        <w:tab w:val="center" w:pos="4320"/>
        <w:tab w:val="right" w:pos="8640"/>
      </w:tabs>
    </w:pPr>
  </w:style>
  <w:style w:type="character" w:styleId="PageNumber">
    <w:name w:val="page number"/>
    <w:basedOn w:val="DefaultParagraphFont"/>
    <w:rsid w:val="004D17D5"/>
  </w:style>
  <w:style w:type="character" w:styleId="Hyperlink">
    <w:name w:val="Hyperlink"/>
    <w:basedOn w:val="DefaultParagraphFont"/>
    <w:rsid w:val="00465302"/>
    <w:rPr>
      <w:color w:val="0000FF"/>
      <w:u w:val="single"/>
    </w:rPr>
  </w:style>
  <w:style w:type="paragraph" w:styleId="Header">
    <w:name w:val="header"/>
    <w:basedOn w:val="Normal"/>
    <w:link w:val="HeaderChar"/>
    <w:rsid w:val="00B24E1D"/>
    <w:pPr>
      <w:tabs>
        <w:tab w:val="center" w:pos="4320"/>
        <w:tab w:val="right" w:pos="8640"/>
      </w:tabs>
    </w:pPr>
  </w:style>
  <w:style w:type="paragraph" w:styleId="BalloonText">
    <w:name w:val="Balloon Text"/>
    <w:basedOn w:val="Normal"/>
    <w:semiHidden/>
    <w:rsid w:val="00FD7ACC"/>
    <w:rPr>
      <w:rFonts w:ascii="Tahoma" w:hAnsi="Tahoma" w:cs="Tahoma"/>
      <w:sz w:val="16"/>
      <w:szCs w:val="16"/>
    </w:rPr>
  </w:style>
  <w:style w:type="character" w:styleId="CommentReference">
    <w:name w:val="annotation reference"/>
    <w:basedOn w:val="DefaultParagraphFont"/>
    <w:semiHidden/>
    <w:rsid w:val="00020506"/>
    <w:rPr>
      <w:sz w:val="16"/>
      <w:szCs w:val="16"/>
    </w:rPr>
  </w:style>
  <w:style w:type="paragraph" w:styleId="CommentText">
    <w:name w:val="annotation text"/>
    <w:basedOn w:val="Normal"/>
    <w:link w:val="CommentTextChar"/>
    <w:rsid w:val="00020506"/>
    <w:rPr>
      <w:sz w:val="20"/>
      <w:szCs w:val="20"/>
    </w:rPr>
  </w:style>
  <w:style w:type="paragraph" w:styleId="CommentSubject">
    <w:name w:val="annotation subject"/>
    <w:basedOn w:val="CommentText"/>
    <w:next w:val="CommentText"/>
    <w:semiHidden/>
    <w:rsid w:val="00020506"/>
    <w:rPr>
      <w:b/>
      <w:bCs/>
    </w:rPr>
  </w:style>
  <w:style w:type="table" w:styleId="TableGrid">
    <w:name w:val="Table Grid"/>
    <w:basedOn w:val="TableNormal"/>
    <w:rsid w:val="002B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1">
    <w:name w:val="EmailStyle241"/>
    <w:basedOn w:val="DefaultParagraphFont"/>
    <w:semiHidden/>
    <w:rsid w:val="00DB1C49"/>
    <w:rPr>
      <w:rFonts w:ascii="Arial" w:hAnsi="Arial" w:cs="Arial"/>
      <w:color w:val="auto"/>
      <w:sz w:val="20"/>
      <w:szCs w:val="20"/>
    </w:rPr>
  </w:style>
  <w:style w:type="character" w:styleId="FollowedHyperlink">
    <w:name w:val="FollowedHyperlink"/>
    <w:basedOn w:val="DefaultParagraphFont"/>
    <w:rsid w:val="00D8229C"/>
    <w:rPr>
      <w:color w:val="800080"/>
      <w:u w:val="single"/>
    </w:rPr>
  </w:style>
  <w:style w:type="character" w:styleId="Strong">
    <w:name w:val="Strong"/>
    <w:basedOn w:val="DefaultParagraphFont"/>
    <w:qFormat/>
    <w:rsid w:val="006E5B41"/>
    <w:rPr>
      <w:b/>
      <w:bCs/>
    </w:rPr>
  </w:style>
  <w:style w:type="character" w:customStyle="1" w:styleId="updatebodytest1">
    <w:name w:val="updatebodytest1"/>
    <w:basedOn w:val="DefaultParagraphFont"/>
    <w:rsid w:val="006E5B41"/>
    <w:rPr>
      <w:rFonts w:ascii="Arial" w:hAnsi="Arial" w:cs="Arial" w:hint="default"/>
      <w:b w:val="0"/>
      <w:bCs w:val="0"/>
      <w:i w:val="0"/>
      <w:iCs w:val="0"/>
      <w:smallCaps w:val="0"/>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rsid w:val="00751AD2"/>
    <w:rPr>
      <w:sz w:val="24"/>
      <w:szCs w:val="24"/>
    </w:rPr>
  </w:style>
  <w:style w:type="paragraph" w:customStyle="1" w:styleId="7AutoList1">
    <w:name w:val="7AutoList1"/>
    <w:rsid w:val="00D46997"/>
    <w:pPr>
      <w:widowControl w:val="0"/>
      <w:autoSpaceDE w:val="0"/>
      <w:autoSpaceDN w:val="0"/>
      <w:adjustRightInd w:val="0"/>
      <w:ind w:left="-1440"/>
      <w:jc w:val="both"/>
    </w:pPr>
    <w:rPr>
      <w:sz w:val="24"/>
      <w:szCs w:val="24"/>
    </w:rPr>
  </w:style>
  <w:style w:type="character" w:customStyle="1" w:styleId="CommentTextChar">
    <w:name w:val="Comment Text Char"/>
    <w:basedOn w:val="DefaultParagraphFont"/>
    <w:link w:val="CommentText"/>
    <w:rsid w:val="00D46997"/>
  </w:style>
  <w:style w:type="paragraph" w:styleId="FootnoteText">
    <w:name w:val="footnote text"/>
    <w:basedOn w:val="Normal"/>
    <w:link w:val="FootnoteTextChar"/>
    <w:uiPriority w:val="99"/>
    <w:unhideWhenUsed/>
    <w:rsid w:val="00810AFB"/>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810AFB"/>
    <w:rPr>
      <w:rFonts w:asciiTheme="minorHAnsi" w:eastAsiaTheme="minorEastAsia" w:hAnsiTheme="minorHAnsi" w:cstheme="minorBidi"/>
    </w:rPr>
  </w:style>
  <w:style w:type="character" w:styleId="FootnoteReference">
    <w:name w:val="footnote reference"/>
    <w:basedOn w:val="DefaultParagraphFont"/>
    <w:uiPriority w:val="99"/>
    <w:unhideWhenUsed/>
    <w:rsid w:val="00810AFB"/>
    <w:rPr>
      <w:vertAlign w:val="superscript"/>
    </w:rPr>
  </w:style>
  <w:style w:type="paragraph" w:styleId="ListParagraph">
    <w:name w:val="List Paragraph"/>
    <w:basedOn w:val="Normal"/>
    <w:uiPriority w:val="34"/>
    <w:qFormat/>
    <w:rsid w:val="006E528A"/>
    <w:pPr>
      <w:ind w:left="720"/>
      <w:contextualSpacing/>
    </w:pPr>
  </w:style>
  <w:style w:type="paragraph" w:styleId="Revision">
    <w:name w:val="Revision"/>
    <w:hidden/>
    <w:uiPriority w:val="99"/>
    <w:semiHidden/>
    <w:rsid w:val="005D7CC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7D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D17D5"/>
    <w:pPr>
      <w:tabs>
        <w:tab w:val="center" w:pos="4320"/>
        <w:tab w:val="right" w:pos="8640"/>
      </w:tabs>
    </w:pPr>
  </w:style>
  <w:style w:type="character" w:styleId="PageNumber">
    <w:name w:val="page number"/>
    <w:basedOn w:val="DefaultParagraphFont"/>
    <w:rsid w:val="004D17D5"/>
  </w:style>
  <w:style w:type="character" w:styleId="Hyperlink">
    <w:name w:val="Hyperlink"/>
    <w:basedOn w:val="DefaultParagraphFont"/>
    <w:rsid w:val="00465302"/>
    <w:rPr>
      <w:color w:val="0000FF"/>
      <w:u w:val="single"/>
    </w:rPr>
  </w:style>
  <w:style w:type="paragraph" w:styleId="Header">
    <w:name w:val="header"/>
    <w:basedOn w:val="Normal"/>
    <w:link w:val="HeaderChar"/>
    <w:rsid w:val="00B24E1D"/>
    <w:pPr>
      <w:tabs>
        <w:tab w:val="center" w:pos="4320"/>
        <w:tab w:val="right" w:pos="8640"/>
      </w:tabs>
    </w:pPr>
  </w:style>
  <w:style w:type="paragraph" w:styleId="BalloonText">
    <w:name w:val="Balloon Text"/>
    <w:basedOn w:val="Normal"/>
    <w:semiHidden/>
    <w:rsid w:val="00FD7ACC"/>
    <w:rPr>
      <w:rFonts w:ascii="Tahoma" w:hAnsi="Tahoma" w:cs="Tahoma"/>
      <w:sz w:val="16"/>
      <w:szCs w:val="16"/>
    </w:rPr>
  </w:style>
  <w:style w:type="character" w:styleId="CommentReference">
    <w:name w:val="annotation reference"/>
    <w:basedOn w:val="DefaultParagraphFont"/>
    <w:semiHidden/>
    <w:rsid w:val="00020506"/>
    <w:rPr>
      <w:sz w:val="16"/>
      <w:szCs w:val="16"/>
    </w:rPr>
  </w:style>
  <w:style w:type="paragraph" w:styleId="CommentText">
    <w:name w:val="annotation text"/>
    <w:basedOn w:val="Normal"/>
    <w:link w:val="CommentTextChar"/>
    <w:rsid w:val="00020506"/>
    <w:rPr>
      <w:sz w:val="20"/>
      <w:szCs w:val="20"/>
    </w:rPr>
  </w:style>
  <w:style w:type="paragraph" w:styleId="CommentSubject">
    <w:name w:val="annotation subject"/>
    <w:basedOn w:val="CommentText"/>
    <w:next w:val="CommentText"/>
    <w:semiHidden/>
    <w:rsid w:val="00020506"/>
    <w:rPr>
      <w:b/>
      <w:bCs/>
    </w:rPr>
  </w:style>
  <w:style w:type="table" w:styleId="TableGrid">
    <w:name w:val="Table Grid"/>
    <w:basedOn w:val="TableNormal"/>
    <w:rsid w:val="002B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1">
    <w:name w:val="EmailStyle241"/>
    <w:basedOn w:val="DefaultParagraphFont"/>
    <w:semiHidden/>
    <w:rsid w:val="00DB1C49"/>
    <w:rPr>
      <w:rFonts w:ascii="Arial" w:hAnsi="Arial" w:cs="Arial"/>
      <w:color w:val="auto"/>
      <w:sz w:val="20"/>
      <w:szCs w:val="20"/>
    </w:rPr>
  </w:style>
  <w:style w:type="character" w:styleId="FollowedHyperlink">
    <w:name w:val="FollowedHyperlink"/>
    <w:basedOn w:val="DefaultParagraphFont"/>
    <w:rsid w:val="00D8229C"/>
    <w:rPr>
      <w:color w:val="800080"/>
      <w:u w:val="single"/>
    </w:rPr>
  </w:style>
  <w:style w:type="character" w:styleId="Strong">
    <w:name w:val="Strong"/>
    <w:basedOn w:val="DefaultParagraphFont"/>
    <w:qFormat/>
    <w:rsid w:val="006E5B41"/>
    <w:rPr>
      <w:b/>
      <w:bCs/>
    </w:rPr>
  </w:style>
  <w:style w:type="character" w:customStyle="1" w:styleId="updatebodytest1">
    <w:name w:val="updatebodytest1"/>
    <w:basedOn w:val="DefaultParagraphFont"/>
    <w:rsid w:val="006E5B41"/>
    <w:rPr>
      <w:rFonts w:ascii="Arial" w:hAnsi="Arial" w:cs="Arial" w:hint="default"/>
      <w:b w:val="0"/>
      <w:bCs w:val="0"/>
      <w:i w:val="0"/>
      <w:iCs w:val="0"/>
      <w:smallCaps w:val="0"/>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rsid w:val="00751AD2"/>
    <w:rPr>
      <w:sz w:val="24"/>
      <w:szCs w:val="24"/>
    </w:rPr>
  </w:style>
  <w:style w:type="paragraph" w:customStyle="1" w:styleId="7AutoList1">
    <w:name w:val="7AutoList1"/>
    <w:rsid w:val="00D46997"/>
    <w:pPr>
      <w:widowControl w:val="0"/>
      <w:autoSpaceDE w:val="0"/>
      <w:autoSpaceDN w:val="0"/>
      <w:adjustRightInd w:val="0"/>
      <w:ind w:left="-1440"/>
      <w:jc w:val="both"/>
    </w:pPr>
    <w:rPr>
      <w:sz w:val="24"/>
      <w:szCs w:val="24"/>
    </w:rPr>
  </w:style>
  <w:style w:type="character" w:customStyle="1" w:styleId="CommentTextChar">
    <w:name w:val="Comment Text Char"/>
    <w:basedOn w:val="DefaultParagraphFont"/>
    <w:link w:val="CommentText"/>
    <w:rsid w:val="00D46997"/>
  </w:style>
  <w:style w:type="paragraph" w:styleId="FootnoteText">
    <w:name w:val="footnote text"/>
    <w:basedOn w:val="Normal"/>
    <w:link w:val="FootnoteTextChar"/>
    <w:uiPriority w:val="99"/>
    <w:unhideWhenUsed/>
    <w:rsid w:val="00810AFB"/>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810AFB"/>
    <w:rPr>
      <w:rFonts w:asciiTheme="minorHAnsi" w:eastAsiaTheme="minorEastAsia" w:hAnsiTheme="minorHAnsi" w:cstheme="minorBidi"/>
    </w:rPr>
  </w:style>
  <w:style w:type="character" w:styleId="FootnoteReference">
    <w:name w:val="footnote reference"/>
    <w:basedOn w:val="DefaultParagraphFont"/>
    <w:uiPriority w:val="99"/>
    <w:unhideWhenUsed/>
    <w:rsid w:val="00810AFB"/>
    <w:rPr>
      <w:vertAlign w:val="superscript"/>
    </w:rPr>
  </w:style>
  <w:style w:type="paragraph" w:styleId="ListParagraph">
    <w:name w:val="List Paragraph"/>
    <w:basedOn w:val="Normal"/>
    <w:uiPriority w:val="34"/>
    <w:qFormat/>
    <w:rsid w:val="006E528A"/>
    <w:pPr>
      <w:ind w:left="720"/>
      <w:contextualSpacing/>
    </w:pPr>
  </w:style>
  <w:style w:type="paragraph" w:styleId="Revision">
    <w:name w:val="Revision"/>
    <w:hidden/>
    <w:uiPriority w:val="99"/>
    <w:semiHidden/>
    <w:rsid w:val="005D7C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03985">
      <w:bodyDiv w:val="1"/>
      <w:marLeft w:val="0"/>
      <w:marRight w:val="0"/>
      <w:marTop w:val="0"/>
      <w:marBottom w:val="450"/>
      <w:divBdr>
        <w:top w:val="none" w:sz="0" w:space="0" w:color="auto"/>
        <w:left w:val="none" w:sz="0" w:space="0" w:color="auto"/>
        <w:bottom w:val="none" w:sz="0" w:space="0" w:color="auto"/>
        <w:right w:val="none" w:sz="0" w:space="0" w:color="auto"/>
      </w:divBdr>
      <w:divsChild>
        <w:div w:id="1846898726">
          <w:marLeft w:val="0"/>
          <w:marRight w:val="0"/>
          <w:marTop w:val="0"/>
          <w:marBottom w:val="0"/>
          <w:divBdr>
            <w:top w:val="none" w:sz="0" w:space="0" w:color="auto"/>
            <w:left w:val="none" w:sz="0" w:space="0" w:color="auto"/>
            <w:bottom w:val="none" w:sz="0" w:space="0" w:color="auto"/>
            <w:right w:val="none" w:sz="0" w:space="0" w:color="auto"/>
          </w:divBdr>
        </w:div>
      </w:divsChild>
    </w:div>
    <w:div w:id="855537830">
      <w:bodyDiv w:val="1"/>
      <w:marLeft w:val="0"/>
      <w:marRight w:val="0"/>
      <w:marTop w:val="0"/>
      <w:marBottom w:val="0"/>
      <w:divBdr>
        <w:top w:val="none" w:sz="0" w:space="0" w:color="auto"/>
        <w:left w:val="none" w:sz="0" w:space="0" w:color="auto"/>
        <w:bottom w:val="none" w:sz="0" w:space="0" w:color="auto"/>
        <w:right w:val="none" w:sz="0" w:space="0" w:color="auto"/>
      </w:divBdr>
    </w:div>
    <w:div w:id="1521430380">
      <w:bodyDiv w:val="1"/>
      <w:marLeft w:val="0"/>
      <w:marRight w:val="0"/>
      <w:marTop w:val="0"/>
      <w:marBottom w:val="0"/>
      <w:divBdr>
        <w:top w:val="none" w:sz="0" w:space="0" w:color="auto"/>
        <w:left w:val="none" w:sz="0" w:space="0" w:color="auto"/>
        <w:bottom w:val="none" w:sz="0" w:space="0" w:color="auto"/>
        <w:right w:val="none" w:sz="0" w:space="0" w:color="auto"/>
      </w:divBdr>
    </w:div>
    <w:div w:id="19511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m.gov/policy-data-oversight/pay-leave/salaries-wages/salary-tables/pdf/2014/salhr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salary-tables/pdf/2015/RUS_h.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leta.gov/programs/nat_mon_advocate_annual_rep.cf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oes/current/oes434061.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oleta.gov/programs/MSFW.cf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EE7EF-7E9D-4E1E-A9AC-65227A02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SERVICES TO MIGRANT AND SEASONAL FARM WORKERS REPORT AND EMPLOYMENT SERVICE COMPLAINT/REFERRAL RECORD</vt:lpstr>
    </vt:vector>
  </TitlesOfParts>
  <Company>Department of Labor - ETA</Company>
  <LinksUpToDate>false</LinksUpToDate>
  <CharactersWithSpaces>16880</CharactersWithSpaces>
  <SharedDoc>false</SharedDoc>
  <HLinks>
    <vt:vector size="18" baseType="variant">
      <vt:variant>
        <vt:i4>1769549</vt:i4>
      </vt:variant>
      <vt:variant>
        <vt:i4>10</vt:i4>
      </vt:variant>
      <vt:variant>
        <vt:i4>0</vt:i4>
      </vt:variant>
      <vt:variant>
        <vt:i4>5</vt:i4>
      </vt:variant>
      <vt:variant>
        <vt:lpwstr>http://ecfr.gpoaccess.gov/cgi/t/text/text-idx?c=ecfr&amp;sid=45fea0d9d9d4347321cee81d5dc5de85&amp;rgn=div5&amp;view=text&amp;node=20:3.0.2.1.33&amp;idno=20</vt:lpwstr>
      </vt:variant>
      <vt:variant>
        <vt:lpwstr>20:3.0.2.1.33.2.2.9</vt:lpwstr>
      </vt:variant>
      <vt:variant>
        <vt:i4>2621473</vt:i4>
      </vt:variant>
      <vt:variant>
        <vt:i4>7</vt:i4>
      </vt:variant>
      <vt:variant>
        <vt:i4>0</vt:i4>
      </vt:variant>
      <vt:variant>
        <vt:i4>5</vt:i4>
      </vt:variant>
      <vt:variant>
        <vt:lpwstr>http://ecfr.gpoaccess.gov/cgi/t/text/text-idx?c=ecfr&amp;sid=c8d63a7d2f53ffb305a03b6976438d03&amp;rgn=div5&amp;view=text&amp;node=20:3.0.2.1.33&amp;idno=20</vt:lpwstr>
      </vt:variant>
      <vt:variant>
        <vt:lpwstr>20:3.0.2.1.33.2.2.10</vt:lpwstr>
      </vt:variant>
      <vt:variant>
        <vt:i4>8192098</vt:i4>
      </vt:variant>
      <vt:variant>
        <vt:i4>4</vt:i4>
      </vt:variant>
      <vt:variant>
        <vt:i4>0</vt:i4>
      </vt:variant>
      <vt:variant>
        <vt:i4>5</vt:i4>
      </vt:variant>
      <vt:variant>
        <vt:lpwstr>http://www.doleta.gov/programs/MSFW.cfm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TO MIGRANT AND SEASONAL FARM WORKERS REPORT AND EMPLOYMENT SERVICE COMPLAINT/REFERRAL RECORD</dc:title>
  <dc:creator>drussell</dc:creator>
  <cp:lastModifiedBy>Windows User</cp:lastModifiedBy>
  <cp:revision>2</cp:revision>
  <cp:lastPrinted>2016-06-27T20:29:00Z</cp:lastPrinted>
  <dcterms:created xsi:type="dcterms:W3CDTF">2016-06-27T22:21:00Z</dcterms:created>
  <dcterms:modified xsi:type="dcterms:W3CDTF">2016-06-27T22:21:00Z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