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73D" w:rsidRDefault="0090573D" w:rsidP="0090573D">
      <w:pPr>
        <w:pStyle w:val="Default"/>
        <w:jc w:val="center"/>
        <w:rPr>
          <w:sz w:val="23"/>
          <w:szCs w:val="23"/>
        </w:rPr>
      </w:pPr>
      <w:r>
        <w:rPr>
          <w:b/>
          <w:bCs/>
          <w:sz w:val="23"/>
          <w:szCs w:val="23"/>
        </w:rPr>
        <w:t>SUPPORTING STATEMENT FOR THE</w:t>
      </w:r>
    </w:p>
    <w:p w:rsidR="0090573D" w:rsidRDefault="0090573D" w:rsidP="0090573D">
      <w:pPr>
        <w:pStyle w:val="Default"/>
        <w:jc w:val="center"/>
        <w:rPr>
          <w:sz w:val="23"/>
          <w:szCs w:val="23"/>
        </w:rPr>
      </w:pPr>
      <w:r>
        <w:rPr>
          <w:b/>
          <w:bCs/>
          <w:sz w:val="23"/>
          <w:szCs w:val="23"/>
        </w:rPr>
        <w:t>INFORMATION COLLECTION REQUIREMENTS OF THE</w:t>
      </w:r>
    </w:p>
    <w:p w:rsidR="0090573D" w:rsidRDefault="007C0779" w:rsidP="0090573D">
      <w:pPr>
        <w:pStyle w:val="Default"/>
        <w:jc w:val="center"/>
        <w:rPr>
          <w:sz w:val="23"/>
          <w:szCs w:val="23"/>
        </w:rPr>
      </w:pPr>
      <w:r>
        <w:rPr>
          <w:b/>
          <w:bCs/>
          <w:sz w:val="23"/>
          <w:szCs w:val="23"/>
        </w:rPr>
        <w:t>STANDARD ON WALKING-</w:t>
      </w:r>
      <w:r w:rsidR="0090573D">
        <w:rPr>
          <w:b/>
          <w:bCs/>
          <w:sz w:val="23"/>
          <w:szCs w:val="23"/>
        </w:rPr>
        <w:t>WORKING SURFACES</w:t>
      </w:r>
    </w:p>
    <w:p w:rsidR="0090573D" w:rsidRDefault="0090573D" w:rsidP="0090573D">
      <w:pPr>
        <w:pStyle w:val="Default"/>
        <w:jc w:val="center"/>
        <w:rPr>
          <w:sz w:val="16"/>
          <w:szCs w:val="16"/>
        </w:rPr>
      </w:pPr>
      <w:r>
        <w:rPr>
          <w:b/>
          <w:bCs/>
          <w:sz w:val="23"/>
          <w:szCs w:val="23"/>
        </w:rPr>
        <w:t>(29 CFR PART 1910, SUBPART D)</w:t>
      </w:r>
      <w:r w:rsidR="00005ABD">
        <w:rPr>
          <w:rStyle w:val="FootnoteReference"/>
          <w:b/>
          <w:bCs/>
          <w:sz w:val="23"/>
          <w:szCs w:val="23"/>
        </w:rPr>
        <w:footnoteReference w:id="1"/>
      </w:r>
    </w:p>
    <w:p w:rsidR="0090573D" w:rsidRDefault="0090573D" w:rsidP="0090573D">
      <w:pPr>
        <w:pStyle w:val="Default"/>
        <w:jc w:val="center"/>
        <w:rPr>
          <w:sz w:val="23"/>
          <w:szCs w:val="23"/>
        </w:rPr>
      </w:pPr>
      <w:r>
        <w:rPr>
          <w:b/>
          <w:bCs/>
          <w:sz w:val="23"/>
          <w:szCs w:val="23"/>
        </w:rPr>
        <w:t>OFFICE OF MANAGEMENT AND BUDGET (OMB)</w:t>
      </w:r>
    </w:p>
    <w:p w:rsidR="0090573D" w:rsidRDefault="0090573D" w:rsidP="0090573D">
      <w:pPr>
        <w:pStyle w:val="Default"/>
        <w:jc w:val="center"/>
        <w:rPr>
          <w:sz w:val="23"/>
          <w:szCs w:val="23"/>
        </w:rPr>
      </w:pPr>
      <w:r>
        <w:rPr>
          <w:b/>
          <w:bCs/>
          <w:sz w:val="23"/>
          <w:szCs w:val="23"/>
        </w:rPr>
        <w:t>CONTROL NUMBER 1218-0199</w:t>
      </w:r>
    </w:p>
    <w:p w:rsidR="0090573D" w:rsidRDefault="007C0779" w:rsidP="0090573D">
      <w:pPr>
        <w:pStyle w:val="Default"/>
        <w:jc w:val="center"/>
        <w:rPr>
          <w:b/>
          <w:bCs/>
          <w:sz w:val="23"/>
          <w:szCs w:val="23"/>
        </w:rPr>
      </w:pPr>
      <w:bookmarkStart w:id="0" w:name="_GoBack"/>
      <w:bookmarkEnd w:id="0"/>
      <w:r>
        <w:rPr>
          <w:b/>
          <w:bCs/>
          <w:sz w:val="23"/>
          <w:szCs w:val="23"/>
        </w:rPr>
        <w:t>(</w:t>
      </w:r>
      <w:r w:rsidR="00977737">
        <w:rPr>
          <w:b/>
          <w:bCs/>
          <w:sz w:val="23"/>
          <w:szCs w:val="23"/>
        </w:rPr>
        <w:t xml:space="preserve">June </w:t>
      </w:r>
      <w:r w:rsidR="00276C0A">
        <w:rPr>
          <w:b/>
          <w:bCs/>
          <w:sz w:val="23"/>
          <w:szCs w:val="23"/>
        </w:rPr>
        <w:t>2016</w:t>
      </w:r>
      <w:r w:rsidR="0090573D">
        <w:rPr>
          <w:b/>
          <w:bCs/>
          <w:sz w:val="23"/>
          <w:szCs w:val="23"/>
        </w:rPr>
        <w:t>)</w:t>
      </w:r>
    </w:p>
    <w:p w:rsidR="00CA5395" w:rsidRPr="00977737" w:rsidRDefault="00CA5395" w:rsidP="0090573D">
      <w:pPr>
        <w:pStyle w:val="Default"/>
        <w:jc w:val="center"/>
        <w:rPr>
          <w:bCs/>
          <w:sz w:val="23"/>
          <w:szCs w:val="23"/>
        </w:rPr>
      </w:pPr>
    </w:p>
    <w:p w:rsidR="00CA5395" w:rsidRDefault="00CA5395" w:rsidP="0090573D">
      <w:pPr>
        <w:pStyle w:val="Default"/>
        <w:jc w:val="center"/>
        <w:rPr>
          <w:b/>
          <w:bCs/>
          <w:sz w:val="23"/>
          <w:szCs w:val="23"/>
        </w:rPr>
      </w:pPr>
    </w:p>
    <w:p w:rsidR="00CA5395" w:rsidRDefault="00CA5395" w:rsidP="0090573D">
      <w:pPr>
        <w:pStyle w:val="Default"/>
        <w:jc w:val="center"/>
        <w:rPr>
          <w:b/>
          <w:bCs/>
          <w:sz w:val="23"/>
          <w:szCs w:val="23"/>
        </w:rPr>
      </w:pPr>
    </w:p>
    <w:p w:rsidR="0090573D" w:rsidRDefault="0090573D" w:rsidP="00F602D3">
      <w:pPr>
        <w:pStyle w:val="Default"/>
        <w:numPr>
          <w:ilvl w:val="0"/>
          <w:numId w:val="14"/>
        </w:numPr>
        <w:rPr>
          <w:b/>
          <w:bCs/>
          <w:sz w:val="23"/>
          <w:szCs w:val="23"/>
        </w:rPr>
      </w:pPr>
      <w:r>
        <w:rPr>
          <w:b/>
          <w:bCs/>
          <w:sz w:val="23"/>
          <w:szCs w:val="23"/>
        </w:rPr>
        <w:t xml:space="preserve">JUSTIFICATION </w:t>
      </w:r>
    </w:p>
    <w:p w:rsidR="000104D0" w:rsidRDefault="000104D0" w:rsidP="0090573D">
      <w:pPr>
        <w:pStyle w:val="Default"/>
        <w:rPr>
          <w:b/>
          <w:bCs/>
          <w:sz w:val="23"/>
          <w:szCs w:val="23"/>
        </w:rPr>
      </w:pPr>
    </w:p>
    <w:p w:rsidR="0090573D" w:rsidRDefault="0090573D" w:rsidP="0090573D">
      <w:pPr>
        <w:pStyle w:val="Default"/>
        <w:rPr>
          <w:sz w:val="23"/>
          <w:szCs w:val="23"/>
        </w:rPr>
      </w:pPr>
    </w:p>
    <w:p w:rsidR="00D04F70" w:rsidRDefault="0090573D" w:rsidP="00CA5395">
      <w:pPr>
        <w:pStyle w:val="Default"/>
        <w:numPr>
          <w:ilvl w:val="0"/>
          <w:numId w:val="1"/>
        </w:numPr>
        <w:ind w:left="360"/>
        <w:rPr>
          <w:b/>
          <w:bCs/>
          <w:sz w:val="20"/>
          <w:szCs w:val="20"/>
        </w:rPr>
      </w:pPr>
      <w:r>
        <w:rPr>
          <w:b/>
          <w:bCs/>
          <w:sz w:val="20"/>
          <w:szCs w:val="20"/>
        </w:rPr>
        <w:t xml:space="preserve">Explain the circumstances that make the collection of information necessary. Identify any legal or </w:t>
      </w:r>
    </w:p>
    <w:p w:rsidR="0090573D" w:rsidRDefault="0090573D" w:rsidP="00D04F70">
      <w:pPr>
        <w:pStyle w:val="Default"/>
        <w:rPr>
          <w:b/>
          <w:bCs/>
          <w:sz w:val="20"/>
          <w:szCs w:val="20"/>
        </w:rPr>
      </w:pPr>
      <w:r>
        <w:rPr>
          <w:b/>
          <w:bCs/>
          <w:sz w:val="20"/>
          <w:szCs w:val="20"/>
        </w:rPr>
        <w:t xml:space="preserve">administrative requirements that necessitate the collection. Attach a copy of the appropriate section of each statute and regulation mandating or authorizing the collection of information. </w:t>
      </w:r>
    </w:p>
    <w:p w:rsidR="0090573D" w:rsidRDefault="0090573D" w:rsidP="00CA5395">
      <w:pPr>
        <w:pStyle w:val="Default"/>
        <w:ind w:left="720"/>
        <w:rPr>
          <w:sz w:val="20"/>
          <w:szCs w:val="20"/>
        </w:rPr>
      </w:pPr>
    </w:p>
    <w:p w:rsidR="0090573D" w:rsidRDefault="0090573D" w:rsidP="0090573D">
      <w:pPr>
        <w:pStyle w:val="Default"/>
        <w:rPr>
          <w:sz w:val="23"/>
          <w:szCs w:val="23"/>
        </w:rPr>
      </w:pPr>
      <w:r>
        <w:rPr>
          <w:sz w:val="23"/>
          <w:szCs w:val="23"/>
        </w:rPr>
        <w:t xml:space="preserve">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 </w:t>
      </w:r>
    </w:p>
    <w:p w:rsidR="00CA5395" w:rsidRDefault="00CA5395" w:rsidP="0090573D">
      <w:pPr>
        <w:pStyle w:val="Default"/>
        <w:rPr>
          <w:sz w:val="23"/>
          <w:szCs w:val="23"/>
        </w:rPr>
      </w:pPr>
    </w:p>
    <w:p w:rsidR="00CA5395" w:rsidRDefault="0090573D" w:rsidP="0090573D">
      <w:pPr>
        <w:pStyle w:val="Default"/>
        <w:rPr>
          <w:sz w:val="23"/>
          <w:szCs w:val="23"/>
        </w:rPr>
      </w:pPr>
      <w:r>
        <w:rPr>
          <w:sz w:val="23"/>
          <w:szCs w:val="23"/>
        </w:rPr>
        <w:t>Section 6(b)(7) of the Act specifies that “[</w:t>
      </w:r>
      <w:r w:rsidRPr="00632484">
        <w:rPr>
          <w:sz w:val="23"/>
          <w:szCs w:val="23"/>
        </w:rPr>
        <w:t>a]ny standard</w:t>
      </w:r>
      <w:r>
        <w:rPr>
          <w:sz w:val="23"/>
          <w:szCs w:val="23"/>
        </w:rPr>
        <w:t xml:space="preserve">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90573D" w:rsidRDefault="0090573D" w:rsidP="0090573D">
      <w:pPr>
        <w:pStyle w:val="Default"/>
        <w:rPr>
          <w:sz w:val="23"/>
          <w:szCs w:val="23"/>
        </w:rPr>
      </w:pPr>
      <w:r>
        <w:rPr>
          <w:sz w:val="23"/>
          <w:szCs w:val="23"/>
        </w:rPr>
        <w:t xml:space="preserve"> </w:t>
      </w:r>
    </w:p>
    <w:p w:rsidR="0090573D" w:rsidRPr="00632484" w:rsidRDefault="0090573D" w:rsidP="0090573D">
      <w:pPr>
        <w:pStyle w:val="Default"/>
        <w:rPr>
          <w:color w:val="auto"/>
          <w:sz w:val="23"/>
          <w:szCs w:val="23"/>
        </w:rPr>
      </w:pPr>
      <w:r w:rsidRPr="00632484">
        <w:rPr>
          <w:color w:val="auto"/>
          <w:sz w:val="23"/>
          <w:szCs w:val="23"/>
        </w:rPr>
        <w:t xml:space="preserve">With regard to recordkeeping, the Act specifies that “[e]ach employer shall make, keep and preserve, and make available to the Secretary . . . such records . . . as the Secretary . . . may prescribe by regulation as necessary or appropriate for the enforcement of this Act . . . .” (29 U.S.C. 657). </w:t>
      </w:r>
      <w:r w:rsidR="00710208">
        <w:rPr>
          <w:color w:val="auto"/>
          <w:sz w:val="23"/>
          <w:szCs w:val="23"/>
        </w:rPr>
        <w:t xml:space="preserve"> </w:t>
      </w:r>
      <w:r w:rsidRPr="00632484">
        <w:rPr>
          <w:color w:val="auto"/>
          <w:sz w:val="23"/>
          <w:szCs w:val="23"/>
        </w:rPr>
        <w:t xml:space="preserve">The Act states further that “[t]he Secretary . . . shall prescribe such rules and regulations as [he/she] may deem necessary to carry out [his/her] responsibilities under this Act, including rules and regulations dealing with the inspection of an employer’s establishment” (29 U.S.C. 657). </w:t>
      </w:r>
    </w:p>
    <w:p w:rsidR="00277FBB" w:rsidRPr="00B57079" w:rsidRDefault="00277FBB" w:rsidP="0090573D">
      <w:pPr>
        <w:pStyle w:val="Default"/>
        <w:rPr>
          <w:color w:val="FF0000"/>
          <w:sz w:val="23"/>
          <w:szCs w:val="23"/>
        </w:rPr>
      </w:pPr>
    </w:p>
    <w:p w:rsidR="00CA5395" w:rsidRDefault="0090573D" w:rsidP="00CA5395">
      <w:pPr>
        <w:pStyle w:val="Default"/>
        <w:rPr>
          <w:sz w:val="23"/>
          <w:szCs w:val="23"/>
        </w:rPr>
      </w:pPr>
      <w:r>
        <w:rPr>
          <w:sz w:val="23"/>
          <w:szCs w:val="23"/>
        </w:rPr>
        <w:t>Under the authority granted by the Act, the Occupational Safety and Health Administration (i.e., “OSHA” or “the Agency”) published at 29 CFR part 1910, subpart D, a standard for gene</w:t>
      </w:r>
      <w:r w:rsidR="007C0779">
        <w:rPr>
          <w:sz w:val="23"/>
          <w:szCs w:val="23"/>
        </w:rPr>
        <w:t>ral industry titled “Walking-</w:t>
      </w:r>
      <w:r>
        <w:rPr>
          <w:sz w:val="23"/>
          <w:szCs w:val="23"/>
        </w:rPr>
        <w:t xml:space="preserve">Working Surfaces” (i.e., “the Standard"). </w:t>
      </w:r>
      <w:r w:rsidR="00CA5395">
        <w:rPr>
          <w:sz w:val="23"/>
          <w:szCs w:val="23"/>
        </w:rPr>
        <w:t xml:space="preserve"> </w:t>
      </w:r>
      <w:r>
        <w:rPr>
          <w:sz w:val="23"/>
          <w:szCs w:val="23"/>
        </w:rPr>
        <w:t xml:space="preserve">Items 2 and 12 below describe in detail the specific information collection requirements of the Standard. </w:t>
      </w:r>
      <w:r w:rsidR="00B24636">
        <w:rPr>
          <w:sz w:val="23"/>
          <w:szCs w:val="23"/>
        </w:rPr>
        <w:t xml:space="preserve"> </w:t>
      </w:r>
    </w:p>
    <w:p w:rsidR="00CA5395" w:rsidRDefault="00CA5395" w:rsidP="00CA5395">
      <w:pPr>
        <w:pStyle w:val="Default"/>
        <w:rPr>
          <w:sz w:val="23"/>
          <w:szCs w:val="23"/>
        </w:rPr>
      </w:pPr>
    </w:p>
    <w:p w:rsidR="00D04F70" w:rsidRDefault="0090573D" w:rsidP="00125272">
      <w:pPr>
        <w:pStyle w:val="Default"/>
        <w:numPr>
          <w:ilvl w:val="0"/>
          <w:numId w:val="4"/>
        </w:numPr>
        <w:ind w:left="450" w:hanging="450"/>
        <w:rPr>
          <w:b/>
          <w:bCs/>
          <w:sz w:val="20"/>
          <w:szCs w:val="20"/>
        </w:rPr>
      </w:pPr>
      <w:r>
        <w:rPr>
          <w:b/>
          <w:bCs/>
          <w:sz w:val="20"/>
          <w:szCs w:val="20"/>
        </w:rPr>
        <w:lastRenderedPageBreak/>
        <w:t>Indicate how, by whom, and for what purpose the information is to be use</w:t>
      </w:r>
      <w:r w:rsidR="00D04F70">
        <w:rPr>
          <w:b/>
          <w:bCs/>
          <w:sz w:val="20"/>
          <w:szCs w:val="20"/>
        </w:rPr>
        <w:t>d. Except for a new collection,</w:t>
      </w:r>
    </w:p>
    <w:p w:rsidR="0090573D" w:rsidRDefault="0090573D" w:rsidP="00D04F70">
      <w:pPr>
        <w:pStyle w:val="Default"/>
        <w:rPr>
          <w:b/>
          <w:bCs/>
          <w:sz w:val="20"/>
          <w:szCs w:val="20"/>
        </w:rPr>
      </w:pPr>
      <w:r>
        <w:rPr>
          <w:b/>
          <w:bCs/>
          <w:sz w:val="20"/>
          <w:szCs w:val="20"/>
        </w:rPr>
        <w:t xml:space="preserve">indicate the actual use the agency has made of the information received from the current collection. </w:t>
      </w:r>
    </w:p>
    <w:p w:rsidR="0090573D" w:rsidRDefault="0090573D" w:rsidP="0090573D">
      <w:pPr>
        <w:pStyle w:val="Default"/>
        <w:ind w:left="720"/>
        <w:rPr>
          <w:sz w:val="20"/>
          <w:szCs w:val="20"/>
        </w:rPr>
      </w:pPr>
    </w:p>
    <w:p w:rsidR="0090573D" w:rsidRDefault="0090573D" w:rsidP="0090573D">
      <w:pPr>
        <w:pStyle w:val="Default"/>
        <w:rPr>
          <w:sz w:val="23"/>
          <w:szCs w:val="23"/>
        </w:rPr>
      </w:pPr>
      <w:r>
        <w:rPr>
          <w:sz w:val="23"/>
          <w:szCs w:val="23"/>
        </w:rPr>
        <w:t xml:space="preserve">The </w:t>
      </w:r>
      <w:r w:rsidR="002228BA">
        <w:rPr>
          <w:sz w:val="23"/>
          <w:szCs w:val="23"/>
        </w:rPr>
        <w:t xml:space="preserve">below are the </w:t>
      </w:r>
      <w:r>
        <w:rPr>
          <w:sz w:val="23"/>
          <w:szCs w:val="23"/>
        </w:rPr>
        <w:t>collections of information contained in the Walking</w:t>
      </w:r>
      <w:r w:rsidR="00CD6E4A">
        <w:rPr>
          <w:sz w:val="23"/>
          <w:szCs w:val="23"/>
        </w:rPr>
        <w:t>-</w:t>
      </w:r>
      <w:r>
        <w:rPr>
          <w:sz w:val="23"/>
          <w:szCs w:val="23"/>
        </w:rPr>
        <w:t>Working Surfaces Standard</w:t>
      </w:r>
      <w:r w:rsidR="002228BA">
        <w:rPr>
          <w:sz w:val="23"/>
          <w:szCs w:val="23"/>
        </w:rPr>
        <w:t>:</w:t>
      </w:r>
    </w:p>
    <w:p w:rsidR="0090573D" w:rsidRDefault="0090573D" w:rsidP="00B24636">
      <w:pPr>
        <w:pStyle w:val="Default"/>
        <w:spacing w:before="100" w:after="100"/>
        <w:rPr>
          <w:sz w:val="23"/>
          <w:szCs w:val="23"/>
        </w:rPr>
      </w:pPr>
      <w:r>
        <w:rPr>
          <w:sz w:val="23"/>
          <w:szCs w:val="23"/>
        </w:rPr>
        <w:t xml:space="preserve">Paragraph 1910.22(d)(1) requires that in every building or other structure, or part thereof, used for mercantile, business, industrial, or storage purposes, the loads approved by the building official shall be marked on plates of approved design which shall be supplied and securely affixed by the owner of the building, or his duly authorized agent, in a conspicuous place in each space to which they relate. Such plates shall not be removed or defaced but, if lost, removed, or defaced, shall be replaced by the owner or his agent. Under paragraph 1910.26(c)(2)(vii), portable metal ladders having defects are to be marked and taken out of service until repaired by either the maintenance department or the manufacturer. </w:t>
      </w:r>
    </w:p>
    <w:p w:rsidR="0090573D" w:rsidRDefault="0090573D" w:rsidP="0090573D">
      <w:pPr>
        <w:pStyle w:val="Default"/>
        <w:rPr>
          <w:sz w:val="23"/>
          <w:szCs w:val="23"/>
        </w:rPr>
      </w:pPr>
      <w:r>
        <w:rPr>
          <w:sz w:val="23"/>
          <w:szCs w:val="23"/>
        </w:rPr>
        <w:t xml:space="preserve">Paragraph 1910.28(e)(3) specifies that unless outrigger scaffolds are designed by a licensed professional engineer, they shall be constructed and erected in accordance with table D-16 of this section. A copy of the detailed drawings and specifications showing the sizes and spacing of members shall be kept on the job. </w:t>
      </w:r>
    </w:p>
    <w:p w:rsidR="0090573D" w:rsidRDefault="0090573D" w:rsidP="0090573D">
      <w:pPr>
        <w:pStyle w:val="Default"/>
        <w:rPr>
          <w:sz w:val="23"/>
          <w:szCs w:val="23"/>
        </w:rPr>
      </w:pPr>
    </w:p>
    <w:p w:rsidR="00D04F70" w:rsidRDefault="0090573D" w:rsidP="00B24636">
      <w:pPr>
        <w:pStyle w:val="Default"/>
        <w:numPr>
          <w:ilvl w:val="0"/>
          <w:numId w:val="3"/>
        </w:numPr>
        <w:ind w:left="360"/>
        <w:rPr>
          <w:b/>
          <w:bCs/>
          <w:sz w:val="20"/>
          <w:szCs w:val="20"/>
        </w:rPr>
      </w:pPr>
      <w:r>
        <w:rPr>
          <w:b/>
          <w:bCs/>
          <w:sz w:val="20"/>
          <w:szCs w:val="20"/>
        </w:rPr>
        <w:t>Describe whether, and to what extent, the collection of information involves the use of automated,</w:t>
      </w:r>
      <w:r w:rsidR="00D04F70">
        <w:rPr>
          <w:b/>
          <w:bCs/>
          <w:sz w:val="20"/>
          <w:szCs w:val="20"/>
        </w:rPr>
        <w:t xml:space="preserve"> </w:t>
      </w:r>
    </w:p>
    <w:p w:rsidR="0090573D" w:rsidRDefault="0090573D" w:rsidP="00D04F70">
      <w:pPr>
        <w:pStyle w:val="Default"/>
        <w:rPr>
          <w:b/>
          <w:bCs/>
          <w:sz w:val="20"/>
          <w:szCs w:val="20"/>
        </w:rPr>
      </w:pPr>
      <w:r>
        <w:rPr>
          <w:b/>
          <w:bCs/>
          <w:sz w:val="20"/>
          <w:szCs w:val="20"/>
        </w:rPr>
        <w:t xml:space="preserve">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0573D" w:rsidRDefault="0090573D" w:rsidP="0090573D">
      <w:pPr>
        <w:pStyle w:val="Default"/>
        <w:ind w:left="720"/>
        <w:rPr>
          <w:sz w:val="20"/>
          <w:szCs w:val="20"/>
        </w:rPr>
      </w:pPr>
    </w:p>
    <w:p w:rsidR="00CA5395" w:rsidRDefault="0090573D" w:rsidP="00B24636">
      <w:pPr>
        <w:pStyle w:val="Default"/>
        <w:rPr>
          <w:sz w:val="23"/>
          <w:szCs w:val="23"/>
        </w:rPr>
      </w:pPr>
      <w:r>
        <w:rPr>
          <w:sz w:val="23"/>
          <w:szCs w:val="23"/>
        </w:rPr>
        <w:t xml:space="preserve">Employers may use automated, electronic, mechanical, or other technological information-collection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3"/>
          <w:szCs w:val="23"/>
          <w:u w:val="single"/>
        </w:rPr>
        <w:t xml:space="preserve">what </w:t>
      </w:r>
      <w:r>
        <w:rPr>
          <w:sz w:val="23"/>
          <w:szCs w:val="23"/>
        </w:rPr>
        <w:t xml:space="preserve">data to collect, not </w:t>
      </w:r>
      <w:r>
        <w:rPr>
          <w:sz w:val="23"/>
          <w:szCs w:val="23"/>
          <w:u w:val="single"/>
        </w:rPr>
        <w:t xml:space="preserve">how </w:t>
      </w:r>
      <w:r>
        <w:rPr>
          <w:sz w:val="23"/>
          <w:szCs w:val="23"/>
        </w:rPr>
        <w:t xml:space="preserve">to record the data). </w:t>
      </w:r>
    </w:p>
    <w:p w:rsidR="00CA5395" w:rsidRDefault="00CA5395" w:rsidP="00B24636">
      <w:pPr>
        <w:pStyle w:val="Default"/>
        <w:rPr>
          <w:sz w:val="23"/>
          <w:szCs w:val="23"/>
        </w:rPr>
      </w:pPr>
    </w:p>
    <w:p w:rsidR="00D04F70" w:rsidRDefault="0090573D" w:rsidP="00B24636">
      <w:pPr>
        <w:pStyle w:val="Default"/>
        <w:numPr>
          <w:ilvl w:val="0"/>
          <w:numId w:val="3"/>
        </w:numPr>
        <w:ind w:left="360"/>
        <w:rPr>
          <w:b/>
          <w:bCs/>
          <w:sz w:val="20"/>
          <w:szCs w:val="20"/>
        </w:rPr>
      </w:pPr>
      <w:r w:rsidRPr="00CA5395">
        <w:rPr>
          <w:b/>
          <w:bCs/>
          <w:sz w:val="20"/>
          <w:szCs w:val="20"/>
        </w:rPr>
        <w:t xml:space="preserve">Describe efforts to identify duplication. Show specifically why any similar information already available </w:t>
      </w:r>
    </w:p>
    <w:p w:rsidR="0090573D" w:rsidRDefault="0090573D" w:rsidP="00D04F70">
      <w:pPr>
        <w:pStyle w:val="Default"/>
        <w:rPr>
          <w:b/>
          <w:bCs/>
          <w:sz w:val="20"/>
          <w:szCs w:val="20"/>
        </w:rPr>
      </w:pPr>
      <w:r w:rsidRPr="00CA5395">
        <w:rPr>
          <w:b/>
          <w:bCs/>
          <w:sz w:val="20"/>
          <w:szCs w:val="20"/>
        </w:rPr>
        <w:t xml:space="preserve">cannot be used or modified for use for the purpose(s) described in </w:t>
      </w:r>
      <w:r w:rsidR="007A611B">
        <w:rPr>
          <w:b/>
          <w:bCs/>
          <w:sz w:val="20"/>
          <w:szCs w:val="20"/>
        </w:rPr>
        <w:t>A.</w:t>
      </w:r>
      <w:r w:rsidRPr="00CA5395">
        <w:rPr>
          <w:b/>
          <w:bCs/>
          <w:sz w:val="20"/>
          <w:szCs w:val="20"/>
        </w:rPr>
        <w:t xml:space="preserve">2 above. </w:t>
      </w:r>
    </w:p>
    <w:p w:rsidR="00CA5395" w:rsidRPr="00CA5395" w:rsidRDefault="00CA5395" w:rsidP="00CA5395">
      <w:pPr>
        <w:pStyle w:val="Default"/>
        <w:ind w:left="360"/>
        <w:rPr>
          <w:b/>
          <w:bCs/>
          <w:sz w:val="20"/>
          <w:szCs w:val="20"/>
        </w:rPr>
      </w:pPr>
    </w:p>
    <w:p w:rsidR="0090573D" w:rsidRDefault="0090573D" w:rsidP="0090573D">
      <w:pPr>
        <w:pStyle w:val="Default"/>
        <w:rPr>
          <w:sz w:val="23"/>
          <w:szCs w:val="23"/>
        </w:rPr>
      </w:pPr>
      <w:r>
        <w:rPr>
          <w:sz w:val="23"/>
          <w:szCs w:val="23"/>
        </w:rPr>
        <w:t xml:space="preserve">The requirements to collect and maintain information are specific to each employer and worker involved, and no other source or agency duplicates these requirements or can make the required information available to OSHA (i.e., the required information is available only from employers). </w:t>
      </w:r>
    </w:p>
    <w:p w:rsidR="0090573D" w:rsidRDefault="0090573D" w:rsidP="0090573D">
      <w:pPr>
        <w:pStyle w:val="Default"/>
        <w:rPr>
          <w:sz w:val="23"/>
          <w:szCs w:val="23"/>
        </w:rPr>
      </w:pPr>
    </w:p>
    <w:p w:rsidR="00D04F70" w:rsidRDefault="0090573D" w:rsidP="00D04F70">
      <w:pPr>
        <w:pStyle w:val="Default"/>
        <w:numPr>
          <w:ilvl w:val="0"/>
          <w:numId w:val="3"/>
        </w:numPr>
        <w:ind w:left="360"/>
        <w:rPr>
          <w:b/>
          <w:bCs/>
          <w:sz w:val="20"/>
          <w:szCs w:val="20"/>
        </w:rPr>
      </w:pPr>
      <w:r>
        <w:rPr>
          <w:b/>
          <w:bCs/>
          <w:sz w:val="20"/>
          <w:szCs w:val="20"/>
        </w:rPr>
        <w:t>If the collection of information impacts small businesses or other small entities, describe the methods</w:t>
      </w:r>
    </w:p>
    <w:p w:rsidR="00B24636" w:rsidRPr="00D04F70" w:rsidRDefault="0090573D" w:rsidP="00D04F70">
      <w:pPr>
        <w:pStyle w:val="Default"/>
        <w:rPr>
          <w:b/>
          <w:bCs/>
          <w:sz w:val="20"/>
          <w:szCs w:val="20"/>
        </w:rPr>
      </w:pPr>
      <w:r w:rsidRPr="00D04F70">
        <w:rPr>
          <w:b/>
          <w:bCs/>
          <w:sz w:val="20"/>
          <w:szCs w:val="20"/>
        </w:rPr>
        <w:t xml:space="preserve">used to reduce the burden. </w:t>
      </w:r>
    </w:p>
    <w:p w:rsidR="00CA5395" w:rsidRDefault="00CA5395" w:rsidP="00CA5395">
      <w:pPr>
        <w:pStyle w:val="Default"/>
        <w:rPr>
          <w:b/>
          <w:bCs/>
          <w:sz w:val="20"/>
          <w:szCs w:val="20"/>
        </w:rPr>
      </w:pPr>
    </w:p>
    <w:p w:rsidR="00CA5395" w:rsidRDefault="00B24636" w:rsidP="00CA5395">
      <w:pPr>
        <w:pStyle w:val="Default"/>
        <w:ind w:left="720" w:hanging="720"/>
        <w:rPr>
          <w:sz w:val="23"/>
          <w:szCs w:val="23"/>
        </w:rPr>
      </w:pPr>
      <w:r>
        <w:rPr>
          <w:sz w:val="23"/>
          <w:szCs w:val="23"/>
        </w:rPr>
        <w:t>T</w:t>
      </w:r>
      <w:r w:rsidR="0090573D">
        <w:rPr>
          <w:sz w:val="23"/>
          <w:szCs w:val="23"/>
        </w:rPr>
        <w:t xml:space="preserve">he information collection requirements specified by the Standard do not have a significant impact </w:t>
      </w:r>
    </w:p>
    <w:p w:rsidR="00CA5395" w:rsidRDefault="0090573D" w:rsidP="00CA5395">
      <w:pPr>
        <w:pStyle w:val="Default"/>
        <w:ind w:left="720" w:hanging="720"/>
        <w:rPr>
          <w:sz w:val="23"/>
          <w:szCs w:val="23"/>
        </w:rPr>
      </w:pPr>
      <w:r>
        <w:rPr>
          <w:sz w:val="23"/>
          <w:szCs w:val="23"/>
        </w:rPr>
        <w:t xml:space="preserve">on a substantial number of small entities. </w:t>
      </w:r>
    </w:p>
    <w:p w:rsidR="0090573D" w:rsidRDefault="0090573D" w:rsidP="0090573D">
      <w:pPr>
        <w:pStyle w:val="Default"/>
        <w:rPr>
          <w:color w:val="auto"/>
        </w:rPr>
      </w:pPr>
    </w:p>
    <w:p w:rsidR="00D04F70" w:rsidRDefault="0090573D" w:rsidP="00CA5395">
      <w:pPr>
        <w:pStyle w:val="Default"/>
        <w:numPr>
          <w:ilvl w:val="0"/>
          <w:numId w:val="3"/>
        </w:numPr>
        <w:ind w:left="360"/>
        <w:rPr>
          <w:b/>
          <w:bCs/>
          <w:color w:val="auto"/>
          <w:sz w:val="20"/>
          <w:szCs w:val="20"/>
        </w:rPr>
      </w:pPr>
      <w:r>
        <w:rPr>
          <w:b/>
          <w:bCs/>
          <w:color w:val="auto"/>
          <w:sz w:val="20"/>
          <w:szCs w:val="20"/>
        </w:rPr>
        <w:t xml:space="preserve">Describe the consequence to Federal program or policy activities if the collection is or is not conducted </w:t>
      </w:r>
    </w:p>
    <w:p w:rsidR="0090573D" w:rsidRDefault="0090573D" w:rsidP="00D04F70">
      <w:pPr>
        <w:pStyle w:val="Default"/>
        <w:rPr>
          <w:b/>
          <w:bCs/>
          <w:color w:val="auto"/>
          <w:sz w:val="20"/>
          <w:szCs w:val="20"/>
        </w:rPr>
      </w:pPr>
      <w:r>
        <w:rPr>
          <w:b/>
          <w:bCs/>
          <w:color w:val="auto"/>
          <w:sz w:val="20"/>
          <w:szCs w:val="20"/>
        </w:rPr>
        <w:t xml:space="preserve">less frequently, as well as any technical or legal obstacles to reducing the burden. </w:t>
      </w:r>
    </w:p>
    <w:p w:rsidR="0090573D" w:rsidRDefault="0090573D" w:rsidP="0090573D">
      <w:pPr>
        <w:pStyle w:val="Default"/>
        <w:ind w:left="720"/>
        <w:rPr>
          <w:color w:val="auto"/>
          <w:sz w:val="20"/>
          <w:szCs w:val="20"/>
        </w:rPr>
      </w:pPr>
    </w:p>
    <w:p w:rsidR="0090573D" w:rsidRDefault="0090573D" w:rsidP="0090573D">
      <w:pPr>
        <w:pStyle w:val="Default"/>
        <w:rPr>
          <w:color w:val="auto"/>
          <w:sz w:val="23"/>
          <w:szCs w:val="23"/>
        </w:rPr>
      </w:pPr>
      <w:r>
        <w:rPr>
          <w:color w:val="auto"/>
          <w:sz w:val="23"/>
          <w:szCs w:val="23"/>
        </w:rPr>
        <w:t xml:space="preserve">The Agency believes that the information collection frequencies required by the Standard are the minimum frequencies necessary to fulfill its mandate “to assure so far as possible every working man and woman in the Nation safe and healthful working conditions and to preserve our human resources” as specified by the Act at 29 U.S.C. 651. </w:t>
      </w:r>
    </w:p>
    <w:p w:rsidR="0090573D" w:rsidRDefault="0090573D" w:rsidP="0090573D">
      <w:pPr>
        <w:pStyle w:val="Default"/>
        <w:rPr>
          <w:color w:val="auto"/>
          <w:sz w:val="23"/>
          <w:szCs w:val="23"/>
        </w:rPr>
      </w:pPr>
    </w:p>
    <w:p w:rsidR="0090573D" w:rsidRDefault="0090573D" w:rsidP="00CA5395">
      <w:pPr>
        <w:pStyle w:val="Default"/>
        <w:numPr>
          <w:ilvl w:val="0"/>
          <w:numId w:val="3"/>
        </w:numPr>
        <w:ind w:left="450"/>
        <w:rPr>
          <w:b/>
          <w:bCs/>
          <w:color w:val="auto"/>
          <w:sz w:val="20"/>
          <w:szCs w:val="20"/>
        </w:rPr>
      </w:pPr>
      <w:r>
        <w:rPr>
          <w:b/>
          <w:bCs/>
          <w:color w:val="auto"/>
          <w:sz w:val="20"/>
          <w:szCs w:val="20"/>
        </w:rPr>
        <w:lastRenderedPageBreak/>
        <w:t>Explain any special circumstances that would cause an information collection to be conducted in a manner:</w:t>
      </w:r>
    </w:p>
    <w:p w:rsidR="0090573D" w:rsidRDefault="0090573D" w:rsidP="0090573D">
      <w:pPr>
        <w:pStyle w:val="Default"/>
        <w:ind w:left="720"/>
        <w:rPr>
          <w:color w:val="auto"/>
          <w:sz w:val="20"/>
          <w:szCs w:val="20"/>
        </w:rPr>
      </w:pPr>
      <w:r>
        <w:rPr>
          <w:b/>
          <w:bCs/>
          <w:color w:val="auto"/>
          <w:sz w:val="20"/>
          <w:szCs w:val="20"/>
        </w:rPr>
        <w:t xml:space="preserve"> </w:t>
      </w:r>
    </w:p>
    <w:p w:rsidR="0090573D" w:rsidRDefault="0090573D" w:rsidP="0090573D">
      <w:pPr>
        <w:pStyle w:val="Default"/>
        <w:ind w:left="720" w:hanging="360"/>
        <w:rPr>
          <w:color w:val="auto"/>
          <w:sz w:val="20"/>
          <w:szCs w:val="20"/>
        </w:rPr>
      </w:pPr>
      <w:r>
        <w:rPr>
          <w:color w:val="auto"/>
          <w:sz w:val="20"/>
          <w:szCs w:val="20"/>
        </w:rPr>
        <w:t xml:space="preserve">· </w:t>
      </w:r>
      <w:r>
        <w:rPr>
          <w:b/>
          <w:bCs/>
          <w:color w:val="auto"/>
          <w:sz w:val="20"/>
          <w:szCs w:val="20"/>
        </w:rPr>
        <w:t xml:space="preserve">requiring respondents to report information to the agency more often than quarterly; </w:t>
      </w:r>
    </w:p>
    <w:p w:rsidR="0090573D" w:rsidRDefault="0090573D" w:rsidP="0090573D">
      <w:pPr>
        <w:pStyle w:val="Default"/>
        <w:rPr>
          <w:color w:val="auto"/>
          <w:sz w:val="20"/>
          <w:szCs w:val="20"/>
        </w:rPr>
      </w:pPr>
    </w:p>
    <w:p w:rsidR="00FA73D2" w:rsidRDefault="0090573D" w:rsidP="0090573D">
      <w:pPr>
        <w:pStyle w:val="Default"/>
        <w:ind w:left="720" w:hanging="360"/>
        <w:rPr>
          <w:b/>
          <w:bCs/>
          <w:color w:val="auto"/>
          <w:sz w:val="20"/>
          <w:szCs w:val="20"/>
        </w:rPr>
      </w:pPr>
      <w:r>
        <w:rPr>
          <w:color w:val="auto"/>
          <w:sz w:val="20"/>
          <w:szCs w:val="20"/>
        </w:rPr>
        <w:t xml:space="preserve">· </w:t>
      </w:r>
      <w:r>
        <w:rPr>
          <w:b/>
          <w:bCs/>
          <w:color w:val="auto"/>
          <w:sz w:val="20"/>
          <w:szCs w:val="20"/>
        </w:rPr>
        <w:t>requiring respondents to prepare a written response to a collection of information in fewer than 30 days</w:t>
      </w:r>
    </w:p>
    <w:p w:rsidR="0090573D" w:rsidRDefault="0090573D" w:rsidP="00FA73D2">
      <w:pPr>
        <w:pStyle w:val="Default"/>
        <w:tabs>
          <w:tab w:val="left" w:pos="450"/>
        </w:tabs>
        <w:ind w:left="450"/>
        <w:rPr>
          <w:color w:val="auto"/>
          <w:sz w:val="20"/>
          <w:szCs w:val="20"/>
        </w:rPr>
      </w:pPr>
      <w:r>
        <w:rPr>
          <w:b/>
          <w:bCs/>
          <w:color w:val="auto"/>
          <w:sz w:val="20"/>
          <w:szCs w:val="20"/>
        </w:rPr>
        <w:t xml:space="preserve">after receipt of it; </w:t>
      </w:r>
    </w:p>
    <w:p w:rsidR="0090573D" w:rsidRDefault="0090573D" w:rsidP="0090573D">
      <w:pPr>
        <w:pStyle w:val="Default"/>
        <w:rPr>
          <w:color w:val="auto"/>
          <w:sz w:val="20"/>
          <w:szCs w:val="20"/>
        </w:rPr>
      </w:pPr>
    </w:p>
    <w:p w:rsidR="0090573D" w:rsidRDefault="0090573D" w:rsidP="0090573D">
      <w:pPr>
        <w:pStyle w:val="Default"/>
        <w:ind w:left="720" w:hanging="360"/>
        <w:rPr>
          <w:color w:val="auto"/>
          <w:sz w:val="20"/>
          <w:szCs w:val="20"/>
        </w:rPr>
      </w:pPr>
      <w:r>
        <w:rPr>
          <w:color w:val="auto"/>
          <w:sz w:val="20"/>
          <w:szCs w:val="20"/>
        </w:rPr>
        <w:t xml:space="preserve">· </w:t>
      </w:r>
      <w:r>
        <w:rPr>
          <w:b/>
          <w:bCs/>
          <w:color w:val="auto"/>
          <w:sz w:val="20"/>
          <w:szCs w:val="20"/>
        </w:rPr>
        <w:t xml:space="preserve">requiring respondents to submit more than an original and two copies of any document; </w:t>
      </w:r>
    </w:p>
    <w:p w:rsidR="0090573D" w:rsidRDefault="0090573D" w:rsidP="0090573D">
      <w:pPr>
        <w:pStyle w:val="Default"/>
        <w:rPr>
          <w:color w:val="auto"/>
          <w:sz w:val="20"/>
          <w:szCs w:val="20"/>
        </w:rPr>
      </w:pPr>
    </w:p>
    <w:p w:rsidR="0090573D" w:rsidRDefault="0090573D" w:rsidP="00B52A10">
      <w:pPr>
        <w:pStyle w:val="Default"/>
        <w:ind w:left="450" w:hanging="90"/>
        <w:rPr>
          <w:color w:val="auto"/>
          <w:sz w:val="20"/>
          <w:szCs w:val="20"/>
        </w:rPr>
      </w:pPr>
      <w:r>
        <w:rPr>
          <w:color w:val="auto"/>
          <w:sz w:val="20"/>
          <w:szCs w:val="20"/>
        </w:rPr>
        <w:t xml:space="preserve">· </w:t>
      </w:r>
      <w:r>
        <w:rPr>
          <w:b/>
          <w:bCs/>
          <w:color w:val="auto"/>
          <w:sz w:val="20"/>
          <w:szCs w:val="20"/>
        </w:rPr>
        <w:t>requiring respondents to retain records, other than health, medical, gov</w:t>
      </w:r>
      <w:r w:rsidR="00FA73D2">
        <w:rPr>
          <w:b/>
          <w:bCs/>
          <w:color w:val="auto"/>
          <w:sz w:val="20"/>
          <w:szCs w:val="20"/>
        </w:rPr>
        <w:t xml:space="preserve">ernment contract, grant-in-aid, </w:t>
      </w:r>
      <w:r>
        <w:rPr>
          <w:b/>
          <w:bCs/>
          <w:color w:val="auto"/>
          <w:sz w:val="20"/>
          <w:szCs w:val="20"/>
        </w:rPr>
        <w:t xml:space="preserve">or tax records for more than three years; </w:t>
      </w:r>
    </w:p>
    <w:p w:rsidR="0090573D" w:rsidRDefault="0090573D" w:rsidP="0090573D">
      <w:pPr>
        <w:pStyle w:val="Default"/>
        <w:rPr>
          <w:color w:val="auto"/>
          <w:sz w:val="20"/>
          <w:szCs w:val="20"/>
        </w:rPr>
      </w:pPr>
    </w:p>
    <w:p w:rsidR="00FA73D2" w:rsidRDefault="0090573D" w:rsidP="00A27442">
      <w:pPr>
        <w:pStyle w:val="Default"/>
        <w:tabs>
          <w:tab w:val="left" w:pos="360"/>
        </w:tabs>
        <w:ind w:left="360"/>
        <w:rPr>
          <w:b/>
          <w:bCs/>
          <w:color w:val="auto"/>
          <w:sz w:val="20"/>
          <w:szCs w:val="20"/>
        </w:rPr>
      </w:pPr>
      <w:r>
        <w:rPr>
          <w:color w:val="auto"/>
          <w:sz w:val="20"/>
          <w:szCs w:val="20"/>
        </w:rPr>
        <w:t xml:space="preserve">· </w:t>
      </w:r>
      <w:r>
        <w:rPr>
          <w:b/>
          <w:bCs/>
          <w:color w:val="auto"/>
          <w:sz w:val="20"/>
          <w:szCs w:val="20"/>
        </w:rPr>
        <w:t>in connection with a statistical survey that is not designed to produce valid and reliable results that</w:t>
      </w:r>
    </w:p>
    <w:p w:rsidR="0090573D" w:rsidRDefault="0090573D" w:rsidP="00FA73D2">
      <w:pPr>
        <w:pStyle w:val="Default"/>
        <w:ind w:left="450"/>
        <w:rPr>
          <w:color w:val="auto"/>
          <w:sz w:val="20"/>
          <w:szCs w:val="20"/>
        </w:rPr>
      </w:pPr>
      <w:r>
        <w:rPr>
          <w:b/>
          <w:bCs/>
          <w:color w:val="auto"/>
          <w:sz w:val="20"/>
          <w:szCs w:val="20"/>
        </w:rPr>
        <w:t xml:space="preserve">can be generalized to the universe of study; </w:t>
      </w:r>
    </w:p>
    <w:p w:rsidR="0090573D" w:rsidRDefault="0090573D" w:rsidP="0090573D">
      <w:pPr>
        <w:pStyle w:val="Default"/>
        <w:rPr>
          <w:color w:val="auto"/>
          <w:sz w:val="20"/>
          <w:szCs w:val="20"/>
        </w:rPr>
      </w:pPr>
    </w:p>
    <w:p w:rsidR="0090573D" w:rsidRDefault="0090573D" w:rsidP="0090573D">
      <w:pPr>
        <w:pStyle w:val="Default"/>
        <w:ind w:left="720" w:hanging="360"/>
        <w:rPr>
          <w:color w:val="auto"/>
          <w:sz w:val="20"/>
          <w:szCs w:val="20"/>
        </w:rPr>
      </w:pPr>
      <w:r>
        <w:rPr>
          <w:color w:val="auto"/>
          <w:sz w:val="20"/>
          <w:szCs w:val="20"/>
        </w:rPr>
        <w:t xml:space="preserve">· </w:t>
      </w:r>
      <w:r>
        <w:rPr>
          <w:b/>
          <w:bCs/>
          <w:color w:val="auto"/>
          <w:sz w:val="20"/>
          <w:szCs w:val="20"/>
        </w:rPr>
        <w:t xml:space="preserve">requiring the use of statistical data classification that has not been reviewed and approved by OMB; </w:t>
      </w:r>
    </w:p>
    <w:p w:rsidR="0090573D" w:rsidRDefault="0090573D" w:rsidP="0090573D">
      <w:pPr>
        <w:pStyle w:val="Default"/>
        <w:rPr>
          <w:color w:val="auto"/>
          <w:sz w:val="20"/>
          <w:szCs w:val="20"/>
        </w:rPr>
      </w:pPr>
    </w:p>
    <w:p w:rsidR="00FA73D2" w:rsidRDefault="0090573D" w:rsidP="00A27442">
      <w:pPr>
        <w:pStyle w:val="Default"/>
        <w:ind w:left="720" w:hanging="360"/>
        <w:rPr>
          <w:b/>
          <w:bCs/>
          <w:color w:val="auto"/>
          <w:sz w:val="20"/>
          <w:szCs w:val="20"/>
        </w:rPr>
      </w:pPr>
      <w:r>
        <w:rPr>
          <w:color w:val="auto"/>
          <w:sz w:val="20"/>
          <w:szCs w:val="20"/>
        </w:rPr>
        <w:t xml:space="preserve">· </w:t>
      </w:r>
      <w:r>
        <w:rPr>
          <w:b/>
          <w:bCs/>
          <w:color w:val="auto"/>
          <w:sz w:val="20"/>
          <w:szCs w:val="20"/>
        </w:rPr>
        <w:t>that includes a pledge of confidentially that is not supported by authority established in statute or</w:t>
      </w:r>
    </w:p>
    <w:p w:rsidR="00FA73D2" w:rsidRDefault="0090573D" w:rsidP="00FA73D2">
      <w:pPr>
        <w:pStyle w:val="Default"/>
        <w:ind w:left="720" w:hanging="270"/>
        <w:rPr>
          <w:b/>
          <w:bCs/>
          <w:color w:val="auto"/>
          <w:sz w:val="20"/>
          <w:szCs w:val="20"/>
        </w:rPr>
      </w:pPr>
      <w:r>
        <w:rPr>
          <w:b/>
          <w:bCs/>
          <w:color w:val="auto"/>
          <w:sz w:val="20"/>
          <w:szCs w:val="20"/>
        </w:rPr>
        <w:t>regulation that is not supported by disclosure and data security policies that are consistent with the</w:t>
      </w:r>
    </w:p>
    <w:p w:rsidR="00FA73D2" w:rsidRDefault="0090573D" w:rsidP="00FA73D2">
      <w:pPr>
        <w:pStyle w:val="Default"/>
        <w:ind w:left="720" w:hanging="270"/>
        <w:rPr>
          <w:b/>
          <w:bCs/>
          <w:color w:val="auto"/>
          <w:sz w:val="20"/>
          <w:szCs w:val="20"/>
        </w:rPr>
      </w:pPr>
      <w:r>
        <w:rPr>
          <w:b/>
          <w:bCs/>
          <w:color w:val="auto"/>
          <w:sz w:val="20"/>
          <w:szCs w:val="20"/>
        </w:rPr>
        <w:t>pledge, or which unnecessarily impedes sharing of data with other agencies for compatible confidential</w:t>
      </w:r>
    </w:p>
    <w:p w:rsidR="0090573D" w:rsidRDefault="0090573D" w:rsidP="00FA73D2">
      <w:pPr>
        <w:pStyle w:val="Default"/>
        <w:ind w:left="450"/>
        <w:rPr>
          <w:color w:val="auto"/>
          <w:sz w:val="20"/>
          <w:szCs w:val="20"/>
        </w:rPr>
      </w:pPr>
      <w:r>
        <w:rPr>
          <w:b/>
          <w:bCs/>
          <w:color w:val="auto"/>
          <w:sz w:val="20"/>
          <w:szCs w:val="20"/>
        </w:rPr>
        <w:t xml:space="preserve">use; or </w:t>
      </w:r>
    </w:p>
    <w:p w:rsidR="0090573D" w:rsidRDefault="0090573D" w:rsidP="0090573D">
      <w:pPr>
        <w:pStyle w:val="Default"/>
        <w:rPr>
          <w:color w:val="auto"/>
          <w:sz w:val="20"/>
          <w:szCs w:val="20"/>
        </w:rPr>
      </w:pPr>
    </w:p>
    <w:p w:rsidR="00094B9B" w:rsidRDefault="0090573D" w:rsidP="0090573D">
      <w:pPr>
        <w:pStyle w:val="Default"/>
        <w:ind w:left="720" w:hanging="360"/>
        <w:rPr>
          <w:b/>
          <w:bCs/>
          <w:color w:val="auto"/>
          <w:sz w:val="20"/>
          <w:szCs w:val="20"/>
        </w:rPr>
      </w:pPr>
      <w:r>
        <w:rPr>
          <w:color w:val="auto"/>
          <w:sz w:val="20"/>
          <w:szCs w:val="20"/>
        </w:rPr>
        <w:t xml:space="preserve">· </w:t>
      </w:r>
      <w:r>
        <w:rPr>
          <w:b/>
          <w:bCs/>
          <w:color w:val="auto"/>
          <w:sz w:val="20"/>
          <w:szCs w:val="20"/>
        </w:rPr>
        <w:t>requiring respondents to submit proprietary trade secret, or other confidential information unless the</w:t>
      </w:r>
    </w:p>
    <w:p w:rsidR="00094B9B" w:rsidRDefault="0090573D" w:rsidP="00094B9B">
      <w:pPr>
        <w:pStyle w:val="Default"/>
        <w:tabs>
          <w:tab w:val="left" w:pos="540"/>
        </w:tabs>
        <w:ind w:left="720" w:hanging="270"/>
        <w:rPr>
          <w:b/>
          <w:bCs/>
          <w:color w:val="auto"/>
          <w:sz w:val="20"/>
          <w:szCs w:val="20"/>
        </w:rPr>
      </w:pPr>
      <w:r>
        <w:rPr>
          <w:b/>
          <w:bCs/>
          <w:color w:val="auto"/>
          <w:sz w:val="20"/>
          <w:szCs w:val="20"/>
        </w:rPr>
        <w:t xml:space="preserve">agency can prove that it has instituted procedures to protect the information's confidentially to the </w:t>
      </w:r>
    </w:p>
    <w:p w:rsidR="0090573D" w:rsidRDefault="0090573D" w:rsidP="00094B9B">
      <w:pPr>
        <w:pStyle w:val="Default"/>
        <w:ind w:left="720" w:hanging="270"/>
        <w:rPr>
          <w:color w:val="auto"/>
          <w:sz w:val="20"/>
          <w:szCs w:val="20"/>
        </w:rPr>
      </w:pPr>
      <w:r>
        <w:rPr>
          <w:b/>
          <w:bCs/>
          <w:color w:val="auto"/>
          <w:sz w:val="20"/>
          <w:szCs w:val="20"/>
        </w:rPr>
        <w:t xml:space="preserve">extent permitted by law. </w:t>
      </w:r>
    </w:p>
    <w:p w:rsidR="0090573D" w:rsidRDefault="0090573D" w:rsidP="0090573D">
      <w:pPr>
        <w:pStyle w:val="Default"/>
        <w:rPr>
          <w:color w:val="auto"/>
          <w:sz w:val="20"/>
          <w:szCs w:val="20"/>
        </w:rPr>
      </w:pPr>
    </w:p>
    <w:p w:rsidR="0090573D" w:rsidRDefault="0090573D" w:rsidP="0090573D">
      <w:pPr>
        <w:pStyle w:val="Default"/>
        <w:rPr>
          <w:color w:val="auto"/>
          <w:sz w:val="23"/>
          <w:szCs w:val="23"/>
        </w:rPr>
      </w:pPr>
      <w:r>
        <w:rPr>
          <w:color w:val="auto"/>
          <w:sz w:val="23"/>
          <w:szCs w:val="23"/>
        </w:rPr>
        <w:t xml:space="preserve">No special circumstances exist that require employers to collect information using the procedures specified by this item. The requirements are within the guidelines set forth in 5 CFR 1320.5. </w:t>
      </w:r>
    </w:p>
    <w:p w:rsidR="0090573D" w:rsidRDefault="0090573D" w:rsidP="0090573D">
      <w:pPr>
        <w:pStyle w:val="Default"/>
        <w:rPr>
          <w:color w:val="auto"/>
          <w:sz w:val="23"/>
          <w:szCs w:val="23"/>
        </w:rPr>
      </w:pPr>
    </w:p>
    <w:p w:rsidR="0090573D" w:rsidRDefault="0090573D" w:rsidP="0090573D">
      <w:pPr>
        <w:pStyle w:val="Default"/>
        <w:rPr>
          <w:color w:val="auto"/>
          <w:sz w:val="20"/>
          <w:szCs w:val="20"/>
        </w:rPr>
      </w:pPr>
      <w:r>
        <w:rPr>
          <w:b/>
          <w:bCs/>
          <w:color w:val="auto"/>
          <w:sz w:val="20"/>
          <w:szCs w:val="20"/>
        </w:rPr>
        <w:t xml:space="preserve">8. If applicable, provide a copy and identify the date and page number of publication in the Federal </w:t>
      </w:r>
    </w:p>
    <w:p w:rsidR="0090573D" w:rsidRDefault="0090573D" w:rsidP="0090573D">
      <w:pPr>
        <w:pStyle w:val="Default"/>
        <w:rPr>
          <w:b/>
          <w:bCs/>
          <w:color w:val="auto"/>
          <w:sz w:val="20"/>
          <w:szCs w:val="20"/>
        </w:rPr>
      </w:pPr>
      <w:r>
        <w:rPr>
          <w:b/>
          <w:bCs/>
          <w:color w:val="auto"/>
          <w:sz w:val="20"/>
          <w:szCs w:val="20"/>
        </w:rPr>
        <w:t xml:space="preserve">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 </w:t>
      </w:r>
    </w:p>
    <w:p w:rsidR="0090573D" w:rsidRDefault="0090573D" w:rsidP="0090573D">
      <w:pPr>
        <w:pStyle w:val="Default"/>
        <w:rPr>
          <w:color w:val="auto"/>
          <w:sz w:val="20"/>
          <w:szCs w:val="20"/>
        </w:rPr>
      </w:pPr>
    </w:p>
    <w:p w:rsidR="00005ABD" w:rsidRDefault="0090573D" w:rsidP="00005ABD">
      <w:pPr>
        <w:pStyle w:val="Default"/>
        <w:rPr>
          <w:b/>
          <w:bCs/>
          <w:sz w:val="20"/>
          <w:szCs w:val="20"/>
        </w:rPr>
      </w:pPr>
      <w:r>
        <w:rPr>
          <w:b/>
          <w:bCs/>
          <w:color w:val="auto"/>
          <w:sz w:val="20"/>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005ABD" w:rsidRDefault="00005ABD" w:rsidP="00005ABD">
      <w:pPr>
        <w:spacing w:line="240" w:lineRule="auto"/>
        <w:rPr>
          <w:rFonts w:ascii="Times New Roman" w:hAnsi="Times New Roman" w:cs="Times New Roman"/>
          <w:b/>
          <w:bCs/>
          <w:sz w:val="20"/>
          <w:szCs w:val="20"/>
        </w:rPr>
      </w:pPr>
    </w:p>
    <w:p w:rsidR="0090573D" w:rsidRPr="00005ABD" w:rsidRDefault="008270CA" w:rsidP="00005ABD">
      <w:pPr>
        <w:spacing w:line="240" w:lineRule="auto"/>
        <w:rPr>
          <w:rFonts w:ascii="Times New Roman" w:hAnsi="Times New Roman" w:cs="Times New Roman"/>
          <w:b/>
          <w:sz w:val="20"/>
          <w:szCs w:val="20"/>
        </w:rPr>
      </w:pPr>
      <w:r w:rsidRPr="00005ABD">
        <w:rPr>
          <w:rFonts w:ascii="Times New Roman" w:hAnsi="Times New Roman" w:cs="Times New Roman"/>
          <w:b/>
          <w:bCs/>
          <w:sz w:val="20"/>
          <w:szCs w:val="20"/>
        </w:rPr>
        <w:t>C</w:t>
      </w:r>
      <w:r w:rsidR="0090573D" w:rsidRPr="00005ABD">
        <w:rPr>
          <w:rFonts w:ascii="Times New Roman" w:hAnsi="Times New Roman" w:cs="Times New Roman"/>
          <w:b/>
          <w:bCs/>
          <w:sz w:val="20"/>
          <w:szCs w:val="20"/>
        </w:rPr>
        <w:t xml:space="preserve">onsultation with representatives of those from whom information is to be obtained or </w:t>
      </w:r>
      <w:r w:rsidR="00D04F70" w:rsidRPr="00005ABD">
        <w:rPr>
          <w:rFonts w:ascii="Times New Roman" w:hAnsi="Times New Roman" w:cs="Times New Roman"/>
          <w:b/>
          <w:bCs/>
          <w:sz w:val="20"/>
          <w:szCs w:val="20"/>
        </w:rPr>
        <w:t>t</w:t>
      </w:r>
      <w:r w:rsidR="0090573D" w:rsidRPr="00005ABD">
        <w:rPr>
          <w:rFonts w:ascii="Times New Roman" w:hAnsi="Times New Roman" w:cs="Times New Roman"/>
          <w:b/>
          <w:bCs/>
          <w:sz w:val="20"/>
          <w:szCs w:val="20"/>
        </w:rPr>
        <w:t>hose who must compile records should occur at least once every three years -- even i</w:t>
      </w:r>
      <w:r w:rsidR="007A611B" w:rsidRPr="00005ABD">
        <w:rPr>
          <w:rFonts w:ascii="Times New Roman" w:hAnsi="Times New Roman" w:cs="Times New Roman"/>
          <w:b/>
          <w:bCs/>
          <w:sz w:val="20"/>
          <w:szCs w:val="20"/>
        </w:rPr>
        <w:t>f the collection of information</w:t>
      </w:r>
      <w:r w:rsidR="00710208" w:rsidRPr="00005ABD">
        <w:rPr>
          <w:rFonts w:ascii="Times New Roman" w:hAnsi="Times New Roman" w:cs="Times New Roman"/>
          <w:b/>
          <w:bCs/>
          <w:sz w:val="20"/>
          <w:szCs w:val="20"/>
        </w:rPr>
        <w:t xml:space="preserve"> </w:t>
      </w:r>
      <w:r w:rsidR="0090573D" w:rsidRPr="00005ABD">
        <w:rPr>
          <w:rFonts w:ascii="Times New Roman" w:hAnsi="Times New Roman" w:cs="Times New Roman"/>
          <w:b/>
          <w:bCs/>
          <w:sz w:val="20"/>
          <w:szCs w:val="20"/>
        </w:rPr>
        <w:t xml:space="preserve">activity is the same as in prior periods. There may be </w:t>
      </w:r>
      <w:r w:rsidR="00710208" w:rsidRPr="00005ABD">
        <w:rPr>
          <w:rFonts w:ascii="Times New Roman" w:hAnsi="Times New Roman" w:cs="Times New Roman"/>
          <w:b/>
          <w:bCs/>
          <w:sz w:val="20"/>
          <w:szCs w:val="20"/>
        </w:rPr>
        <w:t>c</w:t>
      </w:r>
      <w:r w:rsidR="0090573D" w:rsidRPr="00005ABD">
        <w:rPr>
          <w:rFonts w:ascii="Times New Roman" w:hAnsi="Times New Roman" w:cs="Times New Roman"/>
          <w:b/>
          <w:bCs/>
          <w:sz w:val="20"/>
          <w:szCs w:val="20"/>
        </w:rPr>
        <w:t xml:space="preserve">ircumstances that may preclude consultation in a specific situation. These circumstances should be explained. </w:t>
      </w:r>
    </w:p>
    <w:p w:rsidR="004D0A66" w:rsidRDefault="00C77EDF" w:rsidP="004D0A66">
      <w:pPr>
        <w:pStyle w:val="Default"/>
        <w:rPr>
          <w:color w:val="auto"/>
          <w:sz w:val="23"/>
          <w:szCs w:val="23"/>
        </w:rPr>
      </w:pPr>
      <w:r>
        <w:rPr>
          <w:color w:val="auto"/>
          <w:sz w:val="23"/>
          <w:szCs w:val="23"/>
        </w:rPr>
        <w:t xml:space="preserve">Pursuant to </w:t>
      </w:r>
      <w:r w:rsidR="004D0A66" w:rsidRPr="003664F4">
        <w:rPr>
          <w:color w:val="auto"/>
          <w:sz w:val="23"/>
          <w:szCs w:val="23"/>
        </w:rPr>
        <w:t xml:space="preserve">the Paperwork Reduction Act of 1995 (44 </w:t>
      </w:r>
      <w:r>
        <w:rPr>
          <w:color w:val="auto"/>
          <w:sz w:val="23"/>
          <w:szCs w:val="23"/>
        </w:rPr>
        <w:t>U.S.C. 3506(c)(2)(A)), OSHA</w:t>
      </w:r>
      <w:r w:rsidR="004D0A66" w:rsidRPr="003664F4">
        <w:rPr>
          <w:color w:val="auto"/>
          <w:sz w:val="23"/>
          <w:szCs w:val="23"/>
        </w:rPr>
        <w:t xml:space="preserve"> publish</w:t>
      </w:r>
      <w:r>
        <w:rPr>
          <w:color w:val="auto"/>
          <w:sz w:val="23"/>
          <w:szCs w:val="23"/>
        </w:rPr>
        <w:t>ed</w:t>
      </w:r>
      <w:r w:rsidR="004D0A66" w:rsidRPr="003664F4">
        <w:rPr>
          <w:color w:val="auto"/>
          <w:sz w:val="23"/>
          <w:szCs w:val="23"/>
        </w:rPr>
        <w:t xml:space="preserve"> a notice in the </w:t>
      </w:r>
      <w:r w:rsidR="004D0A66" w:rsidRPr="00525854">
        <w:rPr>
          <w:i/>
          <w:iCs/>
          <w:color w:val="auto"/>
          <w:sz w:val="23"/>
          <w:szCs w:val="23"/>
        </w:rPr>
        <w:t>Federal Register</w:t>
      </w:r>
      <w:r>
        <w:rPr>
          <w:i/>
          <w:iCs/>
          <w:color w:val="auto"/>
          <w:sz w:val="23"/>
          <w:szCs w:val="23"/>
        </w:rPr>
        <w:t xml:space="preserve"> </w:t>
      </w:r>
      <w:r w:rsidR="00495A65">
        <w:rPr>
          <w:iCs/>
          <w:color w:val="auto"/>
          <w:sz w:val="23"/>
          <w:szCs w:val="23"/>
        </w:rPr>
        <w:t xml:space="preserve">on March 2, 2016 </w:t>
      </w:r>
      <w:r w:rsidR="004D0A66" w:rsidRPr="003664F4">
        <w:rPr>
          <w:color w:val="auto"/>
          <w:sz w:val="23"/>
          <w:szCs w:val="23"/>
        </w:rPr>
        <w:t>soliciting public comments on its proposal to extend the Office of Management and Budget’s approval of the information collection requirements specified</w:t>
      </w:r>
      <w:r w:rsidR="007C0779">
        <w:rPr>
          <w:color w:val="auto"/>
          <w:sz w:val="23"/>
          <w:szCs w:val="23"/>
        </w:rPr>
        <w:t xml:space="preserve"> by the Standard on Walking-</w:t>
      </w:r>
      <w:r w:rsidR="004D0A66" w:rsidRPr="003664F4">
        <w:rPr>
          <w:color w:val="auto"/>
          <w:sz w:val="23"/>
          <w:szCs w:val="23"/>
        </w:rPr>
        <w:t>Working Surfaces (29 CFR part 1910, subpart D)</w:t>
      </w:r>
      <w:r w:rsidR="00495A65">
        <w:rPr>
          <w:color w:val="auto"/>
          <w:sz w:val="23"/>
          <w:szCs w:val="23"/>
        </w:rPr>
        <w:t xml:space="preserve"> under docket number </w:t>
      </w:r>
      <w:r w:rsidR="006F0244">
        <w:rPr>
          <w:color w:val="auto"/>
          <w:sz w:val="23"/>
          <w:szCs w:val="23"/>
        </w:rPr>
        <w:t>OSHA-2013-0002-0007</w:t>
      </w:r>
      <w:r w:rsidR="004D0A66" w:rsidRPr="003664F4">
        <w:rPr>
          <w:color w:val="auto"/>
          <w:sz w:val="23"/>
          <w:szCs w:val="23"/>
        </w:rPr>
        <w:t xml:space="preserve">. This notice </w:t>
      </w:r>
      <w:r w:rsidR="00231957">
        <w:rPr>
          <w:color w:val="auto"/>
          <w:sz w:val="23"/>
          <w:szCs w:val="23"/>
        </w:rPr>
        <w:t>was</w:t>
      </w:r>
      <w:r w:rsidR="004D0A66" w:rsidRPr="003664F4">
        <w:rPr>
          <w:color w:val="auto"/>
          <w:sz w:val="23"/>
          <w:szCs w:val="23"/>
        </w:rPr>
        <w:t xml:space="preserve"> part of a preclearance consultation program that provide</w:t>
      </w:r>
      <w:r w:rsidR="007C0779">
        <w:rPr>
          <w:color w:val="auto"/>
          <w:sz w:val="23"/>
          <w:szCs w:val="23"/>
        </w:rPr>
        <w:t>d</w:t>
      </w:r>
      <w:r w:rsidR="004D0A66" w:rsidRPr="003664F4">
        <w:rPr>
          <w:color w:val="auto"/>
          <w:sz w:val="23"/>
          <w:szCs w:val="23"/>
        </w:rPr>
        <w:t xml:space="preserve"> the general public and government agencies with an opp</w:t>
      </w:r>
      <w:r w:rsidR="008A4FAB">
        <w:rPr>
          <w:color w:val="auto"/>
          <w:sz w:val="23"/>
          <w:szCs w:val="23"/>
        </w:rPr>
        <w:t xml:space="preserve">ortunity to comment. </w:t>
      </w:r>
      <w:r w:rsidR="00BC00AA">
        <w:rPr>
          <w:color w:val="auto"/>
          <w:sz w:val="23"/>
          <w:szCs w:val="23"/>
        </w:rPr>
        <w:t xml:space="preserve"> </w:t>
      </w:r>
      <w:r w:rsidR="008A4FAB">
        <w:rPr>
          <w:color w:val="auto"/>
          <w:sz w:val="23"/>
          <w:szCs w:val="23"/>
        </w:rPr>
        <w:t xml:space="preserve">The Agency </w:t>
      </w:r>
      <w:r w:rsidR="006F0244">
        <w:rPr>
          <w:color w:val="auto"/>
          <w:sz w:val="23"/>
          <w:szCs w:val="23"/>
        </w:rPr>
        <w:t>did not receive</w:t>
      </w:r>
      <w:r w:rsidR="007C0779">
        <w:rPr>
          <w:color w:val="auto"/>
          <w:sz w:val="23"/>
          <w:szCs w:val="23"/>
        </w:rPr>
        <w:t xml:space="preserve"> any </w:t>
      </w:r>
      <w:r w:rsidR="004D0A66" w:rsidRPr="003664F4">
        <w:rPr>
          <w:color w:val="auto"/>
          <w:sz w:val="23"/>
          <w:szCs w:val="23"/>
        </w:rPr>
        <w:t>comments</w:t>
      </w:r>
      <w:r w:rsidR="00F54E28">
        <w:rPr>
          <w:color w:val="auto"/>
          <w:sz w:val="23"/>
          <w:szCs w:val="23"/>
        </w:rPr>
        <w:t xml:space="preserve"> </w:t>
      </w:r>
      <w:r w:rsidR="007C0779">
        <w:rPr>
          <w:color w:val="auto"/>
          <w:sz w:val="23"/>
          <w:szCs w:val="23"/>
        </w:rPr>
        <w:t xml:space="preserve">in </w:t>
      </w:r>
      <w:r w:rsidR="004D0A66" w:rsidRPr="003664F4">
        <w:rPr>
          <w:color w:val="auto"/>
          <w:sz w:val="23"/>
          <w:szCs w:val="23"/>
        </w:rPr>
        <w:t xml:space="preserve">response to this notice. </w:t>
      </w:r>
    </w:p>
    <w:p w:rsidR="00CC57E5" w:rsidRDefault="00CC57E5" w:rsidP="004D0A66">
      <w:pPr>
        <w:pStyle w:val="Default"/>
        <w:rPr>
          <w:color w:val="auto"/>
          <w:sz w:val="23"/>
          <w:szCs w:val="23"/>
        </w:rPr>
      </w:pPr>
    </w:p>
    <w:p w:rsidR="00CC57E5" w:rsidRDefault="00CC57E5" w:rsidP="00CC57E5">
      <w:pPr>
        <w:pStyle w:val="Default"/>
        <w:rPr>
          <w:color w:val="auto"/>
        </w:rPr>
      </w:pPr>
      <w:r>
        <w:rPr>
          <w:color w:val="auto"/>
        </w:rPr>
        <w:lastRenderedPageBreak/>
        <w:t xml:space="preserve">OSHA anticipates the </w:t>
      </w:r>
      <w:r>
        <w:t>Walking Working Surfaces and Personal Fall Protection Systems (Slips, Trips, and Fall Prevention) final rule will be published in the 4</w:t>
      </w:r>
      <w:r>
        <w:rPr>
          <w:vertAlign w:val="superscript"/>
        </w:rPr>
        <w:t>th</w:t>
      </w:r>
      <w:r>
        <w:t xml:space="preserve"> quarter FY 2016.  At that time OSHA will submit a revised Information Collection Request. The burden hour and cost estimates in this ICR will be based on the Rule’s Final Economic Analysis.</w:t>
      </w:r>
    </w:p>
    <w:p w:rsidR="00CC57E5" w:rsidRDefault="00CC57E5" w:rsidP="00CC57E5">
      <w:pPr>
        <w:pStyle w:val="Default"/>
        <w:rPr>
          <w:color w:val="FF0000"/>
          <w:sz w:val="23"/>
          <w:szCs w:val="23"/>
        </w:rPr>
      </w:pPr>
    </w:p>
    <w:p w:rsidR="0090573D" w:rsidRDefault="0090573D" w:rsidP="00FD3E0D">
      <w:pPr>
        <w:pStyle w:val="Default"/>
        <w:numPr>
          <w:ilvl w:val="0"/>
          <w:numId w:val="13"/>
        </w:numPr>
        <w:tabs>
          <w:tab w:val="left" w:pos="0"/>
          <w:tab w:val="left" w:pos="450"/>
        </w:tabs>
        <w:ind w:left="0" w:firstLine="0"/>
        <w:rPr>
          <w:b/>
          <w:bCs/>
          <w:color w:val="auto"/>
          <w:sz w:val="20"/>
          <w:szCs w:val="20"/>
        </w:rPr>
      </w:pPr>
      <w:r>
        <w:rPr>
          <w:b/>
          <w:bCs/>
          <w:color w:val="auto"/>
          <w:sz w:val="20"/>
          <w:szCs w:val="20"/>
        </w:rPr>
        <w:t>Explain any decision to provide any payments or gift to responden</w:t>
      </w:r>
      <w:r w:rsidR="00104880">
        <w:rPr>
          <w:b/>
          <w:bCs/>
          <w:color w:val="auto"/>
          <w:sz w:val="20"/>
          <w:szCs w:val="20"/>
        </w:rPr>
        <w:t xml:space="preserve">ts, other than reenumeration of </w:t>
      </w:r>
      <w:r>
        <w:rPr>
          <w:b/>
          <w:bCs/>
          <w:color w:val="auto"/>
          <w:sz w:val="20"/>
          <w:szCs w:val="20"/>
        </w:rPr>
        <w:t xml:space="preserve">contractors or grantees. </w:t>
      </w:r>
    </w:p>
    <w:p w:rsidR="0090573D" w:rsidRDefault="0090573D" w:rsidP="0090573D">
      <w:pPr>
        <w:pStyle w:val="Default"/>
        <w:ind w:left="720"/>
        <w:rPr>
          <w:color w:val="auto"/>
          <w:sz w:val="20"/>
          <w:szCs w:val="20"/>
        </w:rPr>
      </w:pPr>
    </w:p>
    <w:p w:rsidR="0090573D" w:rsidRDefault="0090573D" w:rsidP="0090573D">
      <w:pPr>
        <w:pStyle w:val="Default"/>
        <w:rPr>
          <w:color w:val="auto"/>
          <w:sz w:val="23"/>
          <w:szCs w:val="23"/>
        </w:rPr>
      </w:pPr>
      <w:r>
        <w:rPr>
          <w:color w:val="auto"/>
          <w:sz w:val="23"/>
          <w:szCs w:val="23"/>
        </w:rPr>
        <w:t xml:space="preserve">The Agency will </w:t>
      </w:r>
      <w:r>
        <w:rPr>
          <w:color w:val="auto"/>
          <w:sz w:val="23"/>
          <w:szCs w:val="23"/>
          <w:u w:val="single"/>
        </w:rPr>
        <w:t xml:space="preserve">not </w:t>
      </w:r>
      <w:r>
        <w:rPr>
          <w:color w:val="auto"/>
          <w:sz w:val="23"/>
          <w:szCs w:val="23"/>
        </w:rPr>
        <w:t xml:space="preserve">provide payments or gifts to the respondents. </w:t>
      </w:r>
    </w:p>
    <w:p w:rsidR="0090573D" w:rsidRDefault="0090573D" w:rsidP="0090573D">
      <w:pPr>
        <w:pStyle w:val="Default"/>
        <w:rPr>
          <w:color w:val="auto"/>
          <w:sz w:val="23"/>
          <w:szCs w:val="23"/>
        </w:rPr>
      </w:pPr>
    </w:p>
    <w:p w:rsidR="0090573D" w:rsidRDefault="0090573D" w:rsidP="00FD3E0D">
      <w:pPr>
        <w:pStyle w:val="Default"/>
        <w:numPr>
          <w:ilvl w:val="0"/>
          <w:numId w:val="13"/>
        </w:numPr>
        <w:tabs>
          <w:tab w:val="left" w:pos="0"/>
          <w:tab w:val="left" w:pos="450"/>
        </w:tabs>
        <w:ind w:left="0" w:firstLine="0"/>
        <w:rPr>
          <w:b/>
          <w:bCs/>
          <w:color w:val="auto"/>
          <w:sz w:val="20"/>
          <w:szCs w:val="20"/>
        </w:rPr>
      </w:pPr>
      <w:r>
        <w:rPr>
          <w:b/>
          <w:bCs/>
          <w:color w:val="auto"/>
          <w:sz w:val="20"/>
          <w:szCs w:val="20"/>
        </w:rPr>
        <w:t>Describe any assurance of confidentiality provided to respondents and</w:t>
      </w:r>
      <w:r w:rsidR="00FD3E0D">
        <w:rPr>
          <w:b/>
          <w:bCs/>
          <w:color w:val="auto"/>
          <w:sz w:val="20"/>
          <w:szCs w:val="20"/>
        </w:rPr>
        <w:t xml:space="preserve"> the basis for the assurance </w:t>
      </w:r>
      <w:r w:rsidR="00005ABD">
        <w:rPr>
          <w:b/>
          <w:bCs/>
          <w:color w:val="auto"/>
          <w:sz w:val="20"/>
          <w:szCs w:val="20"/>
        </w:rPr>
        <w:t>in statute</w:t>
      </w:r>
      <w:r>
        <w:rPr>
          <w:b/>
          <w:bCs/>
          <w:color w:val="auto"/>
          <w:sz w:val="20"/>
          <w:szCs w:val="20"/>
        </w:rPr>
        <w:t xml:space="preserve">, regulation, or agency policy. </w:t>
      </w:r>
    </w:p>
    <w:p w:rsidR="0090573D" w:rsidRDefault="0090573D" w:rsidP="0090573D">
      <w:pPr>
        <w:pStyle w:val="Default"/>
        <w:ind w:left="720"/>
        <w:rPr>
          <w:color w:val="auto"/>
          <w:sz w:val="20"/>
          <w:szCs w:val="20"/>
        </w:rPr>
      </w:pPr>
    </w:p>
    <w:p w:rsidR="0090573D" w:rsidRDefault="0090573D" w:rsidP="0090573D">
      <w:pPr>
        <w:pStyle w:val="Default"/>
        <w:rPr>
          <w:color w:val="auto"/>
          <w:sz w:val="23"/>
          <w:szCs w:val="23"/>
        </w:rPr>
      </w:pPr>
      <w:r>
        <w:rPr>
          <w:color w:val="auto"/>
          <w:sz w:val="23"/>
          <w:szCs w:val="23"/>
        </w:rPr>
        <w:t xml:space="preserve">The paperwork requirements specified by the Standard do not involve confidential information. </w:t>
      </w:r>
    </w:p>
    <w:p w:rsidR="0090573D" w:rsidRDefault="0090573D" w:rsidP="0090573D">
      <w:pPr>
        <w:pStyle w:val="Default"/>
        <w:rPr>
          <w:color w:val="auto"/>
          <w:sz w:val="23"/>
          <w:szCs w:val="23"/>
        </w:rPr>
      </w:pPr>
    </w:p>
    <w:p w:rsidR="0090573D" w:rsidRDefault="0090573D" w:rsidP="00104880">
      <w:pPr>
        <w:pStyle w:val="Default"/>
        <w:numPr>
          <w:ilvl w:val="0"/>
          <w:numId w:val="13"/>
        </w:numPr>
        <w:tabs>
          <w:tab w:val="left" w:pos="450"/>
        </w:tabs>
        <w:ind w:left="0" w:firstLine="0"/>
        <w:rPr>
          <w:b/>
          <w:bCs/>
          <w:color w:val="auto"/>
          <w:sz w:val="20"/>
          <w:szCs w:val="20"/>
        </w:rPr>
      </w:pPr>
      <w:r>
        <w:rPr>
          <w:b/>
          <w:bCs/>
          <w:color w:val="auto"/>
          <w:sz w:val="20"/>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90573D" w:rsidRDefault="0090573D" w:rsidP="0090573D">
      <w:pPr>
        <w:pStyle w:val="Default"/>
        <w:ind w:left="360"/>
        <w:rPr>
          <w:color w:val="auto"/>
          <w:sz w:val="20"/>
          <w:szCs w:val="20"/>
        </w:rPr>
      </w:pPr>
    </w:p>
    <w:p w:rsidR="0090573D" w:rsidRDefault="0090573D" w:rsidP="0090573D">
      <w:pPr>
        <w:pStyle w:val="Default"/>
        <w:rPr>
          <w:color w:val="auto"/>
          <w:sz w:val="23"/>
          <w:szCs w:val="23"/>
        </w:rPr>
      </w:pPr>
      <w:r>
        <w:rPr>
          <w:color w:val="auto"/>
          <w:sz w:val="23"/>
          <w:szCs w:val="23"/>
        </w:rPr>
        <w:t>None of the provisions in the Standard require sensitive information.</w:t>
      </w:r>
    </w:p>
    <w:p w:rsidR="0090573D" w:rsidRDefault="0090573D" w:rsidP="0086154D">
      <w:pPr>
        <w:pStyle w:val="Default"/>
        <w:tabs>
          <w:tab w:val="left" w:pos="360"/>
          <w:tab w:val="left" w:pos="450"/>
        </w:tabs>
        <w:rPr>
          <w:color w:val="auto"/>
          <w:sz w:val="23"/>
          <w:szCs w:val="23"/>
        </w:rPr>
      </w:pPr>
      <w:r>
        <w:rPr>
          <w:color w:val="auto"/>
          <w:sz w:val="23"/>
          <w:szCs w:val="23"/>
        </w:rPr>
        <w:t xml:space="preserve"> </w:t>
      </w:r>
    </w:p>
    <w:p w:rsidR="0090573D" w:rsidRDefault="0090573D" w:rsidP="007825CD">
      <w:pPr>
        <w:pStyle w:val="Default"/>
        <w:numPr>
          <w:ilvl w:val="0"/>
          <w:numId w:val="11"/>
        </w:numPr>
        <w:ind w:left="360"/>
        <w:rPr>
          <w:b/>
          <w:bCs/>
          <w:color w:val="auto"/>
          <w:sz w:val="20"/>
          <w:szCs w:val="20"/>
        </w:rPr>
      </w:pPr>
      <w:r>
        <w:rPr>
          <w:b/>
          <w:bCs/>
          <w:color w:val="auto"/>
          <w:sz w:val="20"/>
          <w:szCs w:val="20"/>
        </w:rPr>
        <w:t xml:space="preserve">Provide estimates of the hour burden of the collection of information. The statement should: </w:t>
      </w:r>
    </w:p>
    <w:p w:rsidR="0090573D" w:rsidRDefault="0090573D" w:rsidP="0090573D">
      <w:pPr>
        <w:pStyle w:val="Default"/>
        <w:ind w:left="720"/>
        <w:rPr>
          <w:color w:val="auto"/>
          <w:sz w:val="20"/>
          <w:szCs w:val="20"/>
        </w:rPr>
      </w:pPr>
    </w:p>
    <w:p w:rsidR="0086154D" w:rsidRDefault="0090573D" w:rsidP="0086154D">
      <w:pPr>
        <w:pStyle w:val="Default"/>
        <w:numPr>
          <w:ilvl w:val="0"/>
          <w:numId w:val="12"/>
        </w:numPr>
        <w:ind w:left="360" w:firstLine="0"/>
        <w:rPr>
          <w:b/>
          <w:bCs/>
          <w:color w:val="auto"/>
          <w:sz w:val="20"/>
          <w:szCs w:val="20"/>
        </w:rPr>
      </w:pPr>
      <w:r w:rsidRPr="0086154D">
        <w:rPr>
          <w:b/>
          <w:bCs/>
          <w:color w:val="auto"/>
          <w:sz w:val="20"/>
          <w:szCs w:val="20"/>
        </w:rPr>
        <w:t>Indicate the number of respondents, frequency of response, annual hour burden, and an explanation</w:t>
      </w:r>
    </w:p>
    <w:p w:rsidR="0086154D" w:rsidRDefault="0090573D" w:rsidP="0086154D">
      <w:pPr>
        <w:pStyle w:val="Default"/>
        <w:ind w:left="360" w:firstLine="360"/>
        <w:rPr>
          <w:b/>
          <w:bCs/>
          <w:color w:val="auto"/>
          <w:sz w:val="20"/>
          <w:szCs w:val="20"/>
        </w:rPr>
      </w:pPr>
      <w:r w:rsidRPr="0086154D">
        <w:rPr>
          <w:b/>
          <w:bCs/>
          <w:color w:val="auto"/>
          <w:sz w:val="20"/>
          <w:szCs w:val="20"/>
        </w:rPr>
        <w:t>of</w:t>
      </w:r>
      <w:r w:rsidR="0086154D" w:rsidRPr="0086154D">
        <w:rPr>
          <w:b/>
          <w:bCs/>
          <w:color w:val="auto"/>
          <w:sz w:val="20"/>
          <w:szCs w:val="20"/>
        </w:rPr>
        <w:t xml:space="preserve"> </w:t>
      </w:r>
      <w:r w:rsidRPr="0086154D">
        <w:rPr>
          <w:b/>
          <w:bCs/>
          <w:color w:val="auto"/>
          <w:sz w:val="20"/>
          <w:szCs w:val="20"/>
        </w:rPr>
        <w:t xml:space="preserve"> how the burden was estimated. Unless directed to do so, agen</w:t>
      </w:r>
      <w:r w:rsidR="0086154D">
        <w:rPr>
          <w:b/>
          <w:bCs/>
          <w:color w:val="auto"/>
          <w:sz w:val="20"/>
          <w:szCs w:val="20"/>
        </w:rPr>
        <w:t>cies should not conduct special</w:t>
      </w:r>
    </w:p>
    <w:p w:rsidR="0086154D" w:rsidRDefault="0090573D" w:rsidP="0086154D">
      <w:pPr>
        <w:pStyle w:val="Default"/>
        <w:ind w:left="360" w:firstLine="360"/>
        <w:rPr>
          <w:b/>
          <w:bCs/>
          <w:color w:val="auto"/>
          <w:sz w:val="20"/>
          <w:szCs w:val="20"/>
        </w:rPr>
      </w:pPr>
      <w:r w:rsidRPr="0086154D">
        <w:rPr>
          <w:b/>
          <w:bCs/>
          <w:color w:val="auto"/>
          <w:sz w:val="20"/>
          <w:szCs w:val="20"/>
        </w:rPr>
        <w:t>surveys to</w:t>
      </w:r>
      <w:r w:rsidR="0086154D" w:rsidRPr="0086154D">
        <w:rPr>
          <w:b/>
          <w:bCs/>
          <w:color w:val="auto"/>
          <w:sz w:val="20"/>
          <w:szCs w:val="20"/>
        </w:rPr>
        <w:t xml:space="preserve"> </w:t>
      </w:r>
      <w:r w:rsidRPr="0086154D">
        <w:rPr>
          <w:b/>
          <w:bCs/>
          <w:color w:val="auto"/>
          <w:sz w:val="20"/>
          <w:szCs w:val="20"/>
        </w:rPr>
        <w:t xml:space="preserve"> obtain information on which to base hour burden estimates. Consultation with a sample</w:t>
      </w:r>
    </w:p>
    <w:p w:rsidR="0086154D" w:rsidRDefault="0090573D" w:rsidP="0086154D">
      <w:pPr>
        <w:pStyle w:val="Default"/>
        <w:ind w:left="360" w:firstLine="360"/>
        <w:rPr>
          <w:b/>
          <w:bCs/>
          <w:color w:val="auto"/>
          <w:sz w:val="20"/>
          <w:szCs w:val="20"/>
        </w:rPr>
      </w:pPr>
      <w:r w:rsidRPr="0086154D">
        <w:rPr>
          <w:b/>
          <w:bCs/>
          <w:color w:val="auto"/>
          <w:sz w:val="20"/>
          <w:szCs w:val="20"/>
        </w:rPr>
        <w:t>(fewer than 10)</w:t>
      </w:r>
      <w:r w:rsidR="0086154D" w:rsidRPr="0086154D">
        <w:rPr>
          <w:b/>
          <w:bCs/>
          <w:color w:val="auto"/>
          <w:sz w:val="20"/>
          <w:szCs w:val="20"/>
        </w:rPr>
        <w:t xml:space="preserve"> </w:t>
      </w:r>
      <w:r w:rsidRPr="0086154D">
        <w:rPr>
          <w:b/>
          <w:bCs/>
          <w:color w:val="auto"/>
          <w:sz w:val="20"/>
          <w:szCs w:val="20"/>
        </w:rPr>
        <w:t xml:space="preserve"> of potential respondents is desirable. If the hour burden on respondents is expected</w:t>
      </w:r>
    </w:p>
    <w:p w:rsidR="0086154D" w:rsidRDefault="0090573D" w:rsidP="0086154D">
      <w:pPr>
        <w:pStyle w:val="Default"/>
        <w:ind w:left="360" w:firstLine="360"/>
        <w:rPr>
          <w:b/>
          <w:bCs/>
          <w:color w:val="auto"/>
          <w:sz w:val="20"/>
          <w:szCs w:val="20"/>
        </w:rPr>
      </w:pPr>
      <w:r w:rsidRPr="0086154D">
        <w:rPr>
          <w:b/>
          <w:bCs/>
          <w:color w:val="auto"/>
          <w:sz w:val="20"/>
          <w:szCs w:val="20"/>
        </w:rPr>
        <w:t xml:space="preserve">to vary widely because of differences in activity, size, or complexity, show the range of estimated </w:t>
      </w:r>
    </w:p>
    <w:p w:rsidR="0086154D" w:rsidRDefault="0090573D" w:rsidP="0086154D">
      <w:pPr>
        <w:pStyle w:val="Default"/>
        <w:ind w:left="360" w:firstLine="360"/>
        <w:rPr>
          <w:b/>
          <w:bCs/>
          <w:color w:val="auto"/>
          <w:sz w:val="20"/>
          <w:szCs w:val="20"/>
        </w:rPr>
      </w:pPr>
      <w:r w:rsidRPr="0086154D">
        <w:rPr>
          <w:b/>
          <w:bCs/>
          <w:color w:val="auto"/>
          <w:sz w:val="20"/>
          <w:szCs w:val="20"/>
        </w:rPr>
        <w:t>hour burden, and</w:t>
      </w:r>
      <w:r w:rsidR="0086154D" w:rsidRPr="0086154D">
        <w:rPr>
          <w:b/>
          <w:bCs/>
          <w:color w:val="auto"/>
          <w:sz w:val="20"/>
          <w:szCs w:val="20"/>
        </w:rPr>
        <w:t xml:space="preserve"> </w:t>
      </w:r>
      <w:r w:rsidRPr="0086154D">
        <w:rPr>
          <w:b/>
          <w:bCs/>
          <w:color w:val="auto"/>
          <w:sz w:val="20"/>
          <w:szCs w:val="20"/>
        </w:rPr>
        <w:t>explain the reasons for the variance. Generally, estimates should not include</w:t>
      </w:r>
    </w:p>
    <w:p w:rsidR="0090573D" w:rsidRPr="0086154D" w:rsidRDefault="0090573D" w:rsidP="0086154D">
      <w:pPr>
        <w:pStyle w:val="Default"/>
        <w:ind w:left="360" w:firstLine="360"/>
        <w:rPr>
          <w:b/>
          <w:bCs/>
          <w:color w:val="auto"/>
          <w:sz w:val="20"/>
          <w:szCs w:val="20"/>
        </w:rPr>
      </w:pPr>
      <w:r w:rsidRPr="0086154D">
        <w:rPr>
          <w:b/>
          <w:bCs/>
          <w:color w:val="auto"/>
          <w:sz w:val="20"/>
          <w:szCs w:val="20"/>
        </w:rPr>
        <w:t xml:space="preserve">burden hours for customary and usual business practices. </w:t>
      </w:r>
    </w:p>
    <w:p w:rsidR="0090573D" w:rsidRDefault="0090573D" w:rsidP="0090573D">
      <w:pPr>
        <w:pStyle w:val="Default"/>
        <w:ind w:left="720" w:hanging="360"/>
        <w:rPr>
          <w:color w:val="auto"/>
          <w:sz w:val="20"/>
          <w:szCs w:val="20"/>
        </w:rPr>
      </w:pPr>
    </w:p>
    <w:p w:rsidR="0090573D" w:rsidRDefault="0090573D" w:rsidP="00125272">
      <w:pPr>
        <w:pStyle w:val="Default"/>
        <w:numPr>
          <w:ilvl w:val="0"/>
          <w:numId w:val="12"/>
        </w:numPr>
        <w:ind w:left="720"/>
        <w:rPr>
          <w:b/>
          <w:bCs/>
          <w:color w:val="auto"/>
          <w:sz w:val="20"/>
          <w:szCs w:val="20"/>
        </w:rPr>
      </w:pPr>
      <w:r>
        <w:rPr>
          <w:b/>
          <w:bCs/>
          <w:color w:val="auto"/>
          <w:sz w:val="20"/>
          <w:szCs w:val="20"/>
        </w:rPr>
        <w:t xml:space="preserve">If this request for approval covers more than one form, provide separate hour burden estimates for each form and aggregate the hour burdens. </w:t>
      </w:r>
    </w:p>
    <w:p w:rsidR="00125272" w:rsidRDefault="00125272" w:rsidP="00125272">
      <w:pPr>
        <w:pStyle w:val="Default"/>
        <w:rPr>
          <w:color w:val="auto"/>
          <w:sz w:val="20"/>
          <w:szCs w:val="20"/>
        </w:rPr>
      </w:pPr>
    </w:p>
    <w:p w:rsidR="00277FBB" w:rsidRPr="00125272" w:rsidRDefault="0090573D" w:rsidP="0090573D">
      <w:pPr>
        <w:pStyle w:val="Default"/>
        <w:numPr>
          <w:ilvl w:val="0"/>
          <w:numId w:val="12"/>
        </w:numPr>
        <w:ind w:left="720"/>
        <w:rPr>
          <w:b/>
          <w:bCs/>
          <w:color w:val="auto"/>
          <w:sz w:val="20"/>
          <w:szCs w:val="20"/>
        </w:rPr>
      </w:pPr>
      <w:r w:rsidRPr="00125272">
        <w:rPr>
          <w:b/>
          <w:bCs/>
          <w:color w:val="auto"/>
          <w:sz w:val="20"/>
          <w:szCs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77FBB" w:rsidRDefault="00277FBB" w:rsidP="0090573D">
      <w:pPr>
        <w:pStyle w:val="Default"/>
        <w:ind w:left="720" w:hanging="360"/>
        <w:rPr>
          <w:b/>
          <w:bCs/>
          <w:color w:val="auto"/>
          <w:sz w:val="20"/>
          <w:szCs w:val="20"/>
        </w:rPr>
      </w:pPr>
    </w:p>
    <w:p w:rsidR="0090573D" w:rsidRDefault="0090573D" w:rsidP="0090573D">
      <w:pPr>
        <w:pStyle w:val="Default"/>
        <w:rPr>
          <w:b/>
          <w:bCs/>
          <w:color w:val="auto"/>
          <w:sz w:val="23"/>
          <w:szCs w:val="23"/>
        </w:rPr>
      </w:pPr>
      <w:r>
        <w:rPr>
          <w:b/>
          <w:bCs/>
          <w:color w:val="auto"/>
          <w:sz w:val="23"/>
          <w:szCs w:val="23"/>
        </w:rPr>
        <w:t xml:space="preserve">Burden-Hour and Cost Determinations </w:t>
      </w:r>
    </w:p>
    <w:p w:rsidR="0090573D" w:rsidRPr="004035BD" w:rsidRDefault="0090573D" w:rsidP="0090573D">
      <w:pPr>
        <w:pStyle w:val="Default"/>
        <w:rPr>
          <w:color w:val="auto"/>
          <w:sz w:val="23"/>
          <w:szCs w:val="23"/>
        </w:rPr>
      </w:pPr>
    </w:p>
    <w:p w:rsidR="0090573D" w:rsidRPr="004035BD" w:rsidRDefault="0090573D" w:rsidP="0090573D">
      <w:pPr>
        <w:pStyle w:val="Default"/>
        <w:rPr>
          <w:color w:val="auto"/>
          <w:sz w:val="23"/>
          <w:szCs w:val="23"/>
        </w:rPr>
      </w:pPr>
      <w:r w:rsidRPr="004035BD">
        <w:rPr>
          <w:color w:val="auto"/>
          <w:sz w:val="23"/>
          <w:szCs w:val="23"/>
        </w:rPr>
        <w:t xml:space="preserve">Using U.S. Census Bureau, Statistics of U.S. Businesses, 2006, Bureau of Labor Statistics, </w:t>
      </w:r>
      <w:r w:rsidRPr="004035BD">
        <w:rPr>
          <w:i/>
          <w:iCs/>
          <w:color w:val="auto"/>
          <w:sz w:val="23"/>
          <w:szCs w:val="23"/>
        </w:rPr>
        <w:t>Occupational Employment Statistics</w:t>
      </w:r>
      <w:r w:rsidRPr="004035BD">
        <w:rPr>
          <w:color w:val="auto"/>
          <w:sz w:val="23"/>
          <w:szCs w:val="23"/>
        </w:rPr>
        <w:t xml:space="preserve">, </w:t>
      </w:r>
      <w:r w:rsidRPr="004035BD">
        <w:rPr>
          <w:i/>
          <w:iCs/>
          <w:color w:val="auto"/>
          <w:sz w:val="23"/>
          <w:szCs w:val="23"/>
        </w:rPr>
        <w:t>2008</w:t>
      </w:r>
      <w:r w:rsidRPr="004035BD">
        <w:rPr>
          <w:color w:val="auto"/>
          <w:sz w:val="23"/>
          <w:szCs w:val="23"/>
        </w:rPr>
        <w:t xml:space="preserve">, OSHA estimates that there are 6.7 million establishments and 112 million affected workers. The Agency assumes, on average, that there is one portable metal ladder for each establishment. </w:t>
      </w:r>
    </w:p>
    <w:p w:rsidR="0090573D" w:rsidRPr="004035BD" w:rsidRDefault="0090573D" w:rsidP="0090573D">
      <w:pPr>
        <w:pStyle w:val="Default"/>
        <w:rPr>
          <w:color w:val="auto"/>
          <w:sz w:val="23"/>
          <w:szCs w:val="23"/>
        </w:rPr>
      </w:pPr>
    </w:p>
    <w:p w:rsidR="0090573D" w:rsidRPr="004035BD" w:rsidRDefault="0090573D" w:rsidP="0090573D">
      <w:pPr>
        <w:pStyle w:val="Default"/>
        <w:rPr>
          <w:color w:val="auto"/>
          <w:sz w:val="23"/>
          <w:szCs w:val="23"/>
        </w:rPr>
      </w:pPr>
      <w:r w:rsidRPr="004035BD">
        <w:rPr>
          <w:color w:val="auto"/>
          <w:sz w:val="23"/>
          <w:szCs w:val="23"/>
        </w:rPr>
        <w:lastRenderedPageBreak/>
        <w:t>Data from the Census Bureau indicates that there is a 12.4 percent annual turnover rate of establishments in the private sector.</w:t>
      </w:r>
      <w:r w:rsidR="00ED12D8">
        <w:rPr>
          <w:rStyle w:val="FootnoteReference"/>
          <w:color w:val="auto"/>
          <w:sz w:val="23"/>
          <w:szCs w:val="23"/>
        </w:rPr>
        <w:footnoteReference w:id="2"/>
      </w:r>
      <w:r w:rsidRPr="004035BD">
        <w:rPr>
          <w:color w:val="auto"/>
          <w:sz w:val="16"/>
          <w:szCs w:val="16"/>
        </w:rPr>
        <w:t xml:space="preserve"> </w:t>
      </w:r>
      <w:r w:rsidR="00ED12D8">
        <w:rPr>
          <w:color w:val="auto"/>
          <w:sz w:val="16"/>
          <w:szCs w:val="16"/>
        </w:rPr>
        <w:t xml:space="preserve"> </w:t>
      </w:r>
      <w:r w:rsidRPr="004035BD">
        <w:rPr>
          <w:color w:val="auto"/>
          <w:sz w:val="23"/>
          <w:szCs w:val="23"/>
        </w:rPr>
        <w:t xml:space="preserve">The Agency estimates that 830,800 new places of employment are constructed each year. Of these 830,800 new places of employment, OSHA estimates that only five percent (41,540) are non-commercial (e.g., manufacturing, etc.). </w:t>
      </w:r>
    </w:p>
    <w:p w:rsidR="0090573D" w:rsidRPr="004035BD" w:rsidRDefault="0090573D" w:rsidP="0090573D">
      <w:pPr>
        <w:pStyle w:val="Default"/>
        <w:rPr>
          <w:color w:val="auto"/>
          <w:sz w:val="23"/>
          <w:szCs w:val="23"/>
        </w:rPr>
      </w:pPr>
    </w:p>
    <w:p w:rsidR="0090573D" w:rsidRPr="004035BD" w:rsidRDefault="0090573D" w:rsidP="0090573D">
      <w:pPr>
        <w:pStyle w:val="Default"/>
        <w:rPr>
          <w:color w:val="auto"/>
          <w:sz w:val="23"/>
          <w:szCs w:val="23"/>
        </w:rPr>
      </w:pPr>
      <w:r w:rsidRPr="004035BD">
        <w:rPr>
          <w:color w:val="auto"/>
          <w:sz w:val="23"/>
          <w:szCs w:val="23"/>
        </w:rPr>
        <w:t xml:space="preserve">With respect to the wage and fringe benefit rate data for the one occupational category involved in the information collection requirements described below (i.e., average production worker), the </w:t>
      </w:r>
      <w:r w:rsidR="004B090C">
        <w:rPr>
          <w:color w:val="auto"/>
          <w:sz w:val="23"/>
          <w:szCs w:val="23"/>
        </w:rPr>
        <w:t xml:space="preserve">mean </w:t>
      </w:r>
      <w:r w:rsidRPr="004035BD">
        <w:rPr>
          <w:color w:val="auto"/>
          <w:sz w:val="23"/>
          <w:szCs w:val="23"/>
        </w:rPr>
        <w:t>hourly wage rate</w:t>
      </w:r>
      <w:r w:rsidR="004B090C">
        <w:rPr>
          <w:color w:val="auto"/>
          <w:sz w:val="23"/>
          <w:szCs w:val="23"/>
        </w:rPr>
        <w:t xml:space="preserve"> of a production worker (51-9199)</w:t>
      </w:r>
      <w:r w:rsidR="00904A00" w:rsidRPr="00904A00">
        <w:rPr>
          <w:color w:val="auto"/>
          <w:sz w:val="23"/>
          <w:szCs w:val="23"/>
        </w:rPr>
        <w:t xml:space="preserve"> </w:t>
      </w:r>
      <w:r w:rsidR="00904A00">
        <w:rPr>
          <w:color w:val="auto"/>
          <w:sz w:val="23"/>
          <w:szCs w:val="23"/>
        </w:rPr>
        <w:t>making $15.08 per hour,</w:t>
      </w:r>
      <w:r w:rsidR="00904A00" w:rsidRPr="004035BD">
        <w:rPr>
          <w:color w:val="auto"/>
          <w:sz w:val="23"/>
          <w:szCs w:val="23"/>
        </w:rPr>
        <w:t xml:space="preserve"> </w:t>
      </w:r>
      <w:r w:rsidR="00904A00" w:rsidRPr="004035BD">
        <w:rPr>
          <w:i/>
          <w:iCs/>
          <w:color w:val="auto"/>
          <w:sz w:val="23"/>
          <w:szCs w:val="23"/>
        </w:rPr>
        <w:t>Occupational Employment Statistics</w:t>
      </w:r>
      <w:r w:rsidR="00904A00" w:rsidRPr="004035BD">
        <w:rPr>
          <w:color w:val="auto"/>
          <w:sz w:val="23"/>
          <w:szCs w:val="23"/>
        </w:rPr>
        <w:t xml:space="preserve">, </w:t>
      </w:r>
      <w:r w:rsidR="00904A00">
        <w:rPr>
          <w:i/>
          <w:iCs/>
          <w:color w:val="auto"/>
          <w:sz w:val="23"/>
          <w:szCs w:val="23"/>
        </w:rPr>
        <w:t xml:space="preserve">May 2014, </w:t>
      </w:r>
      <w:r w:rsidR="00904A00" w:rsidRPr="004035BD">
        <w:rPr>
          <w:color w:val="auto"/>
          <w:sz w:val="23"/>
          <w:szCs w:val="23"/>
        </w:rPr>
        <w:t>Bureau of Labor Statistics, United States Department of Labor,</w:t>
      </w:r>
      <w:r w:rsidR="00904A00">
        <w:rPr>
          <w:rStyle w:val="FootnoteReference"/>
          <w:color w:val="auto"/>
          <w:sz w:val="23"/>
          <w:szCs w:val="23"/>
        </w:rPr>
        <w:footnoteReference w:id="3"/>
      </w:r>
      <w:r w:rsidR="004B090C">
        <w:rPr>
          <w:color w:val="auto"/>
          <w:sz w:val="23"/>
          <w:szCs w:val="23"/>
        </w:rPr>
        <w:t xml:space="preserve"> </w:t>
      </w:r>
      <w:r w:rsidRPr="004035BD">
        <w:rPr>
          <w:color w:val="auto"/>
          <w:sz w:val="23"/>
          <w:szCs w:val="23"/>
        </w:rPr>
        <w:t xml:space="preserve">and </w:t>
      </w:r>
      <w:r w:rsidR="004B090C">
        <w:rPr>
          <w:color w:val="auto"/>
          <w:sz w:val="23"/>
          <w:szCs w:val="23"/>
        </w:rPr>
        <w:t xml:space="preserve">the 31.4 percent fringe </w:t>
      </w:r>
      <w:r w:rsidRPr="004035BD">
        <w:rPr>
          <w:color w:val="auto"/>
          <w:sz w:val="23"/>
          <w:szCs w:val="23"/>
        </w:rPr>
        <w:t>benefits</w:t>
      </w:r>
      <w:r w:rsidR="004B090C">
        <w:rPr>
          <w:color w:val="auto"/>
          <w:sz w:val="23"/>
          <w:szCs w:val="23"/>
        </w:rPr>
        <w:t xml:space="preserve"> </w:t>
      </w:r>
      <w:r w:rsidRPr="004035BD">
        <w:rPr>
          <w:color w:val="auto"/>
          <w:sz w:val="23"/>
          <w:szCs w:val="23"/>
        </w:rPr>
        <w:t xml:space="preserve"> taken from </w:t>
      </w:r>
      <w:r w:rsidRPr="004035BD">
        <w:rPr>
          <w:i/>
          <w:iCs/>
          <w:color w:val="auto"/>
          <w:sz w:val="23"/>
          <w:szCs w:val="23"/>
        </w:rPr>
        <w:t>Employer Costs for</w:t>
      </w:r>
      <w:r w:rsidR="00B32BAD">
        <w:rPr>
          <w:i/>
          <w:iCs/>
          <w:color w:val="auto"/>
          <w:sz w:val="23"/>
          <w:szCs w:val="23"/>
        </w:rPr>
        <w:t xml:space="preserve"> Employee Compensation—September</w:t>
      </w:r>
      <w:r w:rsidR="003207AA">
        <w:rPr>
          <w:i/>
          <w:iCs/>
          <w:color w:val="auto"/>
          <w:sz w:val="23"/>
          <w:szCs w:val="23"/>
        </w:rPr>
        <w:t xml:space="preserve"> </w:t>
      </w:r>
      <w:r w:rsidR="006854A7">
        <w:rPr>
          <w:i/>
          <w:iCs/>
          <w:color w:val="auto"/>
          <w:sz w:val="23"/>
          <w:szCs w:val="23"/>
        </w:rPr>
        <w:t>2015</w:t>
      </w:r>
      <w:r w:rsidRPr="004035BD">
        <w:rPr>
          <w:color w:val="auto"/>
          <w:sz w:val="23"/>
          <w:szCs w:val="23"/>
        </w:rPr>
        <w:t xml:space="preserve">, Bureau of Labor Statistics, United States Department of Labor. </w:t>
      </w:r>
      <w:r w:rsidR="004B090C">
        <w:rPr>
          <w:rStyle w:val="FootnoteReference"/>
          <w:color w:val="auto"/>
          <w:sz w:val="23"/>
          <w:szCs w:val="23"/>
        </w:rPr>
        <w:footnoteReference w:id="4"/>
      </w:r>
    </w:p>
    <w:p w:rsidR="0090573D" w:rsidRPr="004035BD" w:rsidRDefault="0090573D" w:rsidP="0090573D">
      <w:pPr>
        <w:pStyle w:val="Default"/>
        <w:rPr>
          <w:b/>
          <w:color w:val="4F81BD" w:themeColor="accent1"/>
          <w:sz w:val="23"/>
          <w:szCs w:val="23"/>
        </w:rPr>
      </w:pPr>
    </w:p>
    <w:p w:rsidR="0090573D" w:rsidRPr="000104D0" w:rsidRDefault="0090573D" w:rsidP="0090573D">
      <w:pPr>
        <w:pStyle w:val="Default"/>
        <w:ind w:left="1080" w:hanging="360"/>
        <w:rPr>
          <w:b/>
          <w:color w:val="auto"/>
          <w:sz w:val="23"/>
          <w:szCs w:val="23"/>
        </w:rPr>
      </w:pPr>
      <w:r w:rsidRPr="000104D0">
        <w:rPr>
          <w:b/>
          <w:color w:val="auto"/>
          <w:sz w:val="23"/>
          <w:szCs w:val="23"/>
        </w:rPr>
        <w:t xml:space="preserve">• </w:t>
      </w:r>
      <w:r w:rsidR="005B05B4">
        <w:rPr>
          <w:b/>
          <w:color w:val="auto"/>
          <w:sz w:val="23"/>
          <w:szCs w:val="23"/>
        </w:rPr>
        <w:tab/>
      </w:r>
      <w:r w:rsidRPr="005B05B4">
        <w:rPr>
          <w:color w:val="auto"/>
          <w:sz w:val="23"/>
          <w:szCs w:val="23"/>
        </w:rPr>
        <w:t>Average Production Worker</w:t>
      </w:r>
      <w:r w:rsidRPr="000104D0">
        <w:rPr>
          <w:b/>
          <w:color w:val="auto"/>
          <w:sz w:val="23"/>
          <w:szCs w:val="23"/>
        </w:rPr>
        <w:t xml:space="preserve"> </w:t>
      </w:r>
      <w:r w:rsidR="005B05B4">
        <w:rPr>
          <w:b/>
          <w:color w:val="auto"/>
          <w:sz w:val="23"/>
          <w:szCs w:val="23"/>
        </w:rPr>
        <w:tab/>
      </w:r>
      <w:r w:rsidR="005B05B4">
        <w:rPr>
          <w:b/>
          <w:color w:val="auto"/>
          <w:sz w:val="23"/>
          <w:szCs w:val="23"/>
        </w:rPr>
        <w:tab/>
      </w:r>
      <w:r w:rsidR="005B05B4" w:rsidRPr="005B05B4">
        <w:rPr>
          <w:color w:val="auto"/>
          <w:sz w:val="23"/>
          <w:szCs w:val="23"/>
        </w:rPr>
        <w:tab/>
      </w:r>
      <w:r w:rsidR="00557E70">
        <w:rPr>
          <w:color w:val="auto"/>
          <w:sz w:val="23"/>
          <w:szCs w:val="23"/>
        </w:rPr>
        <w:t>$</w:t>
      </w:r>
      <w:r w:rsidR="004B090C">
        <w:rPr>
          <w:color w:val="auto"/>
          <w:sz w:val="23"/>
          <w:szCs w:val="23"/>
        </w:rPr>
        <w:t>19.82</w:t>
      </w:r>
    </w:p>
    <w:p w:rsidR="0090573D" w:rsidRDefault="0090573D" w:rsidP="0090573D">
      <w:pPr>
        <w:pStyle w:val="Default"/>
        <w:rPr>
          <w:color w:val="auto"/>
          <w:sz w:val="23"/>
          <w:szCs w:val="23"/>
        </w:rPr>
      </w:pPr>
    </w:p>
    <w:p w:rsidR="00F70ACB" w:rsidRPr="000104D0" w:rsidRDefault="00F70ACB" w:rsidP="0090573D">
      <w:pPr>
        <w:pStyle w:val="Default"/>
        <w:rPr>
          <w:color w:val="auto"/>
          <w:sz w:val="23"/>
          <w:szCs w:val="23"/>
        </w:rPr>
      </w:pPr>
    </w:p>
    <w:p w:rsidR="0090573D" w:rsidRPr="00BF6BA6" w:rsidRDefault="0090573D" w:rsidP="00B24636">
      <w:pPr>
        <w:pStyle w:val="Default"/>
        <w:numPr>
          <w:ilvl w:val="0"/>
          <w:numId w:val="2"/>
        </w:numPr>
        <w:ind w:left="450" w:hanging="450"/>
        <w:rPr>
          <w:b/>
          <w:bCs/>
          <w:color w:val="auto"/>
          <w:sz w:val="23"/>
          <w:szCs w:val="23"/>
        </w:rPr>
      </w:pPr>
      <w:r w:rsidRPr="00BF6BA6">
        <w:rPr>
          <w:b/>
          <w:bCs/>
          <w:color w:val="auto"/>
          <w:sz w:val="23"/>
          <w:szCs w:val="23"/>
        </w:rPr>
        <w:t xml:space="preserve">§ 1910.22(d)(1) -- Load Limit Marking </w:t>
      </w:r>
    </w:p>
    <w:p w:rsidR="0090573D" w:rsidRPr="004035BD" w:rsidRDefault="0090573D" w:rsidP="0090573D">
      <w:pPr>
        <w:pStyle w:val="Default"/>
        <w:ind w:left="732"/>
        <w:rPr>
          <w:color w:val="auto"/>
          <w:sz w:val="23"/>
          <w:szCs w:val="23"/>
        </w:rPr>
      </w:pPr>
    </w:p>
    <w:p w:rsidR="0090573D" w:rsidRPr="004035BD" w:rsidRDefault="0090573D" w:rsidP="0090573D">
      <w:pPr>
        <w:pStyle w:val="Default"/>
        <w:rPr>
          <w:color w:val="auto"/>
          <w:sz w:val="23"/>
          <w:szCs w:val="23"/>
        </w:rPr>
      </w:pPr>
      <w:r w:rsidRPr="004035BD">
        <w:rPr>
          <w:color w:val="auto"/>
          <w:sz w:val="23"/>
          <w:szCs w:val="23"/>
        </w:rPr>
        <w:t xml:space="preserve">OSHA estimates that approximately 80 percent of non-commercial places of employment (33,232) would already be required by local building officials to post floor loading limit signs even if OSHA did not have the requirement to do so. This would leave 8,308 new places of employment that would need these signs to meet OSHA requirements. In addition, while the Standard requires that plates be securely affixed, the Agency recognizes that, on rare occasions, some of the signs which have already been posted may need to be reposted if they are lost, removed or defaced. OSHA has no information on the number of signs which may have to be replaced. Therefore, for purposes of this ICR, the Agency estimates that approximately 100 places of employment may have signs that become lost, removed or defaced requiring the owner to have to repost the signs. OSHA estimates that it will take 20 minutes (.33 hr.) for an average production worker to acquire a replacement sign and to post it. </w:t>
      </w:r>
    </w:p>
    <w:p w:rsidR="0090573D" w:rsidRPr="004035BD" w:rsidRDefault="0090573D" w:rsidP="0090573D">
      <w:pPr>
        <w:pStyle w:val="Default"/>
        <w:rPr>
          <w:color w:val="FF0000"/>
          <w:sz w:val="23"/>
          <w:szCs w:val="23"/>
        </w:rPr>
      </w:pPr>
    </w:p>
    <w:p w:rsidR="0090573D" w:rsidRPr="000104D0" w:rsidRDefault="0090573D" w:rsidP="0090573D">
      <w:pPr>
        <w:pStyle w:val="Default"/>
        <w:ind w:left="720"/>
        <w:rPr>
          <w:b/>
          <w:color w:val="auto"/>
          <w:sz w:val="23"/>
          <w:szCs w:val="23"/>
        </w:rPr>
      </w:pPr>
      <w:r w:rsidRPr="000104D0">
        <w:rPr>
          <w:b/>
          <w:bCs/>
          <w:color w:val="auto"/>
          <w:sz w:val="23"/>
          <w:szCs w:val="23"/>
        </w:rPr>
        <w:t xml:space="preserve">Burden hours: </w:t>
      </w:r>
      <w:r w:rsidRPr="005B05B4">
        <w:rPr>
          <w:color w:val="auto"/>
          <w:sz w:val="23"/>
          <w:szCs w:val="23"/>
        </w:rPr>
        <w:t>(8,308 + 100) x .33 hour = 2,775 hours</w:t>
      </w:r>
      <w:r w:rsidRPr="000104D0">
        <w:rPr>
          <w:b/>
          <w:color w:val="auto"/>
          <w:sz w:val="23"/>
          <w:szCs w:val="23"/>
        </w:rPr>
        <w:t xml:space="preserve"> </w:t>
      </w:r>
    </w:p>
    <w:p w:rsidR="00277FBB" w:rsidRPr="000104D0" w:rsidRDefault="0090573D" w:rsidP="00BE687D">
      <w:pPr>
        <w:pStyle w:val="Default"/>
        <w:ind w:left="1620"/>
        <w:rPr>
          <w:b/>
          <w:color w:val="auto"/>
          <w:sz w:val="23"/>
          <w:szCs w:val="23"/>
        </w:rPr>
      </w:pPr>
      <w:r w:rsidRPr="000104D0">
        <w:rPr>
          <w:b/>
          <w:bCs/>
          <w:color w:val="auto"/>
          <w:sz w:val="23"/>
          <w:szCs w:val="23"/>
        </w:rPr>
        <w:t>Cost:</w:t>
      </w:r>
      <w:r w:rsidR="00BE687D">
        <w:rPr>
          <w:b/>
          <w:bCs/>
          <w:color w:val="auto"/>
          <w:sz w:val="23"/>
          <w:szCs w:val="23"/>
        </w:rPr>
        <w:tab/>
      </w:r>
      <w:r w:rsidRPr="000104D0">
        <w:rPr>
          <w:b/>
          <w:bCs/>
          <w:color w:val="auto"/>
          <w:sz w:val="23"/>
          <w:szCs w:val="23"/>
        </w:rPr>
        <w:t xml:space="preserve"> </w:t>
      </w:r>
      <w:r w:rsidR="00683FC2">
        <w:rPr>
          <w:color w:val="auto"/>
          <w:sz w:val="23"/>
          <w:szCs w:val="23"/>
        </w:rPr>
        <w:t>2,775 hours x</w:t>
      </w:r>
      <w:r w:rsidR="00557E70">
        <w:rPr>
          <w:color w:val="auto"/>
          <w:sz w:val="23"/>
          <w:szCs w:val="23"/>
        </w:rPr>
        <w:t xml:space="preserve"> $</w:t>
      </w:r>
      <w:r w:rsidR="004B090C">
        <w:rPr>
          <w:color w:val="auto"/>
          <w:sz w:val="23"/>
          <w:szCs w:val="23"/>
        </w:rPr>
        <w:t>19.82</w:t>
      </w:r>
      <w:r w:rsidR="00557E70">
        <w:rPr>
          <w:color w:val="auto"/>
          <w:sz w:val="23"/>
          <w:szCs w:val="23"/>
        </w:rPr>
        <w:t xml:space="preserve"> = $</w:t>
      </w:r>
      <w:r w:rsidR="004B090C">
        <w:rPr>
          <w:color w:val="auto"/>
          <w:sz w:val="23"/>
          <w:szCs w:val="23"/>
        </w:rPr>
        <w:t>55,001</w:t>
      </w:r>
    </w:p>
    <w:p w:rsidR="00277FBB" w:rsidRPr="00A2010E" w:rsidRDefault="00277FBB" w:rsidP="0090573D">
      <w:pPr>
        <w:pStyle w:val="Default"/>
        <w:ind w:left="720"/>
        <w:rPr>
          <w:color w:val="FF0000"/>
          <w:sz w:val="23"/>
          <w:szCs w:val="23"/>
        </w:rPr>
      </w:pPr>
    </w:p>
    <w:p w:rsidR="0090573D" w:rsidRDefault="0090573D" w:rsidP="00CA5395">
      <w:pPr>
        <w:pStyle w:val="Default"/>
        <w:numPr>
          <w:ilvl w:val="0"/>
          <w:numId w:val="2"/>
        </w:numPr>
        <w:ind w:left="450" w:hanging="450"/>
        <w:rPr>
          <w:b/>
          <w:bCs/>
          <w:color w:val="auto"/>
          <w:sz w:val="23"/>
          <w:szCs w:val="23"/>
        </w:rPr>
      </w:pPr>
      <w:r>
        <w:rPr>
          <w:b/>
          <w:bCs/>
          <w:color w:val="auto"/>
          <w:sz w:val="23"/>
          <w:szCs w:val="23"/>
        </w:rPr>
        <w:t xml:space="preserve">§ 1910.26(c)(2)(vii) -- Marking of Portable Metal Ladders Having Defects </w:t>
      </w:r>
    </w:p>
    <w:p w:rsidR="00277FBB" w:rsidRDefault="00277FBB" w:rsidP="00277FBB">
      <w:pPr>
        <w:pStyle w:val="Default"/>
        <w:ind w:left="732"/>
        <w:rPr>
          <w:color w:val="auto"/>
          <w:sz w:val="23"/>
          <w:szCs w:val="23"/>
        </w:rPr>
      </w:pPr>
    </w:p>
    <w:p w:rsidR="0090573D" w:rsidRDefault="0090573D" w:rsidP="0090573D">
      <w:pPr>
        <w:pStyle w:val="Default"/>
        <w:rPr>
          <w:color w:val="auto"/>
          <w:sz w:val="23"/>
          <w:szCs w:val="23"/>
        </w:rPr>
      </w:pPr>
      <w:r>
        <w:rPr>
          <w:color w:val="auto"/>
          <w:sz w:val="23"/>
          <w:szCs w:val="23"/>
        </w:rPr>
        <w:t xml:space="preserve">The Agency assumes, on average, each establishment has at least one portable metal ladder (6,700,000) and that when the ladder becomes defective most employers simply dispose of the ladder rather than repair it. OSHA estimates that only 3 percent of the ladders (201,000) will be defective and only a third (33%) of the defective ladders (67,000) will be marked with a tag and serviced by either the maintenance department or the manufacturer. </w:t>
      </w:r>
    </w:p>
    <w:p w:rsidR="0090573D" w:rsidRDefault="0090573D" w:rsidP="0090573D">
      <w:pPr>
        <w:pStyle w:val="Default"/>
        <w:rPr>
          <w:color w:val="auto"/>
          <w:sz w:val="23"/>
          <w:szCs w:val="23"/>
        </w:rPr>
      </w:pPr>
    </w:p>
    <w:p w:rsidR="0090573D" w:rsidRDefault="0090573D" w:rsidP="00BE687D">
      <w:pPr>
        <w:pStyle w:val="Default"/>
        <w:tabs>
          <w:tab w:val="left" w:pos="1530"/>
        </w:tabs>
        <w:rPr>
          <w:color w:val="auto"/>
          <w:sz w:val="23"/>
          <w:szCs w:val="23"/>
        </w:rPr>
      </w:pPr>
      <w:r>
        <w:rPr>
          <w:color w:val="auto"/>
          <w:sz w:val="23"/>
          <w:szCs w:val="23"/>
        </w:rPr>
        <w:t xml:space="preserve">OSHA estimates that it would take three minutes (.05 hour) for an average production worker to mark a defective ladder. </w:t>
      </w:r>
    </w:p>
    <w:p w:rsidR="0090573D" w:rsidRDefault="0090573D" w:rsidP="0090573D">
      <w:pPr>
        <w:pStyle w:val="Default"/>
        <w:rPr>
          <w:color w:val="auto"/>
          <w:sz w:val="23"/>
          <w:szCs w:val="23"/>
        </w:rPr>
      </w:pPr>
    </w:p>
    <w:p w:rsidR="0090573D" w:rsidRPr="000104D0" w:rsidRDefault="0090573D" w:rsidP="0090573D">
      <w:pPr>
        <w:pStyle w:val="Default"/>
        <w:ind w:left="720"/>
        <w:rPr>
          <w:color w:val="auto"/>
          <w:sz w:val="23"/>
          <w:szCs w:val="23"/>
        </w:rPr>
      </w:pPr>
      <w:r w:rsidRPr="000104D0">
        <w:rPr>
          <w:b/>
          <w:bCs/>
          <w:color w:val="auto"/>
          <w:sz w:val="23"/>
          <w:szCs w:val="23"/>
        </w:rPr>
        <w:t xml:space="preserve">Burden hours: </w:t>
      </w:r>
      <w:r w:rsidRPr="000104D0">
        <w:rPr>
          <w:color w:val="auto"/>
          <w:sz w:val="23"/>
          <w:szCs w:val="23"/>
        </w:rPr>
        <w:t xml:space="preserve">67,000 ladders x .05 hour = 3,350 hours </w:t>
      </w:r>
    </w:p>
    <w:p w:rsidR="0090573D" w:rsidRPr="000104D0" w:rsidRDefault="0090573D" w:rsidP="00BE687D">
      <w:pPr>
        <w:pStyle w:val="Default"/>
        <w:tabs>
          <w:tab w:val="left" w:pos="1530"/>
        </w:tabs>
        <w:ind w:left="720" w:firstLine="900"/>
        <w:rPr>
          <w:color w:val="auto"/>
          <w:sz w:val="23"/>
          <w:szCs w:val="23"/>
        </w:rPr>
      </w:pPr>
      <w:r w:rsidRPr="000104D0">
        <w:rPr>
          <w:b/>
          <w:bCs/>
          <w:color w:val="auto"/>
          <w:sz w:val="23"/>
          <w:szCs w:val="23"/>
        </w:rPr>
        <w:t xml:space="preserve">Cost: </w:t>
      </w:r>
      <w:r w:rsidR="00557E70">
        <w:rPr>
          <w:color w:val="auto"/>
          <w:sz w:val="23"/>
          <w:szCs w:val="23"/>
        </w:rPr>
        <w:t>3,350 hours x $</w:t>
      </w:r>
      <w:r w:rsidR="004B090C">
        <w:rPr>
          <w:color w:val="auto"/>
          <w:sz w:val="23"/>
          <w:szCs w:val="23"/>
        </w:rPr>
        <w:t>19.82</w:t>
      </w:r>
      <w:r w:rsidR="00954207">
        <w:rPr>
          <w:color w:val="auto"/>
          <w:sz w:val="23"/>
          <w:szCs w:val="23"/>
        </w:rPr>
        <w:t xml:space="preserve"> = $</w:t>
      </w:r>
      <w:r w:rsidR="00016EB1">
        <w:rPr>
          <w:color w:val="auto"/>
          <w:sz w:val="23"/>
          <w:szCs w:val="23"/>
        </w:rPr>
        <w:t>66,397</w:t>
      </w:r>
    </w:p>
    <w:p w:rsidR="0090573D" w:rsidRDefault="0090573D" w:rsidP="0090573D">
      <w:pPr>
        <w:pStyle w:val="Default"/>
        <w:ind w:left="720"/>
        <w:rPr>
          <w:color w:val="auto"/>
          <w:sz w:val="23"/>
          <w:szCs w:val="23"/>
        </w:rPr>
      </w:pPr>
    </w:p>
    <w:p w:rsidR="0090573D" w:rsidRDefault="0090573D" w:rsidP="00B24636">
      <w:pPr>
        <w:pStyle w:val="Default"/>
        <w:numPr>
          <w:ilvl w:val="0"/>
          <w:numId w:val="2"/>
        </w:numPr>
        <w:tabs>
          <w:tab w:val="left" w:pos="450"/>
        </w:tabs>
        <w:ind w:left="0" w:firstLine="0"/>
        <w:rPr>
          <w:b/>
          <w:bCs/>
          <w:color w:val="auto"/>
          <w:sz w:val="23"/>
          <w:szCs w:val="23"/>
        </w:rPr>
      </w:pPr>
      <w:r>
        <w:rPr>
          <w:b/>
          <w:bCs/>
          <w:color w:val="auto"/>
          <w:sz w:val="23"/>
          <w:szCs w:val="23"/>
        </w:rPr>
        <w:t xml:space="preserve">§ 1910.28(e)(3) -- Maintaining and Disclosing Drawings and Specifications of Outrigger Scaffolds Designed by a Registered Professional Engineer </w:t>
      </w:r>
    </w:p>
    <w:p w:rsidR="0090573D" w:rsidRPr="00A2010E" w:rsidRDefault="0090573D" w:rsidP="0090573D">
      <w:pPr>
        <w:pStyle w:val="Default"/>
        <w:ind w:left="732"/>
        <w:rPr>
          <w:color w:val="FF0000"/>
          <w:sz w:val="23"/>
          <w:szCs w:val="23"/>
        </w:rPr>
      </w:pPr>
    </w:p>
    <w:p w:rsidR="0090573D" w:rsidRPr="00BF6BA6" w:rsidRDefault="0090573D" w:rsidP="0090573D">
      <w:pPr>
        <w:pStyle w:val="Default"/>
        <w:rPr>
          <w:color w:val="auto"/>
          <w:sz w:val="14"/>
          <w:szCs w:val="14"/>
        </w:rPr>
      </w:pPr>
      <w:r w:rsidRPr="00BF6BA6">
        <w:rPr>
          <w:color w:val="auto"/>
          <w:sz w:val="23"/>
          <w:szCs w:val="23"/>
        </w:rPr>
        <w:t xml:space="preserve">OSHA does not believe that outrigger scaffolds are used in general industry. Therefore, the Agency is assuming zero burden hours and costs for this </w:t>
      </w:r>
      <w:r w:rsidRPr="000104D0">
        <w:rPr>
          <w:color w:val="auto"/>
          <w:sz w:val="23"/>
          <w:szCs w:val="23"/>
        </w:rPr>
        <w:t>provision.</w:t>
      </w:r>
      <w:r w:rsidR="00AB660F" w:rsidRPr="00AB660F">
        <w:rPr>
          <w:rStyle w:val="FootnoteReference"/>
          <w:b/>
          <w:bCs/>
          <w:color w:val="auto"/>
          <w:sz w:val="23"/>
          <w:szCs w:val="23"/>
        </w:rPr>
        <w:t xml:space="preserve"> </w:t>
      </w:r>
      <w:r w:rsidR="00AB660F">
        <w:rPr>
          <w:rStyle w:val="FootnoteReference"/>
          <w:b/>
          <w:bCs/>
          <w:color w:val="auto"/>
          <w:sz w:val="23"/>
          <w:szCs w:val="23"/>
        </w:rPr>
        <w:footnoteReference w:id="5"/>
      </w:r>
      <w:r w:rsidRPr="00BF6BA6">
        <w:rPr>
          <w:color w:val="auto"/>
          <w:sz w:val="14"/>
          <w:szCs w:val="14"/>
          <w:vertAlign w:val="superscript"/>
        </w:rPr>
        <w:t xml:space="preserve"> </w:t>
      </w:r>
    </w:p>
    <w:p w:rsidR="0090573D" w:rsidRDefault="0090573D" w:rsidP="0090573D">
      <w:pPr>
        <w:pStyle w:val="Default"/>
        <w:rPr>
          <w:color w:val="auto"/>
          <w:sz w:val="14"/>
          <w:szCs w:val="14"/>
        </w:rPr>
      </w:pPr>
    </w:p>
    <w:p w:rsidR="004D0A66" w:rsidRDefault="0090573D" w:rsidP="004D0A66">
      <w:pPr>
        <w:pStyle w:val="Default"/>
        <w:numPr>
          <w:ilvl w:val="0"/>
          <w:numId w:val="10"/>
        </w:numPr>
        <w:tabs>
          <w:tab w:val="left" w:pos="360"/>
        </w:tabs>
        <w:ind w:left="360"/>
        <w:rPr>
          <w:b/>
          <w:bCs/>
          <w:color w:val="auto"/>
          <w:sz w:val="20"/>
          <w:szCs w:val="20"/>
        </w:rPr>
      </w:pPr>
      <w:r>
        <w:rPr>
          <w:b/>
          <w:bCs/>
          <w:color w:val="auto"/>
          <w:sz w:val="20"/>
          <w:szCs w:val="20"/>
        </w:rPr>
        <w:t>Provide an estimate of the total annual cost burden to respondents or re</w:t>
      </w:r>
      <w:r w:rsidR="004D0A66">
        <w:rPr>
          <w:b/>
          <w:bCs/>
          <w:color w:val="auto"/>
          <w:sz w:val="20"/>
          <w:szCs w:val="20"/>
        </w:rPr>
        <w:t>cord keepers resulting from the</w:t>
      </w:r>
    </w:p>
    <w:p w:rsidR="0090573D" w:rsidRDefault="0090573D" w:rsidP="004D0A66">
      <w:pPr>
        <w:pStyle w:val="Default"/>
        <w:tabs>
          <w:tab w:val="left" w:pos="360"/>
        </w:tabs>
        <w:rPr>
          <w:b/>
          <w:bCs/>
          <w:color w:val="auto"/>
          <w:sz w:val="20"/>
          <w:szCs w:val="20"/>
        </w:rPr>
      </w:pPr>
      <w:r>
        <w:rPr>
          <w:b/>
          <w:bCs/>
          <w:color w:val="auto"/>
          <w:sz w:val="20"/>
          <w:szCs w:val="20"/>
        </w:rPr>
        <w:t xml:space="preserve">collection of information. (Do not include the cost of any hour burden shown in Items 12 and 14.) </w:t>
      </w:r>
    </w:p>
    <w:p w:rsidR="0090573D" w:rsidRDefault="0090573D" w:rsidP="0090573D">
      <w:pPr>
        <w:pStyle w:val="Default"/>
        <w:ind w:left="720"/>
        <w:rPr>
          <w:color w:val="auto"/>
          <w:sz w:val="20"/>
          <w:szCs w:val="20"/>
        </w:rPr>
      </w:pPr>
    </w:p>
    <w:p w:rsidR="0090573D" w:rsidRDefault="0090573D" w:rsidP="0090573D">
      <w:pPr>
        <w:pStyle w:val="Default"/>
        <w:rPr>
          <w:color w:val="auto"/>
          <w:sz w:val="23"/>
          <w:szCs w:val="23"/>
        </w:rPr>
      </w:pPr>
      <w:r>
        <w:rPr>
          <w:color w:val="auto"/>
          <w:sz w:val="23"/>
          <w:szCs w:val="23"/>
        </w:rPr>
        <w:t xml:space="preserve">The estimates of the total annual cost burdens to respondents or record keepers resulting from this collection of information are included in Item 12. </w:t>
      </w:r>
    </w:p>
    <w:p w:rsidR="0090573D" w:rsidRDefault="0090573D" w:rsidP="0090573D">
      <w:pPr>
        <w:pStyle w:val="Default"/>
        <w:rPr>
          <w:color w:val="auto"/>
          <w:sz w:val="23"/>
          <w:szCs w:val="23"/>
        </w:rPr>
      </w:pPr>
    </w:p>
    <w:p w:rsidR="0090573D" w:rsidRDefault="0090573D" w:rsidP="001A442C">
      <w:pPr>
        <w:pStyle w:val="Default"/>
        <w:numPr>
          <w:ilvl w:val="0"/>
          <w:numId w:val="9"/>
        </w:numPr>
        <w:tabs>
          <w:tab w:val="left" w:pos="450"/>
        </w:tabs>
        <w:ind w:left="0" w:firstLine="0"/>
        <w:rPr>
          <w:b/>
          <w:bCs/>
          <w:color w:val="auto"/>
          <w:sz w:val="20"/>
          <w:szCs w:val="20"/>
        </w:rPr>
      </w:pPr>
      <w:r>
        <w:rPr>
          <w:b/>
          <w:bCs/>
          <w:color w:val="auto"/>
          <w:sz w:val="20"/>
          <w:szCs w:val="20"/>
        </w:rPr>
        <w:t xml:space="preserve">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p>
    <w:p w:rsidR="0090573D" w:rsidRPr="00BF6BA6" w:rsidRDefault="0090573D" w:rsidP="0090573D">
      <w:pPr>
        <w:pStyle w:val="Default"/>
        <w:ind w:left="720"/>
        <w:rPr>
          <w:color w:val="auto"/>
          <w:sz w:val="20"/>
          <w:szCs w:val="20"/>
        </w:rPr>
      </w:pPr>
    </w:p>
    <w:p w:rsidR="00C316A7" w:rsidRDefault="00276C0A" w:rsidP="00525854">
      <w:pPr>
        <w:pStyle w:val="Default"/>
        <w:rPr>
          <w:color w:val="auto"/>
          <w:sz w:val="23"/>
          <w:szCs w:val="23"/>
        </w:rPr>
      </w:pPr>
      <w:r>
        <w:rPr>
          <w:color w:val="auto"/>
          <w:sz w:val="23"/>
          <w:szCs w:val="23"/>
        </w:rPr>
        <w:t xml:space="preserve">There </w:t>
      </w:r>
      <w:r w:rsidR="00525854">
        <w:rPr>
          <w:color w:val="auto"/>
          <w:sz w:val="23"/>
          <w:szCs w:val="23"/>
        </w:rPr>
        <w:t xml:space="preserve">is </w:t>
      </w:r>
      <w:r>
        <w:rPr>
          <w:color w:val="auto"/>
          <w:sz w:val="23"/>
          <w:szCs w:val="23"/>
        </w:rPr>
        <w:t>no cost to the Federal Government.</w:t>
      </w:r>
    </w:p>
    <w:p w:rsidR="00525854" w:rsidRDefault="00525854" w:rsidP="00C316A7">
      <w:pPr>
        <w:pStyle w:val="Default"/>
        <w:ind w:firstLine="720"/>
        <w:rPr>
          <w:b/>
          <w:color w:val="auto"/>
          <w:sz w:val="23"/>
          <w:szCs w:val="23"/>
        </w:rPr>
      </w:pPr>
    </w:p>
    <w:p w:rsidR="0090573D" w:rsidRDefault="0090573D" w:rsidP="00C316A7">
      <w:pPr>
        <w:pStyle w:val="Default"/>
        <w:numPr>
          <w:ilvl w:val="0"/>
          <w:numId w:val="9"/>
        </w:numPr>
        <w:ind w:left="0" w:firstLine="0"/>
        <w:rPr>
          <w:b/>
          <w:bCs/>
          <w:color w:val="auto"/>
          <w:sz w:val="20"/>
          <w:szCs w:val="20"/>
        </w:rPr>
      </w:pPr>
      <w:r>
        <w:rPr>
          <w:b/>
          <w:bCs/>
          <w:color w:val="auto"/>
          <w:sz w:val="20"/>
          <w:szCs w:val="20"/>
        </w:rPr>
        <w:t xml:space="preserve">Explain the reasons for any program changes or adjustments. </w:t>
      </w:r>
    </w:p>
    <w:p w:rsidR="0090573D" w:rsidRDefault="0090573D" w:rsidP="0090573D">
      <w:pPr>
        <w:pStyle w:val="Default"/>
        <w:ind w:left="720"/>
        <w:rPr>
          <w:color w:val="auto"/>
          <w:sz w:val="20"/>
          <w:szCs w:val="20"/>
        </w:rPr>
      </w:pPr>
    </w:p>
    <w:p w:rsidR="007A611B" w:rsidRDefault="00230613" w:rsidP="00C316A7">
      <w:pPr>
        <w:rPr>
          <w:rFonts w:ascii="Times New Roman" w:hAnsi="Times New Roman" w:cs="Times New Roman"/>
          <w:sz w:val="24"/>
          <w:szCs w:val="24"/>
        </w:rPr>
      </w:pPr>
      <w:r>
        <w:rPr>
          <w:rFonts w:ascii="Times New Roman" w:hAnsi="Times New Roman" w:cs="Times New Roman"/>
          <w:sz w:val="24"/>
          <w:szCs w:val="24"/>
        </w:rPr>
        <w:t>There are no program changes or adjustments associated with this Information Collection Request.  The Agency is requesting that it retain its current burden hour estimate of 6,125</w:t>
      </w:r>
      <w:r w:rsidR="007825CD" w:rsidRPr="007825CD">
        <w:rPr>
          <w:rFonts w:ascii="Times New Roman" w:hAnsi="Times New Roman" w:cs="Times New Roman"/>
          <w:sz w:val="24"/>
          <w:szCs w:val="24"/>
        </w:rPr>
        <w:t xml:space="preserve">.  </w:t>
      </w:r>
    </w:p>
    <w:p w:rsidR="0090573D" w:rsidRPr="00C316A7" w:rsidRDefault="0090573D" w:rsidP="00C316A7">
      <w:pPr>
        <w:pStyle w:val="ListParagraph"/>
        <w:numPr>
          <w:ilvl w:val="0"/>
          <w:numId w:val="9"/>
        </w:numPr>
        <w:spacing w:line="240" w:lineRule="auto"/>
        <w:ind w:left="0" w:firstLine="0"/>
        <w:rPr>
          <w:rFonts w:ascii="Times New Roman" w:hAnsi="Times New Roman" w:cs="Times New Roman"/>
          <w:b/>
          <w:bCs/>
          <w:sz w:val="20"/>
          <w:szCs w:val="20"/>
        </w:rPr>
      </w:pPr>
      <w:r w:rsidRPr="00C316A7">
        <w:rPr>
          <w:rFonts w:ascii="Times New Roman" w:hAnsi="Times New Roman" w:cs="Times New Roman"/>
          <w:b/>
          <w:bCs/>
          <w:sz w:val="20"/>
          <w:szCs w:val="20"/>
        </w:rPr>
        <w:t>For collections of information whose results will be published, out</w:t>
      </w:r>
      <w:r w:rsidR="001A442C" w:rsidRPr="00C316A7">
        <w:rPr>
          <w:rFonts w:ascii="Times New Roman" w:hAnsi="Times New Roman" w:cs="Times New Roman"/>
          <w:b/>
          <w:bCs/>
          <w:sz w:val="20"/>
          <w:szCs w:val="20"/>
        </w:rPr>
        <w:t xml:space="preserve">line plans for tabulations, and </w:t>
      </w:r>
      <w:r w:rsidRPr="00C316A7">
        <w:rPr>
          <w:rFonts w:ascii="Times New Roman" w:hAnsi="Times New Roman" w:cs="Times New Roman"/>
          <w:b/>
          <w:bCs/>
          <w:sz w:val="20"/>
          <w:szCs w:val="20"/>
        </w:rPr>
        <w:t>publication.</w:t>
      </w:r>
      <w:r w:rsidR="006B66E5" w:rsidRPr="00C316A7">
        <w:rPr>
          <w:rFonts w:ascii="Times New Roman" w:hAnsi="Times New Roman" w:cs="Times New Roman"/>
          <w:b/>
          <w:bCs/>
          <w:sz w:val="20"/>
          <w:szCs w:val="20"/>
        </w:rPr>
        <w:t xml:space="preserve"> </w:t>
      </w:r>
      <w:r w:rsidRPr="00C316A7">
        <w:rPr>
          <w:rFonts w:ascii="Times New Roman" w:hAnsi="Times New Roman" w:cs="Times New Roman"/>
          <w:b/>
          <w:bCs/>
          <w:sz w:val="20"/>
          <w:szCs w:val="20"/>
        </w:rPr>
        <w:t xml:space="preserve"> Address any complex analytical techniques that will be used. Provide the time schedule for the entire project, including beginning and ending dates of the collection of information, completion of report, publication dates, and other actions. </w:t>
      </w:r>
    </w:p>
    <w:p w:rsidR="0090573D" w:rsidRDefault="0090573D" w:rsidP="00C316A7">
      <w:pPr>
        <w:pStyle w:val="Default"/>
        <w:rPr>
          <w:color w:val="auto"/>
          <w:sz w:val="23"/>
          <w:szCs w:val="23"/>
        </w:rPr>
      </w:pPr>
      <w:r>
        <w:rPr>
          <w:color w:val="auto"/>
          <w:sz w:val="23"/>
          <w:szCs w:val="23"/>
        </w:rPr>
        <w:t xml:space="preserve">OSHA will not publish the information collected under the Standard. </w:t>
      </w:r>
    </w:p>
    <w:p w:rsidR="0090573D" w:rsidRDefault="0090573D" w:rsidP="0090573D">
      <w:pPr>
        <w:pStyle w:val="Default"/>
        <w:rPr>
          <w:color w:val="auto"/>
          <w:sz w:val="23"/>
          <w:szCs w:val="23"/>
        </w:rPr>
      </w:pPr>
    </w:p>
    <w:p w:rsidR="001A442C" w:rsidRDefault="0090573D" w:rsidP="001A442C">
      <w:pPr>
        <w:pStyle w:val="Default"/>
        <w:numPr>
          <w:ilvl w:val="0"/>
          <w:numId w:val="6"/>
        </w:numPr>
        <w:tabs>
          <w:tab w:val="left" w:pos="0"/>
        </w:tabs>
        <w:ind w:left="450" w:hanging="450"/>
        <w:rPr>
          <w:b/>
          <w:bCs/>
          <w:color w:val="auto"/>
          <w:sz w:val="20"/>
          <w:szCs w:val="20"/>
        </w:rPr>
      </w:pPr>
      <w:r>
        <w:rPr>
          <w:b/>
          <w:bCs/>
          <w:color w:val="auto"/>
          <w:sz w:val="20"/>
          <w:szCs w:val="20"/>
        </w:rPr>
        <w:t>If seeking approval to not display the expiration date for OMB approval of the informa</w:t>
      </w:r>
      <w:r w:rsidR="001A442C">
        <w:rPr>
          <w:b/>
          <w:bCs/>
          <w:color w:val="auto"/>
          <w:sz w:val="20"/>
          <w:szCs w:val="20"/>
        </w:rPr>
        <w:t xml:space="preserve">tion </w:t>
      </w:r>
    </w:p>
    <w:p w:rsidR="0090573D" w:rsidRDefault="001A442C" w:rsidP="001A442C">
      <w:pPr>
        <w:pStyle w:val="Default"/>
        <w:tabs>
          <w:tab w:val="left" w:pos="0"/>
        </w:tabs>
        <w:rPr>
          <w:b/>
          <w:bCs/>
          <w:color w:val="auto"/>
          <w:sz w:val="20"/>
          <w:szCs w:val="20"/>
        </w:rPr>
      </w:pPr>
      <w:r>
        <w:rPr>
          <w:b/>
          <w:bCs/>
          <w:color w:val="auto"/>
          <w:sz w:val="20"/>
          <w:szCs w:val="20"/>
        </w:rPr>
        <w:t xml:space="preserve">collection, </w:t>
      </w:r>
      <w:r w:rsidR="0090573D">
        <w:rPr>
          <w:b/>
          <w:bCs/>
          <w:color w:val="auto"/>
          <w:sz w:val="20"/>
          <w:szCs w:val="20"/>
        </w:rPr>
        <w:t xml:space="preserve">explain the reasons that display would be inappropriate. </w:t>
      </w:r>
    </w:p>
    <w:p w:rsidR="0090573D" w:rsidRDefault="0090573D" w:rsidP="0090573D">
      <w:pPr>
        <w:pStyle w:val="Default"/>
        <w:ind w:left="720"/>
        <w:rPr>
          <w:color w:val="auto"/>
          <w:sz w:val="20"/>
          <w:szCs w:val="20"/>
        </w:rPr>
      </w:pPr>
    </w:p>
    <w:p w:rsidR="006279AA" w:rsidRPr="006279AA" w:rsidRDefault="006279AA" w:rsidP="00627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6279AA">
        <w:rPr>
          <w:rFonts w:ascii="Times New Roman" w:eastAsia="Calibri" w:hAnsi="Times New Roman" w:cs="Times New Roman"/>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5E24BF" w:rsidRDefault="005E24BF" w:rsidP="005E24BF">
      <w:pPr>
        <w:pStyle w:val="Default"/>
        <w:numPr>
          <w:ilvl w:val="0"/>
          <w:numId w:val="6"/>
        </w:numPr>
        <w:tabs>
          <w:tab w:val="left" w:pos="540"/>
        </w:tabs>
        <w:ind w:hanging="720"/>
        <w:rPr>
          <w:b/>
          <w:bCs/>
          <w:color w:val="auto"/>
          <w:sz w:val="20"/>
          <w:szCs w:val="20"/>
        </w:rPr>
      </w:pPr>
      <w:r>
        <w:rPr>
          <w:b/>
          <w:bCs/>
          <w:color w:val="auto"/>
          <w:sz w:val="20"/>
          <w:szCs w:val="20"/>
        </w:rPr>
        <w:t xml:space="preserve">Explain each exception to the certification statement. </w:t>
      </w:r>
    </w:p>
    <w:p w:rsidR="005E24BF" w:rsidRDefault="005E24BF" w:rsidP="005E24BF">
      <w:pPr>
        <w:pStyle w:val="Default"/>
        <w:tabs>
          <w:tab w:val="left" w:pos="540"/>
        </w:tabs>
        <w:rPr>
          <w:b/>
          <w:bCs/>
          <w:color w:val="auto"/>
          <w:sz w:val="20"/>
          <w:szCs w:val="20"/>
        </w:rPr>
      </w:pPr>
    </w:p>
    <w:p w:rsidR="005E24BF" w:rsidRDefault="005E24BF" w:rsidP="005E24BF">
      <w:pPr>
        <w:pStyle w:val="Default"/>
        <w:tabs>
          <w:tab w:val="left" w:pos="540"/>
        </w:tabs>
        <w:rPr>
          <w:bCs/>
          <w:color w:val="auto"/>
          <w:sz w:val="22"/>
          <w:szCs w:val="20"/>
        </w:rPr>
      </w:pPr>
      <w:r w:rsidRPr="00525854">
        <w:rPr>
          <w:bCs/>
          <w:color w:val="auto"/>
          <w:sz w:val="22"/>
          <w:szCs w:val="20"/>
        </w:rPr>
        <w:t>OSHA` is not seeking exception to the certification statement.</w:t>
      </w:r>
    </w:p>
    <w:p w:rsidR="00525854" w:rsidRPr="00525854" w:rsidRDefault="00525854" w:rsidP="005E24BF">
      <w:pPr>
        <w:pStyle w:val="Default"/>
        <w:tabs>
          <w:tab w:val="left" w:pos="540"/>
        </w:tabs>
        <w:rPr>
          <w:bCs/>
          <w:color w:val="auto"/>
          <w:sz w:val="22"/>
          <w:szCs w:val="20"/>
        </w:rPr>
      </w:pPr>
    </w:p>
    <w:p w:rsidR="005E24BF" w:rsidRDefault="005E24BF" w:rsidP="00D85513">
      <w:pPr>
        <w:pStyle w:val="Default"/>
        <w:tabs>
          <w:tab w:val="left" w:pos="450"/>
        </w:tabs>
        <w:rPr>
          <w:color w:val="auto"/>
          <w:sz w:val="23"/>
          <w:szCs w:val="23"/>
        </w:rPr>
      </w:pPr>
    </w:p>
    <w:p w:rsidR="007A611B" w:rsidRDefault="00D85513" w:rsidP="00D85513">
      <w:pPr>
        <w:pStyle w:val="Default"/>
        <w:numPr>
          <w:ilvl w:val="0"/>
          <w:numId w:val="14"/>
        </w:numPr>
        <w:tabs>
          <w:tab w:val="left" w:pos="450"/>
          <w:tab w:val="left" w:pos="540"/>
        </w:tabs>
        <w:rPr>
          <w:color w:val="auto"/>
        </w:rPr>
      </w:pPr>
      <w:r w:rsidRPr="00D85513">
        <w:rPr>
          <w:color w:val="auto"/>
        </w:rPr>
        <w:t>COLLECTION OF INFORMATION EMPLOYING STATISTIC</w:t>
      </w:r>
      <w:r>
        <w:rPr>
          <w:color w:val="auto"/>
        </w:rPr>
        <w:t xml:space="preserve">AL </w:t>
      </w:r>
      <w:r w:rsidRPr="00D85513">
        <w:rPr>
          <w:color w:val="auto"/>
        </w:rPr>
        <w:t>METHODS.</w:t>
      </w:r>
    </w:p>
    <w:p w:rsidR="00710208" w:rsidRDefault="00710208" w:rsidP="00D85513">
      <w:pPr>
        <w:pStyle w:val="Default"/>
        <w:tabs>
          <w:tab w:val="left" w:pos="0"/>
          <w:tab w:val="left" w:pos="450"/>
          <w:tab w:val="left" w:pos="540"/>
        </w:tabs>
        <w:rPr>
          <w:color w:val="auto"/>
        </w:rPr>
      </w:pPr>
    </w:p>
    <w:p w:rsidR="00D85513" w:rsidRPr="00D85513" w:rsidRDefault="00D85513" w:rsidP="00D85513">
      <w:pPr>
        <w:pStyle w:val="Default"/>
        <w:tabs>
          <w:tab w:val="left" w:pos="0"/>
          <w:tab w:val="left" w:pos="450"/>
          <w:tab w:val="left" w:pos="540"/>
        </w:tabs>
        <w:rPr>
          <w:color w:val="auto"/>
        </w:rPr>
      </w:pPr>
      <w:r>
        <w:rPr>
          <w:color w:val="auto"/>
        </w:rPr>
        <w:t xml:space="preserve">This supporting statement does not contain any collection of information requirements that </w:t>
      </w:r>
      <w:r w:rsidR="00710208">
        <w:rPr>
          <w:color w:val="auto"/>
        </w:rPr>
        <w:t>e</w:t>
      </w:r>
      <w:r>
        <w:rPr>
          <w:color w:val="auto"/>
        </w:rPr>
        <w:t>mpl</w:t>
      </w:r>
      <w:r w:rsidR="00710208">
        <w:rPr>
          <w:color w:val="auto"/>
        </w:rPr>
        <w:t>o</w:t>
      </w:r>
      <w:r>
        <w:rPr>
          <w:color w:val="auto"/>
        </w:rPr>
        <w:t>y</w:t>
      </w:r>
      <w:r w:rsidR="00710208">
        <w:rPr>
          <w:color w:val="auto"/>
        </w:rPr>
        <w:t xml:space="preserve"> statistical methods.</w:t>
      </w:r>
    </w:p>
    <w:p w:rsidR="00D85513" w:rsidRDefault="00D85513" w:rsidP="007A611B">
      <w:pPr>
        <w:pStyle w:val="Default"/>
        <w:rPr>
          <w:color w:val="auto"/>
          <w:sz w:val="23"/>
          <w:szCs w:val="23"/>
        </w:rPr>
      </w:pPr>
    </w:p>
    <w:p w:rsidR="0090573D" w:rsidRDefault="0090573D">
      <w:pPr>
        <w:rPr>
          <w:rFonts w:ascii="Times New Roman" w:hAnsi="Times New Roman" w:cs="Times New Roman"/>
          <w:b/>
          <w:bCs/>
          <w:sz w:val="20"/>
          <w:szCs w:val="20"/>
        </w:rPr>
      </w:pPr>
    </w:p>
    <w:p w:rsidR="00CD6E4A" w:rsidRDefault="00CD6E4A">
      <w:pP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017996" w:rsidRDefault="00017996" w:rsidP="00017996">
      <w:pPr>
        <w:jc w:val="center"/>
        <w:rPr>
          <w:rFonts w:ascii="Times New Roman" w:hAnsi="Times New Roman" w:cs="Times New Roman"/>
          <w:b/>
          <w:bCs/>
          <w:sz w:val="20"/>
          <w:szCs w:val="20"/>
        </w:rPr>
      </w:pPr>
      <w:r w:rsidRPr="00017996">
        <w:rPr>
          <w:rFonts w:ascii="Times New Roman" w:hAnsi="Times New Roman" w:cs="Times New Roman"/>
          <w:b/>
          <w:bCs/>
          <w:color w:val="000000"/>
          <w:sz w:val="20"/>
          <w:szCs w:val="20"/>
        </w:rPr>
        <w:lastRenderedPageBreak/>
        <w:t>Table 1 -- Summary of Burden Hours and Cost</w:t>
      </w:r>
    </w:p>
    <w:p w:rsidR="00017996" w:rsidRDefault="00017996">
      <w:pPr>
        <w:rPr>
          <w:rFonts w:ascii="Times New Roman" w:hAnsi="Times New Roman" w:cs="Times New Roman"/>
          <w:b/>
          <w:bCs/>
          <w:sz w:val="20"/>
          <w:szCs w:val="20"/>
        </w:rPr>
      </w:pPr>
    </w:p>
    <w:tbl>
      <w:tblPr>
        <w:tblStyle w:val="TableGrid"/>
        <w:tblW w:w="0" w:type="auto"/>
        <w:tblLook w:val="04A0" w:firstRow="1" w:lastRow="0" w:firstColumn="1" w:lastColumn="0" w:noHBand="0" w:noVBand="1"/>
      </w:tblPr>
      <w:tblGrid>
        <w:gridCol w:w="378"/>
        <w:gridCol w:w="2358"/>
        <w:gridCol w:w="1368"/>
        <w:gridCol w:w="1368"/>
        <w:gridCol w:w="1368"/>
        <w:gridCol w:w="1368"/>
        <w:gridCol w:w="1368"/>
      </w:tblGrid>
      <w:tr w:rsidR="00017996" w:rsidTr="00017996">
        <w:tc>
          <w:tcPr>
            <w:tcW w:w="378" w:type="dxa"/>
          </w:tcPr>
          <w:p w:rsidR="00017996" w:rsidRDefault="00017996">
            <w:pPr>
              <w:rPr>
                <w:rFonts w:ascii="Times New Roman" w:hAnsi="Times New Roman" w:cs="Times New Roman"/>
                <w:b/>
                <w:bCs/>
                <w:sz w:val="20"/>
                <w:szCs w:val="20"/>
              </w:rPr>
            </w:pPr>
          </w:p>
        </w:tc>
        <w:tc>
          <w:tcPr>
            <w:tcW w:w="2358" w:type="dxa"/>
          </w:tcPr>
          <w:p w:rsidR="00017996" w:rsidRDefault="00017996">
            <w:pPr>
              <w:rPr>
                <w:rFonts w:ascii="Times New Roman" w:hAnsi="Times New Roman" w:cs="Times New Roman"/>
                <w:b/>
                <w:bCs/>
                <w:sz w:val="20"/>
                <w:szCs w:val="20"/>
              </w:rPr>
            </w:pPr>
            <w:r>
              <w:rPr>
                <w:rFonts w:ascii="Times New Roman" w:hAnsi="Times New Roman" w:cs="Times New Roman"/>
                <w:b/>
                <w:bCs/>
                <w:sz w:val="20"/>
                <w:szCs w:val="20"/>
              </w:rPr>
              <w:t>Information collection Requirement</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Existing Burden Hours</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Requested Burden Hours</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Adjustments</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Estimated Cost</w:t>
            </w:r>
          </w:p>
        </w:tc>
        <w:tc>
          <w:tcPr>
            <w:tcW w:w="1368" w:type="dxa"/>
          </w:tcPr>
          <w:p w:rsidR="00017996" w:rsidRDefault="00017996">
            <w:pPr>
              <w:rPr>
                <w:rFonts w:ascii="Times New Roman" w:hAnsi="Times New Roman" w:cs="Times New Roman"/>
                <w:b/>
                <w:bCs/>
                <w:sz w:val="20"/>
                <w:szCs w:val="20"/>
              </w:rPr>
            </w:pPr>
            <w:r w:rsidRPr="00017996">
              <w:rPr>
                <w:rFonts w:ascii="Times New Roman" w:hAnsi="Times New Roman" w:cs="Times New Roman"/>
                <w:b/>
                <w:bCs/>
                <w:color w:val="000000"/>
                <w:sz w:val="20"/>
                <w:szCs w:val="20"/>
              </w:rPr>
              <w:t>Response</w:t>
            </w:r>
            <w:r>
              <w:rPr>
                <w:rFonts w:ascii="Times New Roman" w:hAnsi="Times New Roman" w:cs="Times New Roman"/>
                <w:b/>
                <w:bCs/>
                <w:color w:val="000000"/>
                <w:sz w:val="20"/>
                <w:szCs w:val="20"/>
              </w:rPr>
              <w:t>s</w:t>
            </w:r>
          </w:p>
        </w:tc>
      </w:tr>
      <w:tr w:rsidR="00017996" w:rsidTr="00017996">
        <w:tc>
          <w:tcPr>
            <w:tcW w:w="378" w:type="dxa"/>
          </w:tcPr>
          <w:p w:rsidR="00017996" w:rsidRDefault="005A01C1">
            <w:pPr>
              <w:rPr>
                <w:rFonts w:ascii="Times New Roman" w:hAnsi="Times New Roman" w:cs="Times New Roman"/>
                <w:b/>
                <w:bCs/>
                <w:sz w:val="20"/>
                <w:szCs w:val="20"/>
              </w:rPr>
            </w:pPr>
            <w:r>
              <w:rPr>
                <w:rFonts w:ascii="Times New Roman" w:hAnsi="Times New Roman" w:cs="Times New Roman"/>
                <w:b/>
                <w:bCs/>
                <w:sz w:val="20"/>
                <w:szCs w:val="20"/>
              </w:rPr>
              <w:t>1</w:t>
            </w:r>
          </w:p>
        </w:tc>
        <w:tc>
          <w:tcPr>
            <w:tcW w:w="2358" w:type="dxa"/>
          </w:tcPr>
          <w:p w:rsidR="00017996" w:rsidRDefault="005A01C1">
            <w:pPr>
              <w:rPr>
                <w:rFonts w:ascii="Times New Roman" w:hAnsi="Times New Roman" w:cs="Times New Roman"/>
                <w:b/>
                <w:bCs/>
                <w:sz w:val="20"/>
                <w:szCs w:val="20"/>
              </w:rPr>
            </w:pPr>
            <w:r w:rsidRPr="00017996">
              <w:rPr>
                <w:rFonts w:ascii="Times New Roman" w:hAnsi="Times New Roman" w:cs="Times New Roman"/>
                <w:color w:val="000000"/>
                <w:sz w:val="18"/>
                <w:szCs w:val="18"/>
              </w:rPr>
              <w:t>§ 1910.22(d)(1) -- Load Limit Marking</w:t>
            </w:r>
          </w:p>
        </w:tc>
        <w:tc>
          <w:tcPr>
            <w:tcW w:w="1368" w:type="dxa"/>
          </w:tcPr>
          <w:p w:rsidR="00017996" w:rsidRDefault="00FD3E0D">
            <w:pPr>
              <w:rPr>
                <w:rFonts w:ascii="Times New Roman" w:hAnsi="Times New Roman" w:cs="Times New Roman"/>
                <w:b/>
                <w:bCs/>
                <w:sz w:val="20"/>
                <w:szCs w:val="20"/>
              </w:rPr>
            </w:pPr>
            <w:r>
              <w:rPr>
                <w:rFonts w:ascii="Times New Roman" w:hAnsi="Times New Roman" w:cs="Times New Roman"/>
                <w:color w:val="000000"/>
                <w:sz w:val="18"/>
                <w:szCs w:val="18"/>
              </w:rPr>
              <w:t>2,775</w:t>
            </w:r>
          </w:p>
        </w:tc>
        <w:tc>
          <w:tcPr>
            <w:tcW w:w="1368" w:type="dxa"/>
          </w:tcPr>
          <w:p w:rsidR="00017996" w:rsidRDefault="005A01C1">
            <w:pPr>
              <w:rPr>
                <w:rFonts w:ascii="Times New Roman" w:hAnsi="Times New Roman" w:cs="Times New Roman"/>
                <w:b/>
                <w:bCs/>
                <w:sz w:val="20"/>
                <w:szCs w:val="20"/>
              </w:rPr>
            </w:pPr>
            <w:r w:rsidRPr="00017996">
              <w:rPr>
                <w:rFonts w:ascii="Times New Roman" w:hAnsi="Times New Roman" w:cs="Times New Roman"/>
                <w:color w:val="000000"/>
                <w:sz w:val="18"/>
                <w:szCs w:val="18"/>
              </w:rPr>
              <w:t>2,775</w:t>
            </w:r>
          </w:p>
        </w:tc>
        <w:tc>
          <w:tcPr>
            <w:tcW w:w="1368" w:type="dxa"/>
          </w:tcPr>
          <w:p w:rsidR="00017996" w:rsidRDefault="00FD3E0D">
            <w:pPr>
              <w:rPr>
                <w:rFonts w:ascii="Times New Roman" w:hAnsi="Times New Roman" w:cs="Times New Roman"/>
                <w:b/>
                <w:bCs/>
                <w:sz w:val="20"/>
                <w:szCs w:val="20"/>
              </w:rPr>
            </w:pPr>
            <w:r>
              <w:rPr>
                <w:rFonts w:ascii="Times New Roman" w:hAnsi="Times New Roman" w:cs="Times New Roman"/>
                <w:color w:val="000000"/>
                <w:sz w:val="18"/>
                <w:szCs w:val="18"/>
              </w:rPr>
              <w:t>0</w:t>
            </w:r>
          </w:p>
        </w:tc>
        <w:tc>
          <w:tcPr>
            <w:tcW w:w="1368" w:type="dxa"/>
          </w:tcPr>
          <w:p w:rsidR="00017996" w:rsidRDefault="00BD6B4F" w:rsidP="00016EB1">
            <w:pPr>
              <w:rPr>
                <w:rFonts w:ascii="Times New Roman" w:hAnsi="Times New Roman" w:cs="Times New Roman"/>
                <w:b/>
                <w:bCs/>
                <w:sz w:val="20"/>
                <w:szCs w:val="20"/>
              </w:rPr>
            </w:pPr>
            <w:r>
              <w:rPr>
                <w:rFonts w:ascii="Times New Roman" w:hAnsi="Times New Roman" w:cs="Times New Roman"/>
                <w:color w:val="000000"/>
                <w:sz w:val="18"/>
                <w:szCs w:val="18"/>
              </w:rPr>
              <w:t>$</w:t>
            </w:r>
            <w:r w:rsidR="00016EB1">
              <w:rPr>
                <w:rFonts w:ascii="Times New Roman" w:hAnsi="Times New Roman" w:cs="Times New Roman"/>
                <w:color w:val="000000"/>
                <w:sz w:val="18"/>
                <w:szCs w:val="18"/>
              </w:rPr>
              <w:t>55,001</w:t>
            </w:r>
          </w:p>
        </w:tc>
        <w:tc>
          <w:tcPr>
            <w:tcW w:w="1368" w:type="dxa"/>
          </w:tcPr>
          <w:p w:rsidR="00017996" w:rsidRDefault="005A01C1">
            <w:pPr>
              <w:rPr>
                <w:rFonts w:ascii="Times New Roman" w:hAnsi="Times New Roman" w:cs="Times New Roman"/>
                <w:b/>
                <w:bCs/>
                <w:sz w:val="20"/>
                <w:szCs w:val="20"/>
              </w:rPr>
            </w:pPr>
            <w:r w:rsidRPr="00017996">
              <w:rPr>
                <w:rFonts w:ascii="Times New Roman" w:hAnsi="Times New Roman" w:cs="Times New Roman"/>
                <w:color w:val="000000"/>
                <w:sz w:val="18"/>
                <w:szCs w:val="18"/>
              </w:rPr>
              <w:t>8,408</w:t>
            </w:r>
          </w:p>
        </w:tc>
      </w:tr>
      <w:tr w:rsidR="00017996" w:rsidTr="00017996">
        <w:tc>
          <w:tcPr>
            <w:tcW w:w="378" w:type="dxa"/>
          </w:tcPr>
          <w:p w:rsidR="00017996" w:rsidRDefault="005A01C1">
            <w:pPr>
              <w:rPr>
                <w:rFonts w:ascii="Times New Roman" w:hAnsi="Times New Roman" w:cs="Times New Roman"/>
                <w:b/>
                <w:bCs/>
                <w:sz w:val="20"/>
                <w:szCs w:val="20"/>
              </w:rPr>
            </w:pPr>
            <w:r>
              <w:rPr>
                <w:rFonts w:ascii="Times New Roman" w:hAnsi="Times New Roman" w:cs="Times New Roman"/>
                <w:b/>
                <w:bCs/>
                <w:sz w:val="20"/>
                <w:szCs w:val="20"/>
              </w:rPr>
              <w:t>2</w:t>
            </w:r>
          </w:p>
        </w:tc>
        <w:tc>
          <w:tcPr>
            <w:tcW w:w="2358" w:type="dxa"/>
          </w:tcPr>
          <w:p w:rsidR="00017996" w:rsidRDefault="005A01C1">
            <w:pPr>
              <w:rPr>
                <w:rFonts w:ascii="Times New Roman" w:hAnsi="Times New Roman" w:cs="Times New Roman"/>
                <w:b/>
                <w:bCs/>
                <w:sz w:val="20"/>
                <w:szCs w:val="20"/>
              </w:rPr>
            </w:pPr>
            <w:r w:rsidRPr="00017996">
              <w:rPr>
                <w:rFonts w:ascii="Times New Roman" w:hAnsi="Times New Roman" w:cs="Times New Roman"/>
                <w:color w:val="000000"/>
                <w:sz w:val="18"/>
                <w:szCs w:val="18"/>
              </w:rPr>
              <w:t>§ 1910.26(c)(2)(vii) -- Marking of Portable Metal Ladders Having Defects</w:t>
            </w:r>
          </w:p>
        </w:tc>
        <w:tc>
          <w:tcPr>
            <w:tcW w:w="1368" w:type="dxa"/>
          </w:tcPr>
          <w:p w:rsidR="00017996" w:rsidRPr="005A01C1" w:rsidRDefault="00FD3E0D">
            <w:pPr>
              <w:rPr>
                <w:rFonts w:ascii="Times New Roman" w:hAnsi="Times New Roman" w:cs="Times New Roman"/>
                <w:bCs/>
                <w:sz w:val="20"/>
                <w:szCs w:val="20"/>
              </w:rPr>
            </w:pPr>
            <w:r>
              <w:rPr>
                <w:rFonts w:ascii="Times New Roman" w:hAnsi="Times New Roman" w:cs="Times New Roman"/>
                <w:bCs/>
                <w:sz w:val="20"/>
                <w:szCs w:val="20"/>
              </w:rPr>
              <w:t>3,350</w:t>
            </w:r>
          </w:p>
        </w:tc>
        <w:tc>
          <w:tcPr>
            <w:tcW w:w="1368" w:type="dxa"/>
          </w:tcPr>
          <w:p w:rsidR="00017996"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3,350</w:t>
            </w:r>
          </w:p>
        </w:tc>
        <w:tc>
          <w:tcPr>
            <w:tcW w:w="1368" w:type="dxa"/>
          </w:tcPr>
          <w:p w:rsidR="00017996"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017996" w:rsidRPr="005A01C1" w:rsidRDefault="005A01C1" w:rsidP="00016EB1">
            <w:pPr>
              <w:rPr>
                <w:rFonts w:ascii="Times New Roman" w:hAnsi="Times New Roman" w:cs="Times New Roman"/>
                <w:bCs/>
                <w:sz w:val="20"/>
                <w:szCs w:val="20"/>
              </w:rPr>
            </w:pPr>
            <w:r w:rsidRPr="005A01C1">
              <w:rPr>
                <w:rFonts w:ascii="Times New Roman" w:hAnsi="Times New Roman" w:cs="Times New Roman"/>
                <w:bCs/>
                <w:sz w:val="20"/>
                <w:szCs w:val="20"/>
              </w:rPr>
              <w:t>$</w:t>
            </w:r>
            <w:r w:rsidR="00016EB1">
              <w:rPr>
                <w:rFonts w:ascii="Times New Roman" w:hAnsi="Times New Roman" w:cs="Times New Roman"/>
                <w:bCs/>
                <w:sz w:val="20"/>
                <w:szCs w:val="20"/>
              </w:rPr>
              <w:t>66,397</w:t>
            </w:r>
          </w:p>
        </w:tc>
        <w:tc>
          <w:tcPr>
            <w:tcW w:w="1368" w:type="dxa"/>
          </w:tcPr>
          <w:p w:rsidR="00017996"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67,000</w:t>
            </w:r>
          </w:p>
        </w:tc>
      </w:tr>
      <w:tr w:rsidR="005A01C1" w:rsidTr="00017996">
        <w:tc>
          <w:tcPr>
            <w:tcW w:w="378" w:type="dxa"/>
          </w:tcPr>
          <w:p w:rsidR="005A01C1" w:rsidRDefault="005A01C1">
            <w:pPr>
              <w:rPr>
                <w:rFonts w:ascii="Times New Roman" w:hAnsi="Times New Roman" w:cs="Times New Roman"/>
                <w:b/>
                <w:bCs/>
                <w:sz w:val="20"/>
                <w:szCs w:val="20"/>
              </w:rPr>
            </w:pPr>
            <w:r>
              <w:rPr>
                <w:rFonts w:ascii="Times New Roman" w:hAnsi="Times New Roman" w:cs="Times New Roman"/>
                <w:b/>
                <w:bCs/>
                <w:sz w:val="20"/>
                <w:szCs w:val="20"/>
              </w:rPr>
              <w:t>3</w:t>
            </w:r>
          </w:p>
        </w:tc>
        <w:tc>
          <w:tcPr>
            <w:tcW w:w="2358" w:type="dxa"/>
          </w:tcPr>
          <w:p w:rsidR="005A01C1" w:rsidRPr="00017996" w:rsidRDefault="005A01C1" w:rsidP="009F7703">
            <w:pPr>
              <w:autoSpaceDE w:val="0"/>
              <w:autoSpaceDN w:val="0"/>
              <w:adjustRightInd w:val="0"/>
              <w:rPr>
                <w:rFonts w:ascii="Times New Roman" w:hAnsi="Times New Roman" w:cs="Times New Roman"/>
                <w:color w:val="000000"/>
                <w:sz w:val="18"/>
                <w:szCs w:val="18"/>
              </w:rPr>
            </w:pPr>
            <w:r w:rsidRPr="00017996">
              <w:rPr>
                <w:rFonts w:ascii="Times New Roman" w:hAnsi="Times New Roman" w:cs="Times New Roman"/>
                <w:color w:val="000000"/>
                <w:sz w:val="18"/>
                <w:szCs w:val="18"/>
              </w:rPr>
              <w:t xml:space="preserve">§ 1910.28(e)(3) -- Maintaining and Disclosing Drawings and Specifications of Outrigger Scaffolds Designed by a Registered Professional Engineer </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c>
          <w:tcPr>
            <w:tcW w:w="1368" w:type="dxa"/>
          </w:tcPr>
          <w:p w:rsidR="005A01C1" w:rsidRPr="005A01C1" w:rsidRDefault="005A01C1">
            <w:pPr>
              <w:rPr>
                <w:rFonts w:ascii="Times New Roman" w:hAnsi="Times New Roman" w:cs="Times New Roman"/>
                <w:bCs/>
                <w:sz w:val="20"/>
                <w:szCs w:val="20"/>
              </w:rPr>
            </w:pPr>
            <w:r w:rsidRPr="005A01C1">
              <w:rPr>
                <w:rFonts w:ascii="Times New Roman" w:hAnsi="Times New Roman" w:cs="Times New Roman"/>
                <w:bCs/>
                <w:sz w:val="20"/>
                <w:szCs w:val="20"/>
              </w:rPr>
              <w:t>0</w:t>
            </w:r>
          </w:p>
        </w:tc>
      </w:tr>
      <w:tr w:rsidR="005A01C1" w:rsidTr="00017996">
        <w:tc>
          <w:tcPr>
            <w:tcW w:w="378" w:type="dxa"/>
          </w:tcPr>
          <w:p w:rsidR="005A01C1" w:rsidRDefault="005A01C1">
            <w:pPr>
              <w:rPr>
                <w:rFonts w:ascii="Times New Roman" w:hAnsi="Times New Roman" w:cs="Times New Roman"/>
                <w:b/>
                <w:bCs/>
                <w:sz w:val="20"/>
                <w:szCs w:val="20"/>
              </w:rPr>
            </w:pPr>
          </w:p>
        </w:tc>
        <w:tc>
          <w:tcPr>
            <w:tcW w:w="2358" w:type="dxa"/>
          </w:tcPr>
          <w:p w:rsidR="005A01C1" w:rsidRDefault="005A01C1">
            <w:pPr>
              <w:rPr>
                <w:rFonts w:ascii="Times New Roman" w:hAnsi="Times New Roman" w:cs="Times New Roman"/>
                <w:b/>
                <w:bCs/>
                <w:sz w:val="20"/>
                <w:szCs w:val="20"/>
              </w:rPr>
            </w:pPr>
            <w:r>
              <w:rPr>
                <w:rFonts w:ascii="Times New Roman" w:hAnsi="Times New Roman" w:cs="Times New Roman"/>
                <w:b/>
                <w:bCs/>
                <w:sz w:val="20"/>
                <w:szCs w:val="20"/>
              </w:rPr>
              <w:t>Total</w:t>
            </w:r>
          </w:p>
        </w:tc>
        <w:tc>
          <w:tcPr>
            <w:tcW w:w="1368" w:type="dxa"/>
          </w:tcPr>
          <w:p w:rsidR="005A01C1" w:rsidRDefault="00FD3E0D">
            <w:pPr>
              <w:rPr>
                <w:rFonts w:ascii="Times New Roman" w:hAnsi="Times New Roman" w:cs="Times New Roman"/>
                <w:b/>
                <w:bCs/>
                <w:sz w:val="20"/>
                <w:szCs w:val="20"/>
              </w:rPr>
            </w:pPr>
            <w:r>
              <w:rPr>
                <w:rFonts w:ascii="Times New Roman" w:hAnsi="Times New Roman" w:cs="Times New Roman"/>
                <w:b/>
                <w:bCs/>
                <w:sz w:val="20"/>
                <w:szCs w:val="20"/>
              </w:rPr>
              <w:t>6,125</w:t>
            </w:r>
          </w:p>
        </w:tc>
        <w:tc>
          <w:tcPr>
            <w:tcW w:w="1368" w:type="dxa"/>
          </w:tcPr>
          <w:p w:rsidR="005A01C1" w:rsidRDefault="005A01C1">
            <w:pPr>
              <w:rPr>
                <w:rFonts w:ascii="Times New Roman" w:hAnsi="Times New Roman" w:cs="Times New Roman"/>
                <w:b/>
                <w:bCs/>
                <w:sz w:val="20"/>
                <w:szCs w:val="20"/>
              </w:rPr>
            </w:pPr>
            <w:r>
              <w:rPr>
                <w:rFonts w:ascii="Times New Roman" w:hAnsi="Times New Roman" w:cs="Times New Roman"/>
                <w:b/>
                <w:bCs/>
                <w:sz w:val="20"/>
                <w:szCs w:val="20"/>
              </w:rPr>
              <w:t>6,125</w:t>
            </w:r>
          </w:p>
        </w:tc>
        <w:tc>
          <w:tcPr>
            <w:tcW w:w="1368" w:type="dxa"/>
          </w:tcPr>
          <w:p w:rsidR="005A01C1" w:rsidRDefault="00FD3E0D">
            <w:pPr>
              <w:rPr>
                <w:rFonts w:ascii="Times New Roman" w:hAnsi="Times New Roman" w:cs="Times New Roman"/>
                <w:b/>
                <w:bCs/>
                <w:sz w:val="20"/>
                <w:szCs w:val="20"/>
              </w:rPr>
            </w:pPr>
            <w:r>
              <w:rPr>
                <w:rFonts w:ascii="Times New Roman" w:hAnsi="Times New Roman" w:cs="Times New Roman"/>
                <w:b/>
                <w:bCs/>
                <w:sz w:val="20"/>
                <w:szCs w:val="20"/>
              </w:rPr>
              <w:t>0</w:t>
            </w:r>
          </w:p>
        </w:tc>
        <w:tc>
          <w:tcPr>
            <w:tcW w:w="1368" w:type="dxa"/>
          </w:tcPr>
          <w:p w:rsidR="005A01C1" w:rsidRDefault="00D64514" w:rsidP="00016EB1">
            <w:pPr>
              <w:rPr>
                <w:rFonts w:ascii="Times New Roman" w:hAnsi="Times New Roman" w:cs="Times New Roman"/>
                <w:b/>
                <w:bCs/>
                <w:sz w:val="20"/>
                <w:szCs w:val="20"/>
              </w:rPr>
            </w:pPr>
            <w:r>
              <w:rPr>
                <w:rFonts w:ascii="Times New Roman" w:hAnsi="Times New Roman" w:cs="Times New Roman"/>
                <w:b/>
                <w:bCs/>
                <w:sz w:val="20"/>
                <w:szCs w:val="20"/>
              </w:rPr>
              <w:t>$</w:t>
            </w:r>
            <w:r w:rsidR="00016EB1">
              <w:rPr>
                <w:rFonts w:ascii="Times New Roman" w:hAnsi="Times New Roman" w:cs="Times New Roman"/>
                <w:b/>
                <w:bCs/>
                <w:sz w:val="20"/>
                <w:szCs w:val="20"/>
              </w:rPr>
              <w:t>121,398</w:t>
            </w:r>
          </w:p>
        </w:tc>
        <w:tc>
          <w:tcPr>
            <w:tcW w:w="1368" w:type="dxa"/>
          </w:tcPr>
          <w:p w:rsidR="005A01C1" w:rsidRDefault="005A01C1" w:rsidP="005A01C1">
            <w:pPr>
              <w:jc w:val="center"/>
              <w:rPr>
                <w:rFonts w:ascii="Times New Roman" w:hAnsi="Times New Roman" w:cs="Times New Roman"/>
                <w:b/>
                <w:bCs/>
                <w:sz w:val="20"/>
                <w:szCs w:val="20"/>
              </w:rPr>
            </w:pPr>
            <w:r>
              <w:rPr>
                <w:rFonts w:ascii="Times New Roman" w:hAnsi="Times New Roman" w:cs="Times New Roman"/>
                <w:b/>
                <w:bCs/>
                <w:sz w:val="20"/>
                <w:szCs w:val="20"/>
              </w:rPr>
              <w:t>75,408</w:t>
            </w:r>
          </w:p>
        </w:tc>
      </w:tr>
    </w:tbl>
    <w:p w:rsidR="00017996" w:rsidRDefault="00017996">
      <w:pPr>
        <w:rPr>
          <w:rFonts w:ascii="Times New Roman" w:hAnsi="Times New Roman" w:cs="Times New Roman"/>
          <w:b/>
          <w:bCs/>
          <w:sz w:val="20"/>
          <w:szCs w:val="20"/>
        </w:rPr>
      </w:pPr>
    </w:p>
    <w:sectPr w:rsidR="00017996" w:rsidSect="00017996">
      <w:headerReference w:type="default" r:id="rId9"/>
      <w:footerReference w:type="default" r:id="rId10"/>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E5" w:rsidRDefault="003C27E5" w:rsidP="005730F3">
      <w:pPr>
        <w:spacing w:after="0" w:line="240" w:lineRule="auto"/>
      </w:pPr>
      <w:r>
        <w:separator/>
      </w:r>
    </w:p>
  </w:endnote>
  <w:endnote w:type="continuationSeparator" w:id="0">
    <w:p w:rsidR="003C27E5" w:rsidRDefault="003C27E5" w:rsidP="0057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182184"/>
      <w:docPartObj>
        <w:docPartGallery w:val="Page Numbers (Bottom of Page)"/>
        <w:docPartUnique/>
      </w:docPartObj>
    </w:sdtPr>
    <w:sdtEndPr>
      <w:rPr>
        <w:noProof/>
      </w:rPr>
    </w:sdtEndPr>
    <w:sdtContent>
      <w:p w:rsidR="00FA270C" w:rsidRDefault="00FA270C">
        <w:pPr>
          <w:pStyle w:val="Footer"/>
          <w:jc w:val="center"/>
        </w:pPr>
        <w:r>
          <w:fldChar w:fldCharType="begin"/>
        </w:r>
        <w:r>
          <w:instrText xml:space="preserve"> PAGE   \* MERGEFORMAT </w:instrText>
        </w:r>
        <w:r>
          <w:fldChar w:fldCharType="separate"/>
        </w:r>
        <w:r w:rsidR="000252BA">
          <w:rPr>
            <w:noProof/>
          </w:rPr>
          <w:t>1</w:t>
        </w:r>
        <w:r>
          <w:rPr>
            <w:noProof/>
          </w:rPr>
          <w:fldChar w:fldCharType="end"/>
        </w:r>
      </w:p>
    </w:sdtContent>
  </w:sdt>
  <w:p w:rsidR="00FA270C" w:rsidRDefault="00FA2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E5" w:rsidRDefault="003C27E5" w:rsidP="005730F3">
      <w:pPr>
        <w:spacing w:after="0" w:line="240" w:lineRule="auto"/>
      </w:pPr>
      <w:r>
        <w:separator/>
      </w:r>
    </w:p>
  </w:footnote>
  <w:footnote w:type="continuationSeparator" w:id="0">
    <w:p w:rsidR="003C27E5" w:rsidRDefault="003C27E5" w:rsidP="005730F3">
      <w:pPr>
        <w:spacing w:after="0" w:line="240" w:lineRule="auto"/>
      </w:pPr>
      <w:r>
        <w:continuationSeparator/>
      </w:r>
    </w:p>
  </w:footnote>
  <w:footnote w:id="1">
    <w:p w:rsidR="00005ABD" w:rsidRPr="005730F3" w:rsidRDefault="00005ABD" w:rsidP="00005ABD">
      <w:pPr>
        <w:pStyle w:val="FootnoteText"/>
        <w:ind w:firstLine="720"/>
        <w:rPr>
          <w:rFonts w:ascii="Times New Roman" w:hAnsi="Times New Roman" w:cs="Times New Roman"/>
          <w:sz w:val="16"/>
          <w:szCs w:val="16"/>
        </w:rPr>
      </w:pPr>
      <w:r w:rsidRPr="00005ABD">
        <w:rPr>
          <w:rStyle w:val="FootnoteReference"/>
          <w:rFonts w:ascii="Times New Roman" w:hAnsi="Times New Roman" w:cs="Times New Roman"/>
          <w:sz w:val="22"/>
          <w:szCs w:val="22"/>
        </w:rPr>
        <w:footnoteRef/>
      </w:r>
      <w:r w:rsidRPr="005730F3">
        <w:rPr>
          <w:rFonts w:ascii="Times New Roman" w:hAnsi="Times New Roman" w:cs="Times New Roman"/>
          <w:sz w:val="16"/>
          <w:szCs w:val="16"/>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w:t>
      </w:r>
    </w:p>
    <w:p w:rsidR="00005ABD" w:rsidRDefault="00005ABD">
      <w:pPr>
        <w:pStyle w:val="FootnoteText"/>
      </w:pPr>
    </w:p>
  </w:footnote>
  <w:footnote w:id="2">
    <w:p w:rsidR="00ED12D8" w:rsidRDefault="00ED12D8" w:rsidP="00ED12D8">
      <w:pPr>
        <w:pStyle w:val="FootnoteText"/>
        <w:ind w:firstLine="720"/>
      </w:pPr>
      <w:r>
        <w:rPr>
          <w:rStyle w:val="FootnoteReference"/>
        </w:rPr>
        <w:footnoteRef/>
      </w:r>
      <w:r w:rsidRPr="00ED12D8">
        <w:rPr>
          <w:rFonts w:ascii="Times New Roman" w:hAnsi="Times New Roman" w:cs="Times New Roman"/>
        </w:rPr>
        <w:t xml:space="preserve">Technically, this is referred to as the “birth” rate of establishments. </w:t>
      </w:r>
      <w:r w:rsidRPr="00ED12D8">
        <w:rPr>
          <w:rFonts w:ascii="Times New Roman" w:hAnsi="Times New Roman" w:cs="Times New Roman"/>
          <w:i/>
          <w:iCs/>
        </w:rPr>
        <w:t xml:space="preserve">2005-2006 Statistics of U.S. Business </w:t>
      </w:r>
      <w:r w:rsidRPr="00ED12D8">
        <w:rPr>
          <w:rFonts w:ascii="Times New Roman" w:hAnsi="Times New Roman" w:cs="Times New Roman"/>
        </w:rPr>
        <w:t xml:space="preserve">dynamic data at </w:t>
      </w:r>
      <w:r w:rsidRPr="00ED12D8">
        <w:rPr>
          <w:rFonts w:ascii="Times New Roman" w:hAnsi="Times New Roman" w:cs="Times New Roman"/>
          <w:color w:val="0000FF"/>
          <w:u w:val="single"/>
        </w:rPr>
        <w:t>http://www.census.gov/csd/susbdyn.htm</w:t>
      </w:r>
      <w:r w:rsidRPr="00ED12D8">
        <w:rPr>
          <w:rFonts w:ascii="Times New Roman" w:hAnsi="Times New Roman" w:cs="Times New Roman"/>
        </w:rPr>
        <w:t xml:space="preserve">. </w:t>
      </w:r>
      <w:r>
        <w:t xml:space="preserve"> </w:t>
      </w:r>
    </w:p>
  </w:footnote>
  <w:footnote w:id="3">
    <w:p w:rsidR="001C12B1" w:rsidRPr="00904A00" w:rsidRDefault="00904A00" w:rsidP="00904A00">
      <w:pPr>
        <w:pStyle w:val="FootnoteText"/>
        <w:ind w:firstLine="720"/>
        <w:rPr>
          <w:rFonts w:ascii="Times New Roman" w:hAnsi="Times New Roman" w:cs="Times New Roman"/>
        </w:rPr>
      </w:pPr>
      <w:r>
        <w:rPr>
          <w:rStyle w:val="FootnoteReference"/>
        </w:rPr>
        <w:footnoteRef/>
      </w:r>
      <w:r>
        <w:t xml:space="preserve"> </w:t>
      </w:r>
      <w:r w:rsidRPr="00904A00">
        <w:rPr>
          <w:rFonts w:ascii="Times New Roman" w:hAnsi="Times New Roman" w:cs="Times New Roman"/>
        </w:rPr>
        <w:t xml:space="preserve">Source: </w:t>
      </w:r>
      <w:hyperlink r:id="rId1" w:anchor="51-0000" w:history="1">
        <w:r w:rsidR="001C12B1" w:rsidRPr="00A936A1">
          <w:rPr>
            <w:rStyle w:val="Hyperlink"/>
            <w:rFonts w:ascii="Times New Roman" w:hAnsi="Times New Roman" w:cs="Times New Roman"/>
          </w:rPr>
          <w:t>http://www.bls.gov/oes/current/oes_nat.htm#51-0000</w:t>
        </w:r>
      </w:hyperlink>
    </w:p>
  </w:footnote>
  <w:footnote w:id="4">
    <w:p w:rsidR="004B090C" w:rsidRDefault="004B090C" w:rsidP="004B090C">
      <w:pPr>
        <w:pStyle w:val="FootnoteText"/>
        <w:ind w:firstLine="720"/>
        <w:rPr>
          <w:rFonts w:ascii="Times New Roman" w:hAnsi="Times New Roman" w:cs="Times New Roman"/>
        </w:rPr>
      </w:pPr>
      <w:r w:rsidRPr="004B090C">
        <w:rPr>
          <w:rStyle w:val="FootnoteReference"/>
          <w:rFonts w:ascii="Times New Roman" w:hAnsi="Times New Roman" w:cs="Times New Roman"/>
        </w:rPr>
        <w:footnoteRef/>
      </w:r>
      <w:r w:rsidRPr="004B090C">
        <w:rPr>
          <w:rFonts w:ascii="Times New Roman" w:hAnsi="Times New Roman" w:cs="Times New Roman"/>
        </w:rPr>
        <w:t xml:space="preserve"> Source: </w:t>
      </w:r>
      <w:hyperlink r:id="rId2" w:history="1">
        <w:r w:rsidR="001C12B1" w:rsidRPr="00A936A1">
          <w:rPr>
            <w:rStyle w:val="Hyperlink"/>
            <w:rFonts w:ascii="Times New Roman" w:hAnsi="Times New Roman" w:cs="Times New Roman"/>
          </w:rPr>
          <w:t>http://www.bls.gov/news.release/pdf/ecec.pdf</w:t>
        </w:r>
      </w:hyperlink>
    </w:p>
    <w:p w:rsidR="001C12B1" w:rsidRPr="004B090C" w:rsidRDefault="001C12B1" w:rsidP="004B090C">
      <w:pPr>
        <w:pStyle w:val="FootnoteText"/>
        <w:ind w:firstLine="720"/>
        <w:rPr>
          <w:rFonts w:ascii="Times New Roman" w:hAnsi="Times New Roman" w:cs="Times New Roman"/>
        </w:rPr>
      </w:pPr>
    </w:p>
  </w:footnote>
  <w:footnote w:id="5">
    <w:p w:rsidR="00AB660F" w:rsidRPr="00B8237B" w:rsidRDefault="00AB660F" w:rsidP="00A50A73">
      <w:pPr>
        <w:pStyle w:val="Default"/>
        <w:tabs>
          <w:tab w:val="left" w:pos="0"/>
        </w:tabs>
        <w:ind w:left="90" w:firstLine="720"/>
        <w:rPr>
          <w:sz w:val="18"/>
          <w:szCs w:val="18"/>
        </w:rPr>
      </w:pPr>
      <w:r w:rsidRPr="00005ABD">
        <w:rPr>
          <w:rStyle w:val="FootnoteReference"/>
          <w:sz w:val="22"/>
          <w:szCs w:val="22"/>
        </w:rPr>
        <w:footnoteRef/>
      </w:r>
      <w:r w:rsidRPr="00801611">
        <w:rPr>
          <w:sz w:val="18"/>
          <w:szCs w:val="18"/>
        </w:rPr>
        <w:t xml:space="preserve">The Agency published a Notice of Proposed Rulemaking </w:t>
      </w:r>
      <w:r w:rsidR="00A50A73">
        <w:rPr>
          <w:sz w:val="18"/>
          <w:szCs w:val="18"/>
        </w:rPr>
        <w:t xml:space="preserve">in 2010 (75 FR 28862) proposing to remove this </w:t>
      </w:r>
      <w:r w:rsidRPr="00801611">
        <w:rPr>
          <w:sz w:val="18"/>
          <w:szCs w:val="18"/>
        </w:rPr>
        <w:t>provision.</w:t>
      </w:r>
      <w:r>
        <w:rPr>
          <w:sz w:val="18"/>
          <w:szCs w:val="18"/>
        </w:rPr>
        <w:tab/>
      </w:r>
      <w:r w:rsidRPr="00801611">
        <w:rPr>
          <w:sz w:val="18"/>
          <w:szCs w:val="18"/>
        </w:rPr>
        <w:t xml:space="preserve"> </w:t>
      </w:r>
    </w:p>
    <w:p w:rsidR="00AB660F" w:rsidRDefault="00AB660F" w:rsidP="00AB660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44" w:rsidRDefault="006F0244" w:rsidP="00E20091">
    <w:pPr>
      <w:pStyle w:val="Default"/>
      <w:rPr>
        <w:b/>
        <w:bCs/>
        <w:sz w:val="23"/>
        <w:szCs w:val="23"/>
      </w:rPr>
    </w:pPr>
    <w:r>
      <w:rPr>
        <w:b/>
        <w:bCs/>
        <w:sz w:val="23"/>
        <w:szCs w:val="23"/>
      </w:rPr>
      <w:t>WALKING-WORKING SURFACES (29 CFR PART 1910, SUBPART D)</w:t>
    </w:r>
  </w:p>
  <w:p w:rsidR="006F0244" w:rsidRDefault="006F0244" w:rsidP="00E20091">
    <w:pPr>
      <w:pStyle w:val="Default"/>
      <w:rPr>
        <w:b/>
        <w:bCs/>
        <w:sz w:val="23"/>
        <w:szCs w:val="23"/>
      </w:rPr>
    </w:pPr>
    <w:r>
      <w:rPr>
        <w:b/>
        <w:bCs/>
        <w:sz w:val="23"/>
        <w:szCs w:val="23"/>
      </w:rPr>
      <w:t>1218-0199</w:t>
    </w:r>
  </w:p>
  <w:p w:rsidR="006F0244" w:rsidRDefault="00977737" w:rsidP="00E20091">
    <w:pPr>
      <w:pStyle w:val="Default"/>
      <w:rPr>
        <w:b/>
        <w:bCs/>
        <w:sz w:val="23"/>
        <w:szCs w:val="23"/>
      </w:rPr>
    </w:pPr>
    <w:r>
      <w:rPr>
        <w:b/>
        <w:bCs/>
        <w:sz w:val="23"/>
        <w:szCs w:val="23"/>
      </w:rPr>
      <w:t>June</w:t>
    </w:r>
    <w:r w:rsidR="006F0244">
      <w:rPr>
        <w:b/>
        <w:bCs/>
        <w:sz w:val="23"/>
        <w:szCs w:val="23"/>
      </w:rPr>
      <w:t xml:space="preserve"> 2016</w:t>
    </w:r>
  </w:p>
  <w:p w:rsidR="002B62AB" w:rsidRDefault="002B6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7BCD"/>
    <w:multiLevelType w:val="hybridMultilevel"/>
    <w:tmpl w:val="10722E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D27E6"/>
    <w:multiLevelType w:val="hybridMultilevel"/>
    <w:tmpl w:val="82A0BC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F6B7D"/>
    <w:multiLevelType w:val="hybridMultilevel"/>
    <w:tmpl w:val="820A4B6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D37AC"/>
    <w:multiLevelType w:val="hybridMultilevel"/>
    <w:tmpl w:val="0F22F73A"/>
    <w:lvl w:ilvl="0" w:tplc="EBE421AC">
      <w:start w:val="1"/>
      <w:numFmt w:val="upperLetter"/>
      <w:lvlText w:val="(%1)"/>
      <w:lvlJc w:val="left"/>
      <w:pPr>
        <w:ind w:left="118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B64AB"/>
    <w:multiLevelType w:val="hybridMultilevel"/>
    <w:tmpl w:val="F798235E"/>
    <w:lvl w:ilvl="0" w:tplc="4F527AE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43434"/>
    <w:multiLevelType w:val="hybridMultilevel"/>
    <w:tmpl w:val="B69032C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51529"/>
    <w:multiLevelType w:val="hybridMultilevel"/>
    <w:tmpl w:val="798AFF8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96284"/>
    <w:multiLevelType w:val="hybridMultilevel"/>
    <w:tmpl w:val="B6D48F2A"/>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C2535"/>
    <w:multiLevelType w:val="hybridMultilevel"/>
    <w:tmpl w:val="A5A2B70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CB4E5A"/>
    <w:multiLevelType w:val="hybridMultilevel"/>
    <w:tmpl w:val="E0FEF2AA"/>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090DFA"/>
    <w:multiLevelType w:val="hybridMultilevel"/>
    <w:tmpl w:val="228E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D0451"/>
    <w:multiLevelType w:val="hybridMultilevel"/>
    <w:tmpl w:val="06C40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A935278"/>
    <w:multiLevelType w:val="hybridMultilevel"/>
    <w:tmpl w:val="B0E02AD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444B7"/>
    <w:multiLevelType w:val="hybridMultilevel"/>
    <w:tmpl w:val="A252C53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1"/>
  </w:num>
  <w:num w:numId="5">
    <w:abstractNumId w:val="7"/>
  </w:num>
  <w:num w:numId="6">
    <w:abstractNumId w:val="6"/>
  </w:num>
  <w:num w:numId="7">
    <w:abstractNumId w:val="12"/>
  </w:num>
  <w:num w:numId="8">
    <w:abstractNumId w:val="13"/>
  </w:num>
  <w:num w:numId="9">
    <w:abstractNumId w:val="5"/>
  </w:num>
  <w:num w:numId="10">
    <w:abstractNumId w:val="8"/>
  </w:num>
  <w:num w:numId="11">
    <w:abstractNumId w:val="9"/>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3D"/>
    <w:rsid w:val="00005ABD"/>
    <w:rsid w:val="000104D0"/>
    <w:rsid w:val="00011229"/>
    <w:rsid w:val="00015CA2"/>
    <w:rsid w:val="00016EB1"/>
    <w:rsid w:val="00017996"/>
    <w:rsid w:val="00021B8C"/>
    <w:rsid w:val="000252BA"/>
    <w:rsid w:val="0003602C"/>
    <w:rsid w:val="000370ED"/>
    <w:rsid w:val="00053854"/>
    <w:rsid w:val="00060AD6"/>
    <w:rsid w:val="0006531E"/>
    <w:rsid w:val="00074433"/>
    <w:rsid w:val="00086DB6"/>
    <w:rsid w:val="00091F5A"/>
    <w:rsid w:val="00094B9B"/>
    <w:rsid w:val="000A697A"/>
    <w:rsid w:val="000B50D7"/>
    <w:rsid w:val="000D5E6A"/>
    <w:rsid w:val="000F7698"/>
    <w:rsid w:val="00102006"/>
    <w:rsid w:val="00104880"/>
    <w:rsid w:val="00125272"/>
    <w:rsid w:val="0013348E"/>
    <w:rsid w:val="00140F73"/>
    <w:rsid w:val="00150EAD"/>
    <w:rsid w:val="00165518"/>
    <w:rsid w:val="00173026"/>
    <w:rsid w:val="001A442C"/>
    <w:rsid w:val="001C12B1"/>
    <w:rsid w:val="002228BA"/>
    <w:rsid w:val="00230613"/>
    <w:rsid w:val="00231957"/>
    <w:rsid w:val="00276C0A"/>
    <w:rsid w:val="00277FBB"/>
    <w:rsid w:val="00293336"/>
    <w:rsid w:val="002B2699"/>
    <w:rsid w:val="002B62AB"/>
    <w:rsid w:val="002C2B74"/>
    <w:rsid w:val="002C2FB8"/>
    <w:rsid w:val="002E70FF"/>
    <w:rsid w:val="002F2B3F"/>
    <w:rsid w:val="003161EE"/>
    <w:rsid w:val="003207AA"/>
    <w:rsid w:val="0033440B"/>
    <w:rsid w:val="00346913"/>
    <w:rsid w:val="00350BB3"/>
    <w:rsid w:val="003628C3"/>
    <w:rsid w:val="003655A7"/>
    <w:rsid w:val="003664F4"/>
    <w:rsid w:val="00392A74"/>
    <w:rsid w:val="003A3871"/>
    <w:rsid w:val="003B7BC5"/>
    <w:rsid w:val="003C27E5"/>
    <w:rsid w:val="003D20F3"/>
    <w:rsid w:val="004035BD"/>
    <w:rsid w:val="004226B3"/>
    <w:rsid w:val="00424F31"/>
    <w:rsid w:val="004777B6"/>
    <w:rsid w:val="004935EA"/>
    <w:rsid w:val="00495A65"/>
    <w:rsid w:val="004A0152"/>
    <w:rsid w:val="004A2738"/>
    <w:rsid w:val="004B090C"/>
    <w:rsid w:val="004D0A66"/>
    <w:rsid w:val="004E65F2"/>
    <w:rsid w:val="004F4265"/>
    <w:rsid w:val="005045DF"/>
    <w:rsid w:val="00505C1A"/>
    <w:rsid w:val="00517276"/>
    <w:rsid w:val="00524823"/>
    <w:rsid w:val="00525854"/>
    <w:rsid w:val="00557E70"/>
    <w:rsid w:val="005730F3"/>
    <w:rsid w:val="00595848"/>
    <w:rsid w:val="00595C9D"/>
    <w:rsid w:val="005A01C1"/>
    <w:rsid w:val="005B05B4"/>
    <w:rsid w:val="005B341E"/>
    <w:rsid w:val="005C7EF6"/>
    <w:rsid w:val="005E24BF"/>
    <w:rsid w:val="006135E8"/>
    <w:rsid w:val="00624A78"/>
    <w:rsid w:val="0062632D"/>
    <w:rsid w:val="006279AA"/>
    <w:rsid w:val="00632484"/>
    <w:rsid w:val="006540F9"/>
    <w:rsid w:val="006839F2"/>
    <w:rsid w:val="00683FC2"/>
    <w:rsid w:val="006854A7"/>
    <w:rsid w:val="00693096"/>
    <w:rsid w:val="00695048"/>
    <w:rsid w:val="006B66E5"/>
    <w:rsid w:val="006C5C5D"/>
    <w:rsid w:val="006C78C2"/>
    <w:rsid w:val="006D66E7"/>
    <w:rsid w:val="006E4B90"/>
    <w:rsid w:val="006F0244"/>
    <w:rsid w:val="00710208"/>
    <w:rsid w:val="00735A5D"/>
    <w:rsid w:val="00747308"/>
    <w:rsid w:val="007636A3"/>
    <w:rsid w:val="00771EF2"/>
    <w:rsid w:val="00773BAD"/>
    <w:rsid w:val="007825CD"/>
    <w:rsid w:val="007A611B"/>
    <w:rsid w:val="007C0779"/>
    <w:rsid w:val="00801611"/>
    <w:rsid w:val="00812406"/>
    <w:rsid w:val="00822355"/>
    <w:rsid w:val="008270CA"/>
    <w:rsid w:val="0083200B"/>
    <w:rsid w:val="00841997"/>
    <w:rsid w:val="0086154D"/>
    <w:rsid w:val="00871E7F"/>
    <w:rsid w:val="00873E83"/>
    <w:rsid w:val="008A29BB"/>
    <w:rsid w:val="008A4FAB"/>
    <w:rsid w:val="008E2DB9"/>
    <w:rsid w:val="008E4877"/>
    <w:rsid w:val="0090121F"/>
    <w:rsid w:val="00904A00"/>
    <w:rsid w:val="0090573D"/>
    <w:rsid w:val="0090648E"/>
    <w:rsid w:val="00954207"/>
    <w:rsid w:val="00972D65"/>
    <w:rsid w:val="009747A0"/>
    <w:rsid w:val="00975F92"/>
    <w:rsid w:val="00977737"/>
    <w:rsid w:val="009826E3"/>
    <w:rsid w:val="00984981"/>
    <w:rsid w:val="009A5162"/>
    <w:rsid w:val="009B6D08"/>
    <w:rsid w:val="009B6F94"/>
    <w:rsid w:val="009E1841"/>
    <w:rsid w:val="00A12F95"/>
    <w:rsid w:val="00A2010E"/>
    <w:rsid w:val="00A27442"/>
    <w:rsid w:val="00A50A73"/>
    <w:rsid w:val="00A738D9"/>
    <w:rsid w:val="00A82C8D"/>
    <w:rsid w:val="00AA2AA0"/>
    <w:rsid w:val="00AB660F"/>
    <w:rsid w:val="00B06CF9"/>
    <w:rsid w:val="00B10297"/>
    <w:rsid w:val="00B1214C"/>
    <w:rsid w:val="00B13A4F"/>
    <w:rsid w:val="00B24636"/>
    <w:rsid w:val="00B32BAD"/>
    <w:rsid w:val="00B37F0E"/>
    <w:rsid w:val="00B4138C"/>
    <w:rsid w:val="00B52A10"/>
    <w:rsid w:val="00B57079"/>
    <w:rsid w:val="00B67CAC"/>
    <w:rsid w:val="00B75B83"/>
    <w:rsid w:val="00B8237B"/>
    <w:rsid w:val="00B95BD3"/>
    <w:rsid w:val="00BA1A58"/>
    <w:rsid w:val="00BC00AA"/>
    <w:rsid w:val="00BD6B4F"/>
    <w:rsid w:val="00BE3324"/>
    <w:rsid w:val="00BE687D"/>
    <w:rsid w:val="00BF6BA6"/>
    <w:rsid w:val="00C12241"/>
    <w:rsid w:val="00C316A7"/>
    <w:rsid w:val="00C34C7B"/>
    <w:rsid w:val="00C47A4A"/>
    <w:rsid w:val="00C65039"/>
    <w:rsid w:val="00C77EDF"/>
    <w:rsid w:val="00C9450B"/>
    <w:rsid w:val="00CA5395"/>
    <w:rsid w:val="00CC3ACB"/>
    <w:rsid w:val="00CC57E5"/>
    <w:rsid w:val="00CD6E4A"/>
    <w:rsid w:val="00D04F70"/>
    <w:rsid w:val="00D63986"/>
    <w:rsid w:val="00D64514"/>
    <w:rsid w:val="00D657A9"/>
    <w:rsid w:val="00D80EC5"/>
    <w:rsid w:val="00D85513"/>
    <w:rsid w:val="00DA5DCF"/>
    <w:rsid w:val="00DB7096"/>
    <w:rsid w:val="00DD6E1B"/>
    <w:rsid w:val="00E20091"/>
    <w:rsid w:val="00E66AD5"/>
    <w:rsid w:val="00E7330B"/>
    <w:rsid w:val="00E810A8"/>
    <w:rsid w:val="00E83A14"/>
    <w:rsid w:val="00E84EEC"/>
    <w:rsid w:val="00E90A93"/>
    <w:rsid w:val="00E95ACF"/>
    <w:rsid w:val="00EA6186"/>
    <w:rsid w:val="00EC7AB4"/>
    <w:rsid w:val="00ED12D8"/>
    <w:rsid w:val="00EE5211"/>
    <w:rsid w:val="00F01FBD"/>
    <w:rsid w:val="00F24A29"/>
    <w:rsid w:val="00F35569"/>
    <w:rsid w:val="00F54E28"/>
    <w:rsid w:val="00F602D3"/>
    <w:rsid w:val="00F70ACB"/>
    <w:rsid w:val="00F834BF"/>
    <w:rsid w:val="00FA270C"/>
    <w:rsid w:val="00FA73D2"/>
    <w:rsid w:val="00FB179C"/>
    <w:rsid w:val="00FD3E0D"/>
    <w:rsid w:val="00FF09B0"/>
    <w:rsid w:val="00FF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73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4636"/>
    <w:pPr>
      <w:ind w:left="720"/>
      <w:contextualSpacing/>
    </w:pPr>
  </w:style>
  <w:style w:type="paragraph" w:styleId="BalloonText">
    <w:name w:val="Balloon Text"/>
    <w:basedOn w:val="Normal"/>
    <w:link w:val="BalloonTextChar"/>
    <w:uiPriority w:val="99"/>
    <w:semiHidden/>
    <w:unhideWhenUsed/>
    <w:rsid w:val="00747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308"/>
    <w:rPr>
      <w:rFonts w:ascii="Tahoma" w:hAnsi="Tahoma" w:cs="Tahoma"/>
      <w:sz w:val="16"/>
      <w:szCs w:val="16"/>
    </w:rPr>
  </w:style>
  <w:style w:type="paragraph" w:styleId="FootnoteText">
    <w:name w:val="footnote text"/>
    <w:basedOn w:val="Normal"/>
    <w:link w:val="FootnoteTextChar"/>
    <w:uiPriority w:val="99"/>
    <w:semiHidden/>
    <w:unhideWhenUsed/>
    <w:rsid w:val="00573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0F3"/>
    <w:rPr>
      <w:sz w:val="20"/>
      <w:szCs w:val="20"/>
    </w:rPr>
  </w:style>
  <w:style w:type="character" w:styleId="FootnoteReference">
    <w:name w:val="footnote reference"/>
    <w:basedOn w:val="DefaultParagraphFont"/>
    <w:uiPriority w:val="99"/>
    <w:semiHidden/>
    <w:unhideWhenUsed/>
    <w:rsid w:val="005730F3"/>
    <w:rPr>
      <w:vertAlign w:val="superscript"/>
    </w:rPr>
  </w:style>
  <w:style w:type="paragraph" w:styleId="Header">
    <w:name w:val="header"/>
    <w:basedOn w:val="Normal"/>
    <w:link w:val="HeaderChar"/>
    <w:uiPriority w:val="99"/>
    <w:unhideWhenUsed/>
    <w:rsid w:val="00FA2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70C"/>
  </w:style>
  <w:style w:type="paragraph" w:styleId="Footer">
    <w:name w:val="footer"/>
    <w:basedOn w:val="Normal"/>
    <w:link w:val="FooterChar"/>
    <w:uiPriority w:val="99"/>
    <w:unhideWhenUsed/>
    <w:rsid w:val="00FA2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70C"/>
  </w:style>
  <w:style w:type="table" w:styleId="TableGrid">
    <w:name w:val="Table Grid"/>
    <w:basedOn w:val="TableNormal"/>
    <w:uiPriority w:val="59"/>
    <w:rsid w:val="0001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05A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ABD"/>
    <w:rPr>
      <w:sz w:val="20"/>
      <w:szCs w:val="20"/>
    </w:rPr>
  </w:style>
  <w:style w:type="character" w:styleId="EndnoteReference">
    <w:name w:val="endnote reference"/>
    <w:basedOn w:val="DefaultParagraphFont"/>
    <w:uiPriority w:val="99"/>
    <w:semiHidden/>
    <w:unhideWhenUsed/>
    <w:rsid w:val="00005ABD"/>
    <w:rPr>
      <w:vertAlign w:val="superscript"/>
    </w:rPr>
  </w:style>
  <w:style w:type="character" w:styleId="Hyperlink">
    <w:name w:val="Hyperlink"/>
    <w:basedOn w:val="DefaultParagraphFont"/>
    <w:uiPriority w:val="99"/>
    <w:unhideWhenUsed/>
    <w:rsid w:val="00ED12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573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24636"/>
    <w:pPr>
      <w:ind w:left="720"/>
      <w:contextualSpacing/>
    </w:pPr>
  </w:style>
  <w:style w:type="paragraph" w:styleId="BalloonText">
    <w:name w:val="Balloon Text"/>
    <w:basedOn w:val="Normal"/>
    <w:link w:val="BalloonTextChar"/>
    <w:uiPriority w:val="99"/>
    <w:semiHidden/>
    <w:unhideWhenUsed/>
    <w:rsid w:val="00747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308"/>
    <w:rPr>
      <w:rFonts w:ascii="Tahoma" w:hAnsi="Tahoma" w:cs="Tahoma"/>
      <w:sz w:val="16"/>
      <w:szCs w:val="16"/>
    </w:rPr>
  </w:style>
  <w:style w:type="paragraph" w:styleId="FootnoteText">
    <w:name w:val="footnote text"/>
    <w:basedOn w:val="Normal"/>
    <w:link w:val="FootnoteTextChar"/>
    <w:uiPriority w:val="99"/>
    <w:semiHidden/>
    <w:unhideWhenUsed/>
    <w:rsid w:val="005730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0F3"/>
    <w:rPr>
      <w:sz w:val="20"/>
      <w:szCs w:val="20"/>
    </w:rPr>
  </w:style>
  <w:style w:type="character" w:styleId="FootnoteReference">
    <w:name w:val="footnote reference"/>
    <w:basedOn w:val="DefaultParagraphFont"/>
    <w:uiPriority w:val="99"/>
    <w:semiHidden/>
    <w:unhideWhenUsed/>
    <w:rsid w:val="005730F3"/>
    <w:rPr>
      <w:vertAlign w:val="superscript"/>
    </w:rPr>
  </w:style>
  <w:style w:type="paragraph" w:styleId="Header">
    <w:name w:val="header"/>
    <w:basedOn w:val="Normal"/>
    <w:link w:val="HeaderChar"/>
    <w:uiPriority w:val="99"/>
    <w:unhideWhenUsed/>
    <w:rsid w:val="00FA2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70C"/>
  </w:style>
  <w:style w:type="paragraph" w:styleId="Footer">
    <w:name w:val="footer"/>
    <w:basedOn w:val="Normal"/>
    <w:link w:val="FooterChar"/>
    <w:uiPriority w:val="99"/>
    <w:unhideWhenUsed/>
    <w:rsid w:val="00FA2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70C"/>
  </w:style>
  <w:style w:type="table" w:styleId="TableGrid">
    <w:name w:val="Table Grid"/>
    <w:basedOn w:val="TableNormal"/>
    <w:uiPriority w:val="59"/>
    <w:rsid w:val="0001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05A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ABD"/>
    <w:rPr>
      <w:sz w:val="20"/>
      <w:szCs w:val="20"/>
    </w:rPr>
  </w:style>
  <w:style w:type="character" w:styleId="EndnoteReference">
    <w:name w:val="endnote reference"/>
    <w:basedOn w:val="DefaultParagraphFont"/>
    <w:uiPriority w:val="99"/>
    <w:semiHidden/>
    <w:unhideWhenUsed/>
    <w:rsid w:val="00005ABD"/>
    <w:rPr>
      <w:vertAlign w:val="superscript"/>
    </w:rPr>
  </w:style>
  <w:style w:type="character" w:styleId="Hyperlink">
    <w:name w:val="Hyperlink"/>
    <w:basedOn w:val="DefaultParagraphFont"/>
    <w:uiPriority w:val="99"/>
    <w:unhideWhenUsed/>
    <w:rsid w:val="00ED12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4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pdf/ecec.pdf"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AA8A-0D53-4996-93D5-14AA647C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Showalter, Rachel - OSHA</cp:lastModifiedBy>
  <cp:revision>2</cp:revision>
  <cp:lastPrinted>2016-02-03T14:21:00Z</cp:lastPrinted>
  <dcterms:created xsi:type="dcterms:W3CDTF">2016-06-09T17:24:00Z</dcterms:created>
  <dcterms:modified xsi:type="dcterms:W3CDTF">2016-06-09T17:24:00Z</dcterms:modified>
</cp:coreProperties>
</file>