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8A196" w14:textId="77777777" w:rsidR="000B03FF" w:rsidRPr="00C42683" w:rsidRDefault="000B03FF" w:rsidP="000B03FF">
      <w:pPr>
        <w:jc w:val="center"/>
        <w:rPr>
          <w:rFonts w:ascii="Arial" w:hAnsi="Arial" w:cs="Arial"/>
        </w:rPr>
      </w:pPr>
      <w:bookmarkStart w:id="0" w:name="_GoBack"/>
      <w:bookmarkEnd w:id="0"/>
      <w:r w:rsidRPr="00C42683">
        <w:rPr>
          <w:rFonts w:ascii="Arial" w:hAnsi="Arial" w:cs="Arial"/>
        </w:rPr>
        <w:t>NOTE TO REVIEWER</w:t>
      </w:r>
    </w:p>
    <w:p w14:paraId="5AD547E7" w14:textId="77777777" w:rsidR="000B03FF" w:rsidRPr="00C42683" w:rsidRDefault="000B03FF" w:rsidP="000B03FF">
      <w:pPr>
        <w:jc w:val="center"/>
        <w:rPr>
          <w:rFonts w:ascii="Arial" w:hAnsi="Arial" w:cs="Arial"/>
        </w:rPr>
      </w:pPr>
    </w:p>
    <w:p w14:paraId="678D4939" w14:textId="77777777" w:rsidR="001A60B5" w:rsidRPr="001A60B5" w:rsidRDefault="001A60B5" w:rsidP="001A60B5">
      <w:pPr>
        <w:widowControl/>
        <w:tabs>
          <w:tab w:val="left" w:pos="360"/>
          <w:tab w:val="left" w:pos="720"/>
        </w:tabs>
        <w:ind w:left="360"/>
        <w:rPr>
          <w:rFonts w:ascii="Arial" w:hAnsi="Arial" w:cs="Arial"/>
          <w:color w:val="000000"/>
        </w:rPr>
      </w:pPr>
    </w:p>
    <w:p w14:paraId="55F03592" w14:textId="7A189915" w:rsidR="001A60B5" w:rsidRDefault="001A60B5" w:rsidP="001A60B5">
      <w:pPr>
        <w:widowControl/>
        <w:tabs>
          <w:tab w:val="left" w:pos="360"/>
          <w:tab w:val="left" w:pos="720"/>
        </w:tabs>
        <w:ind w:left="360"/>
        <w:rPr>
          <w:rFonts w:ascii="Arial" w:hAnsi="Arial" w:cs="Arial"/>
          <w:color w:val="000000"/>
        </w:rPr>
      </w:pPr>
      <w:r w:rsidRPr="00642495">
        <w:rPr>
          <w:rFonts w:ascii="Arial" w:eastAsia="Arial" w:hAnsi="Arial" w:cs="Arial"/>
          <w:color w:val="000000"/>
        </w:rPr>
        <w:t xml:space="preserve">With the </w:t>
      </w:r>
      <w:r w:rsidR="00234082" w:rsidRPr="00642495">
        <w:rPr>
          <w:rFonts w:ascii="Arial" w:eastAsia="Arial" w:hAnsi="Arial" w:cs="Arial"/>
          <w:color w:val="000000"/>
        </w:rPr>
        <w:t xml:space="preserve">next </w:t>
      </w:r>
      <w:r w:rsidRPr="00642495">
        <w:rPr>
          <w:rFonts w:ascii="Arial" w:eastAsia="Arial" w:hAnsi="Arial" w:cs="Arial"/>
          <w:color w:val="000000"/>
        </w:rPr>
        <w:t xml:space="preserve">renewal of OMB No. 1219-0066, </w:t>
      </w:r>
      <w:r w:rsidR="647F657B" w:rsidRPr="00642495">
        <w:rPr>
          <w:rFonts w:ascii="Arial" w:eastAsia="Arial" w:hAnsi="Arial" w:cs="Arial"/>
          <w:color w:val="000000"/>
        </w:rPr>
        <w:t>a ma</w:t>
      </w:r>
      <w:r w:rsidR="636404A6" w:rsidRPr="00642495">
        <w:rPr>
          <w:rFonts w:ascii="Arial" w:eastAsia="Arial" w:hAnsi="Arial" w:cs="Arial"/>
          <w:color w:val="000000" w:themeColor="text1"/>
        </w:rPr>
        <w:t xml:space="preserve">terial change request </w:t>
      </w:r>
      <w:r w:rsidR="00991D67" w:rsidRPr="00642495">
        <w:rPr>
          <w:rFonts w:ascii="Arial" w:eastAsia="Arial" w:hAnsi="Arial" w:cs="Arial"/>
          <w:color w:val="000000"/>
        </w:rPr>
        <w:t>will be submitted to transfer the Information Collection (IC) requirements of OMB No. 1219-0147</w:t>
      </w:r>
      <w:r w:rsidR="00962085" w:rsidRPr="00642495">
        <w:rPr>
          <w:rFonts w:ascii="Arial" w:eastAsia="Arial" w:hAnsi="Arial" w:cs="Arial"/>
          <w:color w:val="000000"/>
        </w:rPr>
        <w:t>.</w:t>
      </w:r>
      <w:r w:rsidR="00991D67" w:rsidRPr="00642495">
        <w:rPr>
          <w:rFonts w:ascii="Arial" w:eastAsia="Arial" w:hAnsi="Arial" w:cs="Arial"/>
          <w:color w:val="000000"/>
        </w:rPr>
        <w:t xml:space="preserve"> </w:t>
      </w:r>
      <w:r w:rsidR="00962085" w:rsidRPr="00642495">
        <w:rPr>
          <w:rFonts w:ascii="Arial" w:eastAsia="Arial" w:hAnsi="Arial" w:cs="Arial"/>
          <w:color w:val="000000"/>
        </w:rPr>
        <w:t>O</w:t>
      </w:r>
      <w:r w:rsidR="004A0E57" w:rsidRPr="00642495">
        <w:rPr>
          <w:rFonts w:ascii="Arial" w:eastAsia="Arial" w:hAnsi="Arial" w:cs="Arial"/>
          <w:color w:val="000000"/>
        </w:rPr>
        <w:t>nce</w:t>
      </w:r>
      <w:r w:rsidR="00991D67" w:rsidRPr="00642495">
        <w:rPr>
          <w:rFonts w:ascii="Arial" w:eastAsia="Arial" w:hAnsi="Arial" w:cs="Arial"/>
          <w:color w:val="000000"/>
        </w:rPr>
        <w:t xml:space="preserve"> OMB No. 1219-0066 is approved</w:t>
      </w:r>
      <w:r w:rsidR="004A0E57" w:rsidRPr="00642495">
        <w:rPr>
          <w:rFonts w:ascii="Arial" w:eastAsia="Arial" w:hAnsi="Arial" w:cs="Arial"/>
          <w:color w:val="000000"/>
        </w:rPr>
        <w:t>,</w:t>
      </w:r>
      <w:r w:rsidR="00991D67" w:rsidRPr="00642495">
        <w:rPr>
          <w:rFonts w:ascii="Arial" w:eastAsia="Arial" w:hAnsi="Arial" w:cs="Arial"/>
          <w:color w:val="000000"/>
        </w:rPr>
        <w:t xml:space="preserve"> a discontinuance for OMB No. 1219-0147 will be submitted.</w:t>
      </w:r>
      <w:r w:rsidRPr="00642495">
        <w:rPr>
          <w:rFonts w:ascii="Arial" w:eastAsia="Arial" w:hAnsi="Arial" w:cs="Arial"/>
          <w:color w:val="000000"/>
        </w:rPr>
        <w:t xml:space="preserve"> </w:t>
      </w:r>
    </w:p>
    <w:p w14:paraId="4408305A" w14:textId="77777777" w:rsidR="001A60B5" w:rsidRDefault="001A60B5" w:rsidP="000B03FF">
      <w:pPr>
        <w:widowControl/>
        <w:tabs>
          <w:tab w:val="left" w:pos="360"/>
          <w:tab w:val="left" w:pos="720"/>
        </w:tabs>
        <w:ind w:left="360"/>
        <w:rPr>
          <w:rFonts w:ascii="Arial" w:hAnsi="Arial" w:cs="Arial"/>
          <w:color w:val="000000"/>
        </w:rPr>
      </w:pPr>
    </w:p>
    <w:p w14:paraId="46D63895" w14:textId="77777777" w:rsidR="000B03FF" w:rsidRDefault="000B03FF" w:rsidP="000B03FF">
      <w:pPr>
        <w:rPr>
          <w:rFonts w:ascii="Arial" w:hAnsi="Arial" w:cs="Arial"/>
        </w:rPr>
      </w:pPr>
    </w:p>
    <w:p w14:paraId="0E2BF3A6" w14:textId="77777777" w:rsidR="000B03FF" w:rsidRDefault="000B03FF">
      <w:pPr>
        <w:widowControl/>
        <w:autoSpaceDE/>
        <w:autoSpaceDN/>
        <w:adjustRightInd/>
        <w:rPr>
          <w:rFonts w:ascii="Arial" w:hAnsi="Arial" w:cs="Arial"/>
        </w:rPr>
      </w:pPr>
      <w:r>
        <w:rPr>
          <w:rFonts w:ascii="Arial" w:hAnsi="Arial" w:cs="Arial"/>
        </w:rPr>
        <w:br w:type="page"/>
      </w:r>
    </w:p>
    <w:p w14:paraId="5E012DED" w14:textId="77777777" w:rsidR="003A4BB1" w:rsidRDefault="003A4BB1" w:rsidP="001416FE">
      <w:pPr>
        <w:pStyle w:val="BodyText12pt"/>
        <w:spacing w:after="120"/>
        <w:jc w:val="center"/>
        <w:outlineLvl w:val="0"/>
        <w:rPr>
          <w:b/>
          <w:sz w:val="28"/>
          <w:szCs w:val="28"/>
        </w:rPr>
      </w:pPr>
      <w:r>
        <w:rPr>
          <w:b/>
          <w:sz w:val="28"/>
          <w:szCs w:val="28"/>
        </w:rPr>
        <w:lastRenderedPageBreak/>
        <w:tab/>
      </w:r>
      <w:r>
        <w:rPr>
          <w:b/>
          <w:sz w:val="28"/>
          <w:szCs w:val="28"/>
        </w:rPr>
        <w:tab/>
      </w:r>
      <w:r>
        <w:rPr>
          <w:b/>
          <w:sz w:val="28"/>
          <w:szCs w:val="28"/>
        </w:rPr>
        <w:tab/>
      </w:r>
      <w:r>
        <w:rPr>
          <w:b/>
          <w:sz w:val="28"/>
          <w:szCs w:val="28"/>
        </w:rPr>
        <w:tab/>
      </w:r>
      <w:r>
        <w:rPr>
          <w:b/>
          <w:sz w:val="28"/>
          <w:szCs w:val="28"/>
        </w:rPr>
        <w:tab/>
      </w:r>
    </w:p>
    <w:p w14:paraId="61384DA7" w14:textId="77777777" w:rsidR="003A4BB1" w:rsidRDefault="003A4BB1" w:rsidP="001416FE">
      <w:pPr>
        <w:pStyle w:val="BodyText12pt"/>
        <w:spacing w:after="120"/>
        <w:jc w:val="center"/>
        <w:outlineLvl w:val="0"/>
        <w:rPr>
          <w:b/>
          <w:sz w:val="28"/>
          <w:szCs w:val="28"/>
        </w:rPr>
      </w:pPr>
    </w:p>
    <w:p w14:paraId="62299042" w14:textId="77777777" w:rsidR="003A4BB1" w:rsidRPr="009B4F48" w:rsidRDefault="003A4BB1" w:rsidP="001416FE">
      <w:pPr>
        <w:pStyle w:val="BodyText12pt"/>
        <w:spacing w:after="120"/>
        <w:jc w:val="center"/>
        <w:outlineLvl w:val="0"/>
        <w:rPr>
          <w:rFonts w:ascii="Arial" w:hAnsi="Arial" w:cs="Arial"/>
          <w:b/>
          <w:szCs w:val="24"/>
        </w:rPr>
      </w:pPr>
      <w:r>
        <w:rPr>
          <w:b/>
          <w:sz w:val="28"/>
          <w:szCs w:val="28"/>
        </w:rPr>
        <w:tab/>
      </w:r>
      <w:r>
        <w:rPr>
          <w:b/>
          <w:sz w:val="28"/>
          <w:szCs w:val="28"/>
        </w:rPr>
        <w:tab/>
      </w:r>
      <w:r>
        <w:rPr>
          <w:b/>
          <w:sz w:val="28"/>
          <w:szCs w:val="28"/>
        </w:rPr>
        <w:tab/>
      </w:r>
      <w:r w:rsidRPr="009B4F48">
        <w:rPr>
          <w:rFonts w:ascii="Arial" w:hAnsi="Arial" w:cs="Arial"/>
          <w:b/>
          <w:szCs w:val="24"/>
        </w:rPr>
        <w:tab/>
      </w:r>
      <w:r w:rsidRPr="009B4F48">
        <w:rPr>
          <w:rFonts w:ascii="Arial" w:hAnsi="Arial" w:cs="Arial"/>
          <w:b/>
          <w:szCs w:val="24"/>
        </w:rPr>
        <w:tab/>
      </w:r>
      <w:r w:rsidRPr="009B4F48">
        <w:rPr>
          <w:rFonts w:ascii="Arial" w:hAnsi="Arial" w:cs="Arial"/>
          <w:b/>
          <w:szCs w:val="24"/>
        </w:rPr>
        <w:tab/>
      </w:r>
      <w:r w:rsidRPr="009B4F48">
        <w:rPr>
          <w:rFonts w:ascii="Arial" w:hAnsi="Arial" w:cs="Arial"/>
          <w:b/>
          <w:szCs w:val="24"/>
        </w:rPr>
        <w:tab/>
      </w:r>
      <w:r w:rsidRPr="009B4F48">
        <w:rPr>
          <w:rFonts w:ascii="Arial" w:hAnsi="Arial" w:cs="Arial"/>
          <w:b/>
          <w:szCs w:val="24"/>
        </w:rPr>
        <w:tab/>
      </w:r>
      <w:r w:rsidRPr="009B4F48">
        <w:rPr>
          <w:rFonts w:ascii="Arial" w:hAnsi="Arial" w:cs="Arial"/>
          <w:b/>
          <w:szCs w:val="24"/>
        </w:rPr>
        <w:tab/>
      </w:r>
    </w:p>
    <w:p w14:paraId="5DA54F50" w14:textId="77777777" w:rsidR="003E1025" w:rsidRPr="009B4F48" w:rsidRDefault="003E1025" w:rsidP="003E1025">
      <w:pPr>
        <w:widowControl/>
        <w:suppressAutoHyphens/>
        <w:autoSpaceDE/>
        <w:autoSpaceDN/>
        <w:adjustRightInd/>
        <w:jc w:val="center"/>
        <w:rPr>
          <w:rFonts w:ascii="Arial" w:hAnsi="Arial" w:cs="Arial"/>
          <w:b/>
        </w:rPr>
      </w:pPr>
      <w:r w:rsidRPr="009B4F48">
        <w:rPr>
          <w:rFonts w:ascii="Arial" w:hAnsi="Arial" w:cs="Arial"/>
          <w:b/>
        </w:rPr>
        <w:t>Supporting Statement for</w:t>
      </w:r>
    </w:p>
    <w:p w14:paraId="70885BDA" w14:textId="77777777" w:rsidR="003E1025" w:rsidRPr="009B4F48" w:rsidRDefault="003E1025" w:rsidP="003E1025">
      <w:pPr>
        <w:widowControl/>
        <w:suppressAutoHyphens/>
        <w:autoSpaceDE/>
        <w:autoSpaceDN/>
        <w:adjustRightInd/>
        <w:jc w:val="center"/>
        <w:rPr>
          <w:rFonts w:ascii="Arial" w:hAnsi="Arial" w:cs="Arial"/>
          <w:b/>
          <w:color w:val="FF0000"/>
        </w:rPr>
      </w:pPr>
      <w:r w:rsidRPr="009B4F48">
        <w:rPr>
          <w:rFonts w:ascii="Arial" w:hAnsi="Arial" w:cs="Arial"/>
          <w:b/>
        </w:rPr>
        <w:t>Paperwork Reduction Act Submissions</w:t>
      </w:r>
    </w:p>
    <w:p w14:paraId="162B882B" w14:textId="77777777" w:rsidR="003A4BB1" w:rsidRPr="009B4F48" w:rsidRDefault="003A4BB1" w:rsidP="001416FE">
      <w:pPr>
        <w:pStyle w:val="BodyText12pt"/>
        <w:spacing w:before="120" w:after="120"/>
        <w:jc w:val="center"/>
        <w:outlineLvl w:val="0"/>
        <w:rPr>
          <w:rFonts w:ascii="Arial" w:hAnsi="Arial" w:cs="Arial"/>
          <w:b/>
          <w:szCs w:val="24"/>
        </w:rPr>
      </w:pPr>
    </w:p>
    <w:p w14:paraId="6C471E6E" w14:textId="77777777" w:rsidR="003A4BB1" w:rsidRPr="009B4F48" w:rsidRDefault="003A4BB1" w:rsidP="001416FE">
      <w:pPr>
        <w:pStyle w:val="BodyText12pt"/>
        <w:spacing w:before="120" w:after="120"/>
        <w:jc w:val="center"/>
        <w:outlineLvl w:val="0"/>
        <w:rPr>
          <w:rFonts w:ascii="Arial" w:hAnsi="Arial" w:cs="Arial"/>
          <w:b/>
          <w:szCs w:val="24"/>
        </w:rPr>
      </w:pPr>
    </w:p>
    <w:p w14:paraId="70B860DC" w14:textId="77777777" w:rsidR="003A4BB1" w:rsidRPr="009B4F48" w:rsidRDefault="002864E2" w:rsidP="001416FE">
      <w:pPr>
        <w:widowControl/>
        <w:tabs>
          <w:tab w:val="left" w:pos="360"/>
        </w:tabs>
        <w:spacing w:before="240" w:after="120"/>
        <w:outlineLvl w:val="0"/>
        <w:rPr>
          <w:rFonts w:ascii="Arial" w:hAnsi="Arial" w:cs="Arial"/>
        </w:rPr>
      </w:pPr>
      <w:r w:rsidRPr="009B4F48">
        <w:rPr>
          <w:rFonts w:ascii="Arial" w:hAnsi="Arial" w:cs="Arial"/>
          <w:b/>
        </w:rPr>
        <w:t>OMB No.:</w:t>
      </w:r>
      <w:r w:rsidRPr="009B4F48">
        <w:rPr>
          <w:rFonts w:ascii="Arial" w:hAnsi="Arial" w:cs="Arial"/>
        </w:rPr>
        <w:t xml:space="preserve">  1219-0147</w:t>
      </w:r>
    </w:p>
    <w:p w14:paraId="5B168460" w14:textId="77777777" w:rsidR="00605E71" w:rsidRDefault="002864E2" w:rsidP="00605E71">
      <w:pPr>
        <w:rPr>
          <w:rFonts w:ascii="Arial" w:hAnsi="Arial" w:cs="Arial"/>
        </w:rPr>
      </w:pPr>
      <w:r w:rsidRPr="009B4F48">
        <w:rPr>
          <w:rFonts w:ascii="Arial" w:hAnsi="Arial" w:cs="Arial"/>
          <w:b/>
        </w:rPr>
        <w:t>Title:</w:t>
      </w:r>
      <w:r w:rsidRPr="009B4F48">
        <w:rPr>
          <w:rFonts w:ascii="Arial" w:hAnsi="Arial" w:cs="Arial"/>
        </w:rPr>
        <w:t xml:space="preserve">  Coal Mine Dust Sampling Devices </w:t>
      </w:r>
    </w:p>
    <w:p w14:paraId="4198DA3A" w14:textId="77777777" w:rsidR="00605E71" w:rsidRDefault="00605E71" w:rsidP="009B4F48">
      <w:pPr>
        <w:ind w:left="720"/>
        <w:rPr>
          <w:rFonts w:ascii="Arial" w:hAnsi="Arial" w:cs="Arial"/>
          <w:b/>
        </w:rPr>
      </w:pPr>
    </w:p>
    <w:p w14:paraId="2E79BA04" w14:textId="77777777" w:rsidR="009B4F48" w:rsidRPr="009B4F48" w:rsidRDefault="003A4BB1" w:rsidP="00605E71">
      <w:pPr>
        <w:rPr>
          <w:rFonts w:ascii="Arial" w:hAnsi="Arial" w:cs="Arial"/>
          <w:b/>
        </w:rPr>
      </w:pPr>
      <w:r w:rsidRPr="009B4F48">
        <w:rPr>
          <w:rFonts w:ascii="Arial" w:hAnsi="Arial" w:cs="Arial"/>
          <w:b/>
        </w:rPr>
        <w:t xml:space="preserve">Authority: </w:t>
      </w:r>
    </w:p>
    <w:p w14:paraId="08959334" w14:textId="77777777" w:rsidR="003A4BB1" w:rsidRPr="009B4F48" w:rsidRDefault="002864E2" w:rsidP="00605E71">
      <w:pPr>
        <w:rPr>
          <w:rFonts w:ascii="Arial" w:hAnsi="Arial" w:cs="Arial"/>
        </w:rPr>
      </w:pPr>
      <w:r w:rsidRPr="00642495">
        <w:rPr>
          <w:rFonts w:ascii="Arial" w:eastAsia="Arial" w:hAnsi="Arial" w:cs="Arial"/>
        </w:rPr>
        <w:t xml:space="preserve">1.  </w:t>
      </w:r>
      <w:r w:rsidR="00962085" w:rsidRPr="00642495">
        <w:rPr>
          <w:rFonts w:ascii="Arial" w:eastAsia="Arial" w:hAnsi="Arial" w:cs="Arial"/>
        </w:rPr>
        <w:t xml:space="preserve">30 CFR </w:t>
      </w:r>
      <w:r w:rsidR="00234082" w:rsidRPr="00642495">
        <w:rPr>
          <w:rFonts w:ascii="Arial" w:eastAsia="Arial" w:hAnsi="Arial" w:cs="Arial"/>
        </w:rPr>
        <w:t>S</w:t>
      </w:r>
      <w:r w:rsidR="00444183" w:rsidRPr="00642495">
        <w:rPr>
          <w:rFonts w:ascii="Arial" w:eastAsia="Arial" w:hAnsi="Arial" w:cs="Arial"/>
        </w:rPr>
        <w:t>ection</w:t>
      </w:r>
      <w:r w:rsidRPr="00642495">
        <w:rPr>
          <w:rFonts w:ascii="Arial" w:eastAsia="Arial" w:hAnsi="Arial" w:cs="Arial"/>
        </w:rPr>
        <w:t xml:space="preserve"> 74.7 Design and construction requirements.</w:t>
      </w:r>
    </w:p>
    <w:p w14:paraId="08C9CF37" w14:textId="1CB5A2A2" w:rsidR="003A4BB1" w:rsidRPr="009B4F48" w:rsidRDefault="002864E2" w:rsidP="00605E71">
      <w:pPr>
        <w:rPr>
          <w:rFonts w:ascii="Arial" w:hAnsi="Arial" w:cs="Arial"/>
          <w:bCs/>
        </w:rPr>
      </w:pPr>
      <w:r w:rsidRPr="00642495">
        <w:rPr>
          <w:rFonts w:ascii="Arial" w:eastAsia="Arial" w:hAnsi="Arial" w:cs="Arial"/>
        </w:rPr>
        <w:t xml:space="preserve">2.  </w:t>
      </w:r>
      <w:r w:rsidR="00962085" w:rsidRPr="00642495">
        <w:rPr>
          <w:rFonts w:ascii="Arial" w:eastAsia="Arial" w:hAnsi="Arial" w:cs="Arial"/>
        </w:rPr>
        <w:t xml:space="preserve">30 CFR </w:t>
      </w:r>
      <w:r w:rsidR="00234082" w:rsidRPr="00642495">
        <w:rPr>
          <w:rFonts w:ascii="Arial" w:eastAsia="Arial" w:hAnsi="Arial" w:cs="Arial"/>
        </w:rPr>
        <w:t>S</w:t>
      </w:r>
      <w:r w:rsidR="00444183" w:rsidRPr="00642495">
        <w:rPr>
          <w:rFonts w:ascii="Arial" w:eastAsia="Arial" w:hAnsi="Arial" w:cs="Arial"/>
        </w:rPr>
        <w:t>ection</w:t>
      </w:r>
      <w:r w:rsidRPr="00642495">
        <w:rPr>
          <w:rFonts w:ascii="Arial" w:eastAsia="Arial" w:hAnsi="Arial" w:cs="Arial"/>
        </w:rPr>
        <w:t xml:space="preserve"> 74.8 Measurement, accuracy, and reliability requirements.</w:t>
      </w:r>
    </w:p>
    <w:p w14:paraId="05F19A8D" w14:textId="77777777" w:rsidR="003A4BB1" w:rsidRPr="009B4F48" w:rsidRDefault="002864E2" w:rsidP="00605E71">
      <w:pPr>
        <w:rPr>
          <w:rFonts w:ascii="Arial" w:hAnsi="Arial" w:cs="Arial"/>
          <w:bCs/>
        </w:rPr>
      </w:pPr>
      <w:r w:rsidRPr="00642495">
        <w:rPr>
          <w:rFonts w:ascii="Arial" w:eastAsia="Arial" w:hAnsi="Arial" w:cs="Arial"/>
        </w:rPr>
        <w:t xml:space="preserve">3.  </w:t>
      </w:r>
      <w:r w:rsidR="00962085" w:rsidRPr="00642495">
        <w:rPr>
          <w:rFonts w:ascii="Arial" w:eastAsia="Arial" w:hAnsi="Arial" w:cs="Arial"/>
        </w:rPr>
        <w:t xml:space="preserve">30 CFR </w:t>
      </w:r>
      <w:r w:rsidR="00234082" w:rsidRPr="00642495">
        <w:rPr>
          <w:rFonts w:ascii="Arial" w:eastAsia="Arial" w:hAnsi="Arial" w:cs="Arial"/>
        </w:rPr>
        <w:t>S</w:t>
      </w:r>
      <w:r w:rsidR="00444183" w:rsidRPr="00642495">
        <w:rPr>
          <w:rFonts w:ascii="Arial" w:eastAsia="Arial" w:hAnsi="Arial" w:cs="Arial"/>
        </w:rPr>
        <w:t>ection</w:t>
      </w:r>
      <w:r w:rsidRPr="00642495">
        <w:rPr>
          <w:rFonts w:ascii="Arial" w:eastAsia="Arial" w:hAnsi="Arial" w:cs="Arial"/>
        </w:rPr>
        <w:t xml:space="preserve"> 74.11 Tests of the Continuous Personal Dust Monitor.</w:t>
      </w:r>
    </w:p>
    <w:p w14:paraId="4FF42A05" w14:textId="77777777" w:rsidR="003A4BB1" w:rsidRPr="009B4F48" w:rsidRDefault="002864E2" w:rsidP="00605E71">
      <w:pPr>
        <w:rPr>
          <w:rFonts w:ascii="Arial" w:hAnsi="Arial" w:cs="Arial"/>
          <w:bCs/>
        </w:rPr>
      </w:pPr>
      <w:r w:rsidRPr="00642495">
        <w:rPr>
          <w:rFonts w:ascii="Arial" w:eastAsia="Arial" w:hAnsi="Arial" w:cs="Arial"/>
        </w:rPr>
        <w:t xml:space="preserve">4.  </w:t>
      </w:r>
      <w:r w:rsidR="00962085" w:rsidRPr="00642495">
        <w:rPr>
          <w:rFonts w:ascii="Arial" w:eastAsia="Arial" w:hAnsi="Arial" w:cs="Arial"/>
        </w:rPr>
        <w:t xml:space="preserve">30 CFR </w:t>
      </w:r>
      <w:r w:rsidR="00234082" w:rsidRPr="00642495">
        <w:rPr>
          <w:rFonts w:ascii="Arial" w:eastAsia="Arial" w:hAnsi="Arial" w:cs="Arial"/>
        </w:rPr>
        <w:t>S</w:t>
      </w:r>
      <w:r w:rsidR="00444183" w:rsidRPr="00642495">
        <w:rPr>
          <w:rFonts w:ascii="Arial" w:eastAsia="Arial" w:hAnsi="Arial" w:cs="Arial"/>
        </w:rPr>
        <w:t>ection</w:t>
      </w:r>
      <w:r w:rsidRPr="00642495">
        <w:rPr>
          <w:rFonts w:ascii="Arial" w:eastAsia="Arial" w:hAnsi="Arial" w:cs="Arial"/>
        </w:rPr>
        <w:t xml:space="preserve"> 74.13 Applications.</w:t>
      </w:r>
    </w:p>
    <w:p w14:paraId="49B392B7" w14:textId="77777777" w:rsidR="003A4BB1" w:rsidRPr="009B4F48" w:rsidRDefault="002864E2" w:rsidP="00605E71">
      <w:pPr>
        <w:rPr>
          <w:rFonts w:ascii="Arial" w:hAnsi="Arial" w:cs="Arial"/>
          <w:bCs/>
        </w:rPr>
      </w:pPr>
      <w:r w:rsidRPr="00642495">
        <w:rPr>
          <w:rFonts w:ascii="Arial" w:eastAsia="Arial" w:hAnsi="Arial" w:cs="Arial"/>
        </w:rPr>
        <w:t xml:space="preserve">5.  </w:t>
      </w:r>
      <w:r w:rsidR="00962085" w:rsidRPr="00642495">
        <w:rPr>
          <w:rFonts w:ascii="Arial" w:eastAsia="Arial" w:hAnsi="Arial" w:cs="Arial"/>
        </w:rPr>
        <w:t xml:space="preserve">30 CFR </w:t>
      </w:r>
      <w:r w:rsidR="00234082" w:rsidRPr="00642495">
        <w:rPr>
          <w:rFonts w:ascii="Arial" w:eastAsia="Arial" w:hAnsi="Arial" w:cs="Arial"/>
        </w:rPr>
        <w:t>S</w:t>
      </w:r>
      <w:r w:rsidR="00444183" w:rsidRPr="00642495">
        <w:rPr>
          <w:rFonts w:ascii="Arial" w:eastAsia="Arial" w:hAnsi="Arial" w:cs="Arial"/>
        </w:rPr>
        <w:t>ection</w:t>
      </w:r>
      <w:r w:rsidRPr="00642495">
        <w:rPr>
          <w:rFonts w:ascii="Arial" w:eastAsia="Arial" w:hAnsi="Arial" w:cs="Arial"/>
        </w:rPr>
        <w:t xml:space="preserve"> 74.16 Material required for record.</w:t>
      </w:r>
    </w:p>
    <w:p w14:paraId="30520003" w14:textId="77777777" w:rsidR="003A4BB1" w:rsidRPr="009B4F48" w:rsidRDefault="003A4BB1" w:rsidP="00C85A95">
      <w:pPr>
        <w:keepNext/>
        <w:widowControl/>
        <w:tabs>
          <w:tab w:val="left" w:pos="-720"/>
        </w:tabs>
        <w:suppressAutoHyphens/>
        <w:autoSpaceDE/>
        <w:autoSpaceDN/>
        <w:adjustRightInd/>
        <w:outlineLvl w:val="0"/>
        <w:rPr>
          <w:rFonts w:ascii="Arial" w:hAnsi="Arial" w:cs="Arial"/>
          <w:b/>
        </w:rPr>
      </w:pPr>
    </w:p>
    <w:p w14:paraId="10F285D1" w14:textId="77777777" w:rsidR="003A4BB1" w:rsidRPr="00A20AE6" w:rsidRDefault="003A4BB1" w:rsidP="003B33BD">
      <w:pPr>
        <w:widowControl/>
        <w:tabs>
          <w:tab w:val="left" w:pos="-720"/>
        </w:tabs>
        <w:suppressAutoHyphens/>
        <w:autoSpaceDE/>
        <w:autoSpaceDN/>
        <w:adjustRightInd/>
        <w:rPr>
          <w:rFonts w:ascii="Arial" w:hAnsi="Arial" w:cs="Arial"/>
        </w:rPr>
      </w:pPr>
      <w:r w:rsidRPr="009B4F48">
        <w:rPr>
          <w:rFonts w:ascii="Arial" w:hAnsi="Arial" w:cs="Arial"/>
          <w:b/>
        </w:rPr>
        <w:t xml:space="preserve">Form Number(s): </w:t>
      </w:r>
      <w:r w:rsidRPr="00A20AE6">
        <w:rPr>
          <w:rFonts w:ascii="Arial" w:hAnsi="Arial" w:cs="Arial"/>
        </w:rPr>
        <w:t>None</w:t>
      </w:r>
    </w:p>
    <w:p w14:paraId="69D49B6B" w14:textId="77777777" w:rsidR="003A4BB1" w:rsidRPr="009B4F48" w:rsidRDefault="003A4BB1" w:rsidP="00C85A95">
      <w:pPr>
        <w:keepNext/>
        <w:widowControl/>
        <w:tabs>
          <w:tab w:val="left" w:pos="-720"/>
        </w:tabs>
        <w:suppressAutoHyphens/>
        <w:autoSpaceDE/>
        <w:autoSpaceDN/>
        <w:adjustRightInd/>
        <w:outlineLvl w:val="0"/>
        <w:rPr>
          <w:rFonts w:ascii="Arial" w:hAnsi="Arial" w:cs="Arial"/>
          <w:b/>
        </w:rPr>
      </w:pPr>
    </w:p>
    <w:p w14:paraId="146F4ED4" w14:textId="77777777" w:rsidR="003A4BB1" w:rsidRPr="009B4F48" w:rsidRDefault="003A4BB1" w:rsidP="00C85A95">
      <w:pPr>
        <w:keepNext/>
        <w:widowControl/>
        <w:tabs>
          <w:tab w:val="left" w:pos="-720"/>
        </w:tabs>
        <w:suppressAutoHyphens/>
        <w:autoSpaceDE/>
        <w:autoSpaceDN/>
        <w:adjustRightInd/>
        <w:outlineLvl w:val="0"/>
        <w:rPr>
          <w:rFonts w:ascii="Arial" w:hAnsi="Arial" w:cs="Arial"/>
          <w:b/>
        </w:rPr>
      </w:pPr>
    </w:p>
    <w:p w14:paraId="1A403450" w14:textId="77777777" w:rsidR="00304BB9" w:rsidRPr="00304BB9" w:rsidRDefault="00304BB9" w:rsidP="00304BB9">
      <w:pPr>
        <w:widowControl/>
        <w:tabs>
          <w:tab w:val="left" w:pos="-720"/>
        </w:tabs>
        <w:suppressAutoHyphens/>
        <w:autoSpaceDE/>
        <w:autoSpaceDN/>
        <w:adjustRightInd/>
        <w:rPr>
          <w:rFonts w:ascii="Arial" w:hAnsi="Arial" w:cs="Arial"/>
          <w:b/>
        </w:rPr>
      </w:pPr>
      <w:r w:rsidRPr="00304BB9">
        <w:rPr>
          <w:rFonts w:ascii="Arial" w:hAnsi="Arial" w:cs="Arial"/>
          <w:b/>
        </w:rPr>
        <w:t>General Instructions</w:t>
      </w:r>
    </w:p>
    <w:p w14:paraId="1775B285" w14:textId="77777777" w:rsidR="00304BB9" w:rsidRPr="00304BB9" w:rsidRDefault="00304BB9" w:rsidP="00304BB9">
      <w:pPr>
        <w:widowControl/>
        <w:tabs>
          <w:tab w:val="left" w:pos="-720"/>
        </w:tabs>
        <w:suppressAutoHyphens/>
        <w:autoSpaceDE/>
        <w:autoSpaceDN/>
        <w:adjustRightInd/>
        <w:rPr>
          <w:rFonts w:ascii="Arial" w:hAnsi="Arial" w:cs="Arial"/>
          <w:b/>
        </w:rPr>
      </w:pPr>
    </w:p>
    <w:p w14:paraId="123ED8C9" w14:textId="77777777" w:rsidR="003A4BB1" w:rsidRPr="009B4F48" w:rsidRDefault="00304BB9" w:rsidP="00304BB9">
      <w:pPr>
        <w:widowControl/>
        <w:tabs>
          <w:tab w:val="left" w:pos="-720"/>
        </w:tabs>
        <w:suppressAutoHyphens/>
        <w:autoSpaceDE/>
        <w:autoSpaceDN/>
        <w:adjustRightInd/>
        <w:rPr>
          <w:rFonts w:ascii="Arial" w:hAnsi="Arial" w:cs="Arial"/>
        </w:rPr>
      </w:pPr>
      <w:r w:rsidRPr="00304BB9">
        <w:rPr>
          <w:rFonts w:ascii="Arial" w:hAnsi="Arial" w:cs="Arial"/>
          <w:b/>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14:paraId="67CD595E" w14:textId="77777777" w:rsidR="003A4BB1" w:rsidRPr="009B4F48" w:rsidRDefault="003A4BB1" w:rsidP="00C85A95">
      <w:pPr>
        <w:keepNext/>
        <w:widowControl/>
        <w:tabs>
          <w:tab w:val="left" w:pos="-720"/>
        </w:tabs>
        <w:suppressAutoHyphens/>
        <w:autoSpaceDE/>
        <w:autoSpaceDN/>
        <w:adjustRightInd/>
        <w:outlineLvl w:val="0"/>
        <w:rPr>
          <w:rFonts w:ascii="Arial" w:hAnsi="Arial" w:cs="Arial"/>
          <w:b/>
        </w:rPr>
      </w:pPr>
      <w:r w:rsidRPr="009B4F48">
        <w:rPr>
          <w:rFonts w:ascii="Arial" w:hAnsi="Arial" w:cs="Arial"/>
          <w:b/>
        </w:rPr>
        <w:t>Specific Instructions</w:t>
      </w:r>
    </w:p>
    <w:p w14:paraId="04504C7B" w14:textId="77777777" w:rsidR="003A4BB1" w:rsidRPr="009B4F48" w:rsidRDefault="003A4BB1" w:rsidP="001416FE">
      <w:pPr>
        <w:widowControl/>
        <w:tabs>
          <w:tab w:val="left" w:pos="720"/>
        </w:tabs>
        <w:spacing w:before="360" w:after="120"/>
        <w:rPr>
          <w:rFonts w:ascii="Arial" w:hAnsi="Arial" w:cs="Arial"/>
          <w:b/>
          <w:bCs/>
        </w:rPr>
      </w:pPr>
      <w:r w:rsidRPr="009B4F48">
        <w:rPr>
          <w:rFonts w:ascii="Arial" w:hAnsi="Arial" w:cs="Arial"/>
          <w:b/>
          <w:bCs/>
        </w:rPr>
        <w:t>A.</w:t>
      </w:r>
      <w:r w:rsidRPr="009B4F48">
        <w:rPr>
          <w:rFonts w:ascii="Arial" w:hAnsi="Arial" w:cs="Arial"/>
          <w:b/>
          <w:bCs/>
        </w:rPr>
        <w:tab/>
        <w:t>JUSTIFICATION</w:t>
      </w:r>
    </w:p>
    <w:p w14:paraId="2E64685E" w14:textId="77777777" w:rsidR="003A4BB1" w:rsidRPr="009B4F48" w:rsidRDefault="003A4BB1" w:rsidP="001416FE">
      <w:pPr>
        <w:widowControl/>
        <w:numPr>
          <w:ilvl w:val="0"/>
          <w:numId w:val="1"/>
        </w:numPr>
        <w:tabs>
          <w:tab w:val="num" w:pos="360"/>
        </w:tabs>
        <w:spacing w:before="240" w:after="120"/>
        <w:ind w:left="360" w:hanging="360"/>
        <w:rPr>
          <w:rFonts w:ascii="Arial" w:hAnsi="Arial" w:cs="Arial"/>
          <w:b/>
          <w:bCs/>
        </w:rPr>
      </w:pPr>
      <w:r w:rsidRPr="009B4F48">
        <w:rPr>
          <w:rFonts w:ascii="Arial" w:hAnsi="Arial" w:cs="Arial"/>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665D3F3" w14:textId="77777777" w:rsidR="00444183" w:rsidRDefault="00444183" w:rsidP="00AE6661">
      <w:pPr>
        <w:ind w:left="360"/>
        <w:rPr>
          <w:rFonts w:ascii="Arial" w:hAnsi="Arial" w:cs="Arial"/>
        </w:rPr>
      </w:pPr>
      <w:r w:rsidRPr="00444183">
        <w:rPr>
          <w:rFonts w:ascii="Arial" w:hAnsi="Arial" w:cs="Arial"/>
        </w:rPr>
        <w:t xml:space="preserve">Section 103(h) of the Federal Mine Safety and Health Act of 1977 (Mine Act), 30 </w:t>
      </w:r>
      <w:r w:rsidRPr="00444183">
        <w:rPr>
          <w:rFonts w:ascii="Arial" w:hAnsi="Arial" w:cs="Arial"/>
        </w:rPr>
        <w:lastRenderedPageBreak/>
        <w:t>U.S.C.  813(h), authorizes the Mine Safety and Health Administration (MSHA) to collect information necessary to carry out its duty in protecting the safety and health of miners.  Further, Section 101(a) of the Mine Act, 30 U.S.C. 811 authorizes the Secretary to develop, promulgate, and revise as may be appropriate, improved mandatory health or safety standards for the protection of life and prevention of injuries in coal and metal and nonmetal mines.</w:t>
      </w:r>
    </w:p>
    <w:p w14:paraId="1E68579B" w14:textId="77777777" w:rsidR="00444183" w:rsidRDefault="00444183" w:rsidP="00AE6661">
      <w:pPr>
        <w:ind w:left="360"/>
        <w:rPr>
          <w:rFonts w:ascii="Arial" w:hAnsi="Arial" w:cs="Arial"/>
        </w:rPr>
      </w:pPr>
    </w:p>
    <w:p w14:paraId="4ED145C4" w14:textId="77777777" w:rsidR="0038028B" w:rsidRPr="009B4F48" w:rsidRDefault="00421D5F" w:rsidP="00AE6661">
      <w:pPr>
        <w:ind w:left="360"/>
        <w:rPr>
          <w:rFonts w:ascii="Arial" w:hAnsi="Arial" w:cs="Arial"/>
        </w:rPr>
      </w:pPr>
      <w:r w:rsidRPr="009B4F48">
        <w:rPr>
          <w:rFonts w:ascii="Arial" w:hAnsi="Arial" w:cs="Arial"/>
        </w:rPr>
        <w:t xml:space="preserve">Continuous Personal Dust Monitors (CPDMs) </w:t>
      </w:r>
      <w:r w:rsidR="002864E2" w:rsidRPr="009B4F48">
        <w:rPr>
          <w:rFonts w:ascii="Arial" w:hAnsi="Arial" w:cs="Arial"/>
        </w:rPr>
        <w:t>determine the concentration of respirable dust in coal mine</w:t>
      </w:r>
      <w:r w:rsidRPr="009B4F48">
        <w:rPr>
          <w:rFonts w:ascii="Arial" w:hAnsi="Arial" w:cs="Arial"/>
        </w:rPr>
        <w:t>s.  CPDMs must be designed and constructed for c</w:t>
      </w:r>
      <w:r w:rsidR="00486268" w:rsidRPr="009B4F48">
        <w:rPr>
          <w:rFonts w:ascii="Arial" w:hAnsi="Arial" w:cs="Arial"/>
        </w:rPr>
        <w:t xml:space="preserve">oal miners to wear and operate </w:t>
      </w:r>
      <w:r w:rsidRPr="009B4F48">
        <w:rPr>
          <w:rFonts w:ascii="Arial" w:hAnsi="Arial" w:cs="Arial"/>
        </w:rPr>
        <w:t>without imped</w:t>
      </w:r>
      <w:r w:rsidR="00A325C2" w:rsidRPr="009B4F48">
        <w:rPr>
          <w:rFonts w:ascii="Arial" w:hAnsi="Arial" w:cs="Arial"/>
        </w:rPr>
        <w:t xml:space="preserve">ing their ability to perform their work safely and effectively, and must be durable to perform reliably in normal working conditions of coal mines.  </w:t>
      </w:r>
      <w:r w:rsidR="00FD49CA" w:rsidRPr="009B4F48">
        <w:rPr>
          <w:rFonts w:ascii="Arial" w:hAnsi="Arial" w:cs="Arial"/>
        </w:rPr>
        <w:t xml:space="preserve">Paperwork requirements imposed on </w:t>
      </w:r>
      <w:r w:rsidR="00AA0A17" w:rsidRPr="009B4F48">
        <w:rPr>
          <w:rFonts w:ascii="Arial" w:hAnsi="Arial" w:cs="Arial"/>
        </w:rPr>
        <w:t xml:space="preserve">applicants </w:t>
      </w:r>
      <w:r w:rsidR="00FD49CA" w:rsidRPr="009B4F48">
        <w:rPr>
          <w:rFonts w:ascii="Arial" w:hAnsi="Arial" w:cs="Arial"/>
        </w:rPr>
        <w:t xml:space="preserve">are </w:t>
      </w:r>
      <w:r w:rsidR="00AA0A17" w:rsidRPr="009B4F48">
        <w:rPr>
          <w:rFonts w:ascii="Arial" w:hAnsi="Arial" w:cs="Arial"/>
        </w:rPr>
        <w:t xml:space="preserve">related to the application </w:t>
      </w:r>
      <w:r w:rsidR="00FD49CA" w:rsidRPr="009B4F48">
        <w:rPr>
          <w:rFonts w:ascii="Arial" w:hAnsi="Arial" w:cs="Arial"/>
        </w:rPr>
        <w:t xml:space="preserve">process and </w:t>
      </w:r>
      <w:r w:rsidR="00AA0A17" w:rsidRPr="009B4F48">
        <w:rPr>
          <w:rFonts w:ascii="Arial" w:hAnsi="Arial" w:cs="Arial"/>
        </w:rPr>
        <w:t>CPDM testing procedures</w:t>
      </w:r>
      <w:r w:rsidR="00FD49CA" w:rsidRPr="009B4F48">
        <w:rPr>
          <w:rFonts w:ascii="Arial" w:hAnsi="Arial" w:cs="Arial"/>
        </w:rPr>
        <w:t>.</w:t>
      </w:r>
      <w:r w:rsidR="00AA0A17" w:rsidRPr="009B4F48">
        <w:rPr>
          <w:rFonts w:ascii="Arial" w:hAnsi="Arial" w:cs="Arial"/>
        </w:rPr>
        <w:t xml:space="preserve"> </w:t>
      </w:r>
    </w:p>
    <w:p w14:paraId="6642F136" w14:textId="77777777" w:rsidR="0038028B" w:rsidRPr="009B4F48" w:rsidRDefault="0038028B" w:rsidP="009B4F48">
      <w:pPr>
        <w:rPr>
          <w:rFonts w:ascii="Arial" w:hAnsi="Arial" w:cs="Arial"/>
        </w:rPr>
      </w:pPr>
    </w:p>
    <w:p w14:paraId="5BBC75A0" w14:textId="77777777" w:rsidR="003A4BB1" w:rsidRPr="009B4F48" w:rsidRDefault="003A4BB1" w:rsidP="00AA0BA2">
      <w:pPr>
        <w:pStyle w:val="BodyText12pt"/>
        <w:spacing w:after="120"/>
        <w:ind w:left="360" w:hanging="360"/>
        <w:rPr>
          <w:rFonts w:ascii="Arial" w:hAnsi="Arial" w:cs="Arial"/>
          <w:b/>
          <w:szCs w:val="24"/>
        </w:rPr>
      </w:pPr>
      <w:r w:rsidRPr="009B4F48">
        <w:rPr>
          <w:rFonts w:ascii="Arial" w:hAnsi="Arial" w:cs="Arial"/>
          <w:color w:val="000000"/>
          <w:szCs w:val="24"/>
        </w:rPr>
        <w:t>2.</w:t>
      </w:r>
      <w:r w:rsidRPr="009B4F48">
        <w:rPr>
          <w:rFonts w:ascii="Arial" w:hAnsi="Arial" w:cs="Arial"/>
          <w:color w:val="000000"/>
          <w:szCs w:val="24"/>
        </w:rPr>
        <w:tab/>
      </w:r>
      <w:r w:rsidRPr="009B4F48">
        <w:rPr>
          <w:rFonts w:ascii="Arial" w:hAnsi="Arial" w:cs="Arial"/>
          <w:b/>
          <w:szCs w:val="24"/>
        </w:rPr>
        <w:t>Indicate how, by whom, and for what purpose the information is to be used.  Except for a new collection, indicate the actual use the agency has made of the information received from the current collection.</w:t>
      </w:r>
    </w:p>
    <w:p w14:paraId="31E4BF40" w14:textId="31AB89DA" w:rsidR="003A4BB1" w:rsidRPr="009B4F48" w:rsidRDefault="003A4BB1" w:rsidP="00BE4AD6">
      <w:pPr>
        <w:widowControl/>
        <w:tabs>
          <w:tab w:val="left" w:pos="360"/>
        </w:tabs>
        <w:spacing w:before="240" w:after="120"/>
        <w:ind w:left="360"/>
        <w:rPr>
          <w:rFonts w:ascii="Arial" w:hAnsi="Arial" w:cs="Arial"/>
          <w:b/>
          <w:bCs/>
        </w:rPr>
      </w:pPr>
      <w:r w:rsidRPr="00642495">
        <w:rPr>
          <w:rFonts w:ascii="Arial" w:eastAsia="Arial" w:hAnsi="Arial" w:cs="Arial"/>
        </w:rPr>
        <w:t xml:space="preserve">MSHA and </w:t>
      </w:r>
      <w:r w:rsidR="1B3B6628" w:rsidRPr="00642495">
        <w:rPr>
          <w:rFonts w:ascii="Arial" w:eastAsia="Arial" w:hAnsi="Arial" w:cs="Arial"/>
        </w:rPr>
        <w:t>the National Institute for Occupational Safety and Health (</w:t>
      </w:r>
      <w:r w:rsidRPr="00642495">
        <w:rPr>
          <w:rFonts w:ascii="Arial" w:eastAsia="Arial" w:hAnsi="Arial" w:cs="Arial"/>
        </w:rPr>
        <w:t>NIOSH</w:t>
      </w:r>
      <w:r w:rsidR="1B3B6628" w:rsidRPr="00642495">
        <w:rPr>
          <w:rFonts w:ascii="Arial" w:eastAsia="Arial" w:hAnsi="Arial" w:cs="Arial"/>
        </w:rPr>
        <w:t>)</w:t>
      </w:r>
      <w:r w:rsidRPr="00642495">
        <w:rPr>
          <w:rFonts w:ascii="Arial" w:eastAsia="Arial" w:hAnsi="Arial" w:cs="Arial"/>
        </w:rPr>
        <w:t xml:space="preserve"> will use the information sent by the applicant to determine </w:t>
      </w:r>
      <w:r w:rsidR="00FD669B" w:rsidRPr="00642495">
        <w:rPr>
          <w:rFonts w:ascii="Arial" w:eastAsia="Arial" w:hAnsi="Arial" w:cs="Arial"/>
        </w:rPr>
        <w:t xml:space="preserve">if the </w:t>
      </w:r>
      <w:r w:rsidRPr="00642495">
        <w:rPr>
          <w:rFonts w:ascii="Arial" w:eastAsia="Arial" w:hAnsi="Arial" w:cs="Arial"/>
        </w:rPr>
        <w:t>CPDM</w:t>
      </w:r>
      <w:r w:rsidR="00FD669B" w:rsidRPr="00642495">
        <w:rPr>
          <w:rFonts w:ascii="Arial" w:eastAsia="Arial" w:hAnsi="Arial" w:cs="Arial"/>
        </w:rPr>
        <w:t xml:space="preserve"> meets established criteria for use in</w:t>
      </w:r>
      <w:r w:rsidRPr="00642495">
        <w:rPr>
          <w:rFonts w:ascii="Arial" w:eastAsia="Arial" w:hAnsi="Arial" w:cs="Arial"/>
        </w:rPr>
        <w:t xml:space="preserve"> underground coal mines.</w:t>
      </w:r>
    </w:p>
    <w:p w14:paraId="19BEC700" w14:textId="77777777" w:rsidR="003A4BB1" w:rsidRPr="009B4F48" w:rsidRDefault="003A4BB1" w:rsidP="001416FE">
      <w:pPr>
        <w:widowControl/>
        <w:tabs>
          <w:tab w:val="left" w:pos="360"/>
        </w:tabs>
        <w:spacing w:before="240" w:after="120"/>
        <w:ind w:left="360" w:hanging="360"/>
        <w:rPr>
          <w:rFonts w:ascii="Arial" w:hAnsi="Arial" w:cs="Arial"/>
          <w:b/>
          <w:bCs/>
        </w:rPr>
      </w:pPr>
      <w:r w:rsidRPr="009B4F48">
        <w:rPr>
          <w:rFonts w:ascii="Arial" w:hAnsi="Arial" w:cs="Arial"/>
          <w:b/>
          <w:bCs/>
        </w:rPr>
        <w:t>3.</w:t>
      </w:r>
      <w:r w:rsidRPr="009B4F48">
        <w:rPr>
          <w:rFonts w:ascii="Arial" w:hAnsi="Arial" w:cs="Arial"/>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D55F096" w14:textId="77777777" w:rsidR="003A4BB1" w:rsidRPr="009B4F48" w:rsidRDefault="003A4BB1" w:rsidP="00BE4AD6">
      <w:pPr>
        <w:pStyle w:val="BodyText12pt"/>
        <w:spacing w:after="120"/>
        <w:ind w:left="360"/>
        <w:rPr>
          <w:rFonts w:ascii="Arial" w:hAnsi="Arial" w:cs="Arial"/>
          <w:szCs w:val="24"/>
        </w:rPr>
      </w:pPr>
      <w:r w:rsidRPr="009B4F48">
        <w:rPr>
          <w:rFonts w:ascii="Arial" w:hAnsi="Arial" w:cs="Arial"/>
          <w:szCs w:val="24"/>
        </w:rPr>
        <w:t>MSHA accepts approval applications, correspondence and information electronically via the Internet or e</w:t>
      </w:r>
      <w:r w:rsidRPr="009B4F48">
        <w:rPr>
          <w:rFonts w:ascii="Arial" w:hAnsi="Arial" w:cs="Arial"/>
          <w:szCs w:val="24"/>
        </w:rPr>
        <w:noBreakHyphen/>
        <w:t xml:space="preserve">mail.  Approval applicants are able to upload engineering drawings (images) and files directly to the Arlington FTP (File Transfer Protocol) site server or via the </w:t>
      </w:r>
      <w:hyperlink r:id="rId8" w:history="1">
        <w:r w:rsidR="00B32306" w:rsidRPr="009B4F48">
          <w:rPr>
            <w:rStyle w:val="Hyperlink"/>
            <w:rFonts w:ascii="Arial" w:hAnsi="Arial" w:cs="Arial"/>
            <w:szCs w:val="24"/>
          </w:rPr>
          <w:t>IPSO@dol.gov</w:t>
        </w:r>
      </w:hyperlink>
      <w:r w:rsidR="00B32306" w:rsidRPr="009B4F48">
        <w:rPr>
          <w:rFonts w:ascii="Arial" w:hAnsi="Arial" w:cs="Arial"/>
          <w:szCs w:val="24"/>
        </w:rPr>
        <w:t xml:space="preserve"> </w:t>
      </w:r>
      <w:r w:rsidRPr="009B4F48">
        <w:rPr>
          <w:rFonts w:ascii="Arial" w:hAnsi="Arial" w:cs="Arial"/>
          <w:szCs w:val="24"/>
        </w:rPr>
        <w:t xml:space="preserve"> e</w:t>
      </w:r>
      <w:r w:rsidRPr="009B4F48">
        <w:rPr>
          <w:rFonts w:ascii="Arial" w:hAnsi="Arial" w:cs="Arial"/>
          <w:szCs w:val="24"/>
        </w:rPr>
        <w:noBreakHyphen/>
        <w:t xml:space="preserve">mail account.  </w:t>
      </w:r>
    </w:p>
    <w:p w14:paraId="4468AC4E" w14:textId="77777777" w:rsidR="003A4BB1" w:rsidRPr="009B4F48" w:rsidRDefault="003A4BB1" w:rsidP="001416FE">
      <w:pPr>
        <w:widowControl/>
        <w:tabs>
          <w:tab w:val="left" w:pos="360"/>
        </w:tabs>
        <w:spacing w:before="240" w:after="120"/>
        <w:ind w:left="360" w:hanging="360"/>
        <w:rPr>
          <w:rFonts w:ascii="Arial" w:hAnsi="Arial" w:cs="Arial"/>
          <w:b/>
          <w:bCs/>
        </w:rPr>
      </w:pPr>
      <w:r w:rsidRPr="009B4F48">
        <w:rPr>
          <w:rFonts w:ascii="Arial" w:hAnsi="Arial" w:cs="Arial"/>
          <w:b/>
          <w:bCs/>
        </w:rPr>
        <w:t>4.</w:t>
      </w:r>
      <w:r w:rsidRPr="009B4F48">
        <w:rPr>
          <w:rFonts w:ascii="Arial" w:hAnsi="Arial" w:cs="Arial"/>
          <w:b/>
          <w:bCs/>
        </w:rPr>
        <w:tab/>
        <w:t>Describe efforts to identify duplication.  Show specifically why any similar information already available cannot be used or modified for use for the purposes described in Item 2 above.</w:t>
      </w:r>
    </w:p>
    <w:p w14:paraId="2483680B" w14:textId="77777777" w:rsidR="003A4BB1" w:rsidRPr="009B4F48" w:rsidRDefault="003A4BB1" w:rsidP="00BE4AD6">
      <w:pPr>
        <w:pStyle w:val="BodyText12pt"/>
        <w:spacing w:after="120"/>
        <w:ind w:left="360"/>
        <w:rPr>
          <w:rFonts w:ascii="Arial" w:hAnsi="Arial" w:cs="Arial"/>
          <w:szCs w:val="24"/>
        </w:rPr>
      </w:pPr>
      <w:r w:rsidRPr="009B4F48">
        <w:rPr>
          <w:rFonts w:ascii="Arial" w:hAnsi="Arial" w:cs="Arial"/>
          <w:szCs w:val="24"/>
        </w:rPr>
        <w:t xml:space="preserve">The applications, consisting of complete scale drawings, specifications, and a description of materials, are unique to each application for approval. </w:t>
      </w:r>
      <w:r w:rsidR="00FD49CA" w:rsidRPr="009B4F48">
        <w:rPr>
          <w:rFonts w:ascii="Arial" w:hAnsi="Arial" w:cs="Arial"/>
          <w:szCs w:val="24"/>
        </w:rPr>
        <w:t>There is no duplication of information as a result of this collection.</w:t>
      </w:r>
    </w:p>
    <w:p w14:paraId="7A223981" w14:textId="77777777" w:rsidR="003A4BB1" w:rsidRPr="009B4F48" w:rsidRDefault="003A4BB1" w:rsidP="001416FE">
      <w:pPr>
        <w:widowControl/>
        <w:tabs>
          <w:tab w:val="left" w:pos="360"/>
        </w:tabs>
        <w:spacing w:before="240" w:after="120"/>
        <w:ind w:left="360" w:hanging="360"/>
        <w:rPr>
          <w:rFonts w:ascii="Arial" w:hAnsi="Arial" w:cs="Arial"/>
          <w:b/>
          <w:bCs/>
        </w:rPr>
      </w:pPr>
      <w:r w:rsidRPr="009B4F48">
        <w:rPr>
          <w:rFonts w:ascii="Arial" w:hAnsi="Arial" w:cs="Arial"/>
          <w:b/>
          <w:bCs/>
        </w:rPr>
        <w:t>5.</w:t>
      </w:r>
      <w:r w:rsidRPr="009B4F48">
        <w:rPr>
          <w:rFonts w:ascii="Arial" w:hAnsi="Arial" w:cs="Arial"/>
          <w:b/>
          <w:bCs/>
        </w:rPr>
        <w:tab/>
      </w:r>
      <w:r w:rsidRPr="009B4F48">
        <w:rPr>
          <w:rStyle w:val="BodyText12ptChar"/>
          <w:rFonts w:ascii="Arial" w:hAnsi="Arial" w:cs="Arial"/>
          <w:b/>
        </w:rPr>
        <w:t>If the collection of information impacts small businesses or other small entities describe any methods used to minimize burden.</w:t>
      </w:r>
    </w:p>
    <w:p w14:paraId="749A8916" w14:textId="77777777" w:rsidR="003A4BB1" w:rsidRPr="009B4F48" w:rsidRDefault="003A4BB1" w:rsidP="001416FE">
      <w:pPr>
        <w:pStyle w:val="BodyText12pt"/>
        <w:tabs>
          <w:tab w:val="left" w:pos="360"/>
        </w:tabs>
        <w:spacing w:before="240" w:after="120"/>
        <w:ind w:left="360" w:hanging="360"/>
        <w:rPr>
          <w:rFonts w:ascii="Arial" w:hAnsi="Arial" w:cs="Arial"/>
          <w:color w:val="000000"/>
          <w:szCs w:val="24"/>
        </w:rPr>
      </w:pPr>
      <w:r w:rsidRPr="009B4F48">
        <w:rPr>
          <w:rFonts w:ascii="Arial" w:hAnsi="Arial" w:cs="Arial"/>
          <w:color w:val="000000"/>
          <w:szCs w:val="24"/>
        </w:rPr>
        <w:lastRenderedPageBreak/>
        <w:tab/>
        <w:t xml:space="preserve">The </w:t>
      </w:r>
      <w:r w:rsidR="00F74CF6">
        <w:rPr>
          <w:rFonts w:ascii="Arial" w:hAnsi="Arial" w:cs="Arial"/>
          <w:color w:val="000000"/>
          <w:szCs w:val="24"/>
        </w:rPr>
        <w:t>collection</w:t>
      </w:r>
      <w:r w:rsidRPr="009B4F48">
        <w:rPr>
          <w:rFonts w:ascii="Arial" w:hAnsi="Arial" w:cs="Arial"/>
          <w:color w:val="000000"/>
          <w:szCs w:val="24"/>
        </w:rPr>
        <w:t xml:space="preserve"> will not have a significant impact on a substantial number of small entities.  </w:t>
      </w:r>
    </w:p>
    <w:p w14:paraId="4D2C0189" w14:textId="77777777"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6.</w:t>
      </w:r>
      <w:r w:rsidRPr="009B4F48">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14:paraId="4D85791E" w14:textId="77777777" w:rsidR="003A4BB1" w:rsidRPr="009B4F48" w:rsidRDefault="003A4BB1" w:rsidP="001416FE">
      <w:pPr>
        <w:pStyle w:val="BodyText12pt"/>
        <w:spacing w:after="120"/>
        <w:ind w:left="360"/>
        <w:rPr>
          <w:rFonts w:ascii="Arial" w:hAnsi="Arial" w:cs="Arial"/>
          <w:color w:val="000000"/>
          <w:szCs w:val="24"/>
        </w:rPr>
      </w:pPr>
      <w:r w:rsidRPr="009B4F48">
        <w:rPr>
          <w:rFonts w:ascii="Arial" w:hAnsi="Arial" w:cs="Arial"/>
          <w:color w:val="000000"/>
          <w:szCs w:val="24"/>
        </w:rPr>
        <w:t xml:space="preserve">Before CPDMs can be introduced in coal mines, they must be approved for use by MSHA. </w:t>
      </w:r>
      <w:r w:rsidR="00A03355">
        <w:rPr>
          <w:rFonts w:ascii="Arial" w:hAnsi="Arial" w:cs="Arial"/>
          <w:color w:val="000000"/>
          <w:szCs w:val="24"/>
        </w:rPr>
        <w:t xml:space="preserve"> </w:t>
      </w:r>
      <w:r w:rsidR="00FD49CA" w:rsidRPr="009B4F48">
        <w:rPr>
          <w:rFonts w:ascii="Arial" w:hAnsi="Arial" w:cs="Arial"/>
          <w:color w:val="000000"/>
          <w:szCs w:val="24"/>
        </w:rPr>
        <w:t xml:space="preserve">The approval criteria established in 30 CFR </w:t>
      </w:r>
      <w:r w:rsidR="00F725A8">
        <w:rPr>
          <w:rFonts w:ascii="Arial" w:hAnsi="Arial" w:cs="Arial"/>
          <w:color w:val="000000"/>
          <w:szCs w:val="24"/>
        </w:rPr>
        <w:t xml:space="preserve">Part </w:t>
      </w:r>
      <w:r w:rsidR="00FD49CA" w:rsidRPr="009B4F48">
        <w:rPr>
          <w:rFonts w:ascii="Arial" w:hAnsi="Arial" w:cs="Arial"/>
          <w:color w:val="000000"/>
          <w:szCs w:val="24"/>
        </w:rPr>
        <w:t xml:space="preserve">74 </w:t>
      </w:r>
      <w:r w:rsidRPr="009B4F48">
        <w:rPr>
          <w:rFonts w:ascii="Arial" w:hAnsi="Arial" w:cs="Arial"/>
          <w:color w:val="000000"/>
          <w:szCs w:val="24"/>
        </w:rPr>
        <w:t xml:space="preserve">requires manufacturers to demonstrate that </w:t>
      </w:r>
      <w:r w:rsidR="00FD49CA" w:rsidRPr="009B4F48">
        <w:rPr>
          <w:rFonts w:ascii="Arial" w:hAnsi="Arial" w:cs="Arial"/>
          <w:color w:val="000000"/>
          <w:szCs w:val="24"/>
        </w:rPr>
        <w:t xml:space="preserve">CPDMs </w:t>
      </w:r>
      <w:r w:rsidRPr="009B4F48">
        <w:rPr>
          <w:rFonts w:ascii="Arial" w:hAnsi="Arial" w:cs="Arial"/>
          <w:color w:val="000000"/>
          <w:szCs w:val="24"/>
        </w:rPr>
        <w:t xml:space="preserve">are durable </w:t>
      </w:r>
      <w:r w:rsidR="00D874C3">
        <w:rPr>
          <w:rFonts w:ascii="Arial" w:hAnsi="Arial" w:cs="Arial"/>
          <w:color w:val="000000"/>
          <w:szCs w:val="24"/>
        </w:rPr>
        <w:t>enough to</w:t>
      </w:r>
      <w:r w:rsidRPr="009B4F48">
        <w:rPr>
          <w:rFonts w:ascii="Arial" w:hAnsi="Arial" w:cs="Arial"/>
          <w:color w:val="000000"/>
          <w:szCs w:val="24"/>
        </w:rPr>
        <w:t xml:space="preserve"> withstand the mine environment; can be worn by miners performing normal tasks for an entire work shift; provide accurate and precise measurements; and can be safely used in mine atmospheres where explosive mixtures of gases may occur.</w:t>
      </w:r>
    </w:p>
    <w:p w14:paraId="718DD149" w14:textId="77777777" w:rsidR="003A4BB1" w:rsidRPr="009B4F48" w:rsidRDefault="003A4BB1" w:rsidP="001416FE">
      <w:pPr>
        <w:pStyle w:val="BodyText12pt"/>
        <w:spacing w:after="120"/>
        <w:ind w:left="360"/>
        <w:rPr>
          <w:rFonts w:ascii="Arial" w:hAnsi="Arial" w:cs="Arial"/>
          <w:color w:val="000000"/>
          <w:szCs w:val="24"/>
        </w:rPr>
      </w:pPr>
      <w:r w:rsidRPr="009B4F48">
        <w:rPr>
          <w:rFonts w:ascii="Arial" w:hAnsi="Arial" w:cs="Arial"/>
          <w:color w:val="000000"/>
          <w:szCs w:val="24"/>
        </w:rPr>
        <w:t xml:space="preserve">If </w:t>
      </w:r>
      <w:r w:rsidR="00A03355">
        <w:rPr>
          <w:rFonts w:ascii="Arial" w:hAnsi="Arial" w:cs="Arial"/>
          <w:color w:val="000000"/>
          <w:szCs w:val="24"/>
        </w:rPr>
        <w:t xml:space="preserve">MSHA does not conduct this </w:t>
      </w:r>
      <w:r w:rsidRPr="009B4F48">
        <w:rPr>
          <w:rFonts w:ascii="Arial" w:hAnsi="Arial" w:cs="Arial"/>
          <w:color w:val="000000"/>
          <w:szCs w:val="24"/>
        </w:rPr>
        <w:t xml:space="preserve">information collection </w:t>
      </w:r>
      <w:r w:rsidR="00A03355">
        <w:rPr>
          <w:rFonts w:ascii="Arial" w:hAnsi="Arial" w:cs="Arial"/>
          <w:color w:val="000000"/>
          <w:szCs w:val="24"/>
        </w:rPr>
        <w:t xml:space="preserve">or </w:t>
      </w:r>
      <w:r w:rsidRPr="009B4F48">
        <w:rPr>
          <w:rFonts w:ascii="Arial" w:hAnsi="Arial" w:cs="Arial"/>
          <w:color w:val="000000"/>
          <w:szCs w:val="24"/>
        </w:rPr>
        <w:t>conduct</w:t>
      </w:r>
      <w:r w:rsidR="00A03355">
        <w:rPr>
          <w:rFonts w:ascii="Arial" w:hAnsi="Arial" w:cs="Arial"/>
          <w:color w:val="000000"/>
          <w:szCs w:val="24"/>
        </w:rPr>
        <w:t xml:space="preserve">s it </w:t>
      </w:r>
      <w:r w:rsidRPr="009B4F48">
        <w:rPr>
          <w:rFonts w:ascii="Arial" w:hAnsi="Arial" w:cs="Arial"/>
          <w:color w:val="000000"/>
          <w:szCs w:val="24"/>
        </w:rPr>
        <w:t>less frequently, the Agency may not adequately protect the health of our nation’s miners</w:t>
      </w:r>
      <w:r w:rsidR="0042322F" w:rsidRPr="009B4F48">
        <w:rPr>
          <w:rFonts w:ascii="Arial" w:hAnsi="Arial" w:cs="Arial"/>
          <w:color w:val="000000"/>
          <w:szCs w:val="24"/>
        </w:rPr>
        <w:t>,</w:t>
      </w:r>
      <w:r w:rsidR="00A03355">
        <w:rPr>
          <w:rFonts w:ascii="Arial" w:hAnsi="Arial" w:cs="Arial"/>
          <w:color w:val="000000"/>
          <w:szCs w:val="24"/>
        </w:rPr>
        <w:t xml:space="preserve"> </w:t>
      </w:r>
      <w:r w:rsidRPr="009B4F48">
        <w:rPr>
          <w:rFonts w:ascii="Arial" w:hAnsi="Arial" w:cs="Arial"/>
          <w:color w:val="000000"/>
          <w:szCs w:val="24"/>
        </w:rPr>
        <w:t>which is required by the Federal Mine Safety and Health Act of 1977.</w:t>
      </w:r>
    </w:p>
    <w:p w14:paraId="6C94B72A" w14:textId="77777777"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7.</w:t>
      </w:r>
      <w:r w:rsidRPr="009B4F48">
        <w:rPr>
          <w:rFonts w:ascii="Arial" w:hAnsi="Arial" w:cs="Arial"/>
          <w:b/>
          <w:color w:val="000000"/>
          <w:szCs w:val="24"/>
        </w:rPr>
        <w:tab/>
        <w:t>Explain any special circumstances that would cause an information collection to be conducted in a manner:</w:t>
      </w:r>
    </w:p>
    <w:p w14:paraId="3FE46A8A"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requiring respondents to report information to the agency more often than quarterly;</w:t>
      </w:r>
    </w:p>
    <w:p w14:paraId="780C91AB"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requiring respondents to prepare a written response to a collection of information in fewer than 30 days after receipt of it;</w:t>
      </w:r>
    </w:p>
    <w:p w14:paraId="7149AE8D"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requiring respondents to submit more than an original and two copies of any document;</w:t>
      </w:r>
    </w:p>
    <w:p w14:paraId="5A7B144E"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requiring respondents to retain records, other than health, medical, government contract, grant-in-aid, or tax records for more than three years;</w:t>
      </w:r>
    </w:p>
    <w:p w14:paraId="12F7E6AF"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in connection with a statistical survey, that is not designed to produce valid and reliable results that can be generalized to the universe of study;</w:t>
      </w:r>
    </w:p>
    <w:p w14:paraId="5D52A881"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requiring the use of a statistical data classification that has not been reviewed and approved by OMB;</w:t>
      </w:r>
    </w:p>
    <w:p w14:paraId="0A147791"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121B530"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requiring respondents to submit proprietary trade secret, or other confidential information unless the agency can demonstrate that it has instituted procedures to protect the information's confidentiality to the extent permitted by law.</w:t>
      </w:r>
    </w:p>
    <w:p w14:paraId="373B4936" w14:textId="77777777" w:rsidR="003A4BB1" w:rsidRPr="009B4F48" w:rsidRDefault="003A4BB1" w:rsidP="00B716DB">
      <w:pPr>
        <w:pStyle w:val="BodyText12pt"/>
        <w:spacing w:after="120"/>
        <w:ind w:left="360"/>
        <w:rPr>
          <w:rFonts w:ascii="Arial" w:hAnsi="Arial" w:cs="Arial"/>
          <w:color w:val="000000"/>
          <w:szCs w:val="24"/>
        </w:rPr>
      </w:pPr>
      <w:r w:rsidRPr="009B4F48">
        <w:rPr>
          <w:rFonts w:ascii="Arial" w:hAnsi="Arial" w:cs="Arial"/>
          <w:color w:val="000000"/>
          <w:szCs w:val="24"/>
        </w:rPr>
        <w:lastRenderedPageBreak/>
        <w:t>This collection of information is consistent with the guidelines in 5 C.F.R. </w:t>
      </w:r>
      <w:r w:rsidR="00234082">
        <w:rPr>
          <w:rFonts w:ascii="Arial" w:hAnsi="Arial" w:cs="Arial"/>
          <w:color w:val="000000"/>
          <w:szCs w:val="24"/>
        </w:rPr>
        <w:t>S</w:t>
      </w:r>
      <w:r w:rsidR="00444183">
        <w:rPr>
          <w:rFonts w:ascii="Arial" w:hAnsi="Arial" w:cs="Arial"/>
          <w:color w:val="000000"/>
          <w:szCs w:val="24"/>
        </w:rPr>
        <w:t>ection</w:t>
      </w:r>
      <w:r w:rsidRPr="009B4F48">
        <w:rPr>
          <w:rFonts w:ascii="Arial" w:hAnsi="Arial" w:cs="Arial"/>
          <w:color w:val="000000"/>
          <w:szCs w:val="24"/>
        </w:rPr>
        <w:t xml:space="preserve"> 1320.5.</w:t>
      </w:r>
    </w:p>
    <w:p w14:paraId="44FDAFC1" w14:textId="77777777"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8.</w:t>
      </w:r>
      <w:r w:rsidRPr="009B4F48">
        <w:rPr>
          <w:rFonts w:ascii="Arial" w:hAnsi="Arial" w:cs="Arial"/>
          <w:b/>
          <w:color w:val="000000"/>
          <w:szCs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A3394EE"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266E9C1" w14:textId="77777777" w:rsidR="003A4BB1"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BBF55" w14:textId="77777777" w:rsidR="00237755" w:rsidRDefault="004A0E57" w:rsidP="001416FE">
      <w:pPr>
        <w:pStyle w:val="BodyText12pt"/>
        <w:keepNext/>
        <w:tabs>
          <w:tab w:val="left" w:pos="360"/>
        </w:tabs>
        <w:spacing w:before="240" w:after="120"/>
        <w:ind w:left="360" w:hanging="360"/>
        <w:rPr>
          <w:rFonts w:ascii="Arial" w:hAnsi="Arial" w:cs="Arial"/>
          <w:color w:val="000000"/>
          <w:szCs w:val="24"/>
        </w:rPr>
      </w:pPr>
      <w:r w:rsidRPr="00642495">
        <w:rPr>
          <w:rFonts w:ascii="Arial" w:eastAsia="Arial" w:hAnsi="Arial" w:cs="Arial"/>
          <w:color w:val="000000"/>
        </w:rPr>
        <w:t xml:space="preserve">     </w:t>
      </w:r>
      <w:r w:rsidR="00237755" w:rsidRPr="00642495">
        <w:rPr>
          <w:rFonts w:ascii="Arial" w:eastAsia="Arial" w:hAnsi="Arial" w:cs="Arial"/>
          <w:color w:val="000000"/>
        </w:rPr>
        <w:t xml:space="preserve">MSHA published a 60-day Federal Register notice on March 18, 2016 (81 FR 14895).  MSHA received no </w:t>
      </w:r>
      <w:r w:rsidR="00962085" w:rsidRPr="00642495">
        <w:rPr>
          <w:rFonts w:ascii="Arial" w:eastAsia="Arial" w:hAnsi="Arial" w:cs="Arial"/>
          <w:color w:val="000000"/>
        </w:rPr>
        <w:t xml:space="preserve">public </w:t>
      </w:r>
      <w:r w:rsidR="00237755" w:rsidRPr="00642495">
        <w:rPr>
          <w:rFonts w:ascii="Arial" w:eastAsia="Arial" w:hAnsi="Arial" w:cs="Arial"/>
          <w:color w:val="000000"/>
        </w:rPr>
        <w:t xml:space="preserve">comments.  </w:t>
      </w:r>
    </w:p>
    <w:p w14:paraId="468B7B68" w14:textId="77777777" w:rsidR="003A4BB1" w:rsidRPr="009B4F48" w:rsidRDefault="003A4BB1" w:rsidP="001416FE">
      <w:pPr>
        <w:pStyle w:val="BodyText12pt"/>
        <w:keepNex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9.</w:t>
      </w:r>
      <w:r w:rsidRPr="009B4F48">
        <w:rPr>
          <w:rFonts w:ascii="Arial" w:hAnsi="Arial" w:cs="Arial"/>
          <w:b/>
          <w:color w:val="000000"/>
          <w:szCs w:val="24"/>
        </w:rPr>
        <w:tab/>
        <w:t>Explain any decision to provide any payment or gift to respondents, other than remuneration of contractors or grantees.</w:t>
      </w:r>
    </w:p>
    <w:p w14:paraId="4EF974DE" w14:textId="77777777" w:rsidR="003A4BB1" w:rsidRPr="009B4F48" w:rsidRDefault="003A4BB1" w:rsidP="00AE6661">
      <w:pPr>
        <w:pStyle w:val="BodyText12pt"/>
        <w:spacing w:after="120"/>
        <w:ind w:left="360"/>
        <w:rPr>
          <w:rFonts w:ascii="Arial" w:hAnsi="Arial" w:cs="Arial"/>
          <w:color w:val="000000"/>
          <w:szCs w:val="24"/>
        </w:rPr>
      </w:pPr>
      <w:r w:rsidRPr="009B4F48">
        <w:rPr>
          <w:rFonts w:ascii="Arial" w:hAnsi="Arial" w:cs="Arial"/>
          <w:color w:val="000000"/>
          <w:szCs w:val="24"/>
        </w:rPr>
        <w:t>MSHA has provided no payments or gifts to the respondents identified in this collection.</w:t>
      </w:r>
    </w:p>
    <w:p w14:paraId="7A5C36E3" w14:textId="77777777"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10.</w:t>
      </w:r>
      <w:r w:rsidRPr="009B4F48">
        <w:rPr>
          <w:rFonts w:ascii="Arial" w:hAnsi="Arial" w:cs="Arial"/>
          <w:b/>
          <w:color w:val="000000"/>
          <w:szCs w:val="24"/>
        </w:rPr>
        <w:tab/>
        <w:t>Describe any assurance of confidentiality provided to respondents and the basis for the assurance in statute, regulation, or agency policy.</w:t>
      </w:r>
    </w:p>
    <w:p w14:paraId="595502D5" w14:textId="77777777" w:rsidR="003A4BB1" w:rsidRPr="009B4F48" w:rsidRDefault="003A4BB1" w:rsidP="00BE4AD6">
      <w:pPr>
        <w:pStyle w:val="BodyText12pt"/>
        <w:spacing w:after="120"/>
        <w:ind w:left="360"/>
        <w:rPr>
          <w:rFonts w:ascii="Arial" w:hAnsi="Arial" w:cs="Arial"/>
          <w:color w:val="000000"/>
          <w:szCs w:val="24"/>
        </w:rPr>
      </w:pPr>
      <w:r w:rsidRPr="009B4F48">
        <w:rPr>
          <w:rFonts w:ascii="Arial" w:hAnsi="Arial" w:cs="Arial"/>
          <w:color w:val="000000"/>
          <w:szCs w:val="24"/>
        </w:rPr>
        <w:t xml:space="preserve">There is no assurance of confidentiality provided to respondents. </w:t>
      </w:r>
    </w:p>
    <w:p w14:paraId="4223F37C" w14:textId="77777777"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11.</w:t>
      </w:r>
      <w:r w:rsidRPr="009B4F48">
        <w:rPr>
          <w:rFonts w:ascii="Arial" w:hAnsi="Arial" w:cs="Arial"/>
          <w:b/>
          <w:color w:val="000000"/>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FC5B437" w14:textId="77777777" w:rsidR="003A4BB1" w:rsidRPr="009B4F48" w:rsidRDefault="003A4BB1" w:rsidP="00BE4AD6">
      <w:pPr>
        <w:pStyle w:val="BodyText12pt"/>
        <w:spacing w:after="120"/>
        <w:ind w:firstLine="360"/>
        <w:rPr>
          <w:rFonts w:ascii="Arial" w:hAnsi="Arial" w:cs="Arial"/>
          <w:color w:val="000000"/>
          <w:szCs w:val="24"/>
        </w:rPr>
      </w:pPr>
      <w:r w:rsidRPr="009B4F48">
        <w:rPr>
          <w:rFonts w:ascii="Arial" w:hAnsi="Arial" w:cs="Arial"/>
          <w:color w:val="000000"/>
          <w:szCs w:val="24"/>
        </w:rPr>
        <w:t>There are no questions of a sensitive nature.</w:t>
      </w:r>
    </w:p>
    <w:p w14:paraId="4DDEC6D3" w14:textId="77777777"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12.</w:t>
      </w:r>
      <w:r w:rsidRPr="009B4F48">
        <w:rPr>
          <w:rFonts w:ascii="Arial" w:hAnsi="Arial" w:cs="Arial"/>
          <w:b/>
          <w:color w:val="000000"/>
          <w:szCs w:val="24"/>
        </w:rPr>
        <w:tab/>
        <w:t>Provide estimates of the hour burden of the collection of information.  The statement should:</w:t>
      </w:r>
    </w:p>
    <w:p w14:paraId="21E71B18"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xml:space="preserve">•  Indicate the number of respondents, frequency of response, annual hour burden, and an explanation of how the burden was estimated.  Unless directed </w:t>
      </w:r>
      <w:r w:rsidRPr="009B4F48">
        <w:rPr>
          <w:rFonts w:ascii="Arial" w:hAnsi="Arial" w:cs="Arial"/>
          <w:b/>
          <w:color w:val="000000"/>
          <w:szCs w:val="24"/>
        </w:rPr>
        <w:lastRenderedPageBreak/>
        <w:t>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4D39329"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If this request for approval covers more than one form, provide separate hour burden estimates for each form and aggregate the hour burdens.</w:t>
      </w:r>
    </w:p>
    <w:p w14:paraId="65DC6499"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7C94FAC3" w14:textId="77777777" w:rsidR="003A4BB1" w:rsidRPr="009B4F48" w:rsidRDefault="00AC660D" w:rsidP="00BE4AD6">
      <w:pPr>
        <w:pStyle w:val="BodyText"/>
        <w:ind w:left="360"/>
        <w:rPr>
          <w:rFonts w:ascii="Arial" w:hAnsi="Arial" w:cs="Arial"/>
        </w:rPr>
      </w:pPr>
      <w:r w:rsidRPr="009B4F48">
        <w:rPr>
          <w:rFonts w:ascii="Arial" w:hAnsi="Arial" w:cs="Arial"/>
        </w:rPr>
        <w:t>Section</w:t>
      </w:r>
      <w:r w:rsidR="003A4BB1" w:rsidRPr="009B4F48">
        <w:rPr>
          <w:rFonts w:ascii="Arial" w:hAnsi="Arial" w:cs="Arial"/>
        </w:rPr>
        <w:t xml:space="preserve"> 74.13(b) requires </w:t>
      </w:r>
      <w:r w:rsidR="00D409B8" w:rsidRPr="009B4F48">
        <w:rPr>
          <w:rFonts w:ascii="Arial" w:hAnsi="Arial" w:cs="Arial"/>
        </w:rPr>
        <w:t>an engineer to submit</w:t>
      </w:r>
      <w:r w:rsidR="004567C7">
        <w:rPr>
          <w:rFonts w:ascii="Arial" w:hAnsi="Arial" w:cs="Arial"/>
        </w:rPr>
        <w:t xml:space="preserve"> </w:t>
      </w:r>
      <w:r w:rsidR="003A4BB1" w:rsidRPr="009B4F48">
        <w:rPr>
          <w:rFonts w:ascii="Arial" w:hAnsi="Arial" w:cs="Arial"/>
        </w:rPr>
        <w:t xml:space="preserve">a written application for approval in duplicate to MSHA and NIOSH.  MSHA estimates that it takes an engineer, earning </w:t>
      </w:r>
      <w:r w:rsidR="003A4BB1" w:rsidRPr="005A0401">
        <w:rPr>
          <w:rFonts w:ascii="Arial" w:hAnsi="Arial" w:cs="Arial"/>
        </w:rPr>
        <w:t>$</w:t>
      </w:r>
      <w:r w:rsidR="00D421D5">
        <w:rPr>
          <w:rFonts w:ascii="Arial" w:hAnsi="Arial" w:cs="Arial"/>
        </w:rPr>
        <w:t>68.36</w:t>
      </w:r>
      <w:r w:rsidR="003A4BB1" w:rsidRPr="005A0401">
        <w:rPr>
          <w:rFonts w:ascii="Arial" w:hAnsi="Arial" w:cs="Arial"/>
        </w:rPr>
        <w:t xml:space="preserve"> per hour</w:t>
      </w:r>
      <w:r w:rsidR="003A4BB1" w:rsidRPr="009B4F48">
        <w:rPr>
          <w:rFonts w:ascii="Arial" w:hAnsi="Arial" w:cs="Arial"/>
        </w:rPr>
        <w:t xml:space="preserve">, a total of 40 hours to prepare and compile the materials needed to accompany an application.  MSHA estimates that it takes a clerical employee, earning </w:t>
      </w:r>
      <w:r w:rsidR="003A4BB1" w:rsidRPr="005A0401">
        <w:rPr>
          <w:rFonts w:ascii="Arial" w:hAnsi="Arial" w:cs="Arial"/>
        </w:rPr>
        <w:t>$</w:t>
      </w:r>
      <w:r w:rsidR="00D421D5">
        <w:rPr>
          <w:rFonts w:ascii="Arial" w:hAnsi="Arial" w:cs="Arial"/>
        </w:rPr>
        <w:t>30.23</w:t>
      </w:r>
      <w:r w:rsidR="003A4BB1" w:rsidRPr="005A0401">
        <w:rPr>
          <w:rFonts w:ascii="Arial" w:hAnsi="Arial" w:cs="Arial"/>
        </w:rPr>
        <w:t xml:space="preserve"> per hour</w:t>
      </w:r>
      <w:r w:rsidR="003A4BB1" w:rsidRPr="009B4F48">
        <w:rPr>
          <w:rFonts w:ascii="Arial" w:hAnsi="Arial" w:cs="Arial"/>
        </w:rPr>
        <w:t>, 0.25 hours (15 minutes) to copy and send an application.</w:t>
      </w:r>
      <w:r w:rsidR="00D421D5">
        <w:rPr>
          <w:rStyle w:val="FootnoteReference"/>
          <w:rFonts w:ascii="Arial" w:hAnsi="Arial"/>
        </w:rPr>
        <w:footnoteReference w:id="1"/>
      </w:r>
      <w:r w:rsidR="003A4BB1" w:rsidRPr="009B4F48">
        <w:rPr>
          <w:rFonts w:ascii="Arial" w:hAnsi="Arial" w:cs="Arial"/>
        </w:rPr>
        <w:t xml:space="preserve"> </w:t>
      </w:r>
      <w:r w:rsidR="00D409B8" w:rsidRPr="009B4F48">
        <w:rPr>
          <w:rFonts w:ascii="Arial" w:hAnsi="Arial" w:cs="Arial"/>
        </w:rPr>
        <w:t xml:space="preserve"> </w:t>
      </w:r>
      <w:r w:rsidR="003A4BB1" w:rsidRPr="005A0401">
        <w:rPr>
          <w:rFonts w:ascii="Arial" w:hAnsi="Arial" w:cs="Arial"/>
        </w:rPr>
        <w:t>Table 1 shows 41 burden hours and related costs of approximately $2</w:t>
      </w:r>
      <w:r w:rsidR="00664B1C">
        <w:rPr>
          <w:rFonts w:ascii="Arial" w:hAnsi="Arial" w:cs="Arial"/>
        </w:rPr>
        <w:t>,</w:t>
      </w:r>
      <w:r w:rsidR="00D421D5">
        <w:rPr>
          <w:rFonts w:ascii="Arial" w:hAnsi="Arial" w:cs="Arial"/>
        </w:rPr>
        <w:t>765</w:t>
      </w:r>
      <w:r w:rsidR="00396FEF" w:rsidRPr="005A0401">
        <w:rPr>
          <w:rFonts w:ascii="Arial" w:hAnsi="Arial" w:cs="Arial"/>
        </w:rPr>
        <w:t xml:space="preserve"> </w:t>
      </w:r>
      <w:r w:rsidR="003A4BB1" w:rsidRPr="005A0401">
        <w:rPr>
          <w:rFonts w:ascii="Arial" w:hAnsi="Arial" w:cs="Arial"/>
        </w:rPr>
        <w:t>to prepare the application.</w:t>
      </w:r>
    </w:p>
    <w:p w14:paraId="6ED6CC33" w14:textId="77777777" w:rsidR="003A4BB1" w:rsidRPr="009B4F48" w:rsidRDefault="003A4BB1" w:rsidP="001416FE">
      <w:pPr>
        <w:pStyle w:val="BodyText"/>
        <w:rPr>
          <w:rFonts w:ascii="Arial" w:hAnsi="Arial" w:cs="Arial"/>
        </w:rPr>
      </w:pPr>
    </w:p>
    <w:p w14:paraId="4188EE3E" w14:textId="15A63299" w:rsidR="003A4BB1" w:rsidRPr="009B4F48" w:rsidRDefault="003A4BB1" w:rsidP="00642495">
      <w:pPr>
        <w:pStyle w:val="BodyText"/>
        <w:spacing w:after="0"/>
        <w:jc w:val="center"/>
        <w:rPr>
          <w:rFonts w:ascii="Arial" w:hAnsi="Arial" w:cs="Arial"/>
          <w:b/>
        </w:rPr>
      </w:pPr>
      <w:r w:rsidRPr="009B4F48">
        <w:rPr>
          <w:rFonts w:ascii="Arial" w:hAnsi="Arial" w:cs="Arial"/>
          <w:b/>
        </w:rPr>
        <w:t xml:space="preserve">Table 1:  </w:t>
      </w:r>
      <w:r w:rsidR="00F5479B">
        <w:rPr>
          <w:rFonts w:ascii="Arial" w:hAnsi="Arial" w:cs="Arial"/>
          <w:b/>
        </w:rPr>
        <w:t xml:space="preserve">Estinated Annualied Respondent Hour and Cost </w:t>
      </w:r>
      <w:r w:rsidRPr="009B4F48">
        <w:rPr>
          <w:rFonts w:ascii="Arial" w:hAnsi="Arial" w:cs="Arial"/>
          <w:b/>
        </w:rPr>
        <w:t xml:space="preserve"> Burden </w:t>
      </w:r>
    </w:p>
    <w:tbl>
      <w:tblPr>
        <w:tblW w:w="1003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19"/>
        <w:gridCol w:w="990"/>
        <w:gridCol w:w="990"/>
        <w:gridCol w:w="1272"/>
        <w:gridCol w:w="1260"/>
        <w:gridCol w:w="1080"/>
        <w:gridCol w:w="1068"/>
        <w:gridCol w:w="1260"/>
        <w:gridCol w:w="900"/>
      </w:tblGrid>
      <w:tr w:rsidR="00D421D5" w:rsidRPr="009B4F48" w14:paraId="2B70C1FA" w14:textId="77777777" w:rsidTr="00642495">
        <w:trPr>
          <w:jc w:val="center"/>
        </w:trPr>
        <w:tc>
          <w:tcPr>
            <w:tcW w:w="1219" w:type="dxa"/>
            <w:tcBorders>
              <w:top w:val="double" w:sz="4" w:space="0" w:color="auto"/>
            </w:tcBorders>
            <w:vAlign w:val="bottom"/>
          </w:tcPr>
          <w:p w14:paraId="4F915935" w14:textId="77777777" w:rsidR="003A4BB1" w:rsidRPr="009B4F48" w:rsidRDefault="003A4BB1" w:rsidP="008318E6">
            <w:pPr>
              <w:pStyle w:val="BodyText"/>
              <w:spacing w:after="0"/>
              <w:jc w:val="center"/>
              <w:rPr>
                <w:rFonts w:ascii="Arial" w:hAnsi="Arial" w:cs="Arial"/>
              </w:rPr>
            </w:pPr>
            <w:r w:rsidRPr="009B4F48">
              <w:rPr>
                <w:rFonts w:ascii="Arial" w:hAnsi="Arial" w:cs="Arial"/>
              </w:rPr>
              <w:t>(a)</w:t>
            </w:r>
          </w:p>
        </w:tc>
        <w:tc>
          <w:tcPr>
            <w:tcW w:w="990" w:type="dxa"/>
            <w:tcBorders>
              <w:top w:val="double" w:sz="4" w:space="0" w:color="auto"/>
            </w:tcBorders>
            <w:vAlign w:val="bottom"/>
          </w:tcPr>
          <w:p w14:paraId="3BB776EC" w14:textId="77777777" w:rsidR="003A4BB1" w:rsidRPr="009B4F48" w:rsidRDefault="003A4BB1" w:rsidP="008318E6">
            <w:pPr>
              <w:pStyle w:val="BodyText"/>
              <w:spacing w:after="0"/>
              <w:jc w:val="center"/>
              <w:rPr>
                <w:rFonts w:ascii="Arial" w:hAnsi="Arial" w:cs="Arial"/>
              </w:rPr>
            </w:pPr>
            <w:r w:rsidRPr="009B4F48">
              <w:rPr>
                <w:rFonts w:ascii="Arial" w:hAnsi="Arial" w:cs="Arial"/>
              </w:rPr>
              <w:t>(b)</w:t>
            </w:r>
          </w:p>
        </w:tc>
        <w:tc>
          <w:tcPr>
            <w:tcW w:w="990" w:type="dxa"/>
            <w:tcBorders>
              <w:top w:val="double" w:sz="4" w:space="0" w:color="auto"/>
            </w:tcBorders>
            <w:vAlign w:val="bottom"/>
          </w:tcPr>
          <w:p w14:paraId="43C68447" w14:textId="77777777" w:rsidR="003A4BB1" w:rsidRPr="009B4F48" w:rsidRDefault="003A4BB1" w:rsidP="008318E6">
            <w:pPr>
              <w:pStyle w:val="BodyText"/>
              <w:spacing w:after="0"/>
              <w:jc w:val="center"/>
              <w:rPr>
                <w:rFonts w:ascii="Arial" w:hAnsi="Arial" w:cs="Arial"/>
              </w:rPr>
            </w:pPr>
            <w:r w:rsidRPr="009B4F48">
              <w:rPr>
                <w:rFonts w:ascii="Arial" w:hAnsi="Arial" w:cs="Arial"/>
              </w:rPr>
              <w:t>(c)</w:t>
            </w:r>
          </w:p>
        </w:tc>
        <w:tc>
          <w:tcPr>
            <w:tcW w:w="1272" w:type="dxa"/>
            <w:tcBorders>
              <w:top w:val="double" w:sz="4" w:space="0" w:color="auto"/>
            </w:tcBorders>
            <w:vAlign w:val="bottom"/>
          </w:tcPr>
          <w:p w14:paraId="1C4F224D" w14:textId="77777777" w:rsidR="003A4BB1" w:rsidRPr="009B4F48" w:rsidRDefault="003A4BB1" w:rsidP="008318E6">
            <w:pPr>
              <w:pStyle w:val="BodyText"/>
              <w:spacing w:after="0"/>
              <w:jc w:val="center"/>
              <w:rPr>
                <w:rFonts w:ascii="Arial" w:hAnsi="Arial" w:cs="Arial"/>
              </w:rPr>
            </w:pPr>
            <w:r w:rsidRPr="009B4F48">
              <w:rPr>
                <w:rFonts w:ascii="Arial" w:hAnsi="Arial" w:cs="Arial"/>
              </w:rPr>
              <w:t>(d)</w:t>
            </w:r>
          </w:p>
        </w:tc>
        <w:tc>
          <w:tcPr>
            <w:tcW w:w="1260" w:type="dxa"/>
            <w:tcBorders>
              <w:top w:val="double" w:sz="4" w:space="0" w:color="auto"/>
            </w:tcBorders>
            <w:vAlign w:val="bottom"/>
          </w:tcPr>
          <w:p w14:paraId="22E17D8A" w14:textId="77777777" w:rsidR="003A4BB1" w:rsidRPr="009B4F48" w:rsidRDefault="003A4BB1" w:rsidP="008318E6">
            <w:pPr>
              <w:pStyle w:val="BodyText"/>
              <w:spacing w:after="0"/>
              <w:jc w:val="center"/>
              <w:rPr>
                <w:rFonts w:ascii="Arial" w:hAnsi="Arial" w:cs="Arial"/>
              </w:rPr>
            </w:pPr>
            <w:r w:rsidRPr="009B4F48">
              <w:rPr>
                <w:rFonts w:ascii="Arial" w:hAnsi="Arial" w:cs="Arial"/>
              </w:rPr>
              <w:t>(e)</w:t>
            </w:r>
          </w:p>
        </w:tc>
        <w:tc>
          <w:tcPr>
            <w:tcW w:w="1080" w:type="dxa"/>
            <w:tcBorders>
              <w:top w:val="double" w:sz="4" w:space="0" w:color="auto"/>
            </w:tcBorders>
            <w:vAlign w:val="bottom"/>
          </w:tcPr>
          <w:p w14:paraId="2DAB7D25" w14:textId="77777777" w:rsidR="003A4BB1" w:rsidRPr="009B4F48" w:rsidRDefault="003A4BB1" w:rsidP="008318E6">
            <w:pPr>
              <w:pStyle w:val="BodyText"/>
              <w:spacing w:after="0"/>
              <w:jc w:val="center"/>
              <w:rPr>
                <w:rFonts w:ascii="Arial" w:hAnsi="Arial" w:cs="Arial"/>
              </w:rPr>
            </w:pPr>
            <w:r w:rsidRPr="009B4F48">
              <w:rPr>
                <w:rFonts w:ascii="Arial" w:hAnsi="Arial" w:cs="Arial"/>
              </w:rPr>
              <w:t>(f)</w:t>
            </w:r>
          </w:p>
        </w:tc>
        <w:tc>
          <w:tcPr>
            <w:tcW w:w="1068" w:type="dxa"/>
            <w:tcBorders>
              <w:top w:val="double" w:sz="4" w:space="0" w:color="auto"/>
            </w:tcBorders>
            <w:vAlign w:val="bottom"/>
          </w:tcPr>
          <w:p w14:paraId="579147FA" w14:textId="77777777" w:rsidR="003A4BB1" w:rsidRPr="009B4F48" w:rsidRDefault="003A4BB1" w:rsidP="008318E6">
            <w:pPr>
              <w:pStyle w:val="BodyText"/>
              <w:spacing w:after="0"/>
              <w:jc w:val="center"/>
              <w:rPr>
                <w:rFonts w:ascii="Arial" w:hAnsi="Arial" w:cs="Arial"/>
              </w:rPr>
            </w:pPr>
            <w:r w:rsidRPr="009B4F48">
              <w:rPr>
                <w:rFonts w:ascii="Arial" w:hAnsi="Arial" w:cs="Arial"/>
              </w:rPr>
              <w:t>(g)</w:t>
            </w:r>
          </w:p>
        </w:tc>
        <w:tc>
          <w:tcPr>
            <w:tcW w:w="1260" w:type="dxa"/>
            <w:tcBorders>
              <w:top w:val="double" w:sz="4" w:space="0" w:color="auto"/>
            </w:tcBorders>
            <w:vAlign w:val="bottom"/>
          </w:tcPr>
          <w:p w14:paraId="1A32471D" w14:textId="77777777" w:rsidR="003A4BB1" w:rsidRPr="009B4F48" w:rsidRDefault="003A4BB1" w:rsidP="008318E6">
            <w:pPr>
              <w:pStyle w:val="BodyText"/>
              <w:spacing w:after="0"/>
              <w:jc w:val="center"/>
              <w:rPr>
                <w:rFonts w:ascii="Arial" w:hAnsi="Arial" w:cs="Arial"/>
              </w:rPr>
            </w:pPr>
            <w:r w:rsidRPr="009B4F48">
              <w:rPr>
                <w:rFonts w:ascii="Arial" w:hAnsi="Arial" w:cs="Arial"/>
              </w:rPr>
              <w:t>(h)</w:t>
            </w:r>
          </w:p>
        </w:tc>
        <w:tc>
          <w:tcPr>
            <w:tcW w:w="900" w:type="dxa"/>
            <w:tcBorders>
              <w:top w:val="double" w:sz="4" w:space="0" w:color="auto"/>
            </w:tcBorders>
            <w:vAlign w:val="bottom"/>
          </w:tcPr>
          <w:p w14:paraId="7683AAD0" w14:textId="77777777" w:rsidR="003A4BB1" w:rsidRPr="009B4F48" w:rsidRDefault="003A4BB1" w:rsidP="008318E6">
            <w:pPr>
              <w:pStyle w:val="BodyText"/>
              <w:spacing w:after="0"/>
              <w:jc w:val="center"/>
              <w:rPr>
                <w:rFonts w:ascii="Arial" w:hAnsi="Arial" w:cs="Arial"/>
              </w:rPr>
            </w:pPr>
            <w:r w:rsidRPr="009B4F48">
              <w:rPr>
                <w:rFonts w:ascii="Arial" w:hAnsi="Arial" w:cs="Arial"/>
              </w:rPr>
              <w:t>(i)</w:t>
            </w:r>
          </w:p>
        </w:tc>
      </w:tr>
      <w:tr w:rsidR="00D421D5" w:rsidRPr="009B4F48" w14:paraId="29D5382C" w14:textId="77777777" w:rsidTr="00642495">
        <w:trPr>
          <w:jc w:val="center"/>
        </w:trPr>
        <w:tc>
          <w:tcPr>
            <w:tcW w:w="1219" w:type="dxa"/>
            <w:vAlign w:val="bottom"/>
          </w:tcPr>
          <w:p w14:paraId="1B6C81AF" w14:textId="77777777" w:rsidR="003A4BB1" w:rsidRPr="008E2543" w:rsidRDefault="005A0401" w:rsidP="00D421D5">
            <w:pPr>
              <w:pStyle w:val="BodyText"/>
              <w:spacing w:after="0"/>
              <w:rPr>
                <w:rFonts w:ascii="Arial" w:hAnsi="Arial" w:cs="Arial"/>
                <w:sz w:val="20"/>
                <w:szCs w:val="20"/>
              </w:rPr>
            </w:pPr>
            <w:r>
              <w:rPr>
                <w:rFonts w:ascii="Arial" w:hAnsi="Arial" w:cs="Arial"/>
                <w:sz w:val="20"/>
                <w:szCs w:val="20"/>
              </w:rPr>
              <w:t xml:space="preserve">   </w:t>
            </w:r>
            <w:r w:rsidR="003A4BB1" w:rsidRPr="008E2543">
              <w:rPr>
                <w:rFonts w:ascii="Arial" w:hAnsi="Arial" w:cs="Arial"/>
                <w:sz w:val="20"/>
                <w:szCs w:val="20"/>
              </w:rPr>
              <w:t xml:space="preserve">No. of </w:t>
            </w:r>
            <w:r>
              <w:rPr>
                <w:rFonts w:ascii="Arial" w:hAnsi="Arial" w:cs="Arial"/>
                <w:sz w:val="20"/>
                <w:szCs w:val="20"/>
              </w:rPr>
              <w:t>A</w:t>
            </w:r>
            <w:r w:rsidR="003A4BB1" w:rsidRPr="008E2543">
              <w:rPr>
                <w:rFonts w:ascii="Arial" w:hAnsi="Arial" w:cs="Arial"/>
                <w:sz w:val="20"/>
                <w:szCs w:val="20"/>
              </w:rPr>
              <w:t>pplicants</w:t>
            </w:r>
          </w:p>
        </w:tc>
        <w:tc>
          <w:tcPr>
            <w:tcW w:w="990" w:type="dxa"/>
            <w:vAlign w:val="bottom"/>
          </w:tcPr>
          <w:p w14:paraId="19132B72" w14:textId="77777777"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Time to Compile Material (in hrs.)</w:t>
            </w:r>
          </w:p>
        </w:tc>
        <w:tc>
          <w:tcPr>
            <w:tcW w:w="990" w:type="dxa"/>
            <w:vAlign w:val="bottom"/>
          </w:tcPr>
          <w:p w14:paraId="1453E00A" w14:textId="77777777"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 xml:space="preserve">Time to Copy &amp; Send </w:t>
            </w:r>
            <w:r w:rsidRPr="008E2543">
              <w:rPr>
                <w:rFonts w:ascii="Arial" w:hAnsi="Arial" w:cs="Arial"/>
                <w:sz w:val="18"/>
                <w:szCs w:val="18"/>
              </w:rPr>
              <w:t xml:space="preserve">Material </w:t>
            </w:r>
            <w:r w:rsidRPr="008E2543">
              <w:rPr>
                <w:rFonts w:ascii="Arial" w:hAnsi="Arial" w:cs="Arial"/>
                <w:sz w:val="20"/>
                <w:szCs w:val="20"/>
              </w:rPr>
              <w:t>(in hrs.)</w:t>
            </w:r>
          </w:p>
        </w:tc>
        <w:tc>
          <w:tcPr>
            <w:tcW w:w="1272" w:type="dxa"/>
            <w:vAlign w:val="bottom"/>
          </w:tcPr>
          <w:p w14:paraId="3DAF9094" w14:textId="77777777" w:rsidR="003A4BB1" w:rsidRPr="008E2543" w:rsidRDefault="003A4BB1" w:rsidP="00AC7A33">
            <w:pPr>
              <w:pStyle w:val="BodyText"/>
              <w:spacing w:after="0"/>
              <w:jc w:val="center"/>
              <w:rPr>
                <w:rFonts w:ascii="Arial" w:hAnsi="Arial" w:cs="Arial"/>
                <w:sz w:val="20"/>
                <w:szCs w:val="20"/>
              </w:rPr>
            </w:pPr>
            <w:r w:rsidRPr="008E2543">
              <w:rPr>
                <w:rFonts w:ascii="Arial" w:hAnsi="Arial" w:cs="Arial"/>
                <w:sz w:val="20"/>
                <w:szCs w:val="20"/>
              </w:rPr>
              <w:t>No. of Copies Filed per Application</w:t>
            </w:r>
          </w:p>
        </w:tc>
        <w:tc>
          <w:tcPr>
            <w:tcW w:w="1260" w:type="dxa"/>
            <w:vAlign w:val="bottom"/>
          </w:tcPr>
          <w:p w14:paraId="2F07A800" w14:textId="77777777"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Burden Hours to Compile Materials for Application</w:t>
            </w:r>
          </w:p>
        </w:tc>
        <w:tc>
          <w:tcPr>
            <w:tcW w:w="1080" w:type="dxa"/>
            <w:vAlign w:val="bottom"/>
          </w:tcPr>
          <w:p w14:paraId="16BEC5DF" w14:textId="77777777"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Burden Hours to Copy and Send Materials</w:t>
            </w:r>
          </w:p>
        </w:tc>
        <w:tc>
          <w:tcPr>
            <w:tcW w:w="1068" w:type="dxa"/>
            <w:vAlign w:val="bottom"/>
          </w:tcPr>
          <w:p w14:paraId="57B12A51" w14:textId="77777777"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Engineer Hourly Wage Rate</w:t>
            </w:r>
          </w:p>
        </w:tc>
        <w:tc>
          <w:tcPr>
            <w:tcW w:w="1260" w:type="dxa"/>
            <w:vAlign w:val="bottom"/>
          </w:tcPr>
          <w:p w14:paraId="6757DD3E" w14:textId="77777777"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Clerical Employees Hourly Wage Rate</w:t>
            </w:r>
          </w:p>
        </w:tc>
        <w:tc>
          <w:tcPr>
            <w:tcW w:w="900" w:type="dxa"/>
            <w:vAlign w:val="bottom"/>
          </w:tcPr>
          <w:p w14:paraId="796A3140" w14:textId="23EFDACB" w:rsidR="003A4BB1" w:rsidRPr="008E2543" w:rsidRDefault="00F5479B" w:rsidP="00F5479B">
            <w:pPr>
              <w:pStyle w:val="BodyText"/>
              <w:spacing w:after="0"/>
              <w:jc w:val="center"/>
              <w:rPr>
                <w:rFonts w:ascii="Arial" w:hAnsi="Arial" w:cs="Arial"/>
                <w:sz w:val="20"/>
                <w:szCs w:val="20"/>
                <w:vertAlign w:val="superscript"/>
              </w:rPr>
            </w:pPr>
            <w:r w:rsidRPr="00642495">
              <w:rPr>
                <w:rFonts w:ascii="Arial" w:eastAsia="Arial" w:hAnsi="Arial" w:cs="Arial"/>
                <w:sz w:val="20"/>
                <w:szCs w:val="20"/>
              </w:rPr>
              <w:t xml:space="preserve">Total  </w:t>
            </w:r>
            <w:r w:rsidR="003A4BB1" w:rsidRPr="00642495">
              <w:rPr>
                <w:rFonts w:ascii="Arial" w:eastAsia="Arial" w:hAnsi="Arial" w:cs="Arial"/>
                <w:sz w:val="20"/>
                <w:szCs w:val="20"/>
              </w:rPr>
              <w:t xml:space="preserve">Burden Cost </w:t>
            </w:r>
            <w:r w:rsidR="003A4BB1" w:rsidRPr="00642495">
              <w:rPr>
                <w:rFonts w:ascii="Arial" w:eastAsia="Arial" w:hAnsi="Arial" w:cs="Arial"/>
                <w:sz w:val="20"/>
                <w:szCs w:val="20"/>
                <w:vertAlign w:val="superscript"/>
              </w:rPr>
              <w:t>a</w:t>
            </w:r>
          </w:p>
        </w:tc>
      </w:tr>
      <w:tr w:rsidR="00D421D5" w:rsidRPr="009B4F48" w14:paraId="7DDD30E5" w14:textId="77777777" w:rsidTr="00642495">
        <w:trPr>
          <w:trHeight w:val="215"/>
          <w:jc w:val="center"/>
        </w:trPr>
        <w:tc>
          <w:tcPr>
            <w:tcW w:w="1219" w:type="dxa"/>
            <w:tcBorders>
              <w:bottom w:val="double" w:sz="4" w:space="0" w:color="auto"/>
            </w:tcBorders>
            <w:vAlign w:val="center"/>
          </w:tcPr>
          <w:p w14:paraId="5589F32C" w14:textId="77777777" w:rsidR="003A4BB1" w:rsidRPr="009834A9" w:rsidRDefault="003A4BB1" w:rsidP="00887E9D">
            <w:pPr>
              <w:pStyle w:val="BodyText"/>
              <w:spacing w:after="0"/>
              <w:jc w:val="center"/>
              <w:rPr>
                <w:rFonts w:ascii="Arial" w:hAnsi="Arial" w:cs="Arial"/>
              </w:rPr>
            </w:pPr>
            <w:r w:rsidRPr="009834A9">
              <w:rPr>
                <w:rFonts w:ascii="Arial" w:hAnsi="Arial" w:cs="Arial"/>
                <w:sz w:val="22"/>
                <w:szCs w:val="22"/>
              </w:rPr>
              <w:t>1</w:t>
            </w:r>
          </w:p>
        </w:tc>
        <w:tc>
          <w:tcPr>
            <w:tcW w:w="990" w:type="dxa"/>
            <w:tcBorders>
              <w:bottom w:val="double" w:sz="4" w:space="0" w:color="auto"/>
            </w:tcBorders>
            <w:vAlign w:val="center"/>
          </w:tcPr>
          <w:p w14:paraId="7FC6029D" w14:textId="77777777" w:rsidR="003A4BB1" w:rsidRPr="009834A9" w:rsidRDefault="003A4BB1" w:rsidP="00887E9D">
            <w:pPr>
              <w:pStyle w:val="BodyText"/>
              <w:spacing w:after="0"/>
              <w:jc w:val="center"/>
              <w:rPr>
                <w:rFonts w:ascii="Arial" w:hAnsi="Arial" w:cs="Arial"/>
              </w:rPr>
            </w:pPr>
            <w:r w:rsidRPr="009834A9">
              <w:rPr>
                <w:rFonts w:ascii="Arial" w:hAnsi="Arial" w:cs="Arial"/>
                <w:sz w:val="22"/>
                <w:szCs w:val="22"/>
              </w:rPr>
              <w:t>40</w:t>
            </w:r>
          </w:p>
        </w:tc>
        <w:tc>
          <w:tcPr>
            <w:tcW w:w="990" w:type="dxa"/>
            <w:tcBorders>
              <w:bottom w:val="double" w:sz="4" w:space="0" w:color="auto"/>
            </w:tcBorders>
            <w:vAlign w:val="center"/>
          </w:tcPr>
          <w:p w14:paraId="1B458641" w14:textId="77777777" w:rsidR="003A4BB1" w:rsidRPr="009834A9" w:rsidRDefault="003A4BB1" w:rsidP="00887E9D">
            <w:pPr>
              <w:pStyle w:val="BodyText"/>
              <w:spacing w:after="0"/>
              <w:jc w:val="center"/>
              <w:rPr>
                <w:rFonts w:ascii="Arial" w:hAnsi="Arial" w:cs="Arial"/>
              </w:rPr>
            </w:pPr>
            <w:r w:rsidRPr="009834A9">
              <w:rPr>
                <w:rFonts w:ascii="Arial" w:hAnsi="Arial" w:cs="Arial"/>
                <w:sz w:val="22"/>
                <w:szCs w:val="22"/>
              </w:rPr>
              <w:t>0.25</w:t>
            </w:r>
          </w:p>
        </w:tc>
        <w:tc>
          <w:tcPr>
            <w:tcW w:w="1272" w:type="dxa"/>
            <w:tcBorders>
              <w:bottom w:val="double" w:sz="4" w:space="0" w:color="auto"/>
            </w:tcBorders>
            <w:vAlign w:val="center"/>
          </w:tcPr>
          <w:p w14:paraId="0B080E0D" w14:textId="77777777" w:rsidR="003A4BB1" w:rsidRPr="009834A9" w:rsidRDefault="003A4BB1" w:rsidP="00887E9D">
            <w:pPr>
              <w:pStyle w:val="BodyText"/>
              <w:spacing w:after="0"/>
              <w:jc w:val="center"/>
              <w:rPr>
                <w:rFonts w:ascii="Arial" w:hAnsi="Arial" w:cs="Arial"/>
              </w:rPr>
            </w:pPr>
            <w:r w:rsidRPr="009834A9">
              <w:rPr>
                <w:rFonts w:ascii="Arial" w:hAnsi="Arial" w:cs="Arial"/>
                <w:sz w:val="22"/>
                <w:szCs w:val="22"/>
              </w:rPr>
              <w:t>4</w:t>
            </w:r>
          </w:p>
        </w:tc>
        <w:tc>
          <w:tcPr>
            <w:tcW w:w="1260" w:type="dxa"/>
            <w:tcBorders>
              <w:bottom w:val="double" w:sz="4" w:space="0" w:color="auto"/>
            </w:tcBorders>
            <w:vAlign w:val="center"/>
          </w:tcPr>
          <w:p w14:paraId="2DBFC4E7" w14:textId="77777777" w:rsidR="003A4BB1" w:rsidRPr="009834A9" w:rsidRDefault="003A4BB1" w:rsidP="00887E9D">
            <w:pPr>
              <w:pStyle w:val="BodyText"/>
              <w:spacing w:after="0"/>
              <w:jc w:val="center"/>
              <w:rPr>
                <w:rFonts w:ascii="Arial" w:hAnsi="Arial" w:cs="Arial"/>
              </w:rPr>
            </w:pPr>
            <w:r w:rsidRPr="009834A9">
              <w:rPr>
                <w:rFonts w:ascii="Arial" w:hAnsi="Arial" w:cs="Arial"/>
                <w:sz w:val="22"/>
                <w:szCs w:val="22"/>
              </w:rPr>
              <w:t>40</w:t>
            </w:r>
          </w:p>
        </w:tc>
        <w:tc>
          <w:tcPr>
            <w:tcW w:w="1080" w:type="dxa"/>
            <w:tcBorders>
              <w:bottom w:val="double" w:sz="4" w:space="0" w:color="auto"/>
            </w:tcBorders>
            <w:vAlign w:val="center"/>
          </w:tcPr>
          <w:p w14:paraId="23AF0A76" w14:textId="77777777" w:rsidR="003A4BB1" w:rsidRPr="009834A9" w:rsidRDefault="003A4BB1" w:rsidP="00887E9D">
            <w:pPr>
              <w:pStyle w:val="BodyText"/>
              <w:spacing w:after="0"/>
              <w:jc w:val="center"/>
              <w:rPr>
                <w:rFonts w:ascii="Arial" w:hAnsi="Arial" w:cs="Arial"/>
              </w:rPr>
            </w:pPr>
            <w:r w:rsidRPr="009834A9">
              <w:rPr>
                <w:rFonts w:ascii="Arial" w:hAnsi="Arial" w:cs="Arial"/>
                <w:sz w:val="22"/>
                <w:szCs w:val="22"/>
              </w:rPr>
              <w:t>1</w:t>
            </w:r>
          </w:p>
        </w:tc>
        <w:tc>
          <w:tcPr>
            <w:tcW w:w="1068" w:type="dxa"/>
            <w:tcBorders>
              <w:bottom w:val="double" w:sz="4" w:space="0" w:color="auto"/>
            </w:tcBorders>
            <w:vAlign w:val="center"/>
          </w:tcPr>
          <w:p w14:paraId="4AAD9C12" w14:textId="77777777" w:rsidR="003A4BB1" w:rsidRPr="00887E9D" w:rsidRDefault="003A4BB1" w:rsidP="00931D32">
            <w:pPr>
              <w:pStyle w:val="BodyText"/>
              <w:spacing w:after="0"/>
              <w:jc w:val="center"/>
              <w:rPr>
                <w:rFonts w:ascii="Arial" w:hAnsi="Arial" w:cs="Arial"/>
              </w:rPr>
            </w:pPr>
            <w:r w:rsidRPr="00887E9D">
              <w:rPr>
                <w:rFonts w:ascii="Arial" w:hAnsi="Arial" w:cs="Arial"/>
                <w:sz w:val="22"/>
                <w:szCs w:val="22"/>
              </w:rPr>
              <w:t>$</w:t>
            </w:r>
            <w:r w:rsidR="00931D32">
              <w:rPr>
                <w:rFonts w:ascii="Arial" w:hAnsi="Arial" w:cs="Arial"/>
                <w:sz w:val="22"/>
                <w:szCs w:val="22"/>
              </w:rPr>
              <w:t>68.36</w:t>
            </w:r>
          </w:p>
        </w:tc>
        <w:tc>
          <w:tcPr>
            <w:tcW w:w="1260" w:type="dxa"/>
            <w:tcBorders>
              <w:bottom w:val="double" w:sz="4" w:space="0" w:color="auto"/>
            </w:tcBorders>
            <w:vAlign w:val="center"/>
          </w:tcPr>
          <w:p w14:paraId="4B10D760" w14:textId="77777777" w:rsidR="003A4BB1" w:rsidRPr="00887E9D" w:rsidRDefault="003A4BB1" w:rsidP="00931D32">
            <w:pPr>
              <w:pStyle w:val="BodyText"/>
              <w:spacing w:after="0"/>
              <w:jc w:val="center"/>
              <w:rPr>
                <w:rFonts w:ascii="Arial" w:hAnsi="Arial" w:cs="Arial"/>
              </w:rPr>
            </w:pPr>
            <w:r w:rsidRPr="00887E9D">
              <w:rPr>
                <w:rFonts w:ascii="Arial" w:hAnsi="Arial" w:cs="Arial"/>
                <w:sz w:val="22"/>
                <w:szCs w:val="22"/>
              </w:rPr>
              <w:t>$</w:t>
            </w:r>
            <w:r w:rsidR="00931D32">
              <w:rPr>
                <w:rFonts w:ascii="Arial" w:hAnsi="Arial" w:cs="Arial"/>
                <w:sz w:val="22"/>
                <w:szCs w:val="22"/>
              </w:rPr>
              <w:t>30.23</w:t>
            </w:r>
          </w:p>
        </w:tc>
        <w:tc>
          <w:tcPr>
            <w:tcW w:w="900" w:type="dxa"/>
            <w:tcBorders>
              <w:bottom w:val="double" w:sz="4" w:space="0" w:color="auto"/>
            </w:tcBorders>
            <w:vAlign w:val="center"/>
          </w:tcPr>
          <w:p w14:paraId="12302D12" w14:textId="77777777" w:rsidR="003A4BB1" w:rsidRPr="00887E9D" w:rsidRDefault="003A4BB1" w:rsidP="00D421D5">
            <w:pPr>
              <w:pStyle w:val="BodyText"/>
              <w:spacing w:after="0"/>
              <w:jc w:val="center"/>
              <w:rPr>
                <w:rFonts w:ascii="Arial" w:hAnsi="Arial" w:cs="Arial"/>
              </w:rPr>
            </w:pPr>
            <w:r w:rsidRPr="00887E9D">
              <w:rPr>
                <w:rFonts w:ascii="Arial" w:hAnsi="Arial" w:cs="Arial"/>
                <w:sz w:val="22"/>
                <w:szCs w:val="22"/>
              </w:rPr>
              <w:t>$</w:t>
            </w:r>
            <w:r w:rsidR="00664B1C">
              <w:rPr>
                <w:rFonts w:ascii="Arial" w:hAnsi="Arial" w:cs="Arial"/>
                <w:sz w:val="22"/>
                <w:szCs w:val="22"/>
              </w:rPr>
              <w:t>2,</w:t>
            </w:r>
            <w:r w:rsidR="00D421D5">
              <w:rPr>
                <w:rFonts w:ascii="Arial" w:hAnsi="Arial" w:cs="Arial"/>
                <w:sz w:val="22"/>
                <w:szCs w:val="22"/>
              </w:rPr>
              <w:t>765</w:t>
            </w:r>
          </w:p>
        </w:tc>
      </w:tr>
    </w:tbl>
    <w:p w14:paraId="74B4B3C9" w14:textId="77777777" w:rsidR="003A4BB1" w:rsidRPr="009B4F48" w:rsidRDefault="003A4BB1" w:rsidP="00C9194C">
      <w:pPr>
        <w:pStyle w:val="BodyText"/>
        <w:spacing w:before="60" w:after="0"/>
        <w:rPr>
          <w:rFonts w:ascii="Arial" w:hAnsi="Arial" w:cs="Arial"/>
        </w:rPr>
      </w:pPr>
      <w:r w:rsidRPr="009B4F48">
        <w:rPr>
          <w:rFonts w:ascii="Arial" w:hAnsi="Arial" w:cs="Arial"/>
          <w:vertAlign w:val="superscript"/>
        </w:rPr>
        <w:t>a</w:t>
      </w:r>
      <w:r w:rsidRPr="009B4F48">
        <w:rPr>
          <w:rFonts w:ascii="Arial" w:hAnsi="Arial" w:cs="Arial"/>
        </w:rPr>
        <w:t xml:space="preserve"> </w:t>
      </w:r>
      <w:r w:rsidR="00F5479B">
        <w:rPr>
          <w:rFonts w:ascii="Arial" w:hAnsi="Arial" w:cs="Arial"/>
        </w:rPr>
        <w:t xml:space="preserve">Total </w:t>
      </w:r>
      <w:r w:rsidRPr="009B4F48">
        <w:rPr>
          <w:rFonts w:ascii="Arial" w:hAnsi="Arial" w:cs="Arial"/>
        </w:rPr>
        <w:t xml:space="preserve">Annual </w:t>
      </w:r>
      <w:r w:rsidR="005A0401">
        <w:rPr>
          <w:rFonts w:ascii="Arial" w:hAnsi="Arial" w:cs="Arial"/>
        </w:rPr>
        <w:t xml:space="preserve">Burden </w:t>
      </w:r>
      <w:r w:rsidRPr="009B4F48">
        <w:rPr>
          <w:rFonts w:ascii="Arial" w:hAnsi="Arial" w:cs="Arial"/>
        </w:rPr>
        <w:t>Costs</w:t>
      </w:r>
      <w:r w:rsidR="005A0401">
        <w:rPr>
          <w:rFonts w:ascii="Arial" w:hAnsi="Arial" w:cs="Arial"/>
        </w:rPr>
        <w:t xml:space="preserve"> (col. i)</w:t>
      </w:r>
      <w:r w:rsidRPr="009B4F48">
        <w:rPr>
          <w:rFonts w:ascii="Arial" w:hAnsi="Arial" w:cs="Arial"/>
        </w:rPr>
        <w:t xml:space="preserve"> = (col. e x col. g) + ( col. f x col. h).</w:t>
      </w:r>
    </w:p>
    <w:p w14:paraId="6BA4481A" w14:textId="77777777" w:rsidR="003A4BB1" w:rsidRPr="009B4F48" w:rsidRDefault="003A4BB1" w:rsidP="001416FE">
      <w:pPr>
        <w:pStyle w:val="BodyText"/>
        <w:spacing w:after="0"/>
        <w:rPr>
          <w:rFonts w:ascii="Arial" w:hAnsi="Arial" w:cs="Arial"/>
        </w:rPr>
      </w:pPr>
    </w:p>
    <w:p w14:paraId="7784080E" w14:textId="77777777" w:rsidR="00803B5B" w:rsidRPr="009B4F48" w:rsidRDefault="00F5479B" w:rsidP="00803B5B">
      <w:pPr>
        <w:pStyle w:val="BodyText"/>
        <w:tabs>
          <w:tab w:val="left" w:pos="360"/>
        </w:tabs>
        <w:spacing w:after="0"/>
        <w:ind w:left="360"/>
        <w:rPr>
          <w:rFonts w:ascii="Arial" w:hAnsi="Arial" w:cs="Arial"/>
        </w:rPr>
      </w:pPr>
      <w:r w:rsidRPr="00642495">
        <w:rPr>
          <w:rFonts w:ascii="Arial" w:eastAsia="Arial" w:hAnsi="Arial" w:cs="Arial"/>
          <w:b/>
          <w:bCs/>
        </w:rPr>
        <w:t xml:space="preserve">Total </w:t>
      </w:r>
      <w:r w:rsidR="00803B5B" w:rsidRPr="00642495">
        <w:rPr>
          <w:rFonts w:ascii="Arial" w:eastAsia="Arial" w:hAnsi="Arial" w:cs="Arial"/>
          <w:b/>
          <w:bCs/>
        </w:rPr>
        <w:t>Burden hours</w:t>
      </w:r>
      <w:r w:rsidR="00041FBC" w:rsidRPr="00642495">
        <w:rPr>
          <w:rFonts w:ascii="Arial" w:eastAsia="Arial" w:hAnsi="Arial" w:cs="Arial"/>
          <w:b/>
          <w:bCs/>
        </w:rPr>
        <w:t xml:space="preserve"> </w:t>
      </w:r>
      <w:r w:rsidR="00803B5B" w:rsidRPr="00642495">
        <w:rPr>
          <w:rFonts w:ascii="Arial" w:eastAsia="Arial" w:hAnsi="Arial" w:cs="Arial"/>
        </w:rPr>
        <w:t>= 41</w:t>
      </w:r>
    </w:p>
    <w:p w14:paraId="1BC9BA43" w14:textId="77777777" w:rsidR="00803B5B" w:rsidRPr="009B4F48" w:rsidRDefault="00F5479B" w:rsidP="00803B5B">
      <w:pPr>
        <w:pStyle w:val="BodyText"/>
        <w:tabs>
          <w:tab w:val="left" w:pos="360"/>
        </w:tabs>
        <w:spacing w:after="0"/>
        <w:ind w:left="360"/>
        <w:rPr>
          <w:rFonts w:ascii="Arial" w:hAnsi="Arial" w:cs="Arial"/>
        </w:rPr>
      </w:pPr>
      <w:r w:rsidRPr="00642495">
        <w:rPr>
          <w:rFonts w:ascii="Arial" w:eastAsia="Arial" w:hAnsi="Arial" w:cs="Arial"/>
          <w:b/>
          <w:bCs/>
        </w:rPr>
        <w:t xml:space="preserve">Total </w:t>
      </w:r>
      <w:r w:rsidR="00803B5B" w:rsidRPr="00642495">
        <w:rPr>
          <w:rFonts w:ascii="Arial" w:eastAsia="Arial" w:hAnsi="Arial" w:cs="Arial"/>
          <w:b/>
          <w:bCs/>
        </w:rPr>
        <w:t>Responses</w:t>
      </w:r>
      <w:r w:rsidR="00041FBC" w:rsidRPr="00642495">
        <w:rPr>
          <w:rFonts w:ascii="Arial" w:eastAsia="Arial" w:hAnsi="Arial" w:cs="Arial"/>
          <w:b/>
          <w:bCs/>
        </w:rPr>
        <w:t xml:space="preserve"> </w:t>
      </w:r>
      <w:r w:rsidR="00803B5B" w:rsidRPr="00642495">
        <w:rPr>
          <w:rFonts w:ascii="Arial" w:eastAsia="Arial" w:hAnsi="Arial" w:cs="Arial"/>
        </w:rPr>
        <w:t>= 1</w:t>
      </w:r>
    </w:p>
    <w:p w14:paraId="5EA3B596" w14:textId="77777777" w:rsidR="00803B5B" w:rsidRPr="009B4F48" w:rsidRDefault="00F5479B" w:rsidP="00803B5B">
      <w:pPr>
        <w:pStyle w:val="BodyText"/>
        <w:tabs>
          <w:tab w:val="left" w:pos="360"/>
        </w:tabs>
        <w:spacing w:after="0"/>
        <w:ind w:left="360"/>
        <w:rPr>
          <w:rFonts w:ascii="Arial" w:hAnsi="Arial" w:cs="Arial"/>
        </w:rPr>
      </w:pPr>
      <w:r w:rsidRPr="00642495">
        <w:rPr>
          <w:rFonts w:ascii="Arial" w:eastAsia="Arial" w:hAnsi="Arial" w:cs="Arial"/>
          <w:b/>
          <w:bCs/>
        </w:rPr>
        <w:t xml:space="preserve">Total </w:t>
      </w:r>
      <w:r w:rsidR="00803B5B" w:rsidRPr="00642495">
        <w:rPr>
          <w:rFonts w:ascii="Arial" w:eastAsia="Arial" w:hAnsi="Arial" w:cs="Arial"/>
          <w:b/>
          <w:bCs/>
        </w:rPr>
        <w:t>Respondents</w:t>
      </w:r>
      <w:r w:rsidR="00041FBC" w:rsidRPr="00642495">
        <w:rPr>
          <w:rFonts w:ascii="Arial" w:eastAsia="Arial" w:hAnsi="Arial" w:cs="Arial"/>
          <w:b/>
          <w:bCs/>
        </w:rPr>
        <w:t xml:space="preserve"> </w:t>
      </w:r>
      <w:r w:rsidR="00803B5B" w:rsidRPr="00642495">
        <w:rPr>
          <w:rFonts w:ascii="Arial" w:eastAsia="Arial" w:hAnsi="Arial" w:cs="Arial"/>
        </w:rPr>
        <w:t>= 1</w:t>
      </w:r>
    </w:p>
    <w:p w14:paraId="41905BFA" w14:textId="77777777" w:rsidR="00803B5B" w:rsidRPr="009B4F48" w:rsidRDefault="00803B5B" w:rsidP="00803B5B">
      <w:pPr>
        <w:widowControl/>
        <w:tabs>
          <w:tab w:val="left" w:pos="360"/>
          <w:tab w:val="left" w:pos="720"/>
        </w:tabs>
        <w:ind w:left="720"/>
        <w:rPr>
          <w:rFonts w:ascii="Arial" w:hAnsi="Arial" w:cs="Arial"/>
          <w:color w:val="000000"/>
        </w:rPr>
      </w:pPr>
    </w:p>
    <w:p w14:paraId="7B83D249" w14:textId="77777777" w:rsidR="003A4BB1" w:rsidRPr="009B4F48" w:rsidRDefault="003A4BB1" w:rsidP="001416FE">
      <w:pPr>
        <w:pStyle w:val="BodyText12pt"/>
        <w:tabs>
          <w:tab w:val="left" w:pos="360"/>
        </w:tabs>
        <w:spacing w:before="240" w:after="120"/>
        <w:ind w:left="360" w:hanging="360"/>
        <w:rPr>
          <w:rFonts w:ascii="Arial" w:hAnsi="Arial" w:cs="Arial"/>
          <w:b/>
          <w:bCs/>
          <w:color w:val="000000"/>
          <w:szCs w:val="24"/>
        </w:rPr>
      </w:pPr>
      <w:r w:rsidRPr="009B4F48">
        <w:rPr>
          <w:rFonts w:ascii="Arial" w:hAnsi="Arial" w:cs="Arial"/>
          <w:b/>
          <w:bCs/>
          <w:color w:val="000000"/>
          <w:szCs w:val="24"/>
        </w:rPr>
        <w:lastRenderedPageBreak/>
        <w:t>13.</w:t>
      </w:r>
      <w:r w:rsidRPr="009B4F48">
        <w:rPr>
          <w:rFonts w:ascii="Arial" w:hAnsi="Arial" w:cs="Arial"/>
          <w:b/>
          <w:bCs/>
          <w:color w:val="000000"/>
          <w:szCs w:val="24"/>
        </w:rPr>
        <w:tab/>
        <w:t>Provide an estimate of the total annual cost burden to respondents or record keepers resulting from the collection of information.  (Do not include the cost of any hour burden</w:t>
      </w:r>
      <w:r w:rsidR="00304BB9">
        <w:rPr>
          <w:rFonts w:ascii="Arial" w:hAnsi="Arial" w:cs="Arial"/>
          <w:b/>
          <w:bCs/>
          <w:color w:val="000000"/>
          <w:szCs w:val="24"/>
        </w:rPr>
        <w:t>s already reflected on the burden workshet</w:t>
      </w:r>
      <w:r w:rsidRPr="009B4F48">
        <w:rPr>
          <w:rFonts w:ascii="Arial" w:hAnsi="Arial" w:cs="Arial"/>
          <w:b/>
          <w:bCs/>
          <w:color w:val="000000"/>
          <w:szCs w:val="24"/>
        </w:rPr>
        <w:t>).</w:t>
      </w:r>
    </w:p>
    <w:p w14:paraId="01372B7A" w14:textId="77777777" w:rsidR="003A4BB1" w:rsidRPr="009B4F48" w:rsidRDefault="003A4BB1" w:rsidP="001416FE">
      <w:pPr>
        <w:pStyle w:val="BodyText12pt"/>
        <w:spacing w:after="120"/>
        <w:ind w:left="360"/>
        <w:rPr>
          <w:rFonts w:ascii="Arial" w:hAnsi="Arial" w:cs="Arial"/>
          <w:b/>
          <w:szCs w:val="24"/>
        </w:rPr>
      </w:pPr>
      <w:r w:rsidRPr="009B4F48">
        <w:rPr>
          <w:rFonts w:ascii="Arial" w:hAnsi="Arial" w:cs="Arial"/>
          <w:b/>
          <w:szCs w:val="24"/>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DE472A1" w14:textId="77777777" w:rsidR="003A4BB1" w:rsidRPr="009B4F48" w:rsidRDefault="003A4BB1" w:rsidP="001416FE">
      <w:pPr>
        <w:pStyle w:val="BodyText12pt"/>
        <w:spacing w:after="120"/>
        <w:ind w:left="360"/>
        <w:rPr>
          <w:rFonts w:ascii="Arial" w:hAnsi="Arial" w:cs="Arial"/>
          <w:b/>
          <w:szCs w:val="24"/>
        </w:rPr>
      </w:pPr>
      <w:r w:rsidRPr="009B4F48">
        <w:rPr>
          <w:rFonts w:ascii="Arial" w:hAnsi="Arial" w:cs="Arial"/>
          <w:b/>
          <w:szCs w:val="24"/>
        </w:rPr>
        <w:t>•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009B4F48">
        <w:rPr>
          <w:rFonts w:ascii="Arial" w:hAnsi="Arial" w:cs="Arial"/>
          <w:b/>
          <w:szCs w:val="24"/>
        </w:rPr>
        <w:noBreakHyphen/>
        <w:t>day pre-OMB submission public comment process and use existing economic or regulatory impact analysis associated with the rulemaking containing the information collection, as appropriate.</w:t>
      </w:r>
    </w:p>
    <w:p w14:paraId="0F856C37" w14:textId="77777777" w:rsidR="003A4BB1" w:rsidRPr="009B4F48" w:rsidRDefault="003A4BB1" w:rsidP="001416FE">
      <w:pPr>
        <w:pStyle w:val="BodyText12pt"/>
        <w:spacing w:after="120"/>
        <w:ind w:left="360"/>
        <w:rPr>
          <w:rFonts w:ascii="Arial" w:hAnsi="Arial" w:cs="Arial"/>
          <w:b/>
          <w:szCs w:val="24"/>
        </w:rPr>
      </w:pPr>
      <w:r w:rsidRPr="009B4F48">
        <w:rPr>
          <w:rFonts w:ascii="Arial" w:hAnsi="Arial" w:cs="Arial"/>
          <w:b/>
          <w:szCs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6404230" w14:textId="77777777" w:rsidR="003A4BB1" w:rsidRPr="009B4F48" w:rsidRDefault="00152ACA" w:rsidP="00BE4AD6">
      <w:pPr>
        <w:ind w:left="360"/>
        <w:rPr>
          <w:rFonts w:ascii="Arial" w:hAnsi="Arial" w:cs="Arial"/>
        </w:rPr>
      </w:pPr>
      <w:r w:rsidRPr="009B4F48">
        <w:rPr>
          <w:rFonts w:ascii="Arial" w:hAnsi="Arial" w:cs="Arial"/>
        </w:rPr>
        <w:t>Sections</w:t>
      </w:r>
      <w:r w:rsidR="003A4BB1" w:rsidRPr="009B4F48">
        <w:rPr>
          <w:rFonts w:ascii="Arial" w:hAnsi="Arial" w:cs="Arial"/>
        </w:rPr>
        <w:t> 74.7 and 74.8 require tests that the applicant must have performed by a third party.  These tests are for</w:t>
      </w:r>
      <w:r w:rsidR="00180301" w:rsidRPr="009B4F48">
        <w:rPr>
          <w:rFonts w:ascii="Arial" w:hAnsi="Arial" w:cs="Arial"/>
        </w:rPr>
        <w:t xml:space="preserve"> the following</w:t>
      </w:r>
      <w:r w:rsidR="003A4BB1" w:rsidRPr="009B4F48">
        <w:rPr>
          <w:rFonts w:ascii="Arial" w:hAnsi="Arial" w:cs="Arial"/>
        </w:rPr>
        <w:t>: ergonomic design (</w:t>
      </w:r>
      <w:r w:rsidR="00444183">
        <w:rPr>
          <w:rFonts w:ascii="Arial" w:hAnsi="Arial" w:cs="Arial"/>
        </w:rPr>
        <w:t>section</w:t>
      </w:r>
      <w:r w:rsidR="003A4BB1" w:rsidRPr="009B4F48">
        <w:rPr>
          <w:rFonts w:ascii="Arial" w:hAnsi="Arial" w:cs="Arial"/>
        </w:rPr>
        <w:t> 74.7(b)); environmental conditions (</w:t>
      </w:r>
      <w:r w:rsidR="00444183">
        <w:rPr>
          <w:rFonts w:ascii="Arial" w:hAnsi="Arial" w:cs="Arial"/>
        </w:rPr>
        <w:t>section</w:t>
      </w:r>
      <w:r w:rsidR="003A4BB1" w:rsidRPr="009B4F48">
        <w:rPr>
          <w:rFonts w:ascii="Arial" w:hAnsi="Arial" w:cs="Arial"/>
        </w:rPr>
        <w:t> 74.7(e)); electromagnetic interference (</w:t>
      </w:r>
      <w:r w:rsidR="00444183">
        <w:rPr>
          <w:rFonts w:ascii="Arial" w:hAnsi="Arial" w:cs="Arial"/>
        </w:rPr>
        <w:t>section</w:t>
      </w:r>
      <w:r w:rsidR="003A4BB1" w:rsidRPr="009B4F48">
        <w:rPr>
          <w:rFonts w:ascii="Arial" w:hAnsi="Arial" w:cs="Arial"/>
        </w:rPr>
        <w:t> 74.7(f)); flow stability and calibration of pump (</w:t>
      </w:r>
      <w:r w:rsidR="00444183">
        <w:rPr>
          <w:rFonts w:ascii="Arial" w:hAnsi="Arial" w:cs="Arial"/>
        </w:rPr>
        <w:t>section</w:t>
      </w:r>
      <w:r w:rsidR="003A4BB1" w:rsidRPr="009B4F48">
        <w:rPr>
          <w:rFonts w:ascii="Arial" w:hAnsi="Arial" w:cs="Arial"/>
        </w:rPr>
        <w:t> 74.7(j)); and accuracy testing, which includes reliability measurement, precision, and bias testing (</w:t>
      </w:r>
      <w:r w:rsidR="00444183">
        <w:rPr>
          <w:rFonts w:ascii="Arial" w:hAnsi="Arial" w:cs="Arial"/>
        </w:rPr>
        <w:t>sections</w:t>
      </w:r>
      <w:r w:rsidR="003A4BB1" w:rsidRPr="009B4F48">
        <w:rPr>
          <w:rFonts w:ascii="Arial" w:hAnsi="Arial" w:cs="Arial"/>
        </w:rPr>
        <w:t xml:space="preserve"> 74.8(c), (d), and (e)).  MSHA estimates that it costs approximately </w:t>
      </w:r>
      <w:r w:rsidR="003A4BB1" w:rsidRPr="00642495">
        <w:rPr>
          <w:rFonts w:ascii="Arial" w:hAnsi="Arial" w:cs="Arial"/>
          <w:b/>
        </w:rPr>
        <w:t>$250,00</w:t>
      </w:r>
      <w:r w:rsidR="00697E14" w:rsidRPr="00642495">
        <w:rPr>
          <w:rFonts w:ascii="Arial" w:hAnsi="Arial" w:cs="Arial"/>
          <w:b/>
        </w:rPr>
        <w:t>0</w:t>
      </w:r>
      <w:r w:rsidR="003A4BB1" w:rsidRPr="009B4F48">
        <w:rPr>
          <w:rFonts w:ascii="Arial" w:hAnsi="Arial" w:cs="Arial"/>
        </w:rPr>
        <w:t xml:space="preserve"> to perform these tests.  MSHA’s estimate of the costs to perform these tests </w:t>
      </w:r>
      <w:r w:rsidR="00180301" w:rsidRPr="009B4F48">
        <w:rPr>
          <w:rFonts w:ascii="Arial" w:hAnsi="Arial" w:cs="Arial"/>
        </w:rPr>
        <w:t>i</w:t>
      </w:r>
      <w:r w:rsidR="003A4BB1" w:rsidRPr="009B4F48">
        <w:rPr>
          <w:rFonts w:ascii="Arial" w:hAnsi="Arial" w:cs="Arial"/>
        </w:rPr>
        <w:t>s based on the cost of the tests provided by MSHA’s Coal Mine Safety and Health Division.</w:t>
      </w:r>
    </w:p>
    <w:p w14:paraId="6EFA336D" w14:textId="77777777" w:rsidR="003A4BB1" w:rsidRPr="009B4F48" w:rsidRDefault="003A4BB1" w:rsidP="001416FE">
      <w:pPr>
        <w:rPr>
          <w:rFonts w:ascii="Arial" w:hAnsi="Arial" w:cs="Arial"/>
        </w:rPr>
      </w:pPr>
    </w:p>
    <w:p w14:paraId="34C72DC1" w14:textId="77777777" w:rsidR="003A4BB1" w:rsidRPr="009B4F48" w:rsidRDefault="00152ACA" w:rsidP="007707AB">
      <w:pPr>
        <w:pStyle w:val="BodyText"/>
        <w:ind w:left="360"/>
        <w:rPr>
          <w:rFonts w:ascii="Arial" w:hAnsi="Arial" w:cs="Arial"/>
        </w:rPr>
      </w:pPr>
      <w:r w:rsidRPr="009B4F48">
        <w:rPr>
          <w:rFonts w:ascii="Arial" w:hAnsi="Arial" w:cs="Arial"/>
        </w:rPr>
        <w:t>Section</w:t>
      </w:r>
      <w:r w:rsidR="003A4BB1" w:rsidRPr="009B4F48">
        <w:rPr>
          <w:rFonts w:ascii="Arial" w:hAnsi="Arial" w:cs="Arial"/>
        </w:rPr>
        <w:t xml:space="preserve"> 74.11 requires that the applicant submit the CPDM to MSHA for testing and evaluation, under </w:t>
      </w:r>
      <w:r w:rsidR="00444183">
        <w:rPr>
          <w:rFonts w:ascii="Arial" w:hAnsi="Arial" w:cs="Arial"/>
        </w:rPr>
        <w:t>section</w:t>
      </w:r>
      <w:r w:rsidR="003A4BB1" w:rsidRPr="009B4F48">
        <w:rPr>
          <w:rFonts w:ascii="Arial" w:hAnsi="Arial" w:cs="Arial"/>
        </w:rPr>
        <w:t xml:space="preserve"> 18.68, to determine whether the electronic components of the CPDM submitted for approval meet the applicable permissibility requirements.  The following tests would be performed by MSHA under </w:t>
      </w:r>
      <w:r w:rsidR="00444183">
        <w:rPr>
          <w:rFonts w:ascii="Arial" w:hAnsi="Arial" w:cs="Arial"/>
        </w:rPr>
        <w:t>section</w:t>
      </w:r>
      <w:r w:rsidR="003A4BB1" w:rsidRPr="009B4F48">
        <w:rPr>
          <w:rFonts w:ascii="Arial" w:hAnsi="Arial" w:cs="Arial"/>
        </w:rPr>
        <w:t xml:space="preserve"> 18.68(a)(1):  current limiting resistor adequacy test; coal dust thermal ignition test; optical isolator test; impact test and force test of encapsulated electrical assemblies; drop testing </w:t>
      </w:r>
      <w:r w:rsidR="003A4BB1" w:rsidRPr="009B4F48">
        <w:rPr>
          <w:rFonts w:ascii="Arial" w:hAnsi="Arial" w:cs="Arial"/>
        </w:rPr>
        <w:lastRenderedPageBreak/>
        <w:t xml:space="preserve">intrinsically safe apparatus; mechanical test of partitions; piezoelectric device impact test; and dielectric strength test.  The battery flash current test would be performed under </w:t>
      </w:r>
      <w:r w:rsidR="00444183">
        <w:rPr>
          <w:rFonts w:ascii="Arial" w:hAnsi="Arial" w:cs="Arial"/>
        </w:rPr>
        <w:t>sections</w:t>
      </w:r>
      <w:r w:rsidR="003A4BB1" w:rsidRPr="009B4F48">
        <w:rPr>
          <w:rFonts w:ascii="Arial" w:hAnsi="Arial" w:cs="Arial"/>
        </w:rPr>
        <w:t xml:space="preserve"> 18.68(a)(1) and (b)(1).  The methane thermal ignition test would be performed under </w:t>
      </w:r>
      <w:r w:rsidR="00444183">
        <w:rPr>
          <w:rFonts w:ascii="Arial" w:hAnsi="Arial" w:cs="Arial"/>
        </w:rPr>
        <w:t>sections</w:t>
      </w:r>
      <w:r w:rsidR="003A4BB1" w:rsidRPr="009B4F48">
        <w:rPr>
          <w:rFonts w:ascii="Arial" w:hAnsi="Arial" w:cs="Arial"/>
        </w:rPr>
        <w:t xml:space="preserve"> 18.68(a)(1) and (b)(6).  The maximum surface temperature test would be performed under </w:t>
      </w:r>
      <w:r w:rsidR="00444183">
        <w:rPr>
          <w:rFonts w:ascii="Arial" w:hAnsi="Arial" w:cs="Arial"/>
        </w:rPr>
        <w:t>section</w:t>
      </w:r>
      <w:r w:rsidR="003A4BB1" w:rsidRPr="009B4F48">
        <w:rPr>
          <w:rFonts w:ascii="Arial" w:hAnsi="Arial" w:cs="Arial"/>
        </w:rPr>
        <w:t xml:space="preserve"> 18.68(a)(1) and (b)(3).  The spark ignition test would be performed under </w:t>
      </w:r>
      <w:r w:rsidR="00444183">
        <w:rPr>
          <w:rFonts w:ascii="Arial" w:hAnsi="Arial" w:cs="Arial"/>
        </w:rPr>
        <w:t>sections</w:t>
      </w:r>
      <w:r w:rsidR="003A4BB1" w:rsidRPr="009B4F48">
        <w:rPr>
          <w:rFonts w:ascii="Arial" w:hAnsi="Arial" w:cs="Arial"/>
        </w:rPr>
        <w:t> 18.68(a)(1), (a)(2), (a)(4), (a)(5), (b)(4), and (b)(5).</w:t>
      </w:r>
    </w:p>
    <w:p w14:paraId="03D88C13" w14:textId="77777777" w:rsidR="003A4BB1" w:rsidRPr="009B4F48" w:rsidRDefault="003A4BB1" w:rsidP="007707AB">
      <w:pPr>
        <w:pStyle w:val="BodyText"/>
        <w:ind w:left="360"/>
        <w:rPr>
          <w:rFonts w:ascii="Arial" w:hAnsi="Arial" w:cs="Arial"/>
        </w:rPr>
      </w:pPr>
      <w:r w:rsidRPr="009B4F48">
        <w:rPr>
          <w:rFonts w:ascii="Arial" w:hAnsi="Arial" w:cs="Arial"/>
        </w:rPr>
        <w:t xml:space="preserve">MSHA estimates that it will take an average of 45 hours to evaluate and 40 hours to test each application.  MSHA charges an hourly fee of </w:t>
      </w:r>
      <w:r w:rsidRPr="00664B1C">
        <w:rPr>
          <w:rFonts w:ascii="Arial" w:hAnsi="Arial" w:cs="Arial"/>
        </w:rPr>
        <w:t>$</w:t>
      </w:r>
      <w:r w:rsidR="009B5DF5">
        <w:rPr>
          <w:rFonts w:ascii="Arial" w:hAnsi="Arial" w:cs="Arial"/>
        </w:rPr>
        <w:t xml:space="preserve">121 </w:t>
      </w:r>
      <w:r w:rsidRPr="009B4F48">
        <w:rPr>
          <w:rFonts w:ascii="Arial" w:hAnsi="Arial" w:cs="Arial"/>
        </w:rPr>
        <w:t xml:space="preserve">per hour for evaluation and testing time.  Table 2 shows that the estimated annual cost for MSHA to perform evaluation and testing on the application is approximately </w:t>
      </w:r>
      <w:r w:rsidRPr="00642495">
        <w:rPr>
          <w:rFonts w:ascii="Arial" w:hAnsi="Arial" w:cs="Arial"/>
          <w:b/>
        </w:rPr>
        <w:t>$10,</w:t>
      </w:r>
      <w:r w:rsidR="00664B1C" w:rsidRPr="00642495">
        <w:rPr>
          <w:rFonts w:ascii="Arial" w:hAnsi="Arial" w:cs="Arial"/>
          <w:b/>
        </w:rPr>
        <w:t>285</w:t>
      </w:r>
      <w:r w:rsidRPr="009B4F48">
        <w:rPr>
          <w:rFonts w:ascii="Arial" w:hAnsi="Arial" w:cs="Arial"/>
        </w:rPr>
        <w:t>.</w:t>
      </w:r>
    </w:p>
    <w:p w14:paraId="2F7FCAA9" w14:textId="77777777" w:rsidR="003A4BB1" w:rsidRPr="009B4F48" w:rsidRDefault="003A4BB1" w:rsidP="001416FE">
      <w:pPr>
        <w:pStyle w:val="BodyText"/>
        <w:rPr>
          <w:rFonts w:ascii="Arial" w:hAnsi="Arial" w:cs="Arial"/>
        </w:rPr>
      </w:pPr>
    </w:p>
    <w:p w14:paraId="26B771CD" w14:textId="77777777" w:rsidR="003A4BB1" w:rsidRPr="009B4F48" w:rsidRDefault="003A4BB1" w:rsidP="001416FE">
      <w:pPr>
        <w:pStyle w:val="BodyText"/>
        <w:jc w:val="center"/>
        <w:rPr>
          <w:rFonts w:ascii="Arial" w:hAnsi="Arial" w:cs="Arial"/>
          <w:b/>
        </w:rPr>
      </w:pPr>
      <w:r w:rsidRPr="009B4F48">
        <w:rPr>
          <w:rFonts w:ascii="Arial" w:hAnsi="Arial" w:cs="Arial"/>
          <w:b/>
        </w:rPr>
        <w:t>Table 2:  Annual Costs for MSHA Evaluation and Testing</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404"/>
        <w:gridCol w:w="1260"/>
        <w:gridCol w:w="1080"/>
        <w:gridCol w:w="1044"/>
        <w:gridCol w:w="1404"/>
      </w:tblGrid>
      <w:tr w:rsidR="009B5DF5" w:rsidRPr="009B4F48" w14:paraId="06B288C5" w14:textId="77777777" w:rsidTr="009834A9">
        <w:trPr>
          <w:jc w:val="center"/>
        </w:trPr>
        <w:tc>
          <w:tcPr>
            <w:tcW w:w="1404" w:type="dxa"/>
            <w:tcBorders>
              <w:top w:val="double" w:sz="4" w:space="0" w:color="auto"/>
            </w:tcBorders>
            <w:vAlign w:val="bottom"/>
          </w:tcPr>
          <w:p w14:paraId="398AE6C9" w14:textId="77777777" w:rsidR="009B5DF5" w:rsidRPr="009B4F48" w:rsidRDefault="009B5DF5" w:rsidP="008318E6">
            <w:pPr>
              <w:pStyle w:val="BodyText"/>
              <w:spacing w:after="0"/>
              <w:jc w:val="center"/>
              <w:rPr>
                <w:rFonts w:ascii="Arial" w:hAnsi="Arial" w:cs="Arial"/>
              </w:rPr>
            </w:pPr>
            <w:r w:rsidRPr="009B4F48">
              <w:rPr>
                <w:rFonts w:ascii="Arial" w:hAnsi="Arial" w:cs="Arial"/>
              </w:rPr>
              <w:t>(a)</w:t>
            </w:r>
          </w:p>
        </w:tc>
        <w:tc>
          <w:tcPr>
            <w:tcW w:w="1260" w:type="dxa"/>
            <w:tcBorders>
              <w:top w:val="double" w:sz="4" w:space="0" w:color="auto"/>
            </w:tcBorders>
            <w:vAlign w:val="bottom"/>
          </w:tcPr>
          <w:p w14:paraId="64378A83" w14:textId="77777777" w:rsidR="009B5DF5" w:rsidRPr="009B4F48" w:rsidRDefault="009B5DF5" w:rsidP="008318E6">
            <w:pPr>
              <w:pStyle w:val="BodyText"/>
              <w:spacing w:after="0"/>
              <w:jc w:val="center"/>
              <w:rPr>
                <w:rFonts w:ascii="Arial" w:hAnsi="Arial" w:cs="Arial"/>
              </w:rPr>
            </w:pPr>
            <w:r w:rsidRPr="009B4F48">
              <w:rPr>
                <w:rFonts w:ascii="Arial" w:hAnsi="Arial" w:cs="Arial"/>
              </w:rPr>
              <w:t>(b)</w:t>
            </w:r>
          </w:p>
        </w:tc>
        <w:tc>
          <w:tcPr>
            <w:tcW w:w="1080" w:type="dxa"/>
            <w:tcBorders>
              <w:top w:val="double" w:sz="4" w:space="0" w:color="auto"/>
            </w:tcBorders>
            <w:vAlign w:val="bottom"/>
          </w:tcPr>
          <w:p w14:paraId="45CBEB29" w14:textId="77777777" w:rsidR="009B5DF5" w:rsidRPr="009B4F48" w:rsidRDefault="009B5DF5" w:rsidP="008318E6">
            <w:pPr>
              <w:pStyle w:val="BodyText"/>
              <w:spacing w:after="0"/>
              <w:jc w:val="center"/>
              <w:rPr>
                <w:rFonts w:ascii="Arial" w:hAnsi="Arial" w:cs="Arial"/>
              </w:rPr>
            </w:pPr>
            <w:r w:rsidRPr="009B4F48">
              <w:rPr>
                <w:rFonts w:ascii="Arial" w:hAnsi="Arial" w:cs="Arial"/>
              </w:rPr>
              <w:t>(c)</w:t>
            </w:r>
          </w:p>
        </w:tc>
        <w:tc>
          <w:tcPr>
            <w:tcW w:w="1044" w:type="dxa"/>
            <w:tcBorders>
              <w:top w:val="double" w:sz="4" w:space="0" w:color="auto"/>
            </w:tcBorders>
            <w:vAlign w:val="bottom"/>
          </w:tcPr>
          <w:p w14:paraId="4F1D9EBA" w14:textId="77777777" w:rsidR="009B5DF5" w:rsidRPr="009B4F48" w:rsidRDefault="009B5DF5" w:rsidP="008318E6">
            <w:pPr>
              <w:pStyle w:val="BodyText"/>
              <w:spacing w:after="0"/>
              <w:jc w:val="center"/>
              <w:rPr>
                <w:rFonts w:ascii="Arial" w:hAnsi="Arial" w:cs="Arial"/>
              </w:rPr>
            </w:pPr>
            <w:r w:rsidRPr="009B4F48">
              <w:rPr>
                <w:rFonts w:ascii="Arial" w:hAnsi="Arial" w:cs="Arial"/>
              </w:rPr>
              <w:t>(d)</w:t>
            </w:r>
          </w:p>
        </w:tc>
        <w:tc>
          <w:tcPr>
            <w:tcW w:w="1404" w:type="dxa"/>
            <w:tcBorders>
              <w:top w:val="double" w:sz="4" w:space="0" w:color="auto"/>
            </w:tcBorders>
            <w:vAlign w:val="bottom"/>
          </w:tcPr>
          <w:p w14:paraId="24E3D072" w14:textId="77777777" w:rsidR="009B5DF5" w:rsidRPr="009B4F48" w:rsidRDefault="009B5DF5" w:rsidP="009B5DF5">
            <w:pPr>
              <w:pStyle w:val="BodyText"/>
              <w:spacing w:after="0"/>
              <w:jc w:val="center"/>
              <w:rPr>
                <w:rFonts w:ascii="Arial" w:hAnsi="Arial" w:cs="Arial"/>
              </w:rPr>
            </w:pPr>
            <w:r w:rsidRPr="009B4F48">
              <w:rPr>
                <w:rFonts w:ascii="Arial" w:hAnsi="Arial" w:cs="Arial"/>
              </w:rPr>
              <w:t>(</w:t>
            </w:r>
            <w:r>
              <w:rPr>
                <w:rFonts w:ascii="Arial" w:hAnsi="Arial" w:cs="Arial"/>
              </w:rPr>
              <w:t>e</w:t>
            </w:r>
            <w:r w:rsidRPr="009B4F48">
              <w:rPr>
                <w:rFonts w:ascii="Arial" w:hAnsi="Arial" w:cs="Arial"/>
              </w:rPr>
              <w:t>)</w:t>
            </w:r>
          </w:p>
        </w:tc>
      </w:tr>
      <w:tr w:rsidR="009B5DF5" w:rsidRPr="009B4F48" w14:paraId="077EEEF5" w14:textId="77777777" w:rsidTr="009834A9">
        <w:trPr>
          <w:jc w:val="center"/>
        </w:trPr>
        <w:tc>
          <w:tcPr>
            <w:tcW w:w="1404" w:type="dxa"/>
            <w:vAlign w:val="bottom"/>
          </w:tcPr>
          <w:p w14:paraId="2209AD5F" w14:textId="77777777" w:rsidR="009B5DF5" w:rsidRPr="008E2543" w:rsidRDefault="009B5DF5" w:rsidP="008318E6">
            <w:pPr>
              <w:pStyle w:val="BodyText"/>
              <w:spacing w:after="0"/>
              <w:rPr>
                <w:rFonts w:ascii="Arial" w:hAnsi="Arial" w:cs="Arial"/>
                <w:sz w:val="20"/>
                <w:szCs w:val="20"/>
              </w:rPr>
            </w:pPr>
            <w:r w:rsidRPr="008E2543">
              <w:rPr>
                <w:rFonts w:ascii="Arial" w:hAnsi="Arial" w:cs="Arial"/>
                <w:sz w:val="20"/>
                <w:szCs w:val="20"/>
              </w:rPr>
              <w:t>No. of Applicants</w:t>
            </w:r>
          </w:p>
        </w:tc>
        <w:tc>
          <w:tcPr>
            <w:tcW w:w="1260" w:type="dxa"/>
            <w:vAlign w:val="center"/>
          </w:tcPr>
          <w:p w14:paraId="43ABBD58" w14:textId="77777777" w:rsidR="009B5DF5" w:rsidRPr="008E2543" w:rsidRDefault="009B5DF5" w:rsidP="008318E6">
            <w:pPr>
              <w:pStyle w:val="BodyText"/>
              <w:spacing w:after="0"/>
              <w:jc w:val="center"/>
              <w:rPr>
                <w:rFonts w:ascii="Arial" w:hAnsi="Arial" w:cs="Arial"/>
                <w:sz w:val="20"/>
                <w:szCs w:val="20"/>
              </w:rPr>
            </w:pPr>
            <w:r w:rsidRPr="008E2543">
              <w:rPr>
                <w:rFonts w:ascii="Arial" w:hAnsi="Arial" w:cs="Arial"/>
                <w:sz w:val="20"/>
                <w:szCs w:val="20"/>
              </w:rPr>
              <w:t>Time for Evaluation (in hrs.)</w:t>
            </w:r>
          </w:p>
        </w:tc>
        <w:tc>
          <w:tcPr>
            <w:tcW w:w="1080" w:type="dxa"/>
            <w:vAlign w:val="center"/>
          </w:tcPr>
          <w:p w14:paraId="55E6CECD" w14:textId="43A974F6" w:rsidR="009B5DF5" w:rsidRPr="008E2543" w:rsidRDefault="009B5DF5" w:rsidP="00AC2FB6">
            <w:pPr>
              <w:pStyle w:val="BodyText"/>
              <w:spacing w:after="0"/>
              <w:jc w:val="center"/>
              <w:rPr>
                <w:rFonts w:ascii="Arial" w:hAnsi="Arial" w:cs="Arial"/>
                <w:sz w:val="20"/>
                <w:szCs w:val="20"/>
              </w:rPr>
            </w:pPr>
            <w:r w:rsidRPr="008E2543">
              <w:rPr>
                <w:rFonts w:ascii="Arial" w:hAnsi="Arial" w:cs="Arial"/>
                <w:sz w:val="20"/>
                <w:szCs w:val="20"/>
              </w:rPr>
              <w:t>Time for Testing (in hrs.)</w:t>
            </w:r>
          </w:p>
        </w:tc>
        <w:tc>
          <w:tcPr>
            <w:tcW w:w="1044" w:type="dxa"/>
            <w:vAlign w:val="bottom"/>
          </w:tcPr>
          <w:p w14:paraId="4FCB5697" w14:textId="77777777" w:rsidR="009B5DF5" w:rsidRPr="008E2543" w:rsidRDefault="009B5DF5" w:rsidP="008318E6">
            <w:pPr>
              <w:pStyle w:val="BodyText"/>
              <w:spacing w:after="0"/>
              <w:jc w:val="center"/>
              <w:rPr>
                <w:rFonts w:ascii="Arial" w:hAnsi="Arial" w:cs="Arial"/>
                <w:sz w:val="20"/>
                <w:szCs w:val="20"/>
              </w:rPr>
            </w:pPr>
            <w:r w:rsidRPr="008E2543">
              <w:rPr>
                <w:rFonts w:ascii="Arial" w:hAnsi="Arial" w:cs="Arial"/>
                <w:sz w:val="20"/>
                <w:szCs w:val="20"/>
              </w:rPr>
              <w:t>Hourly Rate</w:t>
            </w:r>
          </w:p>
        </w:tc>
        <w:tc>
          <w:tcPr>
            <w:tcW w:w="1404" w:type="dxa"/>
            <w:vAlign w:val="center"/>
          </w:tcPr>
          <w:p w14:paraId="2071F0AB" w14:textId="77777777" w:rsidR="009B5DF5" w:rsidRPr="008E2543" w:rsidRDefault="009B5DF5" w:rsidP="008318E6">
            <w:pPr>
              <w:pStyle w:val="BodyText"/>
              <w:spacing w:after="0"/>
              <w:jc w:val="center"/>
              <w:rPr>
                <w:rFonts w:ascii="Arial" w:hAnsi="Arial" w:cs="Arial"/>
                <w:sz w:val="20"/>
                <w:szCs w:val="20"/>
                <w:vertAlign w:val="superscript"/>
              </w:rPr>
            </w:pPr>
            <w:r w:rsidRPr="008E2543">
              <w:rPr>
                <w:rFonts w:ascii="Arial" w:hAnsi="Arial" w:cs="Arial"/>
                <w:sz w:val="20"/>
                <w:szCs w:val="20"/>
              </w:rPr>
              <w:t xml:space="preserve">Annual Cost </w:t>
            </w:r>
            <w:r w:rsidRPr="008E2543">
              <w:rPr>
                <w:rFonts w:ascii="Arial" w:hAnsi="Arial" w:cs="Arial"/>
                <w:sz w:val="20"/>
                <w:szCs w:val="20"/>
                <w:vertAlign w:val="superscript"/>
              </w:rPr>
              <w:t>a</w:t>
            </w:r>
          </w:p>
        </w:tc>
      </w:tr>
      <w:tr w:rsidR="009B5DF5" w:rsidRPr="009B4F48" w14:paraId="38BE763A" w14:textId="77777777" w:rsidTr="009834A9">
        <w:trPr>
          <w:jc w:val="center"/>
        </w:trPr>
        <w:tc>
          <w:tcPr>
            <w:tcW w:w="1404" w:type="dxa"/>
            <w:tcBorders>
              <w:bottom w:val="double" w:sz="4" w:space="0" w:color="auto"/>
            </w:tcBorders>
            <w:vAlign w:val="bottom"/>
          </w:tcPr>
          <w:p w14:paraId="6E8F5D65" w14:textId="77777777" w:rsidR="009B5DF5" w:rsidRPr="009834A9" w:rsidRDefault="009B5DF5" w:rsidP="00D818CA">
            <w:pPr>
              <w:pStyle w:val="BodyText"/>
              <w:spacing w:after="0"/>
              <w:jc w:val="center"/>
              <w:rPr>
                <w:rFonts w:ascii="Arial" w:hAnsi="Arial" w:cs="Arial"/>
              </w:rPr>
            </w:pPr>
            <w:r w:rsidRPr="009834A9">
              <w:rPr>
                <w:rFonts w:ascii="Arial" w:hAnsi="Arial" w:cs="Arial"/>
                <w:sz w:val="22"/>
                <w:szCs w:val="22"/>
              </w:rPr>
              <w:t>1</w:t>
            </w:r>
          </w:p>
        </w:tc>
        <w:tc>
          <w:tcPr>
            <w:tcW w:w="1260" w:type="dxa"/>
            <w:tcBorders>
              <w:bottom w:val="double" w:sz="4" w:space="0" w:color="auto"/>
            </w:tcBorders>
            <w:vAlign w:val="bottom"/>
          </w:tcPr>
          <w:p w14:paraId="7F327313" w14:textId="77777777" w:rsidR="009B5DF5" w:rsidRPr="009834A9" w:rsidRDefault="009B5DF5" w:rsidP="00D818CA">
            <w:pPr>
              <w:pStyle w:val="BodyText"/>
              <w:spacing w:after="0"/>
              <w:jc w:val="center"/>
              <w:rPr>
                <w:rFonts w:ascii="Arial" w:hAnsi="Arial" w:cs="Arial"/>
              </w:rPr>
            </w:pPr>
            <w:r w:rsidRPr="009834A9">
              <w:rPr>
                <w:rFonts w:ascii="Arial" w:hAnsi="Arial" w:cs="Arial"/>
                <w:sz w:val="22"/>
                <w:szCs w:val="22"/>
              </w:rPr>
              <w:t>45</w:t>
            </w:r>
          </w:p>
        </w:tc>
        <w:tc>
          <w:tcPr>
            <w:tcW w:w="1080" w:type="dxa"/>
            <w:tcBorders>
              <w:bottom w:val="double" w:sz="4" w:space="0" w:color="auto"/>
            </w:tcBorders>
            <w:vAlign w:val="bottom"/>
          </w:tcPr>
          <w:p w14:paraId="62FDE112" w14:textId="77777777" w:rsidR="009B5DF5" w:rsidRPr="009834A9" w:rsidRDefault="009B5DF5" w:rsidP="00D818CA">
            <w:pPr>
              <w:pStyle w:val="BodyText"/>
              <w:spacing w:after="0"/>
              <w:jc w:val="center"/>
              <w:rPr>
                <w:rFonts w:ascii="Arial" w:hAnsi="Arial" w:cs="Arial"/>
              </w:rPr>
            </w:pPr>
            <w:r w:rsidRPr="009834A9">
              <w:rPr>
                <w:rFonts w:ascii="Arial" w:hAnsi="Arial" w:cs="Arial"/>
                <w:sz w:val="22"/>
                <w:szCs w:val="22"/>
              </w:rPr>
              <w:t>40</w:t>
            </w:r>
          </w:p>
        </w:tc>
        <w:tc>
          <w:tcPr>
            <w:tcW w:w="1044" w:type="dxa"/>
            <w:tcBorders>
              <w:bottom w:val="double" w:sz="4" w:space="0" w:color="auto"/>
            </w:tcBorders>
            <w:vAlign w:val="bottom"/>
          </w:tcPr>
          <w:p w14:paraId="0C80709A" w14:textId="77777777" w:rsidR="009B5DF5" w:rsidRPr="00664B1C" w:rsidRDefault="00830956" w:rsidP="00D818CA">
            <w:pPr>
              <w:pStyle w:val="BodyText"/>
              <w:spacing w:after="0"/>
              <w:jc w:val="center"/>
              <w:rPr>
                <w:rFonts w:ascii="Arial" w:hAnsi="Arial" w:cs="Arial"/>
              </w:rPr>
            </w:pPr>
            <w:r>
              <w:rPr>
                <w:rFonts w:ascii="Arial" w:hAnsi="Arial" w:cs="Arial"/>
                <w:sz w:val="22"/>
                <w:szCs w:val="22"/>
              </w:rPr>
              <w:t>$</w:t>
            </w:r>
            <w:r w:rsidR="009B5DF5" w:rsidRPr="00D818CA">
              <w:rPr>
                <w:rFonts w:ascii="Arial" w:hAnsi="Arial" w:cs="Arial"/>
                <w:sz w:val="22"/>
                <w:szCs w:val="22"/>
              </w:rPr>
              <w:t>121</w:t>
            </w:r>
          </w:p>
        </w:tc>
        <w:tc>
          <w:tcPr>
            <w:tcW w:w="1404" w:type="dxa"/>
            <w:tcBorders>
              <w:bottom w:val="double" w:sz="4" w:space="0" w:color="auto"/>
            </w:tcBorders>
            <w:vAlign w:val="bottom"/>
          </w:tcPr>
          <w:p w14:paraId="08021A0B" w14:textId="77777777" w:rsidR="009B5DF5" w:rsidRPr="00664B1C" w:rsidRDefault="009B5DF5" w:rsidP="00D818CA">
            <w:pPr>
              <w:pStyle w:val="BodyText"/>
              <w:spacing w:after="0"/>
              <w:jc w:val="center"/>
              <w:rPr>
                <w:rFonts w:ascii="Arial" w:hAnsi="Arial" w:cs="Arial"/>
              </w:rPr>
            </w:pPr>
            <w:r w:rsidRPr="00664B1C">
              <w:rPr>
                <w:rFonts w:ascii="Arial" w:hAnsi="Arial" w:cs="Arial"/>
                <w:sz w:val="22"/>
                <w:szCs w:val="22"/>
              </w:rPr>
              <w:t>$10,</w:t>
            </w:r>
            <w:r w:rsidR="00664B1C">
              <w:rPr>
                <w:rFonts w:ascii="Arial" w:hAnsi="Arial" w:cs="Arial"/>
                <w:sz w:val="22"/>
                <w:szCs w:val="22"/>
              </w:rPr>
              <w:t>285</w:t>
            </w:r>
          </w:p>
        </w:tc>
      </w:tr>
    </w:tbl>
    <w:p w14:paraId="01CEF707" w14:textId="77777777" w:rsidR="003A4BB1" w:rsidRPr="009B4F48" w:rsidRDefault="003A4BB1" w:rsidP="00624EF5">
      <w:pPr>
        <w:pStyle w:val="BodyText"/>
        <w:spacing w:before="60"/>
        <w:rPr>
          <w:rFonts w:ascii="Arial" w:hAnsi="Arial" w:cs="Arial"/>
        </w:rPr>
      </w:pPr>
      <w:r w:rsidRPr="009B4F48">
        <w:rPr>
          <w:rFonts w:ascii="Arial" w:hAnsi="Arial" w:cs="Arial"/>
        </w:rPr>
        <w:tab/>
      </w:r>
      <w:r w:rsidRPr="009B4F48">
        <w:rPr>
          <w:rFonts w:ascii="Arial" w:hAnsi="Arial" w:cs="Arial"/>
        </w:rPr>
        <w:tab/>
      </w:r>
      <w:r w:rsidRPr="009B4F48">
        <w:rPr>
          <w:rFonts w:ascii="Arial" w:hAnsi="Arial" w:cs="Arial"/>
          <w:vertAlign w:val="superscript"/>
        </w:rPr>
        <w:t>a</w:t>
      </w:r>
      <w:r w:rsidRPr="009B4F48">
        <w:rPr>
          <w:rFonts w:ascii="Arial" w:hAnsi="Arial" w:cs="Arial"/>
        </w:rPr>
        <w:t xml:space="preserve"> Annual Cost = col. a x [(col. b x col. d) + (col. c x col. d)].</w:t>
      </w:r>
    </w:p>
    <w:p w14:paraId="3E30F011" w14:textId="77777777" w:rsidR="003A4BB1" w:rsidRPr="009B4F48" w:rsidRDefault="003A4BB1" w:rsidP="001416FE">
      <w:pPr>
        <w:pStyle w:val="BodyText"/>
        <w:rPr>
          <w:rFonts w:ascii="Arial" w:hAnsi="Arial" w:cs="Arial"/>
        </w:rPr>
      </w:pPr>
    </w:p>
    <w:p w14:paraId="23E879A0" w14:textId="77777777" w:rsidR="003A4BB1" w:rsidRPr="009B4F48" w:rsidRDefault="00BB0E2F" w:rsidP="007707AB">
      <w:pPr>
        <w:pStyle w:val="BodyText"/>
        <w:ind w:left="360"/>
        <w:rPr>
          <w:rFonts w:ascii="Arial" w:hAnsi="Arial" w:cs="Arial"/>
        </w:rPr>
      </w:pPr>
      <w:r w:rsidRPr="009B4F48">
        <w:rPr>
          <w:rFonts w:ascii="Arial" w:hAnsi="Arial" w:cs="Arial"/>
        </w:rPr>
        <w:t>Section</w:t>
      </w:r>
      <w:r w:rsidR="003A4BB1" w:rsidRPr="009B4F48">
        <w:rPr>
          <w:rFonts w:ascii="Arial" w:hAnsi="Arial" w:cs="Arial"/>
        </w:rPr>
        <w:t xml:space="preserve"> 74.13(b) requires </w:t>
      </w:r>
      <w:r w:rsidR="00305AEA" w:rsidRPr="009B4F48">
        <w:rPr>
          <w:rFonts w:ascii="Arial" w:hAnsi="Arial" w:cs="Arial"/>
        </w:rPr>
        <w:t xml:space="preserve">an applicant to submit </w:t>
      </w:r>
      <w:r w:rsidR="003A4BB1" w:rsidRPr="009B4F48">
        <w:rPr>
          <w:rFonts w:ascii="Arial" w:hAnsi="Arial" w:cs="Arial"/>
        </w:rPr>
        <w:t xml:space="preserve">a written application for approval to MSHA and NIOSH in duplicate.  Four copies would need to be made (2 copies for MSHA and 2 copies for NIOSH).  Table 3, shows that the estimated annual costs to submit the applications are </w:t>
      </w:r>
      <w:r w:rsidR="003A4BB1" w:rsidRPr="00642495">
        <w:rPr>
          <w:rFonts w:ascii="Arial" w:hAnsi="Arial" w:cs="Arial"/>
          <w:b/>
        </w:rPr>
        <w:t>$</w:t>
      </w:r>
      <w:r w:rsidR="00396FEF" w:rsidRPr="00642495">
        <w:rPr>
          <w:rFonts w:ascii="Arial" w:hAnsi="Arial" w:cs="Arial"/>
          <w:b/>
        </w:rPr>
        <w:t>170</w:t>
      </w:r>
      <w:r w:rsidR="003A4BB1" w:rsidRPr="00642495">
        <w:rPr>
          <w:rFonts w:ascii="Arial" w:hAnsi="Arial" w:cs="Arial"/>
          <w:b/>
        </w:rPr>
        <w:t>.</w:t>
      </w:r>
    </w:p>
    <w:p w14:paraId="7D49712E" w14:textId="77777777" w:rsidR="003A4BB1" w:rsidRPr="009B4F48" w:rsidRDefault="003A4BB1" w:rsidP="008E150C">
      <w:pPr>
        <w:pStyle w:val="BodyText"/>
        <w:ind w:left="720"/>
        <w:rPr>
          <w:rFonts w:ascii="Arial" w:hAnsi="Arial" w:cs="Arial"/>
        </w:rPr>
      </w:pPr>
    </w:p>
    <w:p w14:paraId="35B02A73" w14:textId="77777777" w:rsidR="003A4BB1" w:rsidRPr="009B4F48" w:rsidRDefault="003A4BB1" w:rsidP="00624EF5">
      <w:pPr>
        <w:pStyle w:val="BodyText"/>
        <w:jc w:val="center"/>
        <w:rPr>
          <w:rFonts w:ascii="Arial" w:hAnsi="Arial" w:cs="Arial"/>
          <w:b/>
        </w:rPr>
      </w:pPr>
      <w:r w:rsidRPr="009B4F48">
        <w:rPr>
          <w:rFonts w:ascii="Arial" w:hAnsi="Arial" w:cs="Arial"/>
          <w:b/>
        </w:rPr>
        <w:t>Table 3:  Annual Burden Cost to Copy and Submit Applications</w:t>
      </w:r>
    </w:p>
    <w:tbl>
      <w:tblPr>
        <w:tblW w:w="743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8"/>
        <w:gridCol w:w="1481"/>
        <w:gridCol w:w="1399"/>
        <w:gridCol w:w="900"/>
        <w:gridCol w:w="1481"/>
        <w:gridCol w:w="900"/>
      </w:tblGrid>
      <w:tr w:rsidR="003A4BB1" w:rsidRPr="009B4F48" w14:paraId="7C1F3499" w14:textId="77777777" w:rsidTr="008318E6">
        <w:trPr>
          <w:trHeight w:val="287"/>
          <w:jc w:val="center"/>
        </w:trPr>
        <w:tc>
          <w:tcPr>
            <w:tcW w:w="1278" w:type="dxa"/>
            <w:tcBorders>
              <w:top w:val="double" w:sz="4" w:space="0" w:color="auto"/>
            </w:tcBorders>
            <w:vAlign w:val="bottom"/>
          </w:tcPr>
          <w:p w14:paraId="3383D5B6" w14:textId="77777777" w:rsidR="003A4BB1" w:rsidRPr="009B4F48" w:rsidRDefault="003A4BB1" w:rsidP="008318E6">
            <w:pPr>
              <w:pStyle w:val="BodyText"/>
              <w:spacing w:after="0"/>
              <w:jc w:val="center"/>
              <w:rPr>
                <w:rFonts w:ascii="Arial" w:hAnsi="Arial" w:cs="Arial"/>
              </w:rPr>
            </w:pPr>
            <w:r w:rsidRPr="009B4F48">
              <w:rPr>
                <w:rFonts w:ascii="Arial" w:hAnsi="Arial" w:cs="Arial"/>
              </w:rPr>
              <w:t>(a)</w:t>
            </w:r>
          </w:p>
        </w:tc>
        <w:tc>
          <w:tcPr>
            <w:tcW w:w="1481" w:type="dxa"/>
            <w:tcBorders>
              <w:top w:val="double" w:sz="4" w:space="0" w:color="auto"/>
            </w:tcBorders>
            <w:vAlign w:val="bottom"/>
          </w:tcPr>
          <w:p w14:paraId="15879A65" w14:textId="77777777" w:rsidR="003A4BB1" w:rsidRPr="009B4F48" w:rsidRDefault="003A4BB1" w:rsidP="008318E6">
            <w:pPr>
              <w:pStyle w:val="BodyText"/>
              <w:spacing w:after="0"/>
              <w:jc w:val="center"/>
              <w:rPr>
                <w:rFonts w:ascii="Arial" w:hAnsi="Arial" w:cs="Arial"/>
              </w:rPr>
            </w:pPr>
            <w:r w:rsidRPr="009B4F48">
              <w:rPr>
                <w:rFonts w:ascii="Arial" w:hAnsi="Arial" w:cs="Arial"/>
              </w:rPr>
              <w:t>(b)</w:t>
            </w:r>
          </w:p>
        </w:tc>
        <w:tc>
          <w:tcPr>
            <w:tcW w:w="1399" w:type="dxa"/>
            <w:tcBorders>
              <w:top w:val="double" w:sz="4" w:space="0" w:color="auto"/>
            </w:tcBorders>
            <w:vAlign w:val="bottom"/>
          </w:tcPr>
          <w:p w14:paraId="19CCB7B0" w14:textId="77777777" w:rsidR="003A4BB1" w:rsidRPr="009B4F48" w:rsidRDefault="003A4BB1" w:rsidP="008318E6">
            <w:pPr>
              <w:pStyle w:val="BodyText"/>
              <w:spacing w:after="0"/>
              <w:jc w:val="center"/>
              <w:rPr>
                <w:rFonts w:ascii="Arial" w:hAnsi="Arial" w:cs="Arial"/>
              </w:rPr>
            </w:pPr>
            <w:r w:rsidRPr="009B4F48">
              <w:rPr>
                <w:rFonts w:ascii="Arial" w:hAnsi="Arial" w:cs="Arial"/>
              </w:rPr>
              <w:t>(c)</w:t>
            </w:r>
          </w:p>
        </w:tc>
        <w:tc>
          <w:tcPr>
            <w:tcW w:w="900" w:type="dxa"/>
            <w:tcBorders>
              <w:top w:val="double" w:sz="4" w:space="0" w:color="auto"/>
            </w:tcBorders>
            <w:vAlign w:val="bottom"/>
          </w:tcPr>
          <w:p w14:paraId="57D27107" w14:textId="77777777" w:rsidR="003A4BB1" w:rsidRPr="009B4F48" w:rsidRDefault="003A4BB1" w:rsidP="008318E6">
            <w:pPr>
              <w:pStyle w:val="BodyText"/>
              <w:spacing w:after="0"/>
              <w:jc w:val="center"/>
              <w:rPr>
                <w:rFonts w:ascii="Arial" w:hAnsi="Arial" w:cs="Arial"/>
              </w:rPr>
            </w:pPr>
            <w:r w:rsidRPr="009B4F48">
              <w:rPr>
                <w:rFonts w:ascii="Arial" w:hAnsi="Arial" w:cs="Arial"/>
              </w:rPr>
              <w:t>(d)</w:t>
            </w:r>
          </w:p>
        </w:tc>
        <w:tc>
          <w:tcPr>
            <w:tcW w:w="1481" w:type="dxa"/>
            <w:tcBorders>
              <w:top w:val="double" w:sz="4" w:space="0" w:color="auto"/>
            </w:tcBorders>
            <w:vAlign w:val="bottom"/>
          </w:tcPr>
          <w:p w14:paraId="3329EF10" w14:textId="77777777" w:rsidR="003A4BB1" w:rsidRPr="009B4F48" w:rsidRDefault="003A4BB1" w:rsidP="008318E6">
            <w:pPr>
              <w:pStyle w:val="BodyText"/>
              <w:spacing w:after="0"/>
              <w:jc w:val="center"/>
              <w:rPr>
                <w:rFonts w:ascii="Arial" w:hAnsi="Arial" w:cs="Arial"/>
              </w:rPr>
            </w:pPr>
            <w:r w:rsidRPr="009B4F48">
              <w:rPr>
                <w:rFonts w:ascii="Arial" w:hAnsi="Arial" w:cs="Arial"/>
              </w:rPr>
              <w:t>(e)</w:t>
            </w:r>
          </w:p>
        </w:tc>
        <w:tc>
          <w:tcPr>
            <w:tcW w:w="900" w:type="dxa"/>
            <w:tcBorders>
              <w:top w:val="double" w:sz="4" w:space="0" w:color="auto"/>
            </w:tcBorders>
            <w:vAlign w:val="bottom"/>
          </w:tcPr>
          <w:p w14:paraId="0EE2FD78" w14:textId="77777777" w:rsidR="003A4BB1" w:rsidRPr="009B4F48" w:rsidRDefault="003A4BB1" w:rsidP="008318E6">
            <w:pPr>
              <w:pStyle w:val="BodyText"/>
              <w:spacing w:after="0"/>
              <w:jc w:val="center"/>
              <w:rPr>
                <w:rFonts w:ascii="Arial" w:hAnsi="Arial" w:cs="Arial"/>
              </w:rPr>
            </w:pPr>
            <w:r w:rsidRPr="009B4F48">
              <w:rPr>
                <w:rFonts w:ascii="Arial" w:hAnsi="Arial" w:cs="Arial"/>
              </w:rPr>
              <w:t>(f)</w:t>
            </w:r>
          </w:p>
        </w:tc>
      </w:tr>
      <w:tr w:rsidR="003A4BB1" w:rsidRPr="009B4F48" w14:paraId="20C2C56B" w14:textId="77777777" w:rsidTr="008318E6">
        <w:trPr>
          <w:jc w:val="center"/>
        </w:trPr>
        <w:tc>
          <w:tcPr>
            <w:tcW w:w="1278" w:type="dxa"/>
            <w:vAlign w:val="bottom"/>
          </w:tcPr>
          <w:p w14:paraId="7BED768A" w14:textId="77777777" w:rsidR="003A4BB1" w:rsidRPr="008E2543" w:rsidRDefault="003A4BB1" w:rsidP="008318E6">
            <w:pPr>
              <w:pStyle w:val="BodyText"/>
              <w:spacing w:after="0"/>
              <w:rPr>
                <w:rFonts w:ascii="Arial" w:hAnsi="Arial" w:cs="Arial"/>
                <w:sz w:val="20"/>
                <w:szCs w:val="20"/>
              </w:rPr>
            </w:pPr>
            <w:r w:rsidRPr="008E2543">
              <w:rPr>
                <w:rFonts w:ascii="Arial" w:hAnsi="Arial" w:cs="Arial"/>
                <w:sz w:val="20"/>
                <w:szCs w:val="20"/>
              </w:rPr>
              <w:t>No. of Applicants</w:t>
            </w:r>
          </w:p>
        </w:tc>
        <w:tc>
          <w:tcPr>
            <w:tcW w:w="1481" w:type="dxa"/>
            <w:vAlign w:val="bottom"/>
          </w:tcPr>
          <w:p w14:paraId="6BC5BB97" w14:textId="77777777" w:rsidR="003A4BB1" w:rsidRPr="008E2543" w:rsidRDefault="003A4BB1" w:rsidP="00362392">
            <w:pPr>
              <w:pStyle w:val="BodyText"/>
              <w:spacing w:after="0"/>
              <w:jc w:val="center"/>
              <w:rPr>
                <w:rFonts w:ascii="Arial" w:hAnsi="Arial" w:cs="Arial"/>
                <w:sz w:val="20"/>
                <w:szCs w:val="20"/>
              </w:rPr>
            </w:pPr>
            <w:r w:rsidRPr="008E2543">
              <w:rPr>
                <w:rFonts w:ascii="Arial" w:hAnsi="Arial" w:cs="Arial"/>
                <w:sz w:val="20"/>
                <w:szCs w:val="20"/>
              </w:rPr>
              <w:t xml:space="preserve">No. of </w:t>
            </w:r>
            <w:r w:rsidR="00362392" w:rsidRPr="008E2543">
              <w:rPr>
                <w:rFonts w:ascii="Arial" w:hAnsi="Arial" w:cs="Arial"/>
                <w:sz w:val="20"/>
                <w:szCs w:val="20"/>
              </w:rPr>
              <w:t xml:space="preserve">copies filed per </w:t>
            </w:r>
            <w:r w:rsidRPr="008E2543">
              <w:rPr>
                <w:rFonts w:ascii="Arial" w:hAnsi="Arial" w:cs="Arial"/>
                <w:sz w:val="20"/>
                <w:szCs w:val="20"/>
              </w:rPr>
              <w:t>Applicant</w:t>
            </w:r>
          </w:p>
        </w:tc>
        <w:tc>
          <w:tcPr>
            <w:tcW w:w="1399" w:type="dxa"/>
            <w:vAlign w:val="bottom"/>
          </w:tcPr>
          <w:p w14:paraId="64509C3F" w14:textId="77777777"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No. of pages per Application</w:t>
            </w:r>
          </w:p>
        </w:tc>
        <w:tc>
          <w:tcPr>
            <w:tcW w:w="900" w:type="dxa"/>
            <w:vAlign w:val="bottom"/>
          </w:tcPr>
          <w:p w14:paraId="270D3C22" w14:textId="77777777"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Copy Cost per page</w:t>
            </w:r>
          </w:p>
        </w:tc>
        <w:tc>
          <w:tcPr>
            <w:tcW w:w="1481" w:type="dxa"/>
            <w:vAlign w:val="bottom"/>
          </w:tcPr>
          <w:p w14:paraId="6A2423AC" w14:textId="77777777"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Postage Cost per Application</w:t>
            </w:r>
          </w:p>
        </w:tc>
        <w:tc>
          <w:tcPr>
            <w:tcW w:w="900" w:type="dxa"/>
            <w:vAlign w:val="bottom"/>
          </w:tcPr>
          <w:p w14:paraId="6676118E" w14:textId="77777777" w:rsidR="003A4BB1" w:rsidRPr="008E2543" w:rsidRDefault="003A4BB1" w:rsidP="008318E6">
            <w:pPr>
              <w:pStyle w:val="BodyText"/>
              <w:spacing w:after="0"/>
              <w:jc w:val="center"/>
              <w:rPr>
                <w:rFonts w:ascii="Arial" w:hAnsi="Arial" w:cs="Arial"/>
                <w:sz w:val="20"/>
                <w:szCs w:val="20"/>
                <w:vertAlign w:val="superscript"/>
              </w:rPr>
            </w:pPr>
            <w:r w:rsidRPr="008E2543">
              <w:rPr>
                <w:rFonts w:ascii="Arial" w:hAnsi="Arial" w:cs="Arial"/>
                <w:sz w:val="20"/>
                <w:szCs w:val="20"/>
              </w:rPr>
              <w:t xml:space="preserve">Annual Cost </w:t>
            </w:r>
            <w:r w:rsidRPr="008E2543">
              <w:rPr>
                <w:rFonts w:ascii="Arial" w:hAnsi="Arial" w:cs="Arial"/>
                <w:sz w:val="20"/>
                <w:szCs w:val="20"/>
                <w:vertAlign w:val="superscript"/>
              </w:rPr>
              <w:t>a</w:t>
            </w:r>
          </w:p>
        </w:tc>
      </w:tr>
      <w:tr w:rsidR="003A4BB1" w:rsidRPr="009B4F48" w14:paraId="0544EC37" w14:textId="77777777" w:rsidTr="008318E6">
        <w:trPr>
          <w:jc w:val="center"/>
        </w:trPr>
        <w:tc>
          <w:tcPr>
            <w:tcW w:w="1278" w:type="dxa"/>
            <w:tcBorders>
              <w:bottom w:val="double" w:sz="4" w:space="0" w:color="auto"/>
            </w:tcBorders>
            <w:vAlign w:val="bottom"/>
          </w:tcPr>
          <w:p w14:paraId="43128E57" w14:textId="77777777" w:rsidR="003A4BB1" w:rsidRPr="004A3D1F" w:rsidRDefault="003A4BB1" w:rsidP="00D818CA">
            <w:pPr>
              <w:pStyle w:val="BodyText"/>
              <w:spacing w:after="0"/>
              <w:jc w:val="center"/>
              <w:rPr>
                <w:rFonts w:ascii="Arial" w:hAnsi="Arial" w:cs="Arial"/>
              </w:rPr>
            </w:pPr>
            <w:r w:rsidRPr="004A3D1F">
              <w:rPr>
                <w:rFonts w:ascii="Arial" w:hAnsi="Arial" w:cs="Arial"/>
                <w:sz w:val="22"/>
                <w:szCs w:val="22"/>
              </w:rPr>
              <w:t>1</w:t>
            </w:r>
          </w:p>
        </w:tc>
        <w:tc>
          <w:tcPr>
            <w:tcW w:w="1481" w:type="dxa"/>
            <w:tcBorders>
              <w:bottom w:val="double" w:sz="4" w:space="0" w:color="auto"/>
            </w:tcBorders>
            <w:vAlign w:val="bottom"/>
          </w:tcPr>
          <w:p w14:paraId="4FD0E357" w14:textId="77777777" w:rsidR="003A4BB1" w:rsidRPr="004A3D1F" w:rsidRDefault="003A4BB1" w:rsidP="00D818CA">
            <w:pPr>
              <w:pStyle w:val="BodyText"/>
              <w:spacing w:after="0"/>
              <w:jc w:val="center"/>
              <w:rPr>
                <w:rFonts w:ascii="Arial" w:hAnsi="Arial" w:cs="Arial"/>
              </w:rPr>
            </w:pPr>
            <w:r w:rsidRPr="004A3D1F">
              <w:rPr>
                <w:rFonts w:ascii="Arial" w:hAnsi="Arial" w:cs="Arial"/>
                <w:sz w:val="22"/>
                <w:szCs w:val="22"/>
              </w:rPr>
              <w:t>4</w:t>
            </w:r>
          </w:p>
        </w:tc>
        <w:tc>
          <w:tcPr>
            <w:tcW w:w="1399" w:type="dxa"/>
            <w:tcBorders>
              <w:bottom w:val="double" w:sz="4" w:space="0" w:color="auto"/>
            </w:tcBorders>
            <w:vAlign w:val="bottom"/>
          </w:tcPr>
          <w:p w14:paraId="64255925" w14:textId="77777777" w:rsidR="003A4BB1" w:rsidRPr="004A3D1F" w:rsidRDefault="003A4BB1" w:rsidP="00D818CA">
            <w:pPr>
              <w:pStyle w:val="BodyText"/>
              <w:spacing w:after="0"/>
              <w:jc w:val="center"/>
              <w:rPr>
                <w:rFonts w:ascii="Arial" w:hAnsi="Arial" w:cs="Arial"/>
              </w:rPr>
            </w:pPr>
            <w:r w:rsidRPr="004A3D1F">
              <w:rPr>
                <w:rFonts w:ascii="Arial" w:hAnsi="Arial" w:cs="Arial"/>
                <w:sz w:val="22"/>
                <w:szCs w:val="22"/>
              </w:rPr>
              <w:t>250</w:t>
            </w:r>
          </w:p>
        </w:tc>
        <w:tc>
          <w:tcPr>
            <w:tcW w:w="900" w:type="dxa"/>
            <w:tcBorders>
              <w:bottom w:val="double" w:sz="4" w:space="0" w:color="auto"/>
            </w:tcBorders>
            <w:vAlign w:val="bottom"/>
          </w:tcPr>
          <w:p w14:paraId="557A5AAF" w14:textId="77777777" w:rsidR="003A4BB1" w:rsidRPr="004A3D1F" w:rsidRDefault="003A4BB1" w:rsidP="00D818CA">
            <w:pPr>
              <w:pStyle w:val="BodyText"/>
              <w:spacing w:after="0"/>
              <w:jc w:val="center"/>
              <w:rPr>
                <w:rFonts w:ascii="Arial" w:hAnsi="Arial" w:cs="Arial"/>
              </w:rPr>
            </w:pPr>
            <w:r w:rsidRPr="004A3D1F">
              <w:rPr>
                <w:rFonts w:ascii="Arial" w:hAnsi="Arial" w:cs="Arial"/>
                <w:sz w:val="22"/>
                <w:szCs w:val="22"/>
              </w:rPr>
              <w:t>$0.15</w:t>
            </w:r>
          </w:p>
        </w:tc>
        <w:tc>
          <w:tcPr>
            <w:tcW w:w="1481" w:type="dxa"/>
            <w:tcBorders>
              <w:bottom w:val="double" w:sz="4" w:space="0" w:color="auto"/>
            </w:tcBorders>
          </w:tcPr>
          <w:p w14:paraId="581DFCEA" w14:textId="77777777" w:rsidR="003A4BB1" w:rsidRPr="004A3D1F" w:rsidRDefault="003A4BB1" w:rsidP="00D818CA">
            <w:pPr>
              <w:pStyle w:val="BodyText"/>
              <w:spacing w:after="0"/>
              <w:jc w:val="center"/>
              <w:rPr>
                <w:rFonts w:ascii="Arial" w:hAnsi="Arial" w:cs="Arial"/>
              </w:rPr>
            </w:pPr>
            <w:r w:rsidRPr="004A3D1F">
              <w:rPr>
                <w:rFonts w:ascii="Arial" w:hAnsi="Arial" w:cs="Arial"/>
                <w:sz w:val="22"/>
                <w:szCs w:val="22"/>
              </w:rPr>
              <w:t>$5</w:t>
            </w:r>
          </w:p>
        </w:tc>
        <w:tc>
          <w:tcPr>
            <w:tcW w:w="900" w:type="dxa"/>
            <w:tcBorders>
              <w:bottom w:val="double" w:sz="4" w:space="0" w:color="auto"/>
            </w:tcBorders>
            <w:vAlign w:val="bottom"/>
          </w:tcPr>
          <w:p w14:paraId="08BCE6C9" w14:textId="77777777" w:rsidR="003A4BB1" w:rsidRPr="004A3D1F" w:rsidRDefault="003A4BB1" w:rsidP="00D818CA">
            <w:pPr>
              <w:pStyle w:val="BodyText"/>
              <w:spacing w:after="0"/>
              <w:jc w:val="center"/>
              <w:rPr>
                <w:rFonts w:ascii="Arial" w:hAnsi="Arial" w:cs="Arial"/>
              </w:rPr>
            </w:pPr>
            <w:r w:rsidRPr="004A3D1F">
              <w:rPr>
                <w:rFonts w:ascii="Arial" w:hAnsi="Arial" w:cs="Arial"/>
                <w:sz w:val="22"/>
                <w:szCs w:val="22"/>
              </w:rPr>
              <w:t>$170</w:t>
            </w:r>
          </w:p>
        </w:tc>
      </w:tr>
    </w:tbl>
    <w:p w14:paraId="71C50562" w14:textId="77777777" w:rsidR="003A4BB1" w:rsidRPr="009B4F48" w:rsidRDefault="003A4BB1" w:rsidP="00624EF5">
      <w:pPr>
        <w:pStyle w:val="BodyText"/>
        <w:spacing w:before="60"/>
        <w:rPr>
          <w:rFonts w:ascii="Arial" w:hAnsi="Arial" w:cs="Arial"/>
        </w:rPr>
      </w:pPr>
      <w:r w:rsidRPr="009B4F48">
        <w:rPr>
          <w:rFonts w:ascii="Arial" w:hAnsi="Arial" w:cs="Arial"/>
        </w:rPr>
        <w:tab/>
        <w:t xml:space="preserve">     </w:t>
      </w:r>
      <w:r w:rsidRPr="009B4F48">
        <w:rPr>
          <w:rFonts w:ascii="Arial" w:hAnsi="Arial" w:cs="Arial"/>
          <w:vertAlign w:val="superscript"/>
        </w:rPr>
        <w:t>a</w:t>
      </w:r>
      <w:r w:rsidRPr="009B4F48">
        <w:rPr>
          <w:rFonts w:ascii="Arial" w:hAnsi="Arial" w:cs="Arial"/>
        </w:rPr>
        <w:t xml:space="preserve"> Annual Cost = col. a x col. b x [(col. c x col. d) + col. e].</w:t>
      </w:r>
    </w:p>
    <w:p w14:paraId="5B11E19E" w14:textId="77777777" w:rsidR="003A4BB1" w:rsidRPr="009B4F48" w:rsidRDefault="003A4BB1" w:rsidP="001416FE">
      <w:pPr>
        <w:pStyle w:val="BodyText"/>
        <w:rPr>
          <w:rFonts w:ascii="Arial" w:hAnsi="Arial" w:cs="Arial"/>
        </w:rPr>
      </w:pPr>
    </w:p>
    <w:p w14:paraId="4878B53F" w14:textId="77777777" w:rsidR="003A4BB1" w:rsidRPr="009B4F48" w:rsidRDefault="00ED383F" w:rsidP="007707AB">
      <w:pPr>
        <w:pStyle w:val="BodyText"/>
        <w:ind w:left="360"/>
        <w:rPr>
          <w:rFonts w:ascii="Arial" w:hAnsi="Arial" w:cs="Arial"/>
        </w:rPr>
      </w:pPr>
      <w:r w:rsidRPr="009B4F48">
        <w:rPr>
          <w:rFonts w:ascii="Arial" w:hAnsi="Arial" w:cs="Arial"/>
        </w:rPr>
        <w:t>Section</w:t>
      </w:r>
      <w:r w:rsidR="003A4BB1" w:rsidRPr="009B4F48">
        <w:rPr>
          <w:rFonts w:ascii="Arial" w:hAnsi="Arial" w:cs="Arial"/>
        </w:rPr>
        <w:t> 74.16(a) requires that MSHA and NIOSH each retain one CPDM</w:t>
      </w:r>
      <w:r w:rsidR="00B74AC6" w:rsidRPr="009B4F48">
        <w:rPr>
          <w:rFonts w:ascii="Arial" w:hAnsi="Arial" w:cs="Arial"/>
        </w:rPr>
        <w:t>,</w:t>
      </w:r>
      <w:r w:rsidR="003A4BB1" w:rsidRPr="009B4F48">
        <w:rPr>
          <w:rFonts w:ascii="Arial" w:hAnsi="Arial" w:cs="Arial"/>
        </w:rPr>
        <w:t xml:space="preserve"> submitted</w:t>
      </w:r>
      <w:r w:rsidR="00B74AC6" w:rsidRPr="009B4F48">
        <w:rPr>
          <w:rFonts w:ascii="Arial" w:hAnsi="Arial" w:cs="Arial"/>
        </w:rPr>
        <w:t xml:space="preserve">  </w:t>
      </w:r>
      <w:r w:rsidR="003A4BB1" w:rsidRPr="009B4F48">
        <w:rPr>
          <w:rFonts w:ascii="Arial" w:hAnsi="Arial" w:cs="Arial"/>
        </w:rPr>
        <w:t xml:space="preserve">with the application.  In addition, </w:t>
      </w:r>
      <w:r w:rsidR="00444183">
        <w:rPr>
          <w:rFonts w:ascii="Arial" w:hAnsi="Arial" w:cs="Arial"/>
        </w:rPr>
        <w:t>section</w:t>
      </w:r>
      <w:r w:rsidR="003A4BB1" w:rsidRPr="009B4F48">
        <w:rPr>
          <w:rFonts w:ascii="Arial" w:hAnsi="Arial" w:cs="Arial"/>
        </w:rPr>
        <w:t xml:space="preserve"> 74.16(b) requires that NIOSH receive one commercially produced CPDM free of charge, if it is approved by NIOSH and MSHA.  MSHA estimates that the cost of a CPDM </w:t>
      </w:r>
      <w:r w:rsidR="006A27BD">
        <w:rPr>
          <w:rFonts w:ascii="Arial" w:hAnsi="Arial" w:cs="Arial"/>
        </w:rPr>
        <w:t>would cost approximately $18,000</w:t>
      </w:r>
      <w:r w:rsidR="003A4BB1" w:rsidRPr="009B4F48">
        <w:rPr>
          <w:rFonts w:ascii="Arial" w:hAnsi="Arial" w:cs="Arial"/>
        </w:rPr>
        <w:t xml:space="preserve">.  </w:t>
      </w:r>
      <w:r w:rsidR="002824BC" w:rsidRPr="009B4F48">
        <w:rPr>
          <w:rFonts w:ascii="Arial" w:hAnsi="Arial" w:cs="Arial"/>
        </w:rPr>
        <w:t>MSHA estimates t</w:t>
      </w:r>
      <w:r w:rsidR="003A4BB1" w:rsidRPr="009B4F48">
        <w:rPr>
          <w:rFonts w:ascii="Arial" w:hAnsi="Arial" w:cs="Arial"/>
        </w:rPr>
        <w:t xml:space="preserve">he cost to provide two CPDMs with the application and one subsequent to the approval of the application to be </w:t>
      </w:r>
      <w:r w:rsidR="001F63AD" w:rsidRPr="005530F2">
        <w:rPr>
          <w:rFonts w:ascii="Arial" w:hAnsi="Arial" w:cs="Arial"/>
        </w:rPr>
        <w:t>$3</w:t>
      </w:r>
      <w:r w:rsidR="006A27BD">
        <w:rPr>
          <w:rFonts w:ascii="Arial" w:hAnsi="Arial" w:cs="Arial"/>
        </w:rPr>
        <w:t>6</w:t>
      </w:r>
      <w:r w:rsidR="001F63AD" w:rsidRPr="005530F2">
        <w:rPr>
          <w:rFonts w:ascii="Arial" w:hAnsi="Arial" w:cs="Arial"/>
        </w:rPr>
        <w:t>,000</w:t>
      </w:r>
      <w:r w:rsidR="00906499">
        <w:rPr>
          <w:rFonts w:ascii="Arial" w:hAnsi="Arial" w:cs="Arial"/>
        </w:rPr>
        <w:t>.</w:t>
      </w:r>
      <w:r w:rsidR="00F725A8">
        <w:rPr>
          <w:rFonts w:ascii="Arial" w:hAnsi="Arial" w:cs="Arial"/>
          <w:b/>
        </w:rPr>
        <w:t xml:space="preserve"> </w:t>
      </w:r>
    </w:p>
    <w:p w14:paraId="4F55153B" w14:textId="77777777" w:rsidR="003A4BB1" w:rsidRPr="009B4F48" w:rsidRDefault="003A4BB1" w:rsidP="007707AB">
      <w:pPr>
        <w:ind w:left="360"/>
        <w:rPr>
          <w:rFonts w:ascii="Arial" w:hAnsi="Arial" w:cs="Arial"/>
        </w:rPr>
      </w:pPr>
    </w:p>
    <w:p w14:paraId="1052F923" w14:textId="77777777" w:rsidR="003A4BB1" w:rsidRPr="009B4F48" w:rsidRDefault="003A4BB1" w:rsidP="00F76288">
      <w:pPr>
        <w:spacing w:after="120"/>
        <w:ind w:left="360"/>
        <w:rPr>
          <w:rFonts w:ascii="Arial" w:hAnsi="Arial" w:cs="Arial"/>
        </w:rPr>
      </w:pPr>
      <w:r w:rsidRPr="00E47B08">
        <w:rPr>
          <w:rFonts w:ascii="Arial" w:hAnsi="Arial" w:cs="Arial"/>
          <w:b/>
        </w:rPr>
        <w:t xml:space="preserve">Total </w:t>
      </w:r>
      <w:r w:rsidR="001E0D58">
        <w:rPr>
          <w:rFonts w:ascii="Arial" w:hAnsi="Arial" w:cs="Arial"/>
          <w:b/>
        </w:rPr>
        <w:t>Q</w:t>
      </w:r>
      <w:r w:rsidRPr="00E47B08">
        <w:rPr>
          <w:rFonts w:ascii="Arial" w:hAnsi="Arial" w:cs="Arial"/>
          <w:b/>
        </w:rPr>
        <w:t xml:space="preserve">uestion 13 </w:t>
      </w:r>
      <w:r w:rsidR="001E0D58" w:rsidRPr="00E47B08">
        <w:rPr>
          <w:rFonts w:ascii="Arial" w:hAnsi="Arial" w:cs="Arial"/>
          <w:b/>
        </w:rPr>
        <w:t>Costs</w:t>
      </w:r>
      <w:r w:rsidR="001E0D58">
        <w:rPr>
          <w:rFonts w:ascii="Arial" w:hAnsi="Arial" w:cs="Arial"/>
        </w:rPr>
        <w:t xml:space="preserve"> =</w:t>
      </w:r>
      <w:r w:rsidRPr="009B4F48">
        <w:rPr>
          <w:rFonts w:ascii="Arial" w:hAnsi="Arial" w:cs="Arial"/>
        </w:rPr>
        <w:t xml:space="preserve"> </w:t>
      </w:r>
      <w:r w:rsidRPr="00E47B08">
        <w:rPr>
          <w:rFonts w:ascii="Arial" w:hAnsi="Arial" w:cs="Arial"/>
        </w:rPr>
        <w:t>$29</w:t>
      </w:r>
      <w:r w:rsidR="00830956" w:rsidRPr="00E47B08">
        <w:rPr>
          <w:rFonts w:ascii="Arial" w:hAnsi="Arial" w:cs="Arial"/>
        </w:rPr>
        <w:t>6,455</w:t>
      </w:r>
      <w:r w:rsidR="00FB4F44" w:rsidRPr="00E47B08">
        <w:rPr>
          <w:rFonts w:ascii="Arial" w:hAnsi="Arial" w:cs="Arial"/>
        </w:rPr>
        <w:t xml:space="preserve"> ($</w:t>
      </w:r>
      <w:r w:rsidR="00697E14" w:rsidRPr="00E47B08">
        <w:rPr>
          <w:rFonts w:ascii="Arial" w:hAnsi="Arial" w:cs="Arial"/>
        </w:rPr>
        <w:t>250,000</w:t>
      </w:r>
      <w:r w:rsidR="00FB4F44" w:rsidRPr="00E47B08">
        <w:rPr>
          <w:rFonts w:ascii="Arial" w:hAnsi="Arial" w:cs="Arial"/>
        </w:rPr>
        <w:t xml:space="preserve"> + $10,</w:t>
      </w:r>
      <w:r w:rsidR="00830956" w:rsidRPr="00E47B08">
        <w:rPr>
          <w:rFonts w:ascii="Arial" w:hAnsi="Arial" w:cs="Arial"/>
        </w:rPr>
        <w:t>285</w:t>
      </w:r>
      <w:r w:rsidR="00FB4F44" w:rsidRPr="00E47B08">
        <w:rPr>
          <w:rFonts w:ascii="Arial" w:hAnsi="Arial" w:cs="Arial"/>
        </w:rPr>
        <w:t xml:space="preserve"> + $170 + $</w:t>
      </w:r>
      <w:r w:rsidR="00906499" w:rsidRPr="00E47B08">
        <w:rPr>
          <w:rFonts w:ascii="Arial" w:hAnsi="Arial" w:cs="Arial"/>
        </w:rPr>
        <w:t>3</w:t>
      </w:r>
      <w:r w:rsidR="006A27BD" w:rsidRPr="00E47B08">
        <w:rPr>
          <w:rFonts w:ascii="Arial" w:hAnsi="Arial" w:cs="Arial"/>
        </w:rPr>
        <w:t>6</w:t>
      </w:r>
      <w:r w:rsidR="00FB4F44" w:rsidRPr="00E47B08">
        <w:rPr>
          <w:rFonts w:ascii="Arial" w:hAnsi="Arial" w:cs="Arial"/>
        </w:rPr>
        <w:t>,000)</w:t>
      </w:r>
      <w:r w:rsidRPr="009B4F48">
        <w:rPr>
          <w:rFonts w:ascii="Arial" w:hAnsi="Arial" w:cs="Arial"/>
        </w:rPr>
        <w:t>.</w:t>
      </w:r>
    </w:p>
    <w:p w14:paraId="6342611D" w14:textId="77777777" w:rsidR="00304BB9" w:rsidRPr="00304BB9" w:rsidRDefault="00304BB9" w:rsidP="00304BB9">
      <w:pPr>
        <w:pStyle w:val="BodyText12pt"/>
        <w:tabs>
          <w:tab w:val="left" w:pos="360"/>
        </w:tabs>
        <w:spacing w:before="240" w:after="120"/>
        <w:ind w:left="360" w:hanging="360"/>
        <w:rPr>
          <w:rFonts w:ascii="Arial" w:hAnsi="Arial" w:cs="Arial"/>
          <w:b/>
          <w:szCs w:val="24"/>
        </w:rPr>
      </w:pPr>
      <w:r w:rsidRPr="00304BB9">
        <w:rPr>
          <w:rFonts w:ascii="Arial" w:hAnsi="Arial" w:cs="Arial"/>
          <w:b/>
          <w:szCs w:val="24"/>
        </w:rPr>
        <w:t>14.</w:t>
      </w:r>
      <w:r w:rsidRPr="00304BB9">
        <w:rPr>
          <w:rFonts w:ascii="Arial" w:hAnsi="Arial" w:cs="Arial"/>
          <w:b/>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279C2D3" w14:textId="77777777" w:rsidR="00304BB9" w:rsidRPr="00304BB9" w:rsidRDefault="00304BB9" w:rsidP="00304BB9">
      <w:pPr>
        <w:pStyle w:val="BodyText12pt"/>
        <w:tabs>
          <w:tab w:val="left" w:pos="360"/>
        </w:tabs>
        <w:spacing w:before="240" w:after="120"/>
        <w:ind w:left="360" w:hanging="360"/>
        <w:rPr>
          <w:rFonts w:ascii="Arial" w:hAnsi="Arial" w:cs="Arial"/>
          <w:szCs w:val="24"/>
        </w:rPr>
      </w:pPr>
      <w:r>
        <w:rPr>
          <w:rFonts w:ascii="Arial" w:hAnsi="Arial" w:cs="Arial"/>
          <w:szCs w:val="24"/>
        </w:rPr>
        <w:t xml:space="preserve">     </w:t>
      </w:r>
      <w:r w:rsidRPr="00304BB9">
        <w:rPr>
          <w:rFonts w:ascii="Arial" w:hAnsi="Arial" w:cs="Arial"/>
          <w:szCs w:val="24"/>
        </w:rPr>
        <w:t>There are no Federal costs associated with this collection of information package.</w:t>
      </w:r>
    </w:p>
    <w:p w14:paraId="2CC513B6" w14:textId="77777777" w:rsidR="003A4BB1" w:rsidRPr="009B4F48" w:rsidRDefault="003A4BB1" w:rsidP="00304BB9">
      <w:pPr>
        <w:pStyle w:val="BodyText12pt"/>
        <w:tabs>
          <w:tab w:val="left" w:pos="360"/>
        </w:tabs>
        <w:spacing w:before="240" w:after="120"/>
        <w:ind w:left="360" w:hanging="360"/>
        <w:rPr>
          <w:rFonts w:ascii="Arial" w:hAnsi="Arial" w:cs="Arial"/>
          <w:szCs w:val="24"/>
        </w:rPr>
      </w:pPr>
      <w:r w:rsidRPr="009B4F48">
        <w:rPr>
          <w:rFonts w:ascii="Arial" w:hAnsi="Arial" w:cs="Arial"/>
          <w:b/>
          <w:szCs w:val="24"/>
        </w:rPr>
        <w:t>1</w:t>
      </w:r>
      <w:r w:rsidR="00304BB9">
        <w:rPr>
          <w:rFonts w:ascii="Arial" w:hAnsi="Arial" w:cs="Arial"/>
          <w:b/>
          <w:szCs w:val="24"/>
        </w:rPr>
        <w:t>5</w:t>
      </w:r>
      <w:r w:rsidRPr="009B4F48">
        <w:rPr>
          <w:rFonts w:ascii="Arial" w:hAnsi="Arial" w:cs="Arial"/>
          <w:b/>
          <w:szCs w:val="24"/>
        </w:rPr>
        <w:t>.</w:t>
      </w:r>
      <w:r w:rsidRPr="009B4F48">
        <w:rPr>
          <w:rFonts w:ascii="Arial" w:hAnsi="Arial" w:cs="Arial"/>
          <w:b/>
          <w:szCs w:val="24"/>
        </w:rPr>
        <w:tab/>
      </w:r>
      <w:r w:rsidR="00304BB9" w:rsidRPr="009B4F48">
        <w:rPr>
          <w:rFonts w:ascii="Arial" w:hAnsi="Arial" w:cs="Arial"/>
          <w:b/>
        </w:rPr>
        <w:t>Explain the reasons for any program changes or adjustments report</w:t>
      </w:r>
      <w:r w:rsidR="00304BB9">
        <w:rPr>
          <w:rFonts w:ascii="Arial" w:hAnsi="Arial" w:cs="Arial"/>
          <w:b/>
        </w:rPr>
        <w:t>ed on the burden worksheet</w:t>
      </w:r>
      <w:r w:rsidR="00304BB9" w:rsidRPr="009B4F48">
        <w:rPr>
          <w:rFonts w:ascii="Arial" w:hAnsi="Arial" w:cs="Arial"/>
          <w:b/>
        </w:rPr>
        <w:t>.</w:t>
      </w:r>
    </w:p>
    <w:p w14:paraId="0209950C" w14:textId="77777777" w:rsidR="00362392" w:rsidRDefault="002B2008" w:rsidP="002B2008">
      <w:pPr>
        <w:ind w:left="360"/>
        <w:rPr>
          <w:rFonts w:ascii="Arial" w:hAnsi="Arial" w:cs="Arial"/>
          <w:bCs/>
        </w:rPr>
      </w:pPr>
      <w:r w:rsidRPr="00D200FE">
        <w:rPr>
          <w:rFonts w:ascii="Arial" w:hAnsi="Arial" w:cs="Arial"/>
          <w:bCs/>
        </w:rPr>
        <w:t>There is no program change in this submission.  The responses and respondent count both remain 1</w:t>
      </w:r>
      <w:r w:rsidR="00867BE3">
        <w:rPr>
          <w:rFonts w:ascii="Arial" w:hAnsi="Arial" w:cs="Arial"/>
          <w:bCs/>
        </w:rPr>
        <w:t xml:space="preserve"> and the burden hours remain 41.</w:t>
      </w:r>
    </w:p>
    <w:p w14:paraId="714EDA97" w14:textId="77777777" w:rsidR="00867BE3" w:rsidRPr="002B3AC0" w:rsidRDefault="00867BE3" w:rsidP="002B2008">
      <w:pPr>
        <w:ind w:left="360"/>
        <w:rPr>
          <w:rFonts w:ascii="Arial" w:hAnsi="Arial" w:cs="Arial"/>
          <w:bCs/>
          <w:highlight w:val="cyan"/>
        </w:rPr>
      </w:pPr>
    </w:p>
    <w:p w14:paraId="02CEF82D" w14:textId="77777777" w:rsidR="00B723B8" w:rsidRPr="008D4157" w:rsidRDefault="00D200FE" w:rsidP="008D4157">
      <w:pPr>
        <w:ind w:left="360"/>
        <w:rPr>
          <w:rFonts w:ascii="Arial" w:hAnsi="Arial" w:cs="Arial"/>
          <w:b/>
          <w:bCs/>
          <w:i/>
        </w:rPr>
      </w:pPr>
      <w:r>
        <w:rPr>
          <w:rFonts w:ascii="Arial" w:hAnsi="Arial" w:cs="Arial"/>
          <w:bCs/>
        </w:rPr>
        <w:t>T</w:t>
      </w:r>
      <w:r w:rsidR="002B2008" w:rsidRPr="002B3AC0">
        <w:rPr>
          <w:rFonts w:ascii="Arial" w:hAnsi="Arial" w:cs="Arial"/>
          <w:bCs/>
        </w:rPr>
        <w:t xml:space="preserve">here </w:t>
      </w:r>
      <w:r w:rsidR="00362392" w:rsidRPr="002B3AC0">
        <w:rPr>
          <w:rFonts w:ascii="Arial" w:hAnsi="Arial" w:cs="Arial"/>
          <w:bCs/>
        </w:rPr>
        <w:t xml:space="preserve">was </w:t>
      </w:r>
      <w:r w:rsidR="002B2008" w:rsidRPr="002B3AC0">
        <w:rPr>
          <w:rFonts w:ascii="Arial" w:hAnsi="Arial" w:cs="Arial"/>
          <w:bCs/>
        </w:rPr>
        <w:t xml:space="preserve">an increase in capital and start-up costs and operation and maintenance costs from </w:t>
      </w:r>
      <w:r>
        <w:rPr>
          <w:rFonts w:ascii="Arial" w:hAnsi="Arial" w:cs="Arial"/>
          <w:bCs/>
        </w:rPr>
        <w:t>$</w:t>
      </w:r>
      <w:r w:rsidR="002B2008" w:rsidRPr="002B3AC0">
        <w:rPr>
          <w:rFonts w:ascii="Arial" w:hAnsi="Arial" w:cs="Arial"/>
          <w:bCs/>
        </w:rPr>
        <w:t>2</w:t>
      </w:r>
      <w:r w:rsidR="00A46B22" w:rsidRPr="002B3AC0">
        <w:rPr>
          <w:rFonts w:ascii="Arial" w:hAnsi="Arial" w:cs="Arial"/>
          <w:bCs/>
        </w:rPr>
        <w:t>91,139</w:t>
      </w:r>
      <w:r w:rsidR="002B2008" w:rsidRPr="002B3AC0">
        <w:rPr>
          <w:rFonts w:ascii="Arial" w:hAnsi="Arial" w:cs="Arial"/>
          <w:bCs/>
        </w:rPr>
        <w:t xml:space="preserve"> to $</w:t>
      </w:r>
      <w:r w:rsidR="0000075D" w:rsidRPr="002B3AC0">
        <w:rPr>
          <w:rFonts w:ascii="Arial" w:hAnsi="Arial" w:cs="Arial"/>
          <w:bCs/>
        </w:rPr>
        <w:t>29</w:t>
      </w:r>
      <w:r w:rsidR="00A46B22" w:rsidRPr="002B3AC0">
        <w:rPr>
          <w:rFonts w:ascii="Arial" w:hAnsi="Arial" w:cs="Arial"/>
          <w:bCs/>
        </w:rPr>
        <w:t>6,455</w:t>
      </w:r>
      <w:r w:rsidR="00362392" w:rsidRPr="002B3AC0">
        <w:rPr>
          <w:rFonts w:ascii="Arial" w:hAnsi="Arial" w:cs="Arial"/>
          <w:bCs/>
        </w:rPr>
        <w:t xml:space="preserve">.  This increase </w:t>
      </w:r>
      <w:r w:rsidR="00886DE1" w:rsidRPr="002B3AC0">
        <w:rPr>
          <w:rFonts w:ascii="Arial" w:hAnsi="Arial" w:cs="Arial"/>
          <w:bCs/>
        </w:rPr>
        <w:t xml:space="preserve">is </w:t>
      </w:r>
      <w:r w:rsidR="002B2008" w:rsidRPr="00A46B22">
        <w:rPr>
          <w:rFonts w:ascii="Arial" w:hAnsi="Arial" w:cs="Arial"/>
          <w:bCs/>
        </w:rPr>
        <w:t>due to</w:t>
      </w:r>
      <w:r w:rsidR="00906499" w:rsidRPr="00A46B22">
        <w:rPr>
          <w:rFonts w:ascii="Arial" w:hAnsi="Arial" w:cs="Arial"/>
          <w:bCs/>
        </w:rPr>
        <w:t xml:space="preserve"> an increase in the average hourly rate MSHA charges for evaluation and testing</w:t>
      </w:r>
      <w:r w:rsidR="002025A1">
        <w:rPr>
          <w:rFonts w:ascii="Arial" w:hAnsi="Arial" w:cs="Arial"/>
          <w:bCs/>
        </w:rPr>
        <w:t xml:space="preserve"> and the cost of the unit</w:t>
      </w:r>
      <w:r w:rsidR="00906499" w:rsidRPr="00A46B22">
        <w:rPr>
          <w:rFonts w:ascii="Arial" w:hAnsi="Arial" w:cs="Arial"/>
          <w:bCs/>
        </w:rPr>
        <w:t>.  However, a portion of this increase was offset</w:t>
      </w:r>
      <w:r w:rsidR="005530F2" w:rsidRPr="00A46B22">
        <w:rPr>
          <w:rFonts w:ascii="Arial" w:hAnsi="Arial" w:cs="Arial"/>
          <w:bCs/>
        </w:rPr>
        <w:t xml:space="preserve"> </w:t>
      </w:r>
      <w:r w:rsidR="00906499" w:rsidRPr="00A46B22">
        <w:rPr>
          <w:rFonts w:ascii="Arial" w:hAnsi="Arial" w:cs="Arial"/>
          <w:bCs/>
        </w:rPr>
        <w:t>by a de</w:t>
      </w:r>
      <w:r w:rsidR="002B2008" w:rsidRPr="00A46B22">
        <w:rPr>
          <w:rFonts w:ascii="Arial" w:hAnsi="Arial" w:cs="Arial"/>
          <w:bCs/>
        </w:rPr>
        <w:t>crease</w:t>
      </w:r>
      <w:r w:rsidR="00362392" w:rsidRPr="00A46B22">
        <w:rPr>
          <w:rFonts w:ascii="Arial" w:hAnsi="Arial" w:cs="Arial"/>
          <w:bCs/>
        </w:rPr>
        <w:t xml:space="preserve"> in the</w:t>
      </w:r>
      <w:r w:rsidR="00911DA5" w:rsidRPr="00A46B22">
        <w:rPr>
          <w:rFonts w:ascii="Arial" w:hAnsi="Arial" w:cs="Arial"/>
          <w:bCs/>
        </w:rPr>
        <w:t xml:space="preserve"> </w:t>
      </w:r>
      <w:r w:rsidR="00362392" w:rsidRPr="00A46B22">
        <w:rPr>
          <w:rFonts w:ascii="Arial" w:hAnsi="Arial" w:cs="Arial"/>
          <w:bCs/>
        </w:rPr>
        <w:t>average hourly rate</w:t>
      </w:r>
      <w:r w:rsidR="00906499" w:rsidRPr="00A46B22">
        <w:rPr>
          <w:rFonts w:ascii="Arial" w:hAnsi="Arial" w:cs="Arial"/>
          <w:bCs/>
        </w:rPr>
        <w:t xml:space="preserve"> for engineers</w:t>
      </w:r>
      <w:r w:rsidR="002B2008" w:rsidRPr="00A46B22">
        <w:rPr>
          <w:rFonts w:ascii="Arial" w:hAnsi="Arial" w:cs="Arial"/>
          <w:bCs/>
        </w:rPr>
        <w:t>.</w:t>
      </w:r>
      <w:r w:rsidR="002B2008" w:rsidRPr="009B4F48">
        <w:rPr>
          <w:rFonts w:ascii="Arial" w:hAnsi="Arial" w:cs="Arial"/>
          <w:bCs/>
          <w:i/>
        </w:rPr>
        <w:t xml:space="preserve"> </w:t>
      </w:r>
    </w:p>
    <w:p w14:paraId="09691796" w14:textId="77777777"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16.</w:t>
      </w:r>
      <w:r w:rsidRPr="009B4F48">
        <w:rPr>
          <w:rFonts w:ascii="Arial" w:hAnsi="Arial" w:cs="Arial"/>
          <w:b/>
          <w:color w:val="000000"/>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3DABC56" w14:textId="77777777" w:rsidR="003A4BB1" w:rsidRPr="009B4F48" w:rsidRDefault="003A4BB1" w:rsidP="006F64EE">
      <w:pPr>
        <w:pStyle w:val="BodyText12pt"/>
        <w:ind w:firstLine="360"/>
        <w:rPr>
          <w:rFonts w:ascii="Arial" w:hAnsi="Arial" w:cs="Arial"/>
          <w:color w:val="000000"/>
          <w:szCs w:val="24"/>
        </w:rPr>
      </w:pPr>
      <w:r w:rsidRPr="009B4F48">
        <w:rPr>
          <w:rFonts w:ascii="Arial" w:hAnsi="Arial" w:cs="Arial"/>
          <w:color w:val="000000"/>
          <w:szCs w:val="24"/>
        </w:rPr>
        <w:t>MSHA does not intend to publish the results of this information collection.</w:t>
      </w:r>
    </w:p>
    <w:p w14:paraId="681855E9" w14:textId="77777777"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17.</w:t>
      </w:r>
      <w:r w:rsidRPr="009B4F48">
        <w:rPr>
          <w:rFonts w:ascii="Arial" w:hAnsi="Arial" w:cs="Arial"/>
          <w:b/>
          <w:color w:val="000000"/>
          <w:szCs w:val="24"/>
        </w:rPr>
        <w:tab/>
        <w:t>If seeking approval to not display the expiration date for OMB approval of the information collection, explain the reasons that display would be inappropriate.</w:t>
      </w:r>
    </w:p>
    <w:p w14:paraId="12481573" w14:textId="77777777" w:rsidR="003A4BB1" w:rsidRPr="009B4F48" w:rsidRDefault="003A4BB1" w:rsidP="006F64EE">
      <w:pPr>
        <w:pStyle w:val="BodyText12pt"/>
        <w:ind w:left="360"/>
        <w:rPr>
          <w:rFonts w:ascii="Arial" w:hAnsi="Arial" w:cs="Arial"/>
          <w:color w:val="000000"/>
          <w:szCs w:val="24"/>
        </w:rPr>
      </w:pPr>
      <w:r w:rsidRPr="009B4F48">
        <w:rPr>
          <w:rFonts w:ascii="Arial" w:hAnsi="Arial" w:cs="Arial"/>
          <w:color w:val="000000"/>
          <w:szCs w:val="24"/>
        </w:rPr>
        <w:t>MSHA is not seeking approval to</w:t>
      </w:r>
      <w:r w:rsidR="004567C7">
        <w:rPr>
          <w:rFonts w:ascii="Arial" w:hAnsi="Arial" w:cs="Arial"/>
          <w:color w:val="000000"/>
          <w:szCs w:val="24"/>
        </w:rPr>
        <w:t xml:space="preserve"> </w:t>
      </w:r>
      <w:r w:rsidRPr="009B4F48">
        <w:rPr>
          <w:rFonts w:ascii="Arial" w:hAnsi="Arial" w:cs="Arial"/>
          <w:color w:val="000000"/>
          <w:szCs w:val="24"/>
        </w:rPr>
        <w:t>not display the expiration date for OMB approval of this information collection.</w:t>
      </w:r>
    </w:p>
    <w:p w14:paraId="39960455" w14:textId="77777777"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18.</w:t>
      </w:r>
      <w:r w:rsidRPr="009B4F48">
        <w:rPr>
          <w:rFonts w:ascii="Arial" w:hAnsi="Arial" w:cs="Arial"/>
          <w:b/>
          <w:color w:val="000000"/>
          <w:szCs w:val="24"/>
        </w:rPr>
        <w:tab/>
        <w:t xml:space="preserve">Explain each exception to the </w:t>
      </w:r>
      <w:r w:rsidR="00304BB9">
        <w:rPr>
          <w:rFonts w:ascii="Arial" w:hAnsi="Arial" w:cs="Arial"/>
          <w:b/>
          <w:color w:val="000000"/>
          <w:szCs w:val="24"/>
        </w:rPr>
        <w:t xml:space="preserve">topics of the </w:t>
      </w:r>
      <w:r w:rsidRPr="009B4F48">
        <w:rPr>
          <w:rFonts w:ascii="Arial" w:hAnsi="Arial" w:cs="Arial"/>
          <w:b/>
          <w:color w:val="000000"/>
          <w:szCs w:val="24"/>
        </w:rPr>
        <w:t>certification statement identified in "Certification for Paperwork Reduction Act Submission</w:t>
      </w:r>
      <w:r w:rsidR="00304BB9">
        <w:rPr>
          <w:rFonts w:ascii="Arial" w:hAnsi="Arial" w:cs="Arial"/>
          <w:b/>
          <w:color w:val="000000"/>
          <w:szCs w:val="24"/>
        </w:rPr>
        <w:t>s.</w:t>
      </w:r>
      <w:r w:rsidRPr="009B4F48">
        <w:rPr>
          <w:rFonts w:ascii="Arial" w:hAnsi="Arial" w:cs="Arial"/>
          <w:b/>
          <w:color w:val="000000"/>
          <w:szCs w:val="24"/>
        </w:rPr>
        <w:t xml:space="preserve">" </w:t>
      </w:r>
    </w:p>
    <w:p w14:paraId="0B1718C2" w14:textId="77777777" w:rsidR="003A4BB1" w:rsidRDefault="003A4BB1" w:rsidP="006F64EE">
      <w:pPr>
        <w:pStyle w:val="BodyText12pt"/>
        <w:ind w:firstLine="360"/>
        <w:rPr>
          <w:rFonts w:ascii="Arial" w:hAnsi="Arial" w:cs="Arial"/>
          <w:color w:val="000000"/>
          <w:szCs w:val="24"/>
        </w:rPr>
      </w:pPr>
      <w:r w:rsidRPr="009B4F48">
        <w:rPr>
          <w:rFonts w:ascii="Arial" w:hAnsi="Arial" w:cs="Arial"/>
          <w:color w:val="000000"/>
          <w:szCs w:val="24"/>
        </w:rPr>
        <w:t>There are no certification exceptions identified with this information collection.</w:t>
      </w:r>
    </w:p>
    <w:p w14:paraId="2FAC7DED" w14:textId="77777777" w:rsidR="009834A9" w:rsidRDefault="009834A9" w:rsidP="006F64EE">
      <w:pPr>
        <w:pStyle w:val="BodyText12pt"/>
        <w:ind w:firstLine="360"/>
        <w:rPr>
          <w:rFonts w:ascii="Arial" w:hAnsi="Arial" w:cs="Arial"/>
          <w:color w:val="000000"/>
          <w:szCs w:val="24"/>
        </w:rPr>
      </w:pPr>
    </w:p>
    <w:p w14:paraId="6EDFBE4E" w14:textId="77777777" w:rsidR="009834A9" w:rsidRPr="009B4F48" w:rsidRDefault="009834A9" w:rsidP="006F64EE">
      <w:pPr>
        <w:pStyle w:val="BodyText12pt"/>
        <w:ind w:firstLine="360"/>
        <w:rPr>
          <w:rFonts w:ascii="Arial" w:hAnsi="Arial" w:cs="Arial"/>
          <w:color w:val="000000"/>
          <w:szCs w:val="24"/>
        </w:rPr>
      </w:pPr>
    </w:p>
    <w:p w14:paraId="34C8BFE0" w14:textId="77777777" w:rsidR="003A4BB1" w:rsidRPr="009B4F48" w:rsidRDefault="003A4BB1" w:rsidP="0083411E">
      <w:pPr>
        <w:widowControl/>
        <w:tabs>
          <w:tab w:val="left" w:pos="-720"/>
        </w:tabs>
        <w:suppressAutoHyphens/>
        <w:autoSpaceDE/>
        <w:autoSpaceDN/>
        <w:adjustRightInd/>
        <w:rPr>
          <w:rFonts w:ascii="Arial" w:hAnsi="Arial" w:cs="Arial"/>
          <w:b/>
        </w:rPr>
      </w:pPr>
    </w:p>
    <w:p w14:paraId="35240962" w14:textId="77777777" w:rsidR="003A4BB1" w:rsidRPr="009B4F48" w:rsidRDefault="003A4BB1" w:rsidP="0083411E">
      <w:pPr>
        <w:widowControl/>
        <w:tabs>
          <w:tab w:val="left" w:pos="-720"/>
        </w:tabs>
        <w:suppressAutoHyphens/>
        <w:autoSpaceDE/>
        <w:autoSpaceDN/>
        <w:adjustRightInd/>
        <w:rPr>
          <w:rFonts w:ascii="Arial" w:hAnsi="Arial" w:cs="Arial"/>
          <w:b/>
        </w:rPr>
      </w:pPr>
      <w:r w:rsidRPr="009B4F48">
        <w:rPr>
          <w:rFonts w:ascii="Arial" w:hAnsi="Arial" w:cs="Arial"/>
          <w:b/>
        </w:rPr>
        <w:t>B.  Collections of Information Employing Statistical Methods.</w:t>
      </w:r>
    </w:p>
    <w:p w14:paraId="53DDE00C" w14:textId="77777777" w:rsidR="003A4BB1" w:rsidRPr="009B4F48" w:rsidRDefault="001F63AD" w:rsidP="0083411E">
      <w:pPr>
        <w:widowControl/>
        <w:tabs>
          <w:tab w:val="left" w:pos="-720"/>
        </w:tabs>
        <w:suppressAutoHyphens/>
        <w:autoSpaceDE/>
        <w:autoSpaceDN/>
        <w:adjustRightInd/>
        <w:rPr>
          <w:rFonts w:ascii="Arial" w:hAnsi="Arial" w:cs="Arial"/>
          <w:b/>
          <w:color w:val="FF0000"/>
        </w:rPr>
      </w:pPr>
      <w:r w:rsidRPr="009B4F48">
        <w:rPr>
          <w:rFonts w:ascii="Arial" w:hAnsi="Arial" w:cs="Arial"/>
        </w:rPr>
        <w:fldChar w:fldCharType="begin"/>
      </w:r>
      <w:r w:rsidR="003A4BB1" w:rsidRPr="009B4F48">
        <w:rPr>
          <w:rFonts w:ascii="Arial" w:hAnsi="Arial" w:cs="Arial"/>
        </w:rPr>
        <w:instrText>ADVANCE \R 0.95</w:instrText>
      </w:r>
      <w:r w:rsidRPr="009B4F48">
        <w:rPr>
          <w:rFonts w:ascii="Arial" w:hAnsi="Arial" w:cs="Arial"/>
        </w:rPr>
        <w:fldChar w:fldCharType="end"/>
      </w:r>
      <w:r w:rsidRPr="009B4F48">
        <w:rPr>
          <w:rFonts w:ascii="Arial" w:hAnsi="Arial" w:cs="Arial"/>
        </w:rPr>
        <w:fldChar w:fldCharType="begin"/>
      </w:r>
      <w:r w:rsidR="003A4BB1" w:rsidRPr="009B4F48">
        <w:rPr>
          <w:rFonts w:ascii="Arial" w:hAnsi="Arial" w:cs="Arial"/>
        </w:rPr>
        <w:instrText>ADVANCE \R 0.95</w:instrText>
      </w:r>
      <w:r w:rsidRPr="009B4F48">
        <w:rPr>
          <w:rFonts w:ascii="Arial" w:hAnsi="Arial" w:cs="Arial"/>
        </w:rPr>
        <w:fldChar w:fldCharType="end"/>
      </w:r>
      <w:r w:rsidR="003A4BB1" w:rsidRPr="009B4F48">
        <w:rPr>
          <w:rFonts w:ascii="Arial" w:hAnsi="Arial" w:cs="Arial"/>
        </w:rPr>
        <w:tab/>
      </w:r>
    </w:p>
    <w:p w14:paraId="34AC3513" w14:textId="77777777" w:rsidR="003A4BB1" w:rsidRPr="009B4F48" w:rsidRDefault="00AE6661" w:rsidP="00AE6661">
      <w:pPr>
        <w:widowControl/>
        <w:tabs>
          <w:tab w:val="left" w:pos="-720"/>
          <w:tab w:val="left" w:pos="360"/>
        </w:tabs>
        <w:suppressAutoHyphens/>
        <w:autoSpaceDE/>
        <w:autoSpaceDN/>
        <w:adjustRightInd/>
        <w:rPr>
          <w:rFonts w:ascii="Arial" w:hAnsi="Arial" w:cs="Arial"/>
          <w:color w:val="FF0000"/>
        </w:rPr>
      </w:pPr>
      <w:r>
        <w:rPr>
          <w:rFonts w:ascii="Arial" w:hAnsi="Arial" w:cs="Arial"/>
        </w:rPr>
        <w:lastRenderedPageBreak/>
        <w:tab/>
      </w:r>
      <w:r w:rsidR="003A4BB1" w:rsidRPr="009B4F48">
        <w:rPr>
          <w:rFonts w:ascii="Arial" w:hAnsi="Arial" w:cs="Arial"/>
        </w:rPr>
        <w:t>There is no statistical methodology involved in this collection.</w:t>
      </w:r>
    </w:p>
    <w:sectPr w:rsidR="003A4BB1" w:rsidRPr="009B4F48" w:rsidSect="00CD6ADF">
      <w:headerReference w:type="default" r:id="rId9"/>
      <w:footerReference w:type="default" r:id="rId10"/>
      <w:pgSz w:w="12240" w:h="15840"/>
      <w:pgMar w:top="1440" w:right="1296" w:bottom="1440" w:left="1440" w:header="907" w:footer="79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D6ED9" w14:textId="77777777" w:rsidR="00EC6748" w:rsidRDefault="00EC6748">
      <w:r>
        <w:separator/>
      </w:r>
    </w:p>
  </w:endnote>
  <w:endnote w:type="continuationSeparator" w:id="0">
    <w:p w14:paraId="5D60FAFE" w14:textId="77777777" w:rsidR="00EC6748" w:rsidRDefault="00EC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F8BB3" w14:textId="77777777" w:rsidR="0000075D" w:rsidRDefault="0000075D" w:rsidP="00540844">
    <w:pPr>
      <w:rPr>
        <w:rFonts w:ascii="Times New Roman" w:hAnsi="Times New Roman"/>
      </w:rPr>
    </w:pPr>
  </w:p>
  <w:p w14:paraId="31FE13AF" w14:textId="2F924386" w:rsidR="0000075D" w:rsidRDefault="001F63AD">
    <w:pPr>
      <w:jc w:val="center"/>
      <w:rPr>
        <w:rFonts w:ascii="Times New Roman" w:hAnsi="Times New Roman"/>
      </w:rPr>
    </w:pPr>
    <w:r>
      <w:rPr>
        <w:rFonts w:ascii="Times New Roman" w:hAnsi="Times New Roman"/>
      </w:rPr>
      <w:fldChar w:fldCharType="begin"/>
    </w:r>
    <w:r w:rsidR="0000075D">
      <w:rPr>
        <w:rFonts w:ascii="Times New Roman" w:hAnsi="Times New Roman"/>
      </w:rPr>
      <w:instrText xml:space="preserve">PAGE </w:instrText>
    </w:r>
    <w:r>
      <w:rPr>
        <w:rFonts w:ascii="Times New Roman" w:hAnsi="Times New Roman"/>
      </w:rPr>
      <w:fldChar w:fldCharType="separate"/>
    </w:r>
    <w:r w:rsidR="00642495">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14E28" w14:textId="77777777" w:rsidR="00EC6748" w:rsidRDefault="00EC6748">
      <w:r>
        <w:separator/>
      </w:r>
    </w:p>
  </w:footnote>
  <w:footnote w:type="continuationSeparator" w:id="0">
    <w:p w14:paraId="710B0980" w14:textId="77777777" w:rsidR="00EC6748" w:rsidRDefault="00EC6748">
      <w:r>
        <w:continuationSeparator/>
      </w:r>
    </w:p>
  </w:footnote>
  <w:footnote w:id="1">
    <w:p w14:paraId="073B8463" w14:textId="77777777" w:rsidR="00D421D5" w:rsidRDefault="00D421D5">
      <w:pPr>
        <w:pStyle w:val="FootnoteText"/>
      </w:pPr>
      <w:r>
        <w:rPr>
          <w:rStyle w:val="FootnoteReference"/>
        </w:rPr>
        <w:footnoteRef/>
      </w:r>
      <w:r>
        <w:t xml:space="preserve"> </w:t>
      </w:r>
      <w:r w:rsidRPr="00A76406">
        <w:rPr>
          <w:sz w:val="18"/>
          <w:szCs w:val="18"/>
        </w:rPr>
        <w:t>The Wage rate (including benefits) was developed fro</w:t>
      </w:r>
      <w:r>
        <w:rPr>
          <w:sz w:val="18"/>
          <w:szCs w:val="18"/>
        </w:rPr>
        <w:t xml:space="preserve">m tabulations in the U.S. Coal Mines Salaries, Wages, and Benefits – 2012 Survey Results, InfoMine USA, Inc., 2012 </w:t>
      </w:r>
      <w:hyperlink r:id="rId1" w:history="1">
        <w:r w:rsidRPr="00AA4AB5">
          <w:rPr>
            <w:rStyle w:val="Hyperlink"/>
            <w:sz w:val="18"/>
            <w:szCs w:val="18"/>
          </w:rPr>
          <w:t>http://costs.infomine.com/laborcompensationreports/</w:t>
        </w:r>
      </w:hyperlink>
      <w:r>
        <w:rPr>
          <w:sz w:val="18"/>
          <w:szCs w:val="18"/>
        </w:rPr>
        <w:t xml:space="preserve">.  The wage rates were adjusted from 2012 to 2015 using a percent change of 5.8%, derived from the Bureau of Labor Statistics’ Employment Cost Index (ECI), CIU2010000405000I, for “Private industry workers in Construction, extraction, farming, fishing, and forestry occupations,” </w:t>
      </w:r>
      <w:hyperlink r:id="rId2" w:history="1">
        <w:r w:rsidRPr="00AA4AB5">
          <w:rPr>
            <w:rStyle w:val="Hyperlink"/>
            <w:sz w:val="18"/>
            <w:szCs w:val="18"/>
          </w:rPr>
          <w:t>http://www.bls.gov/ect/</w:t>
        </w:r>
      </w:hyperlink>
      <w:r>
        <w:rPr>
          <w:sz w:val="18"/>
          <w:szCs w:val="18"/>
        </w:rPr>
        <w:t xml:space="preserve"> and </w:t>
      </w:r>
      <w:hyperlink r:id="rId3" w:history="1">
        <w:r w:rsidRPr="00AA4AB5">
          <w:rPr>
            <w:rStyle w:val="Hyperlink"/>
            <w:sz w:val="18"/>
            <w:szCs w:val="18"/>
          </w:rPr>
          <w:t>http://data.bls.gov/timeseries/CIU2010000405000I</w:t>
        </w:r>
      </w:hyperlink>
      <w:r>
        <w:rPr>
          <w:sz w:val="18"/>
          <w:szCs w:val="18"/>
        </w:rPr>
        <w:t>.  ($</w:t>
      </w:r>
      <w:r w:rsidR="00DC6F27">
        <w:rPr>
          <w:sz w:val="18"/>
          <w:szCs w:val="18"/>
        </w:rPr>
        <w:t>68.36</w:t>
      </w:r>
      <w:r>
        <w:rPr>
          <w:sz w:val="18"/>
          <w:szCs w:val="18"/>
        </w:rPr>
        <w:t xml:space="preserve"> = </w:t>
      </w:r>
      <w:r w:rsidR="00DC6F27">
        <w:rPr>
          <w:sz w:val="18"/>
          <w:szCs w:val="18"/>
        </w:rPr>
        <w:t xml:space="preserve">2012 wage of </w:t>
      </w:r>
      <w:r>
        <w:rPr>
          <w:sz w:val="18"/>
          <w:szCs w:val="18"/>
        </w:rPr>
        <w:t>$</w:t>
      </w:r>
      <w:r w:rsidR="00DC6F27">
        <w:rPr>
          <w:sz w:val="18"/>
          <w:szCs w:val="18"/>
        </w:rPr>
        <w:t xml:space="preserve">64.61 </w:t>
      </w:r>
      <w:r>
        <w:rPr>
          <w:sz w:val="18"/>
          <w:szCs w:val="18"/>
        </w:rPr>
        <w:t>x 1.058)</w:t>
      </w:r>
      <w:r w:rsidR="00DC6F27">
        <w:rPr>
          <w:sz w:val="18"/>
          <w:szCs w:val="18"/>
        </w:rPr>
        <w:t xml:space="preserve"> and ($30.23 = 2012 wage of $28.57 x 1.058)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B96EB" w14:textId="77777777" w:rsidR="00444183" w:rsidRPr="00867BE3" w:rsidRDefault="00444183">
    <w:pPr>
      <w:pStyle w:val="Header"/>
      <w:rPr>
        <w:rFonts w:ascii="Times New Roman" w:hAnsi="Times New Roman"/>
      </w:rPr>
    </w:pPr>
    <w:r w:rsidRPr="00867BE3">
      <w:rPr>
        <w:rFonts w:ascii="Times New Roman" w:hAnsi="Times New Roman"/>
      </w:rPr>
      <w:t>1219-0147</w:t>
    </w:r>
  </w:p>
  <w:p w14:paraId="4E6E1EF0" w14:textId="77777777" w:rsidR="00444183" w:rsidRPr="00867BE3" w:rsidRDefault="00237755">
    <w:pPr>
      <w:pStyle w:val="Header"/>
      <w:rPr>
        <w:rFonts w:ascii="Times New Roman" w:hAnsi="Times New Roman"/>
      </w:rPr>
    </w:pPr>
    <w:r>
      <w:rPr>
        <w:rFonts w:ascii="Times New Roman" w:hAnsi="Times New Roman"/>
      </w:rPr>
      <w:t>5</w:t>
    </w:r>
    <w:r w:rsidR="00444183" w:rsidRPr="00867BE3">
      <w:rPr>
        <w:rFonts w:ascii="Times New Roman" w:hAnsi="Times New Roman"/>
      </w:rPr>
      <w:t>/2016</w:t>
    </w:r>
  </w:p>
  <w:p w14:paraId="252B7444" w14:textId="77777777" w:rsidR="00444183" w:rsidRPr="00867BE3" w:rsidRDefault="00444183">
    <w:pPr>
      <w:pStyle w:val="Header"/>
      <w:rPr>
        <w:rFonts w:ascii="Times New Roman" w:hAnsi="Times New Roman"/>
      </w:rPr>
    </w:pPr>
    <w:r w:rsidRPr="00867BE3">
      <w:rPr>
        <w:rFonts w:ascii="Times New Roman" w:hAnsi="Times New Roman"/>
      </w:rPr>
      <w:t>Exp. Date: 9/30/2016</w:t>
    </w:r>
  </w:p>
  <w:p w14:paraId="2CF343AA" w14:textId="77777777" w:rsidR="00444183" w:rsidRDefault="00444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844ED"/>
    <w:multiLevelType w:val="hybridMultilevel"/>
    <w:tmpl w:val="CFDE0DF0"/>
    <w:lvl w:ilvl="0" w:tplc="26BA2522">
      <w:start w:val="1"/>
      <w:numFmt w:val="decimal"/>
      <w:lvlText w:val="%1."/>
      <w:lvlJc w:val="left"/>
      <w:pPr>
        <w:tabs>
          <w:tab w:val="num" w:pos="465"/>
        </w:tabs>
        <w:ind w:left="465" w:hanging="46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7567531B"/>
    <w:multiLevelType w:val="hybridMultilevel"/>
    <w:tmpl w:val="2160DFBA"/>
    <w:lvl w:ilvl="0" w:tplc="0409000F">
      <w:start w:val="1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6FE"/>
    <w:rsid w:val="00000198"/>
    <w:rsid w:val="0000075D"/>
    <w:rsid w:val="00002A83"/>
    <w:rsid w:val="00010566"/>
    <w:rsid w:val="00012183"/>
    <w:rsid w:val="000146F2"/>
    <w:rsid w:val="00015943"/>
    <w:rsid w:val="00016BAD"/>
    <w:rsid w:val="00016C3E"/>
    <w:rsid w:val="00016DDD"/>
    <w:rsid w:val="000216A1"/>
    <w:rsid w:val="00026C72"/>
    <w:rsid w:val="000275C5"/>
    <w:rsid w:val="00041FBC"/>
    <w:rsid w:val="00050948"/>
    <w:rsid w:val="0006349D"/>
    <w:rsid w:val="00066D79"/>
    <w:rsid w:val="000671D2"/>
    <w:rsid w:val="00084A2A"/>
    <w:rsid w:val="0009013E"/>
    <w:rsid w:val="0009134B"/>
    <w:rsid w:val="000964C3"/>
    <w:rsid w:val="000A0B50"/>
    <w:rsid w:val="000B03FF"/>
    <w:rsid w:val="000D2DE7"/>
    <w:rsid w:val="000D385D"/>
    <w:rsid w:val="000D5EF6"/>
    <w:rsid w:val="000F37F9"/>
    <w:rsid w:val="000F5D45"/>
    <w:rsid w:val="00106277"/>
    <w:rsid w:val="00113F9C"/>
    <w:rsid w:val="00114316"/>
    <w:rsid w:val="001215A8"/>
    <w:rsid w:val="001261A9"/>
    <w:rsid w:val="00132355"/>
    <w:rsid w:val="00135BAC"/>
    <w:rsid w:val="001370AC"/>
    <w:rsid w:val="001416FE"/>
    <w:rsid w:val="00152ACA"/>
    <w:rsid w:val="001537F9"/>
    <w:rsid w:val="00155C46"/>
    <w:rsid w:val="0017196A"/>
    <w:rsid w:val="00180301"/>
    <w:rsid w:val="00181086"/>
    <w:rsid w:val="00181AB6"/>
    <w:rsid w:val="00182D9B"/>
    <w:rsid w:val="00186D22"/>
    <w:rsid w:val="001A60B5"/>
    <w:rsid w:val="001B2002"/>
    <w:rsid w:val="001D4794"/>
    <w:rsid w:val="001E0D58"/>
    <w:rsid w:val="001E795A"/>
    <w:rsid w:val="001F0345"/>
    <w:rsid w:val="001F072B"/>
    <w:rsid w:val="001F63AD"/>
    <w:rsid w:val="0020192D"/>
    <w:rsid w:val="002025A1"/>
    <w:rsid w:val="00206A1B"/>
    <w:rsid w:val="002106C2"/>
    <w:rsid w:val="0021076A"/>
    <w:rsid w:val="00212410"/>
    <w:rsid w:val="00213854"/>
    <w:rsid w:val="002171C9"/>
    <w:rsid w:val="00234082"/>
    <w:rsid w:val="00237755"/>
    <w:rsid w:val="00237D0C"/>
    <w:rsid w:val="0024509D"/>
    <w:rsid w:val="002461FA"/>
    <w:rsid w:val="0025707B"/>
    <w:rsid w:val="00264D66"/>
    <w:rsid w:val="00273BB0"/>
    <w:rsid w:val="002824BC"/>
    <w:rsid w:val="002864E2"/>
    <w:rsid w:val="00296052"/>
    <w:rsid w:val="002A732B"/>
    <w:rsid w:val="002B2008"/>
    <w:rsid w:val="002B3AC0"/>
    <w:rsid w:val="002B46A8"/>
    <w:rsid w:val="002C6F25"/>
    <w:rsid w:val="002F3464"/>
    <w:rsid w:val="00304BB9"/>
    <w:rsid w:val="00305AEA"/>
    <w:rsid w:val="00305FAD"/>
    <w:rsid w:val="00314B22"/>
    <w:rsid w:val="003203F5"/>
    <w:rsid w:val="00346B12"/>
    <w:rsid w:val="00346DD1"/>
    <w:rsid w:val="00362392"/>
    <w:rsid w:val="003626C7"/>
    <w:rsid w:val="003702E9"/>
    <w:rsid w:val="00373023"/>
    <w:rsid w:val="003740AC"/>
    <w:rsid w:val="00377611"/>
    <w:rsid w:val="0038028B"/>
    <w:rsid w:val="00394B78"/>
    <w:rsid w:val="00396FEF"/>
    <w:rsid w:val="003A30FD"/>
    <w:rsid w:val="003A4BB1"/>
    <w:rsid w:val="003B33BD"/>
    <w:rsid w:val="003D34E2"/>
    <w:rsid w:val="003D6DA3"/>
    <w:rsid w:val="003E1025"/>
    <w:rsid w:val="003E1292"/>
    <w:rsid w:val="003E3338"/>
    <w:rsid w:val="003E7822"/>
    <w:rsid w:val="00401E3E"/>
    <w:rsid w:val="004149FC"/>
    <w:rsid w:val="00421D5F"/>
    <w:rsid w:val="00422C2C"/>
    <w:rsid w:val="0042322F"/>
    <w:rsid w:val="00427DDD"/>
    <w:rsid w:val="004348AA"/>
    <w:rsid w:val="00444183"/>
    <w:rsid w:val="004567C7"/>
    <w:rsid w:val="00462F1D"/>
    <w:rsid w:val="00486268"/>
    <w:rsid w:val="00492070"/>
    <w:rsid w:val="0049436F"/>
    <w:rsid w:val="004A015B"/>
    <w:rsid w:val="004A0E57"/>
    <w:rsid w:val="004A20C8"/>
    <w:rsid w:val="004A3D1F"/>
    <w:rsid w:val="004A5E23"/>
    <w:rsid w:val="004A6BBA"/>
    <w:rsid w:val="004B0ED0"/>
    <w:rsid w:val="004B2B32"/>
    <w:rsid w:val="004B52D6"/>
    <w:rsid w:val="004B7360"/>
    <w:rsid w:val="004C1A70"/>
    <w:rsid w:val="004D01E2"/>
    <w:rsid w:val="004D0661"/>
    <w:rsid w:val="004D111E"/>
    <w:rsid w:val="004E56DA"/>
    <w:rsid w:val="004E784B"/>
    <w:rsid w:val="004F60C8"/>
    <w:rsid w:val="004F740F"/>
    <w:rsid w:val="0050434F"/>
    <w:rsid w:val="00504369"/>
    <w:rsid w:val="00512A14"/>
    <w:rsid w:val="00527100"/>
    <w:rsid w:val="00530A91"/>
    <w:rsid w:val="00540844"/>
    <w:rsid w:val="0054548F"/>
    <w:rsid w:val="005530F2"/>
    <w:rsid w:val="00560ABD"/>
    <w:rsid w:val="00574EC9"/>
    <w:rsid w:val="0058788C"/>
    <w:rsid w:val="0059178B"/>
    <w:rsid w:val="005A0401"/>
    <w:rsid w:val="005A39C1"/>
    <w:rsid w:val="005A6E1B"/>
    <w:rsid w:val="005A724E"/>
    <w:rsid w:val="005D2884"/>
    <w:rsid w:val="005E450B"/>
    <w:rsid w:val="005E69B7"/>
    <w:rsid w:val="00605E71"/>
    <w:rsid w:val="006158AB"/>
    <w:rsid w:val="00621A55"/>
    <w:rsid w:val="00624EF5"/>
    <w:rsid w:val="00633CBE"/>
    <w:rsid w:val="00637192"/>
    <w:rsid w:val="00642495"/>
    <w:rsid w:val="006435B5"/>
    <w:rsid w:val="00650407"/>
    <w:rsid w:val="006504F5"/>
    <w:rsid w:val="006525A1"/>
    <w:rsid w:val="0065376E"/>
    <w:rsid w:val="00656974"/>
    <w:rsid w:val="00662E74"/>
    <w:rsid w:val="00664B1C"/>
    <w:rsid w:val="00671C68"/>
    <w:rsid w:val="006738E2"/>
    <w:rsid w:val="006745A7"/>
    <w:rsid w:val="00676564"/>
    <w:rsid w:val="0068229C"/>
    <w:rsid w:val="006908E2"/>
    <w:rsid w:val="00692BBD"/>
    <w:rsid w:val="00693459"/>
    <w:rsid w:val="00693A88"/>
    <w:rsid w:val="00697E14"/>
    <w:rsid w:val="006A05C5"/>
    <w:rsid w:val="006A20A4"/>
    <w:rsid w:val="006A27BD"/>
    <w:rsid w:val="006A3943"/>
    <w:rsid w:val="006A5BF9"/>
    <w:rsid w:val="006D6699"/>
    <w:rsid w:val="006F64EE"/>
    <w:rsid w:val="0070476D"/>
    <w:rsid w:val="00725101"/>
    <w:rsid w:val="00732588"/>
    <w:rsid w:val="00757623"/>
    <w:rsid w:val="007707AB"/>
    <w:rsid w:val="00771D03"/>
    <w:rsid w:val="00785029"/>
    <w:rsid w:val="00787846"/>
    <w:rsid w:val="00792161"/>
    <w:rsid w:val="007928AA"/>
    <w:rsid w:val="007A4962"/>
    <w:rsid w:val="007B7A1B"/>
    <w:rsid w:val="007C5BA5"/>
    <w:rsid w:val="007E04F5"/>
    <w:rsid w:val="007E0EAE"/>
    <w:rsid w:val="007E7D8F"/>
    <w:rsid w:val="007F0BC0"/>
    <w:rsid w:val="007F0F5C"/>
    <w:rsid w:val="007F5F90"/>
    <w:rsid w:val="00803B5B"/>
    <w:rsid w:val="00810131"/>
    <w:rsid w:val="00814442"/>
    <w:rsid w:val="008200C4"/>
    <w:rsid w:val="00830956"/>
    <w:rsid w:val="008318E6"/>
    <w:rsid w:val="0083411E"/>
    <w:rsid w:val="00834471"/>
    <w:rsid w:val="00842943"/>
    <w:rsid w:val="00843622"/>
    <w:rsid w:val="00847793"/>
    <w:rsid w:val="00850B5F"/>
    <w:rsid w:val="00867BE3"/>
    <w:rsid w:val="00876078"/>
    <w:rsid w:val="00876D5E"/>
    <w:rsid w:val="0088385B"/>
    <w:rsid w:val="00886DE1"/>
    <w:rsid w:val="0088708E"/>
    <w:rsid w:val="00887E9D"/>
    <w:rsid w:val="008952F7"/>
    <w:rsid w:val="008A043E"/>
    <w:rsid w:val="008A3967"/>
    <w:rsid w:val="008A4DB4"/>
    <w:rsid w:val="008C693E"/>
    <w:rsid w:val="008D4157"/>
    <w:rsid w:val="008D52B9"/>
    <w:rsid w:val="008D741C"/>
    <w:rsid w:val="008E150C"/>
    <w:rsid w:val="008E2251"/>
    <w:rsid w:val="008E2543"/>
    <w:rsid w:val="008E2781"/>
    <w:rsid w:val="008E6B18"/>
    <w:rsid w:val="008E7807"/>
    <w:rsid w:val="008F4D51"/>
    <w:rsid w:val="00906499"/>
    <w:rsid w:val="00911DA5"/>
    <w:rsid w:val="00927CF1"/>
    <w:rsid w:val="00931D32"/>
    <w:rsid w:val="009425CA"/>
    <w:rsid w:val="00950E39"/>
    <w:rsid w:val="00962085"/>
    <w:rsid w:val="00963465"/>
    <w:rsid w:val="009834A9"/>
    <w:rsid w:val="009873AB"/>
    <w:rsid w:val="00991D67"/>
    <w:rsid w:val="009A18D9"/>
    <w:rsid w:val="009A457F"/>
    <w:rsid w:val="009A7BBE"/>
    <w:rsid w:val="009B4F48"/>
    <w:rsid w:val="009B5DF5"/>
    <w:rsid w:val="009C27D0"/>
    <w:rsid w:val="009C500B"/>
    <w:rsid w:val="00A01625"/>
    <w:rsid w:val="00A03355"/>
    <w:rsid w:val="00A20AE6"/>
    <w:rsid w:val="00A25676"/>
    <w:rsid w:val="00A325C2"/>
    <w:rsid w:val="00A44D8B"/>
    <w:rsid w:val="00A46B22"/>
    <w:rsid w:val="00A72E10"/>
    <w:rsid w:val="00A80C9C"/>
    <w:rsid w:val="00A91E94"/>
    <w:rsid w:val="00A91EB3"/>
    <w:rsid w:val="00AA0A17"/>
    <w:rsid w:val="00AA0BA2"/>
    <w:rsid w:val="00AA531D"/>
    <w:rsid w:val="00AB32FF"/>
    <w:rsid w:val="00AB454A"/>
    <w:rsid w:val="00AB5D4C"/>
    <w:rsid w:val="00AC12D1"/>
    <w:rsid w:val="00AC2FB6"/>
    <w:rsid w:val="00AC660D"/>
    <w:rsid w:val="00AC7A33"/>
    <w:rsid w:val="00AD6D4B"/>
    <w:rsid w:val="00AE6661"/>
    <w:rsid w:val="00AF4B5D"/>
    <w:rsid w:val="00AF6F27"/>
    <w:rsid w:val="00B32306"/>
    <w:rsid w:val="00B32494"/>
    <w:rsid w:val="00B602DC"/>
    <w:rsid w:val="00B65000"/>
    <w:rsid w:val="00B65A3B"/>
    <w:rsid w:val="00B716DB"/>
    <w:rsid w:val="00B723B8"/>
    <w:rsid w:val="00B74327"/>
    <w:rsid w:val="00B74AC6"/>
    <w:rsid w:val="00B949AC"/>
    <w:rsid w:val="00B95B29"/>
    <w:rsid w:val="00BA6E82"/>
    <w:rsid w:val="00BB0E2F"/>
    <w:rsid w:val="00BB1613"/>
    <w:rsid w:val="00BB66FA"/>
    <w:rsid w:val="00BB6A32"/>
    <w:rsid w:val="00BC4CEB"/>
    <w:rsid w:val="00BC79DF"/>
    <w:rsid w:val="00BD11A8"/>
    <w:rsid w:val="00BE4AD6"/>
    <w:rsid w:val="00BF2EAC"/>
    <w:rsid w:val="00BF6872"/>
    <w:rsid w:val="00C1066B"/>
    <w:rsid w:val="00C128F3"/>
    <w:rsid w:val="00C13C76"/>
    <w:rsid w:val="00C13DDC"/>
    <w:rsid w:val="00C2765D"/>
    <w:rsid w:val="00C34C13"/>
    <w:rsid w:val="00C3529B"/>
    <w:rsid w:val="00C54C01"/>
    <w:rsid w:val="00C72EEE"/>
    <w:rsid w:val="00C85A95"/>
    <w:rsid w:val="00C9194C"/>
    <w:rsid w:val="00CB34D4"/>
    <w:rsid w:val="00CC31A0"/>
    <w:rsid w:val="00CD6ADF"/>
    <w:rsid w:val="00D03D79"/>
    <w:rsid w:val="00D14641"/>
    <w:rsid w:val="00D200FE"/>
    <w:rsid w:val="00D3335A"/>
    <w:rsid w:val="00D409B8"/>
    <w:rsid w:val="00D421D5"/>
    <w:rsid w:val="00D45626"/>
    <w:rsid w:val="00D54017"/>
    <w:rsid w:val="00D56827"/>
    <w:rsid w:val="00D57A8A"/>
    <w:rsid w:val="00D60C6A"/>
    <w:rsid w:val="00D623D0"/>
    <w:rsid w:val="00D72680"/>
    <w:rsid w:val="00D818CA"/>
    <w:rsid w:val="00D8414B"/>
    <w:rsid w:val="00D874C3"/>
    <w:rsid w:val="00DA30C4"/>
    <w:rsid w:val="00DA4425"/>
    <w:rsid w:val="00DA5B25"/>
    <w:rsid w:val="00DC6F27"/>
    <w:rsid w:val="00DF5B14"/>
    <w:rsid w:val="00E06553"/>
    <w:rsid w:val="00E1250F"/>
    <w:rsid w:val="00E153E5"/>
    <w:rsid w:val="00E17F0B"/>
    <w:rsid w:val="00E348AE"/>
    <w:rsid w:val="00E46B81"/>
    <w:rsid w:val="00E47B08"/>
    <w:rsid w:val="00E5712D"/>
    <w:rsid w:val="00E67647"/>
    <w:rsid w:val="00E74D5A"/>
    <w:rsid w:val="00E7599C"/>
    <w:rsid w:val="00E76F51"/>
    <w:rsid w:val="00E86919"/>
    <w:rsid w:val="00E90048"/>
    <w:rsid w:val="00EA12B8"/>
    <w:rsid w:val="00EA1667"/>
    <w:rsid w:val="00EA2122"/>
    <w:rsid w:val="00EC1BDF"/>
    <w:rsid w:val="00EC2935"/>
    <w:rsid w:val="00EC6748"/>
    <w:rsid w:val="00ED2C4E"/>
    <w:rsid w:val="00ED383F"/>
    <w:rsid w:val="00EF053E"/>
    <w:rsid w:val="00EF2114"/>
    <w:rsid w:val="00F12549"/>
    <w:rsid w:val="00F17F2F"/>
    <w:rsid w:val="00F2529D"/>
    <w:rsid w:val="00F35EC3"/>
    <w:rsid w:val="00F47AED"/>
    <w:rsid w:val="00F5479B"/>
    <w:rsid w:val="00F54D5D"/>
    <w:rsid w:val="00F725A8"/>
    <w:rsid w:val="00F73EF8"/>
    <w:rsid w:val="00F74CF6"/>
    <w:rsid w:val="00F76288"/>
    <w:rsid w:val="00F92695"/>
    <w:rsid w:val="00F93259"/>
    <w:rsid w:val="00F97177"/>
    <w:rsid w:val="00FB4F44"/>
    <w:rsid w:val="00FB6306"/>
    <w:rsid w:val="00FC45B7"/>
    <w:rsid w:val="00FC50F2"/>
    <w:rsid w:val="00FD49CA"/>
    <w:rsid w:val="00FD669B"/>
    <w:rsid w:val="00FD7B3B"/>
    <w:rsid w:val="00FE00D4"/>
    <w:rsid w:val="00FE0468"/>
    <w:rsid w:val="00FE3399"/>
    <w:rsid w:val="00FE4FF0"/>
    <w:rsid w:val="00FF0F72"/>
    <w:rsid w:val="00FF652F"/>
    <w:rsid w:val="1B3B6628"/>
    <w:rsid w:val="636404A6"/>
    <w:rsid w:val="647F657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E9651E"/>
  <w15:docId w15:val="{3DA74E89-A629-4B29-8214-0FA2F045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416FE"/>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9"/>
    <w:qFormat/>
    <w:rsid w:val="00C85A95"/>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9"/>
    <w:qFormat/>
    <w:rsid w:val="00016BAD"/>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5A95"/>
    <w:rPr>
      <w:rFonts w:ascii="Cambria" w:hAnsi="Cambria"/>
      <w:b/>
      <w:kern w:val="32"/>
      <w:sz w:val="32"/>
    </w:rPr>
  </w:style>
  <w:style w:type="character" w:customStyle="1" w:styleId="Heading3Char">
    <w:name w:val="Heading 3 Char"/>
    <w:basedOn w:val="DefaultParagraphFont"/>
    <w:link w:val="Heading3"/>
    <w:uiPriority w:val="9"/>
    <w:semiHidden/>
    <w:rsid w:val="00156EAA"/>
    <w:rPr>
      <w:rFonts w:asciiTheme="majorHAnsi" w:eastAsiaTheme="majorEastAsia" w:hAnsiTheme="majorHAnsi" w:cstheme="majorBidi"/>
      <w:b/>
      <w:bCs/>
      <w:sz w:val="26"/>
      <w:szCs w:val="26"/>
    </w:rPr>
  </w:style>
  <w:style w:type="paragraph" w:styleId="Header">
    <w:name w:val="header"/>
    <w:basedOn w:val="Normal"/>
    <w:link w:val="HeaderChar"/>
    <w:uiPriority w:val="99"/>
    <w:rsid w:val="001416FE"/>
    <w:pPr>
      <w:tabs>
        <w:tab w:val="center" w:pos="4320"/>
        <w:tab w:val="right" w:pos="8640"/>
      </w:tabs>
    </w:pPr>
  </w:style>
  <w:style w:type="character" w:customStyle="1" w:styleId="HeaderChar">
    <w:name w:val="Header Char"/>
    <w:basedOn w:val="DefaultParagraphFont"/>
    <w:link w:val="Header"/>
    <w:uiPriority w:val="99"/>
    <w:rsid w:val="00156EAA"/>
    <w:rPr>
      <w:rFonts w:ascii="Courier" w:hAnsi="Courier"/>
      <w:sz w:val="24"/>
      <w:szCs w:val="24"/>
    </w:rPr>
  </w:style>
  <w:style w:type="paragraph" w:customStyle="1" w:styleId="BodyText12pt">
    <w:name w:val="Body Text + 12pt"/>
    <w:basedOn w:val="BodyText"/>
    <w:link w:val="BodyText12ptChar"/>
    <w:uiPriority w:val="99"/>
    <w:rsid w:val="001416FE"/>
    <w:pPr>
      <w:widowControl/>
      <w:autoSpaceDE/>
      <w:autoSpaceDN/>
      <w:adjustRightInd/>
      <w:spacing w:after="0"/>
    </w:pPr>
    <w:rPr>
      <w:rFonts w:ascii="Times New Roman" w:hAnsi="Times New Roman"/>
      <w:szCs w:val="20"/>
    </w:rPr>
  </w:style>
  <w:style w:type="paragraph" w:styleId="BodyText">
    <w:name w:val="Body Text"/>
    <w:basedOn w:val="Normal"/>
    <w:link w:val="BodyTextChar"/>
    <w:uiPriority w:val="99"/>
    <w:rsid w:val="001416FE"/>
    <w:pPr>
      <w:spacing w:after="120"/>
    </w:pPr>
  </w:style>
  <w:style w:type="character" w:customStyle="1" w:styleId="BodyTextChar">
    <w:name w:val="Body Text Char"/>
    <w:basedOn w:val="DefaultParagraphFont"/>
    <w:link w:val="BodyText"/>
    <w:uiPriority w:val="99"/>
    <w:rsid w:val="00156EAA"/>
    <w:rPr>
      <w:rFonts w:ascii="Courier" w:hAnsi="Courier"/>
      <w:sz w:val="24"/>
      <w:szCs w:val="24"/>
    </w:rPr>
  </w:style>
  <w:style w:type="character" w:customStyle="1" w:styleId="BodyText12ptChar">
    <w:name w:val="Body Text + 12pt Char"/>
    <w:link w:val="BodyText12pt"/>
    <w:uiPriority w:val="99"/>
    <w:locked/>
    <w:rsid w:val="001416FE"/>
    <w:rPr>
      <w:sz w:val="24"/>
      <w:lang w:val="en-US" w:eastAsia="en-US"/>
    </w:rPr>
  </w:style>
  <w:style w:type="table" w:styleId="TableGrid">
    <w:name w:val="Table Grid"/>
    <w:basedOn w:val="TableNormal"/>
    <w:uiPriority w:val="99"/>
    <w:rsid w:val="001416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416FE"/>
    <w:pPr>
      <w:tabs>
        <w:tab w:val="center" w:pos="4320"/>
        <w:tab w:val="right" w:pos="8640"/>
      </w:tabs>
    </w:pPr>
  </w:style>
  <w:style w:type="character" w:customStyle="1" w:styleId="FooterChar">
    <w:name w:val="Footer Char"/>
    <w:basedOn w:val="DefaultParagraphFont"/>
    <w:link w:val="Footer"/>
    <w:uiPriority w:val="99"/>
    <w:semiHidden/>
    <w:rsid w:val="00156EAA"/>
    <w:rPr>
      <w:rFonts w:ascii="Courier" w:hAnsi="Courier"/>
      <w:sz w:val="24"/>
      <w:szCs w:val="24"/>
    </w:rPr>
  </w:style>
  <w:style w:type="paragraph" w:styleId="BalloonText">
    <w:name w:val="Balloon Text"/>
    <w:basedOn w:val="Normal"/>
    <w:link w:val="BalloonTextChar"/>
    <w:uiPriority w:val="99"/>
    <w:semiHidden/>
    <w:rsid w:val="00E86919"/>
    <w:rPr>
      <w:rFonts w:ascii="Tahoma" w:hAnsi="Tahoma" w:cs="Tahoma"/>
      <w:sz w:val="16"/>
      <w:szCs w:val="16"/>
    </w:rPr>
  </w:style>
  <w:style w:type="character" w:customStyle="1" w:styleId="BalloonTextChar">
    <w:name w:val="Balloon Text Char"/>
    <w:basedOn w:val="DefaultParagraphFont"/>
    <w:link w:val="BalloonText"/>
    <w:uiPriority w:val="99"/>
    <w:semiHidden/>
    <w:rsid w:val="00156EAA"/>
    <w:rPr>
      <w:sz w:val="0"/>
      <w:szCs w:val="0"/>
    </w:rPr>
  </w:style>
  <w:style w:type="character" w:styleId="CommentReference">
    <w:name w:val="annotation reference"/>
    <w:basedOn w:val="DefaultParagraphFont"/>
    <w:uiPriority w:val="99"/>
    <w:semiHidden/>
    <w:rsid w:val="0009134B"/>
    <w:rPr>
      <w:rFonts w:cs="Times New Roman"/>
      <w:sz w:val="16"/>
    </w:rPr>
  </w:style>
  <w:style w:type="paragraph" w:styleId="CommentText">
    <w:name w:val="annotation text"/>
    <w:basedOn w:val="Normal"/>
    <w:link w:val="CommentTextChar"/>
    <w:uiPriority w:val="99"/>
    <w:semiHidden/>
    <w:rsid w:val="0009134B"/>
    <w:rPr>
      <w:sz w:val="20"/>
      <w:szCs w:val="20"/>
    </w:rPr>
  </w:style>
  <w:style w:type="character" w:customStyle="1" w:styleId="CommentTextChar">
    <w:name w:val="Comment Text Char"/>
    <w:basedOn w:val="DefaultParagraphFont"/>
    <w:link w:val="CommentText"/>
    <w:uiPriority w:val="99"/>
    <w:semiHidden/>
    <w:rsid w:val="00156EAA"/>
    <w:rPr>
      <w:rFonts w:ascii="Courier" w:hAnsi="Courier"/>
      <w:sz w:val="20"/>
      <w:szCs w:val="20"/>
    </w:rPr>
  </w:style>
  <w:style w:type="paragraph" w:styleId="CommentSubject">
    <w:name w:val="annotation subject"/>
    <w:basedOn w:val="CommentText"/>
    <w:next w:val="CommentText"/>
    <w:link w:val="CommentSubjectChar"/>
    <w:uiPriority w:val="99"/>
    <w:semiHidden/>
    <w:rsid w:val="0009134B"/>
    <w:rPr>
      <w:b/>
      <w:bCs/>
    </w:rPr>
  </w:style>
  <w:style w:type="character" w:customStyle="1" w:styleId="CommentSubjectChar">
    <w:name w:val="Comment Subject Char"/>
    <w:basedOn w:val="CommentTextChar"/>
    <w:link w:val="CommentSubject"/>
    <w:uiPriority w:val="99"/>
    <w:semiHidden/>
    <w:rsid w:val="00156EAA"/>
    <w:rPr>
      <w:rFonts w:ascii="Courier" w:hAnsi="Courier"/>
      <w:b/>
      <w:bCs/>
      <w:sz w:val="20"/>
      <w:szCs w:val="20"/>
    </w:rPr>
  </w:style>
  <w:style w:type="character" w:styleId="PageNumber">
    <w:name w:val="page number"/>
    <w:basedOn w:val="DefaultParagraphFont"/>
    <w:uiPriority w:val="99"/>
    <w:rsid w:val="00016BAD"/>
    <w:rPr>
      <w:rFonts w:cs="Times New Roman"/>
    </w:rPr>
  </w:style>
  <w:style w:type="character" w:styleId="Hyperlink">
    <w:name w:val="Hyperlink"/>
    <w:basedOn w:val="DefaultParagraphFont"/>
    <w:uiPriority w:val="99"/>
    <w:rsid w:val="00016BAD"/>
    <w:rPr>
      <w:rFonts w:cs="Times New Roman"/>
      <w:color w:val="0000FF"/>
      <w:u w:val="single"/>
    </w:rPr>
  </w:style>
  <w:style w:type="paragraph" w:styleId="FootnoteText">
    <w:name w:val="footnote text"/>
    <w:basedOn w:val="Normal"/>
    <w:link w:val="FootnoteTextChar"/>
    <w:uiPriority w:val="99"/>
    <w:semiHidden/>
    <w:rsid w:val="00016BAD"/>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56EAA"/>
    <w:rPr>
      <w:rFonts w:ascii="Courier" w:hAnsi="Courier"/>
      <w:sz w:val="20"/>
      <w:szCs w:val="20"/>
    </w:rPr>
  </w:style>
  <w:style w:type="character" w:styleId="FootnoteReference">
    <w:name w:val="footnote reference"/>
    <w:basedOn w:val="DefaultParagraphFont"/>
    <w:uiPriority w:val="99"/>
    <w:semiHidden/>
    <w:rsid w:val="00016BAD"/>
    <w:rPr>
      <w:rFonts w:cs="Times New Roman"/>
      <w:vertAlign w:val="superscript"/>
    </w:rPr>
  </w:style>
  <w:style w:type="paragraph" w:styleId="ListParagraph">
    <w:name w:val="List Paragraph"/>
    <w:basedOn w:val="Normal"/>
    <w:uiPriority w:val="34"/>
    <w:qFormat/>
    <w:rsid w:val="00421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34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PSO@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bls.gov/timeseries/CIU2010000405000I" TargetMode="External"/><Relationship Id="rId2" Type="http://schemas.openxmlformats.org/officeDocument/2006/relationships/hyperlink" Target="http://www.bls.gov/ect/" TargetMode="External"/><Relationship Id="rId1" Type="http://schemas.openxmlformats.org/officeDocument/2006/relationships/hyperlink" Target="http://costs.infomine.com/laborcompensation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61455-CB26-41D8-B6FC-1BB47BDC2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2853</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DOL</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king.pamela</dc:creator>
  <cp:lastModifiedBy>Nicole Bouchet</cp:lastModifiedBy>
  <cp:revision>3</cp:revision>
  <cp:lastPrinted>2016-03-03T18:09:00Z</cp:lastPrinted>
  <dcterms:created xsi:type="dcterms:W3CDTF">2016-07-21T19:51:00Z</dcterms:created>
  <dcterms:modified xsi:type="dcterms:W3CDTF">2016-07-21T19:54:00Z</dcterms:modified>
</cp:coreProperties>
</file>