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594A4833" w14:textId="77777777" w:rsidR="00D14345" w:rsidRDefault="000D23C2" w:rsidP="00912A4D">
      <w:pPr>
        <w:pStyle w:val="Cov-Title"/>
      </w:pPr>
      <w:r>
        <w:t>2016/</w:t>
      </w:r>
      <w:r w:rsidR="00912A4D">
        <w:t>17</w:t>
      </w:r>
      <w:r w:rsidR="0017533B" w:rsidRPr="0017533B">
        <w:t xml:space="preserve"> </w:t>
      </w:r>
      <w:r w:rsidR="00912A4D">
        <w:t>BACCALAUREATE AND BEYOND (B&amp;B:16/17) FIELD TEST</w:t>
      </w:r>
    </w:p>
    <w:p w14:paraId="53A2A132" w14:textId="0C028F90" w:rsidR="00912A4D" w:rsidRDefault="00912A4D" w:rsidP="00912A4D">
      <w:pPr>
        <w:pStyle w:val="Cov-Title"/>
        <w:jc w:val="left"/>
      </w:pPr>
    </w:p>
    <w:p w14:paraId="605D3CF0" w14:textId="4E5669D1" w:rsidR="00E84DB5" w:rsidRPr="00CD167A" w:rsidRDefault="00912A4D" w:rsidP="00912A4D">
      <w:pPr>
        <w:pStyle w:val="Cov-Date"/>
      </w:pPr>
      <w:r>
        <w:tab/>
      </w:r>
      <w:r>
        <w:tab/>
      </w:r>
      <w:r>
        <w:tab/>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160D2051"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w:t>
      </w:r>
      <w:r w:rsidR="00CB6206">
        <w:t>OMB # 1850-NEW</w:t>
      </w:r>
      <w:r w:rsidR="007943E4" w:rsidRPr="00D424ED">
        <w:t xml:space="preserve"> </w:t>
      </w:r>
      <w:r w:rsidR="00CB6206">
        <w:t>v. 1</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62D36333" w14:textId="77777777" w:rsidR="00363BC6" w:rsidRDefault="00363BC6" w:rsidP="0079416A">
      <w:pPr>
        <w:pStyle w:val="Cov-Address"/>
        <w:rPr>
          <w:b/>
          <w:bCs/>
        </w:rPr>
      </w:pPr>
    </w:p>
    <w:p w14:paraId="3883EDF0" w14:textId="77777777" w:rsidR="00B17FAF" w:rsidRDefault="00B17FAF" w:rsidP="0079416A">
      <w:pPr>
        <w:pStyle w:val="Cov-Address"/>
        <w:rPr>
          <w:b/>
          <w:bCs/>
        </w:rPr>
      </w:pPr>
    </w:p>
    <w:p w14:paraId="384BDBB8" w14:textId="77777777" w:rsidR="00B17FAF" w:rsidRDefault="00B17FAF" w:rsidP="0079416A">
      <w:pPr>
        <w:pStyle w:val="Cov-Address"/>
        <w:rPr>
          <w:b/>
          <w:bCs/>
        </w:rPr>
      </w:pPr>
    </w:p>
    <w:p w14:paraId="5138E461" w14:textId="77777777" w:rsidR="00B17FAF" w:rsidRDefault="00B17FAF" w:rsidP="0079416A">
      <w:pPr>
        <w:pStyle w:val="Cov-Address"/>
        <w:rPr>
          <w:b/>
          <w:bCs/>
        </w:rPr>
      </w:pPr>
    </w:p>
    <w:p w14:paraId="0E9E4278" w14:textId="77777777" w:rsidR="00B17FAF" w:rsidRDefault="00B17FAF" w:rsidP="0079416A">
      <w:pPr>
        <w:pStyle w:val="Cov-Address"/>
        <w:rPr>
          <w:b/>
          <w:bCs/>
        </w:rPr>
      </w:pPr>
    </w:p>
    <w:p w14:paraId="6868B847" w14:textId="77777777" w:rsidR="00B17FAF" w:rsidRDefault="00B17FAF" w:rsidP="0079416A">
      <w:pPr>
        <w:pStyle w:val="Cov-Address"/>
        <w:rPr>
          <w:b/>
          <w:bCs/>
        </w:rPr>
      </w:pPr>
    </w:p>
    <w:p w14:paraId="629190B7" w14:textId="77777777" w:rsidR="00363BC6" w:rsidRDefault="00363BC6" w:rsidP="0079416A">
      <w:pPr>
        <w:pStyle w:val="Cov-Address"/>
        <w:rPr>
          <w:b/>
          <w:bCs/>
        </w:rPr>
      </w:pPr>
    </w:p>
    <w:p w14:paraId="0B785A62" w14:textId="5B9E3A32" w:rsidR="0079416A" w:rsidRDefault="00A975C3" w:rsidP="0079416A">
      <w:pPr>
        <w:pStyle w:val="Cov-Address"/>
        <w:rPr>
          <w:b/>
          <w:bCs/>
        </w:rPr>
      </w:pPr>
      <w:r>
        <w:rPr>
          <w:b/>
          <w:bCs/>
        </w:rPr>
        <w:t>January</w:t>
      </w:r>
      <w:r w:rsidR="00DE2328">
        <w:rPr>
          <w:b/>
          <w:bCs/>
        </w:rPr>
        <w:t xml:space="preserve"> </w:t>
      </w:r>
      <w:r>
        <w:rPr>
          <w:b/>
          <w:bCs/>
        </w:rPr>
        <w:t>2016</w:t>
      </w:r>
    </w:p>
    <w:p w14:paraId="79621CD5" w14:textId="42DD6820" w:rsidR="00B17FAF" w:rsidRDefault="00B17FAF" w:rsidP="0079416A">
      <w:pPr>
        <w:pStyle w:val="Cov-Address"/>
        <w:rPr>
          <w:b/>
          <w:bCs/>
        </w:rPr>
      </w:pPr>
      <w:r>
        <w:rPr>
          <w:b/>
          <w:bCs/>
        </w:rPr>
        <w:t xml:space="preserve">Revised </w:t>
      </w:r>
      <w:r w:rsidR="00D16362">
        <w:rPr>
          <w:b/>
          <w:bCs/>
        </w:rPr>
        <w:t>May</w:t>
      </w:r>
      <w:bookmarkStart w:id="4" w:name="_GoBack"/>
      <w:bookmarkEnd w:id="4"/>
      <w:r>
        <w:rPr>
          <w:b/>
          <w:bCs/>
        </w:rPr>
        <w:t xml:space="preserve"> 2016</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1A41FE33" w14:textId="77777777" w:rsidR="00A6118C" w:rsidRPr="00CD167A" w:rsidRDefault="0087411A" w:rsidP="002C7FD8">
      <w:pPr>
        <w:pStyle w:val="TOCHeading"/>
        <w:spacing w:after="120"/>
      </w:pPr>
      <w:r w:rsidRPr="00CD167A">
        <w:lastRenderedPageBreak/>
        <w:t>Contents</w:t>
      </w:r>
    </w:p>
    <w:p w14:paraId="319D5335" w14:textId="77777777" w:rsidR="00402041" w:rsidRDefault="00507AD8" w:rsidP="00A66807">
      <w:pPr>
        <w:pStyle w:val="TOC1"/>
        <w:spacing w:before="0" w:after="60"/>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02041">
        <w:t>A.</w:t>
      </w:r>
      <w:r w:rsidR="00402041">
        <w:rPr>
          <w:rFonts w:asciiTheme="minorHAnsi" w:eastAsiaTheme="minorEastAsia" w:hAnsiTheme="minorHAnsi" w:cstheme="minorBidi"/>
          <w:b w:val="0"/>
          <w:bCs w:val="0"/>
          <w:szCs w:val="22"/>
        </w:rPr>
        <w:tab/>
      </w:r>
      <w:r w:rsidR="00402041">
        <w:t>Justification</w:t>
      </w:r>
      <w:r w:rsidR="00402041">
        <w:tab/>
      </w:r>
      <w:r w:rsidR="00402041">
        <w:fldChar w:fldCharType="begin"/>
      </w:r>
      <w:r w:rsidR="00402041">
        <w:instrText xml:space="preserve"> PAGEREF _Toc440267858 \h </w:instrText>
      </w:r>
      <w:r w:rsidR="00402041">
        <w:fldChar w:fldCharType="separate"/>
      </w:r>
      <w:r w:rsidR="00BD2496">
        <w:t>1</w:t>
      </w:r>
      <w:r w:rsidR="00402041">
        <w:fldChar w:fldCharType="end"/>
      </w:r>
    </w:p>
    <w:p w14:paraId="7B8DF397"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_Toc440267859 \h </w:instrText>
      </w:r>
      <w:r>
        <w:fldChar w:fldCharType="separate"/>
      </w:r>
      <w:r w:rsidR="00BD2496">
        <w:t>1</w:t>
      </w:r>
      <w:r>
        <w:fldChar w:fldCharType="end"/>
      </w:r>
    </w:p>
    <w:p w14:paraId="0FC6D1CF" w14:textId="77777777"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_Toc440267860 \h </w:instrText>
      </w:r>
      <w:r>
        <w:fldChar w:fldCharType="separate"/>
      </w:r>
      <w:r w:rsidR="00BD2496">
        <w:t>1</w:t>
      </w:r>
      <w:r>
        <w:fldChar w:fldCharType="end"/>
      </w:r>
    </w:p>
    <w:p w14:paraId="596B9FAE" w14:textId="77777777"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_Toc440267861 \h </w:instrText>
      </w:r>
      <w:r>
        <w:fldChar w:fldCharType="separate"/>
      </w:r>
      <w:r w:rsidR="00BD2496">
        <w:t>2</w:t>
      </w:r>
      <w:r>
        <w:fldChar w:fldCharType="end"/>
      </w:r>
    </w:p>
    <w:p w14:paraId="10D9B9DE" w14:textId="77777777"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fldChar w:fldCharType="begin"/>
      </w:r>
      <w:r>
        <w:instrText xml:space="preserve"> PAGEREF _Toc440267862 \h </w:instrText>
      </w:r>
      <w:r>
        <w:fldChar w:fldCharType="separate"/>
      </w:r>
      <w:r w:rsidR="00BD2496">
        <w:t>3</w:t>
      </w:r>
      <w:r>
        <w:fldChar w:fldCharType="end"/>
      </w:r>
    </w:p>
    <w:p w14:paraId="0BBC4375"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_Toc440267863 \h </w:instrText>
      </w:r>
      <w:r>
        <w:fldChar w:fldCharType="separate"/>
      </w:r>
      <w:r w:rsidR="00BD2496">
        <w:t>4</w:t>
      </w:r>
      <w:r>
        <w:fldChar w:fldCharType="end"/>
      </w:r>
    </w:p>
    <w:p w14:paraId="50748FC2" w14:textId="77777777" w:rsidR="00402041" w:rsidRDefault="00402041" w:rsidP="00A66807">
      <w:pPr>
        <w:pStyle w:val="TOC3"/>
        <w:tabs>
          <w:tab w:val="left" w:pos="1080"/>
        </w:tabs>
        <w:spacing w:after="60"/>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B&amp;B:16/17 Purposes</w:t>
      </w:r>
      <w:r>
        <w:tab/>
      </w:r>
      <w:r>
        <w:fldChar w:fldCharType="begin"/>
      </w:r>
      <w:r>
        <w:instrText xml:space="preserve"> PAGEREF _Toc440267864 \h </w:instrText>
      </w:r>
      <w:r>
        <w:fldChar w:fldCharType="separate"/>
      </w:r>
      <w:r w:rsidR="00BD2496">
        <w:t>4</w:t>
      </w:r>
      <w:r>
        <w:fldChar w:fldCharType="end"/>
      </w:r>
    </w:p>
    <w:p w14:paraId="22BBDE6B" w14:textId="77777777" w:rsidR="00402041" w:rsidRDefault="00402041" w:rsidP="00A66807">
      <w:pPr>
        <w:pStyle w:val="TOC3"/>
        <w:tabs>
          <w:tab w:val="left" w:pos="1320"/>
        </w:tabs>
        <w:spacing w:after="60"/>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B&amp;B:16/17 Research and Policy Issues</w:t>
      </w:r>
      <w:r>
        <w:tab/>
      </w:r>
      <w:r>
        <w:fldChar w:fldCharType="begin"/>
      </w:r>
      <w:r>
        <w:instrText xml:space="preserve"> PAGEREF _Toc440267865 \h </w:instrText>
      </w:r>
      <w:r>
        <w:fldChar w:fldCharType="separate"/>
      </w:r>
      <w:r w:rsidR="00BD2496">
        <w:t>4</w:t>
      </w:r>
      <w:r>
        <w:fldChar w:fldCharType="end"/>
      </w:r>
    </w:p>
    <w:p w14:paraId="1C5079A7" w14:textId="77777777" w:rsidR="00402041" w:rsidRDefault="00402041" w:rsidP="00A66807">
      <w:pPr>
        <w:pStyle w:val="TOC3"/>
        <w:tabs>
          <w:tab w:val="left" w:pos="1100"/>
        </w:tabs>
        <w:spacing w:after="60"/>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B&amp;B:16/17</w:t>
      </w:r>
      <w:r>
        <w:tab/>
      </w:r>
      <w:r>
        <w:fldChar w:fldCharType="begin"/>
      </w:r>
      <w:r>
        <w:instrText xml:space="preserve"> PAGEREF _Toc440267866 \h </w:instrText>
      </w:r>
      <w:r>
        <w:fldChar w:fldCharType="separate"/>
      </w:r>
      <w:r w:rsidR="00BD2496">
        <w:t>6</w:t>
      </w:r>
      <w:r>
        <w:fldChar w:fldCharType="end"/>
      </w:r>
    </w:p>
    <w:p w14:paraId="5657B9C8"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_Toc440267867 \h </w:instrText>
      </w:r>
      <w:r>
        <w:fldChar w:fldCharType="separate"/>
      </w:r>
      <w:r w:rsidR="00BD2496">
        <w:t>7</w:t>
      </w:r>
      <w:r>
        <w:fldChar w:fldCharType="end"/>
      </w:r>
    </w:p>
    <w:p w14:paraId="7E7F1DBF"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_Toc440267868 \h </w:instrText>
      </w:r>
      <w:r>
        <w:fldChar w:fldCharType="separate"/>
      </w:r>
      <w:r w:rsidR="00BD2496">
        <w:t>7</w:t>
      </w:r>
      <w:r>
        <w:fldChar w:fldCharType="end"/>
      </w:r>
    </w:p>
    <w:p w14:paraId="6DA51E65"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_Toc440267869 \h </w:instrText>
      </w:r>
      <w:r>
        <w:fldChar w:fldCharType="separate"/>
      </w:r>
      <w:r w:rsidR="00BD2496">
        <w:t>8</w:t>
      </w:r>
      <w:r>
        <w:fldChar w:fldCharType="end"/>
      </w:r>
    </w:p>
    <w:p w14:paraId="728C0C30"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_Toc440267870 \h </w:instrText>
      </w:r>
      <w:r>
        <w:fldChar w:fldCharType="separate"/>
      </w:r>
      <w:r w:rsidR="00BD2496">
        <w:t>8</w:t>
      </w:r>
      <w:r>
        <w:fldChar w:fldCharType="end"/>
      </w:r>
    </w:p>
    <w:p w14:paraId="01BC8541"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_Toc440267871 \h </w:instrText>
      </w:r>
      <w:r>
        <w:fldChar w:fldCharType="separate"/>
      </w:r>
      <w:r w:rsidR="00BD2496">
        <w:t>8</w:t>
      </w:r>
      <w:r>
        <w:fldChar w:fldCharType="end"/>
      </w:r>
    </w:p>
    <w:p w14:paraId="3850ACCF"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_Toc440267872 \h </w:instrText>
      </w:r>
      <w:r>
        <w:fldChar w:fldCharType="separate"/>
      </w:r>
      <w:r w:rsidR="00BD2496">
        <w:t>8</w:t>
      </w:r>
      <w:r>
        <w:fldChar w:fldCharType="end"/>
      </w:r>
    </w:p>
    <w:p w14:paraId="0A0262C3"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_Toc440267873 \h </w:instrText>
      </w:r>
      <w:r>
        <w:fldChar w:fldCharType="separate"/>
      </w:r>
      <w:r w:rsidR="00BD2496">
        <w:t>8</w:t>
      </w:r>
      <w:r>
        <w:fldChar w:fldCharType="end"/>
      </w:r>
    </w:p>
    <w:p w14:paraId="189389FD"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_Toc440267874 \h </w:instrText>
      </w:r>
      <w:r>
        <w:fldChar w:fldCharType="separate"/>
      </w:r>
      <w:r w:rsidR="00BD2496">
        <w:t>9</w:t>
      </w:r>
      <w:r>
        <w:fldChar w:fldCharType="end"/>
      </w:r>
    </w:p>
    <w:p w14:paraId="6F217CC2"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_Toc440267875 \h </w:instrText>
      </w:r>
      <w:r>
        <w:fldChar w:fldCharType="separate"/>
      </w:r>
      <w:r w:rsidR="00BD2496">
        <w:t>12</w:t>
      </w:r>
      <w:r>
        <w:fldChar w:fldCharType="end"/>
      </w:r>
    </w:p>
    <w:p w14:paraId="72BC141C"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_Toc440267876 \h </w:instrText>
      </w:r>
      <w:r>
        <w:fldChar w:fldCharType="separate"/>
      </w:r>
      <w:r w:rsidR="00BD2496">
        <w:t>12</w:t>
      </w:r>
      <w:r>
        <w:fldChar w:fldCharType="end"/>
      </w:r>
    </w:p>
    <w:p w14:paraId="345C7D45"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_Toc440267877 \h </w:instrText>
      </w:r>
      <w:r>
        <w:fldChar w:fldCharType="separate"/>
      </w:r>
      <w:r w:rsidR="00BD2496">
        <w:t>13</w:t>
      </w:r>
      <w:r>
        <w:fldChar w:fldCharType="end"/>
      </w:r>
    </w:p>
    <w:p w14:paraId="5B3E86B9" w14:textId="043ECE73" w:rsidR="00402041" w:rsidRDefault="00402041" w:rsidP="00A66807">
      <w:pPr>
        <w:pStyle w:val="TOC2"/>
        <w:tabs>
          <w:tab w:val="left" w:pos="1080"/>
        </w:tabs>
        <w:spacing w:before="0" w:after="60"/>
        <w:rPr>
          <w:rFonts w:asciiTheme="minorHAnsi" w:eastAsiaTheme="minorEastAsia" w:hAnsiTheme="minorHAnsi" w:cstheme="minorBidi"/>
          <w:bCs w:val="0"/>
          <w:szCs w:val="22"/>
        </w:rPr>
      </w:pPr>
      <w:r w:rsidRPr="00B7083D">
        <w:t>14.</w:t>
      </w:r>
      <w:r w:rsidRPr="00B7083D">
        <w:rPr>
          <w:rFonts w:asciiTheme="minorHAnsi" w:eastAsiaTheme="minorEastAsia" w:hAnsiTheme="minorHAnsi" w:cstheme="minorBidi"/>
          <w:bCs w:val="0"/>
          <w:szCs w:val="22"/>
        </w:rPr>
        <w:tab/>
      </w:r>
      <w:r w:rsidRPr="00B7083D">
        <w:t>Cost</w:t>
      </w:r>
      <w:r w:rsidR="0051174A">
        <w:t>s</w:t>
      </w:r>
      <w:r w:rsidRPr="00B7083D">
        <w:t xml:space="preserve"> to Federal Government</w:t>
      </w:r>
      <w:r>
        <w:tab/>
      </w:r>
      <w:r>
        <w:fldChar w:fldCharType="begin"/>
      </w:r>
      <w:r>
        <w:instrText xml:space="preserve"> PAGEREF _Toc440267878 \h </w:instrText>
      </w:r>
      <w:r>
        <w:fldChar w:fldCharType="separate"/>
      </w:r>
      <w:r w:rsidR="00BD2496">
        <w:t>13</w:t>
      </w:r>
      <w:r>
        <w:fldChar w:fldCharType="end"/>
      </w:r>
    </w:p>
    <w:p w14:paraId="08C34C10"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_Toc440267879 \h </w:instrText>
      </w:r>
      <w:r>
        <w:fldChar w:fldCharType="separate"/>
      </w:r>
      <w:r w:rsidR="00BD2496">
        <w:t>14</w:t>
      </w:r>
      <w:r>
        <w:fldChar w:fldCharType="end"/>
      </w:r>
    </w:p>
    <w:p w14:paraId="4749C805"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_Toc440267880 \h </w:instrText>
      </w:r>
      <w:r>
        <w:fldChar w:fldCharType="separate"/>
      </w:r>
      <w:r w:rsidR="00BD2496">
        <w:t>14</w:t>
      </w:r>
      <w:r>
        <w:fldChar w:fldCharType="end"/>
      </w:r>
    </w:p>
    <w:p w14:paraId="748B4938"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_Toc440267881 \h </w:instrText>
      </w:r>
      <w:r>
        <w:fldChar w:fldCharType="separate"/>
      </w:r>
      <w:r w:rsidR="00BD2496">
        <w:t>15</w:t>
      </w:r>
      <w:r>
        <w:fldChar w:fldCharType="end"/>
      </w:r>
    </w:p>
    <w:p w14:paraId="1E84EEA5" w14:textId="77777777" w:rsidR="00402041" w:rsidRDefault="00402041" w:rsidP="00A66807">
      <w:pPr>
        <w:pStyle w:val="TOC2"/>
        <w:tabs>
          <w:tab w:val="left" w:pos="1080"/>
        </w:tabs>
        <w:spacing w:before="0" w:after="60"/>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_Toc440267882 \h </w:instrText>
      </w:r>
      <w:r>
        <w:fldChar w:fldCharType="separate"/>
      </w:r>
      <w:r w:rsidR="00BD2496">
        <w:t>15</w:t>
      </w:r>
      <w:r>
        <w:fldChar w:fldCharType="end"/>
      </w:r>
    </w:p>
    <w:p w14:paraId="3B5F4B55" w14:textId="77777777" w:rsidR="00D15F40" w:rsidRPr="002C7FD8" w:rsidRDefault="00507AD8" w:rsidP="005377C3">
      <w:pPr>
        <w:tabs>
          <w:tab w:val="right" w:pos="9360"/>
        </w:tabs>
        <w:spacing w:line="120" w:lineRule="auto"/>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197FED2" w:rsidR="0035340C" w:rsidRPr="0035340C" w:rsidRDefault="0035340C" w:rsidP="0035340C">
      <w:pPr>
        <w:pStyle w:val="TOC1"/>
        <w:spacing w:before="0" w:after="0"/>
        <w:rPr>
          <w:szCs w:val="22"/>
        </w:rPr>
      </w:pPr>
      <w:r w:rsidRPr="0035340C">
        <w:rPr>
          <w:szCs w:val="22"/>
        </w:rPr>
        <w:t>C.</w:t>
      </w:r>
      <w:r w:rsidRPr="0035340C">
        <w:rPr>
          <w:szCs w:val="22"/>
        </w:rPr>
        <w:tab/>
      </w:r>
      <w:r w:rsidR="003741A3">
        <w:rPr>
          <w:szCs w:val="22"/>
        </w:rPr>
        <w:t>References</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6235711A" w14:textId="0FDB29E8" w:rsidR="003D6D30" w:rsidRDefault="003D6D30" w:rsidP="00B25100">
      <w:pPr>
        <w:keepLines/>
        <w:numPr>
          <w:ilvl w:val="0"/>
          <w:numId w:val="7"/>
        </w:numPr>
        <w:rPr>
          <w:sz w:val="22"/>
          <w:szCs w:val="22"/>
        </w:rPr>
      </w:pPr>
      <w:r>
        <w:rPr>
          <w:sz w:val="22"/>
          <w:szCs w:val="22"/>
        </w:rPr>
        <w:t xml:space="preserve">Technical Review Panel </w:t>
      </w:r>
      <w:r w:rsidR="009B11C7">
        <w:rPr>
          <w:sz w:val="22"/>
          <w:szCs w:val="22"/>
        </w:rPr>
        <w:t xml:space="preserve">(TRP) </w:t>
      </w:r>
      <w:r>
        <w:rPr>
          <w:sz w:val="22"/>
          <w:szCs w:val="22"/>
        </w:rPr>
        <w:t>Members</w:t>
      </w:r>
    </w:p>
    <w:p w14:paraId="6FDDA2D4" w14:textId="36ACC5B3" w:rsidR="003D6D30" w:rsidRPr="002C7FD8" w:rsidRDefault="00D9575B" w:rsidP="00B25100">
      <w:pPr>
        <w:keepLines/>
        <w:numPr>
          <w:ilvl w:val="0"/>
          <w:numId w:val="7"/>
        </w:numPr>
        <w:rPr>
          <w:sz w:val="22"/>
          <w:szCs w:val="22"/>
        </w:rPr>
      </w:pPr>
      <w:r>
        <w:rPr>
          <w:sz w:val="22"/>
          <w:szCs w:val="22"/>
        </w:rPr>
        <w:t>Confidentiality for Administrative Record Matching</w:t>
      </w:r>
    </w:p>
    <w:p w14:paraId="2875E1E8" w14:textId="77777777" w:rsidR="00D14345" w:rsidRDefault="006A6131" w:rsidP="00D9575B">
      <w:pPr>
        <w:keepLines/>
        <w:numPr>
          <w:ilvl w:val="0"/>
          <w:numId w:val="7"/>
        </w:numPr>
        <w:rPr>
          <w:sz w:val="22"/>
          <w:szCs w:val="22"/>
        </w:rPr>
      </w:pPr>
      <w:r>
        <w:rPr>
          <w:sz w:val="22"/>
          <w:szCs w:val="22"/>
        </w:rPr>
        <w:t>Respo</w:t>
      </w:r>
      <w:r w:rsidR="00D9575B">
        <w:rPr>
          <w:sz w:val="22"/>
          <w:szCs w:val="22"/>
        </w:rPr>
        <w:t>ndent Communication Materials</w:t>
      </w:r>
    </w:p>
    <w:p w14:paraId="66BFB6D6" w14:textId="11C0B1E9" w:rsidR="00A25936" w:rsidRPr="004B2992" w:rsidRDefault="00A25936" w:rsidP="00B25100">
      <w:pPr>
        <w:pStyle w:val="TOC2"/>
        <w:numPr>
          <w:ilvl w:val="0"/>
          <w:numId w:val="7"/>
        </w:numPr>
        <w:spacing w:before="0" w:after="60"/>
        <w:rPr>
          <w:szCs w:val="22"/>
        </w:rPr>
      </w:pPr>
      <w:r w:rsidRPr="004B2992">
        <w:rPr>
          <w:szCs w:val="22"/>
        </w:rPr>
        <w:t>Student Interview Facsimile</w:t>
      </w:r>
      <w:r w:rsidR="00CF46E2">
        <w:rPr>
          <w:szCs w:val="22"/>
        </w:rPr>
        <w:t xml:space="preserve">, Including Abbreviated </w:t>
      </w:r>
      <w:r w:rsidR="00385D7C">
        <w:rPr>
          <w:szCs w:val="22"/>
        </w:rPr>
        <w:t xml:space="preserve">Interview </w:t>
      </w:r>
      <w:r w:rsidR="00CF46E2">
        <w:rPr>
          <w:szCs w:val="22"/>
        </w:rPr>
        <w:t>and Reinterview Items</w:t>
      </w:r>
    </w:p>
    <w:p w14:paraId="6337BD7B" w14:textId="77777777" w:rsidR="00D9575B" w:rsidRDefault="00D9575B" w:rsidP="002C7FD8">
      <w:pPr>
        <w:keepNext/>
        <w:tabs>
          <w:tab w:val="right" w:pos="10620"/>
        </w:tabs>
        <w:ind w:left="360" w:hanging="360"/>
        <w:rPr>
          <w:b/>
          <w:bCs/>
          <w:sz w:val="22"/>
          <w:szCs w:val="22"/>
        </w:rPr>
      </w:pPr>
    </w:p>
    <w:p w14:paraId="64DBDD6C" w14:textId="5FD892E6"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D14345">
        <w:rPr>
          <w:b/>
          <w:bCs/>
          <w:sz w:val="22"/>
          <w:szCs w:val="22"/>
        </w:rPr>
        <w:t xml:space="preserve"> </w:t>
      </w:r>
      <w:r w:rsidR="00E27E91" w:rsidRPr="002C7FD8">
        <w:rPr>
          <w:b/>
          <w:bCs/>
          <w:sz w:val="22"/>
          <w:szCs w:val="22"/>
        </w:rPr>
        <w:t>Page</w:t>
      </w:r>
    </w:p>
    <w:p w14:paraId="29FA2594" w14:textId="77777777" w:rsidR="00402041" w:rsidRDefault="0087411A" w:rsidP="00A66807">
      <w:pPr>
        <w:pStyle w:val="TOC5"/>
        <w:spacing w:before="0" w:after="60"/>
        <w:ind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402041">
        <w:t>Table 1. Chronology of NPSAS and its longitudinal components</w:t>
      </w:r>
      <w:r w:rsidR="00402041">
        <w:tab/>
      </w:r>
      <w:r w:rsidR="00402041">
        <w:fldChar w:fldCharType="begin"/>
      </w:r>
      <w:r w:rsidR="00402041">
        <w:instrText xml:space="preserve"> PAGEREF _Toc440267883 \h </w:instrText>
      </w:r>
      <w:r w:rsidR="00402041">
        <w:fldChar w:fldCharType="separate"/>
      </w:r>
      <w:r w:rsidR="00BD2496">
        <w:t>3</w:t>
      </w:r>
      <w:r w:rsidR="00402041">
        <w:fldChar w:fldCharType="end"/>
      </w:r>
    </w:p>
    <w:p w14:paraId="7C805CE1" w14:textId="77777777" w:rsidR="00402041" w:rsidRDefault="00402041" w:rsidP="00A66807">
      <w:pPr>
        <w:pStyle w:val="TOC5"/>
        <w:spacing w:before="0" w:after="60"/>
        <w:ind w:right="0" w:hanging="360"/>
        <w:rPr>
          <w:rFonts w:asciiTheme="minorHAnsi" w:eastAsiaTheme="minorEastAsia" w:hAnsiTheme="minorHAnsi" w:cstheme="minorBidi"/>
          <w:szCs w:val="22"/>
        </w:rPr>
      </w:pPr>
      <w:r>
        <w:t>Table 2. Distribution of incentive amounts among the B&amp;B:16/17 field test sample</w:t>
      </w:r>
      <w:r>
        <w:tab/>
      </w:r>
      <w:r>
        <w:fldChar w:fldCharType="begin"/>
      </w:r>
      <w:r>
        <w:instrText xml:space="preserve"> PAGEREF _Toc440267884 \h </w:instrText>
      </w:r>
      <w:r>
        <w:fldChar w:fldCharType="separate"/>
      </w:r>
      <w:r w:rsidR="00BD2496">
        <w:t>9</w:t>
      </w:r>
      <w:r>
        <w:fldChar w:fldCharType="end"/>
      </w:r>
    </w:p>
    <w:p w14:paraId="637813D4" w14:textId="77777777" w:rsidR="00402041" w:rsidRDefault="00402041" w:rsidP="00A66807">
      <w:pPr>
        <w:pStyle w:val="TOC5"/>
        <w:spacing w:before="0" w:after="60"/>
        <w:ind w:right="0" w:hanging="360"/>
        <w:rPr>
          <w:rFonts w:asciiTheme="minorHAnsi" w:eastAsiaTheme="minorEastAsia" w:hAnsiTheme="minorHAnsi" w:cstheme="minorBidi"/>
          <w:szCs w:val="22"/>
        </w:rPr>
      </w:pPr>
      <w:r>
        <w:t>Table 3. Maximum estimated burden and costs to respondents in B&amp;B:16/17</w:t>
      </w:r>
      <w:r>
        <w:tab/>
      </w:r>
      <w:r>
        <w:fldChar w:fldCharType="begin"/>
      </w:r>
      <w:r>
        <w:instrText xml:space="preserve"> PAGEREF _Toc440267885 \h </w:instrText>
      </w:r>
      <w:r>
        <w:fldChar w:fldCharType="separate"/>
      </w:r>
      <w:r w:rsidR="00BD2496">
        <w:t>13</w:t>
      </w:r>
      <w:r>
        <w:fldChar w:fldCharType="end"/>
      </w:r>
    </w:p>
    <w:p w14:paraId="109DA208" w14:textId="3CB7CA5D" w:rsidR="00402041" w:rsidRDefault="00402041" w:rsidP="00A66807">
      <w:pPr>
        <w:pStyle w:val="TOC5"/>
        <w:spacing w:before="0" w:after="60"/>
        <w:ind w:right="0" w:hanging="360"/>
        <w:rPr>
          <w:rFonts w:asciiTheme="minorHAnsi" w:eastAsiaTheme="minorEastAsia" w:hAnsiTheme="minorHAnsi" w:cstheme="minorBidi"/>
          <w:szCs w:val="22"/>
        </w:rPr>
      </w:pPr>
      <w:r>
        <w:t xml:space="preserve">Table 4. </w:t>
      </w:r>
      <w:r w:rsidR="0051174A">
        <w:t>C</w:t>
      </w:r>
      <w:r>
        <w:t>osts to NCES for the B&amp;B:16/17 field test and full-scale</w:t>
      </w:r>
      <w:r>
        <w:tab/>
      </w:r>
      <w:r>
        <w:fldChar w:fldCharType="begin"/>
      </w:r>
      <w:r>
        <w:instrText xml:space="preserve"> PAGEREF _Toc440267886 \h </w:instrText>
      </w:r>
      <w:r>
        <w:fldChar w:fldCharType="separate"/>
      </w:r>
      <w:r w:rsidR="00BD2496">
        <w:t>13</w:t>
      </w:r>
      <w:r>
        <w:fldChar w:fldCharType="end"/>
      </w:r>
    </w:p>
    <w:p w14:paraId="0A5DC39C" w14:textId="77777777"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5. Contract costs for B&amp;B:16/17</w:t>
      </w:r>
      <w:r>
        <w:tab/>
      </w:r>
      <w:r>
        <w:fldChar w:fldCharType="begin"/>
      </w:r>
      <w:r>
        <w:instrText xml:space="preserve"> PAGEREF _Toc440267887 \h </w:instrText>
      </w:r>
      <w:r>
        <w:fldChar w:fldCharType="separate"/>
      </w:r>
      <w:r w:rsidR="00BD2496">
        <w:t>13</w:t>
      </w:r>
      <w:r>
        <w:fldChar w:fldCharType="end"/>
      </w:r>
    </w:p>
    <w:p w14:paraId="4A25DBB6" w14:textId="77777777" w:rsidR="00402041" w:rsidRDefault="00402041" w:rsidP="00A66807">
      <w:pPr>
        <w:pStyle w:val="TOC5"/>
        <w:spacing w:before="0" w:after="60"/>
        <w:ind w:right="0" w:hanging="360"/>
        <w:rPr>
          <w:rFonts w:asciiTheme="minorHAnsi" w:eastAsiaTheme="minorEastAsia" w:hAnsiTheme="minorHAnsi" w:cstheme="minorBidi"/>
          <w:szCs w:val="22"/>
        </w:rPr>
      </w:pPr>
      <w:r w:rsidRPr="006A0ACD">
        <w:rPr>
          <w:rFonts w:eastAsia="MS Mincho"/>
        </w:rPr>
        <w:t>Table 6. Operational schedule for B&amp;B:16/17</w:t>
      </w:r>
      <w:r>
        <w:tab/>
      </w:r>
      <w:r>
        <w:fldChar w:fldCharType="begin"/>
      </w:r>
      <w:r>
        <w:instrText xml:space="preserve"> PAGEREF _Toc440267888 \h </w:instrText>
      </w:r>
      <w:r>
        <w:fldChar w:fldCharType="separate"/>
      </w:r>
      <w:r w:rsidR="00BD2496">
        <w:t>15</w:t>
      </w:r>
      <w:r>
        <w:fldChar w:fldCharType="end"/>
      </w:r>
    </w:p>
    <w:p w14:paraId="2FA55FC5" w14:textId="6AC1DFA9" w:rsidR="00FB3C2E" w:rsidRDefault="0087411A" w:rsidP="009070E2">
      <w:pPr>
        <w:pStyle w:val="TOC5"/>
        <w:tabs>
          <w:tab w:val="clear" w:pos="9360"/>
          <w:tab w:val="right" w:leader="dot" w:pos="10620"/>
        </w:tabs>
        <w:spacing w:before="0" w:after="0"/>
        <w:ind w:left="720" w:right="0" w:hanging="360"/>
        <w:rPr>
          <w:szCs w:val="22"/>
        </w:rPr>
      </w:pPr>
      <w:r w:rsidRPr="002C7FD8">
        <w:rPr>
          <w:rFonts w:cs="Arial"/>
          <w:b/>
          <w:bCs/>
          <w:szCs w:val="22"/>
        </w:rPr>
        <w:fldChar w:fldCharType="end"/>
      </w:r>
      <w:bookmarkStart w:id="5" w:name="_Toc418171228"/>
      <w:bookmarkStart w:id="6" w:name="_Toc99781028"/>
      <w:bookmarkStart w:id="7" w:name="_Toc115671404"/>
      <w:bookmarkStart w:id="8" w:name="_Toc383113357"/>
      <w:bookmarkStart w:id="9" w:name="_Toc418171229"/>
      <w:bookmarkEnd w:id="5"/>
    </w:p>
    <w:p w14:paraId="09752A91" w14:textId="77777777" w:rsidR="0075381B" w:rsidRDefault="0075381B">
      <w:pPr>
        <w:rPr>
          <w:rFonts w:eastAsiaTheme="minorEastAsia"/>
        </w:rPr>
        <w:sectPr w:rsidR="0075381B" w:rsidSect="00BA064E">
          <w:footerReference w:type="even" r:id="rId9"/>
          <w:footerReference w:type="default" r:id="rId10"/>
          <w:footerReference w:type="first" r:id="rId11"/>
          <w:type w:val="oddPage"/>
          <w:pgSz w:w="12240" w:h="15840" w:code="1"/>
          <w:pgMar w:top="1008" w:right="1008" w:bottom="1008" w:left="1008" w:header="432" w:footer="432" w:gutter="0"/>
          <w:pgNumType w:fmt="lowerRoman" w:start="1"/>
          <w:cols w:space="720"/>
          <w:titlePg/>
          <w:docGrid w:linePitch="326"/>
        </w:sectPr>
      </w:pPr>
    </w:p>
    <w:p w14:paraId="0864BA48" w14:textId="0C3A0E4B" w:rsidR="00091671" w:rsidRPr="00CD167A" w:rsidRDefault="00462551" w:rsidP="00975A2B">
      <w:pPr>
        <w:pStyle w:val="Heading1"/>
        <w:spacing w:line="23" w:lineRule="atLeast"/>
      </w:pPr>
      <w:bookmarkStart w:id="10" w:name="_Toc440267858"/>
      <w:r w:rsidRPr="00CD167A">
        <w:lastRenderedPageBreak/>
        <w:t>Justification</w:t>
      </w:r>
      <w:bookmarkEnd w:id="6"/>
      <w:bookmarkEnd w:id="7"/>
      <w:bookmarkEnd w:id="8"/>
      <w:bookmarkEnd w:id="9"/>
      <w:bookmarkEnd w:id="10"/>
    </w:p>
    <w:p w14:paraId="1B4B0C0A" w14:textId="77777777" w:rsidR="002D2120" w:rsidRPr="00CD167A" w:rsidRDefault="00091671" w:rsidP="00975A2B">
      <w:pPr>
        <w:pStyle w:val="Heading2"/>
        <w:spacing w:before="0" w:line="23" w:lineRule="atLeast"/>
        <w:ind w:left="1094" w:hanging="547"/>
      </w:pPr>
      <w:bookmarkStart w:id="11" w:name="_Toc99781029"/>
      <w:bookmarkStart w:id="12" w:name="_Toc115671405"/>
      <w:bookmarkStart w:id="13" w:name="_Toc383113358"/>
      <w:bookmarkStart w:id="14" w:name="_Toc440267859"/>
      <w:r w:rsidRPr="00CD167A">
        <w:t xml:space="preserve">Circumstances Making Collection of Information </w:t>
      </w:r>
      <w:bookmarkStart w:id="15" w:name="_Toc99781030"/>
      <w:bookmarkEnd w:id="11"/>
      <w:r w:rsidR="00462551" w:rsidRPr="00CD167A">
        <w:t>Necessary</w:t>
      </w:r>
      <w:bookmarkEnd w:id="12"/>
      <w:bookmarkEnd w:id="13"/>
      <w:bookmarkEnd w:id="14"/>
    </w:p>
    <w:p w14:paraId="291991BC" w14:textId="77777777" w:rsidR="00091671" w:rsidRDefault="00091671" w:rsidP="00975A2B">
      <w:pPr>
        <w:pStyle w:val="Heading3"/>
        <w:spacing w:before="0" w:line="23" w:lineRule="atLeast"/>
      </w:pPr>
      <w:bookmarkStart w:id="16" w:name="_Toc115671406"/>
      <w:bookmarkStart w:id="17" w:name="_Toc383113359"/>
      <w:bookmarkStart w:id="18" w:name="_Toc440267860"/>
      <w:r w:rsidRPr="00CD167A">
        <w:t>Purpose of this Submission</w:t>
      </w:r>
      <w:bookmarkEnd w:id="15"/>
      <w:bookmarkEnd w:id="16"/>
      <w:bookmarkEnd w:id="17"/>
      <w:bookmarkEnd w:id="18"/>
    </w:p>
    <w:p w14:paraId="7C4D3B3A" w14:textId="5C17446E" w:rsidR="001B74D0" w:rsidRDefault="003C1400" w:rsidP="00975A2B">
      <w:pPr>
        <w:autoSpaceDE w:val="0"/>
        <w:autoSpaceDN w:val="0"/>
        <w:adjustRightInd w:val="0"/>
        <w:spacing w:after="120" w:line="23" w:lineRule="atLeast"/>
      </w:pPr>
      <w:r w:rsidRPr="00FC70EB">
        <w:t xml:space="preserve">This </w:t>
      </w:r>
      <w:r w:rsidR="00A66807">
        <w:t xml:space="preserve">request is </w:t>
      </w:r>
      <w:r w:rsidR="00EE68A6">
        <w:t xml:space="preserve">for the </w:t>
      </w:r>
      <w:r w:rsidR="00EE68A6" w:rsidRPr="00FC70EB">
        <w:t>National Center for Education Statistics (NCES), within the Institute of Education Sciences (IES), part of the U.S. Department of Education</w:t>
      </w:r>
      <w:r w:rsidR="00EE68A6">
        <w:t xml:space="preserve">, </w:t>
      </w:r>
      <w:r w:rsidR="00A66807">
        <w:t>to conduct a</w:t>
      </w:r>
      <w:r w:rsidRPr="00FC70EB">
        <w:t xml:space="preserve"> field test of the </w:t>
      </w:r>
      <w:r w:rsidR="00EC1B5A">
        <w:t>2016/</w:t>
      </w:r>
      <w:r w:rsidRPr="00FC70EB">
        <w:t>17 Baccalaureate and Beyond Longitudinal Study (</w:t>
      </w:r>
      <w:r w:rsidRPr="00FC70EB">
        <w:rPr>
          <w:iCs/>
        </w:rPr>
        <w:t>B&amp;B:16/17</w:t>
      </w:r>
      <w:r w:rsidRPr="00FC70EB">
        <w:t>)</w:t>
      </w:r>
      <w:r w:rsidR="00956137">
        <w:rPr>
          <w:iCs/>
        </w:rPr>
        <w:t xml:space="preserve">. </w:t>
      </w:r>
      <w:r w:rsidR="00EE68A6">
        <w:t>NCES’s</w:t>
      </w:r>
      <w:r w:rsidRPr="00FC70EB">
        <w:t xml:space="preserve"> primary contractor for this study is RTI Internation</w:t>
      </w:r>
      <w:r w:rsidR="000C464A">
        <w:t>al (Contract# ED-IES-13-C-0070).</w:t>
      </w:r>
    </w:p>
    <w:p w14:paraId="328D05B3" w14:textId="03A90442" w:rsidR="003C1400" w:rsidRPr="00FC70EB" w:rsidRDefault="003C1400" w:rsidP="00975A2B">
      <w:pPr>
        <w:pStyle w:val="BodyText"/>
        <w:spacing w:before="0" w:line="23" w:lineRule="atLeast"/>
        <w:ind w:firstLine="0"/>
      </w:pPr>
      <w:r w:rsidRPr="00FC70EB">
        <w:t xml:space="preserve">This submission covers B&amp;B:16/17 field test materials and procedures required for </w:t>
      </w:r>
      <w:r w:rsidR="00D14345">
        <w:t xml:space="preserve">conducting the </w:t>
      </w:r>
      <w:r w:rsidRPr="00FC70EB">
        <w:t xml:space="preserve">student survey and </w:t>
      </w:r>
      <w:r w:rsidR="00D14345">
        <w:t xml:space="preserve">for </w:t>
      </w:r>
      <w:r w:rsidRPr="00FC70EB">
        <w:t xml:space="preserve">matching data to administrative </w:t>
      </w:r>
      <w:r w:rsidR="00D14345">
        <w:t>records</w:t>
      </w:r>
      <w:r w:rsidRPr="00FC70EB">
        <w:t xml:space="preserve">. Following the field test study in 2016, NCES will provide the Office of Management and Budget (OMB) with a memorandum summarizing any changes planned for the full-scale data collection, and a revised OMB package. The materials that will be used in the 2016-17 </w:t>
      </w:r>
      <w:r w:rsidR="005F7060" w:rsidRPr="00FC70EB">
        <w:t>full-scale</w:t>
      </w:r>
      <w:r w:rsidRPr="00FC70EB">
        <w:t xml:space="preserve">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w:t>
      </w:r>
      <w:r w:rsidR="00D14345">
        <w:t>at the time of this submission.</w:t>
      </w:r>
      <w:r w:rsidR="000C464A">
        <w:t xml:space="preserve"> </w:t>
      </w:r>
      <w:r w:rsidR="000C464A" w:rsidRPr="00AB2205">
        <w:t xml:space="preserve">As part of this submission, NCES is publishing a notice in the Federal Register allowing first a 60- and then a 30-day public comment period. </w:t>
      </w:r>
      <w:r w:rsidR="000C464A">
        <w:t>Given that the full-scale materials and procedures will be based on those used in the field test, and informed by its results, aft</w:t>
      </w:r>
      <w:r w:rsidR="000C464A" w:rsidRPr="00AB2205">
        <w:t>er the field test</w:t>
      </w:r>
      <w:r w:rsidR="000C464A">
        <w:t>,</w:t>
      </w:r>
      <w:r w:rsidR="000C464A" w:rsidRPr="00AB2205">
        <w:t xml:space="preserve"> NCES will publish a notice in the Federal Register allowing an additional 30-day public comment period on the final details</w:t>
      </w:r>
      <w:r w:rsidR="000C464A">
        <w:t xml:space="preserve"> of </w:t>
      </w:r>
      <w:r w:rsidR="000C464A" w:rsidRPr="00AB2205">
        <w:t xml:space="preserve">the </w:t>
      </w:r>
      <w:r w:rsidR="000C464A">
        <w:t>2016-17 full-scale</w:t>
      </w:r>
      <w:r w:rsidR="000C464A" w:rsidRPr="00AB2205">
        <w:t xml:space="preserve"> study</w:t>
      </w:r>
      <w:r w:rsidR="000C464A">
        <w:t>.</w:t>
      </w:r>
    </w:p>
    <w:p w14:paraId="672077CC" w14:textId="498A0A3F" w:rsidR="003C1400" w:rsidRPr="005274C5" w:rsidRDefault="003C1400" w:rsidP="00975A2B">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sidR="005F7060">
        <w:rPr>
          <w:rFonts w:ascii="Garamond" w:hAnsi="Garamond"/>
        </w:rPr>
        <w:t xml:space="preserve">school </w:t>
      </w:r>
      <w:r w:rsidR="001656CB">
        <w:rPr>
          <w:rFonts w:ascii="Garamond" w:hAnsi="Garamond"/>
        </w:rPr>
        <w:t xml:space="preserve">teachers. The B&amp;B-eligible cohort is identified in the National Postsecondary Study Aid Study (NPSAS). </w:t>
      </w:r>
      <w:r w:rsidRPr="00FC70EB">
        <w:rPr>
          <w:rFonts w:ascii="Garamond" w:hAnsi="Garamond"/>
        </w:rPr>
        <w:t xml:space="preserve">The first cohort (B&amp;B:93 cohort) was identified in NPSAS:93, and consisted of students who received their bachelor’s degree </w:t>
      </w:r>
      <w:r w:rsidR="005F7060">
        <w:rPr>
          <w:rFonts w:ascii="Garamond" w:hAnsi="Garamond"/>
        </w:rPr>
        <w:t xml:space="preserve">in the </w:t>
      </w:r>
      <w:r w:rsidR="005F7060" w:rsidRPr="00FC70EB">
        <w:rPr>
          <w:rFonts w:ascii="Garamond" w:hAnsi="Garamond"/>
        </w:rPr>
        <w:t>1992–93</w:t>
      </w:r>
      <w:r w:rsidR="005F7060">
        <w:rPr>
          <w:rFonts w:ascii="Garamond" w:hAnsi="Garamond"/>
        </w:rPr>
        <w:t xml:space="preserve"> </w:t>
      </w:r>
      <w:r w:rsidRPr="00FC70EB">
        <w:rPr>
          <w:rFonts w:ascii="Garamond" w:hAnsi="Garamond"/>
        </w:rPr>
        <w:t>academic year. NPSAS:93 provided the base-year data, and students were interviewed in an initial follow-up in 1994</w:t>
      </w:r>
      <w:r w:rsidR="00CB0C09">
        <w:rPr>
          <w:rFonts w:ascii="Garamond" w:hAnsi="Garamond"/>
        </w:rPr>
        <w:t>. T</w:t>
      </w:r>
      <w:r w:rsidRPr="00FC70EB">
        <w:rPr>
          <w:rFonts w:ascii="Garamond" w:hAnsi="Garamond"/>
        </w:rPr>
        <w:t>his follow-up also included a collection of transcript data. The B&amp;B:93 cohort was surveyed again in 1997 and 2003. The second cohort (B&amp;B:2000) was selected from the NPSAS:2000</w:t>
      </w:r>
      <w:r w:rsidR="005F7060">
        <w:rPr>
          <w:rFonts w:ascii="Garamond" w:hAnsi="Garamond"/>
        </w:rPr>
        <w:t>,</w:t>
      </w:r>
      <w:r w:rsidRPr="00FC70EB">
        <w:rPr>
          <w:rFonts w:ascii="Garamond" w:hAnsi="Garamond"/>
        </w:rPr>
        <w:t xml:space="preserve"> which became the base year for a single </w:t>
      </w:r>
      <w:r w:rsidR="00A65292">
        <w:rPr>
          <w:rFonts w:ascii="Garamond" w:hAnsi="Garamond"/>
        </w:rPr>
        <w:t xml:space="preserve">B&amp;B:00/01 </w:t>
      </w:r>
      <w:r w:rsidRPr="00FC70EB">
        <w:rPr>
          <w:rFonts w:ascii="Garamond" w:hAnsi="Garamond"/>
        </w:rPr>
        <w:t>follow-up in spring 2001. The third cohort (B&amp;B:08) was selected from the NPSAS:2008</w:t>
      </w:r>
      <w:r w:rsidR="005F7060">
        <w:rPr>
          <w:rFonts w:ascii="Garamond" w:hAnsi="Garamond"/>
        </w:rPr>
        <w:t>,</w:t>
      </w:r>
      <w:r w:rsidRPr="00FC70EB">
        <w:rPr>
          <w:rFonts w:ascii="Garamond" w:hAnsi="Garamond"/>
        </w:rPr>
        <w:t xml:space="preserve"> which became the base year for follow-up interviews in 2009 and 2012. The field test collections for each study were conducted in the years preceding the main study. The B&amp;B:93 and B&amp;B:08 cohorts also included transcript collections. </w:t>
      </w:r>
      <w:r w:rsidR="00CB0C09">
        <w:rPr>
          <w:rFonts w:ascii="Garamond" w:hAnsi="Garamond"/>
        </w:rPr>
        <w:t>B&amp;B:16/</w:t>
      </w:r>
      <w:r w:rsidR="00F8728D" w:rsidRPr="00F8728D">
        <w:rPr>
          <w:rFonts w:ascii="Garamond" w:hAnsi="Garamond"/>
        </w:rPr>
        <w:t xml:space="preserve">17 will be </w:t>
      </w:r>
      <w:r w:rsidR="00CB0C09">
        <w:rPr>
          <w:rFonts w:ascii="Garamond" w:hAnsi="Garamond"/>
        </w:rPr>
        <w:t xml:space="preserve">the first follow-up for </w:t>
      </w:r>
      <w:r w:rsidR="00F8728D" w:rsidRPr="00F8728D">
        <w:rPr>
          <w:rFonts w:ascii="Garamond" w:hAnsi="Garamond"/>
        </w:rPr>
        <w:t xml:space="preserve">the fourth cohort of the B&amp;B series (B&amp;B:16 cohort), </w:t>
      </w:r>
      <w:r w:rsidR="00CB0C09">
        <w:rPr>
          <w:rFonts w:ascii="Garamond" w:hAnsi="Garamond"/>
        </w:rPr>
        <w:t>which</w:t>
      </w:r>
      <w:r w:rsidR="00F8728D" w:rsidRPr="00F8728D">
        <w:rPr>
          <w:rFonts w:ascii="Garamond" w:hAnsi="Garamond"/>
        </w:rPr>
        <w:t xml:space="preserve"> consists of NPSAS:16 sample members who were baccalaureate recipients during the 2014-15 (field test) and 2015–16 (full-scale) academic years.</w:t>
      </w:r>
      <w:r w:rsidR="00DD421A">
        <w:rPr>
          <w:rFonts w:ascii="Garamond" w:hAnsi="Garamond"/>
        </w:rPr>
        <w:t xml:space="preserve"> </w:t>
      </w:r>
      <w:r w:rsidR="00BD2496" w:rsidRPr="005274C5">
        <w:rPr>
          <w:rFonts w:ascii="Garamond" w:hAnsi="Garamond"/>
        </w:rPr>
        <w:t>Due to the limited utility involved in collecting transcripts for baccalaureate students one year following receipt of their degrees,</w:t>
      </w:r>
      <w:r w:rsidR="00BD2496">
        <w:rPr>
          <w:rFonts w:ascii="Garamond" w:hAnsi="Garamond"/>
        </w:rPr>
        <w:t xml:space="preserve"> and current budgetary limitations,</w:t>
      </w:r>
      <w:r w:rsidR="00BD2496" w:rsidRPr="005274C5">
        <w:rPr>
          <w:rFonts w:ascii="Garamond" w:hAnsi="Garamond"/>
        </w:rPr>
        <w:t xml:space="preserve"> B&amp;B:16/17 will not include a transcript component.</w:t>
      </w:r>
      <w:r w:rsidR="00BD2496">
        <w:rPr>
          <w:rFonts w:ascii="Garamond" w:hAnsi="Garamond"/>
        </w:rPr>
        <w:t xml:space="preserve"> B&amp;B cohorts prior to B&amp;B:16 were approved under OMB# 1850-</w:t>
      </w:r>
      <w:r w:rsidR="00BD2496" w:rsidRPr="00F356B3">
        <w:rPr>
          <w:rFonts w:ascii="Garamond" w:hAnsi="Garamond"/>
        </w:rPr>
        <w:t>0729. B&amp;B:16 is submitted under a new clearance number</w:t>
      </w:r>
      <w:r w:rsidR="00BD2496">
        <w:rPr>
          <w:rFonts w:ascii="Garamond" w:hAnsi="Garamond"/>
        </w:rPr>
        <w:t xml:space="preserve"> which will be assigned upon approval</w:t>
      </w:r>
      <w:r w:rsidR="00BD2496" w:rsidRPr="00F356B3">
        <w:rPr>
          <w:rFonts w:ascii="Garamond" w:hAnsi="Garamond"/>
        </w:rPr>
        <w:t xml:space="preserve"> (currently 1850-new</w:t>
      </w:r>
      <w:r w:rsidR="00BD2496" w:rsidRPr="00BD2496">
        <w:rPr>
          <w:rFonts w:ascii="Garamond" w:hAnsi="Garamond"/>
        </w:rPr>
        <w:t>)</w:t>
      </w:r>
      <w:r w:rsidR="0091487E" w:rsidRPr="00BD2496">
        <w:rPr>
          <w:rFonts w:ascii="Garamond" w:hAnsi="Garamond"/>
        </w:rPr>
        <w:t>.</w:t>
      </w:r>
    </w:p>
    <w:p w14:paraId="22002510" w14:textId="07F170CE" w:rsidR="00361487" w:rsidRDefault="00CB0C09" w:rsidP="00F35B4E">
      <w:pPr>
        <w:spacing w:after="120" w:line="23" w:lineRule="atLeast"/>
      </w:pPr>
      <w:r>
        <w:t>The</w:t>
      </w:r>
      <w:r w:rsidR="00FC0DE2">
        <w:t xml:space="preserve"> differences between </w:t>
      </w:r>
      <w:r w:rsidR="0018048C">
        <w:t xml:space="preserve">plans for the B&amp;B:16/17 field test and </w:t>
      </w:r>
      <w:r>
        <w:t xml:space="preserve">the </w:t>
      </w:r>
      <w:r w:rsidR="0018048C">
        <w:t xml:space="preserve">study designs approved for </w:t>
      </w:r>
      <w:r w:rsidR="00FC0DE2">
        <w:t>the previous B&amp;B cohort, B&amp;B:08, are minimal</w:t>
      </w:r>
      <w:r>
        <w:t>. The r</w:t>
      </w:r>
      <w:r w:rsidR="00FC0DE2">
        <w:t xml:space="preserve">evisions </w:t>
      </w:r>
      <w:r>
        <w:t xml:space="preserve">that have been made for </w:t>
      </w:r>
      <w:r w:rsidR="00FC0DE2">
        <w:t>this field test are intended to</w:t>
      </w:r>
      <w:r w:rsidR="00361487">
        <w:t xml:space="preserve"> build upon</w:t>
      </w:r>
      <w:r w:rsidR="00FC0DE2">
        <w:t xml:space="preserve"> </w:t>
      </w:r>
      <w:r w:rsidR="00361487">
        <w:t>information gained in previous B&amp;B data collections</w:t>
      </w:r>
      <w:r w:rsidR="00FC0DE2">
        <w:t>. The B&amp;B:16/17 field test will focus its data collection efforts on the B&amp;B-eligible base-year (NPSAS:16) interview nonrespondent sample</w:t>
      </w:r>
      <w:r w:rsidR="00F450E6">
        <w:t xml:space="preserve"> (hereafter, base-year nonrespondents</w:t>
      </w:r>
      <w:r w:rsidR="00DD05B9">
        <w:t xml:space="preserve">), as they have proved the most complex to encourage to participate in the B&amp;B </w:t>
      </w:r>
      <w:r w:rsidR="00607C15">
        <w:t>follow-up survey</w:t>
      </w:r>
      <w:r w:rsidR="00DD05B9">
        <w:t>s</w:t>
      </w:r>
      <w:r w:rsidR="00FC0DE2">
        <w:t>. Part B of this submission describes a field test d</w:t>
      </w:r>
      <w:r w:rsidR="00183736">
        <w:t xml:space="preserve">esign </w:t>
      </w:r>
      <w:r w:rsidR="00AD076A">
        <w:t>that</w:t>
      </w:r>
      <w:r w:rsidR="00183736">
        <w:t xml:space="preserve"> includes</w:t>
      </w:r>
      <w:r w:rsidR="00F05BAD">
        <w:t xml:space="preserve"> a</w:t>
      </w:r>
      <w:r w:rsidR="00601739">
        <w:t>ll</w:t>
      </w:r>
      <w:r w:rsidR="00F05BAD">
        <w:t xml:space="preserve"> base year</w:t>
      </w:r>
      <w:r w:rsidR="00362EAD">
        <w:t xml:space="preserve"> respondents and nonrespondents, </w:t>
      </w:r>
      <w:r w:rsidR="00FC0DE2">
        <w:t xml:space="preserve">and </w:t>
      </w:r>
      <w:r w:rsidR="00183736">
        <w:t xml:space="preserve">employs </w:t>
      </w:r>
      <w:r w:rsidR="00FC0DE2">
        <w:t xml:space="preserve">a variation of data protocols between </w:t>
      </w:r>
      <w:r w:rsidR="00183736">
        <w:t xml:space="preserve">four groups, including two randomly-assigned </w:t>
      </w:r>
      <w:r w:rsidR="00EC23AE">
        <w:t>base-year nonrespondent</w:t>
      </w:r>
      <w:r w:rsidR="00183736">
        <w:t xml:space="preserve"> groups, a base-year early respondent group, and </w:t>
      </w:r>
      <w:r w:rsidR="009B606B">
        <w:t xml:space="preserve">a group of all </w:t>
      </w:r>
      <w:r w:rsidR="00183736">
        <w:t>remaining base-year respondent</w:t>
      </w:r>
      <w:r w:rsidR="009B606B">
        <w:t>s</w:t>
      </w:r>
      <w:r w:rsidR="00FC0DE2">
        <w:t xml:space="preserve">. </w:t>
      </w:r>
      <w:r w:rsidR="009A0433">
        <w:t xml:space="preserve">The </w:t>
      </w:r>
      <w:r w:rsidR="001114E0">
        <w:t xml:space="preserve">data collection </w:t>
      </w:r>
      <w:r w:rsidR="00B85245">
        <w:t>strategies</w:t>
      </w:r>
      <w:r w:rsidR="001114E0">
        <w:t xml:space="preserve"> to be</w:t>
      </w:r>
      <w:r w:rsidR="00DA4774">
        <w:t xml:space="preserve"> employed have </w:t>
      </w:r>
      <w:r w:rsidR="009A0433">
        <w:t xml:space="preserve">been </w:t>
      </w:r>
      <w:r w:rsidR="00AD076A">
        <w:t xml:space="preserve">previously </w:t>
      </w:r>
      <w:r w:rsidR="009A0433">
        <w:t xml:space="preserve">approved by OMB </w:t>
      </w:r>
      <w:r w:rsidR="00AD076A">
        <w:t>in prior B&amp;B</w:t>
      </w:r>
      <w:r w:rsidR="005E684D">
        <w:t xml:space="preserve"> studies and include: </w:t>
      </w:r>
      <w:r w:rsidR="009A0433">
        <w:t>prepaid incentives</w:t>
      </w:r>
      <w:r w:rsidR="00B741D2">
        <w:t xml:space="preserve"> and </w:t>
      </w:r>
      <w:r w:rsidR="00D047A8">
        <w:t>promised</w:t>
      </w:r>
      <w:r w:rsidR="00B741D2">
        <w:t xml:space="preserve"> incentives of </w:t>
      </w:r>
      <w:r>
        <w:t>up to</w:t>
      </w:r>
      <w:r w:rsidR="00B741D2">
        <w:t xml:space="preserve"> $30, </w:t>
      </w:r>
      <w:r w:rsidR="00696D8D">
        <w:t>Computer-Assisted Telephone Interviewing (</w:t>
      </w:r>
      <w:r w:rsidR="00B741D2">
        <w:t>CATI</w:t>
      </w:r>
      <w:r w:rsidR="00696D8D">
        <w:t>)</w:t>
      </w:r>
      <w:r>
        <w:t>,</w:t>
      </w:r>
      <w:r w:rsidR="00B741D2">
        <w:t xml:space="preserve"> locating and tracing efforts, and the offer of an abbreviated interview</w:t>
      </w:r>
      <w:r w:rsidR="00B741D2" w:rsidRPr="00D50BA1">
        <w:t xml:space="preserve">. </w:t>
      </w:r>
      <w:r w:rsidR="00A52550">
        <w:t xml:space="preserve">The B&amp;B:16/17 field test is unique in its proposal to combine these proven data </w:t>
      </w:r>
      <w:r w:rsidR="00A52550">
        <w:lastRenderedPageBreak/>
        <w:t xml:space="preserve">collection strategies into four separate data collection protocols for the four groups described above. The protocols differ by when during data collection the strategies are employed and the intensity with which they are employed. For example, </w:t>
      </w:r>
      <w:r w:rsidR="00A15753">
        <w:t xml:space="preserve">B&amp;B:16/17 will </w:t>
      </w:r>
      <w:r w:rsidR="001114E0">
        <w:t xml:space="preserve">not </w:t>
      </w:r>
      <w:r w:rsidR="00AF24C2">
        <w:t>pursue</w:t>
      </w:r>
      <w:r w:rsidR="00B741D2">
        <w:t xml:space="preserve"> outbound </w:t>
      </w:r>
      <w:r w:rsidR="006768EE">
        <w:t xml:space="preserve">calling with </w:t>
      </w:r>
      <w:r w:rsidR="00B741D2">
        <w:t>the base-year in</w:t>
      </w:r>
      <w:r w:rsidR="005E684D">
        <w:t xml:space="preserve">terview early respondent group </w:t>
      </w:r>
      <w:r w:rsidR="006221FD">
        <w:t>in order</w:t>
      </w:r>
      <w:r w:rsidR="005E684D">
        <w:t xml:space="preserve"> to learn if that group will </w:t>
      </w:r>
      <w:r w:rsidR="00A53785">
        <w:t>complete</w:t>
      </w:r>
      <w:r w:rsidR="005E684D">
        <w:t xml:space="preserve"> the first follow-up survey at the same previous high levels of response without the additional </w:t>
      </w:r>
      <w:r w:rsidR="00A15753">
        <w:t xml:space="preserve">data collection effort. Savings in data collection </w:t>
      </w:r>
      <w:r w:rsidR="001A01D2">
        <w:t>costs realized</w:t>
      </w:r>
      <w:r w:rsidR="00A15753">
        <w:t xml:space="preserve"> for that group</w:t>
      </w:r>
      <w:r w:rsidR="00A96CF4">
        <w:t xml:space="preserve"> will be sufficient to allow us to pursue </w:t>
      </w:r>
      <w:r w:rsidR="00072666">
        <w:t xml:space="preserve">all of </w:t>
      </w:r>
      <w:r w:rsidR="005E684D">
        <w:t>the base-ye</w:t>
      </w:r>
      <w:r w:rsidR="00104B30">
        <w:t>ar nonrespondents</w:t>
      </w:r>
      <w:r w:rsidR="005E684D">
        <w:t xml:space="preserve">. </w:t>
      </w:r>
      <w:r w:rsidR="00FC0DE2">
        <w:t xml:space="preserve">In addition, B&amp;B:16/17 will conduct an observational Mahalanobis calculation, similar to the Mahalanobis design which included interventions in the B&amp;B:08/12 full-scale study. This design, described in detail in Part B, will </w:t>
      </w:r>
      <w:r w:rsidR="00B437E8">
        <w:t>allow us to monitor Mahalanobis values as another measure of an individual’s potential contribution to bias to evaluate the benefits of using the measure in the full-scale study.</w:t>
      </w:r>
    </w:p>
    <w:p w14:paraId="028E4006" w14:textId="14EECC0E" w:rsidR="00D14345" w:rsidRDefault="00F31C35" w:rsidP="00770E36">
      <w:pPr>
        <w:pStyle w:val="BodyText1"/>
        <w:spacing w:line="23" w:lineRule="atLeast"/>
        <w:ind w:firstLine="0"/>
        <w:rPr>
          <w:rFonts w:ascii="Garamond" w:eastAsia="Times New Roman" w:hAnsi="Garamond"/>
        </w:rPr>
      </w:pPr>
      <w:r w:rsidRPr="00F17CDB">
        <w:rPr>
          <w:rFonts w:ascii="Garamond" w:eastAsia="Times New Roman" w:hAnsi="Garamond"/>
        </w:rPr>
        <w:t xml:space="preserve">While most items in the </w:t>
      </w:r>
      <w:r>
        <w:rPr>
          <w:rFonts w:ascii="Garamond" w:eastAsia="Times New Roman" w:hAnsi="Garamond"/>
        </w:rPr>
        <w:t xml:space="preserve">B&amp;B:16/17 field test </w:t>
      </w:r>
      <w:r w:rsidRPr="00F17CDB">
        <w:rPr>
          <w:rFonts w:ascii="Garamond" w:eastAsia="Times New Roman" w:hAnsi="Garamond"/>
        </w:rPr>
        <w:t xml:space="preserve">student survey have been included in </w:t>
      </w:r>
      <w:r w:rsidR="00EF73FD">
        <w:rPr>
          <w:rFonts w:ascii="Garamond" w:eastAsia="Times New Roman" w:hAnsi="Garamond"/>
        </w:rPr>
        <w:t xml:space="preserve">surveys for </w:t>
      </w:r>
      <w:r>
        <w:rPr>
          <w:rFonts w:ascii="Garamond" w:eastAsia="Times New Roman" w:hAnsi="Garamond"/>
        </w:rPr>
        <w:t>the prior B&amp;B cohort (B&amp;B:08)</w:t>
      </w:r>
      <w:r w:rsidRPr="00F17CDB">
        <w:rPr>
          <w:rFonts w:ascii="Garamond" w:eastAsia="Times New Roman" w:hAnsi="Garamond"/>
        </w:rPr>
        <w:t xml:space="preserve">, the </w:t>
      </w:r>
      <w:r w:rsidR="003F48E3">
        <w:rPr>
          <w:rFonts w:ascii="Garamond" w:eastAsia="Times New Roman" w:hAnsi="Garamond"/>
        </w:rPr>
        <w:t xml:space="preserve">B&amp;B:16/17 </w:t>
      </w:r>
      <w:r w:rsidRPr="00F17CDB">
        <w:rPr>
          <w:rFonts w:ascii="Garamond" w:eastAsia="Times New Roman" w:hAnsi="Garamond"/>
        </w:rPr>
        <w:t xml:space="preserve">survey also includes revisions based on results from the </w:t>
      </w:r>
      <w:r>
        <w:rPr>
          <w:rFonts w:ascii="Garamond" w:eastAsia="Times New Roman" w:hAnsi="Garamond"/>
        </w:rPr>
        <w:t>B&amp;B:08 cohort data</w:t>
      </w:r>
      <w:r w:rsidRPr="00F17CDB">
        <w:rPr>
          <w:rFonts w:ascii="Garamond" w:eastAsia="Times New Roman" w:hAnsi="Garamond"/>
        </w:rPr>
        <w:t xml:space="preserve"> collection</w:t>
      </w:r>
      <w:r>
        <w:rPr>
          <w:rFonts w:ascii="Garamond" w:eastAsia="Times New Roman" w:hAnsi="Garamond"/>
        </w:rPr>
        <w:t>s</w:t>
      </w:r>
      <w:r w:rsidRPr="00F17CDB">
        <w:rPr>
          <w:rFonts w:ascii="Garamond" w:eastAsia="Times New Roman" w:hAnsi="Garamond"/>
        </w:rPr>
        <w:t xml:space="preserve"> and feedback from the B&amp;B:16/17 Technical Review Panel (TRP) meeting conducted in October 2015. </w:t>
      </w:r>
      <w:r w:rsidR="006F3074">
        <w:rPr>
          <w:rFonts w:ascii="Garamond" w:eastAsia="Times New Roman" w:hAnsi="Garamond"/>
        </w:rPr>
        <w:t>As with the data collection methodology, r</w:t>
      </w:r>
      <w:r w:rsidRPr="00F17CDB">
        <w:rPr>
          <w:rFonts w:ascii="Garamond" w:eastAsia="Times New Roman" w:hAnsi="Garamond"/>
        </w:rPr>
        <w:t>evisions</w:t>
      </w:r>
      <w:r w:rsidR="006F3074">
        <w:rPr>
          <w:rFonts w:ascii="Garamond" w:eastAsia="Times New Roman" w:hAnsi="Garamond"/>
        </w:rPr>
        <w:t xml:space="preserve"> to the survey</w:t>
      </w:r>
      <w:r w:rsidRPr="00F17CDB">
        <w:rPr>
          <w:rFonts w:ascii="Garamond" w:eastAsia="Times New Roman" w:hAnsi="Garamond"/>
        </w:rPr>
        <w:t xml:space="preserve"> are intended to reflect current research goals as well as reduce respondent burden and improve data quality.</w:t>
      </w:r>
      <w:r w:rsidRPr="00F31C35">
        <w:rPr>
          <w:rFonts w:ascii="Garamond" w:eastAsia="Times New Roman" w:hAnsi="Garamond"/>
        </w:rPr>
        <w:t xml:space="preserve"> </w:t>
      </w:r>
      <w:r>
        <w:rPr>
          <w:rFonts w:ascii="Garamond" w:eastAsia="Times New Roman" w:hAnsi="Garamond"/>
        </w:rPr>
        <w:t xml:space="preserve">Many items </w:t>
      </w:r>
      <w:r w:rsidR="0017649E">
        <w:rPr>
          <w:rFonts w:ascii="Garamond" w:eastAsia="Times New Roman" w:hAnsi="Garamond"/>
        </w:rPr>
        <w:t>added to the</w:t>
      </w:r>
      <w:r w:rsidR="00BC59BC">
        <w:rPr>
          <w:rFonts w:ascii="Garamond" w:eastAsia="Times New Roman" w:hAnsi="Garamond"/>
        </w:rPr>
        <w:t xml:space="preserve"> B&amp;B:16/17 field test survey were</w:t>
      </w:r>
      <w:r w:rsidR="0017649E">
        <w:rPr>
          <w:rFonts w:ascii="Garamond" w:eastAsia="Times New Roman" w:hAnsi="Garamond"/>
        </w:rPr>
        <w:t xml:space="preserve"> </w:t>
      </w:r>
      <w:r>
        <w:rPr>
          <w:rFonts w:ascii="Garamond" w:eastAsia="Times New Roman" w:hAnsi="Garamond"/>
        </w:rPr>
        <w:t xml:space="preserve">previously tested and included in other NCES </w:t>
      </w:r>
      <w:r w:rsidRPr="0017649E">
        <w:rPr>
          <w:rFonts w:ascii="Garamond" w:eastAsia="Times New Roman" w:hAnsi="Garamond"/>
        </w:rPr>
        <w:t>studies</w:t>
      </w:r>
      <w:r>
        <w:rPr>
          <w:rFonts w:ascii="Garamond" w:eastAsia="Times New Roman" w:hAnsi="Garamond"/>
        </w:rPr>
        <w:t xml:space="preserve">, while several </w:t>
      </w:r>
      <w:r w:rsidR="00037DD3">
        <w:rPr>
          <w:rFonts w:ascii="Garamond" w:eastAsia="Times New Roman" w:hAnsi="Garamond"/>
        </w:rPr>
        <w:t xml:space="preserve">items </w:t>
      </w:r>
      <w:r>
        <w:rPr>
          <w:rFonts w:ascii="Garamond" w:eastAsia="Times New Roman" w:hAnsi="Garamond"/>
        </w:rPr>
        <w:t xml:space="preserve">include new content recommended for inclusion by </w:t>
      </w:r>
      <w:r w:rsidRPr="00ED4D50">
        <w:rPr>
          <w:rFonts w:ascii="Garamond" w:eastAsia="Times New Roman" w:hAnsi="Garamond"/>
        </w:rPr>
        <w:t xml:space="preserve">the TRP or </w:t>
      </w:r>
      <w:r w:rsidR="00037DD3">
        <w:rPr>
          <w:rFonts w:ascii="Garamond" w:hAnsi="Garamond"/>
        </w:rPr>
        <w:t>content</w:t>
      </w:r>
      <w:r w:rsidR="00770E36" w:rsidRPr="00ED4D50">
        <w:rPr>
          <w:rFonts w:ascii="Garamond" w:hAnsi="Garamond"/>
        </w:rPr>
        <w:t xml:space="preserve"> necessary to conduct analyses of interest regarding students’ financial situation and other changes in the year following receipt of their bachelor’s degree. </w:t>
      </w:r>
      <w:r>
        <w:rPr>
          <w:rFonts w:ascii="Garamond" w:eastAsia="Times New Roman" w:hAnsi="Garamond"/>
        </w:rPr>
        <w:t xml:space="preserve">Specifically, </w:t>
      </w:r>
      <w:r w:rsidR="00D160FE">
        <w:rPr>
          <w:rFonts w:ascii="Garamond" w:eastAsia="Times New Roman" w:hAnsi="Garamond"/>
        </w:rPr>
        <w:t>some</w:t>
      </w:r>
      <w:r>
        <w:rPr>
          <w:rFonts w:ascii="Garamond" w:eastAsia="Times New Roman" w:hAnsi="Garamond"/>
        </w:rPr>
        <w:t xml:space="preserve"> month-level enrollment, employment, and financial questions have been added for respondents whose situations change, which </w:t>
      </w:r>
      <w:r w:rsidRPr="00467DE4">
        <w:rPr>
          <w:rFonts w:ascii="Garamond" w:eastAsia="Times New Roman" w:hAnsi="Garamond"/>
        </w:rPr>
        <w:t>will allow researchers to explore how debt or other characteristics affect graduates’ time to employment, the timing and duration of unemployment spells, and the timing of life milestones, such as family formation.</w:t>
      </w:r>
      <w:r>
        <w:t xml:space="preserve"> </w:t>
      </w:r>
      <w:r w:rsidR="00E36212" w:rsidRPr="00CA0B6A">
        <w:rPr>
          <w:rFonts w:ascii="Garamond" w:hAnsi="Garamond"/>
        </w:rPr>
        <w:t xml:space="preserve">In addition, in response to a recommendation made at the October 2015 meeting of the B&amp;B:16/17 </w:t>
      </w:r>
      <w:r w:rsidR="008C703C">
        <w:rPr>
          <w:rFonts w:ascii="Garamond" w:hAnsi="Garamond"/>
        </w:rPr>
        <w:t>TRP</w:t>
      </w:r>
      <w:r w:rsidR="00E36212" w:rsidRPr="00CA0B6A">
        <w:rPr>
          <w:rFonts w:ascii="Garamond" w:hAnsi="Garamond"/>
        </w:rPr>
        <w:t xml:space="preserve">, pre-kindergarten (pre-K) teachers will be included in the definition of “teachers” studied by B&amp;B:16/17, particularly because some states are instituting universal pre-school programs and raising certification </w:t>
      </w:r>
      <w:r w:rsidR="002524AA">
        <w:rPr>
          <w:rFonts w:ascii="Garamond" w:hAnsi="Garamond"/>
        </w:rPr>
        <w:t xml:space="preserve">and degree </w:t>
      </w:r>
      <w:r w:rsidR="00E36212" w:rsidRPr="00CA0B6A">
        <w:rPr>
          <w:rFonts w:ascii="Garamond" w:hAnsi="Garamond"/>
        </w:rPr>
        <w:t>requirements to teach pre-K.</w:t>
      </w:r>
      <w:r w:rsidR="00114BBE">
        <w:t xml:space="preserve"> </w:t>
      </w:r>
      <w:r>
        <w:rPr>
          <w:rFonts w:ascii="Garamond" w:eastAsia="Times New Roman" w:hAnsi="Garamond"/>
        </w:rPr>
        <w:t>To balance the inclusion of the</w:t>
      </w:r>
      <w:r w:rsidR="00616CC9">
        <w:rPr>
          <w:rFonts w:ascii="Garamond" w:eastAsia="Times New Roman" w:hAnsi="Garamond"/>
        </w:rPr>
        <w:t xml:space="preserve"> additional items, several other survey questions</w:t>
      </w:r>
      <w:r>
        <w:rPr>
          <w:rFonts w:ascii="Garamond" w:eastAsia="Times New Roman" w:hAnsi="Garamond"/>
        </w:rPr>
        <w:t xml:space="preserve"> have been revised to improve efficiency within the survey, and prior B&amp;B cohort items no longer considered relevant for this B&amp;B:16/17 cohort have been removed</w:t>
      </w:r>
      <w:r w:rsidR="00D160FE">
        <w:rPr>
          <w:rFonts w:ascii="Garamond" w:eastAsia="Times New Roman" w:hAnsi="Garamond"/>
        </w:rPr>
        <w:t xml:space="preserve">. </w:t>
      </w:r>
      <w:r w:rsidR="0017649E">
        <w:rPr>
          <w:rFonts w:ascii="Garamond" w:eastAsia="Times New Roman" w:hAnsi="Garamond"/>
        </w:rPr>
        <w:t>Appendix D</w:t>
      </w:r>
      <w:r w:rsidR="00E34034">
        <w:rPr>
          <w:rFonts w:ascii="Garamond" w:eastAsia="Times New Roman" w:hAnsi="Garamond"/>
        </w:rPr>
        <w:t xml:space="preserve"> provides detail on these changes</w:t>
      </w:r>
      <w:r w:rsidR="0017649E">
        <w:rPr>
          <w:rFonts w:ascii="Garamond" w:eastAsia="Times New Roman" w:hAnsi="Garamond"/>
        </w:rPr>
        <w:t xml:space="preserve">. The </w:t>
      </w:r>
      <w:r w:rsidR="00D160FE">
        <w:rPr>
          <w:rFonts w:ascii="Garamond" w:eastAsia="Times New Roman" w:hAnsi="Garamond"/>
        </w:rPr>
        <w:t xml:space="preserve">average </w:t>
      </w:r>
      <w:r w:rsidR="00962C03">
        <w:rPr>
          <w:rFonts w:ascii="Garamond" w:eastAsia="Times New Roman" w:hAnsi="Garamond"/>
        </w:rPr>
        <w:t xml:space="preserve">respondent </w:t>
      </w:r>
      <w:r w:rsidR="0017649E">
        <w:rPr>
          <w:rFonts w:ascii="Garamond" w:eastAsia="Times New Roman" w:hAnsi="Garamond"/>
        </w:rPr>
        <w:t>burden estimate of 35 minu</w:t>
      </w:r>
      <w:r w:rsidR="00962C03">
        <w:rPr>
          <w:rFonts w:ascii="Garamond" w:eastAsia="Times New Roman" w:hAnsi="Garamond"/>
        </w:rPr>
        <w:t>tes for the field test survey</w:t>
      </w:r>
      <w:r w:rsidR="0017649E">
        <w:rPr>
          <w:rFonts w:ascii="Garamond" w:eastAsia="Times New Roman" w:hAnsi="Garamond"/>
        </w:rPr>
        <w:t xml:space="preserve"> remains unchanged from </w:t>
      </w:r>
      <w:r w:rsidR="00962C03">
        <w:rPr>
          <w:rFonts w:ascii="Garamond" w:eastAsia="Times New Roman" w:hAnsi="Garamond"/>
        </w:rPr>
        <w:t>the field test time estimate</w:t>
      </w:r>
      <w:r w:rsidR="00D160FE">
        <w:rPr>
          <w:rFonts w:ascii="Garamond" w:eastAsia="Times New Roman" w:hAnsi="Garamond"/>
        </w:rPr>
        <w:t>s</w:t>
      </w:r>
      <w:r w:rsidR="00962C03">
        <w:rPr>
          <w:rFonts w:ascii="Garamond" w:eastAsia="Times New Roman" w:hAnsi="Garamond"/>
        </w:rPr>
        <w:t xml:space="preserve"> approved for the previous B&amp;B cohort.</w:t>
      </w:r>
    </w:p>
    <w:p w14:paraId="63A0A9CB" w14:textId="0A65E852" w:rsidR="003C1400" w:rsidRPr="00FC70EB" w:rsidRDefault="003C1400" w:rsidP="00975A2B">
      <w:pPr>
        <w:pStyle w:val="BodyText"/>
        <w:spacing w:before="0" w:line="23" w:lineRule="atLeast"/>
        <w:ind w:firstLine="0"/>
      </w:pPr>
      <w:r w:rsidRPr="00FC70EB">
        <w:t>This submission includes:</w:t>
      </w:r>
    </w:p>
    <w:p w14:paraId="259EC509" w14:textId="6ADFEF12" w:rsidR="003C1400" w:rsidRPr="00FC70EB" w:rsidRDefault="003C1400" w:rsidP="00FF5E5F">
      <w:pPr>
        <w:pStyle w:val="bulletround"/>
        <w:keepLines/>
        <w:numPr>
          <w:ilvl w:val="0"/>
          <w:numId w:val="6"/>
        </w:numPr>
        <w:tabs>
          <w:tab w:val="clear" w:pos="1440"/>
          <w:tab w:val="num" w:pos="1080"/>
        </w:tabs>
        <w:spacing w:before="0"/>
        <w:ind w:left="1080"/>
      </w:pPr>
      <w:r w:rsidRPr="00FC70EB">
        <w:t>A membership list of the TRP for the student data collection component of B&amp;B:16/17 (appendix A);</w:t>
      </w:r>
    </w:p>
    <w:p w14:paraId="56F9C083" w14:textId="77777777" w:rsidR="003C1400" w:rsidRPr="00FC70EB" w:rsidRDefault="003C1400" w:rsidP="00FF5E5F">
      <w:pPr>
        <w:pStyle w:val="bulletround"/>
        <w:keepLines/>
        <w:numPr>
          <w:ilvl w:val="0"/>
          <w:numId w:val="6"/>
        </w:numPr>
        <w:tabs>
          <w:tab w:val="clear" w:pos="1440"/>
          <w:tab w:val="num" w:pos="1080"/>
        </w:tabs>
        <w:spacing w:before="0"/>
        <w:ind w:left="1080"/>
      </w:pPr>
      <w:r w:rsidRPr="00FC70EB">
        <w:t>A description of the confidentiality procedures in place for the administrative record matching (appendix B);</w:t>
      </w:r>
    </w:p>
    <w:p w14:paraId="465B3E0D" w14:textId="77777777" w:rsidR="003C1400" w:rsidRPr="00FC70EB" w:rsidRDefault="003C1400" w:rsidP="00FF5E5F">
      <w:pPr>
        <w:pStyle w:val="bulletround"/>
        <w:keepLines/>
        <w:numPr>
          <w:ilvl w:val="0"/>
          <w:numId w:val="6"/>
        </w:numPr>
        <w:tabs>
          <w:tab w:val="clear" w:pos="1440"/>
          <w:tab w:val="num" w:pos="1080"/>
        </w:tabs>
        <w:spacing w:before="0"/>
        <w:ind w:left="1080"/>
      </w:pPr>
      <w:r w:rsidRPr="00FC70EB">
        <w:t>Contacting materials for sample members selected for participation in the student survey (appendix C); and</w:t>
      </w:r>
    </w:p>
    <w:p w14:paraId="3B272EEC" w14:textId="77777777" w:rsidR="00D14345" w:rsidRDefault="003C1400" w:rsidP="00FF5E5F">
      <w:pPr>
        <w:pStyle w:val="bulletround"/>
        <w:keepLines/>
        <w:numPr>
          <w:ilvl w:val="0"/>
          <w:numId w:val="6"/>
        </w:numPr>
        <w:tabs>
          <w:tab w:val="clear" w:pos="1440"/>
          <w:tab w:val="num" w:pos="1080"/>
        </w:tabs>
        <w:spacing w:before="0" w:line="280" w:lineRule="atLeast"/>
        <w:ind w:left="1080"/>
      </w:pPr>
      <w:r w:rsidRPr="00FC70EB">
        <w:t>A facsimile for the B&amp;B:16/17 field test student interview, including items in the abbreviated interview and re-interview (appendix D)</w:t>
      </w:r>
    </w:p>
    <w:p w14:paraId="31762E28" w14:textId="263ADC6E" w:rsidR="00FF5E5F" w:rsidRPr="00F901D2" w:rsidRDefault="00FF5E5F" w:rsidP="00FF5E5F">
      <w:pPr>
        <w:pStyle w:val="bulletround"/>
        <w:keepLines/>
        <w:numPr>
          <w:ilvl w:val="0"/>
          <w:numId w:val="0"/>
        </w:numPr>
        <w:spacing w:before="0" w:line="280" w:lineRule="atLeast"/>
        <w:ind w:left="1080"/>
      </w:pPr>
    </w:p>
    <w:p w14:paraId="6AF01F0E" w14:textId="77777777" w:rsidR="00835CAB" w:rsidRDefault="00835CAB" w:rsidP="00975A2B">
      <w:pPr>
        <w:pStyle w:val="Heading3"/>
        <w:spacing w:before="0" w:line="23" w:lineRule="atLeast"/>
      </w:pPr>
      <w:bookmarkStart w:id="19" w:name="_Toc383113360"/>
      <w:bookmarkStart w:id="20" w:name="_Toc440267861"/>
      <w:r>
        <w:t>Legislative Authorization</w:t>
      </w:r>
      <w:bookmarkEnd w:id="19"/>
      <w:bookmarkEnd w:id="20"/>
    </w:p>
    <w:p w14:paraId="1715CE5C" w14:textId="06CF0BBE" w:rsidR="00387546" w:rsidRPr="00B107F4" w:rsidRDefault="00387546" w:rsidP="00975A2B">
      <w:pPr>
        <w:pStyle w:val="BodyText"/>
        <w:spacing w:before="0" w:line="23" w:lineRule="atLeast"/>
        <w:ind w:firstLine="0"/>
        <w:rPr>
          <w:spacing w:val="-3"/>
        </w:rPr>
      </w:pPr>
      <w:r w:rsidRPr="00B107F4">
        <w:t xml:space="preserve">The B&amp;B longitudinal series </w:t>
      </w:r>
      <w:r w:rsidRPr="00B107F4">
        <w:rPr>
          <w:spacing w:val="-3"/>
        </w:rPr>
        <w:t>is 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 Education Sciences Reform Act (ESRA) of 2002 (20 U.S.C. § 9543) and the Higher Education Opportunity Act (HEOA) of 2008, 20 U.S.C. § 1015(a)(k):</w:t>
      </w:r>
    </w:p>
    <w:p w14:paraId="3A9A6927" w14:textId="77777777" w:rsidR="00387546" w:rsidRPr="00B107F4" w:rsidRDefault="00387546" w:rsidP="00037DD3">
      <w:pPr>
        <w:pStyle w:val="BodyText"/>
        <w:spacing w:before="0" w:after="0"/>
        <w:ind w:left="720" w:firstLine="0"/>
        <w:rPr>
          <w:sz w:val="20"/>
        </w:rPr>
      </w:pPr>
      <w:r w:rsidRPr="00B107F4">
        <w:rPr>
          <w:sz w:val="20"/>
        </w:rPr>
        <w:t xml:space="preserve"> “Student aid recipient survey</w:t>
      </w:r>
    </w:p>
    <w:p w14:paraId="50C0CCD1" w14:textId="77777777" w:rsidR="00387546" w:rsidRPr="00B107F4" w:rsidRDefault="00387546" w:rsidP="00037DD3">
      <w:pPr>
        <w:pStyle w:val="BodyText"/>
        <w:spacing w:before="0" w:after="0"/>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0F7E4AFD" w14:textId="77777777" w:rsidR="00387546" w:rsidRPr="00B107F4" w:rsidRDefault="00387546" w:rsidP="00037DD3">
      <w:pPr>
        <w:pStyle w:val="BodyText"/>
        <w:spacing w:before="0" w:after="0"/>
        <w:ind w:left="1440" w:hanging="360"/>
        <w:rPr>
          <w:sz w:val="20"/>
        </w:rPr>
      </w:pPr>
      <w:r w:rsidRPr="00B107F4">
        <w:rPr>
          <w:sz w:val="20"/>
        </w:rPr>
        <w:t>(A) to identify the population of students receiving such Federal student financial aid;</w:t>
      </w:r>
    </w:p>
    <w:p w14:paraId="7B0F9650" w14:textId="77777777" w:rsidR="00387546" w:rsidRPr="00B107F4" w:rsidRDefault="00387546" w:rsidP="00037DD3">
      <w:pPr>
        <w:pStyle w:val="BodyText"/>
        <w:spacing w:before="0" w:after="0"/>
        <w:ind w:left="1440" w:hanging="360"/>
        <w:rPr>
          <w:sz w:val="20"/>
        </w:rPr>
      </w:pPr>
      <w:r w:rsidRPr="00B107F4">
        <w:rPr>
          <w:sz w:val="20"/>
        </w:rPr>
        <w:lastRenderedPageBreak/>
        <w:t>(B) to describe the income distribution and other socioeconomic characteristics of recipients of such Federal student financial aid;</w:t>
      </w:r>
    </w:p>
    <w:p w14:paraId="20066311" w14:textId="77777777" w:rsidR="00387546" w:rsidRPr="00B107F4" w:rsidRDefault="00387546" w:rsidP="00037DD3">
      <w:pPr>
        <w:pStyle w:val="BodyText"/>
        <w:spacing w:before="0" w:after="0"/>
        <w:ind w:left="1440" w:hanging="360"/>
        <w:rPr>
          <w:sz w:val="20"/>
        </w:rPr>
      </w:pPr>
      <w:r w:rsidRPr="00B107F4">
        <w:rPr>
          <w:sz w:val="20"/>
        </w:rPr>
        <w:t>(C) to describe the combinations of aid from Federal, State, and private sources received by such recipients from all income categories;</w:t>
      </w:r>
    </w:p>
    <w:p w14:paraId="30133B26" w14:textId="77777777" w:rsidR="00387546" w:rsidRPr="00B107F4" w:rsidRDefault="00387546" w:rsidP="00037DD3">
      <w:pPr>
        <w:pStyle w:val="BodyText"/>
        <w:spacing w:before="0" w:after="0"/>
        <w:ind w:left="1440" w:hanging="360"/>
        <w:rPr>
          <w:sz w:val="20"/>
        </w:rPr>
      </w:pPr>
      <w:r w:rsidRPr="00B107F4">
        <w:rPr>
          <w:sz w:val="20"/>
        </w:rPr>
        <w:t>(D) to describe the—</w:t>
      </w:r>
    </w:p>
    <w:p w14:paraId="6CD0EE94" w14:textId="77777777" w:rsidR="00387546" w:rsidRPr="00B107F4" w:rsidRDefault="00387546" w:rsidP="00037DD3">
      <w:pPr>
        <w:pStyle w:val="BodyText"/>
        <w:spacing w:before="0" w:after="0"/>
        <w:ind w:left="1440" w:firstLine="0"/>
        <w:rPr>
          <w:sz w:val="20"/>
        </w:rPr>
      </w:pPr>
      <w:r w:rsidRPr="00B107F4">
        <w:rPr>
          <w:sz w:val="20"/>
        </w:rPr>
        <w:t>(i) debt burden of such loan recipients, and their capacity to repay their education debts; and</w:t>
      </w:r>
    </w:p>
    <w:p w14:paraId="265D9270" w14:textId="77777777" w:rsidR="00387546" w:rsidRPr="00B107F4" w:rsidRDefault="00387546" w:rsidP="00037DD3">
      <w:pPr>
        <w:pStyle w:val="BodyText"/>
        <w:spacing w:before="0" w:after="0"/>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14:paraId="6EC7911A" w14:textId="77777777" w:rsidR="00387546" w:rsidRPr="00B107F4" w:rsidRDefault="00387546" w:rsidP="00037DD3">
      <w:pPr>
        <w:pStyle w:val="BodyText"/>
        <w:spacing w:before="0" w:after="0"/>
        <w:ind w:left="1440" w:hanging="360"/>
        <w:rPr>
          <w:sz w:val="20"/>
        </w:rPr>
      </w:pPr>
      <w:r w:rsidRPr="00B107F4">
        <w:rPr>
          <w:sz w:val="20"/>
        </w:rPr>
        <w:t>(E) to describe the impact of the cost of attendance of postsecondary education in the determination by students of what institution of higher education to attend; and</w:t>
      </w:r>
    </w:p>
    <w:p w14:paraId="7916780B" w14:textId="77777777" w:rsidR="00387546" w:rsidRPr="00B107F4" w:rsidRDefault="00387546" w:rsidP="00037DD3">
      <w:pPr>
        <w:pStyle w:val="BodyText"/>
        <w:spacing w:before="0" w:after="0"/>
        <w:ind w:left="1440" w:hanging="360"/>
        <w:rPr>
          <w:sz w:val="20"/>
        </w:rPr>
      </w:pPr>
      <w:r w:rsidRPr="00B107F4">
        <w:rPr>
          <w:sz w:val="20"/>
        </w:rPr>
        <w:t>(F) to describe how the costs of textbooks and other instructional materials affect the costs of postsecondary education for students.</w:t>
      </w:r>
    </w:p>
    <w:p w14:paraId="6E0849E2" w14:textId="77777777" w:rsidR="00387546" w:rsidRPr="00B107F4" w:rsidRDefault="00387546" w:rsidP="00037DD3">
      <w:pPr>
        <w:pStyle w:val="BodyText"/>
        <w:spacing w:before="0" w:after="0"/>
        <w:ind w:left="1080" w:hanging="270"/>
        <w:rPr>
          <w:sz w:val="20"/>
        </w:rPr>
      </w:pPr>
      <w:r w:rsidRPr="00B107F4">
        <w:rPr>
          <w:sz w:val="20"/>
        </w:rPr>
        <w:t>(2) Frequency: The survey shall be conducted on a regular cycle and not less often than once every four years.</w:t>
      </w:r>
    </w:p>
    <w:p w14:paraId="4F076819" w14:textId="77777777" w:rsidR="00387546" w:rsidRPr="00B107F4" w:rsidRDefault="00387546" w:rsidP="00037DD3">
      <w:pPr>
        <w:pStyle w:val="BodyText"/>
        <w:spacing w:before="0" w:after="0"/>
        <w:ind w:left="108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14:paraId="13E2007A" w14:textId="05C173FE" w:rsidR="00387546" w:rsidRDefault="00387546" w:rsidP="00037DD3">
      <w:pPr>
        <w:pStyle w:val="BodyText"/>
        <w:spacing w:before="0" w:after="0"/>
        <w:ind w:left="1080" w:hanging="270"/>
        <w:rPr>
          <w:sz w:val="20"/>
        </w:rPr>
      </w:pPr>
      <w:r w:rsidRPr="00B107F4">
        <w:rPr>
          <w:sz w:val="20"/>
        </w:rPr>
        <w:t>(4) Dissemination: The Commissioner for Education Statistics shall disseminate to the public, in printed and electronic form, the information resulting from the survey.”</w:t>
      </w:r>
    </w:p>
    <w:p w14:paraId="1B0CECD2" w14:textId="77777777" w:rsidR="00975A2B" w:rsidRPr="00387546" w:rsidRDefault="00975A2B" w:rsidP="00387546">
      <w:pPr>
        <w:pStyle w:val="BodyText"/>
        <w:spacing w:before="0" w:after="0" w:line="280" w:lineRule="atLeast"/>
        <w:ind w:left="1080" w:hanging="270"/>
        <w:rPr>
          <w:sz w:val="20"/>
        </w:rPr>
      </w:pPr>
    </w:p>
    <w:p w14:paraId="1FE62E55" w14:textId="77777777" w:rsidR="00835CAB" w:rsidRDefault="00835CAB" w:rsidP="00975A2B">
      <w:pPr>
        <w:pStyle w:val="Heading3"/>
        <w:spacing w:before="0" w:line="23" w:lineRule="atLeast"/>
      </w:pPr>
      <w:bookmarkStart w:id="21" w:name="_Toc383113362"/>
      <w:bookmarkStart w:id="22" w:name="_Toc440267862"/>
      <w:r>
        <w:t>Prior and Related Studies</w:t>
      </w:r>
      <w:bookmarkEnd w:id="21"/>
      <w:bookmarkEnd w:id="22"/>
    </w:p>
    <w:p w14:paraId="5250CBAE" w14:textId="77777777" w:rsidR="00D14345" w:rsidRDefault="00F26672" w:rsidP="00975A2B">
      <w:pPr>
        <w:spacing w:after="120" w:line="23" w:lineRule="atLeast"/>
        <w:rPr>
          <w:szCs w:val="24"/>
        </w:rPr>
      </w:pPr>
      <w:r w:rsidRPr="00F26672">
        <w:rPr>
          <w:szCs w:val="24"/>
        </w:rPr>
        <w:t xml:space="preserve">The B&amp;B series provides a longitudinal study of the education, work, financial, and personal experiences of individuals who have completed a bachelor’s degree at a given point in time. Three B&amp;B cohorts, each sampled </w:t>
      </w:r>
      <w:r w:rsidR="000A524F">
        <w:rPr>
          <w:szCs w:val="24"/>
        </w:rPr>
        <w:t xml:space="preserve">about eight years </w:t>
      </w:r>
      <w:r w:rsidRPr="00F26672">
        <w:rPr>
          <w:szCs w:val="24"/>
        </w:rPr>
        <w:t>apart, have allowed researchers to evaluate how baccalaureate degree recipients have fared at differing times in recent history. Students are identified as bachelor’s degree recipients through the National Postsecondary Student Aid Study (NPSAS), a nationally representative trend study of postsecondary students designed to determine how students and their families pay for postsecondary education. B&amp;B:16/17 is the first follow-up of a panel of baccalaureate degree recipients identified in the 2015–16 National Postsecondary Student Aid Survey (NPSAS:16), and part of the fourth cohort (B&amp;B:16) of the B&amp;B series. The current cohort contains students who earned their bachelor’s degrees in 2015–16. For the B&amp;B:16/17 field test, students earned their bachelor’s degrees in 2014-2015 and were identified in the NPSAS:16 field test conducted in 2015.</w:t>
      </w:r>
    </w:p>
    <w:p w14:paraId="49A24930" w14:textId="40204F5A" w:rsidR="00F26672" w:rsidRPr="00F26672" w:rsidRDefault="00F26672" w:rsidP="00975A2B">
      <w:pPr>
        <w:spacing w:after="120" w:line="23" w:lineRule="atLeast"/>
        <w:rPr>
          <w:szCs w:val="24"/>
        </w:rPr>
      </w:pPr>
      <w:r w:rsidRPr="00F26672">
        <w:rPr>
          <w:szCs w:val="24"/>
        </w:rPr>
        <w:t xml:space="preserve">The chronology of the previous administrations of the NPSAS study and its associated longitudinal components, including the Beginning Postsecondary Students </w:t>
      </w:r>
      <w:r w:rsidR="00696D8D">
        <w:rPr>
          <w:szCs w:val="24"/>
        </w:rPr>
        <w:t xml:space="preserve">Longitudinal </w:t>
      </w:r>
      <w:r w:rsidRPr="00F26672">
        <w:rPr>
          <w:szCs w:val="24"/>
        </w:rPr>
        <w:t xml:space="preserve">Study (BPS), is presented in table 1. Similar to the first and most recent B&amp;B series, additional follow-up studies with the B&amp;B:16 cohort may be conducted 4 and 10 years after bachelor’s degree receipt (contingent upon </w:t>
      </w:r>
      <w:r w:rsidR="00D50BA1">
        <w:rPr>
          <w:szCs w:val="24"/>
        </w:rPr>
        <w:t>funding</w:t>
      </w:r>
      <w:r w:rsidRPr="00F26672">
        <w:rPr>
          <w:szCs w:val="24"/>
        </w:rPr>
        <w:t>). For all studies, full-scale data collection was preceded by a field test data collection one year earlier in order to test methods and procedures planned for the full-scale data collection.</w:t>
      </w:r>
    </w:p>
    <w:p w14:paraId="0C3FEDD7" w14:textId="63159007" w:rsidR="00265E39" w:rsidRDefault="002D09D2" w:rsidP="005C3809">
      <w:pPr>
        <w:pStyle w:val="TableTitle"/>
      </w:pPr>
      <w:bookmarkStart w:id="23" w:name="_Toc381969977"/>
      <w:bookmarkStart w:id="24" w:name="_Toc440267883"/>
      <w:r>
        <w:t>Table 1.</w:t>
      </w:r>
      <w:r w:rsidR="005F3E77">
        <w:t xml:space="preserve"> </w:t>
      </w:r>
      <w:r w:rsidR="00265E39" w:rsidRPr="00265E39">
        <w:t>Chronology of NPSAS and its longitudinal components</w:t>
      </w:r>
      <w:bookmarkEnd w:id="23"/>
      <w:bookmarkEnd w:id="24"/>
    </w:p>
    <w:tbl>
      <w:tblPr>
        <w:tblStyle w:val="TableGrid"/>
        <w:tblW w:w="5000" w:type="pct"/>
        <w:tblLook w:val="01E0" w:firstRow="1" w:lastRow="1" w:firstColumn="1" w:lastColumn="1" w:noHBand="0" w:noVBand="0"/>
      </w:tblPr>
      <w:tblGrid>
        <w:gridCol w:w="2268"/>
        <w:gridCol w:w="2160"/>
        <w:gridCol w:w="2430"/>
        <w:gridCol w:w="3582"/>
      </w:tblGrid>
      <w:tr w:rsidR="00265E39" w:rsidRPr="00E42B0E" w14:paraId="2A1AB64F" w14:textId="77777777" w:rsidTr="00975A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0B94069C" w14:textId="77777777" w:rsidR="00265E39" w:rsidRPr="00E42B0E" w:rsidRDefault="00265E39" w:rsidP="005C3809">
            <w:pPr>
              <w:pStyle w:val="Tabletext"/>
            </w:pPr>
            <w:r w:rsidRPr="00E42B0E">
              <w:t>Base year</w:t>
            </w:r>
          </w:p>
        </w:tc>
        <w:tc>
          <w:tcPr>
            <w:tcW w:w="2160"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582"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5DD0AD6B" w14:textId="77777777" w:rsidR="00265E39" w:rsidRPr="00152C3A" w:rsidRDefault="00265E39" w:rsidP="00E42B0E">
            <w:pPr>
              <w:pStyle w:val="Tablebody"/>
            </w:pPr>
            <w:r w:rsidRPr="00152C3A">
              <w:t>NPSAS:90</w:t>
            </w:r>
          </w:p>
        </w:tc>
        <w:tc>
          <w:tcPr>
            <w:tcW w:w="2160"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430"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582"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7A94FE1D" w14:textId="77777777" w:rsidR="00265E39" w:rsidRPr="00152C3A" w:rsidRDefault="00265E39" w:rsidP="00E42B0E">
            <w:pPr>
              <w:pStyle w:val="Tablebody"/>
            </w:pPr>
            <w:r w:rsidRPr="00152C3A">
              <w:t>NPSAS:93</w:t>
            </w:r>
          </w:p>
        </w:tc>
        <w:tc>
          <w:tcPr>
            <w:tcW w:w="2160"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430"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582"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27E9A2EE" w14:textId="77777777" w:rsidR="00265E39" w:rsidRPr="00152C3A" w:rsidRDefault="00265E39" w:rsidP="00E42B0E">
            <w:pPr>
              <w:pStyle w:val="Tablebody"/>
            </w:pPr>
            <w:r w:rsidRPr="00152C3A">
              <w:t>NPSAS:96</w:t>
            </w:r>
          </w:p>
        </w:tc>
        <w:tc>
          <w:tcPr>
            <w:tcW w:w="2160"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430"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582" w:type="dxa"/>
          </w:tcPr>
          <w:p w14:paraId="56D979C0" w14:textId="79E8A10B"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737E9E6E"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2E9203C7" w14:textId="77777777" w:rsidR="00265E39" w:rsidRPr="00152C3A" w:rsidRDefault="00265E39" w:rsidP="00E42B0E">
            <w:pPr>
              <w:pStyle w:val="Tablebody"/>
            </w:pPr>
            <w:r w:rsidRPr="00152C3A">
              <w:t>NPSAS:2000</w:t>
            </w:r>
          </w:p>
        </w:tc>
        <w:tc>
          <w:tcPr>
            <w:tcW w:w="2160"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430"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582"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5B90E8C1" w14:textId="77777777" w:rsidR="00265E39" w:rsidRPr="00152C3A" w:rsidRDefault="00265E39" w:rsidP="00E42B0E">
            <w:pPr>
              <w:pStyle w:val="Tablebody"/>
            </w:pPr>
            <w:r w:rsidRPr="00152C3A">
              <w:t>NPSAS:04</w:t>
            </w:r>
          </w:p>
        </w:tc>
        <w:tc>
          <w:tcPr>
            <w:tcW w:w="2160"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430"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582" w:type="dxa"/>
          </w:tcPr>
          <w:p w14:paraId="41D27228" w14:textId="6C7712A3"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075EE2D2"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54E80506" w14:textId="77777777" w:rsidR="00265E39" w:rsidRPr="00152C3A" w:rsidRDefault="00265E39" w:rsidP="00E42B0E">
            <w:pPr>
              <w:pStyle w:val="Tablebody"/>
            </w:pPr>
            <w:r w:rsidRPr="00152C3A">
              <w:t>NPSAS:08</w:t>
            </w:r>
          </w:p>
        </w:tc>
        <w:tc>
          <w:tcPr>
            <w:tcW w:w="2160"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430"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582"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5E305114" w14:textId="77777777" w:rsidR="00265E39" w:rsidRPr="00152C3A" w:rsidRDefault="00265E39" w:rsidP="00E42B0E">
            <w:pPr>
              <w:pStyle w:val="Tablebody"/>
            </w:pPr>
            <w:r w:rsidRPr="00152C3A">
              <w:t>NPSAS:12</w:t>
            </w:r>
          </w:p>
        </w:tc>
        <w:tc>
          <w:tcPr>
            <w:tcW w:w="2160"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430"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582"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66D1F254" w14:textId="77777777" w:rsidR="00265E39" w:rsidRPr="00152C3A" w:rsidRDefault="00265E39" w:rsidP="00E42B0E">
            <w:pPr>
              <w:pStyle w:val="Tablebody"/>
            </w:pPr>
            <w:r>
              <w:t>NPSAS:16</w:t>
            </w:r>
          </w:p>
        </w:tc>
        <w:tc>
          <w:tcPr>
            <w:tcW w:w="2160"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430"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582"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lastRenderedPageBreak/>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r>
        <w:t>Benefits of postsecondary education to individuals and society.</w:t>
      </w:r>
    </w:p>
    <w:p w14:paraId="1CFDBD46" w14:textId="77777777" w:rsidR="00265E39" w:rsidRDefault="00265E39" w:rsidP="00975A2B">
      <w:pPr>
        <w:pStyle w:val="Heading2"/>
        <w:spacing w:before="0" w:line="23" w:lineRule="atLeast"/>
      </w:pPr>
      <w:bookmarkStart w:id="25" w:name="_Toc383113363"/>
      <w:bookmarkStart w:id="26" w:name="_Toc440267863"/>
      <w:r>
        <w:t>Purposes and Uses of the Data</w:t>
      </w:r>
      <w:bookmarkEnd w:id="25"/>
      <w:bookmarkEnd w:id="26"/>
    </w:p>
    <w:p w14:paraId="190B7E85" w14:textId="77777777" w:rsidR="00147166" w:rsidRPr="00120D11" w:rsidRDefault="00147166" w:rsidP="00975A2B">
      <w:pPr>
        <w:spacing w:after="120" w:line="23" w:lineRule="atLeast"/>
        <w:rPr>
          <w:rFonts w:cstheme="majorBidi"/>
        </w:rPr>
      </w:pPr>
      <w:r w:rsidRPr="00120D11">
        <w:rPr>
          <w:rFonts w:cstheme="majorBidi"/>
        </w:rPr>
        <w:t>This section provides information on the purposes of B&amp;B:16/17 and an overview of the primary research issues it addresses.</w:t>
      </w:r>
    </w:p>
    <w:p w14:paraId="7F3F0249" w14:textId="2030044B" w:rsidR="00265E39" w:rsidRDefault="004D2386" w:rsidP="00975A2B">
      <w:pPr>
        <w:pStyle w:val="Heading3"/>
        <w:spacing w:before="0" w:line="23" w:lineRule="atLeast"/>
      </w:pPr>
      <w:bookmarkStart w:id="27" w:name="_Toc383113364"/>
      <w:bookmarkStart w:id="28" w:name="_Toc440267864"/>
      <w:r>
        <w:t>B&amp;B:16/17</w:t>
      </w:r>
      <w:r w:rsidR="00265E39">
        <w:t xml:space="preserve"> Purposes</w:t>
      </w:r>
      <w:bookmarkEnd w:id="27"/>
      <w:bookmarkEnd w:id="28"/>
    </w:p>
    <w:p w14:paraId="33DBD5C9" w14:textId="1652215D" w:rsidR="001559BB" w:rsidRPr="00120D11" w:rsidRDefault="001559BB" w:rsidP="00975A2B">
      <w:pPr>
        <w:pStyle w:val="BodyText"/>
        <w:spacing w:before="0" w:line="23" w:lineRule="atLeast"/>
        <w:ind w:firstLine="0"/>
      </w:pPr>
      <w:r w:rsidRPr="00120D11">
        <w:t>The primary purpose</w:t>
      </w:r>
      <w:r w:rsidR="00A47C22">
        <w:t>s of the B&amp;B studies are</w:t>
      </w:r>
      <w:r w:rsidRPr="00120D11">
        <w:t xml:space="preserve"> to describe the post</w:t>
      </w:r>
      <w:r w:rsidR="00810352">
        <w:t>-</w:t>
      </w:r>
      <w:r w:rsidRPr="00120D11">
        <w:t xml:space="preserve">baccalaureate paths of new college graduates, with a focus on their experiences in the labor market and post-baccalaureate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t xml:space="preserve">as well as </w:t>
      </w:r>
      <w:r w:rsidRPr="00120D11">
        <w:t>the experiences of those who have begun careers in education of students through the 12</w:t>
      </w:r>
      <w:r w:rsidRPr="00120D11">
        <w:rPr>
          <w:vertAlign w:val="superscript"/>
        </w:rPr>
        <w:t>th</w:t>
      </w:r>
      <w:r w:rsidRPr="00120D11">
        <w:t xml:space="preserve"> grade. Since</w:t>
      </w:r>
      <w:r w:rsidR="00A103A6">
        <w:t xml:space="preserve"> graduating from college in 2014-15 for the field test, and 2015-16</w:t>
      </w:r>
      <w:r w:rsidRPr="00120D11">
        <w:t xml:space="preserve"> for the full-scale study, members of this B&amp;B cohort will begin moving into and out of the workforce, enrolling in additional undergraduate and graduate education, forming families, and repaying undergraduate education-related debt. Documenting these choices and pathways, along with individual, institutional, and employment characteristics that may be related to those choices, provides critical information on the costs and benefits of a bachelor’s degree in today’s workforce.</w:t>
      </w:r>
    </w:p>
    <w:p w14:paraId="368945B8" w14:textId="0071C0FB" w:rsidR="004D2386" w:rsidRPr="00EE6252" w:rsidRDefault="001559BB" w:rsidP="00975A2B">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These studies include both traditional-age and non-traditional-age college graduates, whose education options and choices often diverge considerably, and allow study of the undergraduate paths taken by these different graduates</w:t>
      </w:r>
      <w:r w:rsidR="004060B6">
        <w:t xml:space="preserve">. </w:t>
      </w:r>
      <w:r w:rsidRPr="00120D11">
        <w:rPr>
          <w:rFonts w:cstheme="majorBidi"/>
        </w:rPr>
        <w:t>These results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calculate statistics with PowerStats, QuickStats, and TrendStats, web-based software applications available to the public at </w:t>
      </w:r>
      <w:hyperlink r:id="rId12" w:history="1">
        <w:r w:rsidRPr="00120D11">
          <w:rPr>
            <w:rStyle w:val="Hyperlink"/>
            <w:rFonts w:cstheme="majorBidi"/>
            <w:color w:val="000000"/>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14:paraId="41899385" w14:textId="057FBC75" w:rsidR="00265E39" w:rsidRDefault="004D2386" w:rsidP="00975A2B">
      <w:pPr>
        <w:pStyle w:val="Heading3"/>
        <w:spacing w:before="0" w:line="23" w:lineRule="atLeast"/>
      </w:pPr>
      <w:bookmarkStart w:id="29" w:name="_Toc383113365"/>
      <w:bookmarkStart w:id="30" w:name="_Toc440267865"/>
      <w:r>
        <w:t>B&amp;B:16/17</w:t>
      </w:r>
      <w:r w:rsidR="00265E39">
        <w:t xml:space="preserve"> Research and Policy Issues</w:t>
      </w:r>
      <w:bookmarkEnd w:id="29"/>
      <w:bookmarkEnd w:id="30"/>
    </w:p>
    <w:p w14:paraId="7D2AAF52" w14:textId="77777777" w:rsidR="00D14345" w:rsidRDefault="00B25100" w:rsidP="00975A2B">
      <w:pPr>
        <w:spacing w:after="120" w:line="23" w:lineRule="atLeast"/>
        <w:rPr>
          <w:szCs w:val="24"/>
        </w:rPr>
      </w:pPr>
      <w:r w:rsidRPr="00B25100">
        <w:rPr>
          <w:szCs w:val="24"/>
        </w:rPr>
        <w:t>The B&amp;B:16/17 data will allow researchers to address a wide variety of policy-relevant topics, including the consequences of education debt, 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year following graduation.</w:t>
      </w:r>
    </w:p>
    <w:p w14:paraId="0CF19561" w14:textId="00A2B5F2" w:rsidR="00B25100" w:rsidRPr="00B25100" w:rsidRDefault="00B25100" w:rsidP="00975A2B">
      <w:pPr>
        <w:spacing w:after="120" w:line="23" w:lineRule="atLeast"/>
        <w:ind w:firstLine="720"/>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focus on the amount of education debt students accrue and whether loan repayment is burdensome. Borrowing for undergraduate education is predicated on the assumption that future employment will allow the debt to be repaid. B&amp;B:16/17 will provide the latest information on recent college graduates’ debt burden and employment experiences,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an examination of </w:t>
      </w:r>
      <w:r w:rsidRPr="00B25100">
        <w:rPr>
          <w:szCs w:val="24"/>
        </w:rPr>
        <w:t xml:space="preserve">the relationship between loan debt and post-baccalaureate enrollment and 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14:paraId="7251E7DE" w14:textId="59AFC443" w:rsidR="00D930A9" w:rsidRPr="00D930A9" w:rsidRDefault="00D930A9" w:rsidP="00975A2B">
      <w:pPr>
        <w:pStyle w:val="BodyText"/>
        <w:spacing w:before="0" w:line="23" w:lineRule="atLeast"/>
      </w:pPr>
      <w:r>
        <w:rPr>
          <w:b/>
        </w:rPr>
        <w:t xml:space="preserve">Science, technology, engineering, and mathematics. </w:t>
      </w:r>
      <w:r>
        <w:t>Given the crucial roles that science and technology play in the global economy and solving critical social problems, policymakers and business leaders need information on college graduates’ science, technology, engineering, and mathematics (STEM) expertise and use of that expertise in the labor market. Analyzing the paths of graduates with STEM majors as well as those who work in STEM occupations will provide information about why and when people move into and out of STEM jobs.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14:paraId="0DD52616" w14:textId="3EDEBA66" w:rsidR="00D14345" w:rsidRPr="00AD2F16" w:rsidRDefault="00CE5585" w:rsidP="00975A2B">
      <w:pPr>
        <w:spacing w:after="120" w:line="23" w:lineRule="atLeast"/>
        <w:ind w:firstLine="720"/>
      </w:pPr>
      <w:r>
        <w:rPr>
          <w:b/>
          <w:szCs w:val="24"/>
        </w:rPr>
        <w:lastRenderedPageBreak/>
        <w:t>The p</w:t>
      </w:r>
      <w:r w:rsidR="00B25100" w:rsidRPr="00B25100">
        <w:rPr>
          <w:b/>
          <w:szCs w:val="24"/>
        </w:rPr>
        <w:t>re</w:t>
      </w:r>
      <w:r>
        <w:rPr>
          <w:b/>
          <w:szCs w:val="24"/>
        </w:rPr>
        <w:t>-</w:t>
      </w:r>
      <w:r w:rsidR="00B25100" w:rsidRPr="00B25100">
        <w:rPr>
          <w:b/>
          <w:szCs w:val="24"/>
        </w:rPr>
        <w:t>kindergarten-12</w:t>
      </w:r>
      <w:r w:rsidR="00B25100" w:rsidRPr="00B25100">
        <w:rPr>
          <w:b/>
          <w:szCs w:val="24"/>
          <w:vertAlign w:val="superscript"/>
        </w:rPr>
        <w:t>th</w:t>
      </w:r>
      <w:r w:rsidR="00B25100" w:rsidRPr="00B25100">
        <w:rPr>
          <w:b/>
          <w:szCs w:val="24"/>
        </w:rPr>
        <w:t xml:space="preserve"> (pre</w:t>
      </w:r>
      <w:r w:rsidR="00576B9D">
        <w:rPr>
          <w:b/>
          <w:szCs w:val="24"/>
        </w:rPr>
        <w:t>-</w:t>
      </w:r>
      <w:r w:rsidR="00B25100" w:rsidRPr="00B25100">
        <w:rPr>
          <w:b/>
          <w:szCs w:val="24"/>
        </w:rPr>
        <w:t xml:space="preserve">K-12) grade teacher. </w:t>
      </w:r>
      <w:r w:rsidR="00B25100" w:rsidRPr="00B25100">
        <w:rPr>
          <w:szCs w:val="24"/>
        </w:rPr>
        <w:t>B&amp;B cohorts have historically focused on kindergarten-12</w:t>
      </w:r>
      <w:r w:rsidR="00303A2C">
        <w:rPr>
          <w:szCs w:val="24"/>
        </w:rPr>
        <w:t>th</w:t>
      </w:r>
      <w:r w:rsidR="00B25100" w:rsidRPr="00B25100">
        <w:rPr>
          <w:szCs w:val="24"/>
        </w:rPr>
        <w:t xml:space="preserve"> grade teacher recruitment and retention as important issues for education policymakers, and B&amp;B’s focus on those who enter K-12 teaching after college graduation allows in-depth study of teacher experiences, satisfaction, and mobility into and out of the K–12 teaching profession. </w:t>
      </w:r>
      <w:r w:rsidR="00125A27">
        <w:rPr>
          <w:szCs w:val="24"/>
        </w:rPr>
        <w:t>In response to a recommendation made a</w:t>
      </w:r>
      <w:r w:rsidR="00B25100" w:rsidRPr="00B25100">
        <w:rPr>
          <w:szCs w:val="24"/>
        </w:rPr>
        <w:t xml:space="preserve">t the October 2015 meeting of the B&amp;B:16/17 </w:t>
      </w:r>
      <w:r w:rsidR="008C703C">
        <w:rPr>
          <w:szCs w:val="24"/>
        </w:rPr>
        <w:t>TRP</w:t>
      </w:r>
      <w:r w:rsidR="00B25100" w:rsidRPr="00B25100">
        <w:rPr>
          <w:szCs w:val="24"/>
        </w:rPr>
        <w:t xml:space="preserve">, </w:t>
      </w:r>
      <w:r w:rsidR="00AA13A4">
        <w:rPr>
          <w:szCs w:val="24"/>
        </w:rPr>
        <w:t>pre</w:t>
      </w:r>
      <w:r>
        <w:rPr>
          <w:szCs w:val="24"/>
        </w:rPr>
        <w:t>-</w:t>
      </w:r>
      <w:r w:rsidR="00AA13A4">
        <w:rPr>
          <w:szCs w:val="24"/>
        </w:rPr>
        <w:t>kindergarten (pre</w:t>
      </w:r>
      <w:r w:rsidR="00576B9D">
        <w:rPr>
          <w:szCs w:val="24"/>
        </w:rPr>
        <w:t>-</w:t>
      </w:r>
      <w:r w:rsidR="00B25100" w:rsidRPr="00B25100">
        <w:rPr>
          <w:szCs w:val="24"/>
        </w:rPr>
        <w:t>K) teachers</w:t>
      </w:r>
      <w:r w:rsidR="00125A27">
        <w:rPr>
          <w:szCs w:val="24"/>
        </w:rPr>
        <w:t xml:space="preserve"> will be included</w:t>
      </w:r>
      <w:r w:rsidR="00B25100" w:rsidRPr="00B25100">
        <w:rPr>
          <w:szCs w:val="24"/>
        </w:rPr>
        <w:t xml:space="preserve"> in the definition of “teachers” studied by B&amp;B:16/17, particularly because some states are instituting universal pre-school programs and raising certific</w:t>
      </w:r>
      <w:r w:rsidR="00AA13A4">
        <w:rPr>
          <w:szCs w:val="24"/>
        </w:rPr>
        <w:t xml:space="preserve">ation </w:t>
      </w:r>
      <w:r w:rsidR="0081100B">
        <w:rPr>
          <w:szCs w:val="24"/>
        </w:rPr>
        <w:t xml:space="preserve">and degree </w:t>
      </w:r>
      <w:r w:rsidR="00AA13A4">
        <w:rPr>
          <w:szCs w:val="24"/>
        </w:rPr>
        <w:t>requirements to teach pre</w:t>
      </w:r>
      <w:r w:rsidR="00576B9D">
        <w:rPr>
          <w:szCs w:val="24"/>
        </w:rPr>
        <w:t>-</w:t>
      </w:r>
      <w:r w:rsidR="00B25100" w:rsidRPr="00B25100">
        <w:rPr>
          <w:szCs w:val="24"/>
        </w:rPr>
        <w:t>K. B&amp;B’s unique contribution to policymakers’ understanding of the pre</w:t>
      </w:r>
      <w:r w:rsidR="00576B9D">
        <w:rPr>
          <w:szCs w:val="24"/>
        </w:rPr>
        <w:t>-</w:t>
      </w:r>
      <w:r w:rsidR="00B25100" w:rsidRPr="00B25100">
        <w:rPr>
          <w:szCs w:val="24"/>
        </w:rPr>
        <w:t xml:space="preserve">K–12 teaching workforce </w:t>
      </w:r>
      <w:r w:rsidR="00145513">
        <w:rPr>
          <w:szCs w:val="24"/>
        </w:rPr>
        <w:t>would be</w:t>
      </w:r>
      <w:r w:rsidR="00B25100" w:rsidRPr="00B25100">
        <w:rPr>
          <w:szCs w:val="24"/>
        </w:rPr>
        <w:t xml:space="preserve"> researchers’ ability to use these data to compare pre</w:t>
      </w:r>
      <w:r w:rsidR="00576B9D">
        <w:rPr>
          <w:szCs w:val="24"/>
        </w:rPr>
        <w:t>-</w:t>
      </w:r>
      <w:r w:rsidR="00B25100" w:rsidRPr="00B25100">
        <w:rPr>
          <w:szCs w:val="24"/>
        </w:rPr>
        <w:t>K–12 teachers with their similarly</w:t>
      </w:r>
      <w:r w:rsidR="00251C29">
        <w:rPr>
          <w:szCs w:val="24"/>
        </w:rPr>
        <w:t>-</w:t>
      </w:r>
      <w:r w:rsidR="00B25100" w:rsidRPr="00B25100">
        <w:rPr>
          <w:szCs w:val="24"/>
        </w:rPr>
        <w:t>educated peers on such important topics as career paths, workplace satisfaction, and salaries.</w:t>
      </w:r>
      <w:r w:rsidR="008323CC">
        <w:rPr>
          <w:szCs w:val="24"/>
        </w:rPr>
        <w:t xml:space="preserve"> </w:t>
      </w:r>
      <w:r w:rsidR="008323CC">
        <w:t xml:space="preserve">Results from the field test for the pre-K teacher population will be examined for its utility toward the overall B&amp;B study, and a decision will be made on whether pre-K </w:t>
      </w:r>
      <w:r w:rsidR="008323CC">
        <w:rPr>
          <w:szCs w:val="24"/>
        </w:rPr>
        <w:t>will be included</w:t>
      </w:r>
      <w:r w:rsidR="008323CC" w:rsidRPr="00B25100">
        <w:rPr>
          <w:szCs w:val="24"/>
        </w:rPr>
        <w:t xml:space="preserve"> in the definition of “teachers” studied by B&amp;B:16/</w:t>
      </w:r>
      <w:r w:rsidR="008323CC">
        <w:rPr>
          <w:szCs w:val="24"/>
        </w:rPr>
        <w:t>17</w:t>
      </w:r>
      <w:r w:rsidR="005F5CF1">
        <w:rPr>
          <w:szCs w:val="24"/>
        </w:rPr>
        <w:t xml:space="preserve">, </w:t>
      </w:r>
      <w:r w:rsidR="008323CC">
        <w:t xml:space="preserve">prior to the full-scale study. If the </w:t>
      </w:r>
      <w:r w:rsidR="008323CC" w:rsidRPr="00AD2F16">
        <w:t xml:space="preserve">definition of “teacher” is expanded to include pre-K for the full-scale study, B&amp;B would only be representative of </w:t>
      </w:r>
      <w:r w:rsidR="008323CC" w:rsidRPr="00AD2F16">
        <w:rPr>
          <w:rFonts w:cstheme="majorBidi"/>
        </w:rPr>
        <w:t>pre-kindergarten teachers</w:t>
      </w:r>
      <w:r w:rsidR="008323CC" w:rsidRPr="00AD2F16">
        <w:t xml:space="preserve"> who are recent baccalaureate degree recipients</w:t>
      </w:r>
      <w:r w:rsidR="005F5CF1" w:rsidRPr="00AD2F16">
        <w:t>, since a baccalaureate degree is not required in all places to teach pre-K.</w:t>
      </w:r>
    </w:p>
    <w:p w14:paraId="2FCEF9B4" w14:textId="6994D5A6" w:rsidR="00B25100" w:rsidRPr="00B25100" w:rsidRDefault="00B25100" w:rsidP="00975A2B">
      <w:pPr>
        <w:spacing w:after="120" w:line="23" w:lineRule="atLeast"/>
        <w:ind w:firstLine="720"/>
        <w:rPr>
          <w:szCs w:val="24"/>
        </w:rPr>
      </w:pPr>
      <w:r w:rsidRPr="00B25100">
        <w:rPr>
          <w:b/>
          <w:szCs w:val="24"/>
        </w:rPr>
        <w:t xml:space="preserve">Labor market outcomes. </w:t>
      </w:r>
      <w:r w:rsidR="00103FC4">
        <w:rPr>
          <w:szCs w:val="24"/>
        </w:rPr>
        <w:t>Finally, the B&amp;B:16 cohort will be</w:t>
      </w:r>
      <w:r w:rsidRPr="00B25100">
        <w:rPr>
          <w:szCs w:val="24"/>
        </w:rPr>
        <w:t xml:space="preserve"> </w:t>
      </w:r>
      <w:r w:rsidR="004F33DD" w:rsidRPr="00B25100">
        <w:rPr>
          <w:szCs w:val="24"/>
        </w:rPr>
        <w:t>well suited</w:t>
      </w:r>
      <w:r w:rsidRPr="00B25100">
        <w:rPr>
          <w:szCs w:val="24"/>
        </w:rPr>
        <w:t xml:space="preserve"> for examining recent college graduates’ employment and job search experiences. The data from this study will allow an examination of employment and wages as well as un- and under-employment, job satisfaction, job search behavior, and the value of the bachelor’s degree in finding employment.</w:t>
      </w:r>
    </w:p>
    <w:p w14:paraId="324E4130" w14:textId="4D6634C7" w:rsidR="00B25100" w:rsidRPr="00B25100" w:rsidRDefault="00B25100" w:rsidP="00975A2B">
      <w:pPr>
        <w:spacing w:after="120" w:line="23" w:lineRule="atLeast"/>
        <w:rPr>
          <w:szCs w:val="24"/>
        </w:rPr>
      </w:pPr>
      <w:r w:rsidRPr="00B25100">
        <w:rPr>
          <w:szCs w:val="24"/>
        </w:rPr>
        <w:t xml:space="preserve">Some of the primary research and policy issues to be addressed </w:t>
      </w:r>
      <w:r w:rsidR="004F33DD" w:rsidRPr="00B25100">
        <w:rPr>
          <w:szCs w:val="24"/>
        </w:rPr>
        <w:t>with</w:t>
      </w:r>
      <w:r w:rsidRPr="00B25100">
        <w:rPr>
          <w:szCs w:val="24"/>
        </w:rPr>
        <w:t xml:space="preserve"> B&amp;B:16/17 data will be:</w:t>
      </w:r>
    </w:p>
    <w:p w14:paraId="64F491F6" w14:textId="77777777" w:rsidR="00D14345" w:rsidRDefault="00B25100" w:rsidP="00B25100">
      <w:pPr>
        <w:keepNext/>
        <w:numPr>
          <w:ilvl w:val="0"/>
          <w:numId w:val="9"/>
        </w:numPr>
        <w:spacing w:before="120" w:after="120"/>
        <w:rPr>
          <w:bCs/>
          <w:szCs w:val="24"/>
        </w:rPr>
      </w:pPr>
      <w:r w:rsidRPr="00B25100">
        <w:rPr>
          <w:bCs/>
          <w:szCs w:val="24"/>
        </w:rPr>
        <w:t>Debt and finances;</w:t>
      </w:r>
    </w:p>
    <w:p w14:paraId="2DC8F07A" w14:textId="4522D93B" w:rsidR="00B25100" w:rsidRPr="00B25100" w:rsidRDefault="00B25100" w:rsidP="00994E24">
      <w:pPr>
        <w:numPr>
          <w:ilvl w:val="0"/>
          <w:numId w:val="10"/>
        </w:numPr>
        <w:rPr>
          <w:rFonts w:cs="Arial"/>
          <w:szCs w:val="24"/>
        </w:rPr>
      </w:pPr>
      <w:r w:rsidRPr="00B25100">
        <w:rPr>
          <w:rFonts w:cs="Arial"/>
          <w:szCs w:val="24"/>
        </w:rPr>
        <w:t>How much do bachelor’s degree recipients owe on undergraduate student loans 1 year after college? What is the status of the loans?</w:t>
      </w:r>
    </w:p>
    <w:p w14:paraId="10BE49C5" w14:textId="77777777" w:rsidR="00B25100" w:rsidRPr="00B25100" w:rsidRDefault="00B25100" w:rsidP="00994E24">
      <w:pPr>
        <w:numPr>
          <w:ilvl w:val="0"/>
          <w:numId w:val="10"/>
        </w:numPr>
        <w:rPr>
          <w:rFonts w:cs="Arial"/>
          <w:szCs w:val="24"/>
        </w:rPr>
      </w:pPr>
      <w:r w:rsidRPr="00B25100">
        <w:rPr>
          <w:rFonts w:cs="Arial"/>
          <w:szCs w:val="24"/>
        </w:rPr>
        <w:t>If in repayment, what are the monthly payments? Are parents helping to repay the loan?</w:t>
      </w:r>
    </w:p>
    <w:p w14:paraId="6F20CF0C" w14:textId="77777777" w:rsidR="00B25100" w:rsidRPr="00B25100" w:rsidRDefault="00B25100" w:rsidP="00994E24">
      <w:pPr>
        <w:numPr>
          <w:ilvl w:val="0"/>
          <w:numId w:val="10"/>
        </w:numPr>
        <w:rPr>
          <w:rFonts w:cs="Arial"/>
          <w:szCs w:val="24"/>
        </w:rPr>
      </w:pPr>
      <w:r w:rsidRPr="00B25100">
        <w:rPr>
          <w:rFonts w:cs="Arial"/>
          <w:szCs w:val="24"/>
        </w:rPr>
        <w:t>Has student loan debt influenced career or graduate school plans?</w:t>
      </w:r>
    </w:p>
    <w:p w14:paraId="60162EC7" w14:textId="77777777" w:rsidR="00D14345" w:rsidRDefault="00B25100" w:rsidP="00994E24">
      <w:pPr>
        <w:numPr>
          <w:ilvl w:val="0"/>
          <w:numId w:val="10"/>
        </w:numPr>
        <w:rPr>
          <w:rFonts w:cs="Arial"/>
          <w:szCs w:val="24"/>
        </w:rPr>
      </w:pPr>
      <w:r w:rsidRPr="00B25100">
        <w:rPr>
          <w:rFonts w:cs="Arial"/>
          <w:szCs w:val="24"/>
        </w:rPr>
        <w:t xml:space="preserve">Do graduates consider the loans a worthwhile investment in their future? Would it have been possible to complete college in the same </w:t>
      </w:r>
      <w:r w:rsidR="004F33DD" w:rsidRPr="00B25100">
        <w:rPr>
          <w:rFonts w:cs="Arial"/>
          <w:szCs w:val="24"/>
        </w:rPr>
        <w:t>period</w:t>
      </w:r>
      <w:r w:rsidRPr="00B25100">
        <w:rPr>
          <w:rFonts w:cs="Arial"/>
          <w:szCs w:val="24"/>
        </w:rPr>
        <w:t xml:space="preserve"> without the loans?</w:t>
      </w:r>
    </w:p>
    <w:p w14:paraId="0C7CC7C5" w14:textId="159068EE" w:rsidR="00B25100" w:rsidRPr="00B25100" w:rsidRDefault="00B25100" w:rsidP="00994E24">
      <w:pPr>
        <w:numPr>
          <w:ilvl w:val="0"/>
          <w:numId w:val="10"/>
        </w:numPr>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14:paraId="2A0887B7" w14:textId="77777777" w:rsidR="00B25100" w:rsidRPr="00B25100" w:rsidRDefault="00B25100" w:rsidP="00994E24">
      <w:pPr>
        <w:numPr>
          <w:ilvl w:val="0"/>
          <w:numId w:val="10"/>
        </w:numPr>
        <w:rPr>
          <w:rFonts w:cs="Arial"/>
          <w:szCs w:val="24"/>
        </w:rPr>
      </w:pPr>
      <w:r w:rsidRPr="00B25100">
        <w:rPr>
          <w:rFonts w:cs="Arial"/>
          <w:szCs w:val="24"/>
        </w:rPr>
        <w:t>Do they own or make payments on a home or a car?</w:t>
      </w:r>
    </w:p>
    <w:p w14:paraId="73BF5568" w14:textId="77777777" w:rsidR="00D14345" w:rsidRDefault="00B25100" w:rsidP="00994E24">
      <w:pPr>
        <w:numPr>
          <w:ilvl w:val="0"/>
          <w:numId w:val="10"/>
        </w:numPr>
        <w:rPr>
          <w:rFonts w:cs="Arial"/>
          <w:szCs w:val="24"/>
        </w:rPr>
      </w:pPr>
      <w:r w:rsidRPr="00B25100">
        <w:rPr>
          <w:rFonts w:cs="Arial"/>
          <w:szCs w:val="24"/>
        </w:rPr>
        <w:t>What are their monthly payments for housing, auto loans, and credit cards?</w:t>
      </w:r>
    </w:p>
    <w:p w14:paraId="76AF9D26" w14:textId="4E0D6A99" w:rsidR="00B25100" w:rsidRPr="00B25100" w:rsidRDefault="00B25100" w:rsidP="00994E24">
      <w:pPr>
        <w:numPr>
          <w:ilvl w:val="0"/>
          <w:numId w:val="10"/>
        </w:numPr>
        <w:rPr>
          <w:rFonts w:cs="Arial"/>
          <w:szCs w:val="24"/>
        </w:rPr>
      </w:pPr>
      <w:r w:rsidRPr="00B25100">
        <w:rPr>
          <w:rFonts w:cs="Arial"/>
          <w:szCs w:val="24"/>
        </w:rPr>
        <w:t>What is the total debt burden (monthly payments as percent of income) including student loans?</w:t>
      </w:r>
    </w:p>
    <w:p w14:paraId="4A2CC1C0" w14:textId="77777777" w:rsidR="00B25100" w:rsidRPr="00B25100" w:rsidRDefault="00B25100" w:rsidP="00994E24">
      <w:pPr>
        <w:numPr>
          <w:ilvl w:val="0"/>
          <w:numId w:val="10"/>
        </w:numPr>
        <w:rPr>
          <w:rFonts w:cs="Arial"/>
          <w:szCs w:val="24"/>
        </w:rPr>
      </w:pPr>
      <w:r w:rsidRPr="00B25100">
        <w:rPr>
          <w:rFonts w:cs="Arial"/>
          <w:szCs w:val="24"/>
        </w:rPr>
        <w:t>Are graduates living at home with parents, alone, or with others? Are they married or living with a partner? Do they have any children or other dependents?</w:t>
      </w:r>
    </w:p>
    <w:p w14:paraId="3211C1D6" w14:textId="77777777" w:rsidR="00B25100" w:rsidRPr="00B25100" w:rsidRDefault="00B25100" w:rsidP="00B25100">
      <w:pPr>
        <w:keepNext/>
        <w:numPr>
          <w:ilvl w:val="0"/>
          <w:numId w:val="9"/>
        </w:numPr>
        <w:spacing w:before="120" w:after="120"/>
        <w:rPr>
          <w:bCs/>
          <w:szCs w:val="24"/>
        </w:rPr>
      </w:pPr>
      <w:r w:rsidRPr="00B25100">
        <w:rPr>
          <w:bCs/>
          <w:szCs w:val="24"/>
        </w:rPr>
        <w:t>Post-baccalaureate enrollment;</w:t>
      </w:r>
    </w:p>
    <w:p w14:paraId="6E45F579" w14:textId="77777777" w:rsidR="00B25100" w:rsidRPr="00B25100" w:rsidRDefault="00B25100" w:rsidP="00994E24">
      <w:pPr>
        <w:numPr>
          <w:ilvl w:val="0"/>
          <w:numId w:val="10"/>
        </w:numPr>
        <w:rPr>
          <w:rFonts w:cs="Arial"/>
          <w:szCs w:val="24"/>
        </w:rPr>
      </w:pPr>
      <w:r w:rsidRPr="00B25100">
        <w:rPr>
          <w:rFonts w:cs="Arial"/>
          <w:szCs w:val="24"/>
        </w:rPr>
        <w:t>What percentage of recent college graduates apply to graduate or first-professional institutions, and what percentage actually enroll within 1 year of completing a bachelor’s degree? What factors are associated with post-baccalaureate enrollment?</w:t>
      </w:r>
    </w:p>
    <w:p w14:paraId="0CE70EC8" w14:textId="77777777" w:rsidR="00B25100" w:rsidRPr="00B25100" w:rsidRDefault="00B25100" w:rsidP="00994E24">
      <w:pPr>
        <w:numPr>
          <w:ilvl w:val="0"/>
          <w:numId w:val="10"/>
        </w:numPr>
        <w:rPr>
          <w:rFonts w:cs="Arial"/>
          <w:szCs w:val="24"/>
        </w:rPr>
      </w:pPr>
      <w:r w:rsidRPr="00B25100">
        <w:rPr>
          <w:rFonts w:cs="Arial"/>
          <w:szCs w:val="24"/>
        </w:rPr>
        <w:t>What are their reasons for continuing their education?</w:t>
      </w:r>
    </w:p>
    <w:p w14:paraId="172ED0D2" w14:textId="77777777" w:rsidR="00B25100" w:rsidRDefault="00B25100" w:rsidP="00994E24">
      <w:pPr>
        <w:numPr>
          <w:ilvl w:val="0"/>
          <w:numId w:val="10"/>
        </w:numPr>
        <w:rPr>
          <w:rFonts w:cs="Arial"/>
          <w:szCs w:val="24"/>
        </w:rPr>
      </w:pPr>
      <w:r w:rsidRPr="00B25100">
        <w:rPr>
          <w:rFonts w:cs="Arial"/>
          <w:szCs w:val="24"/>
        </w:rPr>
        <w:t>Of those who apply, what percentage are accepted? Of those accepted, what percentage actually enroll?</w:t>
      </w:r>
    </w:p>
    <w:p w14:paraId="061EE7AE" w14:textId="0400B11C" w:rsidR="002B795B" w:rsidRPr="002B795B" w:rsidRDefault="002B795B" w:rsidP="00994E24">
      <w:pPr>
        <w:numPr>
          <w:ilvl w:val="0"/>
          <w:numId w:val="10"/>
        </w:numPr>
        <w:rPr>
          <w:rFonts w:cs="Arial"/>
          <w:szCs w:val="24"/>
        </w:rPr>
      </w:pPr>
      <w:r w:rsidRPr="00B25100">
        <w:rPr>
          <w:rFonts w:cs="Arial"/>
          <w:szCs w:val="24"/>
        </w:rPr>
        <w:t>How are they financing their post-baccalaureate education?</w:t>
      </w:r>
    </w:p>
    <w:p w14:paraId="7A0DCAAC" w14:textId="77777777" w:rsidR="00B25100" w:rsidRPr="00B25100" w:rsidRDefault="00B25100" w:rsidP="00994E24">
      <w:pPr>
        <w:numPr>
          <w:ilvl w:val="0"/>
          <w:numId w:val="10"/>
        </w:numPr>
        <w:rPr>
          <w:rFonts w:cs="Arial"/>
          <w:szCs w:val="24"/>
        </w:rPr>
      </w:pPr>
      <w:r w:rsidRPr="00B25100">
        <w:rPr>
          <w:rFonts w:cs="Arial"/>
          <w:szCs w:val="24"/>
        </w:rPr>
        <w:t>What institutions do they attend and why?</w:t>
      </w:r>
    </w:p>
    <w:p w14:paraId="7E252623" w14:textId="77777777" w:rsidR="00B25100" w:rsidRDefault="00B25100" w:rsidP="00994E24">
      <w:pPr>
        <w:numPr>
          <w:ilvl w:val="0"/>
          <w:numId w:val="10"/>
        </w:numPr>
        <w:rPr>
          <w:rFonts w:cs="Arial"/>
          <w:szCs w:val="24"/>
        </w:rPr>
      </w:pPr>
      <w:r w:rsidRPr="00B25100">
        <w:rPr>
          <w:rFonts w:cs="Arial"/>
          <w:szCs w:val="24"/>
        </w:rPr>
        <w:t>What types of programs do they pursue?</w:t>
      </w:r>
    </w:p>
    <w:p w14:paraId="275726FA" w14:textId="77777777" w:rsidR="00B836EA" w:rsidRDefault="00B836EA" w:rsidP="00994E24">
      <w:pPr>
        <w:pStyle w:val="bulletround"/>
        <w:numPr>
          <w:ilvl w:val="0"/>
          <w:numId w:val="10"/>
        </w:numPr>
        <w:spacing w:before="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14:paraId="3FD01D2D" w14:textId="77777777" w:rsidR="00D14345" w:rsidRDefault="00B836EA" w:rsidP="00994E24">
      <w:pPr>
        <w:pStyle w:val="bulletround"/>
        <w:numPr>
          <w:ilvl w:val="0"/>
          <w:numId w:val="10"/>
        </w:numPr>
        <w:spacing w:before="0"/>
      </w:pPr>
      <w:r>
        <w:lastRenderedPageBreak/>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14:paraId="76043EB9" w14:textId="0E3C7138" w:rsidR="00B25100" w:rsidRPr="00B25100" w:rsidRDefault="00B25100" w:rsidP="00994E24">
      <w:pPr>
        <w:numPr>
          <w:ilvl w:val="0"/>
          <w:numId w:val="10"/>
        </w:numPr>
        <w:rPr>
          <w:rFonts w:cs="Arial"/>
          <w:szCs w:val="24"/>
        </w:rPr>
      </w:pPr>
      <w:r w:rsidRPr="00B25100">
        <w:rPr>
          <w:rFonts w:cs="Arial"/>
          <w:szCs w:val="24"/>
        </w:rPr>
        <w:t>How are post-baccalaureate enrollment patterns related to demographic characteristics, undergraduate enrollment histories, undergraduate academic performance, and financial factors?</w:t>
      </w:r>
    </w:p>
    <w:p w14:paraId="1BE729FB" w14:textId="77777777" w:rsidR="00B25100" w:rsidRPr="00B25100" w:rsidRDefault="00B25100" w:rsidP="00994E24">
      <w:pPr>
        <w:numPr>
          <w:ilvl w:val="0"/>
          <w:numId w:val="10"/>
        </w:numPr>
        <w:rPr>
          <w:rFonts w:cs="Arial"/>
          <w:szCs w:val="24"/>
        </w:rPr>
      </w:pPr>
      <w:r w:rsidRPr="00B25100">
        <w:rPr>
          <w:rFonts w:cs="Arial"/>
          <w:szCs w:val="24"/>
        </w:rPr>
        <w:t>Among those without post-baccalaureate enrollment, what are their reasons for delaying further education or not planning to attend at all?</w:t>
      </w:r>
    </w:p>
    <w:p w14:paraId="0E4255E2" w14:textId="73118A70" w:rsidR="00B25100" w:rsidRPr="00B25100" w:rsidRDefault="00B25100" w:rsidP="00994E24">
      <w:pPr>
        <w:numPr>
          <w:ilvl w:val="0"/>
          <w:numId w:val="10"/>
        </w:numPr>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14:paraId="21E56E75" w14:textId="4486A6BB" w:rsidR="00B25100" w:rsidRPr="00B25100" w:rsidRDefault="00B25100" w:rsidP="00B25100">
      <w:pPr>
        <w:keepNext/>
        <w:numPr>
          <w:ilvl w:val="0"/>
          <w:numId w:val="9"/>
        </w:numPr>
        <w:spacing w:before="120" w:after="120"/>
        <w:rPr>
          <w:bCs/>
          <w:szCs w:val="24"/>
        </w:rPr>
      </w:pPr>
      <w:r w:rsidRPr="00B25100">
        <w:rPr>
          <w:bCs/>
          <w:szCs w:val="24"/>
        </w:rPr>
        <w:t>Pre</w:t>
      </w:r>
      <w:r w:rsidR="0008295E">
        <w:rPr>
          <w:bCs/>
          <w:szCs w:val="24"/>
        </w:rPr>
        <w:t>-</w:t>
      </w:r>
      <w:r w:rsidRPr="00B25100">
        <w:rPr>
          <w:bCs/>
          <w:szCs w:val="24"/>
        </w:rPr>
        <w:t>K–12 teaching;</w:t>
      </w:r>
    </w:p>
    <w:p w14:paraId="79CB508C" w14:textId="77777777" w:rsidR="00B25100" w:rsidRPr="00B25100" w:rsidRDefault="00B25100" w:rsidP="00994E24">
      <w:pPr>
        <w:numPr>
          <w:ilvl w:val="0"/>
          <w:numId w:val="10"/>
        </w:numPr>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14:paraId="07DE0718" w14:textId="77777777" w:rsidR="00B25100" w:rsidRPr="00B25100" w:rsidRDefault="00B25100" w:rsidP="00994E24">
      <w:pPr>
        <w:numPr>
          <w:ilvl w:val="0"/>
          <w:numId w:val="10"/>
        </w:numPr>
        <w:rPr>
          <w:rFonts w:cs="Arial"/>
          <w:szCs w:val="24"/>
        </w:rPr>
      </w:pPr>
      <w:r w:rsidRPr="00B25100">
        <w:rPr>
          <w:rFonts w:cs="Arial"/>
          <w:szCs w:val="24"/>
        </w:rPr>
        <w:t>What percentage of college graduates were employed as a teacher within a year of receiving a bachelor’s degree? What percentage taught throughout the period?</w:t>
      </w:r>
    </w:p>
    <w:p w14:paraId="6BC2DD7C" w14:textId="30311F38" w:rsidR="00B25100" w:rsidRPr="00B25100" w:rsidRDefault="00B25100" w:rsidP="00994E24">
      <w:pPr>
        <w:numPr>
          <w:ilvl w:val="0"/>
          <w:numId w:val="10"/>
        </w:numPr>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14:paraId="2DB7DFF9" w14:textId="110CCB07" w:rsidR="00B25100" w:rsidRPr="00B25100" w:rsidRDefault="00B25100" w:rsidP="00994E24">
      <w:pPr>
        <w:numPr>
          <w:ilvl w:val="0"/>
          <w:numId w:val="10"/>
        </w:numPr>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 xml:space="preserve">to </w:t>
      </w:r>
      <w:r w:rsidRPr="00B25100">
        <w:rPr>
          <w:rFonts w:cs="Arial"/>
          <w:szCs w:val="24"/>
        </w:rPr>
        <w:t>and were accepted for teaching positions?</w:t>
      </w:r>
    </w:p>
    <w:p w14:paraId="02182C1A" w14:textId="39CA222F" w:rsidR="00B25100" w:rsidRPr="00B25100" w:rsidRDefault="00B25100" w:rsidP="00994E24">
      <w:pPr>
        <w:numPr>
          <w:ilvl w:val="0"/>
          <w:numId w:val="10"/>
        </w:numPr>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14:paraId="74609059" w14:textId="19C57B7A" w:rsidR="00B25100" w:rsidRPr="00B25100" w:rsidRDefault="00B25100" w:rsidP="00994E24">
      <w:pPr>
        <w:numPr>
          <w:ilvl w:val="0"/>
          <w:numId w:val="10"/>
        </w:numPr>
        <w:rPr>
          <w:rFonts w:cs="Arial"/>
          <w:szCs w:val="24"/>
        </w:rPr>
      </w:pPr>
      <w:r w:rsidRPr="00B25100">
        <w:rPr>
          <w:rFonts w:cs="Arial"/>
          <w:szCs w:val="24"/>
        </w:rPr>
        <w:t>Do those who entered teaching feel that they were well prepared?</w:t>
      </w:r>
    </w:p>
    <w:p w14:paraId="378E9B4C" w14:textId="27867EE3" w:rsidR="00B25100" w:rsidRPr="00B25100" w:rsidRDefault="00B25100" w:rsidP="00994E24">
      <w:pPr>
        <w:numPr>
          <w:ilvl w:val="0"/>
          <w:numId w:val="10"/>
        </w:numPr>
        <w:rPr>
          <w:rFonts w:cs="Arial"/>
          <w:szCs w:val="24"/>
        </w:rPr>
      </w:pPr>
      <w:r w:rsidRPr="00B25100">
        <w:rPr>
          <w:rFonts w:cs="Arial"/>
          <w:szCs w:val="24"/>
        </w:rPr>
        <w:t>What type of teaching position did they hold during the first year, and how effective was the school in assisting them</w:t>
      </w:r>
      <w:r w:rsidR="00F73EF3">
        <w:rPr>
          <w:rFonts w:cs="Arial"/>
          <w:szCs w:val="24"/>
        </w:rPr>
        <w:t xml:space="preserve"> to teach</w:t>
      </w:r>
      <w:r w:rsidRPr="00B25100">
        <w:rPr>
          <w:rFonts w:cs="Arial"/>
          <w:szCs w:val="24"/>
        </w:rPr>
        <w:t>?</w:t>
      </w:r>
    </w:p>
    <w:p w14:paraId="74E891D7" w14:textId="77777777" w:rsidR="00B25100" w:rsidRPr="00B25100" w:rsidRDefault="00B25100" w:rsidP="00994E24">
      <w:pPr>
        <w:numPr>
          <w:ilvl w:val="0"/>
          <w:numId w:val="10"/>
        </w:numPr>
        <w:rPr>
          <w:rFonts w:cs="Arial"/>
          <w:szCs w:val="24"/>
        </w:rPr>
      </w:pPr>
      <w:r w:rsidRPr="00B25100">
        <w:rPr>
          <w:rFonts w:cs="Arial"/>
          <w:szCs w:val="24"/>
        </w:rPr>
        <w:t>With which aspects of teaching during the first year were they satisfied or dissatisfied?</w:t>
      </w:r>
    </w:p>
    <w:p w14:paraId="3E104EE9" w14:textId="77777777" w:rsidR="00D14345" w:rsidRDefault="00B25100" w:rsidP="00B25100">
      <w:pPr>
        <w:keepNext/>
        <w:numPr>
          <w:ilvl w:val="0"/>
          <w:numId w:val="9"/>
        </w:numPr>
        <w:spacing w:before="120" w:after="120"/>
        <w:rPr>
          <w:bCs/>
          <w:szCs w:val="24"/>
        </w:rPr>
      </w:pPr>
      <w:r w:rsidRPr="00B25100">
        <w:rPr>
          <w:bCs/>
          <w:szCs w:val="24"/>
        </w:rPr>
        <w:t>Labor market outcomes;</w:t>
      </w:r>
    </w:p>
    <w:p w14:paraId="5CB68271" w14:textId="2DFC2B27" w:rsidR="00B25100" w:rsidRPr="00B25100" w:rsidRDefault="00B25100" w:rsidP="00994E24">
      <w:pPr>
        <w:numPr>
          <w:ilvl w:val="0"/>
          <w:numId w:val="10"/>
        </w:numPr>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1 year of graduation?</w:t>
      </w:r>
    </w:p>
    <w:p w14:paraId="6C5AA3EE" w14:textId="04206635" w:rsidR="00B25100" w:rsidRPr="00B25100" w:rsidRDefault="00B25100" w:rsidP="00994E24">
      <w:pPr>
        <w:numPr>
          <w:ilvl w:val="0"/>
          <w:numId w:val="10"/>
        </w:numPr>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14:paraId="073D0C82" w14:textId="77777777" w:rsidR="00D14345" w:rsidRDefault="00B25100" w:rsidP="00994E24">
      <w:pPr>
        <w:numPr>
          <w:ilvl w:val="0"/>
          <w:numId w:val="10"/>
        </w:numPr>
        <w:rPr>
          <w:rFonts w:cs="Arial"/>
          <w:szCs w:val="24"/>
        </w:rPr>
      </w:pPr>
      <w:r w:rsidRPr="00B25100">
        <w:rPr>
          <w:rFonts w:cs="Arial"/>
          <w:szCs w:val="24"/>
        </w:rPr>
        <w:t>What were their employment statuses in the months following graduation?</w:t>
      </w:r>
    </w:p>
    <w:p w14:paraId="4F7CE956" w14:textId="12B00F06" w:rsidR="00B25100" w:rsidRPr="00B25100" w:rsidRDefault="00B25100" w:rsidP="00994E24">
      <w:pPr>
        <w:numPr>
          <w:ilvl w:val="0"/>
          <w:numId w:val="10"/>
        </w:numPr>
        <w:rPr>
          <w:rFonts w:cs="Arial"/>
          <w:szCs w:val="24"/>
        </w:rPr>
      </w:pPr>
      <w:r w:rsidRPr="00B25100">
        <w:rPr>
          <w:rFonts w:cs="Arial"/>
          <w:szCs w:val="24"/>
        </w:rPr>
        <w:t>What are the characteristics of the jobs held post-graduation?</w:t>
      </w:r>
    </w:p>
    <w:p w14:paraId="06105832" w14:textId="77777777" w:rsidR="00B25100" w:rsidRPr="00B25100" w:rsidRDefault="00B25100" w:rsidP="00994E24">
      <w:pPr>
        <w:numPr>
          <w:ilvl w:val="0"/>
          <w:numId w:val="10"/>
        </w:numPr>
        <w:rPr>
          <w:rFonts w:cs="Arial"/>
          <w:szCs w:val="24"/>
        </w:rPr>
      </w:pPr>
      <w:r w:rsidRPr="00B25100">
        <w:rPr>
          <w:rFonts w:cs="Arial"/>
          <w:szCs w:val="24"/>
        </w:rPr>
        <w:t>What percentage are employed full-time and part-time, in temporary or permanent positions?</w:t>
      </w:r>
    </w:p>
    <w:p w14:paraId="3C14225F" w14:textId="77777777" w:rsidR="00B25100" w:rsidRPr="00B25100" w:rsidRDefault="00B25100" w:rsidP="00994E24">
      <w:pPr>
        <w:numPr>
          <w:ilvl w:val="0"/>
          <w:numId w:val="10"/>
        </w:numPr>
        <w:rPr>
          <w:rFonts w:cs="Arial"/>
          <w:szCs w:val="24"/>
        </w:rPr>
      </w:pPr>
      <w:r w:rsidRPr="00B25100">
        <w:rPr>
          <w:rFonts w:cs="Arial"/>
          <w:szCs w:val="24"/>
        </w:rPr>
        <w:t>What is the annual income and what are the monthly wages across all jobs held?</w:t>
      </w:r>
    </w:p>
    <w:p w14:paraId="6B7776CB" w14:textId="77777777" w:rsidR="00B25100" w:rsidRPr="00B25100" w:rsidRDefault="00B25100" w:rsidP="00994E24">
      <w:pPr>
        <w:numPr>
          <w:ilvl w:val="0"/>
          <w:numId w:val="10"/>
        </w:numPr>
        <w:rPr>
          <w:rFonts w:cs="Arial"/>
          <w:szCs w:val="24"/>
        </w:rPr>
      </w:pPr>
      <w:r w:rsidRPr="00B25100">
        <w:rPr>
          <w:rFonts w:cs="Arial"/>
          <w:szCs w:val="24"/>
        </w:rPr>
        <w:t>What percentage have participated in job-related training programs?</w:t>
      </w:r>
    </w:p>
    <w:p w14:paraId="6115333E" w14:textId="77777777" w:rsidR="00B25100" w:rsidRPr="00B25100" w:rsidRDefault="00B25100" w:rsidP="00994E24">
      <w:pPr>
        <w:numPr>
          <w:ilvl w:val="0"/>
          <w:numId w:val="10"/>
        </w:numPr>
        <w:rPr>
          <w:rFonts w:cs="Arial"/>
          <w:szCs w:val="24"/>
        </w:rPr>
      </w:pPr>
      <w:r w:rsidRPr="00B25100">
        <w:rPr>
          <w:rFonts w:cs="Arial"/>
          <w:szCs w:val="24"/>
        </w:rPr>
        <w:t>How do the B&amp;B:16 cohort’s labor market outcomes a year after receiving a bachelor’s degree compare to those observed among the previous B&amp;B cohorts of 1992–93 and 2007-08?</w:t>
      </w:r>
    </w:p>
    <w:p w14:paraId="063883D5" w14:textId="2D19AECC" w:rsidR="00B25100" w:rsidRPr="00B25100" w:rsidRDefault="00B25100" w:rsidP="00B25100">
      <w:pPr>
        <w:spacing w:before="120" w:after="120"/>
        <w:rPr>
          <w:szCs w:val="24"/>
        </w:rPr>
      </w:pPr>
      <w:r w:rsidRPr="00B25100">
        <w:rPr>
          <w:szCs w:val="24"/>
        </w:rPr>
        <w:t>Answers to these and other questions are vital if policymakers at the local, state, and national levels are to respond adequately to the changing environment of postsecondary education and the labor market.</w:t>
      </w:r>
    </w:p>
    <w:p w14:paraId="66A26C12" w14:textId="0B783502" w:rsidR="00BD3BFA" w:rsidRPr="004B2992" w:rsidRDefault="00BD3BFA" w:rsidP="00BD3BFA">
      <w:pPr>
        <w:pStyle w:val="Heading3"/>
      </w:pPr>
      <w:bookmarkStart w:id="31" w:name="_Toc269214214"/>
      <w:bookmarkStart w:id="32" w:name="_Toc399514832"/>
      <w:bookmarkStart w:id="33" w:name="_Toc400100547"/>
      <w:bookmarkStart w:id="34" w:name="_Toc440267866"/>
      <w:r w:rsidRPr="004B2992">
        <w:t xml:space="preserve">Study Design for </w:t>
      </w:r>
      <w:bookmarkEnd w:id="31"/>
      <w:bookmarkEnd w:id="32"/>
      <w:bookmarkEnd w:id="33"/>
      <w:r w:rsidR="00DD2754">
        <w:t>B&amp;B:16/17</w:t>
      </w:r>
      <w:bookmarkEnd w:id="34"/>
    </w:p>
    <w:p w14:paraId="73E6B0FF" w14:textId="77777777" w:rsidR="00D14345" w:rsidRDefault="008B753F" w:rsidP="00D40A01">
      <w:pPr>
        <w:pStyle w:val="BodyText"/>
        <w:ind w:firstLine="0"/>
      </w:pPr>
      <w:r>
        <w:t xml:space="preserve">Data collection for B&amp;B:16/17 will consist of a sample member survey and administrative data matching. </w:t>
      </w:r>
      <w:bookmarkStart w:id="35" w:name="_Toc152499720"/>
      <w:r w:rsidR="00491A42" w:rsidRPr="005C26EF">
        <w:t xml:space="preserve">The respondent universe for the full-scale B&amp;B study consists of all persons who </w:t>
      </w:r>
      <w:r w:rsidR="00491A42">
        <w:t xml:space="preserve">completed requirements for the bachelor’s degree </w:t>
      </w:r>
      <w:r w:rsidR="00491A42" w:rsidRPr="005C26EF">
        <w:t>during the 20</w:t>
      </w:r>
      <w:r w:rsidR="00491A42">
        <w:t>15–16</w:t>
      </w:r>
      <w:r w:rsidR="00491A42" w:rsidRPr="005C26EF">
        <w:t xml:space="preserve"> academic year</w:t>
      </w:r>
      <w:r w:rsidR="00491A42">
        <w:t xml:space="preserve">, and received their degree by June 30, 2017. These respondents will be surveyed for B&amp;B in 2017. </w:t>
      </w:r>
      <w:r w:rsidR="00491A42" w:rsidRPr="005C26EF">
        <w:t xml:space="preserve">For the </w:t>
      </w:r>
      <w:r w:rsidR="00491A42">
        <w:t xml:space="preserve">B&amp;B </w:t>
      </w:r>
      <w:r w:rsidR="00491A42" w:rsidRPr="005C26EF">
        <w:t>field test, the respondent universe is the same except that the survey year is 20</w:t>
      </w:r>
      <w:r w:rsidR="00491A42">
        <w:t>16 and respondents will have completed their bachelor’s degree in</w:t>
      </w:r>
      <w:r w:rsidR="00491A42" w:rsidRPr="005C26EF">
        <w:t xml:space="preserve"> the 20</w:t>
      </w:r>
      <w:r w:rsidR="00491A42">
        <w:t>14–</w:t>
      </w:r>
      <w:r w:rsidR="00491A42">
        <w:lastRenderedPageBreak/>
        <w:t>15</w:t>
      </w:r>
      <w:r w:rsidR="00491A42" w:rsidRPr="005C26EF">
        <w:t xml:space="preserve"> academic year</w:t>
      </w:r>
      <w:r w:rsidR="00491A42">
        <w:t xml:space="preserve">, and received their degree by June 30, 2016. </w:t>
      </w:r>
      <w:r w:rsidR="008054AB" w:rsidRPr="004B2992">
        <w:t xml:space="preserve">Data from </w:t>
      </w:r>
      <w:r w:rsidR="00CD6729">
        <w:t>sample members</w:t>
      </w:r>
      <w:r w:rsidR="008054AB" w:rsidRPr="004B2992">
        <w:t xml:space="preserve"> will be collected via a self-administered survey on the Internet or through web-based CATI.</w:t>
      </w:r>
      <w:r w:rsidR="00323A50">
        <w:t xml:space="preserve"> The field test will also include a brief reinterview survey to test the reliability of a subset of survey items.</w:t>
      </w:r>
    </w:p>
    <w:bookmarkEnd w:id="35"/>
    <w:p w14:paraId="79201F89" w14:textId="4C159AF6" w:rsidR="005D5BD4" w:rsidRPr="00E444AD" w:rsidRDefault="0094716E" w:rsidP="00EE200F">
      <w:pPr>
        <w:pStyle w:val="BodyText"/>
        <w:keepNext/>
        <w:keepLines/>
        <w:ind w:firstLine="0"/>
        <w:rPr>
          <w:b/>
          <w:bCs/>
        </w:rPr>
      </w:pPr>
      <w:r>
        <w:t>Administrative data matching for</w:t>
      </w:r>
      <w:r w:rsidR="009A3440">
        <w:t xml:space="preserve"> the B&amp;B:16/17</w:t>
      </w:r>
      <w:r w:rsidR="009A3440" w:rsidRPr="004B2992">
        <w:t xml:space="preserve"> student sample will be obtained from a variety</w:t>
      </w:r>
      <w:r w:rsidR="005D5BD4">
        <w:t xml:space="preserve"> of sources</w:t>
      </w:r>
      <w:r w:rsidR="00AA0319">
        <w:t>,</w:t>
      </w:r>
      <w:r w:rsidR="005D5BD4">
        <w:t xml:space="preserve"> </w:t>
      </w:r>
      <w:r w:rsidR="00AA0319">
        <w:t xml:space="preserve">including: </w:t>
      </w:r>
      <w:r w:rsidR="005D5BD4" w:rsidRPr="004B2992">
        <w:t>the National Student Loan Data System</w:t>
      </w:r>
      <w:r w:rsidR="005D5BD4">
        <w:t xml:space="preserve"> (NSLDS), </w:t>
      </w:r>
      <w:r w:rsidR="00BD3BFA" w:rsidRPr="004B2992">
        <w:t xml:space="preserve">containing </w:t>
      </w:r>
      <w:r w:rsidR="0005560F">
        <w:t>federal</w:t>
      </w:r>
      <w:r w:rsidR="00AA0319">
        <w:t xml:space="preserve"> loan and grant files;</w:t>
      </w:r>
      <w:r w:rsidR="00BD3BFA" w:rsidRPr="004B2992">
        <w:t xml:space="preserve"> </w:t>
      </w:r>
      <w:r w:rsidR="00AA0319">
        <w:t>th</w:t>
      </w:r>
      <w:r w:rsidR="008A7178">
        <w:t>e</w:t>
      </w:r>
      <w:r w:rsidR="00AA0319">
        <w:t xml:space="preserve"> </w:t>
      </w:r>
      <w:r w:rsidR="005D5BD4" w:rsidRPr="004B2992">
        <w:t xml:space="preserve">Central Processing System (CPS), which houses and processes data contained in the Free Application for Federal Student Aid (FAFSA) forms </w:t>
      </w:r>
      <w:r w:rsidR="005D5BD4">
        <w:t>(</w:t>
      </w:r>
      <w:r w:rsidR="008A7178">
        <w:t xml:space="preserve">useful </w:t>
      </w:r>
      <w:r w:rsidR="005D5BD4">
        <w:t xml:space="preserve">for </w:t>
      </w:r>
      <w:r w:rsidR="00E7124A">
        <w:t xml:space="preserve">information on </w:t>
      </w:r>
      <w:r w:rsidR="005D5BD4">
        <w:t>baccalaureate recipients continuing their educ</w:t>
      </w:r>
      <w:r w:rsidR="00AA0319">
        <w:t>ation);</w:t>
      </w:r>
      <w:r w:rsidR="005D5BD4">
        <w:t xml:space="preserve"> </w:t>
      </w:r>
      <w:r w:rsidR="00BD3BFA" w:rsidRPr="004B2992">
        <w:t>the Nation</w:t>
      </w:r>
      <w:r w:rsidR="008A7178">
        <w:t xml:space="preserve">al Student Clearinghouse (NSC); </w:t>
      </w:r>
      <w:r w:rsidR="00BD3BFA" w:rsidRPr="004B2992">
        <w:t>and vendors of national undergraduate, graduate, and professional student admission tests</w:t>
      </w:r>
      <w:r w:rsidR="002E6B7F">
        <w:t>. T</w:t>
      </w:r>
      <w:r w:rsidR="00E444AD" w:rsidRPr="004B2992">
        <w:t xml:space="preserve">hese data will be obtained through file matching/downloading. </w:t>
      </w:r>
      <w:r w:rsidR="00C43DD0" w:rsidRPr="00C43DD0">
        <w:t>A description of the confidentiality procedures in place for administrative record matching is provided in a</w:t>
      </w:r>
      <w:r w:rsidR="00C43DD0">
        <w:t>ppendix B</w:t>
      </w:r>
      <w:r w:rsidR="00C43DD0" w:rsidRPr="00C43DD0">
        <w:t>.</w:t>
      </w:r>
    </w:p>
    <w:p w14:paraId="48DE525F" w14:textId="77777777" w:rsidR="00265E39" w:rsidRDefault="00265E39" w:rsidP="00283B46">
      <w:pPr>
        <w:pStyle w:val="Heading2"/>
      </w:pPr>
      <w:bookmarkStart w:id="36" w:name="_Toc383113366"/>
      <w:bookmarkStart w:id="37" w:name="_Toc440267867"/>
      <w:r>
        <w:t>Use of Information Technology</w:t>
      </w:r>
      <w:bookmarkEnd w:id="36"/>
      <w:bookmarkEnd w:id="37"/>
    </w:p>
    <w:p w14:paraId="6ADC9993" w14:textId="03304DA5" w:rsidR="00B83B16" w:rsidRPr="00B83B16" w:rsidRDefault="00B83B16" w:rsidP="00CF0DBE">
      <w:pPr>
        <w:rPr>
          <w:color w:val="000000" w:themeColor="text1"/>
        </w:rPr>
      </w:pPr>
      <w:r w:rsidRPr="00CE2E76">
        <w:t>The student website for data collection will reside on NCES’</w:t>
      </w:r>
      <w:r w:rsidR="000333DA">
        <w:t xml:space="preserve"> Secure Socket Layer</w:t>
      </w:r>
      <w:r w:rsidR="00CF0DBE">
        <w:t>-</w:t>
      </w:r>
      <w:r w:rsidRPr="00CE2E76">
        <w:t xml:space="preserve">certified servers with secure data connection. </w:t>
      </w:r>
      <w:r w:rsidRPr="00CE2E76">
        <w:rPr>
          <w:color w:val="000000" w:themeColor="text1"/>
        </w:rPr>
        <w:t>On a nightly basis, the data collection contractor, RTI, will download student interview data, in batches, to their Enhanced Security Network (ESN) via a secure web service. Once in the ESN, data will be cleaned and undergo quality analysis.</w:t>
      </w:r>
    </w:p>
    <w:p w14:paraId="7039C4D3" w14:textId="652A144E" w:rsidR="00B83B16" w:rsidRDefault="00B83B16" w:rsidP="00B83B16">
      <w:pPr>
        <w:pStyle w:val="BodyText"/>
        <w:ind w:firstLine="0"/>
      </w:pPr>
      <w:bookmarkStart w:id="38" w:name="_Toc437171354"/>
      <w:bookmarkStart w:id="39" w:name="_Toc437174760"/>
      <w:r w:rsidRPr="00CE2E76">
        <w:t xml:space="preserve">To improve its efficiency, the B&amp;B:16/17 student interview will use web-based questionnaires across two modes of data collection, a self-administered survey, which is mobile-friendly to allow completion of the full survey on a tablet or smartphone, and computer-assisted telephone interviewing (CATI). In the NPSAS:16 field test, 65.9% of surveys </w:t>
      </w:r>
      <w:r w:rsidR="00C50FE3" w:rsidRPr="00CE2E76">
        <w:t>w</w:t>
      </w:r>
      <w:r w:rsidR="00C50FE3">
        <w:t>ere</w:t>
      </w:r>
      <w:r w:rsidR="00C50FE3" w:rsidRPr="00CE2E76">
        <w:t xml:space="preserve"> </w:t>
      </w:r>
      <w:r w:rsidRPr="00CE2E76">
        <w:t>completed on a personal computer and 23.6% on a handheld device.</w:t>
      </w:r>
      <w:bookmarkEnd w:id="38"/>
      <w:bookmarkEnd w:id="39"/>
    </w:p>
    <w:p w14:paraId="49260E49" w14:textId="21DAB88E" w:rsidR="00265E39" w:rsidRDefault="00265E39" w:rsidP="00283B46">
      <w:pPr>
        <w:pStyle w:val="Heading2"/>
      </w:pPr>
      <w:bookmarkStart w:id="40" w:name="_Toc383113367"/>
      <w:bookmarkStart w:id="41" w:name="_Toc440267868"/>
      <w:r>
        <w:t>Efforts to Identify Duplication</w:t>
      </w:r>
      <w:bookmarkEnd w:id="40"/>
      <w:bookmarkEnd w:id="41"/>
    </w:p>
    <w:p w14:paraId="35018D1E" w14:textId="6C21709B" w:rsidR="00D14345" w:rsidRDefault="00696D8D" w:rsidP="005C1BBF">
      <w:pPr>
        <w:pStyle w:val="BodyText"/>
        <w:ind w:firstLine="0"/>
      </w:pPr>
      <w:r w:rsidRPr="00696D8D">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14:paraId="78332436" w14:textId="761508FF" w:rsidR="00D14345" w:rsidRDefault="005C1BBF" w:rsidP="00A704B9">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sidRPr="00CE2E76">
        <w:rPr>
          <w:rFonts w:ascii="Garamond" w:hAnsi="Garamond" w:cstheme="majorBidi"/>
        </w:rPr>
        <w:t xml:space="preserve">B&amp;B studies </w:t>
      </w:r>
      <w:r w:rsidR="00995F49">
        <w:rPr>
          <w:rFonts w:ascii="Garamond" w:hAnsi="Garamond" w:cstheme="majorBidi"/>
        </w:rPr>
        <w:t>have collect</w:t>
      </w:r>
      <w:r w:rsidR="00D94C0B">
        <w:rPr>
          <w:rFonts w:ascii="Garamond" w:hAnsi="Garamond" w:cstheme="majorBidi"/>
        </w:rPr>
        <w:t>ed</w:t>
      </w:r>
      <w:r w:rsidRPr="00CE2E76">
        <w:rPr>
          <w:rFonts w:ascii="Garamond" w:hAnsi="Garamond" w:cstheme="majorBidi"/>
        </w:rPr>
        <w:t xml:space="preserve"> detailed data on college graduates in various stages of the K-12 teaching career pathway</w:t>
      </w:r>
      <w:r w:rsidR="00CC4EC1">
        <w:rPr>
          <w:rFonts w:ascii="Garamond" w:hAnsi="Garamond" w:cstheme="majorBidi"/>
        </w:rPr>
        <w:t xml:space="preserve"> </w:t>
      </w:r>
      <w:r w:rsidR="00995F49">
        <w:rPr>
          <w:rFonts w:ascii="Garamond" w:hAnsi="Garamond" w:cstheme="majorBidi"/>
        </w:rPr>
        <w:t>and</w:t>
      </w:r>
      <w:r w:rsidR="008C4370">
        <w:rPr>
          <w:rFonts w:ascii="Garamond" w:hAnsi="Garamond" w:cstheme="majorBidi"/>
        </w:rPr>
        <w:t>,</w:t>
      </w:r>
      <w:r w:rsidR="00995F49">
        <w:rPr>
          <w:rFonts w:ascii="Garamond" w:hAnsi="Garamond" w:cstheme="majorBidi"/>
        </w:rPr>
        <w:t xml:space="preserve"> </w:t>
      </w:r>
      <w:r w:rsidR="00A704B9">
        <w:rPr>
          <w:rFonts w:ascii="Garamond" w:hAnsi="Garamond" w:cstheme="majorBidi"/>
        </w:rPr>
        <w:t>in the field test, will</w:t>
      </w:r>
      <w:r w:rsidR="00995F49">
        <w:rPr>
          <w:rFonts w:ascii="Garamond" w:hAnsi="Garamond" w:cstheme="majorBidi"/>
        </w:rPr>
        <w:t xml:space="preserve"> add pre-kindergarten to the definition of teachers included in the survey</w:t>
      </w:r>
      <w:r w:rsidRPr="00CE2E76">
        <w:rPr>
          <w:rFonts w:ascii="Garamond" w:hAnsi="Garamond" w:cstheme="majorBidi"/>
        </w:rPr>
        <w:t xml:space="preserve">. </w:t>
      </w:r>
      <w:r w:rsidR="008C7BB6">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sidR="008C4370">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sidR="00195FE1">
        <w:rPr>
          <w:rFonts w:ascii="Garamond" w:hAnsi="Garamond" w:cstheme="majorBidi"/>
        </w:rPr>
        <w:t>) that</w:t>
      </w:r>
      <w:r w:rsidRPr="00CE2E76">
        <w:rPr>
          <w:rFonts w:ascii="Garamond" w:hAnsi="Garamond" w:cstheme="majorBidi"/>
        </w:rPr>
        <w:t xml:space="preserve"> concluded in 2011–12, NTPS </w:t>
      </w:r>
      <w:r w:rsidR="008C4370">
        <w:rPr>
          <w:rFonts w:ascii="Garamond" w:hAnsi="Garamond" w:cstheme="majorBidi"/>
        </w:rPr>
        <w:t xml:space="preserve">does not </w:t>
      </w:r>
      <w:r w:rsidRPr="00CE2E76">
        <w:rPr>
          <w:rFonts w:ascii="Garamond" w:hAnsi="Garamond" w:cstheme="majorBidi"/>
        </w:rPr>
        <w:t xml:space="preserve">follows teachers </w:t>
      </w:r>
      <w:r w:rsidR="008C4370">
        <w:rPr>
          <w:rFonts w:ascii="Garamond" w:hAnsi="Garamond" w:cstheme="majorBidi"/>
        </w:rPr>
        <w:t>over time</w:t>
      </w:r>
      <w:r w:rsidRPr="00CE2E76">
        <w:rPr>
          <w:rFonts w:ascii="Garamond" w:hAnsi="Garamond" w:cstheme="majorBidi"/>
        </w:rPr>
        <w:t xml:space="preserve">. B&amp;B, in contrast, </w:t>
      </w:r>
      <w:r w:rsidR="00C93534">
        <w:rPr>
          <w:rFonts w:ascii="Garamond" w:hAnsi="Garamond" w:cstheme="majorBidi"/>
        </w:rPr>
        <w:t xml:space="preserve">typically </w:t>
      </w:r>
      <w:r w:rsidR="00B4410C">
        <w:rPr>
          <w:rFonts w:ascii="Garamond" w:hAnsi="Garamond" w:cstheme="majorBidi"/>
        </w:rPr>
        <w:t xml:space="preserve">follows </w:t>
      </w:r>
      <w:r w:rsidR="00B4410C" w:rsidRPr="00CE2E76">
        <w:rPr>
          <w:rFonts w:ascii="Garamond" w:hAnsi="Garamond" w:cstheme="majorBidi"/>
        </w:rPr>
        <w:t xml:space="preserve">graduates for 4 years or more </w:t>
      </w:r>
      <w:r w:rsidR="00B4410C">
        <w:rPr>
          <w:rFonts w:ascii="Garamond" w:hAnsi="Garamond" w:cstheme="majorBidi"/>
        </w:rPr>
        <w:t xml:space="preserve">and </w:t>
      </w:r>
      <w:r w:rsidRPr="00CE2E76">
        <w:rPr>
          <w:rFonts w:ascii="Garamond" w:hAnsi="Garamond" w:cstheme="majorBidi"/>
        </w:rPr>
        <w:t>supports comparisons between</w:t>
      </w:r>
      <w:r w:rsidR="009A0E58">
        <w:rPr>
          <w:rFonts w:ascii="Garamond" w:hAnsi="Garamond" w:cstheme="majorBidi"/>
        </w:rPr>
        <w:t xml:space="preserve"> graduates who go into teaching </w:t>
      </w:r>
      <w:r w:rsidR="008C4370">
        <w:rPr>
          <w:rFonts w:ascii="Garamond" w:hAnsi="Garamond" w:cstheme="majorBidi"/>
        </w:rPr>
        <w:t>with</w:t>
      </w:r>
      <w:r w:rsidRPr="00CE2E76">
        <w:rPr>
          <w:rFonts w:ascii="Garamond" w:hAnsi="Garamond" w:cstheme="majorBidi"/>
        </w:rPr>
        <w:t xml:space="preserve"> other graduates. The B&amp;B </w:t>
      </w:r>
      <w:r w:rsidR="00184EAB">
        <w:rPr>
          <w:rFonts w:ascii="Garamond" w:hAnsi="Garamond" w:cstheme="majorBidi"/>
        </w:rPr>
        <w:t xml:space="preserve">study </w:t>
      </w:r>
      <w:r w:rsidRPr="00CE2E76">
        <w:rPr>
          <w:rFonts w:ascii="Garamond" w:hAnsi="Garamond" w:cstheme="majorBidi"/>
        </w:rPr>
        <w:t xml:space="preserve">collects less detailed data than NTPS on current teachers, </w:t>
      </w:r>
      <w:r w:rsidR="00975AC3">
        <w:rPr>
          <w:rFonts w:ascii="Garamond" w:hAnsi="Garamond" w:cstheme="majorBidi"/>
        </w:rPr>
        <w:t>but</w:t>
      </w:r>
      <w:r w:rsidRPr="00CE2E76">
        <w:rPr>
          <w:rFonts w:ascii="Garamond" w:hAnsi="Garamond" w:cstheme="majorBidi"/>
        </w:rPr>
        <w:t xml:space="preserve"> provides data on graduates who consider or prepare for teaching without taking a teaching job, as well</w:t>
      </w:r>
      <w:r w:rsidR="00A30947">
        <w:rPr>
          <w:rFonts w:ascii="Garamond" w:hAnsi="Garamond" w:cstheme="majorBidi"/>
        </w:rPr>
        <w:t xml:space="preserve"> as </w:t>
      </w:r>
      <w:r w:rsidR="00A30947">
        <w:rPr>
          <w:rFonts w:ascii="Garamond" w:hAnsi="Garamond" w:cstheme="majorBidi"/>
        </w:rPr>
        <w:lastRenderedPageBreak/>
        <w:t>teachers who leave teaching</w:t>
      </w:r>
      <w:r w:rsidRPr="00CE2E76">
        <w:rPr>
          <w:rFonts w:ascii="Garamond" w:hAnsi="Garamond" w:cstheme="majorBidi"/>
        </w:rPr>
        <w:t>.</w:t>
      </w:r>
      <w:r w:rsidR="00A5329E">
        <w:rPr>
          <w:rFonts w:ascii="Garamond" w:hAnsi="Garamond" w:cstheme="majorBidi"/>
        </w:rPr>
        <w:t xml:space="preserve"> </w:t>
      </w:r>
      <w:r w:rsidR="00A704B9" w:rsidRPr="004622D4">
        <w:rPr>
          <w:rFonts w:ascii="Garamond" w:hAnsi="Garamond"/>
        </w:rPr>
        <w:t xml:space="preserve">Results from the field test for the pre-K teacher population will be examined for its utility toward the overall B&amp;B study, and a decision will be made on whether pre-K </w:t>
      </w:r>
      <w:r w:rsidR="008C4370">
        <w:rPr>
          <w:rFonts w:ascii="Garamond" w:hAnsi="Garamond"/>
        </w:rPr>
        <w:t xml:space="preserve">teachers </w:t>
      </w:r>
      <w:r w:rsidR="00A704B9" w:rsidRPr="004622D4">
        <w:rPr>
          <w:rFonts w:ascii="Garamond" w:hAnsi="Garamond"/>
        </w:rPr>
        <w:t>will be included in the definition of “teachers” studied by B&amp;B:16/17, prior to the full-scale study</w:t>
      </w:r>
      <w:r w:rsidR="00A704B9" w:rsidRPr="007E1958">
        <w:rPr>
          <w:rFonts w:ascii="Garamond" w:hAnsi="Garamond" w:cstheme="majorBidi"/>
        </w:rPr>
        <w:t>.</w:t>
      </w:r>
    </w:p>
    <w:p w14:paraId="61933610" w14:textId="178F86CD" w:rsidR="005F3E77" w:rsidRDefault="00265E39" w:rsidP="00283B46">
      <w:pPr>
        <w:pStyle w:val="Heading2"/>
      </w:pPr>
      <w:bookmarkStart w:id="42" w:name="_Toc383113368"/>
      <w:bookmarkStart w:id="43" w:name="_Toc440267869"/>
      <w:r>
        <w:t>Method Used to Minimize Burden on Small Businesses</w:t>
      </w:r>
      <w:bookmarkEnd w:id="42"/>
      <w:bookmarkEnd w:id="43"/>
    </w:p>
    <w:p w14:paraId="0F17FEC4" w14:textId="77777777"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B&amp;B:16/17 interviews are individuals and the data collection activities will not involve burden to small businesses or entities.</w:t>
      </w:r>
    </w:p>
    <w:p w14:paraId="4ABE54F5" w14:textId="5D011F3B" w:rsidR="00265E39" w:rsidRDefault="00265E39" w:rsidP="00283B46">
      <w:pPr>
        <w:pStyle w:val="Heading2"/>
      </w:pPr>
      <w:bookmarkStart w:id="44" w:name="_Toc383113369"/>
      <w:bookmarkStart w:id="45" w:name="_Toc440267870"/>
      <w:r>
        <w:t>Frequency of Data Collection</w:t>
      </w:r>
      <w:bookmarkEnd w:id="44"/>
      <w:bookmarkEnd w:id="45"/>
    </w:p>
    <w:p w14:paraId="4BB6EE87" w14:textId="77777777" w:rsidR="00D14345" w:rsidRDefault="00F10DFA" w:rsidP="00F10DFA">
      <w:pPr>
        <w:spacing w:before="120" w:after="120"/>
      </w:pPr>
      <w:r w:rsidRPr="00CE2E76">
        <w:t>A new B&amp;B cohort has been created about every eight years since the first set of studies was initiated with NPSAS:93. B&amp;B:93 and B&amp;B:08 were the two cohorts in which college transcript data were collected. The current B&amp;B study, B&amp;B:16/17, will be conducted 1 year after the base-year NPSAS:16 data collection. Though not currently contracted, at least one additional follow-up study of the B&amp;B:16 cohort is anticipated in 2020.</w:t>
      </w:r>
    </w:p>
    <w:p w14:paraId="10D2FBC1" w14:textId="269560FF" w:rsidR="00F10DFA" w:rsidRPr="00CE2E76" w:rsidRDefault="00F10DFA" w:rsidP="00F10DFA">
      <w:pPr>
        <w:pStyle w:val="BodyText1"/>
        <w:spacing w:line="23" w:lineRule="atLeast"/>
        <w:ind w:firstLine="0"/>
        <w:rPr>
          <w:rFonts w:ascii="Garamond" w:hAnsi="Garamond"/>
        </w:rPr>
      </w:pPr>
      <w:r w:rsidRPr="00CE2E76">
        <w:rPr>
          <w:rFonts w:ascii="Garamond" w:hAnsi="Garamond"/>
        </w:rPr>
        <w:t>The NPSAS and its longitudinal spin-off studies, BPS and B&amp;B, are conducted to reflect the large-scale and rapid changes in federal policy concerning postsecondary student aid—eligibility restrictions change, sizes of grant and loan amounts fluctuate, and the balance between various aid options can change dramatically. A recurring study is essential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B&amp;B follow-ups, representative national samples of bachelor’s degree-receiving postsecondary students with similar base-year characteristics may be compared over time to determine the effects of changes in federal policy and programs.</w:t>
      </w:r>
    </w:p>
    <w:p w14:paraId="27B27AF3" w14:textId="77777777" w:rsidR="00265E39" w:rsidRDefault="00265E39" w:rsidP="00283B46">
      <w:pPr>
        <w:pStyle w:val="Heading2"/>
      </w:pPr>
      <w:bookmarkStart w:id="46" w:name="_Toc383113370"/>
      <w:bookmarkStart w:id="47" w:name="_Toc440267871"/>
      <w:r>
        <w:t>Special Circumstances of Data Collection</w:t>
      </w:r>
      <w:bookmarkEnd w:id="46"/>
      <w:bookmarkEnd w:id="47"/>
    </w:p>
    <w:p w14:paraId="4AA50882" w14:textId="16A2CC56" w:rsidR="005F3E77" w:rsidRDefault="00265E39" w:rsidP="00FC38A6">
      <w:pPr>
        <w:pStyle w:val="BodyText"/>
        <w:ind w:firstLine="0"/>
      </w:pPr>
      <w:r>
        <w:t>No special circumstances of data collection are anticipated.</w:t>
      </w:r>
    </w:p>
    <w:p w14:paraId="2EFE2ECB" w14:textId="7E85AEAB" w:rsidR="005F3E77" w:rsidRDefault="00265E39" w:rsidP="00283B46">
      <w:pPr>
        <w:pStyle w:val="Heading2"/>
      </w:pPr>
      <w:bookmarkStart w:id="48" w:name="_Toc383113371"/>
      <w:bookmarkStart w:id="49" w:name="_Toc440267872"/>
      <w:r>
        <w:t>Consultants Outside the Agency</w:t>
      </w:r>
      <w:bookmarkEnd w:id="48"/>
      <w:bookmarkEnd w:id="49"/>
    </w:p>
    <w:p w14:paraId="3762F1E5" w14:textId="161FC989" w:rsidR="00F2179D" w:rsidRPr="00963F57" w:rsidRDefault="00F2179D" w:rsidP="00F2179D">
      <w:pPr>
        <w:pStyle w:val="BodyText"/>
        <w:ind w:firstLine="0"/>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14:paraId="08D40F77" w14:textId="6EE627DC" w:rsidR="00F2179D" w:rsidRDefault="00F2179D" w:rsidP="00F2179D">
      <w:pPr>
        <w:pStyle w:val="BodyText"/>
        <w:ind w:firstLine="0"/>
      </w:pPr>
      <w:r w:rsidRPr="00963F57">
        <w:t xml:space="preserve">Previous B&amp;B implementations have benefited from a </w:t>
      </w:r>
      <w:r w:rsidR="008C703C">
        <w:t>TRP</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A</w:t>
      </w:r>
      <w:r w:rsidRPr="00963F57">
        <w:t xml:space="preserve"> list of the TRP members is provided in appendix A. A </w:t>
      </w:r>
      <w:r w:rsidR="008C703C">
        <w:t>TRP</w:t>
      </w:r>
      <w:r w:rsidRPr="00963F57">
        <w:t xml:space="preserve"> meeting was held to inform the B&amp;B:16/17 </w:t>
      </w:r>
      <w:r w:rsidR="00BF468E">
        <w:t xml:space="preserve">data collection in October 2015, </w:t>
      </w:r>
      <w:r w:rsidRPr="00963F57">
        <w:t>during which plans for the 2016 field test and the 2017 full-scale study design were presented and discussed.</w:t>
      </w:r>
    </w:p>
    <w:p w14:paraId="16CFA968" w14:textId="77777777" w:rsidR="00265E39" w:rsidRDefault="00265E39" w:rsidP="00283B46">
      <w:pPr>
        <w:pStyle w:val="Heading2"/>
      </w:pPr>
      <w:bookmarkStart w:id="50" w:name="_Toc383113372"/>
      <w:bookmarkStart w:id="51" w:name="_Toc440267873"/>
      <w:r>
        <w:t>Provision of Payments or Gifts to Respondents</w:t>
      </w:r>
      <w:bookmarkEnd w:id="50"/>
      <w:bookmarkEnd w:id="51"/>
    </w:p>
    <w:p w14:paraId="71E0AD81" w14:textId="77777777" w:rsidR="00D14345" w:rsidRDefault="00C24298" w:rsidP="009E28D2">
      <w:pPr>
        <w:pStyle w:val="BodyText"/>
        <w:ind w:firstLine="0"/>
      </w:pPr>
      <w:r w:rsidRPr="00803E1D">
        <w:t>The use of incentives for completion of the student interview can provide significant advantages to the government in terms of increased overall student response rates, timely data collection, and reduction of nonresponse bias. In addition, the use of incentives may also result in d</w:t>
      </w:r>
      <w:r w:rsidR="009E28D2">
        <w:t>ecreased data collection costs. Therefore, a</w:t>
      </w:r>
      <w:r w:rsidRPr="00803E1D">
        <w:t>ll cases</w:t>
      </w:r>
      <w:r w:rsidR="009E28D2">
        <w:t xml:space="preserve"> in the B&amp;B:16/17 field test</w:t>
      </w:r>
      <w:r w:rsidRPr="00803E1D">
        <w:t xml:space="preserve"> will be offered a monetary incentive for completing the B&amp;B interview.</w:t>
      </w:r>
    </w:p>
    <w:p w14:paraId="1B59D8B5" w14:textId="50023F6E" w:rsidR="00D14345" w:rsidRDefault="009E28D2" w:rsidP="009E28D2">
      <w:pPr>
        <w:pStyle w:val="BodyText"/>
        <w:ind w:firstLine="0"/>
      </w:pPr>
      <w:r>
        <w:lastRenderedPageBreak/>
        <w:t>NPSAS:16 field test interview</w:t>
      </w:r>
      <w:r w:rsidR="00D96885">
        <w:t xml:space="preserve"> (base-year)</w:t>
      </w:r>
      <w:r w:rsidR="00C24298" w:rsidRPr="00803E1D">
        <w:t xml:space="preserve"> early respondents will be offered $20 for completing the interview, while all other sample members will be offered a total incentive of $30. For most respondents, $20 or $30 will be paid upon completion of the survey by the sample member’s choice of check or PayPal, an online money transfer service (about 35% of respondents opted for PayPal during the NPSAS:16 field test). In an effort to increase response rates and decrease nonres</w:t>
      </w:r>
      <w:r w:rsidR="003A24EE">
        <w:t>ponse bias, a random sample of</w:t>
      </w:r>
      <w:r w:rsidR="00A62D74">
        <w:t xml:space="preserve"> NPSAS:16 field test</w:t>
      </w:r>
      <w:r>
        <w:t xml:space="preserve"> </w:t>
      </w:r>
      <w:r w:rsidR="0098183C">
        <w:t xml:space="preserve">(base-year) </w:t>
      </w:r>
      <w:r>
        <w:t>interview</w:t>
      </w:r>
      <w:r w:rsidR="00C24298" w:rsidRPr="00803E1D">
        <w:t xml:space="preserve"> nonrespondents will be offered $10 of the $30 total incentive prior to completion, as a prepaid incentive paid via PayPal or check. Upon completion of the interview, these cases will receive </w:t>
      </w:r>
      <w:r w:rsidR="0032544F">
        <w:t>the</w:t>
      </w:r>
      <w:r w:rsidR="005A21F2">
        <w:t xml:space="preserve"> additional </w:t>
      </w:r>
      <w:r w:rsidR="00C24298" w:rsidRPr="00803E1D">
        <w:t>$20</w:t>
      </w:r>
      <w:r w:rsidR="005A21F2">
        <w:t>, for a total incentive of $30</w:t>
      </w:r>
      <w:r w:rsidR="00C24298" w:rsidRPr="00803E1D">
        <w:t>. The $30 amount has been offered in NPSAS full-scale collections since NPSAS:04. The use of incentives is an integral part of the overall data collection plan that includes multiple strategies to minimize bias-inducing nonresponse (e.g. early telephone contact and intensive tracing and abbreviated interviews).</w:t>
      </w:r>
    </w:p>
    <w:p w14:paraId="5B5A2024" w14:textId="3E2E7FC3" w:rsidR="00D14345" w:rsidRDefault="00C24298" w:rsidP="009E28D2">
      <w:pPr>
        <w:pStyle w:val="BodyText"/>
        <w:ind w:firstLine="0"/>
      </w:pPr>
      <w:r w:rsidRPr="00803E1D">
        <w:t>Table 2 shows the distribution of the incentive amounts among the B&amp;B:16/17 field test sample.</w:t>
      </w:r>
      <w:r w:rsidR="005E524C">
        <w:t xml:space="preserve"> More information regarding the distribution of the incentives by responde</w:t>
      </w:r>
      <w:r w:rsidR="00D85A83">
        <w:t xml:space="preserve">nt group is provided in </w:t>
      </w:r>
      <w:r w:rsidR="00EB70CE">
        <w:t xml:space="preserve">the Supporting Statement </w:t>
      </w:r>
      <w:r w:rsidR="00D85A83">
        <w:t>Part B</w:t>
      </w:r>
      <w:r w:rsidR="00EB70CE">
        <w:t xml:space="preserve"> of this submission</w:t>
      </w:r>
      <w:r w:rsidR="005E524C">
        <w:t>.</w:t>
      </w:r>
    </w:p>
    <w:p w14:paraId="241284F1" w14:textId="60DB6261" w:rsidR="00C24298" w:rsidRPr="00C24298" w:rsidRDefault="00C24298" w:rsidP="0058255F">
      <w:pPr>
        <w:pStyle w:val="TableTitle"/>
      </w:pPr>
      <w:bookmarkStart w:id="52" w:name="_Toc440267884"/>
      <w:r w:rsidRPr="00C24298">
        <w:t>Table 2. Distribution of incentive amounts among th</w:t>
      </w:r>
      <w:r w:rsidR="00F0154B">
        <w:t>e B&amp;B:16/17 field test</w:t>
      </w:r>
      <w:r w:rsidRPr="00C24298">
        <w:t xml:space="preserve"> sample</w:t>
      </w:r>
      <w:bookmarkEnd w:id="52"/>
      <w:r w:rsidRPr="00C24298">
        <w:t xml:space="preserve"> </w:t>
      </w:r>
    </w:p>
    <w:tbl>
      <w:tblPr>
        <w:tblStyle w:val="TableGrid2"/>
        <w:tblW w:w="5000" w:type="pct"/>
        <w:tblCellMar>
          <w:left w:w="58" w:type="dxa"/>
          <w:right w:w="58" w:type="dxa"/>
        </w:tblCellMar>
        <w:tblLook w:val="04A0" w:firstRow="1" w:lastRow="0" w:firstColumn="1" w:lastColumn="0" w:noHBand="0" w:noVBand="1"/>
      </w:tblPr>
      <w:tblGrid>
        <w:gridCol w:w="1769"/>
        <w:gridCol w:w="2143"/>
        <w:gridCol w:w="2143"/>
        <w:gridCol w:w="2143"/>
        <w:gridCol w:w="2142"/>
      </w:tblGrid>
      <w:tr w:rsidR="00C24298" w:rsidRPr="00C24298" w14:paraId="1D10891B" w14:textId="77777777" w:rsidTr="00EB70CE">
        <w:trPr>
          <w:trHeight w:val="1176"/>
        </w:trPr>
        <w:tc>
          <w:tcPr>
            <w:tcW w:w="855" w:type="pct"/>
            <w:tcBorders>
              <w:top w:val="single" w:sz="12" w:space="0" w:color="auto"/>
              <w:bottom w:val="single" w:sz="4" w:space="0" w:color="auto"/>
            </w:tcBorders>
            <w:shd w:val="clear" w:color="auto" w:fill="D9D9D9"/>
            <w:vAlign w:val="center"/>
          </w:tcPr>
          <w:p w14:paraId="7582E2FF" w14:textId="77777777" w:rsidR="00C24298" w:rsidRPr="00C24298" w:rsidRDefault="00C24298" w:rsidP="00C24298">
            <w:pPr>
              <w:rPr>
                <w:rFonts w:ascii="Arial" w:hAnsi="Arial" w:cs="Arial"/>
                <w:b/>
                <w:sz w:val="20"/>
                <w:szCs w:val="24"/>
              </w:rPr>
            </w:pPr>
          </w:p>
        </w:tc>
        <w:tc>
          <w:tcPr>
            <w:tcW w:w="1036" w:type="pct"/>
            <w:tcBorders>
              <w:top w:val="single" w:sz="12" w:space="0" w:color="auto"/>
              <w:bottom w:val="single" w:sz="4" w:space="0" w:color="auto"/>
            </w:tcBorders>
            <w:shd w:val="clear" w:color="auto" w:fill="D9D9D9"/>
            <w:vAlign w:val="center"/>
          </w:tcPr>
          <w:p w14:paraId="4DF99A68" w14:textId="77777777" w:rsidR="00D14345" w:rsidRDefault="0030670D" w:rsidP="00EB70CE">
            <w:pPr>
              <w:jc w:val="center"/>
              <w:rPr>
                <w:rFonts w:ascii="Arial" w:hAnsi="Arial" w:cs="Arial"/>
                <w:b/>
                <w:sz w:val="20"/>
                <w:szCs w:val="24"/>
              </w:rPr>
            </w:pPr>
            <w:r>
              <w:rPr>
                <w:rFonts w:ascii="Arial" w:hAnsi="Arial" w:cs="Arial"/>
                <w:b/>
                <w:sz w:val="20"/>
                <w:szCs w:val="24"/>
              </w:rPr>
              <w:t>NPSAS:16 FT interview n</w:t>
            </w:r>
            <w:r w:rsidR="00C24298" w:rsidRPr="00C24298">
              <w:rPr>
                <w:rFonts w:ascii="Arial" w:hAnsi="Arial" w:cs="Arial"/>
                <w:b/>
                <w:sz w:val="20"/>
                <w:szCs w:val="24"/>
              </w:rPr>
              <w:t>onrespondents Group 1</w:t>
            </w:r>
          </w:p>
          <w:p w14:paraId="1635DECA" w14:textId="2B8FFD6A" w:rsidR="00C24298" w:rsidRPr="00C24298" w:rsidRDefault="00C24298" w:rsidP="00EB70CE">
            <w:pPr>
              <w:jc w:val="center"/>
              <w:rPr>
                <w:rFonts w:ascii="Arial" w:hAnsi="Arial" w:cs="Arial"/>
                <w:b/>
                <w:sz w:val="20"/>
                <w:szCs w:val="24"/>
              </w:rPr>
            </w:pPr>
            <w:r w:rsidRPr="00C24298">
              <w:rPr>
                <w:rFonts w:ascii="Arial" w:hAnsi="Arial" w:cs="Arial"/>
                <w:b/>
                <w:sz w:val="20"/>
                <w:szCs w:val="24"/>
              </w:rPr>
              <w:t>(N=399)</w:t>
            </w:r>
          </w:p>
        </w:tc>
        <w:tc>
          <w:tcPr>
            <w:tcW w:w="1036" w:type="pct"/>
            <w:tcBorders>
              <w:top w:val="single" w:sz="12" w:space="0" w:color="auto"/>
              <w:bottom w:val="single" w:sz="4" w:space="0" w:color="auto"/>
            </w:tcBorders>
            <w:shd w:val="clear" w:color="auto" w:fill="D9D9D9"/>
            <w:vAlign w:val="center"/>
          </w:tcPr>
          <w:p w14:paraId="2BB09D96" w14:textId="387744D9" w:rsidR="00C24298" w:rsidRPr="00C24298" w:rsidRDefault="00C24298" w:rsidP="00EB70CE">
            <w:pPr>
              <w:jc w:val="center"/>
              <w:rPr>
                <w:rFonts w:ascii="Arial" w:hAnsi="Arial" w:cs="Arial"/>
                <w:b/>
                <w:sz w:val="20"/>
                <w:szCs w:val="24"/>
              </w:rPr>
            </w:pPr>
            <w:r w:rsidRPr="00C24298">
              <w:rPr>
                <w:rFonts w:ascii="Arial" w:hAnsi="Arial" w:cs="Arial"/>
                <w:b/>
                <w:sz w:val="20"/>
                <w:szCs w:val="24"/>
              </w:rPr>
              <w:t>NPSAS:</w:t>
            </w:r>
            <w:r w:rsidR="0030670D">
              <w:rPr>
                <w:rFonts w:ascii="Arial" w:hAnsi="Arial" w:cs="Arial"/>
                <w:b/>
                <w:sz w:val="20"/>
                <w:szCs w:val="24"/>
              </w:rPr>
              <w:t>16 FT interview n</w:t>
            </w:r>
            <w:r w:rsidRPr="00C24298">
              <w:rPr>
                <w:rFonts w:ascii="Arial" w:hAnsi="Arial" w:cs="Arial"/>
                <w:b/>
                <w:sz w:val="20"/>
                <w:szCs w:val="24"/>
              </w:rPr>
              <w:t>onrespondents Group 2</w:t>
            </w:r>
          </w:p>
          <w:p w14:paraId="319A51CB" w14:textId="77777777" w:rsidR="00C24298" w:rsidRPr="00C24298" w:rsidRDefault="00C24298" w:rsidP="00EB70CE">
            <w:pPr>
              <w:jc w:val="center"/>
              <w:rPr>
                <w:rFonts w:ascii="Arial" w:hAnsi="Arial" w:cs="Arial"/>
                <w:b/>
                <w:sz w:val="20"/>
                <w:szCs w:val="24"/>
              </w:rPr>
            </w:pPr>
            <w:r w:rsidRPr="00C24298">
              <w:rPr>
                <w:rFonts w:ascii="Arial" w:hAnsi="Arial" w:cs="Arial"/>
                <w:b/>
                <w:sz w:val="20"/>
                <w:szCs w:val="24"/>
              </w:rPr>
              <w:t>(N=399)</w:t>
            </w:r>
          </w:p>
        </w:tc>
        <w:tc>
          <w:tcPr>
            <w:tcW w:w="1036" w:type="pct"/>
            <w:tcBorders>
              <w:top w:val="single" w:sz="12" w:space="0" w:color="auto"/>
              <w:bottom w:val="single" w:sz="4" w:space="0" w:color="auto"/>
            </w:tcBorders>
            <w:shd w:val="clear" w:color="auto" w:fill="D9D9D9"/>
            <w:vAlign w:val="center"/>
          </w:tcPr>
          <w:p w14:paraId="54486F2D" w14:textId="77777777" w:rsidR="0030670D" w:rsidRDefault="0030670D" w:rsidP="00EB70CE">
            <w:pPr>
              <w:jc w:val="center"/>
              <w:rPr>
                <w:rFonts w:ascii="Arial" w:hAnsi="Arial" w:cs="Arial"/>
                <w:b/>
                <w:sz w:val="20"/>
                <w:szCs w:val="24"/>
              </w:rPr>
            </w:pPr>
            <w:r>
              <w:rPr>
                <w:rFonts w:ascii="Arial" w:hAnsi="Arial" w:cs="Arial"/>
                <w:b/>
                <w:sz w:val="20"/>
                <w:szCs w:val="24"/>
              </w:rPr>
              <w:t>NPSAS:16 FT interview r</w:t>
            </w:r>
            <w:r w:rsidR="00C24298" w:rsidRPr="00C24298">
              <w:rPr>
                <w:rFonts w:ascii="Arial" w:hAnsi="Arial" w:cs="Arial"/>
                <w:b/>
                <w:sz w:val="20"/>
                <w:szCs w:val="24"/>
              </w:rPr>
              <w:t>espondents</w:t>
            </w:r>
          </w:p>
          <w:p w14:paraId="1428B0B8" w14:textId="77777777" w:rsidR="00D14345" w:rsidRDefault="0030670D" w:rsidP="00EB70CE">
            <w:pPr>
              <w:jc w:val="center"/>
              <w:rPr>
                <w:rFonts w:ascii="Arial" w:hAnsi="Arial" w:cs="Arial"/>
                <w:b/>
                <w:sz w:val="20"/>
                <w:szCs w:val="24"/>
              </w:rPr>
            </w:pPr>
            <w:r>
              <w:rPr>
                <w:rFonts w:ascii="Arial" w:hAnsi="Arial" w:cs="Arial"/>
                <w:b/>
                <w:sz w:val="20"/>
                <w:szCs w:val="24"/>
              </w:rPr>
              <w:t>Group 3</w:t>
            </w:r>
          </w:p>
          <w:p w14:paraId="33FEE273" w14:textId="7BA56BE2" w:rsidR="00C24298" w:rsidRPr="00C24298" w:rsidRDefault="00C24298" w:rsidP="00EB70CE">
            <w:pPr>
              <w:jc w:val="center"/>
              <w:rPr>
                <w:rFonts w:ascii="Arial" w:hAnsi="Arial" w:cs="Arial"/>
                <w:b/>
                <w:sz w:val="20"/>
                <w:szCs w:val="24"/>
              </w:rPr>
            </w:pPr>
            <w:r w:rsidRPr="00C24298">
              <w:rPr>
                <w:rFonts w:ascii="Arial" w:hAnsi="Arial" w:cs="Arial"/>
                <w:b/>
                <w:sz w:val="20"/>
                <w:szCs w:val="24"/>
              </w:rPr>
              <w:t>(N=604)</w:t>
            </w:r>
          </w:p>
        </w:tc>
        <w:tc>
          <w:tcPr>
            <w:tcW w:w="1036" w:type="pct"/>
            <w:tcBorders>
              <w:top w:val="single" w:sz="12" w:space="0" w:color="auto"/>
              <w:bottom w:val="single" w:sz="4" w:space="0" w:color="auto"/>
            </w:tcBorders>
            <w:shd w:val="clear" w:color="auto" w:fill="D9D9D9"/>
            <w:vAlign w:val="center"/>
          </w:tcPr>
          <w:p w14:paraId="7A26D756" w14:textId="77777777" w:rsidR="0030670D" w:rsidRDefault="0030670D" w:rsidP="00EB70CE">
            <w:pPr>
              <w:jc w:val="center"/>
              <w:rPr>
                <w:rFonts w:ascii="Arial" w:hAnsi="Arial" w:cs="Arial"/>
                <w:b/>
                <w:sz w:val="20"/>
                <w:szCs w:val="24"/>
              </w:rPr>
            </w:pPr>
            <w:r>
              <w:rPr>
                <w:rFonts w:ascii="Arial" w:hAnsi="Arial" w:cs="Arial"/>
                <w:b/>
                <w:sz w:val="20"/>
                <w:szCs w:val="24"/>
              </w:rPr>
              <w:t>NPSAS:16 FT interview early r</w:t>
            </w:r>
            <w:r w:rsidR="00C24298" w:rsidRPr="00C24298">
              <w:rPr>
                <w:rFonts w:ascii="Arial" w:hAnsi="Arial" w:cs="Arial"/>
                <w:b/>
                <w:sz w:val="20"/>
                <w:szCs w:val="24"/>
              </w:rPr>
              <w:t>espondents</w:t>
            </w:r>
          </w:p>
          <w:p w14:paraId="2293275B" w14:textId="77777777" w:rsidR="00D14345" w:rsidRDefault="0030670D" w:rsidP="00EB70CE">
            <w:pPr>
              <w:jc w:val="center"/>
              <w:rPr>
                <w:rFonts w:ascii="Arial" w:hAnsi="Arial" w:cs="Arial"/>
                <w:b/>
                <w:sz w:val="20"/>
                <w:szCs w:val="24"/>
              </w:rPr>
            </w:pPr>
            <w:r>
              <w:rPr>
                <w:rFonts w:ascii="Arial" w:hAnsi="Arial" w:cs="Arial"/>
                <w:b/>
                <w:sz w:val="20"/>
                <w:szCs w:val="24"/>
              </w:rPr>
              <w:t>Group 4</w:t>
            </w:r>
          </w:p>
          <w:p w14:paraId="0B462545" w14:textId="781040CE" w:rsidR="00C24298" w:rsidRPr="00C24298" w:rsidRDefault="00C24298" w:rsidP="00EB70CE">
            <w:pPr>
              <w:jc w:val="center"/>
              <w:rPr>
                <w:rFonts w:ascii="Arial" w:hAnsi="Arial" w:cs="Arial"/>
                <w:sz w:val="20"/>
                <w:szCs w:val="24"/>
              </w:rPr>
            </w:pPr>
            <w:r w:rsidRPr="00C24298">
              <w:rPr>
                <w:rFonts w:ascii="Arial" w:hAnsi="Arial" w:cs="Arial"/>
                <w:b/>
                <w:sz w:val="20"/>
                <w:szCs w:val="24"/>
              </w:rPr>
              <w:t>(N=696)</w:t>
            </w:r>
          </w:p>
        </w:tc>
      </w:tr>
      <w:tr w:rsidR="00C24298" w:rsidRPr="00C24298" w14:paraId="5FB2E4DA" w14:textId="77777777" w:rsidTr="00EB70CE">
        <w:trPr>
          <w:trHeight w:val="989"/>
        </w:trPr>
        <w:tc>
          <w:tcPr>
            <w:tcW w:w="855" w:type="pct"/>
            <w:tcBorders>
              <w:top w:val="single" w:sz="4" w:space="0" w:color="auto"/>
              <w:bottom w:val="single" w:sz="4" w:space="0" w:color="auto"/>
            </w:tcBorders>
            <w:vAlign w:val="center"/>
          </w:tcPr>
          <w:p w14:paraId="1E689DC3" w14:textId="77777777" w:rsidR="00C24298" w:rsidRPr="00C24298" w:rsidRDefault="00C24298" w:rsidP="00EB70CE">
            <w:pPr>
              <w:rPr>
                <w:rFonts w:ascii="Arial" w:hAnsi="Arial" w:cs="Arial"/>
                <w:b/>
                <w:sz w:val="20"/>
                <w:szCs w:val="24"/>
              </w:rPr>
            </w:pPr>
            <w:r w:rsidRPr="00C24298">
              <w:rPr>
                <w:rFonts w:ascii="Arial" w:hAnsi="Arial" w:cs="Arial"/>
                <w:b/>
                <w:sz w:val="20"/>
                <w:szCs w:val="24"/>
              </w:rPr>
              <w:t>Prepaid incentive</w:t>
            </w:r>
          </w:p>
        </w:tc>
        <w:tc>
          <w:tcPr>
            <w:tcW w:w="1036" w:type="pct"/>
            <w:tcBorders>
              <w:top w:val="single" w:sz="4" w:space="0" w:color="auto"/>
              <w:bottom w:val="single" w:sz="4" w:space="0" w:color="auto"/>
            </w:tcBorders>
            <w:vAlign w:val="center"/>
          </w:tcPr>
          <w:p w14:paraId="2E790A39" w14:textId="77777777" w:rsidR="00C24298" w:rsidRPr="00C24298" w:rsidRDefault="00C24298" w:rsidP="00EB70CE">
            <w:pPr>
              <w:rPr>
                <w:rFonts w:ascii="Arial" w:hAnsi="Arial" w:cs="Arial"/>
                <w:sz w:val="20"/>
                <w:szCs w:val="24"/>
              </w:rPr>
            </w:pPr>
            <w:r w:rsidRPr="00C24298">
              <w:rPr>
                <w:rFonts w:ascii="Arial" w:hAnsi="Arial" w:cs="Arial"/>
                <w:sz w:val="20"/>
                <w:szCs w:val="24"/>
              </w:rPr>
              <w:t>Initial email and letter o</w:t>
            </w:r>
            <w:r w:rsidRPr="00C24298">
              <w:rPr>
                <w:rFonts w:ascii="Arial" w:hAnsi="Arial" w:cs="Arial"/>
                <w:color w:val="000000"/>
                <w:sz w:val="20"/>
                <w:szCs w:val="24"/>
              </w:rPr>
              <w:t xml:space="preserve">ffering $10 prepaid incentive via PayPal or check </w:t>
            </w:r>
          </w:p>
        </w:tc>
        <w:tc>
          <w:tcPr>
            <w:tcW w:w="1036" w:type="pct"/>
            <w:tcBorders>
              <w:top w:val="single" w:sz="4" w:space="0" w:color="auto"/>
              <w:bottom w:val="single" w:sz="4" w:space="0" w:color="auto"/>
            </w:tcBorders>
            <w:vAlign w:val="center"/>
          </w:tcPr>
          <w:p w14:paraId="7489F203" w14:textId="77777777" w:rsidR="00C24298" w:rsidRPr="00C24298" w:rsidRDefault="00C24298" w:rsidP="00EB70CE">
            <w:pPr>
              <w:jc w:val="center"/>
              <w:rPr>
                <w:rFonts w:ascii="Arial" w:hAnsi="Arial" w:cs="Arial"/>
                <w:sz w:val="20"/>
                <w:szCs w:val="24"/>
              </w:rPr>
            </w:pPr>
            <w:r w:rsidRPr="00C24298">
              <w:rPr>
                <w:rFonts w:ascii="Arial" w:hAnsi="Arial" w:cs="Arial"/>
                <w:sz w:val="20"/>
                <w:szCs w:val="24"/>
              </w:rPr>
              <w:t>None</w:t>
            </w:r>
          </w:p>
        </w:tc>
        <w:tc>
          <w:tcPr>
            <w:tcW w:w="1036" w:type="pct"/>
            <w:tcBorders>
              <w:top w:val="single" w:sz="4" w:space="0" w:color="auto"/>
              <w:bottom w:val="single" w:sz="4" w:space="0" w:color="auto"/>
            </w:tcBorders>
            <w:vAlign w:val="center"/>
          </w:tcPr>
          <w:p w14:paraId="6B165DF7" w14:textId="77777777" w:rsidR="00C24298" w:rsidRPr="00C24298" w:rsidRDefault="00C24298" w:rsidP="00EB70CE">
            <w:pPr>
              <w:jc w:val="center"/>
              <w:rPr>
                <w:rFonts w:ascii="Arial" w:hAnsi="Arial" w:cs="Arial"/>
                <w:sz w:val="20"/>
                <w:szCs w:val="24"/>
              </w:rPr>
            </w:pPr>
            <w:r w:rsidRPr="00C24298">
              <w:rPr>
                <w:rFonts w:ascii="Arial" w:hAnsi="Arial" w:cs="Arial"/>
                <w:sz w:val="20"/>
                <w:szCs w:val="24"/>
              </w:rPr>
              <w:t>None</w:t>
            </w:r>
          </w:p>
        </w:tc>
        <w:tc>
          <w:tcPr>
            <w:tcW w:w="1036" w:type="pct"/>
            <w:tcBorders>
              <w:top w:val="single" w:sz="4" w:space="0" w:color="auto"/>
              <w:bottom w:val="single" w:sz="4" w:space="0" w:color="auto"/>
            </w:tcBorders>
            <w:vAlign w:val="center"/>
          </w:tcPr>
          <w:p w14:paraId="541FB6C1" w14:textId="77777777" w:rsidR="00C24298" w:rsidRPr="00C24298" w:rsidRDefault="00C24298" w:rsidP="00EB70CE">
            <w:pPr>
              <w:jc w:val="center"/>
              <w:rPr>
                <w:rFonts w:ascii="Arial" w:hAnsi="Arial" w:cs="Arial"/>
                <w:sz w:val="20"/>
                <w:szCs w:val="24"/>
              </w:rPr>
            </w:pPr>
            <w:r w:rsidRPr="00C24298">
              <w:rPr>
                <w:rFonts w:ascii="Arial" w:hAnsi="Arial" w:cs="Arial"/>
                <w:sz w:val="20"/>
                <w:szCs w:val="24"/>
              </w:rPr>
              <w:t>None</w:t>
            </w:r>
          </w:p>
        </w:tc>
      </w:tr>
      <w:tr w:rsidR="00C24298" w:rsidRPr="00C24298" w14:paraId="038ADD22" w14:textId="77777777" w:rsidTr="00EB70CE">
        <w:trPr>
          <w:trHeight w:val="890"/>
        </w:trPr>
        <w:tc>
          <w:tcPr>
            <w:tcW w:w="855" w:type="pct"/>
            <w:vAlign w:val="center"/>
          </w:tcPr>
          <w:p w14:paraId="6D0257C2" w14:textId="221FA374" w:rsidR="00C24298" w:rsidRPr="00C24298" w:rsidRDefault="0030670D" w:rsidP="00EB70CE">
            <w:pPr>
              <w:rPr>
                <w:rFonts w:ascii="Arial" w:hAnsi="Arial" w:cs="Arial"/>
                <w:b/>
                <w:sz w:val="20"/>
                <w:szCs w:val="24"/>
              </w:rPr>
            </w:pPr>
            <w:r>
              <w:rPr>
                <w:rFonts w:ascii="Arial" w:hAnsi="Arial" w:cs="Arial"/>
                <w:b/>
                <w:sz w:val="20"/>
                <w:szCs w:val="24"/>
              </w:rPr>
              <w:t>Incentive a</w:t>
            </w:r>
            <w:r w:rsidR="00C24298" w:rsidRPr="00C24298">
              <w:rPr>
                <w:rFonts w:ascii="Arial" w:hAnsi="Arial" w:cs="Arial"/>
                <w:b/>
                <w:sz w:val="20"/>
                <w:szCs w:val="24"/>
              </w:rPr>
              <w:t>mount upon completion of interview</w:t>
            </w:r>
          </w:p>
        </w:tc>
        <w:tc>
          <w:tcPr>
            <w:tcW w:w="1036" w:type="pct"/>
            <w:vAlign w:val="center"/>
          </w:tcPr>
          <w:p w14:paraId="0DEDA225" w14:textId="03819A4F" w:rsidR="00C24298" w:rsidRPr="00C24298" w:rsidRDefault="00C24298" w:rsidP="00EB70CE">
            <w:pPr>
              <w:jc w:val="center"/>
              <w:rPr>
                <w:rFonts w:ascii="Arial" w:hAnsi="Arial" w:cs="Arial"/>
                <w:sz w:val="20"/>
                <w:szCs w:val="24"/>
              </w:rPr>
            </w:pPr>
            <w:r w:rsidRPr="00C24298">
              <w:rPr>
                <w:rFonts w:ascii="Arial" w:hAnsi="Arial" w:cs="Arial"/>
                <w:sz w:val="20"/>
                <w:szCs w:val="24"/>
              </w:rPr>
              <w:t>$20</w:t>
            </w:r>
          </w:p>
        </w:tc>
        <w:tc>
          <w:tcPr>
            <w:tcW w:w="1036" w:type="pct"/>
            <w:vAlign w:val="center"/>
          </w:tcPr>
          <w:p w14:paraId="707211DF" w14:textId="1E097E93" w:rsidR="00C24298" w:rsidRPr="00C24298" w:rsidRDefault="00C24298" w:rsidP="00EB70CE">
            <w:pPr>
              <w:jc w:val="center"/>
              <w:rPr>
                <w:rFonts w:ascii="Arial" w:hAnsi="Arial" w:cs="Arial"/>
                <w:sz w:val="20"/>
                <w:szCs w:val="24"/>
              </w:rPr>
            </w:pPr>
            <w:r w:rsidRPr="00C24298">
              <w:rPr>
                <w:rFonts w:ascii="Arial" w:hAnsi="Arial" w:cs="Arial"/>
                <w:sz w:val="20"/>
                <w:szCs w:val="24"/>
              </w:rPr>
              <w:t>$30</w:t>
            </w:r>
          </w:p>
        </w:tc>
        <w:tc>
          <w:tcPr>
            <w:tcW w:w="1036" w:type="pct"/>
            <w:vAlign w:val="center"/>
          </w:tcPr>
          <w:p w14:paraId="63248D33" w14:textId="6D4997E1" w:rsidR="00C24298" w:rsidRPr="00C24298" w:rsidRDefault="00C24298" w:rsidP="00EB70CE">
            <w:pPr>
              <w:jc w:val="center"/>
              <w:rPr>
                <w:rFonts w:ascii="Arial" w:hAnsi="Arial" w:cs="Arial"/>
                <w:sz w:val="20"/>
                <w:szCs w:val="24"/>
              </w:rPr>
            </w:pPr>
            <w:r w:rsidRPr="00C24298">
              <w:rPr>
                <w:rFonts w:ascii="Arial" w:hAnsi="Arial" w:cs="Arial"/>
                <w:sz w:val="20"/>
                <w:szCs w:val="24"/>
              </w:rPr>
              <w:t>$30</w:t>
            </w:r>
          </w:p>
        </w:tc>
        <w:tc>
          <w:tcPr>
            <w:tcW w:w="1036" w:type="pct"/>
            <w:vAlign w:val="center"/>
          </w:tcPr>
          <w:p w14:paraId="0C49BAAB" w14:textId="3B5481B5" w:rsidR="00C24298" w:rsidRPr="00C24298" w:rsidRDefault="00C24298" w:rsidP="00EB70CE">
            <w:pPr>
              <w:jc w:val="center"/>
              <w:rPr>
                <w:rFonts w:ascii="Arial" w:hAnsi="Arial" w:cs="Arial"/>
                <w:sz w:val="20"/>
                <w:szCs w:val="24"/>
              </w:rPr>
            </w:pPr>
            <w:r w:rsidRPr="00C24298">
              <w:rPr>
                <w:rFonts w:ascii="Arial" w:hAnsi="Arial" w:cs="Arial"/>
                <w:sz w:val="20"/>
                <w:szCs w:val="24"/>
              </w:rPr>
              <w:t>$20</w:t>
            </w:r>
          </w:p>
        </w:tc>
      </w:tr>
      <w:tr w:rsidR="00A91BB2" w:rsidRPr="00C24298" w14:paraId="452F0BA9" w14:textId="77777777" w:rsidTr="00EB70CE">
        <w:trPr>
          <w:trHeight w:val="890"/>
        </w:trPr>
        <w:tc>
          <w:tcPr>
            <w:tcW w:w="855" w:type="pct"/>
            <w:tcBorders>
              <w:bottom w:val="single" w:sz="12" w:space="0" w:color="auto"/>
            </w:tcBorders>
            <w:vAlign w:val="center"/>
          </w:tcPr>
          <w:p w14:paraId="26EAE0CA" w14:textId="2064D50D" w:rsidR="00A91BB2" w:rsidRPr="00C24298" w:rsidRDefault="0030670D" w:rsidP="00EB70CE">
            <w:pPr>
              <w:rPr>
                <w:rFonts w:ascii="Arial" w:hAnsi="Arial" w:cs="Arial"/>
                <w:b/>
                <w:sz w:val="20"/>
                <w:szCs w:val="24"/>
              </w:rPr>
            </w:pPr>
            <w:r>
              <w:rPr>
                <w:rFonts w:ascii="Arial" w:hAnsi="Arial" w:cs="Arial"/>
                <w:b/>
                <w:sz w:val="20"/>
                <w:szCs w:val="24"/>
              </w:rPr>
              <w:t>Total i</w:t>
            </w:r>
            <w:r w:rsidR="00A91BB2">
              <w:rPr>
                <w:rFonts w:ascii="Arial" w:hAnsi="Arial" w:cs="Arial"/>
                <w:b/>
                <w:sz w:val="20"/>
                <w:szCs w:val="24"/>
              </w:rPr>
              <w:t>ncentive</w:t>
            </w:r>
          </w:p>
        </w:tc>
        <w:tc>
          <w:tcPr>
            <w:tcW w:w="1036" w:type="pct"/>
            <w:tcBorders>
              <w:bottom w:val="single" w:sz="12" w:space="0" w:color="auto"/>
            </w:tcBorders>
            <w:vAlign w:val="center"/>
          </w:tcPr>
          <w:p w14:paraId="1BBE7C4D" w14:textId="621E8915" w:rsidR="00A91BB2" w:rsidRPr="00C24298" w:rsidRDefault="00A91BB2" w:rsidP="00EB70CE">
            <w:pPr>
              <w:jc w:val="center"/>
              <w:rPr>
                <w:rFonts w:ascii="Arial" w:hAnsi="Arial" w:cs="Arial"/>
                <w:sz w:val="20"/>
                <w:szCs w:val="24"/>
              </w:rPr>
            </w:pPr>
            <w:r>
              <w:rPr>
                <w:rFonts w:ascii="Arial" w:hAnsi="Arial" w:cs="Arial"/>
                <w:sz w:val="20"/>
                <w:szCs w:val="24"/>
              </w:rPr>
              <w:t>$30</w:t>
            </w:r>
          </w:p>
        </w:tc>
        <w:tc>
          <w:tcPr>
            <w:tcW w:w="1036" w:type="pct"/>
            <w:tcBorders>
              <w:bottom w:val="single" w:sz="12" w:space="0" w:color="auto"/>
            </w:tcBorders>
            <w:vAlign w:val="center"/>
          </w:tcPr>
          <w:p w14:paraId="75B3646B" w14:textId="487DDB05" w:rsidR="00A91BB2" w:rsidRPr="00C24298" w:rsidRDefault="00A91BB2" w:rsidP="00EB70CE">
            <w:pPr>
              <w:jc w:val="center"/>
              <w:rPr>
                <w:rFonts w:ascii="Arial" w:hAnsi="Arial" w:cs="Arial"/>
                <w:sz w:val="20"/>
                <w:szCs w:val="24"/>
              </w:rPr>
            </w:pPr>
            <w:r>
              <w:rPr>
                <w:rFonts w:ascii="Arial" w:hAnsi="Arial" w:cs="Arial"/>
                <w:sz w:val="20"/>
                <w:szCs w:val="24"/>
              </w:rPr>
              <w:t>$30</w:t>
            </w:r>
          </w:p>
        </w:tc>
        <w:tc>
          <w:tcPr>
            <w:tcW w:w="1036" w:type="pct"/>
            <w:tcBorders>
              <w:bottom w:val="single" w:sz="12" w:space="0" w:color="auto"/>
            </w:tcBorders>
            <w:vAlign w:val="center"/>
          </w:tcPr>
          <w:p w14:paraId="7E2063E3" w14:textId="1F483A57" w:rsidR="00A91BB2" w:rsidRPr="00C24298" w:rsidRDefault="00A91BB2" w:rsidP="00EB70CE">
            <w:pPr>
              <w:jc w:val="center"/>
              <w:rPr>
                <w:rFonts w:ascii="Arial" w:hAnsi="Arial" w:cs="Arial"/>
                <w:sz w:val="20"/>
                <w:szCs w:val="24"/>
              </w:rPr>
            </w:pPr>
            <w:r>
              <w:rPr>
                <w:rFonts w:ascii="Arial" w:hAnsi="Arial" w:cs="Arial"/>
                <w:sz w:val="20"/>
                <w:szCs w:val="24"/>
              </w:rPr>
              <w:t>$30</w:t>
            </w:r>
          </w:p>
        </w:tc>
        <w:tc>
          <w:tcPr>
            <w:tcW w:w="1036" w:type="pct"/>
            <w:tcBorders>
              <w:bottom w:val="single" w:sz="12" w:space="0" w:color="auto"/>
            </w:tcBorders>
            <w:vAlign w:val="center"/>
          </w:tcPr>
          <w:p w14:paraId="3BA507F5" w14:textId="30F2E82F" w:rsidR="00A91BB2" w:rsidRPr="00C24298" w:rsidRDefault="00A91BB2" w:rsidP="00EB70CE">
            <w:pPr>
              <w:jc w:val="center"/>
              <w:rPr>
                <w:rFonts w:ascii="Arial" w:hAnsi="Arial" w:cs="Arial"/>
                <w:sz w:val="20"/>
                <w:szCs w:val="24"/>
              </w:rPr>
            </w:pPr>
            <w:r>
              <w:rPr>
                <w:rFonts w:ascii="Arial" w:hAnsi="Arial" w:cs="Arial"/>
                <w:sz w:val="20"/>
                <w:szCs w:val="24"/>
              </w:rPr>
              <w:t>$20</w:t>
            </w:r>
          </w:p>
        </w:tc>
      </w:tr>
    </w:tbl>
    <w:p w14:paraId="762F3537" w14:textId="18187B36" w:rsidR="00265E39" w:rsidRDefault="00265E39" w:rsidP="00283B46">
      <w:pPr>
        <w:pStyle w:val="Heading2"/>
      </w:pPr>
      <w:bookmarkStart w:id="53" w:name="_Toc383113373"/>
      <w:bookmarkStart w:id="54" w:name="_Toc440267874"/>
      <w:r>
        <w:t>Assurance of Confidentiality</w:t>
      </w:r>
      <w:bookmarkEnd w:id="53"/>
      <w:bookmarkEnd w:id="54"/>
    </w:p>
    <w:p w14:paraId="44403797" w14:textId="77777777" w:rsidR="00D14345" w:rsidRDefault="00201C31" w:rsidP="00201C31">
      <w:pPr>
        <w:pStyle w:val="BodyText"/>
        <w:ind w:firstLine="0"/>
      </w:pPr>
      <w:r w:rsidRPr="0089535D">
        <w:t>NCES assures participating individuals that all identifiable information collected under B&amp;B may be used only for statistical purposes and may not be disclosed, or used, in identifiable form for any other purpose except as required by law [Education Sciences Reform Act of 2002 (ESRA), 20 U.S.C. § 9573].</w:t>
      </w:r>
    </w:p>
    <w:p w14:paraId="198B451E" w14:textId="0259A5F4" w:rsidR="00201C31" w:rsidRPr="0089535D" w:rsidRDefault="00201C31" w:rsidP="00201C31">
      <w:pPr>
        <w:pStyle w:val="BodyText"/>
        <w:ind w:firstLine="0"/>
      </w:pPr>
      <w:r w:rsidRPr="0089535D">
        <w:t>B&amp;B:16/17 data security and confidentiality protection procedures are in place to ensure that RTI and its subcontractors comply with all privacy requirements, including:</w:t>
      </w:r>
    </w:p>
    <w:p w14:paraId="0EE7458D"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The Statement of Work of this contract;</w:t>
      </w:r>
    </w:p>
    <w:p w14:paraId="5963E7CC"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Privacy Act of 1974 5 U.S.C. § 552(a);</w:t>
      </w:r>
    </w:p>
    <w:p w14:paraId="68C05213"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The U.S. Department of Education Incident Handling Procedures (February 2009);</w:t>
      </w:r>
    </w:p>
    <w:p w14:paraId="3519A25B"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The U.S. Department of Education General Handbook for Information Technology Security General Support Systems and Major Applications Inventory Procedures (March 2005);</w:t>
      </w:r>
    </w:p>
    <w:p w14:paraId="337655C6"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The U.S. Department of Education, ACS Directive OM: 5-101, Contractor Employee Personnel Security Screenings;</w:t>
      </w:r>
    </w:p>
    <w:p w14:paraId="5DC5692A"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Family Educational and Privacy Act (FERPA) of 1974, 20 U.S.C. § 1232(g);</w:t>
      </w:r>
    </w:p>
    <w:p w14:paraId="79606119"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t>ESRA, 20 U.S.C. § 9573; and</w:t>
      </w:r>
    </w:p>
    <w:p w14:paraId="0179EB0E" w14:textId="77777777" w:rsidR="00201C31" w:rsidRPr="003C1A6F" w:rsidRDefault="00201C31" w:rsidP="00FB37AD">
      <w:pPr>
        <w:pStyle w:val="bulletround"/>
        <w:keepLines/>
        <w:numPr>
          <w:ilvl w:val="0"/>
          <w:numId w:val="6"/>
        </w:numPr>
        <w:tabs>
          <w:tab w:val="clear" w:pos="1440"/>
          <w:tab w:val="num" w:pos="1080"/>
        </w:tabs>
        <w:spacing w:before="0" w:line="320" w:lineRule="atLeast"/>
        <w:ind w:left="1080"/>
      </w:pPr>
      <w:r w:rsidRPr="003C1A6F">
        <w:lastRenderedPageBreak/>
        <w:t>All new legislation that impacts the data collected through this contract.</w:t>
      </w:r>
    </w:p>
    <w:p w14:paraId="3D3B2C03" w14:textId="77777777" w:rsidR="00201C31" w:rsidRPr="00B3574B" w:rsidRDefault="00201C31" w:rsidP="00201C31">
      <w:pPr>
        <w:pStyle w:val="BodyText"/>
        <w:ind w:firstLine="0"/>
      </w:pPr>
      <w:r w:rsidRPr="00B3574B">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3" w:history="1">
        <w:r w:rsidRPr="00B3574B">
          <w:rPr>
            <w:rStyle w:val="Hyperlink"/>
          </w:rPr>
          <w:t>http://nces.ed.gov/statprog/2012/</w:t>
        </w:r>
      </w:hyperlink>
      <w:r w:rsidRPr="00B3574B">
        <w:t>.</w:t>
      </w:r>
    </w:p>
    <w:p w14:paraId="22144436" w14:textId="77777777" w:rsidR="00201C31" w:rsidRPr="00B3574B" w:rsidRDefault="00201C31" w:rsidP="00201C31">
      <w:pPr>
        <w:pStyle w:val="BodyText"/>
        <w:ind w:firstLine="0"/>
      </w:pPr>
      <w:r w:rsidRPr="00B3574B">
        <w:t>The B&amp;B:16/17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B&amp;B:16/17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1EB24D3" w14:textId="537FF4AE" w:rsidR="00D14345" w:rsidRDefault="00201C31" w:rsidP="00CF0DBE">
      <w:pPr>
        <w:pStyle w:val="BodyText"/>
        <w:ind w:firstLine="0"/>
      </w:pPr>
      <w:r w:rsidRPr="00B3574B">
        <w:t xml:space="preserve">There are security measures in place to protect data during file matching procedures described in section 3. NCES has a secure data transfer system, which uses Secure Socket Layer </w:t>
      </w:r>
      <w:r w:rsidR="00F814E9">
        <w:t xml:space="preserve">(SSL) </w:t>
      </w:r>
      <w:r w:rsidRPr="00B3574B">
        <w:t xml:space="preserve">technology, allowing the transfer of encrypted data over the Internet. The NCES secure server will be used for all administrative data sources with the exception of the </w:t>
      </w:r>
      <w:r w:rsidR="004F33DD" w:rsidRPr="00B3574B">
        <w:t>NSC, which</w:t>
      </w:r>
      <w:r w:rsidRPr="00B3574B">
        <w:t xml:space="preserve"> has its own secure FTP site. All data transfers will be encrypted.</w:t>
      </w:r>
    </w:p>
    <w:p w14:paraId="7F8F42D7" w14:textId="6EA16D4D" w:rsidR="00201C31" w:rsidRDefault="00201C31" w:rsidP="00B17FAF">
      <w:pPr>
        <w:pStyle w:val="BodyText"/>
        <w:spacing w:before="0"/>
        <w:ind w:firstLine="0"/>
      </w:pPr>
      <w:r w:rsidRPr="00B3574B">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2720B946" w14:textId="2D7081B5" w:rsidR="00B17FAF" w:rsidRDefault="00B17FAF" w:rsidP="00B17FAF">
      <w:pPr>
        <w:spacing w:after="120"/>
        <w:rPr>
          <w:rFonts w:ascii="Calibri" w:hAnsi="Calibri"/>
          <w:color w:val="1F497D"/>
          <w:sz w:val="22"/>
        </w:rPr>
      </w:pPr>
      <w:r>
        <w:t xml:space="preserve">B&amp;B:16/17, and other NCES postsecondary studies,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National Student Clearinghouse (NSC). These NCES studies also obtain data from institution student records and admissions test scores from ACT and The College Board. While the B&amp;B:16/17 field test will not include any non-interview sources pulled forward from NPSAS:16, the B&amp;B:16/17 full-scale study will include data collected in the NPSAS:16 full-scale study.</w:t>
      </w:r>
    </w:p>
    <w:p w14:paraId="616F2382" w14:textId="7E2FF6FF" w:rsidR="005A20AF" w:rsidRPr="00A111F9" w:rsidRDefault="005A20AF" w:rsidP="00B17FAF">
      <w:pPr>
        <w:spacing w:after="120"/>
        <w:rPr>
          <w:szCs w:val="24"/>
        </w:rPr>
      </w:pPr>
      <w:r w:rsidRPr="00A111F9">
        <w:rPr>
          <w:szCs w:val="24"/>
        </w:rPr>
        <w:t xml:space="preserve">The Family Educational Rights and Privacy Act (FERPA) (34 CFR Part 99) allows the disclosure of personally identifiable information from students’ education records without prior consent for the purposes of </w:t>
      </w:r>
      <w:r w:rsidR="00B17FAF">
        <w:rPr>
          <w:szCs w:val="24"/>
        </w:rPr>
        <w:t>B&amp;B:16/17</w:t>
      </w:r>
      <w:r w:rsidR="00B17FAF" w:rsidRPr="00A111F9">
        <w:rPr>
          <w:szCs w:val="24"/>
        </w:rPr>
        <w:t xml:space="preserve"> </w:t>
      </w:r>
      <w:r w:rsidRPr="00A111F9">
        <w:rPr>
          <w:szCs w:val="24"/>
        </w:rPr>
        <w:t>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99.31(a)(3):</w:t>
      </w:r>
    </w:p>
    <w:p w14:paraId="7FB22803" w14:textId="77777777" w:rsidR="005A20AF" w:rsidRPr="00A111F9" w:rsidRDefault="005A20AF" w:rsidP="00B17FAF">
      <w:pPr>
        <w:spacing w:after="120"/>
        <w:rPr>
          <w:rFonts w:eastAsiaTheme="minorHAnsi"/>
          <w:szCs w:val="24"/>
        </w:rPr>
      </w:pPr>
      <w:r w:rsidRPr="00A111F9">
        <w:rPr>
          <w:rFonts w:eastAsiaTheme="minorHAnsi"/>
          <w:szCs w:val="24"/>
        </w:rPr>
        <w:t>The disclosure is, subject to the requirements of §99.35, to authorized representatives of--</w:t>
      </w:r>
    </w:p>
    <w:p w14:paraId="70B5E99B"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 The Comptroller General of the United States;</w:t>
      </w:r>
    </w:p>
    <w:p w14:paraId="0DCFDC84"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(ii) The Attorney General of the United States;</w:t>
      </w:r>
    </w:p>
    <w:p w14:paraId="7A4B7B82"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(iii) The Secretary; or</w:t>
      </w:r>
    </w:p>
    <w:p w14:paraId="3CCE15F9" w14:textId="77777777" w:rsidR="005A20AF" w:rsidRPr="00A111F9" w:rsidRDefault="005A20AF" w:rsidP="005A20AF">
      <w:pPr>
        <w:spacing w:after="240"/>
        <w:ind w:left="360"/>
        <w:contextualSpacing/>
        <w:rPr>
          <w:rFonts w:eastAsiaTheme="minorHAnsi"/>
          <w:szCs w:val="24"/>
        </w:rPr>
      </w:pPr>
      <w:r w:rsidRPr="00A111F9">
        <w:rPr>
          <w:rFonts w:eastAsiaTheme="minorHAnsi"/>
          <w:szCs w:val="24"/>
        </w:rPr>
        <w:lastRenderedPageBreak/>
        <w:t xml:space="preserve">(iv) State and local educational authorities. </w:t>
      </w:r>
    </w:p>
    <w:p w14:paraId="492DD2F0" w14:textId="77777777" w:rsidR="005A20AF" w:rsidRPr="00A111F9" w:rsidRDefault="005A20AF" w:rsidP="005A20AF">
      <w:pPr>
        <w:spacing w:after="240"/>
        <w:ind w:left="360"/>
        <w:contextualSpacing/>
        <w:rPr>
          <w:rFonts w:eastAsiaTheme="minorHAnsi"/>
          <w:szCs w:val="24"/>
        </w:rPr>
      </w:pPr>
    </w:p>
    <w:p w14:paraId="7E022716" w14:textId="62C20226" w:rsidR="005A20AF" w:rsidRPr="00A111F9" w:rsidRDefault="00B17FAF" w:rsidP="005A20AF">
      <w:pPr>
        <w:spacing w:before="120" w:after="120"/>
        <w:rPr>
          <w:szCs w:val="24"/>
        </w:rPr>
      </w:pPr>
      <w:r>
        <w:rPr>
          <w:szCs w:val="24"/>
        </w:rPr>
        <w:t xml:space="preserve">B&amp;B:16/17 </w:t>
      </w:r>
      <w:r w:rsidR="005A20AF" w:rsidRPr="00A111F9">
        <w:rPr>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33A27865" w14:textId="77777777" w:rsidR="005A20AF" w:rsidRPr="00A111F9" w:rsidRDefault="005A20AF" w:rsidP="005A20AF">
      <w:pPr>
        <w:spacing w:after="120"/>
        <w:ind w:left="360"/>
        <w:rPr>
          <w:rFonts w:eastAsiaTheme="minorHAnsi"/>
          <w:szCs w:val="24"/>
        </w:rPr>
      </w:pPr>
      <w:r w:rsidRPr="00A111F9">
        <w:rPr>
          <w:rFonts w:eastAsiaTheme="minorHAnsi"/>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AF188D7" w14:textId="77777777" w:rsidR="005A20AF" w:rsidRPr="00A111F9" w:rsidRDefault="005A20AF" w:rsidP="005A20AF">
      <w:pPr>
        <w:spacing w:after="120"/>
        <w:ind w:left="360"/>
        <w:rPr>
          <w:rFonts w:eastAsiaTheme="minorHAnsi"/>
          <w:szCs w:val="24"/>
        </w:rPr>
      </w:pPr>
      <w:r w:rsidRPr="00A111F9">
        <w:rPr>
          <w:rFonts w:eastAsiaTheme="minorHAnsi"/>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F1B8B41" w14:textId="77777777" w:rsidR="005A20AF" w:rsidRPr="00A111F9" w:rsidRDefault="005A20AF" w:rsidP="005A20AF">
      <w:pPr>
        <w:spacing w:after="120"/>
        <w:ind w:left="360"/>
        <w:rPr>
          <w:rFonts w:eastAsiaTheme="minorHAnsi"/>
          <w:szCs w:val="24"/>
        </w:rPr>
      </w:pPr>
      <w:r w:rsidRPr="00A111F9">
        <w:rPr>
          <w:rFonts w:eastAsiaTheme="minorHAnsi"/>
          <w:szCs w:val="24"/>
        </w:rPr>
        <w:t>(i) Uses personally identifiable information only to carry out an audit or evaluation of Federal- or State-supported education programs, or for the enforcement of or compliance with Federal legal requirements related to these programs;</w:t>
      </w:r>
    </w:p>
    <w:p w14:paraId="7EBA0CB5" w14:textId="77777777" w:rsidR="005A20AF" w:rsidRPr="00A111F9" w:rsidRDefault="005A20AF" w:rsidP="005A20AF">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14:paraId="428682A0" w14:textId="77777777" w:rsidR="005A20AF" w:rsidRPr="00A111F9" w:rsidRDefault="005A20AF" w:rsidP="005A20AF">
      <w:pPr>
        <w:spacing w:after="120"/>
        <w:ind w:left="360"/>
        <w:rPr>
          <w:rFonts w:eastAsiaTheme="minorHAnsi"/>
          <w:szCs w:val="24"/>
        </w:rPr>
      </w:pPr>
      <w:r w:rsidRPr="00A111F9">
        <w:rPr>
          <w:rFonts w:eastAsiaTheme="minorHAnsi"/>
          <w:szCs w:val="24"/>
        </w:rPr>
        <w:t>(iii) Destroys the personally identifiable information in accordance with the requirements of paragraphs (b) and (c) of this section.</w:t>
      </w:r>
    </w:p>
    <w:p w14:paraId="3D4E0C2B" w14:textId="77777777" w:rsidR="005A20AF" w:rsidRPr="00A111F9" w:rsidRDefault="005A20AF" w:rsidP="005A20AF">
      <w:pPr>
        <w:spacing w:after="120"/>
        <w:ind w:left="360"/>
        <w:rPr>
          <w:rFonts w:eastAsiaTheme="minorHAnsi"/>
          <w:szCs w:val="24"/>
        </w:rPr>
      </w:pPr>
      <w:r w:rsidRPr="00A111F9">
        <w:rPr>
          <w:rFonts w:eastAsiaTheme="minorHAnsi"/>
          <w:szCs w:val="24"/>
        </w:rPr>
        <w:t>(b) Information that is collected under paragraph (a) of this section must—</w:t>
      </w:r>
    </w:p>
    <w:p w14:paraId="76359181" w14:textId="77777777" w:rsidR="005A20AF" w:rsidRPr="00A111F9" w:rsidRDefault="005A20AF" w:rsidP="005A20AF">
      <w:pPr>
        <w:spacing w:after="120"/>
        <w:ind w:left="360"/>
        <w:rPr>
          <w:rFonts w:eastAsiaTheme="minorHAnsi"/>
          <w:szCs w:val="24"/>
        </w:rPr>
      </w:pPr>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001BF170" w14:textId="77777777" w:rsidR="005A20AF" w:rsidRPr="00A111F9" w:rsidRDefault="005A20AF" w:rsidP="005A20AF">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14:paraId="4B09F4A2" w14:textId="77777777" w:rsidR="005A20AF" w:rsidRPr="00A111F9" w:rsidRDefault="005A20AF" w:rsidP="005A20AF">
      <w:pPr>
        <w:spacing w:after="120"/>
        <w:ind w:left="360"/>
        <w:rPr>
          <w:rFonts w:eastAsiaTheme="minorHAnsi"/>
          <w:szCs w:val="24"/>
        </w:rPr>
      </w:pPr>
      <w:r w:rsidRPr="00A111F9">
        <w:rPr>
          <w:rFonts w:eastAsiaTheme="minorHAnsi"/>
          <w:szCs w:val="24"/>
        </w:rPr>
        <w:t>(c) Paragraph (b) of this section does not apply if:</w:t>
      </w:r>
    </w:p>
    <w:p w14:paraId="57FAC55E" w14:textId="77777777" w:rsidR="005A20AF" w:rsidRPr="00A111F9" w:rsidRDefault="005A20AF" w:rsidP="005A20AF">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14:paraId="1BE55560" w14:textId="1E7DE9E0" w:rsidR="005A20AF" w:rsidRPr="00B3574B" w:rsidRDefault="005A20AF" w:rsidP="005A20AF">
      <w:pPr>
        <w:pStyle w:val="BodyText"/>
        <w:ind w:firstLine="360"/>
      </w:pPr>
      <w:r w:rsidRPr="00A111F9">
        <w:rPr>
          <w:rFonts w:eastAsiaTheme="minorHAnsi"/>
          <w:szCs w:val="24"/>
        </w:rPr>
        <w:t>(2) The collection of personally identifiable information is specifically authorized by Federal law.</w:t>
      </w:r>
    </w:p>
    <w:p w14:paraId="2956296C" w14:textId="77777777" w:rsidR="00201C31" w:rsidRPr="00EE449E" w:rsidRDefault="00201C31" w:rsidP="00201C31">
      <w:pPr>
        <w:pStyle w:val="BodyText"/>
        <w:ind w:firstLine="0"/>
      </w:pPr>
      <w:r w:rsidRPr="00EE449E">
        <w:t>Additionally, the study, including the administrative data linkage, qualifies for a 45 CFR Part 46 waiver of consent based on the following factors:</w:t>
      </w:r>
    </w:p>
    <w:p w14:paraId="697FED79" w14:textId="45B47B0B" w:rsidR="00201C31" w:rsidRPr="00EE449E" w:rsidRDefault="00201C31" w:rsidP="000B677C">
      <w:pPr>
        <w:pStyle w:val="bulletround"/>
        <w:keepLines/>
        <w:numPr>
          <w:ilvl w:val="0"/>
          <w:numId w:val="6"/>
        </w:numPr>
        <w:tabs>
          <w:tab w:val="clear" w:pos="1440"/>
          <w:tab w:val="num" w:pos="1080"/>
        </w:tabs>
        <w:ind w:left="108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rsidR="00895660">
        <w:t>Social Security Numbers (</w:t>
      </w:r>
      <w:r w:rsidRPr="00EE449E">
        <w:t>SSNs</w:t>
      </w:r>
      <w:r w:rsidR="00895660">
        <w:t>)</w:t>
      </w:r>
      <w:r w:rsidRPr="00EE449E">
        <w:t>, even though these numbers are used for the linkage. Data will undergo disclosure avoidance analysis and disclosure treatment steps to further reduce the risk.</w:t>
      </w:r>
    </w:p>
    <w:p w14:paraId="6BC6219B" w14:textId="77777777" w:rsidR="00201C31" w:rsidRPr="00EE449E" w:rsidRDefault="00201C31" w:rsidP="000B677C">
      <w:pPr>
        <w:pStyle w:val="bulletround"/>
        <w:keepLines/>
        <w:numPr>
          <w:ilvl w:val="0"/>
          <w:numId w:val="6"/>
        </w:numPr>
        <w:tabs>
          <w:tab w:val="clear" w:pos="1440"/>
          <w:tab w:val="num" w:pos="1080"/>
        </w:tabs>
        <w:spacing w:before="0"/>
        <w:ind w:left="1080"/>
      </w:pPr>
      <w:r w:rsidRPr="00EE449E">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2B0431AB" w14:textId="77777777" w:rsidR="00201C31" w:rsidRPr="00EE449E" w:rsidRDefault="00201C31" w:rsidP="000B677C">
      <w:pPr>
        <w:pStyle w:val="bulletround"/>
        <w:keepLines/>
        <w:numPr>
          <w:ilvl w:val="0"/>
          <w:numId w:val="6"/>
        </w:numPr>
        <w:tabs>
          <w:tab w:val="clear" w:pos="1440"/>
          <w:tab w:val="num" w:pos="1080"/>
        </w:tabs>
        <w:spacing w:before="0" w:after="100" w:afterAutospacing="1"/>
        <w:ind w:left="1080"/>
      </w:pPr>
      <w:r w:rsidRPr="00EE449E">
        <w:t>Whenever appropriate, subjects will be provided with additional pertinent information after they have participated. For each round of the study, information about prior rounds and the nature of the study is made available to sample members.</w:t>
      </w:r>
    </w:p>
    <w:p w14:paraId="0B68D05C" w14:textId="77777777" w:rsidR="00201C31" w:rsidRDefault="00201C31" w:rsidP="000B677C">
      <w:pPr>
        <w:pStyle w:val="bulletround"/>
        <w:keepLines/>
        <w:numPr>
          <w:ilvl w:val="0"/>
          <w:numId w:val="6"/>
        </w:numPr>
        <w:tabs>
          <w:tab w:val="clear" w:pos="1440"/>
          <w:tab w:val="num" w:pos="1080"/>
        </w:tabs>
        <w:spacing w:before="0" w:after="100" w:afterAutospacing="1"/>
        <w:ind w:left="1080"/>
      </w:pPr>
      <w:r w:rsidRPr="00EE449E">
        <w:lastRenderedPageBreak/>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2297C7CD" w14:textId="46C41D54" w:rsidR="009A5AB1" w:rsidRPr="004B2992" w:rsidRDefault="00201C31" w:rsidP="000B677C">
      <w:pPr>
        <w:pStyle w:val="bulletround"/>
        <w:keepLines/>
        <w:numPr>
          <w:ilvl w:val="0"/>
          <w:numId w:val="6"/>
        </w:numPr>
        <w:tabs>
          <w:tab w:val="clear" w:pos="1440"/>
          <w:tab w:val="num" w:pos="1080"/>
        </w:tabs>
        <w:spacing w:before="0" w:after="100" w:afterAutospacing="1"/>
        <w:ind w:left="1080"/>
      </w:pPr>
      <w:r w:rsidRPr="00EE449E">
        <w:t>The potential knowledge from the study is important enough to justify the waiver. These linked data for B&amp;B:16/17 will provide invaluable data to researchers and education policy makers about the federal financial aid that students have received related to their persistence in and graduation from postsecon</w:t>
      </w:r>
      <w:r w:rsidR="00DE5979">
        <w:t xml:space="preserve">dary education. Rather than relying on </w:t>
      </w:r>
      <w:r w:rsidRPr="00EE449E">
        <w:t>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55" w:name="_Toc383113374"/>
      <w:bookmarkStart w:id="56" w:name="_Toc440267875"/>
      <w:r>
        <w:t>Sensitive Questions</w:t>
      </w:r>
      <w:bookmarkEnd w:id="55"/>
      <w:bookmarkEnd w:id="56"/>
    </w:p>
    <w:p w14:paraId="34D5CEB1" w14:textId="77777777" w:rsidR="00C904B5" w:rsidRPr="00F74252" w:rsidRDefault="00C904B5" w:rsidP="00C904B5">
      <w:pPr>
        <w:pStyle w:val="BodyText1"/>
        <w:spacing w:line="23" w:lineRule="atLeast"/>
        <w:ind w:firstLine="0"/>
        <w:rPr>
          <w:rFonts w:ascii="Garamond" w:hAnsi="Garamond"/>
        </w:rPr>
      </w:pPr>
      <w:bookmarkStart w:id="57" w:name="_Toc383113375"/>
      <w:r w:rsidRPr="00F74252">
        <w:rPr>
          <w:rFonts w:ascii="Garamond" w:hAnsi="Garamond"/>
        </w:rPr>
        <w:t>The B&amp;B:16/17 interview collects information about earnings, assets, and marital and family status. Regulations governing the administration of these questions require (a) clear documentation of the need for such information as it relates to the primary purpose of the study, (b) provisions to clearly inform sample members of the voluntary nature of participation in the study, as well as assurances that their responses will be treated confidentially.</w:t>
      </w:r>
    </w:p>
    <w:p w14:paraId="0967195F" w14:textId="4184446F" w:rsidR="00C904B5" w:rsidRPr="00F74252" w:rsidRDefault="00C904B5" w:rsidP="00C904B5">
      <w:pPr>
        <w:pStyle w:val="BodyText1"/>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Several procedures have been implemented (see section A.10) to provide assurances to sample members about the voluntary nature of participation in the study as well as the confidentiality provisions for survey responses.</w:t>
      </w:r>
    </w:p>
    <w:p w14:paraId="53450669" w14:textId="77777777" w:rsidR="00C904B5" w:rsidRPr="00F74252" w:rsidRDefault="00C904B5" w:rsidP="00C904B5">
      <w:pPr>
        <w:pStyle w:val="BodyText"/>
        <w:ind w:firstLine="0"/>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14:paraId="297D4631" w14:textId="4E687299" w:rsidR="005F3E77" w:rsidRDefault="00265E39" w:rsidP="0003260E">
      <w:pPr>
        <w:pStyle w:val="Heading2"/>
        <w:spacing w:before="0"/>
        <w:ind w:left="1094" w:hanging="547"/>
      </w:pPr>
      <w:bookmarkStart w:id="58" w:name="_Toc440267876"/>
      <w:r>
        <w:t>Estimates of Response Burden</w:t>
      </w:r>
      <w:bookmarkEnd w:id="57"/>
      <w:bookmarkEnd w:id="58"/>
    </w:p>
    <w:p w14:paraId="3A684479" w14:textId="78B8DB45" w:rsidR="00080B23" w:rsidRDefault="009C34BE" w:rsidP="00C2013A">
      <w:pPr>
        <w:pStyle w:val="BodyText"/>
        <w:ind w:firstLine="0"/>
      </w:pPr>
      <w:bookmarkStart w:id="59" w:name="_Toc255888148"/>
      <w:bookmarkStart w:id="60" w:name="_Toc381969978"/>
      <w:r w:rsidRPr="00F74252">
        <w:t>Table 3 provides the projected estimates for response burden and costs for B&amp;B:16/17 for the field test and full-scale study, based on experiences from prior rounds of NPSAS and B&amp;B. For the field test, we expect the student</w:t>
      </w:r>
      <w:r w:rsidR="0091649A">
        <w:t xml:space="preserve"> address update on average to require approximately 3 minutes to complete, student</w:t>
      </w:r>
      <w:r w:rsidRPr="00F74252">
        <w:t xml:space="preserve"> interview</w:t>
      </w:r>
      <w:r w:rsidR="0091649A">
        <w:t xml:space="preserve"> </w:t>
      </w:r>
      <w:r w:rsidR="0091649A" w:rsidRPr="00F74252">
        <w:t>approximately</w:t>
      </w:r>
      <w:r w:rsidRPr="00F74252">
        <w:t xml:space="preserve"> 35 minutes</w:t>
      </w:r>
      <w:r w:rsidR="00DA6F8F">
        <w:t>, and the re</w:t>
      </w:r>
      <w:r w:rsidR="00BB4974">
        <w:t xml:space="preserve">interview </w:t>
      </w:r>
      <w:r w:rsidRPr="00F74252">
        <w:t>10 minutes</w:t>
      </w:r>
      <w:r w:rsidR="004060B6">
        <w:t xml:space="preserve">. </w:t>
      </w:r>
      <w:r w:rsidR="0091649A">
        <w:t xml:space="preserve">This request also includes address update for full-scale study, which may begin before the full-scale data collection clearance will be concluded. </w:t>
      </w:r>
      <w:r w:rsidRPr="00F74252">
        <w:t>For the field test, estimating an average hourly rate of $20</w:t>
      </w:r>
      <w:r w:rsidR="009920C6">
        <w:rPr>
          <w:rStyle w:val="FootnoteReference"/>
        </w:rPr>
        <w:footnoteReference w:id="2"/>
      </w:r>
      <w:r w:rsidRPr="00F74252">
        <w:t xml:space="preserve"> for participating students, the 8</w:t>
      </w:r>
      <w:r w:rsidR="00356A6A">
        <w:t>49</w:t>
      </w:r>
      <w:r w:rsidRPr="00F74252">
        <w:t xml:space="preserve"> total </w:t>
      </w:r>
      <w:r w:rsidR="00BB4974">
        <w:t xml:space="preserve">student </w:t>
      </w:r>
      <w:r w:rsidRPr="00F74252">
        <w:t xml:space="preserve">burden hours </w:t>
      </w:r>
      <w:r w:rsidR="00BB4974">
        <w:t xml:space="preserve">translate to a </w:t>
      </w:r>
      <w:r w:rsidRPr="00F74252">
        <w:t xml:space="preserve">cost </w:t>
      </w:r>
      <w:r w:rsidR="00BB4974">
        <w:t>of</w:t>
      </w:r>
      <w:r w:rsidRPr="00F74252">
        <w:t xml:space="preserve"> </w:t>
      </w:r>
      <w:r w:rsidR="009920C6">
        <w:t>approximately</w:t>
      </w:r>
      <w:r w:rsidRPr="00F74252">
        <w:t xml:space="preserve"> $16,</w:t>
      </w:r>
      <w:r w:rsidR="00311DC1">
        <w:t>98</w:t>
      </w:r>
      <w:r w:rsidR="0091649A">
        <w:t>0, and for the full-scale address update the 128 hours to $2,560.</w:t>
      </w:r>
    </w:p>
    <w:p w14:paraId="65B1F4AE" w14:textId="77777777" w:rsidR="009C34BE" w:rsidRPr="007176DD" w:rsidRDefault="009C34BE" w:rsidP="009C34BE">
      <w:pPr>
        <w:pStyle w:val="TableTitle"/>
      </w:pPr>
      <w:bookmarkStart w:id="61" w:name="_Toc440267885"/>
      <w:r w:rsidRPr="007176DD">
        <w:lastRenderedPageBreak/>
        <w:t xml:space="preserve">Table </w:t>
      </w:r>
      <w:r>
        <w:t>3</w:t>
      </w:r>
      <w:r w:rsidRPr="007176DD">
        <w:t xml:space="preserve">. </w:t>
      </w:r>
      <w:r>
        <w:t>Maximum estimated burden and costs to respondents in B&amp;B:16/17</w:t>
      </w:r>
      <w:bookmarkEnd w:id="61"/>
      <w:r w:rsidRPr="007176DD">
        <w:t xml:space="preserve"> </w:t>
      </w:r>
    </w:p>
    <w:tbl>
      <w:tblPr>
        <w:tblW w:w="0" w:type="auto"/>
        <w:tblLook w:val="04A0" w:firstRow="1" w:lastRow="0" w:firstColumn="1" w:lastColumn="0" w:noHBand="0" w:noVBand="1"/>
      </w:tblPr>
      <w:tblGrid>
        <w:gridCol w:w="1994"/>
        <w:gridCol w:w="742"/>
        <w:gridCol w:w="873"/>
        <w:gridCol w:w="1268"/>
        <w:gridCol w:w="1621"/>
        <w:gridCol w:w="1234"/>
        <w:gridCol w:w="1736"/>
        <w:gridCol w:w="972"/>
      </w:tblGrid>
      <w:tr w:rsidR="00BB4974" w14:paraId="05686E1D" w14:textId="77777777" w:rsidTr="00454507">
        <w:trPr>
          <w:trHeight w:val="528"/>
        </w:trPr>
        <w:tc>
          <w:tcPr>
            <w:tcW w:w="0" w:type="auto"/>
            <w:tcBorders>
              <w:top w:val="single" w:sz="12" w:space="0" w:color="auto"/>
              <w:left w:val="nil"/>
              <w:bottom w:val="single" w:sz="12" w:space="0" w:color="auto"/>
              <w:right w:val="nil"/>
            </w:tcBorders>
            <w:shd w:val="clear" w:color="000000" w:fill="D9D9D9"/>
            <w:noWrap/>
            <w:vAlign w:val="center"/>
            <w:hideMark/>
          </w:tcPr>
          <w:p w14:paraId="7704982A" w14:textId="77777777" w:rsidR="00BB4974" w:rsidRPr="006938EB" w:rsidRDefault="00BB4974" w:rsidP="00BB4974">
            <w:pPr>
              <w:rPr>
                <w:rFonts w:ascii="Arial Narrow" w:hAnsi="Arial Narrow" w:cs="Arial"/>
                <w:b/>
                <w:bCs/>
                <w:color w:val="000000"/>
                <w:sz w:val="20"/>
              </w:rPr>
            </w:pPr>
            <w:r w:rsidRPr="006938EB">
              <w:rPr>
                <w:rFonts w:ascii="Arial Narrow" w:hAnsi="Arial Narrow" w:cs="Arial"/>
                <w:b/>
                <w:bCs/>
                <w:color w:val="000000"/>
                <w:sz w:val="20"/>
              </w:rPr>
              <w:t>Data collection activity</w:t>
            </w:r>
          </w:p>
        </w:tc>
        <w:tc>
          <w:tcPr>
            <w:tcW w:w="0" w:type="auto"/>
            <w:tcBorders>
              <w:top w:val="single" w:sz="12" w:space="0" w:color="auto"/>
              <w:left w:val="nil"/>
              <w:bottom w:val="single" w:sz="12" w:space="0" w:color="auto"/>
              <w:right w:val="nil"/>
            </w:tcBorders>
            <w:shd w:val="clear" w:color="000000" w:fill="D9D9D9"/>
            <w:vAlign w:val="center"/>
            <w:hideMark/>
          </w:tcPr>
          <w:p w14:paraId="064E851D" w14:textId="6A04E6EC" w:rsidR="00BB4974" w:rsidRPr="006938EB" w:rsidRDefault="00BB4974" w:rsidP="00BB4974">
            <w:pPr>
              <w:rPr>
                <w:rFonts w:ascii="Arial Narrow" w:hAnsi="Arial Narrow" w:cs="Arial"/>
                <w:b/>
                <w:bCs/>
                <w:color w:val="000000"/>
                <w:sz w:val="18"/>
                <w:szCs w:val="18"/>
              </w:rPr>
            </w:pPr>
            <w:r>
              <w:rPr>
                <w:rFonts w:ascii="Arial Narrow" w:hAnsi="Arial Narrow" w:cs="Arial"/>
                <w:b/>
                <w:bCs/>
                <w:color w:val="000000"/>
                <w:sz w:val="18"/>
                <w:szCs w:val="18"/>
              </w:rPr>
              <w:t>S</w:t>
            </w:r>
            <w:r w:rsidRPr="006938EB">
              <w:rPr>
                <w:rFonts w:ascii="Arial Narrow" w:hAnsi="Arial Narrow" w:cs="Arial"/>
                <w:b/>
                <w:bCs/>
                <w:color w:val="000000"/>
                <w:sz w:val="18"/>
                <w:szCs w:val="18"/>
              </w:rPr>
              <w:t>ample</w:t>
            </w:r>
          </w:p>
        </w:tc>
        <w:tc>
          <w:tcPr>
            <w:tcW w:w="0" w:type="auto"/>
            <w:tcBorders>
              <w:top w:val="single" w:sz="12" w:space="0" w:color="auto"/>
              <w:left w:val="nil"/>
              <w:bottom w:val="single" w:sz="12" w:space="0" w:color="auto"/>
              <w:right w:val="nil"/>
            </w:tcBorders>
            <w:shd w:val="clear" w:color="000000" w:fill="D9D9D9"/>
            <w:vAlign w:val="center"/>
            <w:hideMark/>
          </w:tcPr>
          <w:p w14:paraId="0D5554C6" w14:textId="77777777" w:rsidR="00BB4974"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Expected</w:t>
            </w:r>
          </w:p>
          <w:p w14:paraId="1DA1DBFD" w14:textId="77777777" w:rsidR="00BB4974" w:rsidRPr="006938EB"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eligible</w:t>
            </w:r>
          </w:p>
        </w:tc>
        <w:tc>
          <w:tcPr>
            <w:tcW w:w="1268" w:type="dxa"/>
            <w:tcBorders>
              <w:top w:val="single" w:sz="12" w:space="0" w:color="auto"/>
              <w:left w:val="nil"/>
              <w:bottom w:val="single" w:sz="12" w:space="0" w:color="auto"/>
              <w:right w:val="nil"/>
            </w:tcBorders>
            <w:shd w:val="clear" w:color="000000" w:fill="D9D9D9"/>
            <w:vAlign w:val="center"/>
          </w:tcPr>
          <w:p w14:paraId="497AF893" w14:textId="77777777" w:rsidR="00BB4974"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Expected response rate</w:t>
            </w:r>
          </w:p>
          <w:p w14:paraId="5A528377" w14:textId="0D9EE923" w:rsidR="00BB4974"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(percent)</w:t>
            </w:r>
          </w:p>
        </w:tc>
        <w:tc>
          <w:tcPr>
            <w:tcW w:w="1621" w:type="dxa"/>
            <w:tcBorders>
              <w:top w:val="single" w:sz="12" w:space="0" w:color="auto"/>
              <w:left w:val="nil"/>
              <w:bottom w:val="single" w:sz="12" w:space="0" w:color="auto"/>
              <w:right w:val="nil"/>
            </w:tcBorders>
            <w:shd w:val="clear" w:color="000000" w:fill="D9D9D9"/>
            <w:vAlign w:val="center"/>
            <w:hideMark/>
          </w:tcPr>
          <w:p w14:paraId="65814B41" w14:textId="21A9E0D1" w:rsidR="00BB4974" w:rsidRPr="006938EB"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Expected n</w:t>
            </w:r>
            <w:r w:rsidRPr="006938EB">
              <w:rPr>
                <w:rFonts w:ascii="Arial Narrow" w:hAnsi="Arial Narrow" w:cs="Arial"/>
                <w:b/>
                <w:bCs/>
                <w:color w:val="000000"/>
                <w:sz w:val="18"/>
                <w:szCs w:val="18"/>
              </w:rPr>
              <w:t>umber of respondents</w:t>
            </w:r>
            <w:r w:rsidR="00454507">
              <w:rPr>
                <w:rFonts w:ascii="Arial Narrow" w:hAnsi="Arial Narrow" w:cs="Arial"/>
                <w:b/>
                <w:bCs/>
                <w:color w:val="000000"/>
                <w:sz w:val="18"/>
                <w:szCs w:val="18"/>
              </w:rPr>
              <w:t>*</w:t>
            </w:r>
          </w:p>
        </w:tc>
        <w:tc>
          <w:tcPr>
            <w:tcW w:w="1234" w:type="dxa"/>
            <w:tcBorders>
              <w:top w:val="single" w:sz="12" w:space="0" w:color="auto"/>
              <w:left w:val="nil"/>
              <w:bottom w:val="single" w:sz="12" w:space="0" w:color="auto"/>
              <w:right w:val="nil"/>
            </w:tcBorders>
            <w:shd w:val="clear" w:color="000000" w:fill="D9D9D9"/>
            <w:vAlign w:val="center"/>
          </w:tcPr>
          <w:p w14:paraId="1A06B514" w14:textId="32568253" w:rsidR="00BB4974" w:rsidRDefault="00BB4974" w:rsidP="00BB4974">
            <w:pPr>
              <w:jc w:val="right"/>
              <w:rPr>
                <w:rFonts w:ascii="Arial Narrow" w:hAnsi="Arial Narrow" w:cs="Arial"/>
                <w:b/>
                <w:bCs/>
                <w:color w:val="000000"/>
                <w:sz w:val="18"/>
                <w:szCs w:val="18"/>
              </w:rPr>
            </w:pPr>
            <w:r>
              <w:rPr>
                <w:rFonts w:ascii="Arial Narrow" w:hAnsi="Arial Narrow" w:cs="Arial"/>
                <w:b/>
                <w:bCs/>
                <w:color w:val="000000"/>
                <w:sz w:val="18"/>
                <w:szCs w:val="18"/>
              </w:rPr>
              <w:t>Expected n</w:t>
            </w:r>
            <w:r w:rsidRPr="006938EB">
              <w:rPr>
                <w:rFonts w:ascii="Arial Narrow" w:hAnsi="Arial Narrow" w:cs="Arial"/>
                <w:b/>
                <w:bCs/>
                <w:color w:val="000000"/>
                <w:sz w:val="18"/>
                <w:szCs w:val="18"/>
              </w:rPr>
              <w:t>umb</w:t>
            </w:r>
            <w:r>
              <w:rPr>
                <w:rFonts w:ascii="Arial Narrow" w:hAnsi="Arial Narrow" w:cs="Arial"/>
                <w:b/>
                <w:bCs/>
                <w:color w:val="000000"/>
                <w:sz w:val="18"/>
                <w:szCs w:val="18"/>
              </w:rPr>
              <w:t>er of responses</w:t>
            </w:r>
          </w:p>
        </w:tc>
        <w:tc>
          <w:tcPr>
            <w:tcW w:w="1736" w:type="dxa"/>
            <w:tcBorders>
              <w:top w:val="single" w:sz="12" w:space="0" w:color="auto"/>
              <w:left w:val="nil"/>
              <w:bottom w:val="single" w:sz="12" w:space="0" w:color="auto"/>
              <w:right w:val="nil"/>
            </w:tcBorders>
            <w:shd w:val="clear" w:color="000000" w:fill="D9D9D9"/>
            <w:vAlign w:val="center"/>
            <w:hideMark/>
          </w:tcPr>
          <w:p w14:paraId="44CA8513" w14:textId="77777777" w:rsidR="00BB4974" w:rsidRPr="006938EB" w:rsidRDefault="00BB4974" w:rsidP="00BB4974">
            <w:pPr>
              <w:jc w:val="right"/>
              <w:rPr>
                <w:rFonts w:ascii="Arial Narrow" w:hAnsi="Arial Narrow" w:cs="Arial"/>
                <w:b/>
                <w:bCs/>
                <w:color w:val="000000"/>
                <w:sz w:val="18"/>
                <w:szCs w:val="18"/>
              </w:rPr>
            </w:pPr>
            <w:r w:rsidRPr="006938EB">
              <w:rPr>
                <w:rFonts w:ascii="Arial Narrow" w:hAnsi="Arial Narrow" w:cs="Arial"/>
                <w:b/>
                <w:bCs/>
                <w:color w:val="000000"/>
                <w:sz w:val="18"/>
                <w:szCs w:val="18"/>
              </w:rPr>
              <w:t xml:space="preserve">Average </w:t>
            </w:r>
            <w:r>
              <w:rPr>
                <w:rFonts w:ascii="Arial Narrow" w:hAnsi="Arial Narrow" w:cs="Arial"/>
                <w:b/>
                <w:bCs/>
                <w:color w:val="000000"/>
                <w:sz w:val="18"/>
                <w:szCs w:val="18"/>
              </w:rPr>
              <w:t xml:space="preserve">time </w:t>
            </w:r>
            <w:r w:rsidRPr="006938EB">
              <w:rPr>
                <w:rFonts w:ascii="Arial Narrow" w:hAnsi="Arial Narrow" w:cs="Arial"/>
                <w:b/>
                <w:bCs/>
                <w:color w:val="000000"/>
                <w:sz w:val="18"/>
                <w:szCs w:val="18"/>
              </w:rPr>
              <w:t>burden per response</w:t>
            </w:r>
            <w:r w:rsidRPr="006938EB">
              <w:rPr>
                <w:rFonts w:ascii="Arial Narrow" w:hAnsi="Arial Narrow" w:cs="Arial"/>
                <w:b/>
                <w:bCs/>
                <w:color w:val="000000"/>
                <w:sz w:val="18"/>
                <w:szCs w:val="18"/>
                <w:vertAlign w:val="superscript"/>
              </w:rPr>
              <w:t xml:space="preserve"> </w:t>
            </w:r>
            <w:r w:rsidRPr="006938EB">
              <w:rPr>
                <w:rFonts w:ascii="Arial Narrow" w:hAnsi="Arial Narrow" w:cs="Arial"/>
                <w:b/>
                <w:bCs/>
                <w:color w:val="000000"/>
                <w:sz w:val="18"/>
                <w:szCs w:val="18"/>
              </w:rPr>
              <w:t>(minutes)</w:t>
            </w:r>
          </w:p>
        </w:tc>
        <w:tc>
          <w:tcPr>
            <w:tcW w:w="972" w:type="dxa"/>
            <w:tcBorders>
              <w:top w:val="single" w:sz="12" w:space="0" w:color="auto"/>
              <w:left w:val="nil"/>
              <w:bottom w:val="single" w:sz="12" w:space="0" w:color="auto"/>
              <w:right w:val="nil"/>
            </w:tcBorders>
            <w:shd w:val="clear" w:color="000000" w:fill="D9D9D9"/>
            <w:vAlign w:val="center"/>
            <w:hideMark/>
          </w:tcPr>
          <w:p w14:paraId="285FFC8D" w14:textId="77777777" w:rsidR="00BB4974" w:rsidRPr="006938EB" w:rsidRDefault="00BB4974" w:rsidP="00BB4974">
            <w:pPr>
              <w:ind w:left="-18" w:right="-18"/>
              <w:jc w:val="right"/>
              <w:rPr>
                <w:rFonts w:ascii="Arial Narrow" w:hAnsi="Arial Narrow" w:cs="Arial"/>
                <w:b/>
                <w:bCs/>
                <w:color w:val="000000"/>
                <w:sz w:val="18"/>
                <w:szCs w:val="18"/>
              </w:rPr>
            </w:pPr>
            <w:r w:rsidRPr="006938EB">
              <w:rPr>
                <w:rFonts w:ascii="Arial Narrow" w:hAnsi="Arial Narrow" w:cs="Arial"/>
                <w:b/>
                <w:bCs/>
                <w:color w:val="000000"/>
                <w:sz w:val="18"/>
                <w:szCs w:val="18"/>
              </w:rPr>
              <w:t xml:space="preserve">Total </w:t>
            </w:r>
            <w:r>
              <w:rPr>
                <w:rFonts w:ascii="Arial Narrow" w:hAnsi="Arial Narrow" w:cs="Arial"/>
                <w:b/>
                <w:bCs/>
                <w:color w:val="000000"/>
                <w:sz w:val="18"/>
                <w:szCs w:val="18"/>
              </w:rPr>
              <w:t xml:space="preserve">time </w:t>
            </w:r>
            <w:r w:rsidRPr="006938EB">
              <w:rPr>
                <w:rFonts w:ascii="Arial Narrow" w:hAnsi="Arial Narrow" w:cs="Arial"/>
                <w:b/>
                <w:bCs/>
                <w:color w:val="000000"/>
                <w:sz w:val="18"/>
                <w:szCs w:val="18"/>
              </w:rPr>
              <w:t>burden (hours)</w:t>
            </w:r>
          </w:p>
        </w:tc>
      </w:tr>
      <w:tr w:rsidR="00BB4974" w14:paraId="55FB568A" w14:textId="77777777" w:rsidTr="00454507">
        <w:trPr>
          <w:trHeight w:val="312"/>
        </w:trPr>
        <w:tc>
          <w:tcPr>
            <w:tcW w:w="0" w:type="auto"/>
            <w:tcBorders>
              <w:left w:val="nil"/>
              <w:right w:val="nil"/>
            </w:tcBorders>
            <w:shd w:val="clear" w:color="auto" w:fill="auto"/>
            <w:noWrap/>
            <w:vAlign w:val="center"/>
          </w:tcPr>
          <w:p w14:paraId="4EE2CF5D" w14:textId="1A46C373" w:rsidR="00BB4974" w:rsidRPr="000A08F7" w:rsidRDefault="00BB4974" w:rsidP="00BB4974">
            <w:pPr>
              <w:rPr>
                <w:rFonts w:ascii="Arial Narrow" w:hAnsi="Arial Narrow" w:cs="Arial"/>
                <w:b/>
                <w:bCs/>
                <w:color w:val="000000"/>
                <w:sz w:val="20"/>
              </w:rPr>
            </w:pPr>
            <w:r w:rsidRPr="000A08F7">
              <w:rPr>
                <w:rFonts w:ascii="Arial Narrow" w:hAnsi="Arial Narrow" w:cs="Arial"/>
                <w:b/>
                <w:bCs/>
                <w:color w:val="000000"/>
                <w:sz w:val="20"/>
              </w:rPr>
              <w:t>F</w:t>
            </w:r>
            <w:r>
              <w:rPr>
                <w:rFonts w:ascii="Arial Narrow" w:hAnsi="Arial Narrow" w:cs="Arial"/>
                <w:b/>
                <w:bCs/>
                <w:color w:val="000000"/>
                <w:sz w:val="20"/>
              </w:rPr>
              <w:t>ield test</w:t>
            </w:r>
            <w:r w:rsidRPr="000A08F7">
              <w:rPr>
                <w:rFonts w:ascii="Arial Narrow" w:hAnsi="Arial Narrow" w:cs="Arial"/>
                <w:b/>
                <w:bCs/>
                <w:color w:val="000000"/>
                <w:sz w:val="20"/>
              </w:rPr>
              <w:t xml:space="preserve"> </w:t>
            </w:r>
          </w:p>
        </w:tc>
        <w:tc>
          <w:tcPr>
            <w:tcW w:w="0" w:type="auto"/>
            <w:tcBorders>
              <w:left w:val="nil"/>
              <w:right w:val="nil"/>
            </w:tcBorders>
            <w:shd w:val="clear" w:color="auto" w:fill="auto"/>
            <w:noWrap/>
            <w:vAlign w:val="center"/>
          </w:tcPr>
          <w:p w14:paraId="6E3A0E28" w14:textId="77777777" w:rsidR="00BB4974" w:rsidRPr="006938EB" w:rsidRDefault="00BB4974" w:rsidP="00BB4974">
            <w:pPr>
              <w:rPr>
                <w:rFonts w:ascii="Arial Narrow" w:hAnsi="Arial Narrow"/>
                <w:color w:val="000000"/>
                <w:sz w:val="22"/>
                <w:szCs w:val="22"/>
              </w:rPr>
            </w:pPr>
          </w:p>
        </w:tc>
        <w:tc>
          <w:tcPr>
            <w:tcW w:w="0" w:type="auto"/>
            <w:tcBorders>
              <w:left w:val="nil"/>
              <w:right w:val="nil"/>
            </w:tcBorders>
            <w:shd w:val="clear" w:color="auto" w:fill="auto"/>
            <w:noWrap/>
            <w:vAlign w:val="center"/>
          </w:tcPr>
          <w:p w14:paraId="443DF989" w14:textId="77777777" w:rsidR="00BB4974" w:rsidRPr="006938EB" w:rsidRDefault="00BB4974" w:rsidP="00BB4974">
            <w:pPr>
              <w:ind w:firstLineChars="200" w:firstLine="400"/>
              <w:jc w:val="right"/>
              <w:rPr>
                <w:rFonts w:ascii="Arial Narrow" w:hAnsi="Arial Narrow" w:cs="Arial"/>
                <w:color w:val="000000"/>
                <w:sz w:val="20"/>
              </w:rPr>
            </w:pPr>
          </w:p>
        </w:tc>
        <w:tc>
          <w:tcPr>
            <w:tcW w:w="1268" w:type="dxa"/>
            <w:tcBorders>
              <w:left w:val="nil"/>
              <w:right w:val="nil"/>
            </w:tcBorders>
            <w:vAlign w:val="center"/>
          </w:tcPr>
          <w:p w14:paraId="15F9AEDA" w14:textId="77777777" w:rsidR="00BB4974" w:rsidRPr="006C7E7F" w:rsidRDefault="00BB4974" w:rsidP="00BB4974">
            <w:pPr>
              <w:ind w:firstLineChars="200" w:firstLine="400"/>
              <w:jc w:val="right"/>
              <w:rPr>
                <w:rFonts w:ascii="Arial Narrow" w:hAnsi="Arial Narrow" w:cs="Arial"/>
                <w:color w:val="000000"/>
                <w:sz w:val="20"/>
              </w:rPr>
            </w:pPr>
          </w:p>
        </w:tc>
        <w:tc>
          <w:tcPr>
            <w:tcW w:w="1621" w:type="dxa"/>
            <w:tcBorders>
              <w:left w:val="nil"/>
              <w:right w:val="nil"/>
            </w:tcBorders>
            <w:shd w:val="clear" w:color="auto" w:fill="auto"/>
            <w:noWrap/>
            <w:vAlign w:val="center"/>
          </w:tcPr>
          <w:p w14:paraId="064D7A2D" w14:textId="77777777" w:rsidR="00BB4974" w:rsidRPr="006C7E7F" w:rsidRDefault="00BB4974" w:rsidP="00BB4974">
            <w:pPr>
              <w:ind w:firstLineChars="200" w:firstLine="400"/>
              <w:jc w:val="right"/>
              <w:rPr>
                <w:rFonts w:ascii="Arial Narrow" w:hAnsi="Arial Narrow" w:cs="Arial"/>
                <w:color w:val="000000"/>
                <w:sz w:val="20"/>
              </w:rPr>
            </w:pPr>
          </w:p>
        </w:tc>
        <w:tc>
          <w:tcPr>
            <w:tcW w:w="1234" w:type="dxa"/>
            <w:tcBorders>
              <w:left w:val="nil"/>
              <w:right w:val="nil"/>
            </w:tcBorders>
            <w:vAlign w:val="center"/>
          </w:tcPr>
          <w:p w14:paraId="33A3C0E2" w14:textId="77777777" w:rsidR="00BB4974" w:rsidRPr="006C7E7F" w:rsidRDefault="00BB4974" w:rsidP="00BB4974">
            <w:pPr>
              <w:jc w:val="right"/>
              <w:rPr>
                <w:rFonts w:ascii="Arial Narrow" w:hAnsi="Arial Narrow" w:cs="Arial"/>
                <w:color w:val="000000"/>
                <w:sz w:val="20"/>
              </w:rPr>
            </w:pPr>
          </w:p>
        </w:tc>
        <w:tc>
          <w:tcPr>
            <w:tcW w:w="1736" w:type="dxa"/>
            <w:tcBorders>
              <w:left w:val="nil"/>
              <w:right w:val="nil"/>
            </w:tcBorders>
            <w:shd w:val="clear" w:color="auto" w:fill="auto"/>
            <w:noWrap/>
            <w:vAlign w:val="center"/>
          </w:tcPr>
          <w:p w14:paraId="00C97D3E" w14:textId="77777777" w:rsidR="00BB4974" w:rsidRPr="006C7E7F" w:rsidRDefault="00BB4974" w:rsidP="00BB4974">
            <w:pPr>
              <w:ind w:firstLineChars="200" w:firstLine="400"/>
              <w:jc w:val="right"/>
              <w:rPr>
                <w:rFonts w:ascii="Arial Narrow" w:hAnsi="Arial Narrow" w:cs="Arial"/>
                <w:color w:val="000000"/>
                <w:sz w:val="20"/>
              </w:rPr>
            </w:pPr>
          </w:p>
        </w:tc>
        <w:tc>
          <w:tcPr>
            <w:tcW w:w="972" w:type="dxa"/>
            <w:tcBorders>
              <w:left w:val="nil"/>
              <w:right w:val="nil"/>
            </w:tcBorders>
            <w:shd w:val="clear" w:color="auto" w:fill="auto"/>
            <w:noWrap/>
            <w:vAlign w:val="center"/>
          </w:tcPr>
          <w:p w14:paraId="4CD65803" w14:textId="77777777" w:rsidR="00BB4974" w:rsidRPr="006C7E7F" w:rsidRDefault="00BB4974" w:rsidP="00BB4974">
            <w:pPr>
              <w:jc w:val="right"/>
              <w:rPr>
                <w:rFonts w:ascii="Arial Narrow" w:hAnsi="Arial Narrow" w:cs="Arial"/>
                <w:color w:val="000000"/>
                <w:sz w:val="20"/>
              </w:rPr>
            </w:pPr>
          </w:p>
        </w:tc>
      </w:tr>
      <w:tr w:rsidR="00BB4974" w14:paraId="5EB29A3F" w14:textId="77777777" w:rsidTr="00454507">
        <w:trPr>
          <w:trHeight w:val="300"/>
        </w:trPr>
        <w:tc>
          <w:tcPr>
            <w:tcW w:w="0" w:type="auto"/>
            <w:tcBorders>
              <w:top w:val="nil"/>
              <w:left w:val="nil"/>
              <w:bottom w:val="nil"/>
              <w:right w:val="nil"/>
            </w:tcBorders>
            <w:shd w:val="clear" w:color="auto" w:fill="auto"/>
            <w:noWrap/>
            <w:vAlign w:val="center"/>
            <w:hideMark/>
          </w:tcPr>
          <w:p w14:paraId="47E1B923" w14:textId="5F40CF2B" w:rsidR="002F1CBF" w:rsidRDefault="002F1CBF" w:rsidP="00BB4974">
            <w:pPr>
              <w:rPr>
                <w:rFonts w:ascii="Arial Narrow" w:hAnsi="Arial Narrow" w:cs="Arial"/>
                <w:sz w:val="20"/>
              </w:rPr>
            </w:pPr>
            <w:r>
              <w:rPr>
                <w:rFonts w:ascii="Arial Narrow" w:hAnsi="Arial Narrow" w:cs="Arial"/>
                <w:sz w:val="20"/>
              </w:rPr>
              <w:t>Address update</w:t>
            </w:r>
          </w:p>
          <w:p w14:paraId="62A80B64" w14:textId="77777777" w:rsidR="00BB4974" w:rsidRPr="005E383E" w:rsidRDefault="00BB4974" w:rsidP="00BB4974">
            <w:pPr>
              <w:rPr>
                <w:rFonts w:ascii="Arial Narrow" w:hAnsi="Arial Narrow" w:cs="Arial"/>
                <w:sz w:val="20"/>
              </w:rPr>
            </w:pPr>
            <w:r w:rsidRPr="005E383E">
              <w:rPr>
                <w:rFonts w:ascii="Arial Narrow" w:hAnsi="Arial Narrow" w:cs="Arial"/>
                <w:sz w:val="20"/>
              </w:rPr>
              <w:t>Field test interview</w:t>
            </w:r>
          </w:p>
        </w:tc>
        <w:tc>
          <w:tcPr>
            <w:tcW w:w="0" w:type="auto"/>
            <w:tcBorders>
              <w:top w:val="nil"/>
              <w:left w:val="nil"/>
              <w:bottom w:val="nil"/>
              <w:right w:val="nil"/>
            </w:tcBorders>
            <w:shd w:val="clear" w:color="auto" w:fill="auto"/>
            <w:vAlign w:val="center"/>
            <w:hideMark/>
          </w:tcPr>
          <w:p w14:paraId="54588B6C" w14:textId="63E9902A" w:rsidR="002F1CBF" w:rsidRDefault="002F1CBF" w:rsidP="00BB4974">
            <w:pPr>
              <w:jc w:val="right"/>
              <w:rPr>
                <w:rFonts w:ascii="Arial Narrow" w:hAnsi="Arial Narrow" w:cs="Arial"/>
                <w:sz w:val="20"/>
              </w:rPr>
            </w:pPr>
            <w:r>
              <w:rPr>
                <w:rFonts w:ascii="Arial Narrow" w:hAnsi="Arial Narrow" w:cs="Arial"/>
                <w:sz w:val="20"/>
              </w:rPr>
              <w:t>2,098</w:t>
            </w:r>
          </w:p>
          <w:p w14:paraId="63C9DCE2" w14:textId="77777777" w:rsidR="00BB4974" w:rsidRPr="005E383E" w:rsidRDefault="00BB4974" w:rsidP="00BB4974">
            <w:pPr>
              <w:jc w:val="right"/>
              <w:rPr>
                <w:rFonts w:ascii="Arial Narrow" w:hAnsi="Arial Narrow" w:cs="Arial"/>
                <w:sz w:val="20"/>
              </w:rPr>
            </w:pPr>
            <w:r>
              <w:rPr>
                <w:rFonts w:ascii="Arial Narrow" w:hAnsi="Arial Narrow" w:cs="Arial"/>
                <w:sz w:val="20"/>
              </w:rPr>
              <w:t>2,098</w:t>
            </w:r>
          </w:p>
        </w:tc>
        <w:tc>
          <w:tcPr>
            <w:tcW w:w="0" w:type="auto"/>
            <w:tcBorders>
              <w:top w:val="nil"/>
              <w:left w:val="nil"/>
              <w:bottom w:val="nil"/>
              <w:right w:val="nil"/>
            </w:tcBorders>
            <w:shd w:val="clear" w:color="auto" w:fill="auto"/>
            <w:vAlign w:val="center"/>
            <w:hideMark/>
          </w:tcPr>
          <w:p w14:paraId="124C849C" w14:textId="1FFBF3E5" w:rsidR="002F1CBF" w:rsidRDefault="00605B43" w:rsidP="00454507">
            <w:pPr>
              <w:jc w:val="right"/>
              <w:rPr>
                <w:rFonts w:ascii="Arial Narrow" w:hAnsi="Arial Narrow" w:cs="Arial"/>
                <w:sz w:val="20"/>
              </w:rPr>
            </w:pPr>
            <w:r>
              <w:rPr>
                <w:rFonts w:ascii="Arial Narrow" w:hAnsi="Arial Narrow" w:cs="Arial"/>
                <w:sz w:val="20"/>
              </w:rPr>
              <w:t>--</w:t>
            </w:r>
          </w:p>
          <w:p w14:paraId="522BB6F9" w14:textId="77777777" w:rsidR="00BB4974" w:rsidRPr="005E383E" w:rsidRDefault="00BB4974" w:rsidP="00454507">
            <w:pPr>
              <w:jc w:val="right"/>
              <w:rPr>
                <w:rFonts w:ascii="Arial Narrow" w:hAnsi="Arial Narrow" w:cs="Arial"/>
                <w:sz w:val="20"/>
              </w:rPr>
            </w:pPr>
            <w:r>
              <w:rPr>
                <w:rFonts w:ascii="Arial Narrow" w:hAnsi="Arial Narrow" w:cs="Arial"/>
                <w:sz w:val="20"/>
              </w:rPr>
              <w:t>1,794</w:t>
            </w:r>
          </w:p>
        </w:tc>
        <w:tc>
          <w:tcPr>
            <w:tcW w:w="1268" w:type="dxa"/>
            <w:tcBorders>
              <w:top w:val="nil"/>
              <w:left w:val="nil"/>
              <w:bottom w:val="nil"/>
              <w:right w:val="nil"/>
            </w:tcBorders>
            <w:vAlign w:val="center"/>
          </w:tcPr>
          <w:p w14:paraId="2BE691DF" w14:textId="2142BE7E" w:rsidR="002F1CBF" w:rsidRDefault="00753D76" w:rsidP="00BB4974">
            <w:pPr>
              <w:ind w:firstLineChars="200" w:firstLine="400"/>
              <w:jc w:val="right"/>
              <w:rPr>
                <w:rFonts w:ascii="Arial Narrow" w:hAnsi="Arial Narrow" w:cs="Arial"/>
                <w:sz w:val="20"/>
              </w:rPr>
            </w:pPr>
            <w:r>
              <w:rPr>
                <w:rFonts w:ascii="Arial Narrow" w:hAnsi="Arial Narrow" w:cs="Arial"/>
                <w:sz w:val="20"/>
              </w:rPr>
              <w:t>10</w:t>
            </w:r>
          </w:p>
          <w:p w14:paraId="2034CF3A" w14:textId="24628D01" w:rsidR="00BB4974" w:rsidRDefault="00BB4974" w:rsidP="00BB4974">
            <w:pPr>
              <w:ind w:firstLineChars="200" w:firstLine="400"/>
              <w:jc w:val="right"/>
              <w:rPr>
                <w:rFonts w:ascii="Arial Narrow" w:hAnsi="Arial Narrow" w:cs="Arial"/>
                <w:sz w:val="20"/>
              </w:rPr>
            </w:pPr>
            <w:r>
              <w:rPr>
                <w:rFonts w:ascii="Arial Narrow" w:hAnsi="Arial Narrow" w:cs="Arial"/>
                <w:sz w:val="20"/>
              </w:rPr>
              <w:t>75</w:t>
            </w:r>
          </w:p>
        </w:tc>
        <w:tc>
          <w:tcPr>
            <w:tcW w:w="1621" w:type="dxa"/>
            <w:tcBorders>
              <w:top w:val="nil"/>
              <w:left w:val="nil"/>
              <w:bottom w:val="nil"/>
              <w:right w:val="nil"/>
            </w:tcBorders>
            <w:shd w:val="clear" w:color="auto" w:fill="auto"/>
            <w:vAlign w:val="center"/>
            <w:hideMark/>
          </w:tcPr>
          <w:p w14:paraId="378B1C7E" w14:textId="17377FD6" w:rsidR="002F1CBF" w:rsidRDefault="00753D76" w:rsidP="00BB4974">
            <w:pPr>
              <w:ind w:firstLineChars="200" w:firstLine="400"/>
              <w:jc w:val="right"/>
              <w:rPr>
                <w:rFonts w:ascii="Arial Narrow" w:hAnsi="Arial Narrow" w:cs="Arial"/>
                <w:sz w:val="20"/>
              </w:rPr>
            </w:pPr>
            <w:r>
              <w:rPr>
                <w:rFonts w:ascii="Arial Narrow" w:hAnsi="Arial Narrow" w:cs="Arial"/>
                <w:sz w:val="20"/>
              </w:rPr>
              <w:t>210</w:t>
            </w:r>
          </w:p>
          <w:p w14:paraId="7217455F" w14:textId="3B085F93" w:rsidR="00BB4974" w:rsidRPr="005E383E" w:rsidRDefault="00BB4974" w:rsidP="00BB4974">
            <w:pPr>
              <w:ind w:firstLineChars="200" w:firstLine="400"/>
              <w:jc w:val="right"/>
              <w:rPr>
                <w:rFonts w:ascii="Arial Narrow" w:hAnsi="Arial Narrow" w:cs="Arial"/>
                <w:sz w:val="20"/>
              </w:rPr>
            </w:pPr>
            <w:r>
              <w:rPr>
                <w:rFonts w:ascii="Arial Narrow" w:hAnsi="Arial Narrow" w:cs="Arial"/>
                <w:sz w:val="20"/>
              </w:rPr>
              <w:t>1,351</w:t>
            </w:r>
          </w:p>
        </w:tc>
        <w:tc>
          <w:tcPr>
            <w:tcW w:w="1234" w:type="dxa"/>
            <w:tcBorders>
              <w:top w:val="nil"/>
              <w:left w:val="nil"/>
              <w:bottom w:val="nil"/>
              <w:right w:val="nil"/>
            </w:tcBorders>
            <w:vAlign w:val="center"/>
          </w:tcPr>
          <w:p w14:paraId="6ED0D2C8" w14:textId="7252E10B" w:rsidR="002F1CBF" w:rsidRDefault="00753D76" w:rsidP="00BB4974">
            <w:pPr>
              <w:jc w:val="right"/>
              <w:rPr>
                <w:rFonts w:ascii="Arial Narrow" w:hAnsi="Arial Narrow" w:cs="Arial"/>
                <w:sz w:val="20"/>
              </w:rPr>
            </w:pPr>
            <w:r>
              <w:rPr>
                <w:rFonts w:ascii="Arial Narrow" w:hAnsi="Arial Narrow" w:cs="Arial"/>
                <w:sz w:val="20"/>
              </w:rPr>
              <w:t>210</w:t>
            </w:r>
          </w:p>
          <w:p w14:paraId="1AC7A8AC" w14:textId="1E937C18" w:rsidR="00BB4974" w:rsidRDefault="00BB4974" w:rsidP="00BB4974">
            <w:pPr>
              <w:jc w:val="right"/>
              <w:rPr>
                <w:rFonts w:ascii="Arial Narrow" w:hAnsi="Arial Narrow" w:cs="Arial"/>
                <w:sz w:val="20"/>
              </w:rPr>
            </w:pPr>
            <w:r>
              <w:rPr>
                <w:rFonts w:ascii="Arial Narrow" w:hAnsi="Arial Narrow" w:cs="Arial"/>
                <w:sz w:val="20"/>
              </w:rPr>
              <w:t>1,351</w:t>
            </w:r>
          </w:p>
        </w:tc>
        <w:tc>
          <w:tcPr>
            <w:tcW w:w="1736" w:type="dxa"/>
            <w:tcBorders>
              <w:top w:val="nil"/>
              <w:left w:val="nil"/>
              <w:bottom w:val="nil"/>
              <w:right w:val="nil"/>
            </w:tcBorders>
            <w:shd w:val="clear" w:color="auto" w:fill="auto"/>
            <w:vAlign w:val="center"/>
            <w:hideMark/>
          </w:tcPr>
          <w:p w14:paraId="5C3327A8" w14:textId="0983055E" w:rsidR="002F1CBF" w:rsidRDefault="002F1CBF" w:rsidP="00BB4974">
            <w:pPr>
              <w:ind w:firstLineChars="200" w:firstLine="400"/>
              <w:jc w:val="right"/>
              <w:rPr>
                <w:rFonts w:ascii="Arial Narrow" w:hAnsi="Arial Narrow" w:cs="Arial"/>
                <w:sz w:val="20"/>
              </w:rPr>
            </w:pPr>
            <w:r>
              <w:rPr>
                <w:rFonts w:ascii="Arial Narrow" w:hAnsi="Arial Narrow" w:cs="Arial"/>
                <w:sz w:val="20"/>
              </w:rPr>
              <w:t>3</w:t>
            </w:r>
          </w:p>
          <w:p w14:paraId="3A764AE3" w14:textId="77777777" w:rsidR="00BB4974" w:rsidRPr="005E383E" w:rsidRDefault="00BB4974" w:rsidP="00BB4974">
            <w:pPr>
              <w:ind w:firstLineChars="200" w:firstLine="400"/>
              <w:jc w:val="right"/>
              <w:rPr>
                <w:rFonts w:ascii="Arial Narrow" w:hAnsi="Arial Narrow" w:cs="Arial"/>
                <w:sz w:val="20"/>
              </w:rPr>
            </w:pPr>
            <w:r w:rsidRPr="005E383E">
              <w:rPr>
                <w:rFonts w:ascii="Arial Narrow" w:hAnsi="Arial Narrow" w:cs="Arial"/>
                <w:sz w:val="20"/>
              </w:rPr>
              <w:t>35</w:t>
            </w:r>
          </w:p>
        </w:tc>
        <w:tc>
          <w:tcPr>
            <w:tcW w:w="972" w:type="dxa"/>
            <w:tcBorders>
              <w:top w:val="nil"/>
              <w:left w:val="nil"/>
              <w:bottom w:val="nil"/>
              <w:right w:val="nil"/>
            </w:tcBorders>
            <w:shd w:val="clear" w:color="auto" w:fill="auto"/>
            <w:vAlign w:val="center"/>
            <w:hideMark/>
          </w:tcPr>
          <w:p w14:paraId="3185528A" w14:textId="34B6A325" w:rsidR="002F1CBF" w:rsidRDefault="00753D76" w:rsidP="00BB4974">
            <w:pPr>
              <w:jc w:val="right"/>
              <w:rPr>
                <w:rFonts w:ascii="Arial Narrow" w:hAnsi="Arial Narrow" w:cs="Arial"/>
                <w:sz w:val="20"/>
              </w:rPr>
            </w:pPr>
            <w:r>
              <w:rPr>
                <w:rFonts w:ascii="Arial Narrow" w:hAnsi="Arial Narrow" w:cs="Arial"/>
                <w:sz w:val="20"/>
              </w:rPr>
              <w:t>11</w:t>
            </w:r>
          </w:p>
          <w:p w14:paraId="6723AD0C" w14:textId="77777777" w:rsidR="00BB4974" w:rsidRPr="005E383E" w:rsidRDefault="00BB4974" w:rsidP="00BB4974">
            <w:pPr>
              <w:jc w:val="right"/>
              <w:rPr>
                <w:rFonts w:ascii="Arial Narrow" w:hAnsi="Arial Narrow" w:cs="Arial"/>
                <w:sz w:val="20"/>
              </w:rPr>
            </w:pPr>
            <w:r>
              <w:rPr>
                <w:rFonts w:ascii="Arial Narrow" w:hAnsi="Arial Narrow" w:cs="Arial"/>
                <w:sz w:val="20"/>
              </w:rPr>
              <w:t>788</w:t>
            </w:r>
          </w:p>
        </w:tc>
      </w:tr>
      <w:tr w:rsidR="00BB4974" w14:paraId="585AD883" w14:textId="77777777" w:rsidTr="00454507">
        <w:trPr>
          <w:trHeight w:val="288"/>
        </w:trPr>
        <w:tc>
          <w:tcPr>
            <w:tcW w:w="0" w:type="auto"/>
            <w:tcBorders>
              <w:top w:val="nil"/>
              <w:left w:val="nil"/>
              <w:bottom w:val="nil"/>
              <w:right w:val="nil"/>
            </w:tcBorders>
            <w:shd w:val="clear" w:color="auto" w:fill="auto"/>
            <w:noWrap/>
            <w:vAlign w:val="center"/>
            <w:hideMark/>
          </w:tcPr>
          <w:p w14:paraId="04D44A84" w14:textId="77777777" w:rsidR="00BB4974" w:rsidRPr="005E383E" w:rsidRDefault="00BB4974" w:rsidP="00BB4974">
            <w:pPr>
              <w:rPr>
                <w:rFonts w:ascii="Arial Narrow" w:hAnsi="Arial Narrow" w:cs="Arial"/>
                <w:sz w:val="20"/>
              </w:rPr>
            </w:pPr>
            <w:r w:rsidRPr="005E383E">
              <w:rPr>
                <w:rFonts w:ascii="Arial Narrow" w:hAnsi="Arial Narrow" w:cs="Arial"/>
                <w:sz w:val="20"/>
              </w:rPr>
              <w:t>Field test re-interview</w:t>
            </w:r>
          </w:p>
        </w:tc>
        <w:tc>
          <w:tcPr>
            <w:tcW w:w="0" w:type="auto"/>
            <w:tcBorders>
              <w:top w:val="nil"/>
              <w:left w:val="nil"/>
              <w:bottom w:val="nil"/>
              <w:right w:val="nil"/>
            </w:tcBorders>
            <w:shd w:val="clear" w:color="auto" w:fill="auto"/>
            <w:noWrap/>
            <w:vAlign w:val="center"/>
          </w:tcPr>
          <w:p w14:paraId="5F3B6572" w14:textId="77777777" w:rsidR="00BB4974" w:rsidRPr="005E383E" w:rsidRDefault="00BB4974" w:rsidP="00BB4974">
            <w:pPr>
              <w:jc w:val="right"/>
              <w:rPr>
                <w:rFonts w:ascii="Arial Narrow" w:hAnsi="Arial Narrow" w:cs="Arial"/>
                <w:sz w:val="20"/>
              </w:rPr>
            </w:pPr>
            <w:r>
              <w:rPr>
                <w:rFonts w:ascii="Arial Narrow" w:hAnsi="Arial Narrow" w:cs="Arial"/>
                <w:sz w:val="20"/>
              </w:rPr>
              <w:t>600</w:t>
            </w:r>
          </w:p>
        </w:tc>
        <w:tc>
          <w:tcPr>
            <w:tcW w:w="0" w:type="auto"/>
            <w:tcBorders>
              <w:top w:val="nil"/>
              <w:left w:val="nil"/>
              <w:bottom w:val="nil"/>
              <w:right w:val="nil"/>
            </w:tcBorders>
            <w:shd w:val="clear" w:color="auto" w:fill="auto"/>
            <w:noWrap/>
            <w:vAlign w:val="center"/>
          </w:tcPr>
          <w:p w14:paraId="04AFA8CD" w14:textId="77777777" w:rsidR="00BB4974" w:rsidRPr="005E383E" w:rsidRDefault="00BB4974" w:rsidP="00454507">
            <w:pPr>
              <w:jc w:val="right"/>
              <w:rPr>
                <w:rFonts w:ascii="Arial Narrow" w:hAnsi="Arial Narrow" w:cs="Arial"/>
                <w:sz w:val="20"/>
              </w:rPr>
            </w:pPr>
            <w:r>
              <w:rPr>
                <w:rFonts w:ascii="Arial Narrow" w:hAnsi="Arial Narrow" w:cs="Arial"/>
                <w:sz w:val="20"/>
              </w:rPr>
              <w:t>600</w:t>
            </w:r>
          </w:p>
        </w:tc>
        <w:tc>
          <w:tcPr>
            <w:tcW w:w="1268" w:type="dxa"/>
            <w:tcBorders>
              <w:top w:val="nil"/>
              <w:left w:val="nil"/>
              <w:bottom w:val="nil"/>
              <w:right w:val="nil"/>
            </w:tcBorders>
            <w:vAlign w:val="center"/>
          </w:tcPr>
          <w:p w14:paraId="5772D73C" w14:textId="73C8160F" w:rsidR="00BB4974" w:rsidRDefault="00BB4974" w:rsidP="00BB4974">
            <w:pPr>
              <w:ind w:firstLineChars="200" w:firstLine="400"/>
              <w:jc w:val="right"/>
              <w:rPr>
                <w:rFonts w:ascii="Arial Narrow" w:hAnsi="Arial Narrow" w:cs="Arial"/>
                <w:sz w:val="20"/>
              </w:rPr>
            </w:pPr>
            <w:r>
              <w:rPr>
                <w:rFonts w:ascii="Arial Narrow" w:hAnsi="Arial Narrow" w:cs="Arial"/>
                <w:sz w:val="20"/>
              </w:rPr>
              <w:t>50</w:t>
            </w:r>
          </w:p>
        </w:tc>
        <w:tc>
          <w:tcPr>
            <w:tcW w:w="1621" w:type="dxa"/>
            <w:tcBorders>
              <w:top w:val="nil"/>
              <w:left w:val="nil"/>
              <w:bottom w:val="nil"/>
              <w:right w:val="nil"/>
            </w:tcBorders>
            <w:shd w:val="clear" w:color="auto" w:fill="auto"/>
            <w:vAlign w:val="center"/>
          </w:tcPr>
          <w:p w14:paraId="61EB608A" w14:textId="0CD7B075" w:rsidR="00BB4974" w:rsidRPr="005E383E" w:rsidRDefault="00BB4974" w:rsidP="00BB4974">
            <w:pPr>
              <w:ind w:firstLineChars="200" w:firstLine="400"/>
              <w:jc w:val="right"/>
              <w:rPr>
                <w:rFonts w:ascii="Arial Narrow" w:hAnsi="Arial Narrow" w:cs="Arial"/>
                <w:sz w:val="20"/>
              </w:rPr>
            </w:pPr>
            <w:r>
              <w:rPr>
                <w:rFonts w:ascii="Arial Narrow" w:hAnsi="Arial Narrow" w:cs="Arial"/>
                <w:sz w:val="20"/>
              </w:rPr>
              <w:t>300</w:t>
            </w:r>
          </w:p>
        </w:tc>
        <w:tc>
          <w:tcPr>
            <w:tcW w:w="1234" w:type="dxa"/>
            <w:tcBorders>
              <w:top w:val="nil"/>
              <w:left w:val="nil"/>
              <w:bottom w:val="nil"/>
              <w:right w:val="nil"/>
            </w:tcBorders>
            <w:vAlign w:val="center"/>
          </w:tcPr>
          <w:p w14:paraId="77F19DBD" w14:textId="1B0C5D71" w:rsidR="00BB4974" w:rsidRDefault="00BB4974" w:rsidP="00BB4974">
            <w:pPr>
              <w:jc w:val="right"/>
              <w:rPr>
                <w:rFonts w:ascii="Arial Narrow" w:hAnsi="Arial Narrow" w:cs="Arial"/>
                <w:sz w:val="20"/>
              </w:rPr>
            </w:pPr>
            <w:r>
              <w:rPr>
                <w:rFonts w:ascii="Arial Narrow" w:hAnsi="Arial Narrow" w:cs="Arial"/>
                <w:sz w:val="20"/>
              </w:rPr>
              <w:t>300</w:t>
            </w:r>
          </w:p>
        </w:tc>
        <w:tc>
          <w:tcPr>
            <w:tcW w:w="1736" w:type="dxa"/>
            <w:tcBorders>
              <w:top w:val="nil"/>
              <w:left w:val="nil"/>
              <w:bottom w:val="nil"/>
              <w:right w:val="nil"/>
            </w:tcBorders>
            <w:shd w:val="clear" w:color="auto" w:fill="auto"/>
            <w:noWrap/>
            <w:vAlign w:val="center"/>
          </w:tcPr>
          <w:p w14:paraId="3C5CDBFC" w14:textId="77777777" w:rsidR="00BB4974" w:rsidRPr="005E383E" w:rsidRDefault="00BB4974" w:rsidP="00BB4974">
            <w:pPr>
              <w:ind w:firstLineChars="200" w:firstLine="400"/>
              <w:jc w:val="right"/>
              <w:rPr>
                <w:rFonts w:ascii="Arial Narrow" w:hAnsi="Arial Narrow" w:cs="Arial"/>
                <w:sz w:val="20"/>
              </w:rPr>
            </w:pPr>
            <w:r>
              <w:rPr>
                <w:rFonts w:ascii="Arial Narrow" w:hAnsi="Arial Narrow" w:cs="Arial"/>
                <w:sz w:val="20"/>
              </w:rPr>
              <w:t>10</w:t>
            </w:r>
          </w:p>
        </w:tc>
        <w:tc>
          <w:tcPr>
            <w:tcW w:w="972" w:type="dxa"/>
            <w:tcBorders>
              <w:top w:val="nil"/>
              <w:left w:val="nil"/>
              <w:bottom w:val="nil"/>
              <w:right w:val="nil"/>
            </w:tcBorders>
            <w:shd w:val="clear" w:color="auto" w:fill="auto"/>
            <w:noWrap/>
            <w:vAlign w:val="center"/>
          </w:tcPr>
          <w:p w14:paraId="517032D4" w14:textId="77777777" w:rsidR="00BB4974" w:rsidRPr="005E383E" w:rsidRDefault="00BB4974" w:rsidP="00BB4974">
            <w:pPr>
              <w:jc w:val="right"/>
              <w:rPr>
                <w:rFonts w:ascii="Arial Narrow" w:hAnsi="Arial Narrow" w:cs="Arial"/>
                <w:sz w:val="20"/>
              </w:rPr>
            </w:pPr>
            <w:r>
              <w:rPr>
                <w:rFonts w:ascii="Arial Narrow" w:hAnsi="Arial Narrow" w:cs="Arial"/>
                <w:sz w:val="20"/>
              </w:rPr>
              <w:t>50</w:t>
            </w:r>
          </w:p>
        </w:tc>
      </w:tr>
      <w:tr w:rsidR="00BB4974" w14:paraId="559679E6" w14:textId="77777777" w:rsidTr="00454507">
        <w:trPr>
          <w:trHeight w:val="312"/>
        </w:trPr>
        <w:tc>
          <w:tcPr>
            <w:tcW w:w="0" w:type="auto"/>
            <w:tcBorders>
              <w:left w:val="nil"/>
              <w:right w:val="nil"/>
            </w:tcBorders>
            <w:shd w:val="clear" w:color="auto" w:fill="auto"/>
            <w:noWrap/>
            <w:vAlign w:val="center"/>
            <w:hideMark/>
          </w:tcPr>
          <w:p w14:paraId="30311034" w14:textId="77777777" w:rsidR="00BB4974" w:rsidRPr="00EF321A" w:rsidRDefault="00BB4974" w:rsidP="00BB4974">
            <w:pPr>
              <w:rPr>
                <w:rFonts w:ascii="Arial Narrow" w:hAnsi="Arial Narrow" w:cs="Arial"/>
                <w:b/>
                <w:bCs/>
                <w:color w:val="000000"/>
                <w:sz w:val="20"/>
              </w:rPr>
            </w:pPr>
            <w:r w:rsidRPr="00EF321A">
              <w:rPr>
                <w:rFonts w:ascii="Arial Narrow" w:hAnsi="Arial Narrow" w:cs="Arial"/>
                <w:b/>
                <w:bCs/>
                <w:color w:val="000000"/>
                <w:sz w:val="20"/>
              </w:rPr>
              <w:t xml:space="preserve">Total </w:t>
            </w:r>
          </w:p>
        </w:tc>
        <w:tc>
          <w:tcPr>
            <w:tcW w:w="0" w:type="auto"/>
            <w:tcBorders>
              <w:left w:val="nil"/>
              <w:right w:val="nil"/>
            </w:tcBorders>
            <w:shd w:val="clear" w:color="auto" w:fill="auto"/>
            <w:noWrap/>
            <w:vAlign w:val="center"/>
            <w:hideMark/>
          </w:tcPr>
          <w:p w14:paraId="654762F8" w14:textId="77777777" w:rsidR="00BB4974" w:rsidRPr="006938EB" w:rsidRDefault="00BB4974" w:rsidP="00BB4974">
            <w:pPr>
              <w:rPr>
                <w:rFonts w:ascii="Arial Narrow" w:hAnsi="Arial Narrow"/>
                <w:color w:val="000000"/>
                <w:sz w:val="22"/>
                <w:szCs w:val="22"/>
              </w:rPr>
            </w:pPr>
            <w:r w:rsidRPr="006938EB">
              <w:rPr>
                <w:rFonts w:ascii="Arial Narrow" w:hAnsi="Arial Narrow"/>
                <w:color w:val="000000"/>
                <w:sz w:val="22"/>
                <w:szCs w:val="22"/>
              </w:rPr>
              <w:t> </w:t>
            </w:r>
          </w:p>
        </w:tc>
        <w:tc>
          <w:tcPr>
            <w:tcW w:w="0" w:type="auto"/>
            <w:tcBorders>
              <w:left w:val="nil"/>
              <w:right w:val="nil"/>
            </w:tcBorders>
            <w:shd w:val="clear" w:color="auto" w:fill="auto"/>
            <w:noWrap/>
            <w:vAlign w:val="center"/>
            <w:hideMark/>
          </w:tcPr>
          <w:p w14:paraId="7EACBA41" w14:textId="77777777" w:rsidR="00BB4974" w:rsidRPr="006938EB" w:rsidRDefault="00BB4974" w:rsidP="00BB4974">
            <w:pPr>
              <w:ind w:firstLineChars="200" w:firstLine="400"/>
              <w:jc w:val="right"/>
              <w:rPr>
                <w:rFonts w:ascii="Arial Narrow" w:hAnsi="Arial Narrow" w:cs="Arial"/>
                <w:color w:val="000000"/>
                <w:sz w:val="20"/>
              </w:rPr>
            </w:pPr>
            <w:r w:rsidRPr="006938EB">
              <w:rPr>
                <w:rFonts w:ascii="Arial Narrow" w:hAnsi="Arial Narrow" w:cs="Arial"/>
                <w:color w:val="000000"/>
                <w:sz w:val="20"/>
              </w:rPr>
              <w:t> </w:t>
            </w:r>
          </w:p>
        </w:tc>
        <w:tc>
          <w:tcPr>
            <w:tcW w:w="1268" w:type="dxa"/>
            <w:tcBorders>
              <w:left w:val="nil"/>
              <w:right w:val="nil"/>
            </w:tcBorders>
            <w:vAlign w:val="center"/>
          </w:tcPr>
          <w:p w14:paraId="0D7F0AE3" w14:textId="77777777" w:rsidR="00BB4974" w:rsidRPr="008D6DD1" w:rsidRDefault="00BB4974" w:rsidP="00BB4974">
            <w:pPr>
              <w:ind w:firstLineChars="200" w:firstLine="402"/>
              <w:jc w:val="right"/>
              <w:rPr>
                <w:rFonts w:ascii="Arial Narrow" w:hAnsi="Arial Narrow" w:cs="Arial"/>
                <w:b/>
                <w:bCs/>
                <w:color w:val="000000"/>
                <w:sz w:val="20"/>
              </w:rPr>
            </w:pPr>
          </w:p>
        </w:tc>
        <w:tc>
          <w:tcPr>
            <w:tcW w:w="1621" w:type="dxa"/>
            <w:tcBorders>
              <w:left w:val="nil"/>
              <w:right w:val="nil"/>
            </w:tcBorders>
            <w:shd w:val="clear" w:color="auto" w:fill="auto"/>
            <w:noWrap/>
            <w:vAlign w:val="center"/>
          </w:tcPr>
          <w:p w14:paraId="43723A9C" w14:textId="0B079290" w:rsidR="00BB4974" w:rsidRPr="008D6DD1" w:rsidRDefault="00BB4974" w:rsidP="00BB4974">
            <w:pPr>
              <w:ind w:firstLineChars="200" w:firstLine="402"/>
              <w:jc w:val="right"/>
              <w:rPr>
                <w:rFonts w:ascii="Arial Narrow" w:hAnsi="Arial Narrow" w:cs="Arial"/>
                <w:b/>
                <w:bCs/>
                <w:color w:val="000000"/>
                <w:sz w:val="20"/>
              </w:rPr>
            </w:pPr>
            <w:r w:rsidRPr="008D6DD1">
              <w:rPr>
                <w:rFonts w:ascii="Arial Narrow" w:hAnsi="Arial Narrow" w:cs="Arial"/>
                <w:b/>
                <w:bCs/>
                <w:color w:val="000000"/>
                <w:sz w:val="20"/>
              </w:rPr>
              <w:t>1</w:t>
            </w:r>
            <w:r>
              <w:rPr>
                <w:rFonts w:ascii="Arial Narrow" w:hAnsi="Arial Narrow" w:cs="Arial"/>
                <w:b/>
                <w:bCs/>
                <w:color w:val="000000"/>
                <w:sz w:val="20"/>
              </w:rPr>
              <w:t>,</w:t>
            </w:r>
            <w:r w:rsidR="004E6B92">
              <w:rPr>
                <w:rFonts w:ascii="Arial Narrow" w:hAnsi="Arial Narrow" w:cs="Arial"/>
                <w:b/>
                <w:bCs/>
                <w:color w:val="000000"/>
                <w:sz w:val="20"/>
              </w:rPr>
              <w:t>86</w:t>
            </w:r>
            <w:r w:rsidRPr="008D6DD1">
              <w:rPr>
                <w:rFonts w:ascii="Arial Narrow" w:hAnsi="Arial Narrow" w:cs="Arial"/>
                <w:b/>
                <w:bCs/>
                <w:color w:val="000000"/>
                <w:sz w:val="20"/>
              </w:rPr>
              <w:t>1</w:t>
            </w:r>
          </w:p>
        </w:tc>
        <w:tc>
          <w:tcPr>
            <w:tcW w:w="1234" w:type="dxa"/>
            <w:tcBorders>
              <w:left w:val="nil"/>
              <w:right w:val="nil"/>
            </w:tcBorders>
            <w:vAlign w:val="center"/>
          </w:tcPr>
          <w:p w14:paraId="49481E12" w14:textId="3C9C5045" w:rsidR="00BB4974" w:rsidRPr="00714AF4" w:rsidRDefault="00BB4974" w:rsidP="00BB4974">
            <w:pPr>
              <w:jc w:val="right"/>
              <w:rPr>
                <w:rFonts w:ascii="Arial Narrow" w:hAnsi="Arial Narrow" w:cs="Arial"/>
                <w:color w:val="000000"/>
                <w:sz w:val="20"/>
              </w:rPr>
            </w:pPr>
            <w:r w:rsidRPr="008D6DD1">
              <w:rPr>
                <w:rFonts w:ascii="Arial Narrow" w:hAnsi="Arial Narrow" w:cs="Arial"/>
                <w:b/>
                <w:bCs/>
                <w:color w:val="000000"/>
                <w:sz w:val="20"/>
              </w:rPr>
              <w:t>1</w:t>
            </w:r>
            <w:r>
              <w:rPr>
                <w:rFonts w:ascii="Arial Narrow" w:hAnsi="Arial Narrow" w:cs="Arial"/>
                <w:b/>
                <w:bCs/>
                <w:color w:val="000000"/>
                <w:sz w:val="20"/>
              </w:rPr>
              <w:t>,</w:t>
            </w:r>
            <w:r w:rsidR="008D60D7">
              <w:rPr>
                <w:rFonts w:ascii="Arial Narrow" w:hAnsi="Arial Narrow" w:cs="Arial"/>
                <w:b/>
                <w:bCs/>
                <w:color w:val="000000"/>
                <w:sz w:val="20"/>
              </w:rPr>
              <w:t>86</w:t>
            </w:r>
            <w:r w:rsidRPr="008D6DD1">
              <w:rPr>
                <w:rFonts w:ascii="Arial Narrow" w:hAnsi="Arial Narrow" w:cs="Arial"/>
                <w:b/>
                <w:bCs/>
                <w:color w:val="000000"/>
                <w:sz w:val="20"/>
              </w:rPr>
              <w:t>1</w:t>
            </w:r>
          </w:p>
        </w:tc>
        <w:tc>
          <w:tcPr>
            <w:tcW w:w="1736" w:type="dxa"/>
            <w:tcBorders>
              <w:left w:val="nil"/>
              <w:right w:val="nil"/>
            </w:tcBorders>
            <w:shd w:val="clear" w:color="auto" w:fill="auto"/>
            <w:noWrap/>
            <w:vAlign w:val="center"/>
          </w:tcPr>
          <w:p w14:paraId="699A75E9" w14:textId="77777777" w:rsidR="00BB4974" w:rsidRPr="00714AF4" w:rsidRDefault="00BB4974" w:rsidP="00BB4974">
            <w:pPr>
              <w:ind w:firstLineChars="200" w:firstLine="400"/>
              <w:jc w:val="right"/>
              <w:rPr>
                <w:rFonts w:ascii="Arial Narrow" w:hAnsi="Arial Narrow" w:cs="Arial"/>
                <w:color w:val="000000"/>
                <w:sz w:val="20"/>
              </w:rPr>
            </w:pPr>
            <w:r w:rsidRPr="006C7E7F">
              <w:rPr>
                <w:rFonts w:ascii="Arial Narrow" w:hAnsi="Arial Narrow" w:cs="Arial"/>
                <w:color w:val="000000"/>
                <w:sz w:val="20"/>
              </w:rPr>
              <w:t> </w:t>
            </w:r>
          </w:p>
        </w:tc>
        <w:tc>
          <w:tcPr>
            <w:tcW w:w="972" w:type="dxa"/>
            <w:tcBorders>
              <w:left w:val="nil"/>
              <w:right w:val="nil"/>
            </w:tcBorders>
            <w:shd w:val="clear" w:color="auto" w:fill="auto"/>
            <w:noWrap/>
            <w:vAlign w:val="center"/>
          </w:tcPr>
          <w:p w14:paraId="65AA694C" w14:textId="0EF49392" w:rsidR="00BB4974" w:rsidRPr="00B85FA1" w:rsidRDefault="00BB4974" w:rsidP="00BB4974">
            <w:pPr>
              <w:jc w:val="right"/>
              <w:rPr>
                <w:rFonts w:ascii="Arial Narrow" w:hAnsi="Arial Narrow" w:cs="Arial"/>
                <w:b/>
                <w:bCs/>
                <w:color w:val="000000"/>
                <w:sz w:val="20"/>
              </w:rPr>
            </w:pPr>
            <w:r w:rsidRPr="00B85FA1">
              <w:rPr>
                <w:rFonts w:ascii="Arial Narrow" w:hAnsi="Arial Narrow" w:cs="Arial"/>
                <w:b/>
                <w:bCs/>
                <w:color w:val="000000"/>
                <w:sz w:val="20"/>
              </w:rPr>
              <w:t>8</w:t>
            </w:r>
            <w:r w:rsidR="00D21DA2">
              <w:rPr>
                <w:rFonts w:ascii="Arial Narrow" w:hAnsi="Arial Narrow" w:cs="Arial"/>
                <w:b/>
                <w:bCs/>
                <w:color w:val="000000"/>
                <w:sz w:val="20"/>
              </w:rPr>
              <w:t>49</w:t>
            </w:r>
          </w:p>
        </w:tc>
      </w:tr>
      <w:tr w:rsidR="00BB4974" w14:paraId="52BCC77D" w14:textId="77777777" w:rsidTr="00454507">
        <w:trPr>
          <w:trHeight w:val="312"/>
        </w:trPr>
        <w:tc>
          <w:tcPr>
            <w:tcW w:w="0" w:type="auto"/>
            <w:tcBorders>
              <w:left w:val="nil"/>
              <w:right w:val="nil"/>
            </w:tcBorders>
            <w:shd w:val="clear" w:color="auto" w:fill="auto"/>
            <w:noWrap/>
            <w:vAlign w:val="center"/>
          </w:tcPr>
          <w:p w14:paraId="63C1437F" w14:textId="77777777" w:rsidR="00BB4974" w:rsidRPr="000A08F7" w:rsidRDefault="00BB4974" w:rsidP="00BB4974">
            <w:pPr>
              <w:rPr>
                <w:rFonts w:ascii="Arial Narrow" w:hAnsi="Arial Narrow" w:cs="Arial"/>
                <w:b/>
                <w:bCs/>
                <w:color w:val="000000"/>
                <w:sz w:val="20"/>
              </w:rPr>
            </w:pPr>
          </w:p>
        </w:tc>
        <w:tc>
          <w:tcPr>
            <w:tcW w:w="0" w:type="auto"/>
            <w:tcBorders>
              <w:left w:val="nil"/>
              <w:right w:val="nil"/>
            </w:tcBorders>
            <w:shd w:val="clear" w:color="auto" w:fill="auto"/>
            <w:noWrap/>
            <w:vAlign w:val="center"/>
          </w:tcPr>
          <w:p w14:paraId="0847402C" w14:textId="77777777" w:rsidR="00BB4974" w:rsidRPr="006938EB" w:rsidRDefault="00BB4974" w:rsidP="00BB4974">
            <w:pPr>
              <w:rPr>
                <w:rFonts w:ascii="Arial Narrow" w:hAnsi="Arial Narrow"/>
                <w:color w:val="000000"/>
                <w:sz w:val="22"/>
                <w:szCs w:val="22"/>
              </w:rPr>
            </w:pPr>
          </w:p>
        </w:tc>
        <w:tc>
          <w:tcPr>
            <w:tcW w:w="0" w:type="auto"/>
            <w:tcBorders>
              <w:left w:val="nil"/>
              <w:right w:val="nil"/>
            </w:tcBorders>
            <w:shd w:val="clear" w:color="auto" w:fill="auto"/>
            <w:noWrap/>
            <w:vAlign w:val="center"/>
          </w:tcPr>
          <w:p w14:paraId="30759414" w14:textId="77777777" w:rsidR="00BB4974" w:rsidRPr="006938EB" w:rsidRDefault="00BB4974" w:rsidP="00BB4974">
            <w:pPr>
              <w:ind w:firstLineChars="200" w:firstLine="400"/>
              <w:jc w:val="right"/>
              <w:rPr>
                <w:rFonts w:ascii="Arial Narrow" w:hAnsi="Arial Narrow" w:cs="Arial"/>
                <w:color w:val="000000"/>
                <w:sz w:val="20"/>
              </w:rPr>
            </w:pPr>
          </w:p>
        </w:tc>
        <w:tc>
          <w:tcPr>
            <w:tcW w:w="1268" w:type="dxa"/>
            <w:tcBorders>
              <w:left w:val="nil"/>
              <w:right w:val="nil"/>
            </w:tcBorders>
            <w:vAlign w:val="center"/>
          </w:tcPr>
          <w:p w14:paraId="43D5FFD3" w14:textId="77777777" w:rsidR="00BB4974" w:rsidRPr="006C7E7F" w:rsidRDefault="00BB4974" w:rsidP="00BB4974">
            <w:pPr>
              <w:ind w:firstLineChars="200" w:firstLine="400"/>
              <w:jc w:val="right"/>
              <w:rPr>
                <w:rFonts w:ascii="Arial Narrow" w:hAnsi="Arial Narrow" w:cs="Arial"/>
                <w:color w:val="000000"/>
                <w:sz w:val="20"/>
              </w:rPr>
            </w:pPr>
          </w:p>
        </w:tc>
        <w:tc>
          <w:tcPr>
            <w:tcW w:w="1621" w:type="dxa"/>
            <w:tcBorders>
              <w:left w:val="nil"/>
              <w:right w:val="nil"/>
            </w:tcBorders>
            <w:shd w:val="clear" w:color="auto" w:fill="auto"/>
            <w:noWrap/>
            <w:vAlign w:val="center"/>
          </w:tcPr>
          <w:p w14:paraId="29BE90AB" w14:textId="4B68C497" w:rsidR="00BB4974" w:rsidRPr="006C7E7F" w:rsidRDefault="00BB4974" w:rsidP="00BB4974">
            <w:pPr>
              <w:ind w:firstLineChars="200" w:firstLine="400"/>
              <w:jc w:val="right"/>
              <w:rPr>
                <w:rFonts w:ascii="Arial Narrow" w:hAnsi="Arial Narrow" w:cs="Arial"/>
                <w:color w:val="000000"/>
                <w:sz w:val="20"/>
              </w:rPr>
            </w:pPr>
          </w:p>
        </w:tc>
        <w:tc>
          <w:tcPr>
            <w:tcW w:w="1234" w:type="dxa"/>
            <w:tcBorders>
              <w:left w:val="nil"/>
              <w:right w:val="nil"/>
            </w:tcBorders>
            <w:vAlign w:val="center"/>
          </w:tcPr>
          <w:p w14:paraId="6806E824" w14:textId="77777777" w:rsidR="00BB4974" w:rsidRPr="006C7E7F" w:rsidRDefault="00BB4974" w:rsidP="00BB4974">
            <w:pPr>
              <w:jc w:val="right"/>
              <w:rPr>
                <w:rFonts w:ascii="Arial Narrow" w:hAnsi="Arial Narrow" w:cs="Arial"/>
                <w:color w:val="000000"/>
                <w:sz w:val="20"/>
              </w:rPr>
            </w:pPr>
          </w:p>
        </w:tc>
        <w:tc>
          <w:tcPr>
            <w:tcW w:w="1736" w:type="dxa"/>
            <w:tcBorders>
              <w:left w:val="nil"/>
              <w:right w:val="nil"/>
            </w:tcBorders>
            <w:shd w:val="clear" w:color="auto" w:fill="auto"/>
            <w:noWrap/>
            <w:vAlign w:val="center"/>
          </w:tcPr>
          <w:p w14:paraId="12F72C3A" w14:textId="77777777" w:rsidR="00BB4974" w:rsidRPr="006C7E7F" w:rsidRDefault="00BB4974" w:rsidP="00BB4974">
            <w:pPr>
              <w:ind w:firstLineChars="200" w:firstLine="400"/>
              <w:jc w:val="right"/>
              <w:rPr>
                <w:rFonts w:ascii="Arial Narrow" w:hAnsi="Arial Narrow" w:cs="Arial"/>
                <w:color w:val="000000"/>
                <w:sz w:val="20"/>
              </w:rPr>
            </w:pPr>
          </w:p>
        </w:tc>
        <w:tc>
          <w:tcPr>
            <w:tcW w:w="972" w:type="dxa"/>
            <w:tcBorders>
              <w:left w:val="nil"/>
              <w:right w:val="nil"/>
            </w:tcBorders>
            <w:shd w:val="clear" w:color="auto" w:fill="auto"/>
            <w:noWrap/>
            <w:vAlign w:val="center"/>
          </w:tcPr>
          <w:p w14:paraId="2F686378" w14:textId="77777777" w:rsidR="00BB4974" w:rsidRPr="006C7E7F" w:rsidRDefault="00BB4974" w:rsidP="00BB4974">
            <w:pPr>
              <w:jc w:val="right"/>
              <w:rPr>
                <w:rFonts w:ascii="Arial Narrow" w:hAnsi="Arial Narrow" w:cs="Arial"/>
                <w:color w:val="000000"/>
                <w:sz w:val="20"/>
              </w:rPr>
            </w:pPr>
          </w:p>
        </w:tc>
      </w:tr>
      <w:tr w:rsidR="00BB4974" w14:paraId="03861783" w14:textId="77777777" w:rsidTr="00454507">
        <w:trPr>
          <w:trHeight w:val="312"/>
        </w:trPr>
        <w:tc>
          <w:tcPr>
            <w:tcW w:w="0" w:type="auto"/>
            <w:tcBorders>
              <w:left w:val="nil"/>
              <w:right w:val="nil"/>
            </w:tcBorders>
            <w:shd w:val="clear" w:color="auto" w:fill="auto"/>
            <w:noWrap/>
            <w:vAlign w:val="center"/>
          </w:tcPr>
          <w:p w14:paraId="08CF5EF9" w14:textId="77777777" w:rsidR="00BB4974" w:rsidRPr="000A08F7" w:rsidRDefault="00BB4974" w:rsidP="00BB4974">
            <w:pPr>
              <w:rPr>
                <w:rFonts w:ascii="Arial Narrow" w:hAnsi="Arial Narrow" w:cs="Arial"/>
                <w:b/>
                <w:bCs/>
                <w:color w:val="000000"/>
                <w:sz w:val="20"/>
              </w:rPr>
            </w:pPr>
            <w:r w:rsidRPr="000A08F7">
              <w:rPr>
                <w:rFonts w:ascii="Arial Narrow" w:hAnsi="Arial Narrow" w:cs="Arial"/>
                <w:b/>
                <w:bCs/>
                <w:color w:val="000000"/>
                <w:sz w:val="20"/>
              </w:rPr>
              <w:t xml:space="preserve">Full-scale study </w:t>
            </w:r>
          </w:p>
        </w:tc>
        <w:tc>
          <w:tcPr>
            <w:tcW w:w="0" w:type="auto"/>
            <w:tcBorders>
              <w:left w:val="nil"/>
              <w:right w:val="nil"/>
            </w:tcBorders>
            <w:shd w:val="clear" w:color="auto" w:fill="auto"/>
            <w:noWrap/>
            <w:vAlign w:val="center"/>
          </w:tcPr>
          <w:p w14:paraId="167B37F2" w14:textId="77777777" w:rsidR="00BB4974" w:rsidRPr="006938EB" w:rsidRDefault="00BB4974" w:rsidP="00BB4974">
            <w:pPr>
              <w:rPr>
                <w:rFonts w:ascii="Arial Narrow" w:hAnsi="Arial Narrow"/>
                <w:color w:val="000000"/>
                <w:sz w:val="22"/>
                <w:szCs w:val="22"/>
              </w:rPr>
            </w:pPr>
          </w:p>
        </w:tc>
        <w:tc>
          <w:tcPr>
            <w:tcW w:w="0" w:type="auto"/>
            <w:tcBorders>
              <w:left w:val="nil"/>
              <w:right w:val="nil"/>
            </w:tcBorders>
            <w:shd w:val="clear" w:color="auto" w:fill="auto"/>
            <w:noWrap/>
            <w:vAlign w:val="center"/>
          </w:tcPr>
          <w:p w14:paraId="101E0F51" w14:textId="77777777" w:rsidR="00BB4974" w:rsidRPr="006938EB" w:rsidRDefault="00BB4974" w:rsidP="00BB4974">
            <w:pPr>
              <w:ind w:firstLineChars="200" w:firstLine="400"/>
              <w:jc w:val="right"/>
              <w:rPr>
                <w:rFonts w:ascii="Arial Narrow" w:hAnsi="Arial Narrow" w:cs="Arial"/>
                <w:color w:val="000000"/>
                <w:sz w:val="20"/>
              </w:rPr>
            </w:pPr>
          </w:p>
        </w:tc>
        <w:tc>
          <w:tcPr>
            <w:tcW w:w="1268" w:type="dxa"/>
            <w:tcBorders>
              <w:left w:val="nil"/>
              <w:right w:val="nil"/>
            </w:tcBorders>
            <w:vAlign w:val="center"/>
          </w:tcPr>
          <w:p w14:paraId="174DEC34" w14:textId="77777777" w:rsidR="00BB4974" w:rsidRPr="006C7E7F" w:rsidRDefault="00BB4974" w:rsidP="00BB4974">
            <w:pPr>
              <w:ind w:firstLineChars="200" w:firstLine="400"/>
              <w:jc w:val="right"/>
              <w:rPr>
                <w:rFonts w:ascii="Arial Narrow" w:hAnsi="Arial Narrow" w:cs="Arial"/>
                <w:color w:val="000000"/>
                <w:sz w:val="20"/>
              </w:rPr>
            </w:pPr>
          </w:p>
        </w:tc>
        <w:tc>
          <w:tcPr>
            <w:tcW w:w="1621" w:type="dxa"/>
            <w:tcBorders>
              <w:left w:val="nil"/>
              <w:right w:val="nil"/>
            </w:tcBorders>
            <w:shd w:val="clear" w:color="auto" w:fill="auto"/>
            <w:noWrap/>
            <w:vAlign w:val="center"/>
          </w:tcPr>
          <w:p w14:paraId="6C3E4614" w14:textId="059B2EA6" w:rsidR="00BB4974" w:rsidRPr="006C7E7F" w:rsidRDefault="00BB4974" w:rsidP="00BB4974">
            <w:pPr>
              <w:ind w:firstLineChars="200" w:firstLine="400"/>
              <w:jc w:val="right"/>
              <w:rPr>
                <w:rFonts w:ascii="Arial Narrow" w:hAnsi="Arial Narrow" w:cs="Arial"/>
                <w:color w:val="000000"/>
                <w:sz w:val="20"/>
              </w:rPr>
            </w:pPr>
          </w:p>
        </w:tc>
        <w:tc>
          <w:tcPr>
            <w:tcW w:w="1234" w:type="dxa"/>
            <w:tcBorders>
              <w:left w:val="nil"/>
              <w:right w:val="nil"/>
            </w:tcBorders>
            <w:vAlign w:val="center"/>
          </w:tcPr>
          <w:p w14:paraId="089B4A4D" w14:textId="77777777" w:rsidR="00BB4974" w:rsidRPr="006C7E7F" w:rsidRDefault="00BB4974" w:rsidP="00BB4974">
            <w:pPr>
              <w:jc w:val="right"/>
              <w:rPr>
                <w:rFonts w:ascii="Arial Narrow" w:hAnsi="Arial Narrow" w:cs="Arial"/>
                <w:color w:val="000000"/>
                <w:sz w:val="20"/>
              </w:rPr>
            </w:pPr>
          </w:p>
        </w:tc>
        <w:tc>
          <w:tcPr>
            <w:tcW w:w="1736" w:type="dxa"/>
            <w:tcBorders>
              <w:left w:val="nil"/>
              <w:right w:val="nil"/>
            </w:tcBorders>
            <w:shd w:val="clear" w:color="auto" w:fill="auto"/>
            <w:noWrap/>
            <w:vAlign w:val="center"/>
          </w:tcPr>
          <w:p w14:paraId="7D9E05E5" w14:textId="77777777" w:rsidR="00BB4974" w:rsidRPr="006C7E7F" w:rsidRDefault="00BB4974" w:rsidP="00BB4974">
            <w:pPr>
              <w:ind w:firstLineChars="200" w:firstLine="400"/>
              <w:jc w:val="right"/>
              <w:rPr>
                <w:rFonts w:ascii="Arial Narrow" w:hAnsi="Arial Narrow" w:cs="Arial"/>
                <w:color w:val="000000"/>
                <w:sz w:val="20"/>
              </w:rPr>
            </w:pPr>
          </w:p>
        </w:tc>
        <w:tc>
          <w:tcPr>
            <w:tcW w:w="972" w:type="dxa"/>
            <w:tcBorders>
              <w:left w:val="nil"/>
              <w:right w:val="nil"/>
            </w:tcBorders>
            <w:shd w:val="clear" w:color="auto" w:fill="auto"/>
            <w:noWrap/>
            <w:vAlign w:val="center"/>
          </w:tcPr>
          <w:p w14:paraId="32550AA5" w14:textId="77777777" w:rsidR="00BB4974" w:rsidRPr="006C7E7F" w:rsidRDefault="00BB4974" w:rsidP="00BB4974">
            <w:pPr>
              <w:jc w:val="right"/>
              <w:rPr>
                <w:rFonts w:ascii="Arial Narrow" w:hAnsi="Arial Narrow" w:cs="Arial"/>
                <w:color w:val="000000"/>
                <w:sz w:val="20"/>
              </w:rPr>
            </w:pPr>
          </w:p>
        </w:tc>
      </w:tr>
      <w:tr w:rsidR="00BB4974" w14:paraId="5AC0B0E2" w14:textId="77777777" w:rsidTr="00454507">
        <w:trPr>
          <w:trHeight w:val="300"/>
        </w:trPr>
        <w:tc>
          <w:tcPr>
            <w:tcW w:w="0" w:type="auto"/>
            <w:tcBorders>
              <w:top w:val="nil"/>
              <w:left w:val="nil"/>
              <w:bottom w:val="nil"/>
              <w:right w:val="nil"/>
            </w:tcBorders>
            <w:shd w:val="clear" w:color="auto" w:fill="auto"/>
            <w:noWrap/>
            <w:vAlign w:val="center"/>
            <w:hideMark/>
          </w:tcPr>
          <w:p w14:paraId="75653225" w14:textId="4641A695" w:rsidR="008B0173" w:rsidRDefault="008B0173" w:rsidP="00BB4974">
            <w:pPr>
              <w:rPr>
                <w:rFonts w:ascii="Arial Narrow" w:hAnsi="Arial Narrow" w:cs="Arial"/>
                <w:color w:val="000000"/>
                <w:sz w:val="20"/>
              </w:rPr>
            </w:pPr>
            <w:r>
              <w:rPr>
                <w:rFonts w:ascii="Arial Narrow" w:hAnsi="Arial Narrow" w:cs="Arial"/>
                <w:color w:val="000000"/>
                <w:sz w:val="20"/>
              </w:rPr>
              <w:t>Address update</w:t>
            </w:r>
          </w:p>
          <w:p w14:paraId="4A40BF93" w14:textId="77777777" w:rsidR="00BB4974" w:rsidRPr="006938EB" w:rsidRDefault="00BB4974" w:rsidP="00BB4974">
            <w:pPr>
              <w:rPr>
                <w:rFonts w:ascii="Arial Narrow" w:hAnsi="Arial Narrow" w:cs="Arial"/>
                <w:color w:val="000000"/>
                <w:sz w:val="20"/>
              </w:rPr>
            </w:pPr>
            <w:r w:rsidRPr="0091649A">
              <w:rPr>
                <w:rFonts w:ascii="Arial Narrow" w:hAnsi="Arial Narrow" w:cs="Arial"/>
                <w:color w:val="A6A6A6" w:themeColor="background1" w:themeShade="A6"/>
                <w:sz w:val="20"/>
              </w:rPr>
              <w:t>Full-scale interview</w:t>
            </w:r>
          </w:p>
        </w:tc>
        <w:tc>
          <w:tcPr>
            <w:tcW w:w="0" w:type="auto"/>
            <w:tcBorders>
              <w:top w:val="nil"/>
              <w:left w:val="nil"/>
              <w:bottom w:val="nil"/>
              <w:right w:val="nil"/>
            </w:tcBorders>
            <w:shd w:val="clear" w:color="auto" w:fill="auto"/>
            <w:vAlign w:val="center"/>
            <w:hideMark/>
          </w:tcPr>
          <w:p w14:paraId="5FA086C2" w14:textId="723263E1" w:rsidR="008B0173" w:rsidRDefault="00605B43" w:rsidP="00BB4974">
            <w:pPr>
              <w:jc w:val="right"/>
              <w:rPr>
                <w:rFonts w:ascii="Arial Narrow" w:hAnsi="Arial Narrow" w:cs="Arial"/>
                <w:color w:val="000000"/>
                <w:sz w:val="20"/>
              </w:rPr>
            </w:pPr>
            <w:r>
              <w:rPr>
                <w:rFonts w:ascii="Arial Narrow" w:hAnsi="Arial Narrow" w:cs="Arial"/>
                <w:color w:val="000000"/>
                <w:sz w:val="20"/>
              </w:rPr>
              <w:t>25,556</w:t>
            </w:r>
          </w:p>
          <w:p w14:paraId="31025314" w14:textId="77777777" w:rsidR="00BB4974" w:rsidRPr="006938EB" w:rsidRDefault="00BB4974" w:rsidP="00BB4974">
            <w:pPr>
              <w:jc w:val="right"/>
              <w:rPr>
                <w:rFonts w:ascii="Arial Narrow" w:hAnsi="Arial Narrow" w:cs="Arial"/>
                <w:color w:val="000000"/>
                <w:sz w:val="20"/>
              </w:rPr>
            </w:pPr>
            <w:r w:rsidRPr="0091649A">
              <w:rPr>
                <w:rFonts w:ascii="Arial Narrow" w:hAnsi="Arial Narrow" w:cs="Arial"/>
                <w:color w:val="A6A6A6" w:themeColor="background1" w:themeShade="A6"/>
                <w:sz w:val="20"/>
              </w:rPr>
              <w:t>25,556</w:t>
            </w:r>
          </w:p>
        </w:tc>
        <w:tc>
          <w:tcPr>
            <w:tcW w:w="0" w:type="auto"/>
            <w:tcBorders>
              <w:top w:val="nil"/>
              <w:left w:val="nil"/>
              <w:bottom w:val="nil"/>
              <w:right w:val="nil"/>
            </w:tcBorders>
            <w:shd w:val="clear" w:color="auto" w:fill="auto"/>
            <w:noWrap/>
            <w:vAlign w:val="center"/>
            <w:hideMark/>
          </w:tcPr>
          <w:p w14:paraId="2C5E9825" w14:textId="1FC85110" w:rsidR="008B0173" w:rsidRDefault="00605B43" w:rsidP="00454507">
            <w:pPr>
              <w:jc w:val="right"/>
              <w:rPr>
                <w:rFonts w:ascii="Arial Narrow" w:hAnsi="Arial Narrow" w:cs="Arial"/>
                <w:color w:val="000000"/>
                <w:sz w:val="20"/>
              </w:rPr>
            </w:pPr>
            <w:r>
              <w:rPr>
                <w:rFonts w:ascii="Arial Narrow" w:hAnsi="Arial Narrow" w:cs="Arial"/>
                <w:color w:val="000000"/>
                <w:sz w:val="20"/>
              </w:rPr>
              <w:t>--</w:t>
            </w:r>
          </w:p>
          <w:p w14:paraId="4139F697" w14:textId="77777777" w:rsidR="00BB4974" w:rsidRPr="006938EB" w:rsidRDefault="00BB4974" w:rsidP="00454507">
            <w:pPr>
              <w:jc w:val="right"/>
              <w:rPr>
                <w:rFonts w:ascii="Arial Narrow" w:hAnsi="Arial Narrow" w:cs="Arial"/>
                <w:color w:val="000000"/>
                <w:sz w:val="20"/>
              </w:rPr>
            </w:pPr>
            <w:r w:rsidRPr="0091649A">
              <w:rPr>
                <w:rFonts w:ascii="Arial Narrow" w:hAnsi="Arial Narrow" w:cs="Arial"/>
                <w:color w:val="A6A6A6" w:themeColor="background1" w:themeShade="A6"/>
                <w:sz w:val="20"/>
              </w:rPr>
              <w:t>23,000</w:t>
            </w:r>
          </w:p>
        </w:tc>
        <w:tc>
          <w:tcPr>
            <w:tcW w:w="1268" w:type="dxa"/>
            <w:tcBorders>
              <w:top w:val="nil"/>
              <w:left w:val="nil"/>
              <w:bottom w:val="nil"/>
              <w:right w:val="nil"/>
            </w:tcBorders>
            <w:vAlign w:val="center"/>
          </w:tcPr>
          <w:p w14:paraId="43FF8AD9" w14:textId="6D9E4ED9" w:rsidR="008B0173" w:rsidRDefault="00605BF6" w:rsidP="00BB4974">
            <w:pPr>
              <w:ind w:firstLineChars="200" w:firstLine="400"/>
              <w:jc w:val="right"/>
              <w:rPr>
                <w:rFonts w:ascii="Arial Narrow" w:hAnsi="Arial Narrow" w:cs="Arial"/>
                <w:color w:val="000000"/>
                <w:sz w:val="20"/>
              </w:rPr>
            </w:pPr>
            <w:r>
              <w:rPr>
                <w:rFonts w:ascii="Arial Narrow" w:hAnsi="Arial Narrow" w:cs="Arial"/>
                <w:color w:val="000000"/>
                <w:sz w:val="20"/>
              </w:rPr>
              <w:t>10</w:t>
            </w:r>
          </w:p>
          <w:p w14:paraId="669C17EF" w14:textId="04D8146D" w:rsidR="00BB4974" w:rsidRDefault="00846E99" w:rsidP="00BB4974">
            <w:pPr>
              <w:ind w:firstLineChars="200" w:firstLine="400"/>
              <w:jc w:val="right"/>
              <w:rPr>
                <w:rFonts w:ascii="Arial Narrow" w:hAnsi="Arial Narrow" w:cs="Arial"/>
                <w:color w:val="000000"/>
                <w:sz w:val="20"/>
              </w:rPr>
            </w:pPr>
            <w:r>
              <w:rPr>
                <w:rFonts w:ascii="Arial Narrow" w:hAnsi="Arial Narrow" w:cs="Arial"/>
                <w:color w:val="A6A6A6" w:themeColor="background1" w:themeShade="A6"/>
                <w:sz w:val="20"/>
              </w:rPr>
              <w:t>87</w:t>
            </w:r>
          </w:p>
        </w:tc>
        <w:tc>
          <w:tcPr>
            <w:tcW w:w="1621" w:type="dxa"/>
            <w:tcBorders>
              <w:top w:val="nil"/>
              <w:left w:val="nil"/>
              <w:bottom w:val="nil"/>
              <w:right w:val="nil"/>
            </w:tcBorders>
            <w:shd w:val="clear" w:color="auto" w:fill="auto"/>
            <w:vAlign w:val="center"/>
          </w:tcPr>
          <w:p w14:paraId="3D7E84A5" w14:textId="03A4BA6B" w:rsidR="008B0173" w:rsidRDefault="00605BF6" w:rsidP="00BB4974">
            <w:pPr>
              <w:ind w:firstLineChars="200" w:firstLine="400"/>
              <w:jc w:val="right"/>
              <w:rPr>
                <w:rFonts w:ascii="Arial Narrow" w:hAnsi="Arial Narrow" w:cs="Arial"/>
                <w:color w:val="000000"/>
                <w:sz w:val="20"/>
              </w:rPr>
            </w:pPr>
            <w:r>
              <w:rPr>
                <w:rFonts w:ascii="Arial Narrow" w:hAnsi="Arial Narrow" w:cs="Arial"/>
                <w:color w:val="000000"/>
                <w:sz w:val="20"/>
              </w:rPr>
              <w:t>2</w:t>
            </w:r>
            <w:r w:rsidR="0091649A">
              <w:rPr>
                <w:rFonts w:ascii="Arial Narrow" w:hAnsi="Arial Narrow" w:cs="Arial"/>
                <w:color w:val="000000"/>
                <w:sz w:val="20"/>
              </w:rPr>
              <w:t>,</w:t>
            </w:r>
            <w:r>
              <w:rPr>
                <w:rFonts w:ascii="Arial Narrow" w:hAnsi="Arial Narrow" w:cs="Arial"/>
                <w:color w:val="000000"/>
                <w:sz w:val="20"/>
              </w:rPr>
              <w:t>556</w:t>
            </w:r>
          </w:p>
          <w:p w14:paraId="67B5CDE7" w14:textId="70945683" w:rsidR="00BB4974" w:rsidRPr="006938EB" w:rsidRDefault="00564FCB" w:rsidP="00BB4974">
            <w:pPr>
              <w:ind w:firstLineChars="200" w:firstLine="400"/>
              <w:jc w:val="right"/>
              <w:rPr>
                <w:rFonts w:ascii="Arial Narrow" w:hAnsi="Arial Narrow" w:cs="Arial"/>
                <w:color w:val="000000"/>
                <w:sz w:val="20"/>
              </w:rPr>
            </w:pPr>
            <w:r>
              <w:rPr>
                <w:rFonts w:ascii="Arial Narrow" w:hAnsi="Arial Narrow" w:cs="Arial"/>
                <w:color w:val="A6A6A6" w:themeColor="background1" w:themeShade="A6"/>
                <w:sz w:val="20"/>
              </w:rPr>
              <w:t>20,053</w:t>
            </w:r>
          </w:p>
        </w:tc>
        <w:tc>
          <w:tcPr>
            <w:tcW w:w="1234" w:type="dxa"/>
            <w:tcBorders>
              <w:top w:val="nil"/>
              <w:left w:val="nil"/>
              <w:bottom w:val="nil"/>
              <w:right w:val="nil"/>
            </w:tcBorders>
            <w:vAlign w:val="center"/>
          </w:tcPr>
          <w:p w14:paraId="39B3714D" w14:textId="61904474" w:rsidR="008B0173" w:rsidRDefault="00605BF6" w:rsidP="00BB4974">
            <w:pPr>
              <w:jc w:val="right"/>
              <w:rPr>
                <w:rFonts w:ascii="Arial Narrow" w:hAnsi="Arial Narrow" w:cs="Arial"/>
                <w:color w:val="000000"/>
                <w:sz w:val="20"/>
              </w:rPr>
            </w:pPr>
            <w:r>
              <w:rPr>
                <w:rFonts w:ascii="Arial Narrow" w:hAnsi="Arial Narrow" w:cs="Arial"/>
                <w:color w:val="000000"/>
                <w:sz w:val="20"/>
              </w:rPr>
              <w:t>2</w:t>
            </w:r>
            <w:r w:rsidR="0091649A">
              <w:rPr>
                <w:rFonts w:ascii="Arial Narrow" w:hAnsi="Arial Narrow" w:cs="Arial"/>
                <w:color w:val="000000"/>
                <w:sz w:val="20"/>
              </w:rPr>
              <w:t>,</w:t>
            </w:r>
            <w:r>
              <w:rPr>
                <w:rFonts w:ascii="Arial Narrow" w:hAnsi="Arial Narrow" w:cs="Arial"/>
                <w:color w:val="000000"/>
                <w:sz w:val="20"/>
              </w:rPr>
              <w:t>556</w:t>
            </w:r>
          </w:p>
          <w:p w14:paraId="2880DC59" w14:textId="05C7D348" w:rsidR="00BB4974" w:rsidRDefault="001A65A2" w:rsidP="00BB4974">
            <w:pPr>
              <w:jc w:val="right"/>
              <w:rPr>
                <w:rFonts w:ascii="Arial Narrow" w:hAnsi="Arial Narrow" w:cs="Arial"/>
                <w:color w:val="000000"/>
                <w:sz w:val="20"/>
              </w:rPr>
            </w:pPr>
            <w:r>
              <w:rPr>
                <w:rFonts w:ascii="Arial Narrow" w:hAnsi="Arial Narrow" w:cs="Arial"/>
                <w:color w:val="A6A6A6" w:themeColor="background1" w:themeShade="A6"/>
                <w:sz w:val="20"/>
              </w:rPr>
              <w:t>20,053</w:t>
            </w:r>
          </w:p>
        </w:tc>
        <w:tc>
          <w:tcPr>
            <w:tcW w:w="1736" w:type="dxa"/>
            <w:tcBorders>
              <w:top w:val="nil"/>
              <w:left w:val="nil"/>
              <w:bottom w:val="nil"/>
              <w:right w:val="nil"/>
            </w:tcBorders>
            <w:shd w:val="clear" w:color="auto" w:fill="auto"/>
            <w:vAlign w:val="center"/>
          </w:tcPr>
          <w:p w14:paraId="340E7C20" w14:textId="088D9918" w:rsidR="008B0173" w:rsidRDefault="00605B43" w:rsidP="00BB4974">
            <w:pPr>
              <w:ind w:firstLineChars="200" w:firstLine="400"/>
              <w:jc w:val="right"/>
              <w:rPr>
                <w:rFonts w:ascii="Arial Narrow" w:hAnsi="Arial Narrow" w:cs="Arial"/>
                <w:color w:val="000000"/>
                <w:sz w:val="20"/>
              </w:rPr>
            </w:pPr>
            <w:r>
              <w:rPr>
                <w:rFonts w:ascii="Arial Narrow" w:hAnsi="Arial Narrow" w:cs="Arial"/>
                <w:color w:val="000000"/>
                <w:sz w:val="20"/>
              </w:rPr>
              <w:t>3</w:t>
            </w:r>
          </w:p>
          <w:p w14:paraId="23C98A61" w14:textId="77777777" w:rsidR="00BB4974" w:rsidRPr="006938EB" w:rsidRDefault="00BB4974" w:rsidP="00BB4974">
            <w:pPr>
              <w:ind w:firstLineChars="200" w:firstLine="400"/>
              <w:jc w:val="right"/>
              <w:rPr>
                <w:rFonts w:ascii="Arial Narrow" w:hAnsi="Arial Narrow" w:cs="Arial"/>
                <w:color w:val="000000"/>
                <w:sz w:val="20"/>
              </w:rPr>
            </w:pPr>
            <w:r w:rsidRPr="0091649A">
              <w:rPr>
                <w:rFonts w:ascii="Arial Narrow" w:hAnsi="Arial Narrow" w:cs="Arial"/>
                <w:color w:val="A6A6A6" w:themeColor="background1" w:themeShade="A6"/>
                <w:sz w:val="20"/>
              </w:rPr>
              <w:t>30</w:t>
            </w:r>
          </w:p>
        </w:tc>
        <w:tc>
          <w:tcPr>
            <w:tcW w:w="972" w:type="dxa"/>
            <w:tcBorders>
              <w:top w:val="nil"/>
              <w:left w:val="nil"/>
              <w:bottom w:val="nil"/>
              <w:right w:val="nil"/>
            </w:tcBorders>
            <w:shd w:val="clear" w:color="auto" w:fill="auto"/>
            <w:vAlign w:val="center"/>
          </w:tcPr>
          <w:p w14:paraId="2ABCB9B5" w14:textId="292E7B29" w:rsidR="008B0173" w:rsidRDefault="007A4AA9" w:rsidP="00BB4974">
            <w:pPr>
              <w:jc w:val="right"/>
              <w:rPr>
                <w:rFonts w:ascii="Arial Narrow" w:hAnsi="Arial Narrow" w:cs="Arial"/>
                <w:color w:val="000000"/>
                <w:sz w:val="20"/>
              </w:rPr>
            </w:pPr>
            <w:r>
              <w:rPr>
                <w:rFonts w:ascii="Arial Narrow" w:hAnsi="Arial Narrow" w:cs="Arial"/>
                <w:color w:val="000000"/>
                <w:sz w:val="20"/>
              </w:rPr>
              <w:t>128</w:t>
            </w:r>
          </w:p>
          <w:p w14:paraId="05CE69E2" w14:textId="5E013604" w:rsidR="00BB4974" w:rsidRPr="006938EB" w:rsidRDefault="001A65A2" w:rsidP="00BB4974">
            <w:pPr>
              <w:jc w:val="right"/>
              <w:rPr>
                <w:rFonts w:ascii="Arial Narrow" w:hAnsi="Arial Narrow" w:cs="Arial"/>
                <w:color w:val="000000"/>
                <w:sz w:val="20"/>
              </w:rPr>
            </w:pPr>
            <w:r>
              <w:rPr>
                <w:rFonts w:ascii="Arial Narrow" w:hAnsi="Arial Narrow" w:cs="Arial"/>
                <w:color w:val="A6A6A6" w:themeColor="background1" w:themeShade="A6"/>
                <w:sz w:val="20"/>
              </w:rPr>
              <w:t>10,027</w:t>
            </w:r>
          </w:p>
        </w:tc>
      </w:tr>
      <w:tr w:rsidR="0091649A" w:rsidRPr="0091649A" w14:paraId="452A3EDE" w14:textId="77777777" w:rsidTr="0091649A">
        <w:trPr>
          <w:trHeight w:val="312"/>
        </w:trPr>
        <w:tc>
          <w:tcPr>
            <w:tcW w:w="0" w:type="auto"/>
            <w:tcBorders>
              <w:top w:val="nil"/>
              <w:left w:val="nil"/>
              <w:bottom w:val="nil"/>
              <w:right w:val="nil"/>
            </w:tcBorders>
            <w:shd w:val="clear" w:color="auto" w:fill="auto"/>
            <w:noWrap/>
            <w:vAlign w:val="center"/>
            <w:hideMark/>
          </w:tcPr>
          <w:p w14:paraId="2D4EA745" w14:textId="77777777" w:rsidR="00BB4974" w:rsidRPr="0091649A" w:rsidRDefault="00BB4974" w:rsidP="00BB4974">
            <w:pPr>
              <w:rPr>
                <w:rFonts w:ascii="Arial Narrow" w:hAnsi="Arial Narrow" w:cs="Arial"/>
                <w:b/>
                <w:bCs/>
                <w:color w:val="A6A6A6" w:themeColor="background1" w:themeShade="A6"/>
                <w:sz w:val="20"/>
              </w:rPr>
            </w:pPr>
            <w:r w:rsidRPr="0091649A">
              <w:rPr>
                <w:rFonts w:ascii="Arial Narrow" w:hAnsi="Arial Narrow" w:cs="Arial"/>
                <w:b/>
                <w:bCs/>
                <w:color w:val="A6A6A6" w:themeColor="background1" w:themeShade="A6"/>
                <w:sz w:val="20"/>
              </w:rPr>
              <w:t>Total</w:t>
            </w:r>
          </w:p>
        </w:tc>
        <w:tc>
          <w:tcPr>
            <w:tcW w:w="0" w:type="auto"/>
            <w:tcBorders>
              <w:top w:val="nil"/>
              <w:left w:val="nil"/>
              <w:bottom w:val="nil"/>
              <w:right w:val="nil"/>
            </w:tcBorders>
            <w:shd w:val="clear" w:color="auto" w:fill="auto"/>
            <w:noWrap/>
            <w:vAlign w:val="center"/>
            <w:hideMark/>
          </w:tcPr>
          <w:p w14:paraId="3D73BB63" w14:textId="77777777" w:rsidR="00BB4974" w:rsidRPr="0091649A" w:rsidRDefault="00BB4974" w:rsidP="00BB4974">
            <w:pPr>
              <w:rPr>
                <w:rFonts w:ascii="Arial Narrow" w:hAnsi="Arial Narrow"/>
                <w:color w:val="A6A6A6" w:themeColor="background1" w:themeShade="A6"/>
                <w:sz w:val="22"/>
                <w:szCs w:val="22"/>
              </w:rPr>
            </w:pPr>
            <w:r w:rsidRPr="0091649A">
              <w:rPr>
                <w:rFonts w:ascii="Arial Narrow" w:hAnsi="Arial Narrow"/>
                <w:color w:val="A6A6A6" w:themeColor="background1" w:themeShade="A6"/>
                <w:sz w:val="22"/>
                <w:szCs w:val="22"/>
              </w:rPr>
              <w:t> </w:t>
            </w:r>
          </w:p>
        </w:tc>
        <w:tc>
          <w:tcPr>
            <w:tcW w:w="0" w:type="auto"/>
            <w:tcBorders>
              <w:top w:val="nil"/>
              <w:left w:val="nil"/>
              <w:bottom w:val="nil"/>
              <w:right w:val="nil"/>
            </w:tcBorders>
            <w:shd w:val="clear" w:color="auto" w:fill="auto"/>
            <w:noWrap/>
            <w:vAlign w:val="center"/>
            <w:hideMark/>
          </w:tcPr>
          <w:p w14:paraId="1BE89D15" w14:textId="77777777" w:rsidR="00BB4974" w:rsidRPr="0091649A" w:rsidRDefault="00BB4974" w:rsidP="00BB4974">
            <w:pPr>
              <w:ind w:firstLineChars="200" w:firstLine="400"/>
              <w:jc w:val="right"/>
              <w:rPr>
                <w:rFonts w:ascii="Arial Narrow" w:hAnsi="Arial Narrow" w:cs="Arial"/>
                <w:color w:val="A6A6A6" w:themeColor="background1" w:themeShade="A6"/>
                <w:sz w:val="20"/>
              </w:rPr>
            </w:pPr>
            <w:r w:rsidRPr="0091649A">
              <w:rPr>
                <w:rFonts w:ascii="Arial Narrow" w:hAnsi="Arial Narrow" w:cs="Arial"/>
                <w:color w:val="A6A6A6" w:themeColor="background1" w:themeShade="A6"/>
                <w:sz w:val="20"/>
              </w:rPr>
              <w:t> </w:t>
            </w:r>
          </w:p>
        </w:tc>
        <w:tc>
          <w:tcPr>
            <w:tcW w:w="1268" w:type="dxa"/>
            <w:tcBorders>
              <w:top w:val="nil"/>
              <w:left w:val="nil"/>
              <w:bottom w:val="nil"/>
              <w:right w:val="nil"/>
            </w:tcBorders>
            <w:vAlign w:val="center"/>
          </w:tcPr>
          <w:p w14:paraId="3072E490" w14:textId="77777777" w:rsidR="00BB4974" w:rsidRPr="0091649A" w:rsidRDefault="00BB4974" w:rsidP="00BB4974">
            <w:pPr>
              <w:ind w:firstLineChars="200" w:firstLine="402"/>
              <w:jc w:val="right"/>
              <w:rPr>
                <w:rFonts w:ascii="Arial Narrow" w:hAnsi="Arial Narrow" w:cs="Arial"/>
                <w:b/>
                <w:bCs/>
                <w:color w:val="A6A6A6" w:themeColor="background1" w:themeShade="A6"/>
                <w:sz w:val="20"/>
              </w:rPr>
            </w:pPr>
          </w:p>
        </w:tc>
        <w:tc>
          <w:tcPr>
            <w:tcW w:w="1621" w:type="dxa"/>
            <w:tcBorders>
              <w:top w:val="nil"/>
              <w:left w:val="nil"/>
              <w:bottom w:val="nil"/>
              <w:right w:val="nil"/>
            </w:tcBorders>
            <w:shd w:val="clear" w:color="auto" w:fill="auto"/>
            <w:vAlign w:val="center"/>
          </w:tcPr>
          <w:p w14:paraId="45DEF97B" w14:textId="6B73E0B3" w:rsidR="00BB4974" w:rsidRPr="0091649A" w:rsidRDefault="00223EBC" w:rsidP="00BB4974">
            <w:pPr>
              <w:ind w:firstLineChars="200" w:firstLine="402"/>
              <w:jc w:val="right"/>
              <w:rPr>
                <w:rFonts w:ascii="Arial Narrow" w:hAnsi="Arial Narrow" w:cs="Arial"/>
                <w:b/>
                <w:bCs/>
                <w:color w:val="A6A6A6" w:themeColor="background1" w:themeShade="A6"/>
                <w:sz w:val="20"/>
              </w:rPr>
            </w:pPr>
            <w:r>
              <w:rPr>
                <w:rFonts w:ascii="Arial Narrow" w:hAnsi="Arial Narrow" w:cs="Arial"/>
                <w:b/>
                <w:bCs/>
                <w:color w:val="A6A6A6" w:themeColor="background1" w:themeShade="A6"/>
                <w:sz w:val="20"/>
              </w:rPr>
              <w:t>22,609</w:t>
            </w:r>
          </w:p>
        </w:tc>
        <w:tc>
          <w:tcPr>
            <w:tcW w:w="1234" w:type="dxa"/>
            <w:tcBorders>
              <w:top w:val="nil"/>
              <w:left w:val="nil"/>
              <w:bottom w:val="nil"/>
              <w:right w:val="nil"/>
            </w:tcBorders>
            <w:vAlign w:val="center"/>
          </w:tcPr>
          <w:p w14:paraId="6991DE31" w14:textId="6C067282" w:rsidR="00BB4974" w:rsidRPr="0091649A" w:rsidRDefault="00127BF5" w:rsidP="00127BF5">
            <w:pPr>
              <w:jc w:val="right"/>
              <w:rPr>
                <w:rFonts w:ascii="Arial Narrow" w:hAnsi="Arial Narrow" w:cs="Arial"/>
                <w:color w:val="A6A6A6" w:themeColor="background1" w:themeShade="A6"/>
                <w:sz w:val="20"/>
              </w:rPr>
            </w:pPr>
            <w:r>
              <w:rPr>
                <w:rFonts w:ascii="Arial Narrow" w:hAnsi="Arial Narrow" w:cs="Arial"/>
                <w:b/>
                <w:bCs/>
                <w:color w:val="A6A6A6" w:themeColor="background1" w:themeShade="A6"/>
                <w:sz w:val="20"/>
              </w:rPr>
              <w:t>22,609</w:t>
            </w:r>
          </w:p>
        </w:tc>
        <w:tc>
          <w:tcPr>
            <w:tcW w:w="1736" w:type="dxa"/>
            <w:tcBorders>
              <w:top w:val="nil"/>
              <w:left w:val="nil"/>
              <w:bottom w:val="nil"/>
              <w:right w:val="nil"/>
            </w:tcBorders>
            <w:shd w:val="clear" w:color="auto" w:fill="auto"/>
            <w:noWrap/>
            <w:vAlign w:val="center"/>
          </w:tcPr>
          <w:p w14:paraId="5DB810F5" w14:textId="77777777" w:rsidR="00BB4974" w:rsidRPr="0091649A" w:rsidRDefault="00BB4974" w:rsidP="00BB4974">
            <w:pPr>
              <w:ind w:firstLineChars="200" w:firstLine="400"/>
              <w:jc w:val="right"/>
              <w:rPr>
                <w:rFonts w:ascii="Arial Narrow" w:hAnsi="Arial Narrow" w:cs="Arial"/>
                <w:color w:val="A6A6A6" w:themeColor="background1" w:themeShade="A6"/>
                <w:sz w:val="20"/>
              </w:rPr>
            </w:pPr>
          </w:p>
        </w:tc>
        <w:tc>
          <w:tcPr>
            <w:tcW w:w="972" w:type="dxa"/>
            <w:tcBorders>
              <w:top w:val="nil"/>
              <w:left w:val="nil"/>
              <w:bottom w:val="nil"/>
              <w:right w:val="nil"/>
            </w:tcBorders>
            <w:shd w:val="clear" w:color="auto" w:fill="auto"/>
            <w:noWrap/>
            <w:vAlign w:val="center"/>
          </w:tcPr>
          <w:p w14:paraId="796F7D63" w14:textId="643E19FE" w:rsidR="00BB4974" w:rsidRPr="0091649A" w:rsidRDefault="00521DD2" w:rsidP="00BB4974">
            <w:pPr>
              <w:jc w:val="right"/>
              <w:rPr>
                <w:rFonts w:ascii="Arial Narrow" w:hAnsi="Arial Narrow" w:cs="Arial"/>
                <w:b/>
                <w:bCs/>
                <w:color w:val="A6A6A6" w:themeColor="background1" w:themeShade="A6"/>
                <w:sz w:val="20"/>
              </w:rPr>
            </w:pPr>
            <w:r>
              <w:rPr>
                <w:rFonts w:ascii="Arial Narrow" w:hAnsi="Arial Narrow" w:cs="Arial"/>
                <w:b/>
                <w:bCs/>
                <w:color w:val="A6A6A6" w:themeColor="background1" w:themeShade="A6"/>
                <w:sz w:val="20"/>
              </w:rPr>
              <w:t>10,155</w:t>
            </w:r>
          </w:p>
        </w:tc>
      </w:tr>
      <w:tr w:rsidR="0091649A" w14:paraId="2F332E60" w14:textId="77777777" w:rsidTr="0091649A">
        <w:trPr>
          <w:trHeight w:val="312"/>
        </w:trPr>
        <w:tc>
          <w:tcPr>
            <w:tcW w:w="0" w:type="auto"/>
            <w:tcBorders>
              <w:top w:val="nil"/>
              <w:left w:val="nil"/>
              <w:bottom w:val="nil"/>
              <w:right w:val="nil"/>
            </w:tcBorders>
            <w:shd w:val="clear" w:color="auto" w:fill="auto"/>
            <w:noWrap/>
            <w:vAlign w:val="center"/>
          </w:tcPr>
          <w:p w14:paraId="55124118" w14:textId="77777777" w:rsidR="0091649A" w:rsidRPr="00EF321A" w:rsidRDefault="0091649A" w:rsidP="00BB4974">
            <w:pPr>
              <w:rPr>
                <w:rFonts w:ascii="Arial Narrow" w:hAnsi="Arial Narrow" w:cs="Arial"/>
                <w:b/>
                <w:bCs/>
                <w:color w:val="000000"/>
                <w:sz w:val="20"/>
              </w:rPr>
            </w:pPr>
          </w:p>
        </w:tc>
        <w:tc>
          <w:tcPr>
            <w:tcW w:w="0" w:type="auto"/>
            <w:tcBorders>
              <w:top w:val="nil"/>
              <w:left w:val="nil"/>
              <w:bottom w:val="nil"/>
              <w:right w:val="nil"/>
            </w:tcBorders>
            <w:shd w:val="clear" w:color="auto" w:fill="auto"/>
            <w:noWrap/>
            <w:vAlign w:val="center"/>
          </w:tcPr>
          <w:p w14:paraId="385822D1" w14:textId="77777777" w:rsidR="0091649A" w:rsidRPr="006938EB" w:rsidRDefault="0091649A" w:rsidP="00BB4974">
            <w:pPr>
              <w:rPr>
                <w:rFonts w:ascii="Arial Narrow" w:hAnsi="Arial Narrow"/>
                <w:color w:val="000000"/>
                <w:sz w:val="22"/>
                <w:szCs w:val="22"/>
              </w:rPr>
            </w:pPr>
          </w:p>
        </w:tc>
        <w:tc>
          <w:tcPr>
            <w:tcW w:w="0" w:type="auto"/>
            <w:tcBorders>
              <w:top w:val="nil"/>
              <w:left w:val="nil"/>
              <w:bottom w:val="nil"/>
              <w:right w:val="nil"/>
            </w:tcBorders>
            <w:shd w:val="clear" w:color="auto" w:fill="auto"/>
            <w:noWrap/>
            <w:vAlign w:val="center"/>
          </w:tcPr>
          <w:p w14:paraId="283C7163" w14:textId="77777777" w:rsidR="0091649A" w:rsidRPr="006938EB" w:rsidRDefault="0091649A" w:rsidP="00BB4974">
            <w:pPr>
              <w:ind w:firstLineChars="200" w:firstLine="400"/>
              <w:jc w:val="right"/>
              <w:rPr>
                <w:rFonts w:ascii="Arial Narrow" w:hAnsi="Arial Narrow" w:cs="Arial"/>
                <w:color w:val="000000"/>
                <w:sz w:val="20"/>
              </w:rPr>
            </w:pPr>
          </w:p>
        </w:tc>
        <w:tc>
          <w:tcPr>
            <w:tcW w:w="1268" w:type="dxa"/>
            <w:tcBorders>
              <w:top w:val="nil"/>
              <w:left w:val="nil"/>
              <w:bottom w:val="nil"/>
              <w:right w:val="nil"/>
            </w:tcBorders>
            <w:vAlign w:val="center"/>
          </w:tcPr>
          <w:p w14:paraId="31D6A50E" w14:textId="77777777" w:rsidR="0091649A" w:rsidRPr="0057225D" w:rsidRDefault="0091649A" w:rsidP="00BB4974">
            <w:pPr>
              <w:ind w:firstLineChars="200" w:firstLine="402"/>
              <w:jc w:val="right"/>
              <w:rPr>
                <w:rFonts w:ascii="Arial Narrow" w:hAnsi="Arial Narrow" w:cs="Arial"/>
                <w:b/>
                <w:bCs/>
                <w:color w:val="000000"/>
                <w:sz w:val="20"/>
              </w:rPr>
            </w:pPr>
          </w:p>
        </w:tc>
        <w:tc>
          <w:tcPr>
            <w:tcW w:w="1621" w:type="dxa"/>
            <w:tcBorders>
              <w:top w:val="nil"/>
              <w:left w:val="nil"/>
              <w:bottom w:val="nil"/>
              <w:right w:val="nil"/>
            </w:tcBorders>
            <w:shd w:val="clear" w:color="auto" w:fill="auto"/>
            <w:vAlign w:val="center"/>
          </w:tcPr>
          <w:p w14:paraId="1286C582" w14:textId="77777777" w:rsidR="0091649A" w:rsidRPr="0057225D" w:rsidRDefault="0091649A" w:rsidP="00BB4974">
            <w:pPr>
              <w:ind w:firstLineChars="200" w:firstLine="402"/>
              <w:jc w:val="right"/>
              <w:rPr>
                <w:rFonts w:ascii="Arial Narrow" w:hAnsi="Arial Narrow" w:cs="Arial"/>
                <w:b/>
                <w:bCs/>
                <w:color w:val="000000"/>
                <w:sz w:val="20"/>
              </w:rPr>
            </w:pPr>
          </w:p>
        </w:tc>
        <w:tc>
          <w:tcPr>
            <w:tcW w:w="1234" w:type="dxa"/>
            <w:tcBorders>
              <w:top w:val="nil"/>
              <w:left w:val="nil"/>
              <w:bottom w:val="nil"/>
              <w:right w:val="nil"/>
            </w:tcBorders>
            <w:vAlign w:val="center"/>
          </w:tcPr>
          <w:p w14:paraId="5753C146" w14:textId="77777777" w:rsidR="0091649A" w:rsidRPr="0057225D" w:rsidRDefault="0091649A" w:rsidP="00BB4974">
            <w:pPr>
              <w:jc w:val="right"/>
              <w:rPr>
                <w:rFonts w:ascii="Arial Narrow" w:hAnsi="Arial Narrow" w:cs="Arial"/>
                <w:b/>
                <w:bCs/>
                <w:color w:val="000000"/>
                <w:sz w:val="20"/>
              </w:rPr>
            </w:pPr>
          </w:p>
        </w:tc>
        <w:tc>
          <w:tcPr>
            <w:tcW w:w="1736" w:type="dxa"/>
            <w:tcBorders>
              <w:top w:val="nil"/>
              <w:left w:val="nil"/>
              <w:bottom w:val="nil"/>
              <w:right w:val="nil"/>
            </w:tcBorders>
            <w:shd w:val="clear" w:color="auto" w:fill="auto"/>
            <w:noWrap/>
            <w:vAlign w:val="center"/>
          </w:tcPr>
          <w:p w14:paraId="432A8B59" w14:textId="77777777" w:rsidR="0091649A" w:rsidRPr="006938EB" w:rsidRDefault="0091649A" w:rsidP="00BB4974">
            <w:pPr>
              <w:ind w:firstLineChars="200" w:firstLine="400"/>
              <w:jc w:val="right"/>
              <w:rPr>
                <w:rFonts w:ascii="Arial Narrow" w:hAnsi="Arial Narrow" w:cs="Arial"/>
                <w:color w:val="000000"/>
                <w:sz w:val="20"/>
              </w:rPr>
            </w:pPr>
          </w:p>
        </w:tc>
        <w:tc>
          <w:tcPr>
            <w:tcW w:w="972" w:type="dxa"/>
            <w:tcBorders>
              <w:top w:val="nil"/>
              <w:left w:val="nil"/>
              <w:bottom w:val="nil"/>
              <w:right w:val="nil"/>
            </w:tcBorders>
            <w:shd w:val="clear" w:color="auto" w:fill="auto"/>
            <w:noWrap/>
            <w:vAlign w:val="center"/>
          </w:tcPr>
          <w:p w14:paraId="5230A4E8" w14:textId="77777777" w:rsidR="0091649A" w:rsidRPr="0057225D" w:rsidRDefault="0091649A" w:rsidP="00BB4974">
            <w:pPr>
              <w:jc w:val="right"/>
              <w:rPr>
                <w:rFonts w:ascii="Arial Narrow" w:hAnsi="Arial Narrow" w:cs="Arial"/>
                <w:b/>
                <w:bCs/>
                <w:color w:val="000000"/>
                <w:sz w:val="20"/>
              </w:rPr>
            </w:pPr>
          </w:p>
        </w:tc>
      </w:tr>
      <w:tr w:rsidR="0091649A" w14:paraId="6297CB0F" w14:textId="77777777" w:rsidTr="00454507">
        <w:trPr>
          <w:trHeight w:val="312"/>
        </w:trPr>
        <w:tc>
          <w:tcPr>
            <w:tcW w:w="0" w:type="auto"/>
            <w:tcBorders>
              <w:top w:val="nil"/>
              <w:left w:val="nil"/>
              <w:bottom w:val="single" w:sz="12" w:space="0" w:color="auto"/>
              <w:right w:val="nil"/>
            </w:tcBorders>
            <w:shd w:val="clear" w:color="auto" w:fill="auto"/>
            <w:noWrap/>
            <w:vAlign w:val="center"/>
          </w:tcPr>
          <w:p w14:paraId="32CDAFEF" w14:textId="7455D97C" w:rsidR="0091649A" w:rsidRPr="00EF321A" w:rsidRDefault="0091649A" w:rsidP="00BB4974">
            <w:pPr>
              <w:rPr>
                <w:rFonts w:ascii="Arial Narrow" w:hAnsi="Arial Narrow" w:cs="Arial"/>
                <w:b/>
                <w:bCs/>
                <w:color w:val="000000"/>
                <w:sz w:val="20"/>
              </w:rPr>
            </w:pPr>
            <w:r>
              <w:rPr>
                <w:rFonts w:ascii="Arial Narrow" w:hAnsi="Arial Narrow" w:cs="Arial"/>
                <w:b/>
                <w:bCs/>
                <w:color w:val="000000"/>
                <w:sz w:val="20"/>
              </w:rPr>
              <w:t>Total in this request</w:t>
            </w:r>
          </w:p>
        </w:tc>
        <w:tc>
          <w:tcPr>
            <w:tcW w:w="0" w:type="auto"/>
            <w:tcBorders>
              <w:top w:val="nil"/>
              <w:left w:val="nil"/>
              <w:bottom w:val="single" w:sz="12" w:space="0" w:color="auto"/>
              <w:right w:val="nil"/>
            </w:tcBorders>
            <w:shd w:val="clear" w:color="auto" w:fill="auto"/>
            <w:noWrap/>
            <w:vAlign w:val="center"/>
          </w:tcPr>
          <w:p w14:paraId="17E33473" w14:textId="66C0DD33" w:rsidR="0091649A" w:rsidRPr="006938EB" w:rsidRDefault="0091649A" w:rsidP="0091649A">
            <w:pPr>
              <w:jc w:val="right"/>
              <w:rPr>
                <w:rFonts w:ascii="Arial Narrow" w:hAnsi="Arial Narrow"/>
                <w:color w:val="000000"/>
                <w:sz w:val="22"/>
                <w:szCs w:val="22"/>
              </w:rPr>
            </w:pPr>
            <w:r>
              <w:rPr>
                <w:rFonts w:ascii="Arial Narrow" w:hAnsi="Arial Narrow"/>
                <w:color w:val="000000"/>
                <w:sz w:val="22"/>
                <w:szCs w:val="22"/>
              </w:rPr>
              <w:t>--</w:t>
            </w:r>
          </w:p>
        </w:tc>
        <w:tc>
          <w:tcPr>
            <w:tcW w:w="0" w:type="auto"/>
            <w:tcBorders>
              <w:top w:val="nil"/>
              <w:left w:val="nil"/>
              <w:bottom w:val="single" w:sz="12" w:space="0" w:color="auto"/>
              <w:right w:val="nil"/>
            </w:tcBorders>
            <w:shd w:val="clear" w:color="auto" w:fill="auto"/>
            <w:noWrap/>
            <w:vAlign w:val="center"/>
          </w:tcPr>
          <w:p w14:paraId="025FE457" w14:textId="0FF2E664" w:rsidR="0091649A" w:rsidRPr="006938EB" w:rsidRDefault="0091649A" w:rsidP="00BB4974">
            <w:pPr>
              <w:ind w:firstLineChars="200" w:firstLine="400"/>
              <w:jc w:val="right"/>
              <w:rPr>
                <w:rFonts w:ascii="Arial Narrow" w:hAnsi="Arial Narrow" w:cs="Arial"/>
                <w:color w:val="000000"/>
                <w:sz w:val="20"/>
              </w:rPr>
            </w:pPr>
            <w:r>
              <w:rPr>
                <w:rFonts w:ascii="Arial Narrow" w:hAnsi="Arial Narrow" w:cs="Arial"/>
                <w:color w:val="000000"/>
                <w:sz w:val="20"/>
              </w:rPr>
              <w:t>--</w:t>
            </w:r>
          </w:p>
        </w:tc>
        <w:tc>
          <w:tcPr>
            <w:tcW w:w="1268" w:type="dxa"/>
            <w:tcBorders>
              <w:top w:val="nil"/>
              <w:left w:val="nil"/>
              <w:bottom w:val="single" w:sz="12" w:space="0" w:color="auto"/>
              <w:right w:val="nil"/>
            </w:tcBorders>
            <w:vAlign w:val="center"/>
          </w:tcPr>
          <w:p w14:paraId="33C798CD" w14:textId="747D3D47" w:rsidR="0091649A" w:rsidRPr="0057225D" w:rsidRDefault="0091649A" w:rsidP="00BB4974">
            <w:pPr>
              <w:ind w:firstLineChars="200" w:firstLine="402"/>
              <w:jc w:val="right"/>
              <w:rPr>
                <w:rFonts w:ascii="Arial Narrow" w:hAnsi="Arial Narrow" w:cs="Arial"/>
                <w:b/>
                <w:bCs/>
                <w:color w:val="000000"/>
                <w:sz w:val="20"/>
              </w:rPr>
            </w:pPr>
            <w:r>
              <w:rPr>
                <w:rFonts w:ascii="Arial Narrow" w:hAnsi="Arial Narrow" w:cs="Arial"/>
                <w:b/>
                <w:bCs/>
                <w:color w:val="000000"/>
                <w:sz w:val="20"/>
              </w:rPr>
              <w:t>--</w:t>
            </w:r>
          </w:p>
        </w:tc>
        <w:tc>
          <w:tcPr>
            <w:tcW w:w="1621" w:type="dxa"/>
            <w:tcBorders>
              <w:top w:val="nil"/>
              <w:left w:val="nil"/>
              <w:bottom w:val="single" w:sz="12" w:space="0" w:color="auto"/>
              <w:right w:val="nil"/>
            </w:tcBorders>
            <w:shd w:val="clear" w:color="auto" w:fill="auto"/>
            <w:vAlign w:val="center"/>
          </w:tcPr>
          <w:p w14:paraId="0B3DB6FC" w14:textId="769F0F12" w:rsidR="0091649A" w:rsidRPr="0057225D" w:rsidRDefault="0091649A" w:rsidP="00BB4974">
            <w:pPr>
              <w:ind w:firstLineChars="200" w:firstLine="402"/>
              <w:jc w:val="right"/>
              <w:rPr>
                <w:rFonts w:ascii="Arial Narrow" w:hAnsi="Arial Narrow" w:cs="Arial"/>
                <w:b/>
                <w:bCs/>
                <w:color w:val="000000"/>
                <w:sz w:val="20"/>
              </w:rPr>
            </w:pPr>
            <w:r>
              <w:rPr>
                <w:rFonts w:ascii="Arial Narrow" w:hAnsi="Arial Narrow" w:cs="Arial"/>
                <w:b/>
                <w:bCs/>
                <w:color w:val="000000"/>
                <w:sz w:val="20"/>
              </w:rPr>
              <w:t>4,417</w:t>
            </w:r>
          </w:p>
        </w:tc>
        <w:tc>
          <w:tcPr>
            <w:tcW w:w="1234" w:type="dxa"/>
            <w:tcBorders>
              <w:top w:val="nil"/>
              <w:left w:val="nil"/>
              <w:bottom w:val="single" w:sz="12" w:space="0" w:color="auto"/>
              <w:right w:val="nil"/>
            </w:tcBorders>
            <w:vAlign w:val="center"/>
          </w:tcPr>
          <w:p w14:paraId="59A1A91A" w14:textId="4F122C2F" w:rsidR="0091649A" w:rsidRPr="0057225D" w:rsidRDefault="0091649A" w:rsidP="00BB4974">
            <w:pPr>
              <w:jc w:val="right"/>
              <w:rPr>
                <w:rFonts w:ascii="Arial Narrow" w:hAnsi="Arial Narrow" w:cs="Arial"/>
                <w:b/>
                <w:bCs/>
                <w:color w:val="000000"/>
                <w:sz w:val="20"/>
              </w:rPr>
            </w:pPr>
            <w:r>
              <w:rPr>
                <w:rFonts w:ascii="Arial Narrow" w:hAnsi="Arial Narrow" w:cs="Arial"/>
                <w:b/>
                <w:bCs/>
                <w:color w:val="000000"/>
                <w:sz w:val="20"/>
              </w:rPr>
              <w:t>4,417</w:t>
            </w:r>
          </w:p>
        </w:tc>
        <w:tc>
          <w:tcPr>
            <w:tcW w:w="1736" w:type="dxa"/>
            <w:tcBorders>
              <w:top w:val="nil"/>
              <w:left w:val="nil"/>
              <w:bottom w:val="single" w:sz="12" w:space="0" w:color="auto"/>
              <w:right w:val="nil"/>
            </w:tcBorders>
            <w:shd w:val="clear" w:color="auto" w:fill="auto"/>
            <w:noWrap/>
            <w:vAlign w:val="center"/>
          </w:tcPr>
          <w:p w14:paraId="29E13632" w14:textId="3B5DE786" w:rsidR="0091649A" w:rsidRPr="006938EB" w:rsidRDefault="0091649A" w:rsidP="00BB4974">
            <w:pPr>
              <w:ind w:firstLineChars="200" w:firstLine="400"/>
              <w:jc w:val="right"/>
              <w:rPr>
                <w:rFonts w:ascii="Arial Narrow" w:hAnsi="Arial Narrow" w:cs="Arial"/>
                <w:color w:val="000000"/>
                <w:sz w:val="20"/>
              </w:rPr>
            </w:pPr>
            <w:r>
              <w:rPr>
                <w:rFonts w:ascii="Arial Narrow" w:hAnsi="Arial Narrow" w:cs="Arial"/>
                <w:color w:val="000000"/>
                <w:sz w:val="20"/>
              </w:rPr>
              <w:t>--</w:t>
            </w:r>
          </w:p>
        </w:tc>
        <w:tc>
          <w:tcPr>
            <w:tcW w:w="972" w:type="dxa"/>
            <w:tcBorders>
              <w:top w:val="nil"/>
              <w:left w:val="nil"/>
              <w:bottom w:val="single" w:sz="12" w:space="0" w:color="auto"/>
              <w:right w:val="nil"/>
            </w:tcBorders>
            <w:shd w:val="clear" w:color="auto" w:fill="auto"/>
            <w:noWrap/>
            <w:vAlign w:val="center"/>
          </w:tcPr>
          <w:p w14:paraId="3FE8D748" w14:textId="0735F0A7" w:rsidR="0091649A" w:rsidRPr="0057225D" w:rsidRDefault="0091649A" w:rsidP="00BB4974">
            <w:pPr>
              <w:jc w:val="right"/>
              <w:rPr>
                <w:rFonts w:ascii="Arial Narrow" w:hAnsi="Arial Narrow" w:cs="Arial"/>
                <w:b/>
                <w:bCs/>
                <w:color w:val="000000"/>
                <w:sz w:val="20"/>
              </w:rPr>
            </w:pPr>
            <w:r>
              <w:rPr>
                <w:rFonts w:ascii="Arial Narrow" w:hAnsi="Arial Narrow" w:cs="Arial"/>
                <w:b/>
                <w:bCs/>
                <w:color w:val="000000"/>
                <w:sz w:val="20"/>
              </w:rPr>
              <w:t>977</w:t>
            </w:r>
          </w:p>
        </w:tc>
      </w:tr>
    </w:tbl>
    <w:p w14:paraId="5CCC9EF9" w14:textId="01227331" w:rsidR="00454507" w:rsidRPr="0013311B" w:rsidRDefault="00454507" w:rsidP="00454507">
      <w:pPr>
        <w:pStyle w:val="Tablenotes"/>
        <w:rPr>
          <w:rFonts w:cs="Arial"/>
          <w:color w:val="000000" w:themeColor="text1"/>
          <w:szCs w:val="16"/>
        </w:rPr>
      </w:pPr>
      <w:r w:rsidRPr="0013311B">
        <w:rPr>
          <w:rFonts w:cs="Arial"/>
          <w:color w:val="000000" w:themeColor="text1"/>
          <w:szCs w:val="16"/>
        </w:rPr>
        <w:t xml:space="preserve">* </w:t>
      </w:r>
      <w:r>
        <w:rPr>
          <w:rFonts w:cs="Arial"/>
          <w:color w:val="000000" w:themeColor="text1"/>
          <w:szCs w:val="16"/>
        </w:rPr>
        <w:t>Respondent totals do not include d</w:t>
      </w:r>
      <w:r w:rsidRPr="0013311B">
        <w:rPr>
          <w:rFonts w:cs="Arial"/>
          <w:color w:val="000000" w:themeColor="text1"/>
          <w:szCs w:val="16"/>
        </w:rPr>
        <w:t xml:space="preserve">uplicative counts of </w:t>
      </w:r>
      <w:r>
        <w:rPr>
          <w:rFonts w:cs="Arial"/>
          <w:color w:val="000000" w:themeColor="text1"/>
          <w:szCs w:val="16"/>
        </w:rPr>
        <w:t>individuals</w:t>
      </w:r>
      <w:r w:rsidRPr="0013311B">
        <w:rPr>
          <w:rFonts w:cs="Arial"/>
          <w:color w:val="000000" w:themeColor="text1"/>
          <w:szCs w:val="16"/>
        </w:rPr>
        <w:t>.</w:t>
      </w:r>
    </w:p>
    <w:bookmarkEnd w:id="59"/>
    <w:bookmarkEnd w:id="60"/>
    <w:p w14:paraId="3A1DF1AE" w14:textId="77777777" w:rsidR="00FF2806" w:rsidRPr="0013311B" w:rsidRDefault="00FF2806" w:rsidP="00FF2806">
      <w:pPr>
        <w:pStyle w:val="Tablenotes"/>
        <w:rPr>
          <w:color w:val="000000" w:themeColor="text1"/>
        </w:rPr>
      </w:pPr>
    </w:p>
    <w:p w14:paraId="1D8DCC0E" w14:textId="77777777" w:rsidR="000C1256" w:rsidRPr="00F12AB8" w:rsidRDefault="000C1256" w:rsidP="0003260E">
      <w:pPr>
        <w:pStyle w:val="Heading2"/>
        <w:spacing w:before="120"/>
        <w:ind w:left="1094" w:hanging="547"/>
      </w:pPr>
      <w:bookmarkStart w:id="62" w:name="_Toc251941754"/>
      <w:bookmarkStart w:id="63" w:name="_Toc251941845"/>
      <w:bookmarkStart w:id="64" w:name="_Toc251949052"/>
      <w:bookmarkStart w:id="65" w:name="_Toc255888264"/>
      <w:bookmarkStart w:id="66" w:name="_Toc380505268"/>
      <w:bookmarkStart w:id="67" w:name="_Toc383113376"/>
      <w:bookmarkStart w:id="68" w:name="_Toc440267877"/>
      <w:bookmarkEnd w:id="62"/>
      <w:bookmarkEnd w:id="63"/>
      <w:bookmarkEnd w:id="64"/>
      <w:r w:rsidRPr="00F12AB8">
        <w:t>Estimates of Cost</w:t>
      </w:r>
      <w:bookmarkEnd w:id="65"/>
      <w:bookmarkEnd w:id="66"/>
      <w:bookmarkEnd w:id="67"/>
      <w:bookmarkEnd w:id="68"/>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7882C1F4" w:rsidR="000C1256" w:rsidRPr="00B7083D" w:rsidRDefault="000C1256" w:rsidP="0003260E">
      <w:pPr>
        <w:pStyle w:val="Heading2"/>
        <w:spacing w:before="120"/>
        <w:ind w:left="1094" w:hanging="547"/>
      </w:pPr>
      <w:bookmarkStart w:id="69" w:name="_Toc255888265"/>
      <w:bookmarkStart w:id="70" w:name="_Toc380505269"/>
      <w:bookmarkStart w:id="71" w:name="_Toc383113377"/>
      <w:bookmarkStart w:id="72" w:name="_Toc440267878"/>
      <w:r w:rsidRPr="00B7083D">
        <w:t>Cost</w:t>
      </w:r>
      <w:r w:rsidR="0051174A">
        <w:t>s</w:t>
      </w:r>
      <w:r w:rsidRPr="00B7083D">
        <w:t xml:space="preserve"> to Federal Government</w:t>
      </w:r>
      <w:bookmarkEnd w:id="69"/>
      <w:bookmarkEnd w:id="70"/>
      <w:bookmarkEnd w:id="71"/>
      <w:bookmarkEnd w:id="72"/>
    </w:p>
    <w:p w14:paraId="1D90CD04" w14:textId="77777777" w:rsidR="009920C6" w:rsidRDefault="000C1256" w:rsidP="009920C6">
      <w:pPr>
        <w:pStyle w:val="BodyText"/>
        <w:ind w:firstLine="0"/>
      </w:pPr>
      <w:r w:rsidRPr="00F12AB8">
        <w:t xml:space="preserve">A summary of estimated costs to the federal government for </w:t>
      </w:r>
      <w:r w:rsidR="002630E7">
        <w:t>B&amp;B:16/17</w:t>
      </w:r>
      <w:r w:rsidR="0003260E">
        <w:t xml:space="preserve"> are</w:t>
      </w:r>
      <w:r w:rsidRPr="00F12AB8">
        <w:t xml:space="preserve"> shown in table </w:t>
      </w:r>
      <w:r w:rsidR="0021087B">
        <w:t>4</w:t>
      </w:r>
      <w:r w:rsidRPr="00F12AB8">
        <w:t>.</w:t>
      </w:r>
      <w:r w:rsidR="009920C6">
        <w:t xml:space="preserve"> </w:t>
      </w:r>
      <w:r w:rsidR="009920C6" w:rsidRPr="00F12AB8">
        <w:t xml:space="preserve">Included in the </w:t>
      </w:r>
      <w:r w:rsidR="009920C6">
        <w:t xml:space="preserve">cost </w:t>
      </w:r>
      <w:r w:rsidR="009920C6" w:rsidRPr="00F12AB8">
        <w:t>estimates are staff time, reproduction, postage, and telephone costs associated with the management, data collection, analysis, and reporting for which clearance is requested</w:t>
      </w:r>
      <w:r w:rsidR="009920C6">
        <w:t xml:space="preserve"> (costs shown are for the entire field test and full-scale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14:paraId="1F48CAFC" w14:textId="4BB5EEA3" w:rsidR="005F3E77" w:rsidRDefault="005F3E77" w:rsidP="002630E7">
      <w:pPr>
        <w:pStyle w:val="BodyText"/>
        <w:spacing w:after="0"/>
        <w:ind w:firstLine="0"/>
      </w:pPr>
    </w:p>
    <w:p w14:paraId="55E271A0" w14:textId="59710E20" w:rsidR="00060503" w:rsidRPr="00F12AB8" w:rsidRDefault="00FF2806" w:rsidP="00EA25E1">
      <w:pPr>
        <w:pStyle w:val="TableTitle"/>
        <w:spacing w:before="0"/>
      </w:pPr>
      <w:bookmarkStart w:id="73" w:name="_Toc440267886"/>
      <w:r>
        <w:t>Table 4</w:t>
      </w:r>
      <w:r w:rsidR="00060503">
        <w:t>.</w:t>
      </w:r>
      <w:r w:rsidR="005F3E77">
        <w:t xml:space="preserve"> </w:t>
      </w:r>
      <w:r w:rsidR="009920C6">
        <w:t>C</w:t>
      </w:r>
      <w:r w:rsidR="00060503" w:rsidRPr="00F12AB8">
        <w:t xml:space="preserve">osts to </w:t>
      </w:r>
      <w:r w:rsidR="00060503">
        <w:t>N</w:t>
      </w:r>
      <w:r w:rsidR="00060503" w:rsidRPr="00F12AB8">
        <w:t xml:space="preserve">CES for the </w:t>
      </w:r>
      <w:r w:rsidR="002630E7">
        <w:t>B&amp;B:16/17</w:t>
      </w:r>
      <w:r w:rsidR="00060503" w:rsidRPr="00F12AB8">
        <w:t xml:space="preserve"> field test and full-scale</w:t>
      </w:r>
      <w:bookmarkEnd w:id="73"/>
      <w:r w:rsidR="00D14345">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EA25E1">
        <w:trPr>
          <w:cnfStyle w:val="100000000000" w:firstRow="1" w:lastRow="0" w:firstColumn="0" w:lastColumn="0" w:oddVBand="0" w:evenVBand="0" w:oddHBand="0" w:evenHBand="0" w:firstRowFirstColumn="0" w:firstRowLastColumn="0" w:lastRowFirstColumn="0" w:lastRowLastColumn="0"/>
        </w:trPr>
        <w:tc>
          <w:tcPr>
            <w:tcW w:w="5220" w:type="dxa"/>
          </w:tcPr>
          <w:p w14:paraId="6B2DEB4D" w14:textId="733A4124" w:rsidR="00060503" w:rsidRPr="00493467" w:rsidRDefault="002630E7" w:rsidP="00CF7CA4">
            <w:pPr>
              <w:pStyle w:val="Tableheading"/>
              <w:keepNext/>
              <w:spacing w:before="0" w:after="0"/>
              <w:jc w:val="left"/>
              <w:rPr>
                <w:szCs w:val="18"/>
              </w:rPr>
            </w:pPr>
            <w:r>
              <w:rPr>
                <w:szCs w:val="18"/>
              </w:rPr>
              <w:t>B&amp;B:16/17</w:t>
            </w:r>
            <w:r w:rsidR="00060503" w:rsidRPr="00493467">
              <w:rPr>
                <w:szCs w:val="18"/>
              </w:rPr>
              <w:t xml:space="preserve"> implementations</w:t>
            </w:r>
          </w:p>
        </w:tc>
        <w:tc>
          <w:tcPr>
            <w:tcW w:w="520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EA25E1">
        <w:tc>
          <w:tcPr>
            <w:tcW w:w="5220" w:type="dxa"/>
          </w:tcPr>
          <w:p w14:paraId="0C8BD469" w14:textId="77777777" w:rsidR="00060503" w:rsidRPr="009920C6" w:rsidRDefault="00060503" w:rsidP="00CF7CA4">
            <w:pPr>
              <w:pStyle w:val="Tabletext"/>
              <w:keepNext/>
              <w:spacing w:before="0" w:after="0"/>
              <w:rPr>
                <w:b/>
                <w:szCs w:val="18"/>
              </w:rPr>
            </w:pPr>
            <w:r w:rsidRPr="009920C6">
              <w:rPr>
                <w:b/>
                <w:szCs w:val="18"/>
              </w:rPr>
              <w:t>Field test</w:t>
            </w:r>
          </w:p>
        </w:tc>
        <w:tc>
          <w:tcPr>
            <w:tcW w:w="520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EA25E1">
        <w:tc>
          <w:tcPr>
            <w:tcW w:w="5220"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14:paraId="54B17247" w14:textId="4A7C1D29" w:rsidR="00060503" w:rsidRPr="00493467" w:rsidRDefault="002630E7" w:rsidP="00B7083D">
            <w:pPr>
              <w:pStyle w:val="Tablebody"/>
              <w:spacing w:before="0" w:after="0"/>
              <w:jc w:val="right"/>
              <w:rPr>
                <w:szCs w:val="18"/>
              </w:rPr>
            </w:pPr>
            <w:r>
              <w:rPr>
                <w:rFonts w:cs="Arial"/>
                <w:szCs w:val="18"/>
              </w:rPr>
              <w:t>$</w:t>
            </w:r>
            <w:r w:rsidR="00B7083D">
              <w:rPr>
                <w:rFonts w:cs="Arial"/>
                <w:szCs w:val="18"/>
              </w:rPr>
              <w:t>110,000</w:t>
            </w:r>
            <w:r w:rsidR="00060503" w:rsidRPr="00493467">
              <w:rPr>
                <w:rFonts w:cs="Arial"/>
                <w:szCs w:val="18"/>
              </w:rPr>
              <w:t xml:space="preserve"> </w:t>
            </w:r>
          </w:p>
        </w:tc>
      </w:tr>
      <w:tr w:rsidR="00060503" w:rsidRPr="00493467" w14:paraId="197A48DD" w14:textId="77777777" w:rsidTr="00EA25E1">
        <w:tc>
          <w:tcPr>
            <w:tcW w:w="5220"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5201" w:type="dxa"/>
          </w:tcPr>
          <w:p w14:paraId="2B0C7F3E" w14:textId="3F3A51E2" w:rsidR="00060503" w:rsidRPr="00493467" w:rsidRDefault="00B7083D" w:rsidP="00CF7CA4">
            <w:pPr>
              <w:pStyle w:val="Tablebody"/>
              <w:spacing w:before="0" w:after="0"/>
              <w:jc w:val="right"/>
              <w:rPr>
                <w:szCs w:val="18"/>
              </w:rPr>
            </w:pPr>
            <w:r>
              <w:rPr>
                <w:szCs w:val="18"/>
              </w:rPr>
              <w:t>$2,612,513</w:t>
            </w:r>
          </w:p>
        </w:tc>
      </w:tr>
      <w:tr w:rsidR="00060503" w:rsidRPr="00493467" w14:paraId="4CEE8C79" w14:textId="77777777" w:rsidTr="00EA25E1">
        <w:tc>
          <w:tcPr>
            <w:tcW w:w="5220"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5201" w:type="dxa"/>
          </w:tcPr>
          <w:p w14:paraId="4A6983B5" w14:textId="5885066D" w:rsidR="00060503" w:rsidRPr="00493467" w:rsidRDefault="00BF3F79" w:rsidP="00CF7CA4">
            <w:pPr>
              <w:pStyle w:val="Tablebody"/>
              <w:spacing w:before="0" w:after="0"/>
              <w:jc w:val="right"/>
              <w:rPr>
                <w:szCs w:val="18"/>
              </w:rPr>
            </w:pPr>
            <w:r>
              <w:rPr>
                <w:rFonts w:cs="Arial"/>
                <w:szCs w:val="18"/>
              </w:rPr>
              <w:t>$2,722,513</w:t>
            </w:r>
            <w:r w:rsidR="00060503" w:rsidRPr="00493467">
              <w:rPr>
                <w:rFonts w:cs="Arial"/>
                <w:szCs w:val="18"/>
              </w:rPr>
              <w:t xml:space="preserve"> </w:t>
            </w:r>
          </w:p>
        </w:tc>
      </w:tr>
      <w:tr w:rsidR="00060503" w:rsidRPr="00493467" w14:paraId="0E208FEE" w14:textId="77777777" w:rsidTr="00EA25E1">
        <w:trPr>
          <w:trHeight w:hRule="exact" w:val="43"/>
        </w:trPr>
        <w:tc>
          <w:tcPr>
            <w:tcW w:w="5220" w:type="dxa"/>
          </w:tcPr>
          <w:p w14:paraId="768FE701" w14:textId="77777777" w:rsidR="00060503" w:rsidRPr="00493467" w:rsidRDefault="00060503" w:rsidP="00CF7CA4">
            <w:pPr>
              <w:pStyle w:val="Tabletext"/>
              <w:keepNext/>
              <w:spacing w:before="0" w:after="0"/>
              <w:rPr>
                <w:szCs w:val="18"/>
              </w:rPr>
            </w:pPr>
          </w:p>
        </w:tc>
        <w:tc>
          <w:tcPr>
            <w:tcW w:w="520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EA25E1">
        <w:tc>
          <w:tcPr>
            <w:tcW w:w="5220" w:type="dxa"/>
          </w:tcPr>
          <w:p w14:paraId="123E4B9F" w14:textId="77777777" w:rsidR="00060503" w:rsidRPr="009920C6" w:rsidRDefault="00060503" w:rsidP="00CF7CA4">
            <w:pPr>
              <w:pStyle w:val="Tabletext"/>
              <w:keepNext/>
              <w:spacing w:before="0" w:after="0"/>
              <w:rPr>
                <w:b/>
                <w:szCs w:val="18"/>
              </w:rPr>
            </w:pPr>
            <w:r w:rsidRPr="009920C6">
              <w:rPr>
                <w:b/>
                <w:szCs w:val="18"/>
              </w:rPr>
              <w:t>Full-scale study</w:t>
            </w:r>
          </w:p>
        </w:tc>
        <w:tc>
          <w:tcPr>
            <w:tcW w:w="520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EA25E1">
        <w:tc>
          <w:tcPr>
            <w:tcW w:w="5220"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5201" w:type="dxa"/>
          </w:tcPr>
          <w:p w14:paraId="572EF72D" w14:textId="34A845A4" w:rsidR="00060503" w:rsidRPr="00493467" w:rsidRDefault="00B7083D" w:rsidP="00CF7CA4">
            <w:pPr>
              <w:pStyle w:val="Tablebody"/>
              <w:spacing w:before="0" w:after="0"/>
              <w:jc w:val="right"/>
              <w:rPr>
                <w:szCs w:val="18"/>
              </w:rPr>
            </w:pPr>
            <w:r>
              <w:rPr>
                <w:rFonts w:cs="Arial"/>
                <w:szCs w:val="18"/>
              </w:rPr>
              <w:t>$330,000</w:t>
            </w:r>
            <w:r w:rsidR="00D14345">
              <w:rPr>
                <w:rFonts w:cs="Arial"/>
                <w:szCs w:val="18"/>
              </w:rPr>
              <w:t xml:space="preserve"> </w:t>
            </w:r>
          </w:p>
        </w:tc>
      </w:tr>
      <w:tr w:rsidR="00060503" w:rsidRPr="00493467" w14:paraId="049795F0" w14:textId="77777777" w:rsidTr="00EA25E1">
        <w:tc>
          <w:tcPr>
            <w:tcW w:w="5220"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5201" w:type="dxa"/>
          </w:tcPr>
          <w:p w14:paraId="147C6E13" w14:textId="09E49A81" w:rsidR="00060503" w:rsidRPr="00493467" w:rsidRDefault="00B7083D" w:rsidP="00CF7CA4">
            <w:pPr>
              <w:pStyle w:val="Tablebody"/>
              <w:spacing w:before="0" w:after="0"/>
              <w:jc w:val="right"/>
              <w:rPr>
                <w:szCs w:val="18"/>
              </w:rPr>
            </w:pPr>
            <w:r>
              <w:rPr>
                <w:rFonts w:cs="Arial"/>
                <w:szCs w:val="18"/>
              </w:rPr>
              <w:t>$5,098,245</w:t>
            </w:r>
            <w:r w:rsidR="00060503" w:rsidRPr="00493467">
              <w:rPr>
                <w:rFonts w:cs="Arial"/>
                <w:szCs w:val="18"/>
              </w:rPr>
              <w:t xml:space="preserve"> </w:t>
            </w:r>
          </w:p>
        </w:tc>
      </w:tr>
      <w:tr w:rsidR="00060503" w:rsidRPr="00493467" w14:paraId="29BF546B" w14:textId="77777777" w:rsidTr="00EA25E1">
        <w:tc>
          <w:tcPr>
            <w:tcW w:w="5220"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5201" w:type="dxa"/>
          </w:tcPr>
          <w:p w14:paraId="65347D7F" w14:textId="5B61F872" w:rsidR="00060503" w:rsidRPr="00F70316" w:rsidRDefault="00BF3F79" w:rsidP="00BF3F79">
            <w:pPr>
              <w:jc w:val="right"/>
              <w:rPr>
                <w:rFonts w:ascii="Arial" w:hAnsi="Arial" w:cs="Arial"/>
                <w:color w:val="000000"/>
                <w:sz w:val="18"/>
                <w:szCs w:val="18"/>
              </w:rPr>
            </w:pPr>
            <w:r w:rsidRPr="00F70316">
              <w:rPr>
                <w:rFonts w:ascii="Arial" w:hAnsi="Arial" w:cs="Arial"/>
                <w:color w:val="000000"/>
                <w:sz w:val="18"/>
                <w:szCs w:val="18"/>
              </w:rPr>
              <w:t>$5,428,245</w:t>
            </w:r>
            <w:r w:rsidR="00060503" w:rsidRPr="00F70316">
              <w:rPr>
                <w:rFonts w:ascii="Arial" w:hAnsi="Arial" w:cs="Arial"/>
                <w:sz w:val="18"/>
                <w:szCs w:val="18"/>
              </w:rPr>
              <w:t xml:space="preserve"> </w:t>
            </w:r>
          </w:p>
        </w:tc>
      </w:tr>
    </w:tbl>
    <w:p w14:paraId="142C0282" w14:textId="77777777" w:rsidR="00060503" w:rsidRDefault="00060503" w:rsidP="00C1305E">
      <w:pPr>
        <w:pStyle w:val="Tablenotes"/>
        <w:spacing w:after="120"/>
        <w:rPr>
          <w:sz w:val="15"/>
          <w:szCs w:val="15"/>
        </w:rPr>
      </w:pPr>
      <w:r w:rsidRPr="00580990">
        <w:rPr>
          <w:sz w:val="15"/>
          <w:szCs w:val="15"/>
        </w:rPr>
        <w:t>NOTE: Costs presented here do not include base fee.</w:t>
      </w:r>
    </w:p>
    <w:p w14:paraId="54106334" w14:textId="77777777" w:rsidR="009920C6" w:rsidRPr="005448CA" w:rsidRDefault="009920C6" w:rsidP="009920C6">
      <w:pPr>
        <w:pStyle w:val="TableTitle"/>
        <w:rPr>
          <w:rFonts w:eastAsia="MS Mincho"/>
        </w:rPr>
      </w:pPr>
      <w:bookmarkStart w:id="74" w:name="_Toc440267887"/>
      <w:r w:rsidRPr="005448CA">
        <w:rPr>
          <w:rFonts w:eastAsia="MS Mincho"/>
        </w:rPr>
        <w:t>Table 5. Contract costs for B&amp;B:16/17</w:t>
      </w:r>
      <w:bookmarkEnd w:id="74"/>
      <w:r w:rsidRPr="005448CA">
        <w:rPr>
          <w:rFonts w:eastAsia="MS Mincho"/>
        </w:rPr>
        <w:t xml:space="preserve"> </w:t>
      </w:r>
    </w:p>
    <w:tbl>
      <w:tblPr>
        <w:tblStyle w:val="TableGrid3"/>
        <w:tblW w:w="5000" w:type="pct"/>
        <w:tblLook w:val="04A0" w:firstRow="1" w:lastRow="0" w:firstColumn="1" w:lastColumn="0" w:noHBand="0" w:noVBand="1"/>
      </w:tblPr>
      <w:tblGrid>
        <w:gridCol w:w="995"/>
        <w:gridCol w:w="6941"/>
        <w:gridCol w:w="2504"/>
      </w:tblGrid>
      <w:tr w:rsidR="009920C6" w:rsidRPr="005448CA" w14:paraId="2CFC8B9B" w14:textId="77777777" w:rsidTr="00037DD3">
        <w:trPr>
          <w:cantSplit/>
          <w:tblHeader/>
        </w:trPr>
        <w:tc>
          <w:tcPr>
            <w:tcW w:w="7764" w:type="dxa"/>
            <w:gridSpan w:val="2"/>
          </w:tcPr>
          <w:p w14:paraId="13BA97B0" w14:textId="77777777"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Study area and task</w:t>
            </w:r>
          </w:p>
        </w:tc>
        <w:tc>
          <w:tcPr>
            <w:tcW w:w="2450" w:type="dxa"/>
          </w:tcPr>
          <w:p w14:paraId="7859ED96" w14:textId="77777777" w:rsidR="009920C6" w:rsidRPr="005448CA" w:rsidRDefault="009920C6" w:rsidP="00EA25E1">
            <w:pPr>
              <w:rPr>
                <w:rFonts w:ascii="Arial" w:eastAsia="Calibri" w:hAnsi="Arial" w:cs="Arial"/>
                <w:b/>
                <w:bCs/>
                <w:sz w:val="16"/>
                <w:szCs w:val="16"/>
              </w:rPr>
            </w:pPr>
            <w:r w:rsidRPr="005448CA">
              <w:rPr>
                <w:rFonts w:ascii="Arial" w:eastAsia="Calibri" w:hAnsi="Arial" w:cs="Arial"/>
                <w:b/>
                <w:bCs/>
                <w:sz w:val="16"/>
                <w:szCs w:val="16"/>
              </w:rPr>
              <w:t>Budgeted amount</w:t>
            </w:r>
          </w:p>
        </w:tc>
      </w:tr>
      <w:tr w:rsidR="009920C6" w:rsidRPr="000231EE" w14:paraId="30A6F55F" w14:textId="77777777" w:rsidTr="00037DD3">
        <w:trPr>
          <w:cantSplit/>
        </w:trPr>
        <w:tc>
          <w:tcPr>
            <w:tcW w:w="973" w:type="dxa"/>
          </w:tcPr>
          <w:p w14:paraId="6F847360"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110</w:t>
            </w:r>
          </w:p>
        </w:tc>
        <w:tc>
          <w:tcPr>
            <w:tcW w:w="6791" w:type="dxa"/>
          </w:tcPr>
          <w:p w14:paraId="474B2150"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Initial meeting</w:t>
            </w:r>
          </w:p>
        </w:tc>
        <w:tc>
          <w:tcPr>
            <w:tcW w:w="2450" w:type="dxa"/>
          </w:tcPr>
          <w:p w14:paraId="2849C212" w14:textId="77777777" w:rsidR="009920C6" w:rsidRPr="00B056BB" w:rsidRDefault="009920C6" w:rsidP="00EA25E1">
            <w:pPr>
              <w:widowControl w:val="0"/>
              <w:jc w:val="right"/>
              <w:rPr>
                <w:rFonts w:ascii="Arial" w:eastAsia="Calibri" w:hAnsi="Arial" w:cs="Arial"/>
                <w:sz w:val="20"/>
              </w:rPr>
            </w:pPr>
            <w:r w:rsidRPr="00B056BB">
              <w:rPr>
                <w:rFonts w:ascii="Arial" w:eastAsia="Calibri" w:hAnsi="Arial" w:cs="Arial"/>
                <w:sz w:val="20"/>
              </w:rPr>
              <w:t xml:space="preserve">$18,094 </w:t>
            </w:r>
          </w:p>
        </w:tc>
      </w:tr>
      <w:tr w:rsidR="009920C6" w:rsidRPr="000231EE" w14:paraId="40429221" w14:textId="77777777" w:rsidTr="00037DD3">
        <w:trPr>
          <w:cantSplit/>
        </w:trPr>
        <w:tc>
          <w:tcPr>
            <w:tcW w:w="973" w:type="dxa"/>
          </w:tcPr>
          <w:p w14:paraId="10200645"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120</w:t>
            </w:r>
          </w:p>
        </w:tc>
        <w:tc>
          <w:tcPr>
            <w:tcW w:w="6791" w:type="dxa"/>
          </w:tcPr>
          <w:p w14:paraId="379D46DB"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Schedules</w:t>
            </w:r>
          </w:p>
        </w:tc>
        <w:tc>
          <w:tcPr>
            <w:tcW w:w="2450" w:type="dxa"/>
          </w:tcPr>
          <w:p w14:paraId="27B40578" w14:textId="77777777" w:rsidR="009920C6" w:rsidRPr="00B056BB" w:rsidRDefault="009920C6" w:rsidP="00EA25E1">
            <w:pPr>
              <w:widowControl w:val="0"/>
              <w:jc w:val="right"/>
              <w:rPr>
                <w:rFonts w:ascii="Arial" w:eastAsia="Calibri" w:hAnsi="Arial" w:cs="Arial"/>
                <w:sz w:val="20"/>
              </w:rPr>
            </w:pPr>
            <w:r w:rsidRPr="00B056BB">
              <w:rPr>
                <w:rFonts w:ascii="Arial" w:eastAsia="Calibri" w:hAnsi="Arial" w:cs="Arial"/>
                <w:sz w:val="20"/>
              </w:rPr>
              <w:t>21,862</w:t>
            </w:r>
          </w:p>
        </w:tc>
      </w:tr>
      <w:tr w:rsidR="009920C6" w:rsidRPr="000231EE" w14:paraId="50D0DB52" w14:textId="77777777" w:rsidTr="00037DD3">
        <w:trPr>
          <w:cantSplit/>
        </w:trPr>
        <w:tc>
          <w:tcPr>
            <w:tcW w:w="973" w:type="dxa"/>
          </w:tcPr>
          <w:p w14:paraId="54ECC50B"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130</w:t>
            </w:r>
          </w:p>
        </w:tc>
        <w:tc>
          <w:tcPr>
            <w:tcW w:w="6791" w:type="dxa"/>
          </w:tcPr>
          <w:p w14:paraId="1A5014A9"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Project management</w:t>
            </w:r>
          </w:p>
        </w:tc>
        <w:tc>
          <w:tcPr>
            <w:tcW w:w="2450" w:type="dxa"/>
          </w:tcPr>
          <w:p w14:paraId="0D354CD2" w14:textId="77777777" w:rsidR="009920C6" w:rsidRPr="00B056BB" w:rsidRDefault="009920C6" w:rsidP="00EA25E1">
            <w:pPr>
              <w:widowControl w:val="0"/>
              <w:jc w:val="right"/>
              <w:rPr>
                <w:rFonts w:ascii="Arial" w:eastAsia="Calibri" w:hAnsi="Arial" w:cs="Arial"/>
                <w:sz w:val="20"/>
              </w:rPr>
            </w:pPr>
            <w:r w:rsidRPr="00B056BB">
              <w:rPr>
                <w:rFonts w:ascii="Arial" w:eastAsia="Calibri" w:hAnsi="Arial" w:cs="Arial"/>
                <w:sz w:val="20"/>
              </w:rPr>
              <w:t>179,606</w:t>
            </w:r>
          </w:p>
        </w:tc>
      </w:tr>
      <w:tr w:rsidR="009920C6" w:rsidRPr="000231EE" w14:paraId="17A2D506" w14:textId="77777777" w:rsidTr="00037DD3">
        <w:trPr>
          <w:cantSplit/>
        </w:trPr>
        <w:tc>
          <w:tcPr>
            <w:tcW w:w="973" w:type="dxa"/>
          </w:tcPr>
          <w:p w14:paraId="777ABA1E"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140</w:t>
            </w:r>
          </w:p>
        </w:tc>
        <w:tc>
          <w:tcPr>
            <w:tcW w:w="6791" w:type="dxa"/>
          </w:tcPr>
          <w:p w14:paraId="3A430F3A"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Study monitoring plan</w:t>
            </w:r>
          </w:p>
        </w:tc>
        <w:tc>
          <w:tcPr>
            <w:tcW w:w="2450" w:type="dxa"/>
          </w:tcPr>
          <w:p w14:paraId="39AC075A" w14:textId="77777777" w:rsidR="009920C6" w:rsidRPr="00B056BB" w:rsidRDefault="009920C6" w:rsidP="00EA25E1">
            <w:pPr>
              <w:widowControl w:val="0"/>
              <w:jc w:val="right"/>
              <w:rPr>
                <w:rFonts w:ascii="Arial" w:eastAsia="Calibri" w:hAnsi="Arial" w:cs="Arial"/>
                <w:sz w:val="20"/>
              </w:rPr>
            </w:pPr>
            <w:r w:rsidRPr="00B056BB">
              <w:rPr>
                <w:rFonts w:ascii="Arial" w:eastAsia="Calibri" w:hAnsi="Arial" w:cs="Arial"/>
                <w:sz w:val="20"/>
              </w:rPr>
              <w:t>281,336</w:t>
            </w:r>
          </w:p>
        </w:tc>
      </w:tr>
      <w:tr w:rsidR="009920C6" w:rsidRPr="000231EE" w14:paraId="6FC00FEC" w14:textId="77777777" w:rsidTr="00037DD3">
        <w:trPr>
          <w:cantSplit/>
        </w:trPr>
        <w:tc>
          <w:tcPr>
            <w:tcW w:w="973" w:type="dxa"/>
          </w:tcPr>
          <w:p w14:paraId="5CD30C0A"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150</w:t>
            </w:r>
          </w:p>
        </w:tc>
        <w:tc>
          <w:tcPr>
            <w:tcW w:w="6791" w:type="dxa"/>
          </w:tcPr>
          <w:p w14:paraId="2781B2B4"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Technical review panels</w:t>
            </w:r>
            <w:r>
              <w:rPr>
                <w:rFonts w:ascii="Arial" w:eastAsia="Calibri" w:hAnsi="Arial" w:cs="Arial"/>
                <w:sz w:val="20"/>
              </w:rPr>
              <w:t xml:space="preserve"> (TRPs)</w:t>
            </w:r>
          </w:p>
        </w:tc>
        <w:tc>
          <w:tcPr>
            <w:tcW w:w="2450" w:type="dxa"/>
          </w:tcPr>
          <w:p w14:paraId="35B1596A" w14:textId="77777777" w:rsidR="009920C6" w:rsidRPr="00B056BB" w:rsidRDefault="009920C6" w:rsidP="00EA25E1">
            <w:pPr>
              <w:widowControl w:val="0"/>
              <w:jc w:val="right"/>
              <w:rPr>
                <w:rFonts w:ascii="Arial" w:eastAsia="Calibri" w:hAnsi="Arial" w:cs="Arial"/>
                <w:sz w:val="20"/>
              </w:rPr>
            </w:pPr>
            <w:r w:rsidRPr="00B056BB">
              <w:rPr>
                <w:rFonts w:ascii="Arial" w:eastAsia="Calibri" w:hAnsi="Arial" w:cs="Arial"/>
                <w:sz w:val="20"/>
              </w:rPr>
              <w:t>385,131</w:t>
            </w:r>
          </w:p>
        </w:tc>
      </w:tr>
      <w:tr w:rsidR="009920C6" w:rsidRPr="000231EE" w14:paraId="5F9E04E7" w14:textId="77777777" w:rsidTr="00EA25E1">
        <w:trPr>
          <w:cantSplit/>
          <w:trHeight w:val="251"/>
        </w:trPr>
        <w:tc>
          <w:tcPr>
            <w:tcW w:w="10214" w:type="dxa"/>
            <w:gridSpan w:val="3"/>
          </w:tcPr>
          <w:p w14:paraId="362FB776" w14:textId="77777777" w:rsidR="009920C6" w:rsidRPr="000231EE" w:rsidRDefault="009920C6" w:rsidP="00EA25E1">
            <w:pPr>
              <w:widowControl w:val="0"/>
              <w:ind w:left="317" w:hanging="317"/>
              <w:rPr>
                <w:rFonts w:ascii="Arial" w:eastAsia="Calibri" w:hAnsi="Arial" w:cs="Arial"/>
                <w:b/>
                <w:bCs/>
                <w:sz w:val="20"/>
              </w:rPr>
            </w:pPr>
            <w:r w:rsidRPr="000231EE">
              <w:rPr>
                <w:rFonts w:ascii="Arial" w:eastAsia="Calibri" w:hAnsi="Arial" w:cs="Arial"/>
                <w:b/>
                <w:bCs/>
                <w:sz w:val="20"/>
              </w:rPr>
              <w:t>Field test data collection</w:t>
            </w:r>
          </w:p>
        </w:tc>
      </w:tr>
      <w:tr w:rsidR="009920C6" w:rsidRPr="000231EE" w14:paraId="77009E5E" w14:textId="77777777" w:rsidTr="00037DD3">
        <w:trPr>
          <w:cantSplit/>
        </w:trPr>
        <w:tc>
          <w:tcPr>
            <w:tcW w:w="973" w:type="dxa"/>
          </w:tcPr>
          <w:p w14:paraId="4C2F065B"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310</w:t>
            </w:r>
          </w:p>
        </w:tc>
        <w:tc>
          <w:tcPr>
            <w:tcW w:w="6791" w:type="dxa"/>
          </w:tcPr>
          <w:p w14:paraId="4313B53D"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Sampling</w:t>
            </w:r>
          </w:p>
        </w:tc>
        <w:tc>
          <w:tcPr>
            <w:tcW w:w="2450" w:type="dxa"/>
          </w:tcPr>
          <w:p w14:paraId="661CB961"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58,708</w:t>
            </w:r>
          </w:p>
        </w:tc>
      </w:tr>
      <w:tr w:rsidR="009920C6" w:rsidRPr="000231EE" w14:paraId="1E4A0DE5" w14:textId="77777777" w:rsidTr="00037DD3">
        <w:trPr>
          <w:cantSplit/>
        </w:trPr>
        <w:tc>
          <w:tcPr>
            <w:tcW w:w="973" w:type="dxa"/>
          </w:tcPr>
          <w:p w14:paraId="6DC87E12"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320</w:t>
            </w:r>
          </w:p>
        </w:tc>
        <w:tc>
          <w:tcPr>
            <w:tcW w:w="6791" w:type="dxa"/>
          </w:tcPr>
          <w:p w14:paraId="3F997765"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OMB forms clearance</w:t>
            </w:r>
          </w:p>
        </w:tc>
        <w:tc>
          <w:tcPr>
            <w:tcW w:w="2450" w:type="dxa"/>
          </w:tcPr>
          <w:p w14:paraId="7D862518"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47,151</w:t>
            </w:r>
          </w:p>
        </w:tc>
      </w:tr>
      <w:tr w:rsidR="009920C6" w:rsidRPr="000231EE" w14:paraId="5790F2ED" w14:textId="77777777" w:rsidTr="00037DD3">
        <w:trPr>
          <w:cantSplit/>
        </w:trPr>
        <w:tc>
          <w:tcPr>
            <w:tcW w:w="973" w:type="dxa"/>
          </w:tcPr>
          <w:p w14:paraId="1A03CD8E"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321</w:t>
            </w:r>
          </w:p>
        </w:tc>
        <w:tc>
          <w:tcPr>
            <w:tcW w:w="6791" w:type="dxa"/>
          </w:tcPr>
          <w:p w14:paraId="1EF17F61"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Instrument development</w:t>
            </w:r>
          </w:p>
        </w:tc>
        <w:tc>
          <w:tcPr>
            <w:tcW w:w="2450" w:type="dxa"/>
          </w:tcPr>
          <w:p w14:paraId="31B067F5"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765,018</w:t>
            </w:r>
          </w:p>
        </w:tc>
      </w:tr>
      <w:tr w:rsidR="009920C6" w:rsidRPr="000231EE" w14:paraId="0541B536" w14:textId="77777777" w:rsidTr="00037DD3">
        <w:trPr>
          <w:cantSplit/>
        </w:trPr>
        <w:tc>
          <w:tcPr>
            <w:tcW w:w="973" w:type="dxa"/>
          </w:tcPr>
          <w:p w14:paraId="6EC44E87"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322</w:t>
            </w:r>
          </w:p>
        </w:tc>
        <w:tc>
          <w:tcPr>
            <w:tcW w:w="6791" w:type="dxa"/>
          </w:tcPr>
          <w:p w14:paraId="7C05887A"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Training</w:t>
            </w:r>
          </w:p>
        </w:tc>
        <w:tc>
          <w:tcPr>
            <w:tcW w:w="2450" w:type="dxa"/>
          </w:tcPr>
          <w:p w14:paraId="7B519EB0"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168,166</w:t>
            </w:r>
          </w:p>
        </w:tc>
      </w:tr>
      <w:tr w:rsidR="009920C6" w:rsidRPr="000231EE" w14:paraId="418DBCE6" w14:textId="77777777" w:rsidTr="00037DD3">
        <w:trPr>
          <w:cantSplit/>
        </w:trPr>
        <w:tc>
          <w:tcPr>
            <w:tcW w:w="973" w:type="dxa"/>
          </w:tcPr>
          <w:p w14:paraId="44D1820D"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323</w:t>
            </w:r>
          </w:p>
        </w:tc>
        <w:tc>
          <w:tcPr>
            <w:tcW w:w="6791" w:type="dxa"/>
          </w:tcPr>
          <w:p w14:paraId="347717B9"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Tracing</w:t>
            </w:r>
          </w:p>
        </w:tc>
        <w:tc>
          <w:tcPr>
            <w:tcW w:w="2450" w:type="dxa"/>
          </w:tcPr>
          <w:p w14:paraId="57D5D65E"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42,738</w:t>
            </w:r>
          </w:p>
        </w:tc>
      </w:tr>
      <w:tr w:rsidR="009920C6" w:rsidRPr="000231EE" w14:paraId="43278FAE" w14:textId="77777777" w:rsidTr="00037DD3">
        <w:trPr>
          <w:cantSplit/>
        </w:trPr>
        <w:tc>
          <w:tcPr>
            <w:tcW w:w="973" w:type="dxa"/>
          </w:tcPr>
          <w:p w14:paraId="75949AD8"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324</w:t>
            </w:r>
          </w:p>
        </w:tc>
        <w:tc>
          <w:tcPr>
            <w:tcW w:w="6791" w:type="dxa"/>
          </w:tcPr>
          <w:p w14:paraId="610541C2"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Student data collection</w:t>
            </w:r>
          </w:p>
        </w:tc>
        <w:tc>
          <w:tcPr>
            <w:tcW w:w="2450" w:type="dxa"/>
          </w:tcPr>
          <w:p w14:paraId="21B8A1E5"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439,418</w:t>
            </w:r>
          </w:p>
        </w:tc>
      </w:tr>
      <w:tr w:rsidR="009920C6" w:rsidRPr="000231EE" w14:paraId="431E4A4E" w14:textId="77777777" w:rsidTr="00037DD3">
        <w:trPr>
          <w:cantSplit/>
        </w:trPr>
        <w:tc>
          <w:tcPr>
            <w:tcW w:w="973" w:type="dxa"/>
          </w:tcPr>
          <w:p w14:paraId="5FBFD69B"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lastRenderedPageBreak/>
              <w:t>325</w:t>
            </w:r>
          </w:p>
        </w:tc>
        <w:tc>
          <w:tcPr>
            <w:tcW w:w="6791" w:type="dxa"/>
          </w:tcPr>
          <w:p w14:paraId="5D98F4B0"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Student data processing</w:t>
            </w:r>
          </w:p>
        </w:tc>
        <w:tc>
          <w:tcPr>
            <w:tcW w:w="2450" w:type="dxa"/>
          </w:tcPr>
          <w:p w14:paraId="4FEFF1DB"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288,961</w:t>
            </w:r>
          </w:p>
        </w:tc>
      </w:tr>
      <w:tr w:rsidR="009920C6" w:rsidRPr="000231EE" w14:paraId="149A752A" w14:textId="77777777" w:rsidTr="00037DD3">
        <w:trPr>
          <w:cantSplit/>
        </w:trPr>
        <w:tc>
          <w:tcPr>
            <w:tcW w:w="973" w:type="dxa"/>
          </w:tcPr>
          <w:p w14:paraId="7C1573D0"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333</w:t>
            </w:r>
          </w:p>
        </w:tc>
        <w:tc>
          <w:tcPr>
            <w:tcW w:w="6791" w:type="dxa"/>
          </w:tcPr>
          <w:p w14:paraId="5E08FED4" w14:textId="77777777" w:rsidR="009920C6" w:rsidRPr="00451CE4" w:rsidRDefault="009920C6" w:rsidP="00EA25E1">
            <w:pPr>
              <w:widowControl w:val="0"/>
              <w:rPr>
                <w:rFonts w:ascii="Arial" w:eastAsia="Calibri" w:hAnsi="Arial" w:cs="Arial"/>
                <w:sz w:val="20"/>
              </w:rPr>
            </w:pPr>
            <w:r w:rsidRPr="00451CE4">
              <w:rPr>
                <w:rFonts w:ascii="Arial" w:eastAsia="Calibri" w:hAnsi="Arial" w:cs="Arial"/>
                <w:sz w:val="20"/>
              </w:rPr>
              <w:t>NSLDS file merge</w:t>
            </w:r>
          </w:p>
        </w:tc>
        <w:tc>
          <w:tcPr>
            <w:tcW w:w="2450" w:type="dxa"/>
          </w:tcPr>
          <w:p w14:paraId="1A24E60E"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9,428</w:t>
            </w:r>
          </w:p>
        </w:tc>
      </w:tr>
      <w:tr w:rsidR="009920C6" w:rsidRPr="000231EE" w14:paraId="57D2D641" w14:textId="77777777" w:rsidTr="00037DD3">
        <w:trPr>
          <w:cantSplit/>
        </w:trPr>
        <w:tc>
          <w:tcPr>
            <w:tcW w:w="973" w:type="dxa"/>
          </w:tcPr>
          <w:p w14:paraId="048D8A14"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334</w:t>
            </w:r>
          </w:p>
        </w:tc>
        <w:tc>
          <w:tcPr>
            <w:tcW w:w="6791" w:type="dxa"/>
          </w:tcPr>
          <w:p w14:paraId="44F6CF1F"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Other systems file merge</w:t>
            </w:r>
          </w:p>
        </w:tc>
        <w:tc>
          <w:tcPr>
            <w:tcW w:w="2450" w:type="dxa"/>
          </w:tcPr>
          <w:p w14:paraId="4B74B865"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73,404</w:t>
            </w:r>
          </w:p>
        </w:tc>
      </w:tr>
      <w:tr w:rsidR="009920C6" w:rsidRPr="000231EE" w14:paraId="5469E337" w14:textId="77777777" w:rsidTr="00037DD3">
        <w:trPr>
          <w:cantSplit/>
        </w:trPr>
        <w:tc>
          <w:tcPr>
            <w:tcW w:w="973" w:type="dxa"/>
          </w:tcPr>
          <w:p w14:paraId="4E72541A"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335</w:t>
            </w:r>
          </w:p>
        </w:tc>
        <w:tc>
          <w:tcPr>
            <w:tcW w:w="6791" w:type="dxa"/>
          </w:tcPr>
          <w:p w14:paraId="13115725"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Develop data collection materials</w:t>
            </w:r>
          </w:p>
        </w:tc>
        <w:tc>
          <w:tcPr>
            <w:tcW w:w="2450" w:type="dxa"/>
          </w:tcPr>
          <w:p w14:paraId="1B48D6EC"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106,938</w:t>
            </w:r>
          </w:p>
        </w:tc>
      </w:tr>
      <w:tr w:rsidR="009920C6" w:rsidRPr="000231EE" w14:paraId="1895D34F" w14:textId="77777777" w:rsidTr="00037DD3">
        <w:trPr>
          <w:cantSplit/>
        </w:trPr>
        <w:tc>
          <w:tcPr>
            <w:tcW w:w="973" w:type="dxa"/>
          </w:tcPr>
          <w:p w14:paraId="7D3E99C1"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340</w:t>
            </w:r>
          </w:p>
        </w:tc>
        <w:tc>
          <w:tcPr>
            <w:tcW w:w="6791" w:type="dxa"/>
          </w:tcPr>
          <w:p w14:paraId="659D8D14"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Methodology memorandum</w:t>
            </w:r>
          </w:p>
        </w:tc>
        <w:tc>
          <w:tcPr>
            <w:tcW w:w="2450" w:type="dxa"/>
          </w:tcPr>
          <w:p w14:paraId="683A1DCB" w14:textId="77777777" w:rsidR="009920C6" w:rsidRPr="00B056BB" w:rsidRDefault="009920C6" w:rsidP="00EA25E1">
            <w:pPr>
              <w:widowControl w:val="0"/>
              <w:jc w:val="right"/>
              <w:rPr>
                <w:rFonts w:ascii="Arial" w:eastAsia="Calibri" w:hAnsi="Arial" w:cs="Arial"/>
                <w:color w:val="000000"/>
                <w:sz w:val="20"/>
              </w:rPr>
            </w:pPr>
            <w:r w:rsidRPr="00B056BB">
              <w:rPr>
                <w:rFonts w:ascii="Arial" w:eastAsia="Calibri" w:hAnsi="Arial" w:cs="Arial"/>
                <w:color w:val="000000"/>
                <w:sz w:val="20"/>
              </w:rPr>
              <w:t>159,190</w:t>
            </w:r>
          </w:p>
        </w:tc>
      </w:tr>
      <w:tr w:rsidR="009920C6" w:rsidRPr="000231EE" w14:paraId="70368DC2" w14:textId="77777777" w:rsidTr="00037DD3">
        <w:trPr>
          <w:cantSplit/>
        </w:trPr>
        <w:tc>
          <w:tcPr>
            <w:tcW w:w="10214" w:type="dxa"/>
            <w:gridSpan w:val="3"/>
          </w:tcPr>
          <w:p w14:paraId="46D83A04" w14:textId="77777777" w:rsidR="009920C6" w:rsidRPr="000231EE" w:rsidRDefault="009920C6" w:rsidP="00EA25E1">
            <w:pPr>
              <w:widowControl w:val="0"/>
              <w:ind w:left="317" w:hanging="317"/>
              <w:rPr>
                <w:rFonts w:ascii="Arial" w:eastAsia="Calibri" w:hAnsi="Arial" w:cs="Arial"/>
                <w:b/>
                <w:bCs/>
                <w:sz w:val="20"/>
              </w:rPr>
            </w:pPr>
            <w:r w:rsidRPr="000231EE">
              <w:rPr>
                <w:rFonts w:ascii="Arial" w:eastAsia="Calibri" w:hAnsi="Arial" w:cs="Arial"/>
                <w:b/>
                <w:bCs/>
                <w:sz w:val="20"/>
              </w:rPr>
              <w:t>Full-scale data collection</w:t>
            </w:r>
          </w:p>
        </w:tc>
      </w:tr>
      <w:tr w:rsidR="009920C6" w:rsidRPr="000231EE" w14:paraId="5EA0A862" w14:textId="77777777" w:rsidTr="00037DD3">
        <w:trPr>
          <w:cantSplit/>
        </w:trPr>
        <w:tc>
          <w:tcPr>
            <w:tcW w:w="973" w:type="dxa"/>
          </w:tcPr>
          <w:p w14:paraId="77E9314D" w14:textId="77777777" w:rsidR="009920C6" w:rsidRPr="000231EE" w:rsidRDefault="009920C6" w:rsidP="00EA25E1">
            <w:pPr>
              <w:widowControl w:val="0"/>
              <w:ind w:left="317" w:hanging="317"/>
              <w:rPr>
                <w:rFonts w:ascii="Arial" w:eastAsia="Calibri" w:hAnsi="Arial" w:cs="Arial"/>
                <w:bCs/>
                <w:sz w:val="20"/>
              </w:rPr>
            </w:pPr>
            <w:r w:rsidRPr="000231EE">
              <w:rPr>
                <w:rFonts w:ascii="Arial" w:eastAsia="Calibri" w:hAnsi="Arial" w:cs="Arial"/>
                <w:bCs/>
                <w:sz w:val="20"/>
              </w:rPr>
              <w:t>410</w:t>
            </w:r>
          </w:p>
        </w:tc>
        <w:tc>
          <w:tcPr>
            <w:tcW w:w="6791" w:type="dxa"/>
          </w:tcPr>
          <w:p w14:paraId="4815517B" w14:textId="77777777" w:rsidR="009920C6" w:rsidRPr="00451CE4" w:rsidRDefault="009920C6" w:rsidP="00EA25E1">
            <w:pPr>
              <w:widowControl w:val="0"/>
              <w:ind w:left="317" w:hanging="317"/>
              <w:rPr>
                <w:rFonts w:ascii="Arial" w:eastAsia="Calibri" w:hAnsi="Arial" w:cs="Arial"/>
                <w:bCs/>
                <w:sz w:val="20"/>
              </w:rPr>
            </w:pPr>
            <w:r w:rsidRPr="00451CE4">
              <w:rPr>
                <w:rFonts w:ascii="Arial" w:eastAsia="Calibri" w:hAnsi="Arial" w:cs="Arial"/>
                <w:bCs/>
                <w:sz w:val="20"/>
              </w:rPr>
              <w:t>Sampling</w:t>
            </w:r>
          </w:p>
        </w:tc>
        <w:tc>
          <w:tcPr>
            <w:tcW w:w="2450" w:type="dxa"/>
          </w:tcPr>
          <w:p w14:paraId="74E3B4EC"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58,184</w:t>
            </w:r>
          </w:p>
        </w:tc>
      </w:tr>
      <w:tr w:rsidR="009920C6" w:rsidRPr="000231EE" w14:paraId="715B52CE" w14:textId="77777777" w:rsidTr="00037DD3">
        <w:trPr>
          <w:cantSplit/>
        </w:trPr>
        <w:tc>
          <w:tcPr>
            <w:tcW w:w="973" w:type="dxa"/>
          </w:tcPr>
          <w:p w14:paraId="5468B1F5" w14:textId="77777777" w:rsidR="009920C6" w:rsidRPr="000231EE" w:rsidRDefault="009920C6" w:rsidP="00EA25E1">
            <w:pPr>
              <w:widowControl w:val="0"/>
              <w:ind w:left="317" w:hanging="317"/>
              <w:rPr>
                <w:rFonts w:ascii="Arial" w:eastAsia="Calibri" w:hAnsi="Arial" w:cs="Arial"/>
                <w:bCs/>
                <w:sz w:val="20"/>
              </w:rPr>
            </w:pPr>
            <w:r w:rsidRPr="000231EE">
              <w:rPr>
                <w:rFonts w:ascii="Arial" w:eastAsia="Calibri" w:hAnsi="Arial" w:cs="Arial"/>
                <w:bCs/>
                <w:sz w:val="20"/>
              </w:rPr>
              <w:t>420</w:t>
            </w:r>
          </w:p>
        </w:tc>
        <w:tc>
          <w:tcPr>
            <w:tcW w:w="6791" w:type="dxa"/>
          </w:tcPr>
          <w:p w14:paraId="4F7FF598" w14:textId="77777777" w:rsidR="009920C6" w:rsidRPr="00451CE4" w:rsidRDefault="009920C6" w:rsidP="00EA25E1">
            <w:pPr>
              <w:widowControl w:val="0"/>
              <w:ind w:left="317" w:hanging="317"/>
              <w:rPr>
                <w:rFonts w:ascii="Arial" w:eastAsia="Calibri" w:hAnsi="Arial" w:cs="Arial"/>
                <w:bCs/>
                <w:sz w:val="20"/>
              </w:rPr>
            </w:pPr>
            <w:r w:rsidRPr="00451CE4">
              <w:rPr>
                <w:rFonts w:ascii="Arial" w:eastAsia="Calibri" w:hAnsi="Arial" w:cs="Arial"/>
                <w:bCs/>
                <w:sz w:val="20"/>
              </w:rPr>
              <w:t>OMB forms clearance</w:t>
            </w:r>
          </w:p>
        </w:tc>
        <w:tc>
          <w:tcPr>
            <w:tcW w:w="2450" w:type="dxa"/>
          </w:tcPr>
          <w:p w14:paraId="7AFDB024"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51,501</w:t>
            </w:r>
          </w:p>
        </w:tc>
      </w:tr>
      <w:tr w:rsidR="009920C6" w:rsidRPr="000231EE" w14:paraId="0BBF8D32" w14:textId="77777777" w:rsidTr="00037DD3">
        <w:trPr>
          <w:cantSplit/>
        </w:trPr>
        <w:tc>
          <w:tcPr>
            <w:tcW w:w="973" w:type="dxa"/>
          </w:tcPr>
          <w:p w14:paraId="5784A118" w14:textId="77777777" w:rsidR="009920C6" w:rsidRPr="000231EE" w:rsidRDefault="009920C6" w:rsidP="00EA25E1">
            <w:pPr>
              <w:widowControl w:val="0"/>
              <w:ind w:left="317" w:hanging="317"/>
              <w:rPr>
                <w:rFonts w:ascii="Arial" w:eastAsia="Calibri" w:hAnsi="Arial" w:cs="Arial"/>
                <w:bCs/>
                <w:sz w:val="20"/>
              </w:rPr>
            </w:pPr>
            <w:r w:rsidRPr="000231EE">
              <w:rPr>
                <w:rFonts w:ascii="Arial" w:eastAsia="Calibri" w:hAnsi="Arial" w:cs="Arial"/>
                <w:bCs/>
                <w:sz w:val="20"/>
              </w:rPr>
              <w:t>421</w:t>
            </w:r>
          </w:p>
        </w:tc>
        <w:tc>
          <w:tcPr>
            <w:tcW w:w="6791" w:type="dxa"/>
          </w:tcPr>
          <w:p w14:paraId="16250417" w14:textId="77777777" w:rsidR="009920C6" w:rsidRPr="00451CE4" w:rsidRDefault="009920C6" w:rsidP="00EA25E1">
            <w:pPr>
              <w:widowControl w:val="0"/>
              <w:ind w:left="317" w:hanging="317"/>
              <w:rPr>
                <w:rFonts w:ascii="Arial" w:eastAsia="Calibri" w:hAnsi="Arial" w:cs="Arial"/>
                <w:bCs/>
                <w:sz w:val="20"/>
              </w:rPr>
            </w:pPr>
            <w:r w:rsidRPr="00451CE4">
              <w:rPr>
                <w:rFonts w:ascii="Arial" w:eastAsia="Calibri" w:hAnsi="Arial" w:cs="Arial"/>
                <w:bCs/>
                <w:sz w:val="20"/>
              </w:rPr>
              <w:t>Instrument development</w:t>
            </w:r>
          </w:p>
        </w:tc>
        <w:tc>
          <w:tcPr>
            <w:tcW w:w="2450" w:type="dxa"/>
          </w:tcPr>
          <w:p w14:paraId="251AAF30"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716,622</w:t>
            </w:r>
          </w:p>
        </w:tc>
      </w:tr>
      <w:tr w:rsidR="009920C6" w:rsidRPr="000231EE" w14:paraId="7D934787" w14:textId="77777777" w:rsidTr="00037DD3">
        <w:trPr>
          <w:cantSplit/>
        </w:trPr>
        <w:tc>
          <w:tcPr>
            <w:tcW w:w="973" w:type="dxa"/>
          </w:tcPr>
          <w:p w14:paraId="4E9878F3"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422</w:t>
            </w:r>
          </w:p>
        </w:tc>
        <w:tc>
          <w:tcPr>
            <w:tcW w:w="6791" w:type="dxa"/>
          </w:tcPr>
          <w:p w14:paraId="4A64EE8C"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Training</w:t>
            </w:r>
          </w:p>
        </w:tc>
        <w:tc>
          <w:tcPr>
            <w:tcW w:w="2450" w:type="dxa"/>
          </w:tcPr>
          <w:p w14:paraId="1D205CC2"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185,942</w:t>
            </w:r>
          </w:p>
        </w:tc>
      </w:tr>
      <w:tr w:rsidR="009920C6" w:rsidRPr="000231EE" w14:paraId="6C0B8D2B" w14:textId="77777777" w:rsidTr="00037DD3">
        <w:trPr>
          <w:cantSplit/>
        </w:trPr>
        <w:tc>
          <w:tcPr>
            <w:tcW w:w="973" w:type="dxa"/>
          </w:tcPr>
          <w:p w14:paraId="162C0A12"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423</w:t>
            </w:r>
          </w:p>
        </w:tc>
        <w:tc>
          <w:tcPr>
            <w:tcW w:w="6791" w:type="dxa"/>
          </w:tcPr>
          <w:p w14:paraId="328B09F7"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Tracing</w:t>
            </w:r>
          </w:p>
        </w:tc>
        <w:tc>
          <w:tcPr>
            <w:tcW w:w="2450" w:type="dxa"/>
          </w:tcPr>
          <w:p w14:paraId="1B0A0FC4"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139,058</w:t>
            </w:r>
          </w:p>
        </w:tc>
      </w:tr>
      <w:tr w:rsidR="009920C6" w:rsidRPr="000231EE" w14:paraId="6C1994A6" w14:textId="77777777" w:rsidTr="00037DD3">
        <w:trPr>
          <w:cantSplit/>
        </w:trPr>
        <w:tc>
          <w:tcPr>
            <w:tcW w:w="973" w:type="dxa"/>
          </w:tcPr>
          <w:p w14:paraId="1233A8F4"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424</w:t>
            </w:r>
          </w:p>
        </w:tc>
        <w:tc>
          <w:tcPr>
            <w:tcW w:w="6791" w:type="dxa"/>
          </w:tcPr>
          <w:p w14:paraId="62E5558E"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Data collection</w:t>
            </w:r>
          </w:p>
        </w:tc>
        <w:tc>
          <w:tcPr>
            <w:tcW w:w="2450" w:type="dxa"/>
          </w:tcPr>
          <w:p w14:paraId="13101C47"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1,376,534</w:t>
            </w:r>
          </w:p>
        </w:tc>
      </w:tr>
      <w:tr w:rsidR="009920C6" w:rsidRPr="000231EE" w14:paraId="29DC6AA3" w14:textId="77777777" w:rsidTr="00037DD3">
        <w:trPr>
          <w:cantSplit/>
        </w:trPr>
        <w:tc>
          <w:tcPr>
            <w:tcW w:w="973" w:type="dxa"/>
          </w:tcPr>
          <w:p w14:paraId="2C68A1BC"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425</w:t>
            </w:r>
          </w:p>
        </w:tc>
        <w:tc>
          <w:tcPr>
            <w:tcW w:w="6791" w:type="dxa"/>
          </w:tcPr>
          <w:p w14:paraId="451185AF"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Interview data processing</w:t>
            </w:r>
          </w:p>
        </w:tc>
        <w:tc>
          <w:tcPr>
            <w:tcW w:w="2450" w:type="dxa"/>
          </w:tcPr>
          <w:p w14:paraId="4C4262FD"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896,424</w:t>
            </w:r>
          </w:p>
        </w:tc>
      </w:tr>
      <w:tr w:rsidR="009920C6" w:rsidRPr="000231EE" w14:paraId="0305CBEB" w14:textId="77777777" w:rsidTr="00037DD3">
        <w:trPr>
          <w:cantSplit/>
        </w:trPr>
        <w:tc>
          <w:tcPr>
            <w:tcW w:w="973" w:type="dxa"/>
          </w:tcPr>
          <w:p w14:paraId="07F3CA2E"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433</w:t>
            </w:r>
          </w:p>
        </w:tc>
        <w:tc>
          <w:tcPr>
            <w:tcW w:w="6791" w:type="dxa"/>
          </w:tcPr>
          <w:p w14:paraId="2EA00DD2"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NSLDS file merge</w:t>
            </w:r>
          </w:p>
        </w:tc>
        <w:tc>
          <w:tcPr>
            <w:tcW w:w="2450" w:type="dxa"/>
          </w:tcPr>
          <w:p w14:paraId="4D3EF33A"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23,235</w:t>
            </w:r>
          </w:p>
        </w:tc>
      </w:tr>
      <w:tr w:rsidR="009920C6" w:rsidRPr="000231EE" w14:paraId="6A5897B2" w14:textId="77777777" w:rsidTr="00037DD3">
        <w:trPr>
          <w:cantSplit/>
        </w:trPr>
        <w:tc>
          <w:tcPr>
            <w:tcW w:w="973" w:type="dxa"/>
          </w:tcPr>
          <w:p w14:paraId="106CB3AA"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434</w:t>
            </w:r>
          </w:p>
        </w:tc>
        <w:tc>
          <w:tcPr>
            <w:tcW w:w="6791" w:type="dxa"/>
          </w:tcPr>
          <w:p w14:paraId="35354A91"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Other systems file merge</w:t>
            </w:r>
          </w:p>
        </w:tc>
        <w:tc>
          <w:tcPr>
            <w:tcW w:w="2450" w:type="dxa"/>
          </w:tcPr>
          <w:p w14:paraId="587A63EE"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134,197</w:t>
            </w:r>
          </w:p>
        </w:tc>
      </w:tr>
      <w:tr w:rsidR="009920C6" w:rsidRPr="000231EE" w14:paraId="246BCC6A" w14:textId="77777777" w:rsidTr="00037DD3">
        <w:trPr>
          <w:cantSplit/>
        </w:trPr>
        <w:tc>
          <w:tcPr>
            <w:tcW w:w="973" w:type="dxa"/>
          </w:tcPr>
          <w:p w14:paraId="63C079A1"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435</w:t>
            </w:r>
          </w:p>
        </w:tc>
        <w:tc>
          <w:tcPr>
            <w:tcW w:w="6791" w:type="dxa"/>
          </w:tcPr>
          <w:p w14:paraId="6A06F9E4"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Develop data collection materials</w:t>
            </w:r>
          </w:p>
        </w:tc>
        <w:tc>
          <w:tcPr>
            <w:tcW w:w="2450" w:type="dxa"/>
          </w:tcPr>
          <w:p w14:paraId="28AD88F4"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81,686</w:t>
            </w:r>
          </w:p>
        </w:tc>
      </w:tr>
      <w:tr w:rsidR="009920C6" w:rsidRPr="000231EE" w14:paraId="3A067D3A" w14:textId="77777777" w:rsidTr="00037DD3">
        <w:trPr>
          <w:cantSplit/>
        </w:trPr>
        <w:tc>
          <w:tcPr>
            <w:tcW w:w="973" w:type="dxa"/>
          </w:tcPr>
          <w:p w14:paraId="568DB4D4"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436</w:t>
            </w:r>
          </w:p>
        </w:tc>
        <w:tc>
          <w:tcPr>
            <w:tcW w:w="6791" w:type="dxa"/>
          </w:tcPr>
          <w:p w14:paraId="155F1D4F"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Weighting, imputation, and nonresponse bias analysis</w:t>
            </w:r>
          </w:p>
        </w:tc>
        <w:tc>
          <w:tcPr>
            <w:tcW w:w="2450" w:type="dxa"/>
          </w:tcPr>
          <w:p w14:paraId="7CF40F93"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217,847</w:t>
            </w:r>
          </w:p>
        </w:tc>
      </w:tr>
      <w:tr w:rsidR="009920C6" w:rsidRPr="000231EE" w14:paraId="2BD03628" w14:textId="77777777" w:rsidTr="00037DD3">
        <w:trPr>
          <w:cantSplit/>
        </w:trPr>
        <w:tc>
          <w:tcPr>
            <w:tcW w:w="973" w:type="dxa"/>
          </w:tcPr>
          <w:p w14:paraId="25FEF975"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437</w:t>
            </w:r>
          </w:p>
        </w:tc>
        <w:tc>
          <w:tcPr>
            <w:tcW w:w="6791" w:type="dxa"/>
          </w:tcPr>
          <w:p w14:paraId="41B4B9BF"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Data disclosure</w:t>
            </w:r>
          </w:p>
        </w:tc>
        <w:tc>
          <w:tcPr>
            <w:tcW w:w="2450" w:type="dxa"/>
          </w:tcPr>
          <w:p w14:paraId="4D46AFB9"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24,547</w:t>
            </w:r>
          </w:p>
        </w:tc>
      </w:tr>
      <w:tr w:rsidR="009920C6" w:rsidRPr="000231EE" w14:paraId="247036CA" w14:textId="77777777" w:rsidTr="00037DD3">
        <w:trPr>
          <w:cantSplit/>
        </w:trPr>
        <w:tc>
          <w:tcPr>
            <w:tcW w:w="10214" w:type="dxa"/>
            <w:gridSpan w:val="3"/>
          </w:tcPr>
          <w:p w14:paraId="6DBA7039" w14:textId="77777777" w:rsidR="009920C6" w:rsidRPr="000231EE" w:rsidRDefault="009920C6" w:rsidP="00EA25E1">
            <w:pPr>
              <w:widowControl w:val="0"/>
              <w:ind w:left="317" w:hanging="317"/>
              <w:rPr>
                <w:rFonts w:ascii="Arial" w:eastAsia="Calibri" w:hAnsi="Arial" w:cs="Arial"/>
                <w:b/>
                <w:sz w:val="20"/>
              </w:rPr>
            </w:pPr>
            <w:r w:rsidRPr="000231EE">
              <w:rPr>
                <w:rFonts w:ascii="Arial" w:eastAsia="Calibri" w:hAnsi="Arial" w:cs="Arial"/>
                <w:b/>
                <w:sz w:val="20"/>
              </w:rPr>
              <w:t>Reporting</w:t>
            </w:r>
          </w:p>
        </w:tc>
      </w:tr>
      <w:tr w:rsidR="009920C6" w:rsidRPr="000231EE" w14:paraId="44B9E0A0" w14:textId="77777777" w:rsidTr="00037DD3">
        <w:trPr>
          <w:cantSplit/>
        </w:trPr>
        <w:tc>
          <w:tcPr>
            <w:tcW w:w="973" w:type="dxa"/>
          </w:tcPr>
          <w:p w14:paraId="7FF2B56D"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511</w:t>
            </w:r>
          </w:p>
        </w:tc>
        <w:tc>
          <w:tcPr>
            <w:tcW w:w="6791" w:type="dxa"/>
          </w:tcPr>
          <w:p w14:paraId="1D2712D5"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Report prospectus</w:t>
            </w:r>
          </w:p>
        </w:tc>
        <w:tc>
          <w:tcPr>
            <w:tcW w:w="2450" w:type="dxa"/>
          </w:tcPr>
          <w:p w14:paraId="7F0A2EFF"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54,583</w:t>
            </w:r>
          </w:p>
        </w:tc>
      </w:tr>
      <w:tr w:rsidR="009920C6" w:rsidRPr="000231EE" w14:paraId="00600A15" w14:textId="77777777" w:rsidTr="00037DD3">
        <w:trPr>
          <w:cantSplit/>
        </w:trPr>
        <w:tc>
          <w:tcPr>
            <w:tcW w:w="973" w:type="dxa"/>
          </w:tcPr>
          <w:p w14:paraId="29EB3ADC"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512</w:t>
            </w:r>
          </w:p>
        </w:tc>
        <w:tc>
          <w:tcPr>
            <w:tcW w:w="6791" w:type="dxa"/>
          </w:tcPr>
          <w:p w14:paraId="403DD081"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Draft manuscript</w:t>
            </w:r>
          </w:p>
        </w:tc>
        <w:tc>
          <w:tcPr>
            <w:tcW w:w="2450" w:type="dxa"/>
          </w:tcPr>
          <w:p w14:paraId="1E74C2C0"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253,862</w:t>
            </w:r>
          </w:p>
        </w:tc>
      </w:tr>
      <w:tr w:rsidR="009920C6" w:rsidRPr="000231EE" w14:paraId="658EB5D6" w14:textId="77777777" w:rsidTr="00037DD3">
        <w:trPr>
          <w:cantSplit/>
        </w:trPr>
        <w:tc>
          <w:tcPr>
            <w:tcW w:w="973" w:type="dxa"/>
          </w:tcPr>
          <w:p w14:paraId="7F6F824B"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513</w:t>
            </w:r>
          </w:p>
        </w:tc>
        <w:tc>
          <w:tcPr>
            <w:tcW w:w="6791" w:type="dxa"/>
          </w:tcPr>
          <w:p w14:paraId="73E68010"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Review-quality manuscript</w:t>
            </w:r>
          </w:p>
        </w:tc>
        <w:tc>
          <w:tcPr>
            <w:tcW w:w="2450" w:type="dxa"/>
          </w:tcPr>
          <w:p w14:paraId="6CCBE7F6"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151,932</w:t>
            </w:r>
          </w:p>
        </w:tc>
      </w:tr>
      <w:tr w:rsidR="009920C6" w:rsidRPr="000231EE" w14:paraId="1212C9DA" w14:textId="77777777" w:rsidTr="00037DD3">
        <w:trPr>
          <w:cantSplit/>
        </w:trPr>
        <w:tc>
          <w:tcPr>
            <w:tcW w:w="973" w:type="dxa"/>
          </w:tcPr>
          <w:p w14:paraId="2EE2BB1E"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514</w:t>
            </w:r>
          </w:p>
        </w:tc>
        <w:tc>
          <w:tcPr>
            <w:tcW w:w="6791" w:type="dxa"/>
          </w:tcPr>
          <w:p w14:paraId="4B3148B6"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Public-ready manuscript</w:t>
            </w:r>
          </w:p>
        </w:tc>
        <w:tc>
          <w:tcPr>
            <w:tcW w:w="2450" w:type="dxa"/>
          </w:tcPr>
          <w:p w14:paraId="3CBF4DA7"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83,075</w:t>
            </w:r>
          </w:p>
        </w:tc>
      </w:tr>
      <w:tr w:rsidR="009920C6" w:rsidRPr="000231EE" w14:paraId="2F2B5BB6" w14:textId="77777777" w:rsidTr="00037DD3">
        <w:trPr>
          <w:cantSplit/>
        </w:trPr>
        <w:tc>
          <w:tcPr>
            <w:tcW w:w="973" w:type="dxa"/>
          </w:tcPr>
          <w:p w14:paraId="75D65CED"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515</w:t>
            </w:r>
          </w:p>
        </w:tc>
        <w:tc>
          <w:tcPr>
            <w:tcW w:w="6791" w:type="dxa"/>
          </w:tcPr>
          <w:p w14:paraId="3BB7DACC"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Respond to professional judgment</w:t>
            </w:r>
          </w:p>
        </w:tc>
        <w:tc>
          <w:tcPr>
            <w:tcW w:w="2450" w:type="dxa"/>
          </w:tcPr>
          <w:p w14:paraId="175190C4"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20,757</w:t>
            </w:r>
          </w:p>
        </w:tc>
      </w:tr>
      <w:tr w:rsidR="009920C6" w:rsidRPr="000231EE" w14:paraId="2BC5A370" w14:textId="77777777" w:rsidTr="00037DD3">
        <w:trPr>
          <w:cantSplit/>
        </w:trPr>
        <w:tc>
          <w:tcPr>
            <w:tcW w:w="973" w:type="dxa"/>
          </w:tcPr>
          <w:p w14:paraId="2D6A2AE9" w14:textId="77777777" w:rsidR="009920C6" w:rsidRPr="000231EE" w:rsidRDefault="009920C6" w:rsidP="00EA25E1">
            <w:pPr>
              <w:widowControl w:val="0"/>
              <w:rPr>
                <w:rFonts w:ascii="Arial" w:eastAsia="Calibri" w:hAnsi="Arial" w:cs="Arial"/>
                <w:sz w:val="20"/>
              </w:rPr>
            </w:pPr>
            <w:r w:rsidRPr="000231EE">
              <w:rPr>
                <w:rFonts w:ascii="Arial" w:eastAsia="Calibri" w:hAnsi="Arial" w:cs="Arial"/>
                <w:sz w:val="20"/>
              </w:rPr>
              <w:t>520</w:t>
            </w:r>
          </w:p>
        </w:tc>
        <w:tc>
          <w:tcPr>
            <w:tcW w:w="6791" w:type="dxa"/>
          </w:tcPr>
          <w:p w14:paraId="5CFD05A8"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Datalab/WebVTS tools</w:t>
            </w:r>
          </w:p>
        </w:tc>
        <w:tc>
          <w:tcPr>
            <w:tcW w:w="2450" w:type="dxa"/>
          </w:tcPr>
          <w:p w14:paraId="71CEF623"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130,557</w:t>
            </w:r>
          </w:p>
        </w:tc>
      </w:tr>
      <w:tr w:rsidR="009920C6" w:rsidRPr="000231EE" w14:paraId="3A5528A8" w14:textId="77777777" w:rsidTr="00037DD3">
        <w:trPr>
          <w:cantSplit/>
        </w:trPr>
        <w:tc>
          <w:tcPr>
            <w:tcW w:w="973" w:type="dxa"/>
          </w:tcPr>
          <w:p w14:paraId="581BC9CA" w14:textId="77777777" w:rsidR="009920C6" w:rsidRPr="000231EE" w:rsidRDefault="009920C6" w:rsidP="00EA25E1">
            <w:pPr>
              <w:widowControl w:val="0"/>
              <w:ind w:left="317" w:hanging="317"/>
              <w:rPr>
                <w:rFonts w:ascii="Arial" w:eastAsia="Calibri" w:hAnsi="Arial" w:cs="Arial"/>
                <w:sz w:val="20"/>
              </w:rPr>
            </w:pPr>
            <w:r w:rsidRPr="000231EE">
              <w:rPr>
                <w:rFonts w:ascii="Arial" w:eastAsia="Calibri" w:hAnsi="Arial" w:cs="Arial"/>
                <w:sz w:val="20"/>
              </w:rPr>
              <w:t>530</w:t>
            </w:r>
          </w:p>
        </w:tc>
        <w:tc>
          <w:tcPr>
            <w:tcW w:w="6791" w:type="dxa"/>
          </w:tcPr>
          <w:p w14:paraId="3D193CE0" w14:textId="77777777" w:rsidR="009920C6" w:rsidRPr="00451CE4" w:rsidRDefault="009920C6" w:rsidP="00EA25E1">
            <w:pPr>
              <w:widowControl w:val="0"/>
              <w:ind w:left="317" w:hanging="317"/>
              <w:rPr>
                <w:rFonts w:ascii="Arial" w:eastAsia="Calibri" w:hAnsi="Arial" w:cs="Arial"/>
                <w:sz w:val="20"/>
              </w:rPr>
            </w:pPr>
            <w:r w:rsidRPr="00451CE4">
              <w:rPr>
                <w:rFonts w:ascii="Arial" w:eastAsia="Calibri" w:hAnsi="Arial" w:cs="Arial"/>
                <w:sz w:val="20"/>
              </w:rPr>
              <w:t>Restricted-use data files</w:t>
            </w:r>
          </w:p>
        </w:tc>
        <w:tc>
          <w:tcPr>
            <w:tcW w:w="2450" w:type="dxa"/>
          </w:tcPr>
          <w:p w14:paraId="0C4125D6" w14:textId="77777777" w:rsidR="009920C6" w:rsidRPr="00B056BB" w:rsidRDefault="009920C6" w:rsidP="00EA25E1">
            <w:pPr>
              <w:widowControl w:val="0"/>
              <w:jc w:val="right"/>
              <w:rPr>
                <w:rFonts w:ascii="Arial" w:eastAsia="Calibri" w:hAnsi="Arial" w:cs="Arial"/>
                <w:bCs/>
                <w:color w:val="000000"/>
                <w:sz w:val="20"/>
              </w:rPr>
            </w:pPr>
            <w:r w:rsidRPr="00B056BB">
              <w:rPr>
                <w:rFonts w:ascii="Arial" w:eastAsia="Calibri" w:hAnsi="Arial" w:cs="Arial"/>
                <w:bCs/>
                <w:color w:val="000000"/>
                <w:sz w:val="20"/>
              </w:rPr>
              <w:t>65,066</w:t>
            </w:r>
          </w:p>
        </w:tc>
      </w:tr>
      <w:tr w:rsidR="009920C6" w:rsidRPr="000231EE" w14:paraId="076655FF" w14:textId="77777777" w:rsidTr="00037DD3">
        <w:trPr>
          <w:cantSplit/>
        </w:trPr>
        <w:tc>
          <w:tcPr>
            <w:tcW w:w="7764" w:type="dxa"/>
            <w:gridSpan w:val="2"/>
          </w:tcPr>
          <w:p w14:paraId="70058B6C" w14:textId="77777777" w:rsidR="009920C6" w:rsidRPr="000231EE" w:rsidRDefault="009920C6" w:rsidP="00EA25E1">
            <w:pPr>
              <w:widowControl w:val="0"/>
              <w:ind w:left="317" w:hanging="317"/>
              <w:rPr>
                <w:rFonts w:ascii="Arial" w:eastAsia="Calibri" w:hAnsi="Arial" w:cs="Arial"/>
                <w:b/>
                <w:sz w:val="20"/>
              </w:rPr>
            </w:pPr>
            <w:r w:rsidRPr="000231EE">
              <w:rPr>
                <w:rFonts w:ascii="Arial" w:eastAsia="Calibri" w:hAnsi="Arial" w:cs="Arial"/>
                <w:b/>
                <w:sz w:val="20"/>
              </w:rPr>
              <w:t>Total</w:t>
            </w:r>
          </w:p>
        </w:tc>
        <w:tc>
          <w:tcPr>
            <w:tcW w:w="2450" w:type="dxa"/>
          </w:tcPr>
          <w:p w14:paraId="1FC298A3" w14:textId="77777777" w:rsidR="009920C6" w:rsidRPr="00B056BB" w:rsidRDefault="009920C6" w:rsidP="00EA25E1">
            <w:pPr>
              <w:widowControl w:val="0"/>
              <w:jc w:val="right"/>
              <w:rPr>
                <w:rFonts w:ascii="Arial" w:eastAsia="Calibri" w:hAnsi="Arial" w:cs="Arial"/>
                <w:b/>
                <w:bCs/>
                <w:color w:val="000000"/>
                <w:sz w:val="20"/>
              </w:rPr>
            </w:pPr>
            <w:r w:rsidRPr="00B056BB">
              <w:rPr>
                <w:rFonts w:ascii="Arial" w:eastAsia="Calibri" w:hAnsi="Arial" w:cs="Arial"/>
                <w:b/>
                <w:bCs/>
                <w:color w:val="000000"/>
                <w:sz w:val="20"/>
              </w:rPr>
              <w:t>$7,710,760</w:t>
            </w:r>
          </w:p>
        </w:tc>
      </w:tr>
    </w:tbl>
    <w:p w14:paraId="0DB7825A" w14:textId="77777777" w:rsidR="009920C6" w:rsidRDefault="009920C6" w:rsidP="00C1305E">
      <w:pPr>
        <w:pStyle w:val="Tablenotes"/>
        <w:spacing w:after="120"/>
        <w:rPr>
          <w:sz w:val="15"/>
          <w:szCs w:val="15"/>
        </w:rPr>
      </w:pPr>
    </w:p>
    <w:p w14:paraId="789F1A8E" w14:textId="469FE6E2" w:rsidR="00545695" w:rsidRPr="00F12AB8" w:rsidRDefault="00545695" w:rsidP="00545695">
      <w:pPr>
        <w:pStyle w:val="Heading2"/>
      </w:pPr>
      <w:bookmarkStart w:id="75" w:name="_Toc251941758"/>
      <w:bookmarkStart w:id="76" w:name="_Toc251941849"/>
      <w:bookmarkStart w:id="77" w:name="_Toc251949056"/>
      <w:bookmarkStart w:id="78" w:name="_Toc440267879"/>
      <w:bookmarkEnd w:id="75"/>
      <w:bookmarkEnd w:id="76"/>
      <w:bookmarkEnd w:id="77"/>
      <w:r w:rsidRPr="00F12AB8">
        <w:t>Reasons for Changes in Response Burden and Costs</w:t>
      </w:r>
      <w:bookmarkEnd w:id="78"/>
    </w:p>
    <w:p w14:paraId="4A0E5DAC" w14:textId="65CC4322" w:rsidR="00D14345" w:rsidRDefault="00EA25E1" w:rsidP="00600269">
      <w:pPr>
        <w:pStyle w:val="BodyText"/>
        <w:ind w:firstLine="0"/>
      </w:pPr>
      <w:r w:rsidRPr="00EA25E1">
        <w:t>This is a reinstatement of a previously approved collection</w:t>
      </w:r>
      <w:r w:rsidR="00600269" w:rsidRPr="00C003BF">
        <w:t>.</w:t>
      </w:r>
      <w:r>
        <w:t xml:space="preserve"> The estimated time to complete the student survey is the same as in the last administration of B&amp;B.</w:t>
      </w:r>
    </w:p>
    <w:p w14:paraId="1BC548E6" w14:textId="74F0843F" w:rsidR="00545695" w:rsidRPr="00F12AB8" w:rsidRDefault="00545695" w:rsidP="00545695">
      <w:pPr>
        <w:pStyle w:val="Heading2"/>
      </w:pPr>
      <w:bookmarkStart w:id="79" w:name="_Toc440267880"/>
      <w:r w:rsidRPr="00F12AB8">
        <w:t>Publication Plans and Time Schedule</w:t>
      </w:r>
      <w:bookmarkEnd w:id="79"/>
    </w:p>
    <w:p w14:paraId="3A0AEABC" w14:textId="2C82817B" w:rsidR="00135CDC" w:rsidRPr="00C003BF" w:rsidRDefault="00384964" w:rsidP="00384964">
      <w:pPr>
        <w:pStyle w:val="BodyText"/>
        <w:ind w:firstLine="0"/>
        <w:rPr>
          <w:spacing w:val="-3"/>
          <w:kern w:val="20"/>
        </w:rPr>
      </w:pPr>
      <w:r w:rsidRPr="00C003BF">
        <w:rPr>
          <w:spacing w:val="-3"/>
          <w:kern w:val="20"/>
        </w:rPr>
        <w:t xml:space="preserve">The operational schedule for the B&amp;B:16/17 field test and full-scale study is shown in table 6. </w:t>
      </w:r>
      <w:r w:rsidR="00135CDC" w:rsidRPr="00135CDC">
        <w:rPr>
          <w:spacing w:val="-3"/>
          <w:kern w:val="20"/>
        </w:rPr>
        <w:t xml:space="preserve">The contract for </w:t>
      </w:r>
      <w:r w:rsidR="00135CDC" w:rsidRPr="00C003BF">
        <w:rPr>
          <w:spacing w:val="-3"/>
          <w:kern w:val="20"/>
        </w:rPr>
        <w:t xml:space="preserve">B&amp;B:16/17 </w:t>
      </w:r>
      <w:r w:rsidR="00135CDC" w:rsidRPr="00135CDC">
        <w:rPr>
          <w:spacing w:val="-3"/>
          <w:kern w:val="20"/>
        </w:rPr>
        <w:t xml:space="preserve">requires multiple reports, publications, and other public information releases. Results of the </w:t>
      </w:r>
      <w:r w:rsidR="00135CDC">
        <w:rPr>
          <w:spacing w:val="-3"/>
          <w:kern w:val="20"/>
        </w:rPr>
        <w:t xml:space="preserve">field test </w:t>
      </w:r>
      <w:r w:rsidR="00135CDC" w:rsidRPr="00135CDC">
        <w:rPr>
          <w:spacing w:val="-3"/>
          <w:kern w:val="20"/>
        </w:rPr>
        <w:t xml:space="preserve">will be </w:t>
      </w:r>
      <w:r w:rsidR="00135CDC">
        <w:rPr>
          <w:spacing w:val="-3"/>
          <w:kern w:val="20"/>
        </w:rPr>
        <w:t xml:space="preserve">published as a report and </w:t>
      </w:r>
      <w:r w:rsidR="00135CDC" w:rsidRPr="00135CDC">
        <w:rPr>
          <w:spacing w:val="-3"/>
          <w:kern w:val="20"/>
        </w:rPr>
        <w:t>appended to the ful</w:t>
      </w:r>
      <w:r w:rsidR="00135CDC">
        <w:rPr>
          <w:spacing w:val="-3"/>
          <w:kern w:val="20"/>
        </w:rPr>
        <w:t>l-scale data file documentation</w:t>
      </w:r>
      <w:r w:rsidR="00135CDC" w:rsidRPr="00135CDC">
        <w:rPr>
          <w:spacing w:val="-3"/>
          <w:kern w:val="20"/>
        </w:rPr>
        <w:t>. In addition, the following will be produced from the full-scale data</w:t>
      </w:r>
      <w:r w:rsidR="00135CDC">
        <w:rPr>
          <w:spacing w:val="-3"/>
          <w:kern w:val="20"/>
        </w:rPr>
        <w:t>:</w:t>
      </w:r>
    </w:p>
    <w:p w14:paraId="189181A7" w14:textId="77777777" w:rsidR="00384964" w:rsidRPr="00C003BF" w:rsidRDefault="00384964" w:rsidP="008463E8">
      <w:pPr>
        <w:pStyle w:val="bulletround"/>
        <w:keepLines/>
        <w:numPr>
          <w:ilvl w:val="0"/>
          <w:numId w:val="6"/>
        </w:numPr>
        <w:tabs>
          <w:tab w:val="clear" w:pos="1440"/>
          <w:tab w:val="num" w:pos="1080"/>
        </w:tabs>
        <w:spacing w:before="0"/>
        <w:ind w:left="1080"/>
      </w:pPr>
      <w:r w:rsidRPr="00C003BF">
        <w:t>Descriptive summaries of significant findings for dissemination to a broad audience;</w:t>
      </w:r>
    </w:p>
    <w:p w14:paraId="21279EB7" w14:textId="77777777" w:rsidR="00384964" w:rsidRPr="00C003BF" w:rsidRDefault="00384964" w:rsidP="008463E8">
      <w:pPr>
        <w:pStyle w:val="bulletround"/>
        <w:keepLines/>
        <w:numPr>
          <w:ilvl w:val="0"/>
          <w:numId w:val="6"/>
        </w:numPr>
        <w:tabs>
          <w:tab w:val="clear" w:pos="1440"/>
          <w:tab w:val="num" w:pos="1080"/>
        </w:tabs>
        <w:spacing w:before="0"/>
        <w:ind w:left="1080" w:right="-43"/>
        <w:rPr>
          <w:spacing w:val="-4"/>
          <w:kern w:val="20"/>
        </w:rPr>
      </w:pPr>
      <w:r w:rsidRPr="00C003BF">
        <w:rPr>
          <w:spacing w:val="-4"/>
          <w:kern w:val="20"/>
        </w:rPr>
        <w:t>Detailed data file documentation describing all aspects of the full-scale study design and data collection procedures, including an appendix summarizing the methodological findings from the field test;</w:t>
      </w:r>
    </w:p>
    <w:p w14:paraId="08008B0E" w14:textId="1B86685F" w:rsidR="00384964" w:rsidRPr="00C003BF" w:rsidRDefault="00384964" w:rsidP="008463E8">
      <w:pPr>
        <w:pStyle w:val="bulletround"/>
        <w:keepLines/>
        <w:numPr>
          <w:ilvl w:val="0"/>
          <w:numId w:val="6"/>
        </w:numPr>
        <w:tabs>
          <w:tab w:val="clear" w:pos="1440"/>
          <w:tab w:val="num" w:pos="1080"/>
        </w:tabs>
        <w:spacing w:before="0"/>
        <w:ind w:left="1080"/>
        <w:rPr>
          <w:spacing w:val="-2"/>
        </w:rPr>
      </w:pPr>
      <w:r w:rsidRPr="00C003BF">
        <w:rPr>
          <w:spacing w:val="-2"/>
        </w:rPr>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and PowerStats, which allows users to create their own tables and charts using all of the variables, in addition to conducting regression analysis</w:t>
      </w:r>
      <w:r w:rsidRPr="00C003BF">
        <w:rPr>
          <w:spacing w:val="-2"/>
        </w:rPr>
        <w:t>, and is the basis for TrendStats, which allows users to analyze data across B&amp;B administrations with optional automatic inflation adjustments for dollar values;</w:t>
      </w:r>
      <w:r w:rsidR="00135CDC">
        <w:rPr>
          <w:spacing w:val="-2"/>
        </w:rPr>
        <w:t xml:space="preserve"> and</w:t>
      </w:r>
    </w:p>
    <w:p w14:paraId="55B1F3C1" w14:textId="77777777" w:rsidR="00D14345" w:rsidRDefault="00384964" w:rsidP="008463E8">
      <w:pPr>
        <w:pStyle w:val="bulletround"/>
        <w:keepLines/>
        <w:numPr>
          <w:ilvl w:val="0"/>
          <w:numId w:val="6"/>
        </w:numPr>
        <w:tabs>
          <w:tab w:val="clear" w:pos="1440"/>
          <w:tab w:val="num" w:pos="1080"/>
        </w:tabs>
        <w:spacing w:before="0"/>
        <w:ind w:left="1080"/>
        <w:rPr>
          <w:spacing w:val="-2"/>
        </w:rPr>
      </w:pPr>
      <w:r w:rsidRPr="00C003BF">
        <w:rPr>
          <w:spacing w:val="-2"/>
        </w:rPr>
        <w:t>Special tabulations of issues of interest to the higher education community, as determined by NCES.</w:t>
      </w:r>
    </w:p>
    <w:p w14:paraId="458B6D9A" w14:textId="77777777" w:rsidR="00EA25E1" w:rsidRDefault="00EA25E1" w:rsidP="00135CDC">
      <w:pPr>
        <w:pStyle w:val="bulletround"/>
        <w:keepLines/>
        <w:numPr>
          <w:ilvl w:val="0"/>
          <w:numId w:val="0"/>
        </w:numPr>
        <w:spacing w:before="0"/>
        <w:rPr>
          <w:spacing w:val="-2"/>
        </w:rPr>
      </w:pPr>
    </w:p>
    <w:p w14:paraId="35103FDD" w14:textId="77777777" w:rsidR="00EA25E1" w:rsidRPr="005448CA" w:rsidRDefault="00EA25E1" w:rsidP="00EA25E1">
      <w:pPr>
        <w:pStyle w:val="TableTitle"/>
        <w:rPr>
          <w:rFonts w:eastAsia="MS Mincho"/>
        </w:rPr>
      </w:pPr>
      <w:bookmarkStart w:id="80" w:name="_Toc440267888"/>
      <w:bookmarkStart w:id="81" w:name="_Toc399516874"/>
      <w:bookmarkStart w:id="82" w:name="_Toc399516964"/>
      <w:bookmarkStart w:id="83" w:name="_Toc399517372"/>
      <w:bookmarkStart w:id="84" w:name="_Toc399522413"/>
      <w:r w:rsidRPr="005448CA">
        <w:rPr>
          <w:rFonts w:eastAsia="MS Mincho"/>
        </w:rPr>
        <w:lastRenderedPageBreak/>
        <w:t>Table 6. Operational schedule for B&amp;B:16/17</w:t>
      </w:r>
      <w:bookmarkEnd w:id="80"/>
      <w:r w:rsidRPr="005448CA">
        <w:rPr>
          <w:rFonts w:eastAsia="MS Mincho"/>
        </w:rPr>
        <w:t xml:space="preserve"> </w:t>
      </w:r>
      <w:bookmarkEnd w:id="81"/>
      <w:bookmarkEnd w:id="82"/>
      <w:bookmarkEnd w:id="83"/>
      <w:bookmarkEnd w:id="84"/>
    </w:p>
    <w:tbl>
      <w:tblPr>
        <w:tblW w:w="5000" w:type="pct"/>
        <w:tblBorders>
          <w:top w:val="single" w:sz="12" w:space="0" w:color="auto"/>
          <w:bottom w:val="single" w:sz="12" w:space="0" w:color="auto"/>
        </w:tblBorders>
        <w:tblLook w:val="01E0" w:firstRow="1" w:lastRow="1" w:firstColumn="1" w:lastColumn="1" w:noHBand="0" w:noVBand="0"/>
      </w:tblPr>
      <w:tblGrid>
        <w:gridCol w:w="6298"/>
        <w:gridCol w:w="2000"/>
        <w:gridCol w:w="2142"/>
      </w:tblGrid>
      <w:tr w:rsidR="00EA25E1" w:rsidRPr="005448CA" w14:paraId="47DEC75B" w14:textId="77777777" w:rsidTr="00037DD3">
        <w:trPr>
          <w:cantSplit/>
        </w:trPr>
        <w:tc>
          <w:tcPr>
            <w:tcW w:w="6167" w:type="dxa"/>
            <w:tcBorders>
              <w:top w:val="single" w:sz="12" w:space="0" w:color="auto"/>
              <w:bottom w:val="single" w:sz="6" w:space="0" w:color="auto"/>
            </w:tcBorders>
            <w:vAlign w:val="bottom"/>
          </w:tcPr>
          <w:p w14:paraId="4B6EDC9F" w14:textId="77777777" w:rsidR="00EA25E1" w:rsidRPr="005448CA" w:rsidRDefault="00EA25E1" w:rsidP="00037DD3">
            <w:pPr>
              <w:keepNext/>
              <w:spacing w:before="20" w:after="20"/>
              <w:ind w:left="317" w:hanging="317"/>
              <w:rPr>
                <w:rFonts w:ascii="Arial" w:hAnsi="Arial" w:cs="Arial"/>
                <w:b/>
                <w:bCs/>
                <w:sz w:val="20"/>
                <w:szCs w:val="16"/>
              </w:rPr>
            </w:pPr>
            <w:r w:rsidRPr="005448CA">
              <w:rPr>
                <w:rFonts w:ascii="Arial" w:hAnsi="Arial" w:cs="Arial"/>
                <w:b/>
                <w:bCs/>
                <w:sz w:val="20"/>
                <w:szCs w:val="16"/>
              </w:rPr>
              <w:t>B&amp;B:16/17 activity</w:t>
            </w:r>
          </w:p>
        </w:tc>
        <w:tc>
          <w:tcPr>
            <w:tcW w:w="1959" w:type="dxa"/>
            <w:tcBorders>
              <w:top w:val="single" w:sz="12" w:space="0" w:color="auto"/>
              <w:bottom w:val="single" w:sz="6" w:space="0" w:color="auto"/>
            </w:tcBorders>
            <w:vAlign w:val="bottom"/>
          </w:tcPr>
          <w:p w14:paraId="7712A9B5" w14:textId="77777777"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Start date</w:t>
            </w:r>
          </w:p>
        </w:tc>
        <w:tc>
          <w:tcPr>
            <w:tcW w:w="2098" w:type="dxa"/>
            <w:tcBorders>
              <w:top w:val="single" w:sz="12" w:space="0" w:color="auto"/>
              <w:bottom w:val="single" w:sz="6" w:space="0" w:color="auto"/>
            </w:tcBorders>
            <w:vAlign w:val="bottom"/>
          </w:tcPr>
          <w:p w14:paraId="22057ED0" w14:textId="77777777" w:rsidR="00EA25E1" w:rsidRPr="005448CA" w:rsidRDefault="00EA25E1" w:rsidP="00037DD3">
            <w:pPr>
              <w:keepNext/>
              <w:spacing w:before="20" w:after="20"/>
              <w:ind w:left="317" w:hanging="317"/>
              <w:jc w:val="right"/>
              <w:rPr>
                <w:rFonts w:ascii="Arial" w:hAnsi="Arial" w:cs="Arial"/>
                <w:b/>
                <w:bCs/>
                <w:sz w:val="20"/>
                <w:szCs w:val="16"/>
              </w:rPr>
            </w:pPr>
            <w:r w:rsidRPr="005448CA">
              <w:rPr>
                <w:rFonts w:ascii="Arial" w:hAnsi="Arial" w:cs="Arial"/>
                <w:b/>
                <w:bCs/>
                <w:sz w:val="20"/>
                <w:szCs w:val="16"/>
              </w:rPr>
              <w:t>End date</w:t>
            </w:r>
          </w:p>
        </w:tc>
      </w:tr>
      <w:tr w:rsidR="00EA25E1" w:rsidRPr="005448CA" w14:paraId="538160DC" w14:textId="77777777" w:rsidTr="00037DD3">
        <w:trPr>
          <w:cantSplit/>
        </w:trPr>
        <w:tc>
          <w:tcPr>
            <w:tcW w:w="6167" w:type="dxa"/>
            <w:vAlign w:val="bottom"/>
          </w:tcPr>
          <w:p w14:paraId="4892C713" w14:textId="77777777" w:rsidR="00EA25E1" w:rsidRPr="005448CA" w:rsidRDefault="00EA25E1" w:rsidP="00037DD3">
            <w:pPr>
              <w:keepNext/>
              <w:spacing w:before="20" w:after="20" w:line="180" w:lineRule="atLeast"/>
              <w:ind w:left="317" w:hanging="317"/>
              <w:rPr>
                <w:rFonts w:ascii="Arial" w:hAnsi="Arial" w:cs="Arial"/>
                <w:sz w:val="20"/>
                <w:szCs w:val="16"/>
              </w:rPr>
            </w:pPr>
            <w:r w:rsidRPr="005448CA">
              <w:rPr>
                <w:rFonts w:ascii="Arial" w:hAnsi="Arial" w:cs="Arial"/>
                <w:sz w:val="20"/>
                <w:szCs w:val="16"/>
              </w:rPr>
              <w:t>Field test</w:t>
            </w:r>
          </w:p>
        </w:tc>
        <w:tc>
          <w:tcPr>
            <w:tcW w:w="1959" w:type="dxa"/>
            <w:vAlign w:val="bottom"/>
          </w:tcPr>
          <w:p w14:paraId="41EBF5A6" w14:textId="77777777" w:rsidR="00EA25E1" w:rsidRPr="005448CA" w:rsidRDefault="00EA25E1" w:rsidP="00037DD3">
            <w:pPr>
              <w:keepNext/>
              <w:spacing w:before="20" w:after="20" w:line="180" w:lineRule="atLeast"/>
              <w:ind w:left="317" w:hanging="317"/>
              <w:jc w:val="right"/>
              <w:rPr>
                <w:rFonts w:ascii="Arial" w:hAnsi="Arial" w:cs="Arial"/>
                <w:sz w:val="20"/>
                <w:szCs w:val="16"/>
              </w:rPr>
            </w:pPr>
          </w:p>
        </w:tc>
        <w:tc>
          <w:tcPr>
            <w:tcW w:w="2098" w:type="dxa"/>
            <w:vAlign w:val="bottom"/>
          </w:tcPr>
          <w:p w14:paraId="143BC1AA" w14:textId="77777777" w:rsidR="00EA25E1" w:rsidRPr="005448CA" w:rsidRDefault="00EA25E1" w:rsidP="00037DD3">
            <w:pPr>
              <w:keepNext/>
              <w:spacing w:before="20" w:after="20" w:line="180" w:lineRule="atLeast"/>
              <w:ind w:left="317" w:hanging="317"/>
              <w:jc w:val="right"/>
              <w:rPr>
                <w:rFonts w:ascii="Arial" w:hAnsi="Arial" w:cs="Arial"/>
                <w:sz w:val="20"/>
                <w:szCs w:val="16"/>
              </w:rPr>
            </w:pPr>
          </w:p>
        </w:tc>
      </w:tr>
      <w:tr w:rsidR="00EA25E1" w:rsidRPr="005448CA" w14:paraId="28FE1F1F" w14:textId="77777777" w:rsidTr="00037DD3">
        <w:trPr>
          <w:cantSplit/>
        </w:trPr>
        <w:tc>
          <w:tcPr>
            <w:tcW w:w="6167" w:type="dxa"/>
            <w:vAlign w:val="bottom"/>
          </w:tcPr>
          <w:p w14:paraId="256DCA6A"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Select student sample</w:t>
            </w:r>
          </w:p>
        </w:tc>
        <w:tc>
          <w:tcPr>
            <w:tcW w:w="1959" w:type="dxa"/>
            <w:vAlign w:val="bottom"/>
          </w:tcPr>
          <w:p w14:paraId="7FFB0CF6"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Feb. 15, 2016</w:t>
            </w:r>
          </w:p>
        </w:tc>
        <w:tc>
          <w:tcPr>
            <w:tcW w:w="2098" w:type="dxa"/>
            <w:vAlign w:val="bottom"/>
          </w:tcPr>
          <w:p w14:paraId="5D2D2C02"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June 3, 2016</w:t>
            </w:r>
          </w:p>
        </w:tc>
      </w:tr>
      <w:tr w:rsidR="00E63F3E" w:rsidRPr="005448CA" w14:paraId="544C2223" w14:textId="77777777" w:rsidTr="00037DD3">
        <w:trPr>
          <w:cantSplit/>
        </w:trPr>
        <w:tc>
          <w:tcPr>
            <w:tcW w:w="6167" w:type="dxa"/>
            <w:vAlign w:val="bottom"/>
          </w:tcPr>
          <w:p w14:paraId="3493A8DC" w14:textId="07C67DA6" w:rsidR="00E63F3E" w:rsidRPr="005448CA" w:rsidRDefault="00E63F3E" w:rsidP="00037DD3">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Address update</w:t>
            </w:r>
          </w:p>
        </w:tc>
        <w:tc>
          <w:tcPr>
            <w:tcW w:w="1959" w:type="dxa"/>
            <w:vAlign w:val="bottom"/>
          </w:tcPr>
          <w:p w14:paraId="1FC1BF9D" w14:textId="79139E3B" w:rsidR="00E63F3E" w:rsidRPr="005448CA" w:rsidRDefault="00AD6417"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 xml:space="preserve">June </w:t>
            </w:r>
            <w:r w:rsidR="00A162ED">
              <w:rPr>
                <w:rFonts w:ascii="Arial" w:hAnsi="Arial" w:cs="Arial"/>
                <w:sz w:val="20"/>
                <w:szCs w:val="16"/>
              </w:rPr>
              <w:t>6</w:t>
            </w:r>
            <w:r w:rsidR="00B40F2B">
              <w:rPr>
                <w:rFonts w:ascii="Arial" w:hAnsi="Arial" w:cs="Arial"/>
                <w:sz w:val="20"/>
                <w:szCs w:val="16"/>
              </w:rPr>
              <w:t>, 2016</w:t>
            </w:r>
          </w:p>
        </w:tc>
        <w:tc>
          <w:tcPr>
            <w:tcW w:w="2098" w:type="dxa"/>
            <w:vAlign w:val="bottom"/>
          </w:tcPr>
          <w:p w14:paraId="66E0ACA5" w14:textId="7F0CC5F9" w:rsidR="00E63F3E" w:rsidRPr="005448CA" w:rsidRDefault="00B40F2B"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7, 2016</w:t>
            </w:r>
          </w:p>
        </w:tc>
      </w:tr>
      <w:tr w:rsidR="00EA25E1" w:rsidRPr="005448CA" w14:paraId="59702B1A" w14:textId="77777777" w:rsidTr="00037DD3">
        <w:trPr>
          <w:cantSplit/>
        </w:trPr>
        <w:tc>
          <w:tcPr>
            <w:tcW w:w="6167" w:type="dxa"/>
            <w:vAlign w:val="bottom"/>
          </w:tcPr>
          <w:p w14:paraId="37FCAC4C"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Self-administered web-based data collection</w:t>
            </w:r>
          </w:p>
        </w:tc>
        <w:tc>
          <w:tcPr>
            <w:tcW w:w="1959" w:type="dxa"/>
            <w:vAlign w:val="bottom"/>
          </w:tcPr>
          <w:p w14:paraId="736AB6C0"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July 11, 2016</w:t>
            </w:r>
          </w:p>
        </w:tc>
        <w:tc>
          <w:tcPr>
            <w:tcW w:w="2098" w:type="dxa"/>
            <w:vAlign w:val="bottom"/>
          </w:tcPr>
          <w:p w14:paraId="5FF1C71A"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11, 2016</w:t>
            </w:r>
          </w:p>
        </w:tc>
      </w:tr>
      <w:tr w:rsidR="00EA25E1" w:rsidRPr="005448CA" w14:paraId="55C08EEA" w14:textId="77777777" w:rsidTr="00037DD3">
        <w:trPr>
          <w:cantSplit/>
        </w:trPr>
        <w:tc>
          <w:tcPr>
            <w:tcW w:w="6167" w:type="dxa"/>
            <w:vAlign w:val="bottom"/>
          </w:tcPr>
          <w:p w14:paraId="3F326B8C"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Conduct telephone interviews of students</w:t>
            </w:r>
          </w:p>
        </w:tc>
        <w:tc>
          <w:tcPr>
            <w:tcW w:w="1959" w:type="dxa"/>
            <w:vAlign w:val="bottom"/>
          </w:tcPr>
          <w:p w14:paraId="0C54B14E"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Aug. 1, 2016</w:t>
            </w:r>
          </w:p>
        </w:tc>
        <w:tc>
          <w:tcPr>
            <w:tcW w:w="2098" w:type="dxa"/>
            <w:vAlign w:val="bottom"/>
          </w:tcPr>
          <w:p w14:paraId="2822AFD7"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11, 2016</w:t>
            </w:r>
          </w:p>
        </w:tc>
      </w:tr>
      <w:tr w:rsidR="00EA25E1" w:rsidRPr="005448CA" w14:paraId="4F80FFC8" w14:textId="77777777" w:rsidTr="00135CDC">
        <w:trPr>
          <w:cantSplit/>
        </w:trPr>
        <w:tc>
          <w:tcPr>
            <w:tcW w:w="6167" w:type="dxa"/>
            <w:vAlign w:val="bottom"/>
          </w:tcPr>
          <w:p w14:paraId="57378F9B"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Process data, construct data files</w:t>
            </w:r>
          </w:p>
        </w:tc>
        <w:tc>
          <w:tcPr>
            <w:tcW w:w="1959" w:type="dxa"/>
            <w:vAlign w:val="bottom"/>
          </w:tcPr>
          <w:p w14:paraId="098D1D08"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July 11, 2016</w:t>
            </w:r>
          </w:p>
        </w:tc>
        <w:tc>
          <w:tcPr>
            <w:tcW w:w="2098" w:type="dxa"/>
            <w:vAlign w:val="bottom"/>
          </w:tcPr>
          <w:p w14:paraId="059F68B8" w14:textId="77777777" w:rsidR="00EA25E1" w:rsidRPr="005448CA" w:rsidRDefault="00EA25E1" w:rsidP="00135CDC">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 xml:space="preserve"> Jan.</w:t>
            </w:r>
            <w:r w:rsidRPr="005448CA">
              <w:rPr>
                <w:rFonts w:ascii="Arial" w:hAnsi="Arial" w:cs="Arial"/>
                <w:sz w:val="20"/>
                <w:szCs w:val="16"/>
              </w:rPr>
              <w:t>11, 2017</w:t>
            </w:r>
          </w:p>
        </w:tc>
      </w:tr>
      <w:tr w:rsidR="00EA25E1" w:rsidRPr="005448CA" w14:paraId="12D0C810" w14:textId="77777777" w:rsidTr="00037DD3">
        <w:trPr>
          <w:cantSplit/>
        </w:trPr>
        <w:tc>
          <w:tcPr>
            <w:tcW w:w="6167" w:type="dxa"/>
            <w:vAlign w:val="bottom"/>
          </w:tcPr>
          <w:p w14:paraId="22E18A8D"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Prepare/update field test reports</w:t>
            </w:r>
          </w:p>
        </w:tc>
        <w:tc>
          <w:tcPr>
            <w:tcW w:w="1959" w:type="dxa"/>
            <w:vAlign w:val="bottom"/>
          </w:tcPr>
          <w:p w14:paraId="418D1678"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Sept. 15, 2016</w:t>
            </w:r>
          </w:p>
        </w:tc>
        <w:tc>
          <w:tcPr>
            <w:tcW w:w="2098" w:type="dxa"/>
            <w:vAlign w:val="bottom"/>
          </w:tcPr>
          <w:p w14:paraId="5CA3CBDD"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May 3, 2017</w:t>
            </w:r>
          </w:p>
        </w:tc>
      </w:tr>
      <w:tr w:rsidR="00EA25E1" w:rsidRPr="005448CA" w14:paraId="4468B116" w14:textId="77777777" w:rsidTr="00037DD3">
        <w:trPr>
          <w:cantSplit/>
        </w:trPr>
        <w:tc>
          <w:tcPr>
            <w:tcW w:w="6167" w:type="dxa"/>
            <w:vAlign w:val="bottom"/>
          </w:tcPr>
          <w:p w14:paraId="6E97BB11" w14:textId="77777777" w:rsidR="00EA25E1" w:rsidRPr="005448CA" w:rsidRDefault="00EA25E1" w:rsidP="00037DD3">
            <w:pPr>
              <w:keepNext/>
              <w:spacing w:before="60" w:after="20" w:line="180" w:lineRule="atLeast"/>
              <w:ind w:left="317" w:hanging="317"/>
              <w:rPr>
                <w:rFonts w:ascii="Arial" w:hAnsi="Arial" w:cs="Arial"/>
                <w:sz w:val="20"/>
                <w:szCs w:val="16"/>
              </w:rPr>
            </w:pPr>
            <w:r w:rsidRPr="005448CA">
              <w:rPr>
                <w:rFonts w:ascii="Arial" w:hAnsi="Arial" w:cs="Arial"/>
                <w:sz w:val="20"/>
                <w:szCs w:val="16"/>
              </w:rPr>
              <w:t>Full-scale study</w:t>
            </w:r>
          </w:p>
        </w:tc>
        <w:tc>
          <w:tcPr>
            <w:tcW w:w="1959" w:type="dxa"/>
            <w:vAlign w:val="bottom"/>
          </w:tcPr>
          <w:p w14:paraId="4DF0704A" w14:textId="77777777" w:rsidR="00EA25E1" w:rsidRPr="005448CA" w:rsidRDefault="00EA25E1" w:rsidP="00037DD3">
            <w:pPr>
              <w:keepNext/>
              <w:spacing w:before="60" w:after="20" w:line="180" w:lineRule="atLeast"/>
              <w:ind w:left="317" w:hanging="317"/>
              <w:jc w:val="right"/>
              <w:rPr>
                <w:rFonts w:ascii="Arial" w:hAnsi="Arial" w:cs="Arial"/>
                <w:sz w:val="20"/>
                <w:szCs w:val="16"/>
              </w:rPr>
            </w:pPr>
          </w:p>
        </w:tc>
        <w:tc>
          <w:tcPr>
            <w:tcW w:w="2098" w:type="dxa"/>
            <w:vAlign w:val="bottom"/>
          </w:tcPr>
          <w:p w14:paraId="1C109D21" w14:textId="77777777" w:rsidR="00EA25E1" w:rsidRPr="005448CA" w:rsidRDefault="00EA25E1" w:rsidP="00037DD3">
            <w:pPr>
              <w:keepNext/>
              <w:spacing w:before="60" w:after="20" w:line="180" w:lineRule="atLeast"/>
              <w:ind w:left="317" w:hanging="317"/>
              <w:jc w:val="right"/>
              <w:rPr>
                <w:rFonts w:ascii="Arial" w:hAnsi="Arial" w:cs="Arial"/>
                <w:sz w:val="20"/>
                <w:szCs w:val="16"/>
              </w:rPr>
            </w:pPr>
          </w:p>
        </w:tc>
      </w:tr>
      <w:tr w:rsidR="00EA25E1" w:rsidRPr="005448CA" w14:paraId="325A10C4" w14:textId="77777777" w:rsidTr="00037DD3">
        <w:trPr>
          <w:cantSplit/>
        </w:trPr>
        <w:tc>
          <w:tcPr>
            <w:tcW w:w="6167" w:type="dxa"/>
            <w:vAlign w:val="bottom"/>
          </w:tcPr>
          <w:p w14:paraId="7F5E785F"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Select student sample</w:t>
            </w:r>
          </w:p>
        </w:tc>
        <w:tc>
          <w:tcPr>
            <w:tcW w:w="1959" w:type="dxa"/>
            <w:vAlign w:val="bottom"/>
          </w:tcPr>
          <w:p w14:paraId="663CDD7B"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15, 2016</w:t>
            </w:r>
          </w:p>
        </w:tc>
        <w:tc>
          <w:tcPr>
            <w:tcW w:w="2098" w:type="dxa"/>
            <w:vAlign w:val="bottom"/>
          </w:tcPr>
          <w:p w14:paraId="48099305"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April 27, 2017</w:t>
            </w:r>
          </w:p>
        </w:tc>
      </w:tr>
      <w:tr w:rsidR="003A7CEC" w:rsidRPr="005448CA" w14:paraId="7B62D6BA" w14:textId="77777777" w:rsidTr="00037DD3">
        <w:trPr>
          <w:cantSplit/>
        </w:trPr>
        <w:tc>
          <w:tcPr>
            <w:tcW w:w="6167" w:type="dxa"/>
            <w:vAlign w:val="bottom"/>
          </w:tcPr>
          <w:p w14:paraId="5ACEF183" w14:textId="19D4A45E" w:rsidR="003A7CEC" w:rsidRPr="005448CA" w:rsidRDefault="003A7CEC" w:rsidP="00037DD3">
            <w:pPr>
              <w:keepNext/>
              <w:spacing w:after="100" w:afterAutospacing="1" w:line="180" w:lineRule="atLeast"/>
              <w:ind w:left="576" w:hanging="346"/>
              <w:rPr>
                <w:rFonts w:ascii="Arial" w:hAnsi="Arial" w:cs="Arial"/>
                <w:kern w:val="2"/>
                <w:sz w:val="20"/>
                <w:szCs w:val="16"/>
              </w:rPr>
            </w:pPr>
            <w:r>
              <w:rPr>
                <w:rFonts w:ascii="Arial" w:hAnsi="Arial" w:cs="Arial"/>
                <w:kern w:val="2"/>
                <w:sz w:val="20"/>
                <w:szCs w:val="16"/>
              </w:rPr>
              <w:t>Address update</w:t>
            </w:r>
          </w:p>
        </w:tc>
        <w:tc>
          <w:tcPr>
            <w:tcW w:w="1959" w:type="dxa"/>
            <w:vAlign w:val="bottom"/>
          </w:tcPr>
          <w:p w14:paraId="501413BE" w14:textId="0DB27B4D" w:rsidR="003A7CEC" w:rsidRPr="005448CA" w:rsidRDefault="003A7CEC"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June 1, 2017</w:t>
            </w:r>
          </w:p>
        </w:tc>
        <w:tc>
          <w:tcPr>
            <w:tcW w:w="2098" w:type="dxa"/>
            <w:vAlign w:val="bottom"/>
          </w:tcPr>
          <w:p w14:paraId="2D46421B" w14:textId="554AFC33" w:rsidR="003A7CEC" w:rsidRPr="005448CA" w:rsidRDefault="003A7CEC" w:rsidP="00037DD3">
            <w:pPr>
              <w:keepNext/>
              <w:spacing w:after="100" w:afterAutospacing="1" w:line="180" w:lineRule="atLeast"/>
              <w:ind w:left="317" w:hanging="317"/>
              <w:jc w:val="right"/>
              <w:rPr>
                <w:rFonts w:ascii="Arial" w:hAnsi="Arial" w:cs="Arial"/>
                <w:sz w:val="20"/>
                <w:szCs w:val="16"/>
              </w:rPr>
            </w:pPr>
            <w:r>
              <w:rPr>
                <w:rFonts w:ascii="Arial" w:hAnsi="Arial" w:cs="Arial"/>
                <w:sz w:val="20"/>
                <w:szCs w:val="16"/>
              </w:rPr>
              <w:t>July 6, 2017</w:t>
            </w:r>
          </w:p>
        </w:tc>
      </w:tr>
      <w:tr w:rsidR="00EA25E1" w:rsidRPr="005448CA" w14:paraId="2C275031" w14:textId="77777777" w:rsidTr="00037DD3">
        <w:trPr>
          <w:cantSplit/>
        </w:trPr>
        <w:tc>
          <w:tcPr>
            <w:tcW w:w="6167" w:type="dxa"/>
            <w:vAlign w:val="bottom"/>
          </w:tcPr>
          <w:p w14:paraId="444202E6"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Self-administered web-based data collection</w:t>
            </w:r>
          </w:p>
        </w:tc>
        <w:tc>
          <w:tcPr>
            <w:tcW w:w="1959" w:type="dxa"/>
            <w:vAlign w:val="bottom"/>
          </w:tcPr>
          <w:p w14:paraId="33760746"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July 10, 2017</w:t>
            </w:r>
          </w:p>
        </w:tc>
        <w:tc>
          <w:tcPr>
            <w:tcW w:w="2098" w:type="dxa"/>
            <w:vAlign w:val="bottom"/>
          </w:tcPr>
          <w:p w14:paraId="5201DA7A"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Mar. 9, 2018</w:t>
            </w:r>
          </w:p>
        </w:tc>
      </w:tr>
      <w:tr w:rsidR="00EA25E1" w:rsidRPr="005448CA" w14:paraId="119FEC9E" w14:textId="77777777" w:rsidTr="00037DD3">
        <w:trPr>
          <w:cantSplit/>
        </w:trPr>
        <w:tc>
          <w:tcPr>
            <w:tcW w:w="6167" w:type="dxa"/>
            <w:vAlign w:val="bottom"/>
          </w:tcPr>
          <w:p w14:paraId="7B3C216B"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Conduct telephone interviews of students</w:t>
            </w:r>
          </w:p>
        </w:tc>
        <w:tc>
          <w:tcPr>
            <w:tcW w:w="1959" w:type="dxa"/>
            <w:vAlign w:val="bottom"/>
          </w:tcPr>
          <w:p w14:paraId="4CDAF9DC"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July 31, 2017</w:t>
            </w:r>
          </w:p>
        </w:tc>
        <w:tc>
          <w:tcPr>
            <w:tcW w:w="2098" w:type="dxa"/>
            <w:vAlign w:val="bottom"/>
          </w:tcPr>
          <w:p w14:paraId="07B04DA8"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Mar. 9, 2018</w:t>
            </w:r>
          </w:p>
        </w:tc>
      </w:tr>
      <w:tr w:rsidR="00EA25E1" w:rsidRPr="005448CA" w14:paraId="0FCEB6EE" w14:textId="77777777" w:rsidTr="00037DD3">
        <w:trPr>
          <w:cantSplit/>
        </w:trPr>
        <w:tc>
          <w:tcPr>
            <w:tcW w:w="6167" w:type="dxa"/>
            <w:vAlign w:val="bottom"/>
          </w:tcPr>
          <w:p w14:paraId="3F4520EC"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Process data, construct data files</w:t>
            </w:r>
          </w:p>
        </w:tc>
        <w:tc>
          <w:tcPr>
            <w:tcW w:w="1959" w:type="dxa"/>
            <w:vAlign w:val="bottom"/>
          </w:tcPr>
          <w:p w14:paraId="5A0CC810"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July 10, 2017</w:t>
            </w:r>
          </w:p>
        </w:tc>
        <w:tc>
          <w:tcPr>
            <w:tcW w:w="2098" w:type="dxa"/>
            <w:vAlign w:val="bottom"/>
          </w:tcPr>
          <w:p w14:paraId="3763EED8"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Sept. 7, 2018</w:t>
            </w:r>
          </w:p>
        </w:tc>
      </w:tr>
      <w:tr w:rsidR="00EA25E1" w:rsidRPr="005448CA" w14:paraId="03D325B5" w14:textId="77777777" w:rsidTr="00037DD3">
        <w:trPr>
          <w:cantSplit/>
        </w:trPr>
        <w:tc>
          <w:tcPr>
            <w:tcW w:w="6167" w:type="dxa"/>
            <w:tcBorders>
              <w:bottom w:val="single" w:sz="12" w:space="0" w:color="auto"/>
            </w:tcBorders>
            <w:vAlign w:val="bottom"/>
          </w:tcPr>
          <w:p w14:paraId="084C6F81" w14:textId="77777777" w:rsidR="00EA25E1" w:rsidRPr="005448CA" w:rsidRDefault="00EA25E1" w:rsidP="00037DD3">
            <w:pPr>
              <w:keepNext/>
              <w:spacing w:after="100" w:afterAutospacing="1" w:line="180" w:lineRule="atLeast"/>
              <w:ind w:left="576" w:hanging="346"/>
              <w:rPr>
                <w:rFonts w:ascii="Arial" w:hAnsi="Arial" w:cs="Arial"/>
                <w:kern w:val="2"/>
                <w:sz w:val="20"/>
                <w:szCs w:val="16"/>
              </w:rPr>
            </w:pPr>
            <w:r w:rsidRPr="005448CA">
              <w:rPr>
                <w:rFonts w:ascii="Arial" w:hAnsi="Arial" w:cs="Arial"/>
                <w:kern w:val="2"/>
                <w:sz w:val="20"/>
                <w:szCs w:val="16"/>
              </w:rPr>
              <w:t>Prepare/update reports</w:t>
            </w:r>
          </w:p>
        </w:tc>
        <w:tc>
          <w:tcPr>
            <w:tcW w:w="1959" w:type="dxa"/>
            <w:tcBorders>
              <w:bottom w:val="single" w:sz="12" w:space="0" w:color="auto"/>
            </w:tcBorders>
            <w:vAlign w:val="bottom"/>
          </w:tcPr>
          <w:p w14:paraId="775E4D53"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Jan. 8, 2018</w:t>
            </w:r>
          </w:p>
        </w:tc>
        <w:tc>
          <w:tcPr>
            <w:tcW w:w="2098" w:type="dxa"/>
            <w:tcBorders>
              <w:bottom w:val="single" w:sz="12" w:space="0" w:color="auto"/>
            </w:tcBorders>
            <w:vAlign w:val="bottom"/>
          </w:tcPr>
          <w:p w14:paraId="77C96275" w14:textId="77777777" w:rsidR="00EA25E1" w:rsidRPr="005448CA" w:rsidRDefault="00EA25E1" w:rsidP="00037DD3">
            <w:pPr>
              <w:keepNext/>
              <w:spacing w:after="100" w:afterAutospacing="1" w:line="180" w:lineRule="atLeast"/>
              <w:ind w:left="317" w:hanging="317"/>
              <w:jc w:val="right"/>
              <w:rPr>
                <w:rFonts w:ascii="Arial" w:hAnsi="Arial" w:cs="Arial"/>
                <w:sz w:val="20"/>
                <w:szCs w:val="16"/>
              </w:rPr>
            </w:pPr>
            <w:r w:rsidRPr="005448CA">
              <w:rPr>
                <w:rFonts w:ascii="Arial" w:hAnsi="Arial" w:cs="Arial"/>
                <w:sz w:val="20"/>
                <w:szCs w:val="16"/>
              </w:rPr>
              <w:t>Nov. 1, 2019</w:t>
            </w:r>
          </w:p>
        </w:tc>
      </w:tr>
    </w:tbl>
    <w:p w14:paraId="565A4654" w14:textId="77777777" w:rsidR="00EA25E1" w:rsidRPr="005448CA" w:rsidRDefault="00EA25E1" w:rsidP="00EA25E1">
      <w:pPr>
        <w:rPr>
          <w:rFonts w:ascii="Times New Roman" w:hAnsi="Times New Roman"/>
          <w:sz w:val="10"/>
          <w:szCs w:val="24"/>
        </w:rPr>
      </w:pPr>
    </w:p>
    <w:p w14:paraId="4D86B66B" w14:textId="242C61D5" w:rsidR="00545695" w:rsidRPr="00F12AB8" w:rsidRDefault="00545695" w:rsidP="00545695">
      <w:pPr>
        <w:pStyle w:val="Heading2"/>
      </w:pPr>
      <w:bookmarkStart w:id="85" w:name="_Toc440267881"/>
      <w:r w:rsidRPr="00F12AB8">
        <w:t>Approval to Not Display Expiration Date for OMB Approval</w:t>
      </w:r>
      <w:bookmarkEnd w:id="85"/>
    </w:p>
    <w:p w14:paraId="4411008F" w14:textId="77777777" w:rsidR="00545695" w:rsidRPr="00F12AB8" w:rsidRDefault="00545695" w:rsidP="00F829B8">
      <w:pPr>
        <w:pStyle w:val="BodyText"/>
        <w:ind w:firstLine="0"/>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14:paraId="5B4F580C" w14:textId="77777777" w:rsidR="00545695" w:rsidRPr="00F12AB8" w:rsidRDefault="00545695" w:rsidP="00545695">
      <w:pPr>
        <w:pStyle w:val="Heading2"/>
      </w:pPr>
      <w:bookmarkStart w:id="86" w:name="_Toc440267882"/>
      <w:r w:rsidRPr="00F12AB8">
        <w:t>Exceptions to Certification for Paperwork Reduction Act Submissions</w:t>
      </w:r>
      <w:bookmarkEnd w:id="86"/>
    </w:p>
    <w:p w14:paraId="325EBDB1" w14:textId="779FF009" w:rsidR="008B68A4" w:rsidRDefault="00545695" w:rsidP="008B68A4">
      <w:pPr>
        <w:pStyle w:val="BodyText"/>
        <w:ind w:firstLine="0"/>
      </w:pPr>
      <w:r w:rsidRPr="00F12AB8">
        <w:t xml:space="preserve">There are no exceptions to the certification statement identified in the Certification for Paperwork Reduction </w:t>
      </w:r>
      <w:r>
        <w:t>Act Submissions of OMB Form 83-I</w:t>
      </w:r>
      <w:r w:rsidRPr="00F12AB8">
        <w:t>.</w:t>
      </w:r>
    </w:p>
    <w:sectPr w:rsidR="008B68A4" w:rsidSect="00975A2B">
      <w:footerReference w:type="first" r:id="rId14"/>
      <w:pgSz w:w="12240" w:h="15840" w:code="1"/>
      <w:pgMar w:top="1008" w:right="1008" w:bottom="1008" w:left="1008" w:header="432"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AB11C" w14:textId="77777777" w:rsidR="00CF645B" w:rsidRDefault="00CF645B">
      <w:r>
        <w:separator/>
      </w:r>
    </w:p>
  </w:endnote>
  <w:endnote w:type="continuationSeparator" w:id="0">
    <w:p w14:paraId="42EA150D" w14:textId="77777777" w:rsidR="00CF645B" w:rsidRDefault="00CF645B">
      <w:r>
        <w:continuationSeparator/>
      </w:r>
    </w:p>
  </w:endnote>
  <w:endnote w:type="continuationNotice" w:id="1">
    <w:p w14:paraId="261935E0" w14:textId="77777777" w:rsidR="00CF645B" w:rsidRDefault="00CF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037DD3" w:rsidRDefault="00037DD3">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14:paraId="68C64D9D" w14:textId="195E5C94" w:rsidR="00037DD3" w:rsidRDefault="00037DD3" w:rsidP="00975A2B">
        <w:pPr>
          <w:pStyle w:val="Footer"/>
        </w:pPr>
        <w:r>
          <w:fldChar w:fldCharType="begin"/>
        </w:r>
        <w:r>
          <w:instrText xml:space="preserve"> PAGE   \* MERGEFORMAT </w:instrText>
        </w:r>
        <w:r>
          <w:fldChar w:fldCharType="separate"/>
        </w:r>
        <w:r w:rsidR="00D16362">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B248" w14:textId="510CE80B" w:rsidR="00037DD3" w:rsidRDefault="00037DD3">
    <w:pPr>
      <w:pStyle w:val="Footer"/>
    </w:pPr>
  </w:p>
  <w:p w14:paraId="08CD5B5B" w14:textId="77777777" w:rsidR="00037DD3" w:rsidRDefault="00037D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2A93" w14:textId="2CC875DB" w:rsidR="00037DD3" w:rsidRDefault="00037DD3">
    <w:pPr>
      <w:pStyle w:val="Footer"/>
    </w:pPr>
    <w:r>
      <w:t>1</w:t>
    </w:r>
  </w:p>
  <w:p w14:paraId="29EE0F2A" w14:textId="77777777" w:rsidR="00037DD3" w:rsidRDefault="00037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73E91" w14:textId="77777777" w:rsidR="00CF645B" w:rsidRDefault="00CF645B">
      <w:r>
        <w:separator/>
      </w:r>
    </w:p>
  </w:footnote>
  <w:footnote w:type="continuationSeparator" w:id="0">
    <w:p w14:paraId="54FBC317" w14:textId="77777777" w:rsidR="00CF645B" w:rsidRDefault="00CF645B">
      <w:r>
        <w:continuationSeparator/>
      </w:r>
    </w:p>
  </w:footnote>
  <w:footnote w:type="continuationNotice" w:id="1">
    <w:p w14:paraId="70558D8F" w14:textId="77777777" w:rsidR="00CF645B" w:rsidRDefault="00CF645B"/>
  </w:footnote>
  <w:footnote w:id="2">
    <w:p w14:paraId="7B59B603" w14:textId="172FE66B" w:rsidR="00037DD3" w:rsidRPr="00D8290E" w:rsidRDefault="00037DD3" w:rsidP="009920C6">
      <w:pPr>
        <w:rPr>
          <w:rFonts w:ascii="Times New Roman" w:hAnsi="Times New Roman"/>
          <w:sz w:val="18"/>
          <w:szCs w:val="18"/>
        </w:rPr>
      </w:pPr>
      <w:r>
        <w:rPr>
          <w:rStyle w:val="FootnoteReference"/>
        </w:rPr>
        <w:footnoteRef/>
      </w:r>
      <w:r>
        <w:t xml:space="preserve"> </w:t>
      </w:r>
      <w:r w:rsidRPr="00D8290E">
        <w:rPr>
          <w:rFonts w:ascii="Times New Roman" w:hAnsi="Times New Roman"/>
          <w:sz w:val="18"/>
          <w:szCs w:val="18"/>
        </w:rPr>
        <w:t xml:space="preserve">The estimated </w:t>
      </w:r>
      <w:r w:rsidRPr="009920C6">
        <w:rPr>
          <w:rFonts w:ascii="Times New Roman" w:hAnsi="Times New Roman"/>
          <w:sz w:val="18"/>
          <w:szCs w:val="18"/>
        </w:rPr>
        <w:t xml:space="preserve">average </w:t>
      </w:r>
      <w:r w:rsidRPr="00D8290E">
        <w:rPr>
          <w:rFonts w:ascii="Times New Roman" w:hAnsi="Times New Roman"/>
          <w:sz w:val="18"/>
          <w:szCs w:val="18"/>
        </w:rPr>
        <w:t xml:space="preserve">student </w:t>
      </w:r>
      <w:r w:rsidRPr="009920C6">
        <w:rPr>
          <w:rFonts w:ascii="Times New Roman" w:hAnsi="Times New Roman"/>
          <w:sz w:val="18"/>
          <w:szCs w:val="18"/>
        </w:rPr>
        <w:t xml:space="preserve">hourly rate </w:t>
      </w:r>
      <w:r w:rsidRPr="00D8290E">
        <w:rPr>
          <w:rFonts w:ascii="Times New Roman" w:hAnsi="Times New Roman"/>
          <w:sz w:val="18"/>
          <w:szCs w:val="18"/>
        </w:rPr>
        <w:t>was obtained by taking the average salary of the class of 2014 according the National Association of Colleges and Employers (</w:t>
      </w:r>
      <w:hyperlink r:id="rId1" w:history="1">
        <w:r w:rsidRPr="00D8290E">
          <w:rPr>
            <w:rFonts w:ascii="Times New Roman" w:hAnsi="Times New Roman"/>
            <w:sz w:val="18"/>
            <w:szCs w:val="18"/>
            <w:u w:val="single"/>
          </w:rPr>
          <w:t>http://time.com/money/3829776/heres-what-the-average-grad-makes-right-out-of-college/</w:t>
        </w:r>
      </w:hyperlink>
      <w:r w:rsidRPr="00D8290E">
        <w:rPr>
          <w:rFonts w:ascii="Times New Roman" w:hAnsi="Times New Roman"/>
          <w:sz w:val="18"/>
          <w:szCs w:val="18"/>
        </w:rPr>
        <w:t>),</w:t>
      </w:r>
    </w:p>
    <w:p w14:paraId="2CE40388" w14:textId="3BA89D5B" w:rsidR="00037DD3" w:rsidRDefault="00037DD3" w:rsidP="009920C6">
      <w:pPr>
        <w:pStyle w:val="FootnoteText"/>
      </w:pPr>
      <w:r w:rsidRPr="00D8290E">
        <w:rPr>
          <w:rFonts w:ascii="Times New Roman" w:hAnsi="Times New Roman"/>
          <w:sz w:val="18"/>
          <w:szCs w:val="18"/>
        </w:rPr>
        <w:t xml:space="preserve"> multiplied by an 88% employment rate in 2014 for adults with a bachelor’s degree aged 20-24 years, from </w:t>
      </w:r>
      <w:r w:rsidRPr="00D8290E">
        <w:rPr>
          <w:rFonts w:ascii="Times New Roman" w:hAnsi="Times New Roman"/>
          <w:i/>
          <w:iCs/>
          <w:sz w:val="18"/>
          <w:szCs w:val="18"/>
        </w:rPr>
        <w:t>The Condition of Education</w:t>
      </w:r>
      <w:r w:rsidRPr="00D8290E">
        <w:rPr>
          <w:rFonts w:ascii="Times New Roman" w:hAnsi="Times New Roman"/>
          <w:sz w:val="18"/>
          <w:szCs w:val="18"/>
        </w:rPr>
        <w:t xml:space="preserve">, </w:t>
      </w:r>
      <w:r w:rsidRPr="00D8290E">
        <w:rPr>
          <w:rFonts w:ascii="Times New Roman" w:hAnsi="Times New Roman"/>
          <w:i/>
          <w:iCs/>
          <w:sz w:val="18"/>
          <w:szCs w:val="18"/>
        </w:rPr>
        <w:t xml:space="preserve">2015: </w:t>
      </w:r>
      <w:hyperlink r:id="rId2" w:history="1">
        <w:r w:rsidRPr="00D8290E">
          <w:rPr>
            <w:rFonts w:ascii="Times New Roman" w:hAnsi="Times New Roman"/>
            <w:sz w:val="18"/>
            <w:szCs w:val="18"/>
            <w:u w:val="single"/>
          </w:rPr>
          <w:t>https://nces.ed.gov/fastfacts/display.asp?id=561</w:t>
        </w:r>
      </w:hyperlink>
      <w:hyperlink r:id="rId3" w:history="1">
        <w:r w:rsidRPr="00D8290E">
          <w:rPr>
            <w:rFonts w:ascii="Times New Roman" w:hAnsi="Times New Roman"/>
            <w:sz w:val="18"/>
            <w:szCs w:val="18"/>
            <w:u w:val="single"/>
          </w:rPr>
          <w:t>http://nces.ed.gov/programs/coe/indicator_cbc.asp</w:t>
        </w:r>
      </w:hyperlink>
      <w:r w:rsidRPr="00D8290E">
        <w:rPr>
          <w:rFonts w:ascii="Times New Roman" w:hAnsi="Times New Roman"/>
          <w:color w:val="1F497D"/>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9">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8"/>
  </w:num>
  <w:num w:numId="5">
    <w:abstractNumId w:val="3"/>
  </w:num>
  <w:num w:numId="6">
    <w:abstractNumId w:val="6"/>
  </w:num>
  <w:num w:numId="7">
    <w:abstractNumId w:val="2"/>
  </w:num>
  <w:num w:numId="8">
    <w:abstractNumId w:val="0"/>
  </w:num>
  <w:num w:numId="9">
    <w:abstractNumId w:val="9"/>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164D7"/>
    <w:rsid w:val="00021E4C"/>
    <w:rsid w:val="000231EE"/>
    <w:rsid w:val="00027461"/>
    <w:rsid w:val="0003260E"/>
    <w:rsid w:val="000333DA"/>
    <w:rsid w:val="00034B40"/>
    <w:rsid w:val="00036511"/>
    <w:rsid w:val="00037DD3"/>
    <w:rsid w:val="00040851"/>
    <w:rsid w:val="000411CC"/>
    <w:rsid w:val="00041240"/>
    <w:rsid w:val="00044904"/>
    <w:rsid w:val="00051A47"/>
    <w:rsid w:val="0005221B"/>
    <w:rsid w:val="0005436E"/>
    <w:rsid w:val="00054E68"/>
    <w:rsid w:val="0005560F"/>
    <w:rsid w:val="0005697B"/>
    <w:rsid w:val="00060503"/>
    <w:rsid w:val="00061737"/>
    <w:rsid w:val="00062DC3"/>
    <w:rsid w:val="00062EF6"/>
    <w:rsid w:val="00066DB4"/>
    <w:rsid w:val="000675AA"/>
    <w:rsid w:val="00072666"/>
    <w:rsid w:val="00072D1A"/>
    <w:rsid w:val="00072E26"/>
    <w:rsid w:val="00073C6B"/>
    <w:rsid w:val="000775AB"/>
    <w:rsid w:val="0007780A"/>
    <w:rsid w:val="00080B23"/>
    <w:rsid w:val="0008295E"/>
    <w:rsid w:val="0008668A"/>
    <w:rsid w:val="0009020F"/>
    <w:rsid w:val="000907DE"/>
    <w:rsid w:val="00091671"/>
    <w:rsid w:val="00092AA2"/>
    <w:rsid w:val="00093971"/>
    <w:rsid w:val="00093F25"/>
    <w:rsid w:val="000A3901"/>
    <w:rsid w:val="000A524F"/>
    <w:rsid w:val="000A5792"/>
    <w:rsid w:val="000A5CE0"/>
    <w:rsid w:val="000A73B3"/>
    <w:rsid w:val="000B03CB"/>
    <w:rsid w:val="000B505B"/>
    <w:rsid w:val="000B5864"/>
    <w:rsid w:val="000B677C"/>
    <w:rsid w:val="000B7888"/>
    <w:rsid w:val="000B7AC2"/>
    <w:rsid w:val="000C0281"/>
    <w:rsid w:val="000C1256"/>
    <w:rsid w:val="000C3189"/>
    <w:rsid w:val="000C464A"/>
    <w:rsid w:val="000C477F"/>
    <w:rsid w:val="000C63EA"/>
    <w:rsid w:val="000C68F5"/>
    <w:rsid w:val="000D0D78"/>
    <w:rsid w:val="000D23C2"/>
    <w:rsid w:val="000D4786"/>
    <w:rsid w:val="000D69D6"/>
    <w:rsid w:val="000E1615"/>
    <w:rsid w:val="000E32AA"/>
    <w:rsid w:val="000E74A5"/>
    <w:rsid w:val="000F0EC0"/>
    <w:rsid w:val="000F14A9"/>
    <w:rsid w:val="000F2CAB"/>
    <w:rsid w:val="000F38FB"/>
    <w:rsid w:val="00100F59"/>
    <w:rsid w:val="00101885"/>
    <w:rsid w:val="00103FC4"/>
    <w:rsid w:val="00104B30"/>
    <w:rsid w:val="001074CE"/>
    <w:rsid w:val="001079B0"/>
    <w:rsid w:val="001114E0"/>
    <w:rsid w:val="00111E00"/>
    <w:rsid w:val="001144A0"/>
    <w:rsid w:val="00114BBE"/>
    <w:rsid w:val="00115048"/>
    <w:rsid w:val="00115438"/>
    <w:rsid w:val="001167A0"/>
    <w:rsid w:val="001168C4"/>
    <w:rsid w:val="00116E0E"/>
    <w:rsid w:val="00117D29"/>
    <w:rsid w:val="00122FC2"/>
    <w:rsid w:val="00125A27"/>
    <w:rsid w:val="00126B64"/>
    <w:rsid w:val="001271E6"/>
    <w:rsid w:val="00127BF5"/>
    <w:rsid w:val="0013217C"/>
    <w:rsid w:val="00132CB2"/>
    <w:rsid w:val="00134EBF"/>
    <w:rsid w:val="00135CDC"/>
    <w:rsid w:val="00137344"/>
    <w:rsid w:val="00140C29"/>
    <w:rsid w:val="00140DC5"/>
    <w:rsid w:val="00142A4B"/>
    <w:rsid w:val="00142E11"/>
    <w:rsid w:val="001431A7"/>
    <w:rsid w:val="00143C1C"/>
    <w:rsid w:val="00145513"/>
    <w:rsid w:val="00145B9D"/>
    <w:rsid w:val="00145CA9"/>
    <w:rsid w:val="0014606E"/>
    <w:rsid w:val="0014645F"/>
    <w:rsid w:val="00147166"/>
    <w:rsid w:val="00152AD3"/>
    <w:rsid w:val="00152FDD"/>
    <w:rsid w:val="00153442"/>
    <w:rsid w:val="001535E2"/>
    <w:rsid w:val="00153802"/>
    <w:rsid w:val="00155782"/>
    <w:rsid w:val="00155890"/>
    <w:rsid w:val="001559BB"/>
    <w:rsid w:val="00156286"/>
    <w:rsid w:val="001573B4"/>
    <w:rsid w:val="00160371"/>
    <w:rsid w:val="00161407"/>
    <w:rsid w:val="001622AC"/>
    <w:rsid w:val="001623AA"/>
    <w:rsid w:val="001656CB"/>
    <w:rsid w:val="00166D14"/>
    <w:rsid w:val="00171A91"/>
    <w:rsid w:val="0017533B"/>
    <w:rsid w:val="0017561E"/>
    <w:rsid w:val="0017649E"/>
    <w:rsid w:val="00176538"/>
    <w:rsid w:val="00176A41"/>
    <w:rsid w:val="001775C0"/>
    <w:rsid w:val="00177F97"/>
    <w:rsid w:val="0018048C"/>
    <w:rsid w:val="00181EEA"/>
    <w:rsid w:val="00183736"/>
    <w:rsid w:val="00184EAB"/>
    <w:rsid w:val="00187FDD"/>
    <w:rsid w:val="001904CA"/>
    <w:rsid w:val="001924FF"/>
    <w:rsid w:val="00193DCC"/>
    <w:rsid w:val="00193DD9"/>
    <w:rsid w:val="00195334"/>
    <w:rsid w:val="00195FE1"/>
    <w:rsid w:val="001A01D2"/>
    <w:rsid w:val="001A054D"/>
    <w:rsid w:val="001A1405"/>
    <w:rsid w:val="001A6144"/>
    <w:rsid w:val="001A6277"/>
    <w:rsid w:val="001A65A2"/>
    <w:rsid w:val="001A6C33"/>
    <w:rsid w:val="001A6F28"/>
    <w:rsid w:val="001B2C31"/>
    <w:rsid w:val="001B4BAF"/>
    <w:rsid w:val="001B5343"/>
    <w:rsid w:val="001B5431"/>
    <w:rsid w:val="001B5A56"/>
    <w:rsid w:val="001B74D0"/>
    <w:rsid w:val="001B792F"/>
    <w:rsid w:val="001C14FE"/>
    <w:rsid w:val="001C3516"/>
    <w:rsid w:val="001C3BFB"/>
    <w:rsid w:val="001C4CDA"/>
    <w:rsid w:val="001C5C35"/>
    <w:rsid w:val="001C6283"/>
    <w:rsid w:val="001C7770"/>
    <w:rsid w:val="001C7BE3"/>
    <w:rsid w:val="001D0669"/>
    <w:rsid w:val="001D0838"/>
    <w:rsid w:val="001D0896"/>
    <w:rsid w:val="001D3DC6"/>
    <w:rsid w:val="001D4486"/>
    <w:rsid w:val="001D6928"/>
    <w:rsid w:val="001D6CFC"/>
    <w:rsid w:val="001D70EA"/>
    <w:rsid w:val="001D7A8B"/>
    <w:rsid w:val="001D7F88"/>
    <w:rsid w:val="001E2639"/>
    <w:rsid w:val="001E35E4"/>
    <w:rsid w:val="001E4A80"/>
    <w:rsid w:val="001E520C"/>
    <w:rsid w:val="001E7A49"/>
    <w:rsid w:val="001F196C"/>
    <w:rsid w:val="001F4877"/>
    <w:rsid w:val="001F4E16"/>
    <w:rsid w:val="001F51C6"/>
    <w:rsid w:val="001F5506"/>
    <w:rsid w:val="002012F3"/>
    <w:rsid w:val="00201C31"/>
    <w:rsid w:val="00201EEE"/>
    <w:rsid w:val="00202AC1"/>
    <w:rsid w:val="00207311"/>
    <w:rsid w:val="0021087B"/>
    <w:rsid w:val="002136DD"/>
    <w:rsid w:val="00214BB6"/>
    <w:rsid w:val="00214F7E"/>
    <w:rsid w:val="00221DEF"/>
    <w:rsid w:val="00223EBC"/>
    <w:rsid w:val="002241E3"/>
    <w:rsid w:val="002320FF"/>
    <w:rsid w:val="00232D74"/>
    <w:rsid w:val="00233A63"/>
    <w:rsid w:val="00233E03"/>
    <w:rsid w:val="002342D4"/>
    <w:rsid w:val="002346ED"/>
    <w:rsid w:val="00235AFA"/>
    <w:rsid w:val="0023649F"/>
    <w:rsid w:val="00241C76"/>
    <w:rsid w:val="00242FA4"/>
    <w:rsid w:val="002442A7"/>
    <w:rsid w:val="00244446"/>
    <w:rsid w:val="0024459B"/>
    <w:rsid w:val="00246715"/>
    <w:rsid w:val="00247B10"/>
    <w:rsid w:val="00251C29"/>
    <w:rsid w:val="00251D8E"/>
    <w:rsid w:val="002524AA"/>
    <w:rsid w:val="00252A45"/>
    <w:rsid w:val="00254AEE"/>
    <w:rsid w:val="00254CED"/>
    <w:rsid w:val="00255253"/>
    <w:rsid w:val="00261E20"/>
    <w:rsid w:val="00262A02"/>
    <w:rsid w:val="002630E7"/>
    <w:rsid w:val="00263D6A"/>
    <w:rsid w:val="00264DFF"/>
    <w:rsid w:val="00265D69"/>
    <w:rsid w:val="00265E39"/>
    <w:rsid w:val="002667ED"/>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2162"/>
    <w:rsid w:val="002936F5"/>
    <w:rsid w:val="002963CF"/>
    <w:rsid w:val="00296B80"/>
    <w:rsid w:val="00296F54"/>
    <w:rsid w:val="002A29DE"/>
    <w:rsid w:val="002A2B44"/>
    <w:rsid w:val="002A6C43"/>
    <w:rsid w:val="002B0F88"/>
    <w:rsid w:val="002B2827"/>
    <w:rsid w:val="002B377D"/>
    <w:rsid w:val="002B543D"/>
    <w:rsid w:val="002B6D11"/>
    <w:rsid w:val="002B795B"/>
    <w:rsid w:val="002C0158"/>
    <w:rsid w:val="002C0A0F"/>
    <w:rsid w:val="002C2033"/>
    <w:rsid w:val="002C4CA0"/>
    <w:rsid w:val="002C7FD8"/>
    <w:rsid w:val="002D09D2"/>
    <w:rsid w:val="002D2120"/>
    <w:rsid w:val="002D227B"/>
    <w:rsid w:val="002D3439"/>
    <w:rsid w:val="002D35CE"/>
    <w:rsid w:val="002D4C3B"/>
    <w:rsid w:val="002D5D3B"/>
    <w:rsid w:val="002D7688"/>
    <w:rsid w:val="002D7E3C"/>
    <w:rsid w:val="002E0200"/>
    <w:rsid w:val="002E09F0"/>
    <w:rsid w:val="002E164E"/>
    <w:rsid w:val="002E2D50"/>
    <w:rsid w:val="002E2FC3"/>
    <w:rsid w:val="002E4038"/>
    <w:rsid w:val="002E6461"/>
    <w:rsid w:val="002E65D3"/>
    <w:rsid w:val="002E6B7F"/>
    <w:rsid w:val="002E73EB"/>
    <w:rsid w:val="002E7552"/>
    <w:rsid w:val="002F001D"/>
    <w:rsid w:val="002F0D15"/>
    <w:rsid w:val="002F1CBF"/>
    <w:rsid w:val="002F3813"/>
    <w:rsid w:val="002F3DCD"/>
    <w:rsid w:val="002F46F4"/>
    <w:rsid w:val="002F592C"/>
    <w:rsid w:val="002F6A0B"/>
    <w:rsid w:val="002F6E82"/>
    <w:rsid w:val="00303A2C"/>
    <w:rsid w:val="00303C33"/>
    <w:rsid w:val="0030432F"/>
    <w:rsid w:val="00305121"/>
    <w:rsid w:val="00305675"/>
    <w:rsid w:val="0030670D"/>
    <w:rsid w:val="00307021"/>
    <w:rsid w:val="00311DC1"/>
    <w:rsid w:val="0031253A"/>
    <w:rsid w:val="003129AB"/>
    <w:rsid w:val="003150F2"/>
    <w:rsid w:val="00315729"/>
    <w:rsid w:val="00317D07"/>
    <w:rsid w:val="003200EE"/>
    <w:rsid w:val="00320AA8"/>
    <w:rsid w:val="003212F5"/>
    <w:rsid w:val="0032258C"/>
    <w:rsid w:val="00323A50"/>
    <w:rsid w:val="003247F6"/>
    <w:rsid w:val="0032544F"/>
    <w:rsid w:val="00327717"/>
    <w:rsid w:val="003301DA"/>
    <w:rsid w:val="003313E2"/>
    <w:rsid w:val="00332C07"/>
    <w:rsid w:val="0033426E"/>
    <w:rsid w:val="00334BA3"/>
    <w:rsid w:val="00335DA5"/>
    <w:rsid w:val="003371F3"/>
    <w:rsid w:val="00337CEA"/>
    <w:rsid w:val="00340D19"/>
    <w:rsid w:val="00341B34"/>
    <w:rsid w:val="00342CBB"/>
    <w:rsid w:val="00343C7B"/>
    <w:rsid w:val="00344DF7"/>
    <w:rsid w:val="00345125"/>
    <w:rsid w:val="00346809"/>
    <w:rsid w:val="0035340C"/>
    <w:rsid w:val="00353DA4"/>
    <w:rsid w:val="00354128"/>
    <w:rsid w:val="00356870"/>
    <w:rsid w:val="00356A6A"/>
    <w:rsid w:val="003575C3"/>
    <w:rsid w:val="00361487"/>
    <w:rsid w:val="00362EAD"/>
    <w:rsid w:val="00363BC6"/>
    <w:rsid w:val="00365502"/>
    <w:rsid w:val="00366450"/>
    <w:rsid w:val="003673A2"/>
    <w:rsid w:val="00370E12"/>
    <w:rsid w:val="003712B0"/>
    <w:rsid w:val="003741A3"/>
    <w:rsid w:val="003762C5"/>
    <w:rsid w:val="0037768A"/>
    <w:rsid w:val="0038211A"/>
    <w:rsid w:val="00383B17"/>
    <w:rsid w:val="00384964"/>
    <w:rsid w:val="00385D7C"/>
    <w:rsid w:val="00385F2F"/>
    <w:rsid w:val="00386221"/>
    <w:rsid w:val="00387262"/>
    <w:rsid w:val="00387546"/>
    <w:rsid w:val="003924DC"/>
    <w:rsid w:val="0039385A"/>
    <w:rsid w:val="00394C8C"/>
    <w:rsid w:val="0039579D"/>
    <w:rsid w:val="00395F0D"/>
    <w:rsid w:val="00396375"/>
    <w:rsid w:val="00396F06"/>
    <w:rsid w:val="003A0A95"/>
    <w:rsid w:val="003A0F8E"/>
    <w:rsid w:val="003A24EE"/>
    <w:rsid w:val="003A6093"/>
    <w:rsid w:val="003A7CEC"/>
    <w:rsid w:val="003B0207"/>
    <w:rsid w:val="003B0C51"/>
    <w:rsid w:val="003B4512"/>
    <w:rsid w:val="003B4C17"/>
    <w:rsid w:val="003B794A"/>
    <w:rsid w:val="003B7AAC"/>
    <w:rsid w:val="003C0FCB"/>
    <w:rsid w:val="003C1400"/>
    <w:rsid w:val="003C42F0"/>
    <w:rsid w:val="003C499F"/>
    <w:rsid w:val="003C643C"/>
    <w:rsid w:val="003C6D2B"/>
    <w:rsid w:val="003C7C54"/>
    <w:rsid w:val="003D0A0E"/>
    <w:rsid w:val="003D1722"/>
    <w:rsid w:val="003D1801"/>
    <w:rsid w:val="003D2D58"/>
    <w:rsid w:val="003D3026"/>
    <w:rsid w:val="003D38BF"/>
    <w:rsid w:val="003D3B20"/>
    <w:rsid w:val="003D3EEA"/>
    <w:rsid w:val="003D4CAB"/>
    <w:rsid w:val="003D6BDB"/>
    <w:rsid w:val="003D6D30"/>
    <w:rsid w:val="003D6EFA"/>
    <w:rsid w:val="003D7955"/>
    <w:rsid w:val="003E52FC"/>
    <w:rsid w:val="003E58FD"/>
    <w:rsid w:val="003E6A0E"/>
    <w:rsid w:val="003F0391"/>
    <w:rsid w:val="003F0D1A"/>
    <w:rsid w:val="003F1F6C"/>
    <w:rsid w:val="003F3DAA"/>
    <w:rsid w:val="003F48E3"/>
    <w:rsid w:val="003F54AB"/>
    <w:rsid w:val="003F753B"/>
    <w:rsid w:val="004001D5"/>
    <w:rsid w:val="00401030"/>
    <w:rsid w:val="00402041"/>
    <w:rsid w:val="004027BC"/>
    <w:rsid w:val="00403065"/>
    <w:rsid w:val="00405AC6"/>
    <w:rsid w:val="004060B6"/>
    <w:rsid w:val="00411AFC"/>
    <w:rsid w:val="00413E37"/>
    <w:rsid w:val="00413EEF"/>
    <w:rsid w:val="00415D09"/>
    <w:rsid w:val="0041703F"/>
    <w:rsid w:val="00420432"/>
    <w:rsid w:val="004205D1"/>
    <w:rsid w:val="00421684"/>
    <w:rsid w:val="00421D77"/>
    <w:rsid w:val="004229D7"/>
    <w:rsid w:val="0042325B"/>
    <w:rsid w:val="00423329"/>
    <w:rsid w:val="004272F5"/>
    <w:rsid w:val="00432214"/>
    <w:rsid w:val="00432AFB"/>
    <w:rsid w:val="0043377D"/>
    <w:rsid w:val="00434CCA"/>
    <w:rsid w:val="0043671D"/>
    <w:rsid w:val="004405DF"/>
    <w:rsid w:val="00440D84"/>
    <w:rsid w:val="00442247"/>
    <w:rsid w:val="00442DA4"/>
    <w:rsid w:val="00443340"/>
    <w:rsid w:val="00444155"/>
    <w:rsid w:val="004478B3"/>
    <w:rsid w:val="004504A1"/>
    <w:rsid w:val="00450EBB"/>
    <w:rsid w:val="00451B9B"/>
    <w:rsid w:val="00451CE4"/>
    <w:rsid w:val="00454507"/>
    <w:rsid w:val="004556A9"/>
    <w:rsid w:val="00455E38"/>
    <w:rsid w:val="00461EB3"/>
    <w:rsid w:val="004622D4"/>
    <w:rsid w:val="00462551"/>
    <w:rsid w:val="00464CDE"/>
    <w:rsid w:val="004650F8"/>
    <w:rsid w:val="0046745E"/>
    <w:rsid w:val="00467769"/>
    <w:rsid w:val="00467FFC"/>
    <w:rsid w:val="00471437"/>
    <w:rsid w:val="004726F5"/>
    <w:rsid w:val="00475384"/>
    <w:rsid w:val="004755B7"/>
    <w:rsid w:val="00475771"/>
    <w:rsid w:val="00475E2C"/>
    <w:rsid w:val="00477A4D"/>
    <w:rsid w:val="00477CEE"/>
    <w:rsid w:val="00477E52"/>
    <w:rsid w:val="00480AF9"/>
    <w:rsid w:val="00483875"/>
    <w:rsid w:val="00484818"/>
    <w:rsid w:val="00484EE6"/>
    <w:rsid w:val="004860F7"/>
    <w:rsid w:val="00491817"/>
    <w:rsid w:val="00491A42"/>
    <w:rsid w:val="00492066"/>
    <w:rsid w:val="00493467"/>
    <w:rsid w:val="004956A8"/>
    <w:rsid w:val="00495820"/>
    <w:rsid w:val="004962CA"/>
    <w:rsid w:val="004A00B2"/>
    <w:rsid w:val="004A0420"/>
    <w:rsid w:val="004A0799"/>
    <w:rsid w:val="004A0819"/>
    <w:rsid w:val="004A1629"/>
    <w:rsid w:val="004A3070"/>
    <w:rsid w:val="004A393C"/>
    <w:rsid w:val="004A4195"/>
    <w:rsid w:val="004A5199"/>
    <w:rsid w:val="004A6A13"/>
    <w:rsid w:val="004A79EC"/>
    <w:rsid w:val="004B1367"/>
    <w:rsid w:val="004B217A"/>
    <w:rsid w:val="004B2788"/>
    <w:rsid w:val="004B4667"/>
    <w:rsid w:val="004B48F9"/>
    <w:rsid w:val="004B5AE3"/>
    <w:rsid w:val="004B6916"/>
    <w:rsid w:val="004B7367"/>
    <w:rsid w:val="004B77B2"/>
    <w:rsid w:val="004C1098"/>
    <w:rsid w:val="004C6729"/>
    <w:rsid w:val="004C7173"/>
    <w:rsid w:val="004D1B5D"/>
    <w:rsid w:val="004D1F30"/>
    <w:rsid w:val="004D2386"/>
    <w:rsid w:val="004D2C4C"/>
    <w:rsid w:val="004D424D"/>
    <w:rsid w:val="004D569E"/>
    <w:rsid w:val="004D586F"/>
    <w:rsid w:val="004D6131"/>
    <w:rsid w:val="004D687F"/>
    <w:rsid w:val="004E14C4"/>
    <w:rsid w:val="004E303C"/>
    <w:rsid w:val="004E4D80"/>
    <w:rsid w:val="004E6678"/>
    <w:rsid w:val="004E6B92"/>
    <w:rsid w:val="004F33DD"/>
    <w:rsid w:val="004F3826"/>
    <w:rsid w:val="004F4E2F"/>
    <w:rsid w:val="004F7DFB"/>
    <w:rsid w:val="00500DE4"/>
    <w:rsid w:val="005014BA"/>
    <w:rsid w:val="005015C4"/>
    <w:rsid w:val="00502505"/>
    <w:rsid w:val="00503E1F"/>
    <w:rsid w:val="00504C42"/>
    <w:rsid w:val="005056EE"/>
    <w:rsid w:val="00507AD8"/>
    <w:rsid w:val="0051174A"/>
    <w:rsid w:val="0051244B"/>
    <w:rsid w:val="00516BDE"/>
    <w:rsid w:val="00521DD2"/>
    <w:rsid w:val="00522FCE"/>
    <w:rsid w:val="00525253"/>
    <w:rsid w:val="005270FE"/>
    <w:rsid w:val="005274C5"/>
    <w:rsid w:val="00532F5B"/>
    <w:rsid w:val="00535419"/>
    <w:rsid w:val="005377C3"/>
    <w:rsid w:val="005400D8"/>
    <w:rsid w:val="005404D4"/>
    <w:rsid w:val="00541926"/>
    <w:rsid w:val="005430A2"/>
    <w:rsid w:val="00543157"/>
    <w:rsid w:val="005434B9"/>
    <w:rsid w:val="005448CA"/>
    <w:rsid w:val="00545695"/>
    <w:rsid w:val="005470F9"/>
    <w:rsid w:val="00547169"/>
    <w:rsid w:val="00547A9C"/>
    <w:rsid w:val="0055274E"/>
    <w:rsid w:val="005530A6"/>
    <w:rsid w:val="00556734"/>
    <w:rsid w:val="00560779"/>
    <w:rsid w:val="00561429"/>
    <w:rsid w:val="0056246D"/>
    <w:rsid w:val="00564FCB"/>
    <w:rsid w:val="00567A22"/>
    <w:rsid w:val="005708A4"/>
    <w:rsid w:val="005721C3"/>
    <w:rsid w:val="00574070"/>
    <w:rsid w:val="00576B9D"/>
    <w:rsid w:val="00580990"/>
    <w:rsid w:val="0058255F"/>
    <w:rsid w:val="0058264B"/>
    <w:rsid w:val="005847E3"/>
    <w:rsid w:val="00585B33"/>
    <w:rsid w:val="00587C7B"/>
    <w:rsid w:val="00587FB4"/>
    <w:rsid w:val="00592471"/>
    <w:rsid w:val="005934BB"/>
    <w:rsid w:val="00594768"/>
    <w:rsid w:val="0059671F"/>
    <w:rsid w:val="0059676F"/>
    <w:rsid w:val="00597910"/>
    <w:rsid w:val="0059791E"/>
    <w:rsid w:val="005A202A"/>
    <w:rsid w:val="005A20AF"/>
    <w:rsid w:val="005A21F2"/>
    <w:rsid w:val="005A51AB"/>
    <w:rsid w:val="005A5837"/>
    <w:rsid w:val="005A6619"/>
    <w:rsid w:val="005A706A"/>
    <w:rsid w:val="005B009B"/>
    <w:rsid w:val="005B0875"/>
    <w:rsid w:val="005B1B38"/>
    <w:rsid w:val="005B1EA5"/>
    <w:rsid w:val="005B238B"/>
    <w:rsid w:val="005B3EB9"/>
    <w:rsid w:val="005B61E6"/>
    <w:rsid w:val="005C1772"/>
    <w:rsid w:val="005C1BBF"/>
    <w:rsid w:val="005C3809"/>
    <w:rsid w:val="005C4DAE"/>
    <w:rsid w:val="005C5765"/>
    <w:rsid w:val="005C5AA1"/>
    <w:rsid w:val="005C6C98"/>
    <w:rsid w:val="005C6FFD"/>
    <w:rsid w:val="005C7499"/>
    <w:rsid w:val="005C79E2"/>
    <w:rsid w:val="005D0313"/>
    <w:rsid w:val="005D1D38"/>
    <w:rsid w:val="005D5413"/>
    <w:rsid w:val="005D5BD4"/>
    <w:rsid w:val="005D657B"/>
    <w:rsid w:val="005E0B4E"/>
    <w:rsid w:val="005E1DE2"/>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921"/>
    <w:rsid w:val="005F6BCA"/>
    <w:rsid w:val="005F7060"/>
    <w:rsid w:val="005F7540"/>
    <w:rsid w:val="00600269"/>
    <w:rsid w:val="00601739"/>
    <w:rsid w:val="00601BCB"/>
    <w:rsid w:val="00603B7B"/>
    <w:rsid w:val="00605B43"/>
    <w:rsid w:val="00605BF6"/>
    <w:rsid w:val="00606E34"/>
    <w:rsid w:val="006075CF"/>
    <w:rsid w:val="00607C15"/>
    <w:rsid w:val="00611ACA"/>
    <w:rsid w:val="00616CC9"/>
    <w:rsid w:val="006221FD"/>
    <w:rsid w:val="00624EA2"/>
    <w:rsid w:val="006265FE"/>
    <w:rsid w:val="00626A70"/>
    <w:rsid w:val="00626D57"/>
    <w:rsid w:val="0062709C"/>
    <w:rsid w:val="00630577"/>
    <w:rsid w:val="0063081A"/>
    <w:rsid w:val="0063401E"/>
    <w:rsid w:val="00634930"/>
    <w:rsid w:val="00636ADA"/>
    <w:rsid w:val="00636C40"/>
    <w:rsid w:val="00637143"/>
    <w:rsid w:val="006410F5"/>
    <w:rsid w:val="006413C6"/>
    <w:rsid w:val="0064503E"/>
    <w:rsid w:val="00645751"/>
    <w:rsid w:val="006465AF"/>
    <w:rsid w:val="00646E15"/>
    <w:rsid w:val="006473A5"/>
    <w:rsid w:val="0065705B"/>
    <w:rsid w:val="00660E93"/>
    <w:rsid w:val="00660EFD"/>
    <w:rsid w:val="00661934"/>
    <w:rsid w:val="006637B0"/>
    <w:rsid w:val="00663BB6"/>
    <w:rsid w:val="00666B93"/>
    <w:rsid w:val="00667EE8"/>
    <w:rsid w:val="00672DBF"/>
    <w:rsid w:val="00675429"/>
    <w:rsid w:val="0067606F"/>
    <w:rsid w:val="006761BC"/>
    <w:rsid w:val="006768EE"/>
    <w:rsid w:val="00680375"/>
    <w:rsid w:val="00682089"/>
    <w:rsid w:val="006854C2"/>
    <w:rsid w:val="00687372"/>
    <w:rsid w:val="00691BEA"/>
    <w:rsid w:val="0069301B"/>
    <w:rsid w:val="006941D0"/>
    <w:rsid w:val="00694B2F"/>
    <w:rsid w:val="0069585B"/>
    <w:rsid w:val="00695D66"/>
    <w:rsid w:val="00696D8D"/>
    <w:rsid w:val="00697931"/>
    <w:rsid w:val="006A36C5"/>
    <w:rsid w:val="006A3D34"/>
    <w:rsid w:val="006A5999"/>
    <w:rsid w:val="006A5B53"/>
    <w:rsid w:val="006A6131"/>
    <w:rsid w:val="006B0940"/>
    <w:rsid w:val="006B1B55"/>
    <w:rsid w:val="006B3B6C"/>
    <w:rsid w:val="006B3D24"/>
    <w:rsid w:val="006B6586"/>
    <w:rsid w:val="006B6961"/>
    <w:rsid w:val="006B6C74"/>
    <w:rsid w:val="006C365E"/>
    <w:rsid w:val="006C53DB"/>
    <w:rsid w:val="006D1EA5"/>
    <w:rsid w:val="006D31C7"/>
    <w:rsid w:val="006D478A"/>
    <w:rsid w:val="006D52CC"/>
    <w:rsid w:val="006D5BFE"/>
    <w:rsid w:val="006E0931"/>
    <w:rsid w:val="006E6765"/>
    <w:rsid w:val="006E7259"/>
    <w:rsid w:val="006F3074"/>
    <w:rsid w:val="006F362C"/>
    <w:rsid w:val="006F639C"/>
    <w:rsid w:val="006F72E0"/>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37DA3"/>
    <w:rsid w:val="00740AF4"/>
    <w:rsid w:val="00740E33"/>
    <w:rsid w:val="00740FB4"/>
    <w:rsid w:val="00741186"/>
    <w:rsid w:val="00741F64"/>
    <w:rsid w:val="00742282"/>
    <w:rsid w:val="007435D7"/>
    <w:rsid w:val="00744152"/>
    <w:rsid w:val="007445B1"/>
    <w:rsid w:val="00744C7D"/>
    <w:rsid w:val="007450DA"/>
    <w:rsid w:val="0074781F"/>
    <w:rsid w:val="00750522"/>
    <w:rsid w:val="0075227C"/>
    <w:rsid w:val="0075381B"/>
    <w:rsid w:val="00753D76"/>
    <w:rsid w:val="00755DBE"/>
    <w:rsid w:val="0075656A"/>
    <w:rsid w:val="00764282"/>
    <w:rsid w:val="007644D2"/>
    <w:rsid w:val="00765B77"/>
    <w:rsid w:val="00770E36"/>
    <w:rsid w:val="007712D4"/>
    <w:rsid w:val="0077135E"/>
    <w:rsid w:val="00774767"/>
    <w:rsid w:val="00775F78"/>
    <w:rsid w:val="0077791B"/>
    <w:rsid w:val="007810E6"/>
    <w:rsid w:val="00787BF6"/>
    <w:rsid w:val="00791536"/>
    <w:rsid w:val="00791545"/>
    <w:rsid w:val="0079416A"/>
    <w:rsid w:val="007943E4"/>
    <w:rsid w:val="007946D7"/>
    <w:rsid w:val="00796800"/>
    <w:rsid w:val="007A094F"/>
    <w:rsid w:val="007A3DD2"/>
    <w:rsid w:val="007A4AA9"/>
    <w:rsid w:val="007A59C5"/>
    <w:rsid w:val="007A5D60"/>
    <w:rsid w:val="007A7409"/>
    <w:rsid w:val="007B08BC"/>
    <w:rsid w:val="007B1CE1"/>
    <w:rsid w:val="007B25CA"/>
    <w:rsid w:val="007B2916"/>
    <w:rsid w:val="007B5DCC"/>
    <w:rsid w:val="007B661F"/>
    <w:rsid w:val="007C0B8D"/>
    <w:rsid w:val="007C4A27"/>
    <w:rsid w:val="007D0553"/>
    <w:rsid w:val="007D13E7"/>
    <w:rsid w:val="007D1856"/>
    <w:rsid w:val="007D3B3B"/>
    <w:rsid w:val="007D7861"/>
    <w:rsid w:val="007E1958"/>
    <w:rsid w:val="007E3EE5"/>
    <w:rsid w:val="007E5F04"/>
    <w:rsid w:val="007E7CC1"/>
    <w:rsid w:val="007E7DC0"/>
    <w:rsid w:val="007F00DA"/>
    <w:rsid w:val="007F0559"/>
    <w:rsid w:val="007F110B"/>
    <w:rsid w:val="007F135A"/>
    <w:rsid w:val="007F3DCD"/>
    <w:rsid w:val="007F4CA0"/>
    <w:rsid w:val="007F768A"/>
    <w:rsid w:val="007F78CE"/>
    <w:rsid w:val="007F7AE0"/>
    <w:rsid w:val="00800542"/>
    <w:rsid w:val="00800627"/>
    <w:rsid w:val="008028E4"/>
    <w:rsid w:val="00802FFF"/>
    <w:rsid w:val="00804B2B"/>
    <w:rsid w:val="008054AB"/>
    <w:rsid w:val="00805A33"/>
    <w:rsid w:val="00810352"/>
    <w:rsid w:val="008108F5"/>
    <w:rsid w:val="0081100B"/>
    <w:rsid w:val="0081161A"/>
    <w:rsid w:val="008123E1"/>
    <w:rsid w:val="008136F9"/>
    <w:rsid w:val="00815B90"/>
    <w:rsid w:val="008200E5"/>
    <w:rsid w:val="0082122E"/>
    <w:rsid w:val="00821757"/>
    <w:rsid w:val="00821B58"/>
    <w:rsid w:val="00822C4E"/>
    <w:rsid w:val="00823B85"/>
    <w:rsid w:val="00824363"/>
    <w:rsid w:val="0082532E"/>
    <w:rsid w:val="00827196"/>
    <w:rsid w:val="008323CC"/>
    <w:rsid w:val="00833918"/>
    <w:rsid w:val="00835CAB"/>
    <w:rsid w:val="00837051"/>
    <w:rsid w:val="008376C1"/>
    <w:rsid w:val="00841C63"/>
    <w:rsid w:val="00842DE4"/>
    <w:rsid w:val="008459B3"/>
    <w:rsid w:val="008463E8"/>
    <w:rsid w:val="00846E99"/>
    <w:rsid w:val="0085035D"/>
    <w:rsid w:val="0085122A"/>
    <w:rsid w:val="00851274"/>
    <w:rsid w:val="00855464"/>
    <w:rsid w:val="008557D8"/>
    <w:rsid w:val="00855B8D"/>
    <w:rsid w:val="00856FC2"/>
    <w:rsid w:val="0085770A"/>
    <w:rsid w:val="00860701"/>
    <w:rsid w:val="00860A77"/>
    <w:rsid w:val="00861495"/>
    <w:rsid w:val="00861E55"/>
    <w:rsid w:val="00865FCC"/>
    <w:rsid w:val="00870FCE"/>
    <w:rsid w:val="008717D5"/>
    <w:rsid w:val="008722A5"/>
    <w:rsid w:val="00872BA1"/>
    <w:rsid w:val="00872F70"/>
    <w:rsid w:val="0087411A"/>
    <w:rsid w:val="00875089"/>
    <w:rsid w:val="008757B7"/>
    <w:rsid w:val="00877629"/>
    <w:rsid w:val="00881612"/>
    <w:rsid w:val="00895660"/>
    <w:rsid w:val="0089797A"/>
    <w:rsid w:val="008A1AD0"/>
    <w:rsid w:val="008A211A"/>
    <w:rsid w:val="008A2FD9"/>
    <w:rsid w:val="008A4380"/>
    <w:rsid w:val="008A54D9"/>
    <w:rsid w:val="008A7178"/>
    <w:rsid w:val="008A781F"/>
    <w:rsid w:val="008B0173"/>
    <w:rsid w:val="008B62C9"/>
    <w:rsid w:val="008B68A4"/>
    <w:rsid w:val="008B753F"/>
    <w:rsid w:val="008C08F5"/>
    <w:rsid w:val="008C146F"/>
    <w:rsid w:val="008C26B8"/>
    <w:rsid w:val="008C4370"/>
    <w:rsid w:val="008C511D"/>
    <w:rsid w:val="008C703C"/>
    <w:rsid w:val="008C7BB6"/>
    <w:rsid w:val="008D0590"/>
    <w:rsid w:val="008D312F"/>
    <w:rsid w:val="008D38BB"/>
    <w:rsid w:val="008D42B6"/>
    <w:rsid w:val="008D4642"/>
    <w:rsid w:val="008D60D7"/>
    <w:rsid w:val="008D7F38"/>
    <w:rsid w:val="008E0EF3"/>
    <w:rsid w:val="008E156A"/>
    <w:rsid w:val="008E1D76"/>
    <w:rsid w:val="008E1F65"/>
    <w:rsid w:val="008E36CE"/>
    <w:rsid w:val="008E397C"/>
    <w:rsid w:val="008E6106"/>
    <w:rsid w:val="008E6B5D"/>
    <w:rsid w:val="008F39E6"/>
    <w:rsid w:val="008F3ADE"/>
    <w:rsid w:val="00900D7F"/>
    <w:rsid w:val="0090205B"/>
    <w:rsid w:val="00904C41"/>
    <w:rsid w:val="00904D8A"/>
    <w:rsid w:val="009064C5"/>
    <w:rsid w:val="009066E0"/>
    <w:rsid w:val="00906985"/>
    <w:rsid w:val="009070E2"/>
    <w:rsid w:val="00912A4D"/>
    <w:rsid w:val="0091487E"/>
    <w:rsid w:val="0091649A"/>
    <w:rsid w:val="00917CA6"/>
    <w:rsid w:val="0092048C"/>
    <w:rsid w:val="0092469C"/>
    <w:rsid w:val="00925301"/>
    <w:rsid w:val="00926B0A"/>
    <w:rsid w:val="0092702C"/>
    <w:rsid w:val="0092789E"/>
    <w:rsid w:val="009311D6"/>
    <w:rsid w:val="009324AF"/>
    <w:rsid w:val="00932A15"/>
    <w:rsid w:val="00932B60"/>
    <w:rsid w:val="00932F12"/>
    <w:rsid w:val="00932F8C"/>
    <w:rsid w:val="00933470"/>
    <w:rsid w:val="00933949"/>
    <w:rsid w:val="00935852"/>
    <w:rsid w:val="00935DC1"/>
    <w:rsid w:val="009400DE"/>
    <w:rsid w:val="00940BA6"/>
    <w:rsid w:val="009420CA"/>
    <w:rsid w:val="00942519"/>
    <w:rsid w:val="00946421"/>
    <w:rsid w:val="0094690E"/>
    <w:rsid w:val="0094716E"/>
    <w:rsid w:val="0094727E"/>
    <w:rsid w:val="00950257"/>
    <w:rsid w:val="0095153D"/>
    <w:rsid w:val="00952C21"/>
    <w:rsid w:val="009547F7"/>
    <w:rsid w:val="00955681"/>
    <w:rsid w:val="00956126"/>
    <w:rsid w:val="00956137"/>
    <w:rsid w:val="00956C66"/>
    <w:rsid w:val="00962C03"/>
    <w:rsid w:val="009658F9"/>
    <w:rsid w:val="009664F0"/>
    <w:rsid w:val="00966FC8"/>
    <w:rsid w:val="00966FFE"/>
    <w:rsid w:val="009671B7"/>
    <w:rsid w:val="009709D0"/>
    <w:rsid w:val="00971978"/>
    <w:rsid w:val="00975A2B"/>
    <w:rsid w:val="00975AC3"/>
    <w:rsid w:val="00977346"/>
    <w:rsid w:val="00981331"/>
    <w:rsid w:val="0098183C"/>
    <w:rsid w:val="009837ED"/>
    <w:rsid w:val="009920C6"/>
    <w:rsid w:val="0099288C"/>
    <w:rsid w:val="009932A5"/>
    <w:rsid w:val="00994AF3"/>
    <w:rsid w:val="00994B2E"/>
    <w:rsid w:val="00994E24"/>
    <w:rsid w:val="00995F49"/>
    <w:rsid w:val="0099777A"/>
    <w:rsid w:val="009A0433"/>
    <w:rsid w:val="009A0CCF"/>
    <w:rsid w:val="009A0E58"/>
    <w:rsid w:val="009A3440"/>
    <w:rsid w:val="009A361E"/>
    <w:rsid w:val="009A4348"/>
    <w:rsid w:val="009A5AB1"/>
    <w:rsid w:val="009A7D36"/>
    <w:rsid w:val="009B11C7"/>
    <w:rsid w:val="009B12A1"/>
    <w:rsid w:val="009B4B64"/>
    <w:rsid w:val="009B606B"/>
    <w:rsid w:val="009B632D"/>
    <w:rsid w:val="009C1282"/>
    <w:rsid w:val="009C1306"/>
    <w:rsid w:val="009C151E"/>
    <w:rsid w:val="009C34BE"/>
    <w:rsid w:val="009C46BF"/>
    <w:rsid w:val="009D076D"/>
    <w:rsid w:val="009D144C"/>
    <w:rsid w:val="009D18EF"/>
    <w:rsid w:val="009D3D07"/>
    <w:rsid w:val="009D505F"/>
    <w:rsid w:val="009D5E72"/>
    <w:rsid w:val="009D707B"/>
    <w:rsid w:val="009D720A"/>
    <w:rsid w:val="009D767A"/>
    <w:rsid w:val="009D7A27"/>
    <w:rsid w:val="009E28D2"/>
    <w:rsid w:val="009E6949"/>
    <w:rsid w:val="009F4286"/>
    <w:rsid w:val="009F6418"/>
    <w:rsid w:val="009F6CA9"/>
    <w:rsid w:val="009F775C"/>
    <w:rsid w:val="009F7F61"/>
    <w:rsid w:val="00A0194E"/>
    <w:rsid w:val="00A01A7E"/>
    <w:rsid w:val="00A02178"/>
    <w:rsid w:val="00A036BB"/>
    <w:rsid w:val="00A04DC6"/>
    <w:rsid w:val="00A05885"/>
    <w:rsid w:val="00A063E3"/>
    <w:rsid w:val="00A076E4"/>
    <w:rsid w:val="00A103A6"/>
    <w:rsid w:val="00A10FD7"/>
    <w:rsid w:val="00A11116"/>
    <w:rsid w:val="00A11723"/>
    <w:rsid w:val="00A126E0"/>
    <w:rsid w:val="00A128D5"/>
    <w:rsid w:val="00A13251"/>
    <w:rsid w:val="00A13419"/>
    <w:rsid w:val="00A14AD6"/>
    <w:rsid w:val="00A1505A"/>
    <w:rsid w:val="00A15231"/>
    <w:rsid w:val="00A15753"/>
    <w:rsid w:val="00A162ED"/>
    <w:rsid w:val="00A17214"/>
    <w:rsid w:val="00A211A0"/>
    <w:rsid w:val="00A216A3"/>
    <w:rsid w:val="00A22B53"/>
    <w:rsid w:val="00A24099"/>
    <w:rsid w:val="00A244C6"/>
    <w:rsid w:val="00A25936"/>
    <w:rsid w:val="00A25DF8"/>
    <w:rsid w:val="00A26182"/>
    <w:rsid w:val="00A268E6"/>
    <w:rsid w:val="00A27B2B"/>
    <w:rsid w:val="00A30217"/>
    <w:rsid w:val="00A30947"/>
    <w:rsid w:val="00A30F28"/>
    <w:rsid w:val="00A326D2"/>
    <w:rsid w:val="00A33D55"/>
    <w:rsid w:val="00A34335"/>
    <w:rsid w:val="00A3459F"/>
    <w:rsid w:val="00A34AC5"/>
    <w:rsid w:val="00A34E27"/>
    <w:rsid w:val="00A351C7"/>
    <w:rsid w:val="00A35F68"/>
    <w:rsid w:val="00A36CDB"/>
    <w:rsid w:val="00A3751B"/>
    <w:rsid w:val="00A4144C"/>
    <w:rsid w:val="00A41535"/>
    <w:rsid w:val="00A44C18"/>
    <w:rsid w:val="00A44E32"/>
    <w:rsid w:val="00A45298"/>
    <w:rsid w:val="00A47C22"/>
    <w:rsid w:val="00A51D31"/>
    <w:rsid w:val="00A52545"/>
    <w:rsid w:val="00A52550"/>
    <w:rsid w:val="00A5329E"/>
    <w:rsid w:val="00A53785"/>
    <w:rsid w:val="00A544D7"/>
    <w:rsid w:val="00A54EA0"/>
    <w:rsid w:val="00A56A71"/>
    <w:rsid w:val="00A60547"/>
    <w:rsid w:val="00A6112E"/>
    <w:rsid w:val="00A6118C"/>
    <w:rsid w:val="00A62D74"/>
    <w:rsid w:val="00A641A0"/>
    <w:rsid w:val="00A65292"/>
    <w:rsid w:val="00A65752"/>
    <w:rsid w:val="00A659B5"/>
    <w:rsid w:val="00A6616F"/>
    <w:rsid w:val="00A66807"/>
    <w:rsid w:val="00A704B9"/>
    <w:rsid w:val="00A72A95"/>
    <w:rsid w:val="00A72E9E"/>
    <w:rsid w:val="00A75380"/>
    <w:rsid w:val="00A75C76"/>
    <w:rsid w:val="00A8013E"/>
    <w:rsid w:val="00A82EFE"/>
    <w:rsid w:val="00A86C55"/>
    <w:rsid w:val="00A90704"/>
    <w:rsid w:val="00A91BB2"/>
    <w:rsid w:val="00A92197"/>
    <w:rsid w:val="00A92277"/>
    <w:rsid w:val="00A96064"/>
    <w:rsid w:val="00A96CF4"/>
    <w:rsid w:val="00A975C3"/>
    <w:rsid w:val="00AA0319"/>
    <w:rsid w:val="00AA0A3C"/>
    <w:rsid w:val="00AA11B7"/>
    <w:rsid w:val="00AA13A4"/>
    <w:rsid w:val="00AA2310"/>
    <w:rsid w:val="00AA233A"/>
    <w:rsid w:val="00AA40C2"/>
    <w:rsid w:val="00AA6176"/>
    <w:rsid w:val="00AA635F"/>
    <w:rsid w:val="00AB0A3A"/>
    <w:rsid w:val="00AB0F1D"/>
    <w:rsid w:val="00AB141B"/>
    <w:rsid w:val="00AB2205"/>
    <w:rsid w:val="00AB5EA0"/>
    <w:rsid w:val="00AC1115"/>
    <w:rsid w:val="00AC155E"/>
    <w:rsid w:val="00AC2536"/>
    <w:rsid w:val="00AC359D"/>
    <w:rsid w:val="00AC3C27"/>
    <w:rsid w:val="00AC748E"/>
    <w:rsid w:val="00AC7EC0"/>
    <w:rsid w:val="00AD076A"/>
    <w:rsid w:val="00AD1460"/>
    <w:rsid w:val="00AD26C0"/>
    <w:rsid w:val="00AD28BB"/>
    <w:rsid w:val="00AD2F16"/>
    <w:rsid w:val="00AD41F7"/>
    <w:rsid w:val="00AD58D4"/>
    <w:rsid w:val="00AD6417"/>
    <w:rsid w:val="00AD717C"/>
    <w:rsid w:val="00AD757F"/>
    <w:rsid w:val="00AE0E52"/>
    <w:rsid w:val="00AE14EF"/>
    <w:rsid w:val="00AE2F18"/>
    <w:rsid w:val="00AE5947"/>
    <w:rsid w:val="00AE647A"/>
    <w:rsid w:val="00AF0ECE"/>
    <w:rsid w:val="00AF1ABB"/>
    <w:rsid w:val="00AF24C2"/>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56BB"/>
    <w:rsid w:val="00B069D5"/>
    <w:rsid w:val="00B13A65"/>
    <w:rsid w:val="00B14241"/>
    <w:rsid w:val="00B17FAF"/>
    <w:rsid w:val="00B2012F"/>
    <w:rsid w:val="00B219A5"/>
    <w:rsid w:val="00B22D2E"/>
    <w:rsid w:val="00B23DCD"/>
    <w:rsid w:val="00B244F5"/>
    <w:rsid w:val="00B25100"/>
    <w:rsid w:val="00B25B9A"/>
    <w:rsid w:val="00B25DE0"/>
    <w:rsid w:val="00B32847"/>
    <w:rsid w:val="00B33CFD"/>
    <w:rsid w:val="00B34621"/>
    <w:rsid w:val="00B36077"/>
    <w:rsid w:val="00B36A0A"/>
    <w:rsid w:val="00B40F2B"/>
    <w:rsid w:val="00B42711"/>
    <w:rsid w:val="00B437E8"/>
    <w:rsid w:val="00B4410C"/>
    <w:rsid w:val="00B45486"/>
    <w:rsid w:val="00B470C3"/>
    <w:rsid w:val="00B52689"/>
    <w:rsid w:val="00B53FB3"/>
    <w:rsid w:val="00B54BBA"/>
    <w:rsid w:val="00B55C1E"/>
    <w:rsid w:val="00B56A98"/>
    <w:rsid w:val="00B57CAF"/>
    <w:rsid w:val="00B606CD"/>
    <w:rsid w:val="00B60ADF"/>
    <w:rsid w:val="00B628EE"/>
    <w:rsid w:val="00B6755E"/>
    <w:rsid w:val="00B677B3"/>
    <w:rsid w:val="00B7083D"/>
    <w:rsid w:val="00B71854"/>
    <w:rsid w:val="00B71B7D"/>
    <w:rsid w:val="00B720A6"/>
    <w:rsid w:val="00B7259C"/>
    <w:rsid w:val="00B73A60"/>
    <w:rsid w:val="00B741D2"/>
    <w:rsid w:val="00B751E3"/>
    <w:rsid w:val="00B77D9A"/>
    <w:rsid w:val="00B81A20"/>
    <w:rsid w:val="00B836EA"/>
    <w:rsid w:val="00B83B16"/>
    <w:rsid w:val="00B84886"/>
    <w:rsid w:val="00B85083"/>
    <w:rsid w:val="00B85245"/>
    <w:rsid w:val="00B87B37"/>
    <w:rsid w:val="00B90EC4"/>
    <w:rsid w:val="00B926E1"/>
    <w:rsid w:val="00B92A79"/>
    <w:rsid w:val="00B943D1"/>
    <w:rsid w:val="00B96307"/>
    <w:rsid w:val="00B97669"/>
    <w:rsid w:val="00BA064E"/>
    <w:rsid w:val="00BA0B41"/>
    <w:rsid w:val="00BA0E39"/>
    <w:rsid w:val="00BA18F9"/>
    <w:rsid w:val="00BA1A6A"/>
    <w:rsid w:val="00BA2CC5"/>
    <w:rsid w:val="00BA4531"/>
    <w:rsid w:val="00BA4756"/>
    <w:rsid w:val="00BA482E"/>
    <w:rsid w:val="00BA5A12"/>
    <w:rsid w:val="00BA7741"/>
    <w:rsid w:val="00BB14A0"/>
    <w:rsid w:val="00BB1720"/>
    <w:rsid w:val="00BB3044"/>
    <w:rsid w:val="00BB4974"/>
    <w:rsid w:val="00BB5975"/>
    <w:rsid w:val="00BB7763"/>
    <w:rsid w:val="00BB7C97"/>
    <w:rsid w:val="00BC05A8"/>
    <w:rsid w:val="00BC1F88"/>
    <w:rsid w:val="00BC52CE"/>
    <w:rsid w:val="00BC59BC"/>
    <w:rsid w:val="00BD0087"/>
    <w:rsid w:val="00BD2496"/>
    <w:rsid w:val="00BD3BFA"/>
    <w:rsid w:val="00BD3E7E"/>
    <w:rsid w:val="00BD4245"/>
    <w:rsid w:val="00BD52E8"/>
    <w:rsid w:val="00BD62D7"/>
    <w:rsid w:val="00BD6D96"/>
    <w:rsid w:val="00BE0D88"/>
    <w:rsid w:val="00BE1BE1"/>
    <w:rsid w:val="00BE27BA"/>
    <w:rsid w:val="00BE28D7"/>
    <w:rsid w:val="00BE38E5"/>
    <w:rsid w:val="00BE3E5B"/>
    <w:rsid w:val="00BE505D"/>
    <w:rsid w:val="00BE627B"/>
    <w:rsid w:val="00BE6EA0"/>
    <w:rsid w:val="00BE7EE6"/>
    <w:rsid w:val="00BF3609"/>
    <w:rsid w:val="00BF3F79"/>
    <w:rsid w:val="00BF468E"/>
    <w:rsid w:val="00BF486C"/>
    <w:rsid w:val="00BF5716"/>
    <w:rsid w:val="00BF69EC"/>
    <w:rsid w:val="00BF7DC8"/>
    <w:rsid w:val="00C01068"/>
    <w:rsid w:val="00C01ACC"/>
    <w:rsid w:val="00C0689D"/>
    <w:rsid w:val="00C06BB6"/>
    <w:rsid w:val="00C10B51"/>
    <w:rsid w:val="00C1126B"/>
    <w:rsid w:val="00C11555"/>
    <w:rsid w:val="00C118EE"/>
    <w:rsid w:val="00C12069"/>
    <w:rsid w:val="00C1266D"/>
    <w:rsid w:val="00C1305E"/>
    <w:rsid w:val="00C14D93"/>
    <w:rsid w:val="00C15CDB"/>
    <w:rsid w:val="00C16D7E"/>
    <w:rsid w:val="00C2013A"/>
    <w:rsid w:val="00C24298"/>
    <w:rsid w:val="00C2640C"/>
    <w:rsid w:val="00C26828"/>
    <w:rsid w:val="00C2728C"/>
    <w:rsid w:val="00C27EAA"/>
    <w:rsid w:val="00C30728"/>
    <w:rsid w:val="00C378DF"/>
    <w:rsid w:val="00C37CC8"/>
    <w:rsid w:val="00C40168"/>
    <w:rsid w:val="00C40293"/>
    <w:rsid w:val="00C41A10"/>
    <w:rsid w:val="00C43DD0"/>
    <w:rsid w:val="00C44971"/>
    <w:rsid w:val="00C44BE9"/>
    <w:rsid w:val="00C4571B"/>
    <w:rsid w:val="00C47CF4"/>
    <w:rsid w:val="00C5034A"/>
    <w:rsid w:val="00C50FE3"/>
    <w:rsid w:val="00C51C48"/>
    <w:rsid w:val="00C51C6C"/>
    <w:rsid w:val="00C52412"/>
    <w:rsid w:val="00C53D35"/>
    <w:rsid w:val="00C54ECA"/>
    <w:rsid w:val="00C5534F"/>
    <w:rsid w:val="00C55451"/>
    <w:rsid w:val="00C568D3"/>
    <w:rsid w:val="00C569BD"/>
    <w:rsid w:val="00C56EC8"/>
    <w:rsid w:val="00C60377"/>
    <w:rsid w:val="00C61AD1"/>
    <w:rsid w:val="00C6251A"/>
    <w:rsid w:val="00C65702"/>
    <w:rsid w:val="00C66BFE"/>
    <w:rsid w:val="00C71B75"/>
    <w:rsid w:val="00C71E99"/>
    <w:rsid w:val="00C7229C"/>
    <w:rsid w:val="00C72EDB"/>
    <w:rsid w:val="00C7551A"/>
    <w:rsid w:val="00C75D41"/>
    <w:rsid w:val="00C76CEA"/>
    <w:rsid w:val="00C76F3C"/>
    <w:rsid w:val="00C77F53"/>
    <w:rsid w:val="00C81BAC"/>
    <w:rsid w:val="00C82106"/>
    <w:rsid w:val="00C82844"/>
    <w:rsid w:val="00C838CB"/>
    <w:rsid w:val="00C848DC"/>
    <w:rsid w:val="00C86BEF"/>
    <w:rsid w:val="00C87FDE"/>
    <w:rsid w:val="00C904B5"/>
    <w:rsid w:val="00C92594"/>
    <w:rsid w:val="00C93056"/>
    <w:rsid w:val="00C93534"/>
    <w:rsid w:val="00C965FE"/>
    <w:rsid w:val="00C96CB0"/>
    <w:rsid w:val="00CA0B6A"/>
    <w:rsid w:val="00CA0F5D"/>
    <w:rsid w:val="00CA1059"/>
    <w:rsid w:val="00CA1907"/>
    <w:rsid w:val="00CA1B0E"/>
    <w:rsid w:val="00CA3042"/>
    <w:rsid w:val="00CA69E4"/>
    <w:rsid w:val="00CA7A47"/>
    <w:rsid w:val="00CB0C09"/>
    <w:rsid w:val="00CB0CF5"/>
    <w:rsid w:val="00CB287C"/>
    <w:rsid w:val="00CB39FC"/>
    <w:rsid w:val="00CB4F15"/>
    <w:rsid w:val="00CB6206"/>
    <w:rsid w:val="00CC135B"/>
    <w:rsid w:val="00CC1365"/>
    <w:rsid w:val="00CC2F5C"/>
    <w:rsid w:val="00CC30F8"/>
    <w:rsid w:val="00CC42C4"/>
    <w:rsid w:val="00CC4573"/>
    <w:rsid w:val="00CC4EC1"/>
    <w:rsid w:val="00CC4F63"/>
    <w:rsid w:val="00CD0F7A"/>
    <w:rsid w:val="00CD167A"/>
    <w:rsid w:val="00CD1973"/>
    <w:rsid w:val="00CD3222"/>
    <w:rsid w:val="00CD334E"/>
    <w:rsid w:val="00CD3F26"/>
    <w:rsid w:val="00CD4DE5"/>
    <w:rsid w:val="00CD5967"/>
    <w:rsid w:val="00CD6729"/>
    <w:rsid w:val="00CE1E4D"/>
    <w:rsid w:val="00CE1E4F"/>
    <w:rsid w:val="00CE31FC"/>
    <w:rsid w:val="00CE4E50"/>
    <w:rsid w:val="00CE5585"/>
    <w:rsid w:val="00CE618D"/>
    <w:rsid w:val="00CE7387"/>
    <w:rsid w:val="00CF0DBE"/>
    <w:rsid w:val="00CF1B99"/>
    <w:rsid w:val="00CF20DD"/>
    <w:rsid w:val="00CF4321"/>
    <w:rsid w:val="00CF46E2"/>
    <w:rsid w:val="00CF5BA2"/>
    <w:rsid w:val="00CF645B"/>
    <w:rsid w:val="00CF7809"/>
    <w:rsid w:val="00CF7CA4"/>
    <w:rsid w:val="00CF7FC5"/>
    <w:rsid w:val="00D02182"/>
    <w:rsid w:val="00D03E6C"/>
    <w:rsid w:val="00D047A8"/>
    <w:rsid w:val="00D04EDF"/>
    <w:rsid w:val="00D056E8"/>
    <w:rsid w:val="00D05CF6"/>
    <w:rsid w:val="00D05D2A"/>
    <w:rsid w:val="00D14345"/>
    <w:rsid w:val="00D1436F"/>
    <w:rsid w:val="00D15242"/>
    <w:rsid w:val="00D15F40"/>
    <w:rsid w:val="00D15FE2"/>
    <w:rsid w:val="00D160FE"/>
    <w:rsid w:val="00D16362"/>
    <w:rsid w:val="00D1742E"/>
    <w:rsid w:val="00D217B6"/>
    <w:rsid w:val="00D21DA2"/>
    <w:rsid w:val="00D23566"/>
    <w:rsid w:val="00D2534E"/>
    <w:rsid w:val="00D25561"/>
    <w:rsid w:val="00D26738"/>
    <w:rsid w:val="00D27CA2"/>
    <w:rsid w:val="00D3040D"/>
    <w:rsid w:val="00D31B84"/>
    <w:rsid w:val="00D31F77"/>
    <w:rsid w:val="00D33BC8"/>
    <w:rsid w:val="00D34B46"/>
    <w:rsid w:val="00D36A38"/>
    <w:rsid w:val="00D37568"/>
    <w:rsid w:val="00D37DDC"/>
    <w:rsid w:val="00D40006"/>
    <w:rsid w:val="00D40A01"/>
    <w:rsid w:val="00D41074"/>
    <w:rsid w:val="00D413B1"/>
    <w:rsid w:val="00D424ED"/>
    <w:rsid w:val="00D44116"/>
    <w:rsid w:val="00D44311"/>
    <w:rsid w:val="00D44D87"/>
    <w:rsid w:val="00D44F15"/>
    <w:rsid w:val="00D45E4D"/>
    <w:rsid w:val="00D46C71"/>
    <w:rsid w:val="00D47291"/>
    <w:rsid w:val="00D50BA1"/>
    <w:rsid w:val="00D5104C"/>
    <w:rsid w:val="00D518A6"/>
    <w:rsid w:val="00D53B6F"/>
    <w:rsid w:val="00D55D71"/>
    <w:rsid w:val="00D56DDE"/>
    <w:rsid w:val="00D60518"/>
    <w:rsid w:val="00D62900"/>
    <w:rsid w:val="00D62E43"/>
    <w:rsid w:val="00D6392D"/>
    <w:rsid w:val="00D64A48"/>
    <w:rsid w:val="00D64E4F"/>
    <w:rsid w:val="00D652C5"/>
    <w:rsid w:val="00D65D4F"/>
    <w:rsid w:val="00D66001"/>
    <w:rsid w:val="00D715A3"/>
    <w:rsid w:val="00D7237E"/>
    <w:rsid w:val="00D7259A"/>
    <w:rsid w:val="00D735D6"/>
    <w:rsid w:val="00D74A07"/>
    <w:rsid w:val="00D7649B"/>
    <w:rsid w:val="00D80592"/>
    <w:rsid w:val="00D8290E"/>
    <w:rsid w:val="00D838FB"/>
    <w:rsid w:val="00D847B9"/>
    <w:rsid w:val="00D8566B"/>
    <w:rsid w:val="00D85A83"/>
    <w:rsid w:val="00D930A9"/>
    <w:rsid w:val="00D94006"/>
    <w:rsid w:val="00D94C0B"/>
    <w:rsid w:val="00D95178"/>
    <w:rsid w:val="00D95253"/>
    <w:rsid w:val="00D9575B"/>
    <w:rsid w:val="00D96885"/>
    <w:rsid w:val="00D96D9F"/>
    <w:rsid w:val="00D972EF"/>
    <w:rsid w:val="00DA0964"/>
    <w:rsid w:val="00DA1602"/>
    <w:rsid w:val="00DA1E19"/>
    <w:rsid w:val="00DA4774"/>
    <w:rsid w:val="00DA5CEF"/>
    <w:rsid w:val="00DA6F8F"/>
    <w:rsid w:val="00DA78C1"/>
    <w:rsid w:val="00DA7E96"/>
    <w:rsid w:val="00DB1A8F"/>
    <w:rsid w:val="00DB34D5"/>
    <w:rsid w:val="00DB4A7C"/>
    <w:rsid w:val="00DB739F"/>
    <w:rsid w:val="00DB7F61"/>
    <w:rsid w:val="00DC0E7F"/>
    <w:rsid w:val="00DC2E3B"/>
    <w:rsid w:val="00DC3993"/>
    <w:rsid w:val="00DC3F41"/>
    <w:rsid w:val="00DC42F6"/>
    <w:rsid w:val="00DC5099"/>
    <w:rsid w:val="00DC556F"/>
    <w:rsid w:val="00DD05B9"/>
    <w:rsid w:val="00DD0812"/>
    <w:rsid w:val="00DD0D6E"/>
    <w:rsid w:val="00DD2754"/>
    <w:rsid w:val="00DD421A"/>
    <w:rsid w:val="00DD4330"/>
    <w:rsid w:val="00DD5332"/>
    <w:rsid w:val="00DD543A"/>
    <w:rsid w:val="00DD5E59"/>
    <w:rsid w:val="00DD6DC9"/>
    <w:rsid w:val="00DE0BC8"/>
    <w:rsid w:val="00DE2328"/>
    <w:rsid w:val="00DE4486"/>
    <w:rsid w:val="00DE5979"/>
    <w:rsid w:val="00DE65DE"/>
    <w:rsid w:val="00DF05BC"/>
    <w:rsid w:val="00DF2B54"/>
    <w:rsid w:val="00DF5674"/>
    <w:rsid w:val="00DF6E1C"/>
    <w:rsid w:val="00E00090"/>
    <w:rsid w:val="00E00B2B"/>
    <w:rsid w:val="00E01E15"/>
    <w:rsid w:val="00E03203"/>
    <w:rsid w:val="00E04AFD"/>
    <w:rsid w:val="00E1061B"/>
    <w:rsid w:val="00E108E9"/>
    <w:rsid w:val="00E10FEE"/>
    <w:rsid w:val="00E1280A"/>
    <w:rsid w:val="00E20803"/>
    <w:rsid w:val="00E20F1F"/>
    <w:rsid w:val="00E2103B"/>
    <w:rsid w:val="00E2439E"/>
    <w:rsid w:val="00E27682"/>
    <w:rsid w:val="00E27E91"/>
    <w:rsid w:val="00E30AB8"/>
    <w:rsid w:val="00E329F1"/>
    <w:rsid w:val="00E34034"/>
    <w:rsid w:val="00E3459F"/>
    <w:rsid w:val="00E36212"/>
    <w:rsid w:val="00E40B2D"/>
    <w:rsid w:val="00E40CD6"/>
    <w:rsid w:val="00E4110A"/>
    <w:rsid w:val="00E42B0E"/>
    <w:rsid w:val="00E43E2C"/>
    <w:rsid w:val="00E4417C"/>
    <w:rsid w:val="00E444AD"/>
    <w:rsid w:val="00E514C1"/>
    <w:rsid w:val="00E51FB6"/>
    <w:rsid w:val="00E52790"/>
    <w:rsid w:val="00E538DE"/>
    <w:rsid w:val="00E539A6"/>
    <w:rsid w:val="00E547A5"/>
    <w:rsid w:val="00E56817"/>
    <w:rsid w:val="00E60070"/>
    <w:rsid w:val="00E605B7"/>
    <w:rsid w:val="00E61359"/>
    <w:rsid w:val="00E6162B"/>
    <w:rsid w:val="00E61E1F"/>
    <w:rsid w:val="00E62340"/>
    <w:rsid w:val="00E63F3E"/>
    <w:rsid w:val="00E640D6"/>
    <w:rsid w:val="00E645CD"/>
    <w:rsid w:val="00E70138"/>
    <w:rsid w:val="00E7124A"/>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1B7E"/>
    <w:rsid w:val="00EA25E1"/>
    <w:rsid w:val="00EA2B53"/>
    <w:rsid w:val="00EA3AE6"/>
    <w:rsid w:val="00EA3AF0"/>
    <w:rsid w:val="00EA59B7"/>
    <w:rsid w:val="00EA6738"/>
    <w:rsid w:val="00EA787F"/>
    <w:rsid w:val="00EB16A6"/>
    <w:rsid w:val="00EB198F"/>
    <w:rsid w:val="00EB24F5"/>
    <w:rsid w:val="00EB591C"/>
    <w:rsid w:val="00EB60DD"/>
    <w:rsid w:val="00EB70CE"/>
    <w:rsid w:val="00EB77F8"/>
    <w:rsid w:val="00EC1B5A"/>
    <w:rsid w:val="00EC23AE"/>
    <w:rsid w:val="00EC25B3"/>
    <w:rsid w:val="00EC2711"/>
    <w:rsid w:val="00EC61B9"/>
    <w:rsid w:val="00EC6DA7"/>
    <w:rsid w:val="00ED13D9"/>
    <w:rsid w:val="00ED4D50"/>
    <w:rsid w:val="00ED512D"/>
    <w:rsid w:val="00ED58BE"/>
    <w:rsid w:val="00ED7165"/>
    <w:rsid w:val="00EE0658"/>
    <w:rsid w:val="00EE15A6"/>
    <w:rsid w:val="00EE200F"/>
    <w:rsid w:val="00EE4B43"/>
    <w:rsid w:val="00EE4EE1"/>
    <w:rsid w:val="00EE5F47"/>
    <w:rsid w:val="00EE6252"/>
    <w:rsid w:val="00EE68A6"/>
    <w:rsid w:val="00EF0C22"/>
    <w:rsid w:val="00EF0ED4"/>
    <w:rsid w:val="00EF3A67"/>
    <w:rsid w:val="00EF54D1"/>
    <w:rsid w:val="00EF73FD"/>
    <w:rsid w:val="00EF744C"/>
    <w:rsid w:val="00F0154B"/>
    <w:rsid w:val="00F02B58"/>
    <w:rsid w:val="00F03BBA"/>
    <w:rsid w:val="00F04D2B"/>
    <w:rsid w:val="00F05344"/>
    <w:rsid w:val="00F05862"/>
    <w:rsid w:val="00F05BAD"/>
    <w:rsid w:val="00F10DFA"/>
    <w:rsid w:val="00F12DD5"/>
    <w:rsid w:val="00F144D4"/>
    <w:rsid w:val="00F156B9"/>
    <w:rsid w:val="00F15FA1"/>
    <w:rsid w:val="00F16AB8"/>
    <w:rsid w:val="00F16C42"/>
    <w:rsid w:val="00F215C4"/>
    <w:rsid w:val="00F2179D"/>
    <w:rsid w:val="00F220B3"/>
    <w:rsid w:val="00F24280"/>
    <w:rsid w:val="00F26672"/>
    <w:rsid w:val="00F2777B"/>
    <w:rsid w:val="00F27A7F"/>
    <w:rsid w:val="00F27D25"/>
    <w:rsid w:val="00F312C8"/>
    <w:rsid w:val="00F31C35"/>
    <w:rsid w:val="00F32F8A"/>
    <w:rsid w:val="00F332D4"/>
    <w:rsid w:val="00F35B4E"/>
    <w:rsid w:val="00F3658B"/>
    <w:rsid w:val="00F37B7E"/>
    <w:rsid w:val="00F37BFD"/>
    <w:rsid w:val="00F450E6"/>
    <w:rsid w:val="00F45F64"/>
    <w:rsid w:val="00F5093A"/>
    <w:rsid w:val="00F50AB7"/>
    <w:rsid w:val="00F50B61"/>
    <w:rsid w:val="00F517F8"/>
    <w:rsid w:val="00F52D3B"/>
    <w:rsid w:val="00F53FCF"/>
    <w:rsid w:val="00F55228"/>
    <w:rsid w:val="00F61769"/>
    <w:rsid w:val="00F62DCF"/>
    <w:rsid w:val="00F642C8"/>
    <w:rsid w:val="00F645ED"/>
    <w:rsid w:val="00F70316"/>
    <w:rsid w:val="00F722B3"/>
    <w:rsid w:val="00F7277B"/>
    <w:rsid w:val="00F7353F"/>
    <w:rsid w:val="00F73EF3"/>
    <w:rsid w:val="00F7686B"/>
    <w:rsid w:val="00F7708C"/>
    <w:rsid w:val="00F80C5B"/>
    <w:rsid w:val="00F81389"/>
    <w:rsid w:val="00F814E9"/>
    <w:rsid w:val="00F829B8"/>
    <w:rsid w:val="00F82C30"/>
    <w:rsid w:val="00F8309A"/>
    <w:rsid w:val="00F832A4"/>
    <w:rsid w:val="00F83884"/>
    <w:rsid w:val="00F845B4"/>
    <w:rsid w:val="00F85453"/>
    <w:rsid w:val="00F86712"/>
    <w:rsid w:val="00F86B81"/>
    <w:rsid w:val="00F8728D"/>
    <w:rsid w:val="00F87624"/>
    <w:rsid w:val="00F90622"/>
    <w:rsid w:val="00F95D86"/>
    <w:rsid w:val="00FA3963"/>
    <w:rsid w:val="00FA3F62"/>
    <w:rsid w:val="00FA647E"/>
    <w:rsid w:val="00FB06E6"/>
    <w:rsid w:val="00FB37AD"/>
    <w:rsid w:val="00FB3C2E"/>
    <w:rsid w:val="00FB3E8F"/>
    <w:rsid w:val="00FB5FE5"/>
    <w:rsid w:val="00FB6189"/>
    <w:rsid w:val="00FB62C8"/>
    <w:rsid w:val="00FB6807"/>
    <w:rsid w:val="00FB6F6F"/>
    <w:rsid w:val="00FB7602"/>
    <w:rsid w:val="00FC0DE2"/>
    <w:rsid w:val="00FC38A6"/>
    <w:rsid w:val="00FC57BC"/>
    <w:rsid w:val="00FC6445"/>
    <w:rsid w:val="00FD0173"/>
    <w:rsid w:val="00FD0958"/>
    <w:rsid w:val="00FD53D0"/>
    <w:rsid w:val="00FD5D9A"/>
    <w:rsid w:val="00FD7B8C"/>
    <w:rsid w:val="00FE1803"/>
    <w:rsid w:val="00FE34B3"/>
    <w:rsid w:val="00FE3FCA"/>
    <w:rsid w:val="00FE4E84"/>
    <w:rsid w:val="00FE7B4F"/>
    <w:rsid w:val="00FF0A5B"/>
    <w:rsid w:val="00FF2806"/>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programs/coe/indicator_cbc.asp" TargetMode="External"/><Relationship Id="rId2" Type="http://schemas.openxmlformats.org/officeDocument/2006/relationships/hyperlink" Target="https://nces.ed.gov/fastfacts/display.asp?id=561" TargetMode="External"/><Relationship Id="rId1" Type="http://schemas.openxmlformats.org/officeDocument/2006/relationships/hyperlink" Target="http://time.com/money/3829776/heres-what-the-average-grad-makes-right-out-of-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2AF0-BB6E-4D24-8F64-898BE92A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55830</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4</cp:revision>
  <cp:lastPrinted>2016-01-11T14:25:00Z</cp:lastPrinted>
  <dcterms:created xsi:type="dcterms:W3CDTF">2016-05-04T15:47:00Z</dcterms:created>
  <dcterms:modified xsi:type="dcterms:W3CDTF">2016-05-06T01:59:00Z</dcterms:modified>
</cp:coreProperties>
</file>