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3CA4A" w14:textId="77777777" w:rsidR="00B3407F" w:rsidRPr="00B16372" w:rsidRDefault="00B3407F" w:rsidP="00314874">
      <w:pPr>
        <w:spacing w:after="0"/>
        <w:jc w:val="center"/>
        <w:rPr>
          <w:rFonts w:ascii="Times New Roman" w:hAnsi="Times New Roman"/>
          <w:sz w:val="24"/>
          <w:szCs w:val="24"/>
        </w:rPr>
      </w:pPr>
      <w:r w:rsidRPr="00B16372">
        <w:rPr>
          <w:rFonts w:ascii="Times New Roman" w:hAnsi="Times New Roman"/>
          <w:sz w:val="24"/>
          <w:szCs w:val="24"/>
        </w:rPr>
        <w:t>Supporting Statement</w:t>
      </w:r>
    </w:p>
    <w:p w14:paraId="73F463E1" w14:textId="5B0B4A4D" w:rsidR="00B3407F" w:rsidRPr="00B16372" w:rsidRDefault="00B3407F" w:rsidP="00314874">
      <w:pPr>
        <w:spacing w:after="0"/>
        <w:jc w:val="center"/>
        <w:rPr>
          <w:rFonts w:ascii="Times New Roman" w:hAnsi="Times New Roman"/>
          <w:b/>
          <w:sz w:val="24"/>
          <w:szCs w:val="24"/>
        </w:rPr>
      </w:pPr>
      <w:r w:rsidRPr="00B16372">
        <w:rPr>
          <w:rFonts w:ascii="Times New Roman" w:hAnsi="Times New Roman"/>
          <w:b/>
          <w:sz w:val="24"/>
          <w:szCs w:val="24"/>
        </w:rPr>
        <w:t>FERC-725</w:t>
      </w:r>
      <w:r w:rsidR="00C3084B">
        <w:rPr>
          <w:rFonts w:ascii="Times New Roman" w:hAnsi="Times New Roman"/>
          <w:b/>
          <w:sz w:val="24"/>
          <w:szCs w:val="24"/>
        </w:rPr>
        <w:t>J</w:t>
      </w:r>
      <w:r w:rsidRPr="00B16372">
        <w:rPr>
          <w:rFonts w:ascii="Times New Roman" w:hAnsi="Times New Roman"/>
          <w:b/>
          <w:sz w:val="24"/>
          <w:szCs w:val="24"/>
        </w:rPr>
        <w:t>,</w:t>
      </w:r>
      <w:r w:rsidR="00C3084B">
        <w:rPr>
          <w:rFonts w:ascii="Times New Roman" w:hAnsi="Times New Roman"/>
          <w:b/>
          <w:sz w:val="24"/>
          <w:szCs w:val="24"/>
        </w:rPr>
        <w:t xml:space="preserve"> Definition of Bulk Electric System</w:t>
      </w:r>
    </w:p>
    <w:p w14:paraId="7FDB6396" w14:textId="77777777" w:rsidR="00FD66F1" w:rsidRPr="00B16372" w:rsidRDefault="00FD66F1" w:rsidP="00314874">
      <w:pPr>
        <w:spacing w:after="0"/>
        <w:rPr>
          <w:rFonts w:ascii="Times New Roman" w:hAnsi="Times New Roman" w:cs="Times New Roman"/>
          <w:sz w:val="24"/>
          <w:szCs w:val="24"/>
        </w:rPr>
      </w:pPr>
    </w:p>
    <w:p w14:paraId="1FCA28B3" w14:textId="6992E24D" w:rsidR="00876154" w:rsidRDefault="00C37770" w:rsidP="00314874">
      <w:pPr>
        <w:spacing w:after="0"/>
        <w:rPr>
          <w:rFonts w:ascii="Times New Roman" w:hAnsi="Times New Roman"/>
          <w:sz w:val="24"/>
          <w:szCs w:val="24"/>
        </w:rPr>
      </w:pPr>
      <w:r>
        <w:rPr>
          <w:rFonts w:ascii="Times New Roman" w:hAnsi="Times New Roman"/>
          <w:sz w:val="24"/>
          <w:szCs w:val="24"/>
        </w:rPr>
        <w:t>The Federal Energy Regulatory Commission (FERC or Commission) is requesting that the Office of Management and Budget (OMB) approve the reporting and record</w:t>
      </w:r>
      <w:r w:rsidR="00A72607">
        <w:rPr>
          <w:rFonts w:ascii="Times New Roman" w:hAnsi="Times New Roman"/>
          <w:sz w:val="24"/>
          <w:szCs w:val="24"/>
        </w:rPr>
        <w:t xml:space="preserve">keeping </w:t>
      </w:r>
      <w:bookmarkStart w:id="0" w:name="_GoBack"/>
      <w:bookmarkEnd w:id="0"/>
      <w:r w:rsidR="00A72607">
        <w:rPr>
          <w:rFonts w:ascii="Times New Roman" w:hAnsi="Times New Roman"/>
          <w:sz w:val="24"/>
          <w:szCs w:val="24"/>
        </w:rPr>
        <w:t>requirements in</w:t>
      </w:r>
      <w:r>
        <w:rPr>
          <w:rFonts w:ascii="Times New Roman" w:hAnsi="Times New Roman"/>
          <w:sz w:val="24"/>
          <w:szCs w:val="24"/>
        </w:rPr>
        <w:t xml:space="preserve"> </w:t>
      </w:r>
      <w:r w:rsidR="00C3084B">
        <w:rPr>
          <w:rFonts w:ascii="Times New Roman" w:hAnsi="Times New Roman"/>
          <w:sz w:val="24"/>
          <w:szCs w:val="24"/>
        </w:rPr>
        <w:t>the Definition of Bulk Electric System</w:t>
      </w:r>
      <w:r w:rsidR="00CF793D">
        <w:rPr>
          <w:rFonts w:ascii="Times New Roman" w:hAnsi="Times New Roman"/>
          <w:sz w:val="24"/>
          <w:szCs w:val="24"/>
        </w:rPr>
        <w:t>.</w:t>
      </w:r>
      <w:r w:rsidR="00EE358E">
        <w:rPr>
          <w:rFonts w:ascii="Times New Roman" w:hAnsi="Times New Roman"/>
          <w:sz w:val="24"/>
          <w:szCs w:val="24"/>
        </w:rPr>
        <w:t xml:space="preserve"> The information collection requirements are set forth in 18 Code of Federal Regulations (CFR) Part 39.</w:t>
      </w:r>
    </w:p>
    <w:p w14:paraId="7CA1761F" w14:textId="77777777" w:rsidR="00C37770" w:rsidRDefault="00C37770" w:rsidP="00314874">
      <w:pPr>
        <w:spacing w:after="0"/>
        <w:rPr>
          <w:rFonts w:ascii="Times New Roman" w:hAnsi="Times New Roman"/>
          <w:sz w:val="24"/>
          <w:szCs w:val="24"/>
        </w:rPr>
      </w:pPr>
    </w:p>
    <w:p w14:paraId="69F1681D" w14:textId="51FEA09A" w:rsidR="00A72E7B" w:rsidRPr="00B16372" w:rsidRDefault="00A72E7B"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CIRCUMSTANCES THAT MAKE THE COLLECTION OF INFORMATION NECESSARY</w:t>
      </w:r>
    </w:p>
    <w:p w14:paraId="6D33FE6B" w14:textId="77777777" w:rsidR="00A72E7B" w:rsidRPr="00B16372" w:rsidRDefault="00A72E7B" w:rsidP="00314874">
      <w:pPr>
        <w:spacing w:after="0"/>
        <w:rPr>
          <w:rFonts w:ascii="Times New Roman" w:hAnsi="Times New Roman" w:cs="Times New Roman"/>
          <w:sz w:val="24"/>
          <w:szCs w:val="24"/>
        </w:rPr>
      </w:pPr>
    </w:p>
    <w:p w14:paraId="49CF1333" w14:textId="5F767D19" w:rsidR="008E3BFC" w:rsidRPr="00535DDD" w:rsidRDefault="00C3084B" w:rsidP="00314874">
      <w:pPr>
        <w:spacing w:after="0"/>
        <w:rPr>
          <w:rFonts w:ascii="Times New Roman" w:eastAsia="Times New Roman" w:hAnsi="Times New Roman" w:cs="Times New Roman"/>
          <w:sz w:val="24"/>
          <w:szCs w:val="24"/>
        </w:rPr>
      </w:pPr>
      <w:r w:rsidRPr="00C3084B">
        <w:rPr>
          <w:rFonts w:ascii="Times New Roman" w:eastAsia="Times New Roman" w:hAnsi="Times New Roman" w:cs="Times New Roman"/>
          <w:sz w:val="24"/>
          <w:szCs w:val="24"/>
        </w:rPr>
        <w:t xml:space="preserve">On December 20, 2012, the Commission issued Order No. 773, a Final Rule approving NERC’s </w:t>
      </w:r>
      <w:proofErr w:type="gramStart"/>
      <w:r w:rsidRPr="00C3084B">
        <w:rPr>
          <w:rFonts w:ascii="Times New Roman" w:eastAsia="Times New Roman" w:hAnsi="Times New Roman" w:cs="Times New Roman"/>
          <w:sz w:val="24"/>
          <w:szCs w:val="24"/>
        </w:rPr>
        <w:t>modifications</w:t>
      </w:r>
      <w:proofErr w:type="gramEnd"/>
      <w:r w:rsidRPr="00C3084B">
        <w:rPr>
          <w:rFonts w:ascii="Times New Roman" w:eastAsia="Times New Roman" w:hAnsi="Times New Roman" w:cs="Times New Roman"/>
          <w:sz w:val="24"/>
          <w:szCs w:val="24"/>
        </w:rPr>
        <w:t xml:space="preserve"> to the definition of “bulk electric system”</w:t>
      </w:r>
      <w:r w:rsidR="00EC3EC5">
        <w:rPr>
          <w:rFonts w:ascii="Times New Roman" w:eastAsia="Times New Roman" w:hAnsi="Times New Roman" w:cs="Times New Roman"/>
          <w:sz w:val="24"/>
          <w:szCs w:val="24"/>
        </w:rPr>
        <w:t xml:space="preserve"> (i.e. BES)</w:t>
      </w:r>
      <w:r w:rsidRPr="00C3084B">
        <w:rPr>
          <w:rFonts w:ascii="Times New Roman" w:eastAsia="Times New Roman" w:hAnsi="Times New Roman" w:cs="Times New Roman"/>
          <w:sz w:val="24"/>
          <w:szCs w:val="24"/>
        </w:rPr>
        <w:t xml:space="preserve"> and the Rules of Procedure exception process to be effective July 1, 2013.  On April 18, 2013, in Order No. 773-A, the Commission largely affirmed its findings in Order No. 773.  In Order Nos. 773 and 773-A, the Commission directed NERC to modify the definition of bulk electric system in two respects: (1) modify the local network exclusion (exclusion E3) to remove the 100 kV minimum operating voltage to allow systems that include one or more looped configurations connected below 100 kV to be </w:t>
      </w:r>
      <w:r w:rsidRPr="00535DDD">
        <w:rPr>
          <w:rFonts w:ascii="Times New Roman" w:eastAsia="Times New Roman" w:hAnsi="Times New Roman" w:cs="Times New Roman"/>
          <w:sz w:val="24"/>
          <w:szCs w:val="24"/>
        </w:rPr>
        <w:t>eligible for the local network exclusion; and (2) modify the exclusions to ensure that generator interconnection facilities at or above 100 kV connected to bulk electric system generators identified in inclusion I2 are not excluded from the bulk electric system</w:t>
      </w:r>
      <w:r w:rsidR="008E3BFC" w:rsidRPr="00535DDD">
        <w:rPr>
          <w:rFonts w:ascii="Times New Roman" w:eastAsia="Times New Roman" w:hAnsi="Times New Roman" w:cs="Times New Roman"/>
          <w:sz w:val="24"/>
          <w:szCs w:val="24"/>
        </w:rPr>
        <w:t>.</w:t>
      </w:r>
    </w:p>
    <w:p w14:paraId="0D4DF2F7" w14:textId="77777777" w:rsidR="00535DDD" w:rsidRPr="00535DDD" w:rsidRDefault="00535DDD" w:rsidP="00314874">
      <w:pPr>
        <w:spacing w:after="0"/>
        <w:rPr>
          <w:rFonts w:ascii="Times New Roman" w:eastAsia="Times New Roman" w:hAnsi="Times New Roman" w:cs="Times New Roman"/>
          <w:sz w:val="24"/>
          <w:szCs w:val="24"/>
        </w:rPr>
      </w:pPr>
    </w:p>
    <w:p w14:paraId="026EA9AD" w14:textId="32F1B37F" w:rsidR="00535DDD" w:rsidRPr="00535DDD" w:rsidRDefault="00535DDD" w:rsidP="00314874">
      <w:pPr>
        <w:spacing w:after="0"/>
        <w:rPr>
          <w:rFonts w:ascii="Times New Roman" w:hAnsi="Times New Roman" w:cs="Times New Roman"/>
          <w:sz w:val="24"/>
          <w:szCs w:val="24"/>
        </w:rPr>
      </w:pPr>
      <w:r w:rsidRPr="00535DDD">
        <w:rPr>
          <w:rFonts w:ascii="Times New Roman" w:hAnsi="Times New Roman" w:cs="Times New Roman"/>
          <w:sz w:val="24"/>
          <w:szCs w:val="24"/>
        </w:rPr>
        <w:t>Both orders recognized</w:t>
      </w:r>
      <w:r w:rsidR="00EE358E">
        <w:rPr>
          <w:rFonts w:ascii="Times New Roman" w:hAnsi="Times New Roman" w:cs="Times New Roman"/>
          <w:sz w:val="24"/>
          <w:szCs w:val="24"/>
        </w:rPr>
        <w:t xml:space="preserve"> that</w:t>
      </w:r>
      <w:r w:rsidRPr="00535DDD">
        <w:rPr>
          <w:rFonts w:ascii="Times New Roman" w:hAnsi="Times New Roman" w:cs="Times New Roman"/>
          <w:sz w:val="24"/>
          <w:szCs w:val="24"/>
        </w:rPr>
        <w:t xml:space="preserve"> the first two years </w:t>
      </w:r>
      <w:r w:rsidR="00EE358E">
        <w:rPr>
          <w:rFonts w:ascii="Times New Roman" w:hAnsi="Times New Roman" w:cs="Times New Roman"/>
          <w:sz w:val="24"/>
          <w:szCs w:val="24"/>
        </w:rPr>
        <w:t>of implementation would include</w:t>
      </w:r>
      <w:r w:rsidRPr="00535DDD">
        <w:rPr>
          <w:rFonts w:ascii="Times New Roman" w:hAnsi="Times New Roman" w:cs="Times New Roman"/>
          <w:sz w:val="24"/>
          <w:szCs w:val="24"/>
        </w:rPr>
        <w:t xml:space="preserve"> a higher burden associated with the work all the Register</w:t>
      </w:r>
      <w:r w:rsidR="00EC3EC5">
        <w:rPr>
          <w:rFonts w:ascii="Times New Roman" w:hAnsi="Times New Roman" w:cs="Times New Roman"/>
          <w:sz w:val="24"/>
          <w:szCs w:val="24"/>
        </w:rPr>
        <w:t>ed</w:t>
      </w:r>
      <w:r w:rsidRPr="00535DDD">
        <w:rPr>
          <w:rFonts w:ascii="Times New Roman" w:hAnsi="Times New Roman" w:cs="Times New Roman"/>
          <w:sz w:val="24"/>
          <w:szCs w:val="24"/>
        </w:rPr>
        <w:t xml:space="preserve"> Entities would need to </w:t>
      </w:r>
      <w:r w:rsidR="00EC3EC5">
        <w:rPr>
          <w:rFonts w:ascii="Times New Roman" w:hAnsi="Times New Roman" w:cs="Times New Roman"/>
          <w:sz w:val="24"/>
          <w:szCs w:val="24"/>
        </w:rPr>
        <w:t>accomplish</w:t>
      </w:r>
      <w:r w:rsidRPr="00535DDD">
        <w:rPr>
          <w:rFonts w:ascii="Times New Roman" w:hAnsi="Times New Roman" w:cs="Times New Roman"/>
          <w:sz w:val="24"/>
          <w:szCs w:val="24"/>
        </w:rPr>
        <w:t xml:space="preserve">.  </w:t>
      </w:r>
      <w:r w:rsidR="00EC3EC5">
        <w:rPr>
          <w:rFonts w:ascii="Times New Roman" w:hAnsi="Times New Roman" w:cs="Times New Roman"/>
          <w:sz w:val="24"/>
          <w:szCs w:val="24"/>
        </w:rPr>
        <w:t>Those orders</w:t>
      </w:r>
      <w:r w:rsidRPr="00535DDD">
        <w:rPr>
          <w:rFonts w:ascii="Times New Roman" w:hAnsi="Times New Roman" w:cs="Times New Roman"/>
          <w:sz w:val="24"/>
          <w:szCs w:val="24"/>
        </w:rPr>
        <w:t xml:space="preserve"> also </w:t>
      </w:r>
      <w:r w:rsidR="00EC3EC5">
        <w:rPr>
          <w:rFonts w:ascii="Times New Roman" w:hAnsi="Times New Roman" w:cs="Times New Roman"/>
          <w:sz w:val="24"/>
          <w:szCs w:val="24"/>
        </w:rPr>
        <w:t>illustrated</w:t>
      </w:r>
      <w:r w:rsidRPr="00535DDD">
        <w:rPr>
          <w:rFonts w:ascii="Times New Roman" w:hAnsi="Times New Roman" w:cs="Times New Roman"/>
          <w:sz w:val="24"/>
          <w:szCs w:val="24"/>
        </w:rPr>
        <w:t xml:space="preserve"> that a reduction would occur by the third year </w:t>
      </w:r>
      <w:r w:rsidR="00EE358E">
        <w:rPr>
          <w:rFonts w:ascii="Times New Roman" w:hAnsi="Times New Roman" w:cs="Times New Roman"/>
          <w:sz w:val="24"/>
          <w:szCs w:val="24"/>
        </w:rPr>
        <w:t>since at that</w:t>
      </w:r>
      <w:r w:rsidRPr="00535DDD">
        <w:rPr>
          <w:rFonts w:ascii="Times New Roman" w:hAnsi="Times New Roman" w:cs="Times New Roman"/>
          <w:sz w:val="24"/>
          <w:szCs w:val="24"/>
        </w:rPr>
        <w:t xml:space="preserve"> point the </w:t>
      </w:r>
      <w:r w:rsidR="00EC3EC5">
        <w:rPr>
          <w:rFonts w:ascii="Times New Roman" w:hAnsi="Times New Roman" w:cs="Times New Roman"/>
          <w:sz w:val="24"/>
          <w:szCs w:val="24"/>
        </w:rPr>
        <w:t xml:space="preserve">ongoing </w:t>
      </w:r>
      <w:r w:rsidRPr="00535DDD">
        <w:rPr>
          <w:rFonts w:ascii="Times New Roman" w:hAnsi="Times New Roman" w:cs="Times New Roman"/>
          <w:sz w:val="24"/>
          <w:szCs w:val="24"/>
        </w:rPr>
        <w:t>burden would be a</w:t>
      </w:r>
      <w:r w:rsidR="00EC3EC5">
        <w:rPr>
          <w:rFonts w:ascii="Times New Roman" w:hAnsi="Times New Roman" w:cs="Times New Roman"/>
          <w:sz w:val="24"/>
          <w:szCs w:val="24"/>
        </w:rPr>
        <w:t>n amount</w:t>
      </w:r>
      <w:r w:rsidRPr="00535DDD">
        <w:rPr>
          <w:rFonts w:ascii="Times New Roman" w:hAnsi="Times New Roman" w:cs="Times New Roman"/>
          <w:sz w:val="24"/>
          <w:szCs w:val="24"/>
        </w:rPr>
        <w:t xml:space="preserve"> dependent on exception requests and implementation of</w:t>
      </w:r>
      <w:r w:rsidRPr="00EE358E">
        <w:rPr>
          <w:rFonts w:ascii="Times New Roman" w:hAnsi="Times New Roman" w:cs="Times New Roman"/>
          <w:sz w:val="24"/>
        </w:rPr>
        <w:t xml:space="preserve"> newly identified bulk electric system elements.  These reductions also </w:t>
      </w:r>
      <w:r w:rsidR="00EC3EC5">
        <w:rPr>
          <w:rFonts w:ascii="Times New Roman" w:hAnsi="Times New Roman" w:cs="Times New Roman"/>
          <w:sz w:val="24"/>
        </w:rPr>
        <w:t>included</w:t>
      </w:r>
      <w:r w:rsidRPr="00EE358E">
        <w:rPr>
          <w:rFonts w:ascii="Times New Roman" w:hAnsi="Times New Roman" w:cs="Times New Roman"/>
          <w:sz w:val="24"/>
        </w:rPr>
        <w:t xml:space="preserve"> the harmonization of all the register entities following the same definition for BES</w:t>
      </w:r>
      <w:r w:rsidRPr="00EE358E">
        <w:rPr>
          <w:rStyle w:val="FootnoteReference"/>
          <w:rFonts w:ascii="Times New Roman" w:hAnsi="Times New Roman" w:cs="Times New Roman"/>
          <w:sz w:val="24"/>
          <w:vertAlign w:val="superscript"/>
        </w:rPr>
        <w:footnoteReference w:id="1"/>
      </w:r>
      <w:r w:rsidRPr="00EE358E">
        <w:rPr>
          <w:rFonts w:ascii="Times New Roman" w:hAnsi="Times New Roman" w:cs="Times New Roman"/>
          <w:sz w:val="24"/>
        </w:rPr>
        <w:t>.</w:t>
      </w:r>
    </w:p>
    <w:p w14:paraId="14E8CF29" w14:textId="77777777" w:rsidR="0087477C" w:rsidRPr="00B16372" w:rsidRDefault="0087477C" w:rsidP="00314874">
      <w:pPr>
        <w:spacing w:after="0"/>
        <w:rPr>
          <w:rFonts w:ascii="Times New Roman" w:hAnsi="Times New Roman" w:cs="Times New Roman"/>
          <w:sz w:val="24"/>
          <w:szCs w:val="24"/>
        </w:rPr>
      </w:pPr>
    </w:p>
    <w:p w14:paraId="6371C6B7" w14:textId="77777777" w:rsidR="00A72E7B"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HOW, BY WHOM, AND FOR WHAT PURPOSE THE INFORMATION IS TO BE USED AND THE CONSEQUENCES OF NOT COLLECTING THE INFORMATION</w:t>
      </w:r>
    </w:p>
    <w:p w14:paraId="1EE1542B" w14:textId="77777777" w:rsidR="003B25DD" w:rsidRDefault="003B25DD" w:rsidP="00314874">
      <w:pPr>
        <w:spacing w:after="0"/>
        <w:rPr>
          <w:rFonts w:ascii="Times New Roman" w:hAnsi="Times New Roman" w:cs="Times New Roman"/>
          <w:sz w:val="24"/>
          <w:szCs w:val="24"/>
        </w:rPr>
      </w:pPr>
    </w:p>
    <w:p w14:paraId="156B3B8F" w14:textId="7C005252" w:rsidR="00137DE7" w:rsidRPr="00C93E6A" w:rsidRDefault="00137DE7" w:rsidP="00137DE7">
      <w:pPr>
        <w:pStyle w:val="FERCparanumber"/>
        <w:numPr>
          <w:ilvl w:val="0"/>
          <w:numId w:val="0"/>
        </w:numPr>
        <w:spacing w:line="276" w:lineRule="auto"/>
        <w:rPr>
          <w:sz w:val="24"/>
        </w:rPr>
      </w:pPr>
      <w:r w:rsidRPr="00C93E6A">
        <w:rPr>
          <w:sz w:val="24"/>
        </w:rPr>
        <w:t>Owners of equipment need to review their system configuration to determine which elements are part of the bulk electric system under the revised definition and create a list that is available to other parties on request.  For any newly identified bulk electric system elements, owners and other entities will work together to create implementation plans to ensure compliance with reliability standards for the new elements.  The lists and</w:t>
      </w:r>
      <w:r w:rsidR="003F1DD0">
        <w:rPr>
          <w:sz w:val="24"/>
        </w:rPr>
        <w:t xml:space="preserve"> implementation plans are</w:t>
      </w:r>
      <w:r w:rsidRPr="00C93E6A">
        <w:rPr>
          <w:sz w:val="24"/>
        </w:rPr>
        <w:t xml:space="preserve"> used by the owners of the equipment, entities where the operation of those elements is part of their scope of </w:t>
      </w:r>
      <w:r w:rsidRPr="00C93E6A">
        <w:rPr>
          <w:sz w:val="24"/>
        </w:rPr>
        <w:lastRenderedPageBreak/>
        <w:t>responsibility, NERC, and FERC.  For some entities, part of the implementation includes compliance responsibility of information collection requirements that are part of existing approved reliability standards.</w:t>
      </w:r>
    </w:p>
    <w:p w14:paraId="4DD89AB1" w14:textId="77777777" w:rsidR="00137DE7" w:rsidRPr="00C93E6A" w:rsidRDefault="00137DE7" w:rsidP="00137DE7">
      <w:pPr>
        <w:pStyle w:val="FERCparanumber"/>
        <w:numPr>
          <w:ilvl w:val="0"/>
          <w:numId w:val="0"/>
        </w:numPr>
        <w:spacing w:line="276" w:lineRule="auto"/>
        <w:rPr>
          <w:sz w:val="24"/>
        </w:rPr>
      </w:pPr>
    </w:p>
    <w:p w14:paraId="09B3458E" w14:textId="2483A038" w:rsidR="00137DE7" w:rsidRPr="00C93E6A" w:rsidRDefault="00137DE7" w:rsidP="00137DE7">
      <w:pPr>
        <w:pStyle w:val="FERCparanumber"/>
        <w:numPr>
          <w:ilvl w:val="0"/>
          <w:numId w:val="0"/>
        </w:numPr>
        <w:spacing w:line="276" w:lineRule="auto"/>
        <w:rPr>
          <w:sz w:val="24"/>
        </w:rPr>
      </w:pPr>
      <w:r w:rsidRPr="00C93E6A">
        <w:rPr>
          <w:sz w:val="24"/>
        </w:rPr>
        <w:t xml:space="preserve">The option to request an exception </w:t>
      </w:r>
      <w:r w:rsidR="002D7421">
        <w:rPr>
          <w:sz w:val="24"/>
        </w:rPr>
        <w:t>is</w:t>
      </w:r>
      <w:r w:rsidRPr="00C93E6A">
        <w:rPr>
          <w:sz w:val="24"/>
        </w:rPr>
        <w:t xml:space="preserve"> available to owners of elements and certain entities responsible for wide areas of the system.</w:t>
      </w:r>
      <w:r w:rsidRPr="00C93E6A">
        <w:rPr>
          <w:rStyle w:val="FootnoteReference"/>
          <w:b/>
          <w:sz w:val="24"/>
          <w:vertAlign w:val="superscript"/>
        </w:rPr>
        <w:footnoteReference w:id="2"/>
      </w:r>
      <w:r w:rsidRPr="00C93E6A">
        <w:rPr>
          <w:sz w:val="24"/>
        </w:rPr>
        <w:t xml:space="preserve">  The </w:t>
      </w:r>
      <w:r w:rsidR="00C87021">
        <w:rPr>
          <w:sz w:val="24"/>
        </w:rPr>
        <w:t>Rules of Procedure (</w:t>
      </w:r>
      <w:r w:rsidRPr="00C93E6A">
        <w:rPr>
          <w:sz w:val="24"/>
        </w:rPr>
        <w:t>ROP</w:t>
      </w:r>
      <w:r w:rsidR="00C87021">
        <w:rPr>
          <w:sz w:val="24"/>
        </w:rPr>
        <w:t>)</w:t>
      </w:r>
      <w:r w:rsidRPr="00C93E6A">
        <w:rPr>
          <w:sz w:val="24"/>
        </w:rPr>
        <w:t xml:space="preserve"> exception process requires entities to provide technical data to support an exception request.  </w:t>
      </w:r>
    </w:p>
    <w:p w14:paraId="3D80167A" w14:textId="77777777" w:rsidR="00137DE7" w:rsidRPr="00C93E6A" w:rsidRDefault="00137DE7" w:rsidP="00137DE7">
      <w:pPr>
        <w:pStyle w:val="FERCparanumber"/>
        <w:numPr>
          <w:ilvl w:val="0"/>
          <w:numId w:val="0"/>
        </w:numPr>
        <w:spacing w:line="276" w:lineRule="auto"/>
        <w:rPr>
          <w:sz w:val="24"/>
        </w:rPr>
      </w:pPr>
    </w:p>
    <w:p w14:paraId="75EB2181" w14:textId="20CAD69F" w:rsidR="00137DE7" w:rsidRPr="00C93E6A" w:rsidRDefault="00137DE7" w:rsidP="00137DE7">
      <w:pPr>
        <w:pStyle w:val="FERCparanumber"/>
        <w:numPr>
          <w:ilvl w:val="0"/>
          <w:numId w:val="0"/>
        </w:numPr>
        <w:spacing w:line="276" w:lineRule="auto"/>
        <w:rPr>
          <w:sz w:val="24"/>
        </w:rPr>
      </w:pPr>
      <w:r w:rsidRPr="00C93E6A">
        <w:rPr>
          <w:sz w:val="24"/>
        </w:rPr>
        <w:t xml:space="preserve">FERC </w:t>
      </w:r>
      <w:r w:rsidR="00EF57A0">
        <w:rPr>
          <w:sz w:val="24"/>
        </w:rPr>
        <w:t>uses</w:t>
      </w:r>
      <w:r w:rsidRPr="00C93E6A">
        <w:rPr>
          <w:sz w:val="24"/>
        </w:rPr>
        <w:t xml:space="preserve"> the information filed for local distribution determinations to decide whether facilities are actually used for local distribution as set forth in the Federal Power Act.</w:t>
      </w:r>
    </w:p>
    <w:p w14:paraId="5871543D" w14:textId="77777777" w:rsidR="00137DE7" w:rsidRPr="00C93E6A" w:rsidRDefault="00137DE7" w:rsidP="00137DE7">
      <w:pPr>
        <w:pStyle w:val="FERCparanumber"/>
        <w:numPr>
          <w:ilvl w:val="0"/>
          <w:numId w:val="0"/>
        </w:numPr>
        <w:spacing w:line="276" w:lineRule="auto"/>
        <w:rPr>
          <w:sz w:val="24"/>
        </w:rPr>
      </w:pPr>
    </w:p>
    <w:p w14:paraId="70070A46" w14:textId="2F8B99A0" w:rsidR="00137DE7" w:rsidRDefault="00137DE7" w:rsidP="00137DE7">
      <w:pPr>
        <w:spacing w:after="0"/>
        <w:rPr>
          <w:rFonts w:ascii="Times New Roman" w:hAnsi="Times New Roman" w:cs="Times New Roman"/>
          <w:sz w:val="24"/>
          <w:szCs w:val="24"/>
        </w:rPr>
      </w:pPr>
      <w:r w:rsidRPr="00C93E6A">
        <w:rPr>
          <w:rFonts w:ascii="Times New Roman" w:hAnsi="Times New Roman" w:cs="Times New Roman"/>
          <w:sz w:val="24"/>
          <w:szCs w:val="24"/>
        </w:rPr>
        <w:t>Failure to properly perform system reviews, list creation, exception requests</w:t>
      </w:r>
      <w:r w:rsidRPr="00C2222D">
        <w:rPr>
          <w:rFonts w:ascii="Times New Roman" w:hAnsi="Times New Roman" w:cs="Times New Roman"/>
          <w:sz w:val="24"/>
          <w:szCs w:val="24"/>
        </w:rPr>
        <w:t xml:space="preserve"> and implementation plans could </w:t>
      </w:r>
      <w:r>
        <w:rPr>
          <w:rFonts w:ascii="Times New Roman" w:hAnsi="Times New Roman" w:cs="Times New Roman"/>
          <w:sz w:val="24"/>
          <w:szCs w:val="24"/>
        </w:rPr>
        <w:t>result in the failure to properly classify</w:t>
      </w:r>
      <w:r w:rsidRPr="00C2222D">
        <w:rPr>
          <w:rFonts w:ascii="Times New Roman" w:hAnsi="Times New Roman" w:cs="Times New Roman"/>
          <w:sz w:val="24"/>
          <w:szCs w:val="24"/>
        </w:rPr>
        <w:t xml:space="preserve"> elements needed for </w:t>
      </w:r>
      <w:r>
        <w:rPr>
          <w:rFonts w:ascii="Times New Roman" w:hAnsi="Times New Roman" w:cs="Times New Roman"/>
          <w:sz w:val="24"/>
          <w:szCs w:val="24"/>
        </w:rPr>
        <w:t>operating the interconnected transmission network</w:t>
      </w:r>
      <w:r w:rsidRPr="00C2222D">
        <w:rPr>
          <w:rFonts w:ascii="Times New Roman" w:hAnsi="Times New Roman" w:cs="Times New Roman"/>
          <w:sz w:val="24"/>
          <w:szCs w:val="24"/>
        </w:rPr>
        <w:t xml:space="preserve"> and could jeopardize system reliability.</w:t>
      </w:r>
    </w:p>
    <w:p w14:paraId="28488CB8" w14:textId="77777777" w:rsidR="003B064D" w:rsidRPr="00B16372" w:rsidRDefault="003B064D" w:rsidP="00314874">
      <w:pPr>
        <w:spacing w:after="0"/>
        <w:rPr>
          <w:rFonts w:ascii="Times New Roman" w:hAnsi="Times New Roman" w:cs="Times New Roman"/>
          <w:sz w:val="24"/>
          <w:szCs w:val="24"/>
        </w:rPr>
      </w:pPr>
    </w:p>
    <w:p w14:paraId="75BE7A5A" w14:textId="77777777" w:rsidR="00EB3E6F"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DESCRIBE ANY CONSIDERATION OF THE USE OF IMPROVED INFORMATION TECHNOLOGY TO REDUCE THE BURDEN AND TECHNICAL OR LEGAL OBSTACLES TO REDUCING BURDEN</w:t>
      </w:r>
    </w:p>
    <w:p w14:paraId="2768CDA0" w14:textId="77777777" w:rsidR="00EB3E6F" w:rsidRPr="00B16372" w:rsidRDefault="00EB3E6F" w:rsidP="00314874">
      <w:pPr>
        <w:spacing w:after="0"/>
        <w:rPr>
          <w:rFonts w:ascii="Times New Roman" w:hAnsi="Times New Roman" w:cs="Times New Roman"/>
          <w:sz w:val="24"/>
          <w:szCs w:val="24"/>
        </w:rPr>
      </w:pPr>
    </w:p>
    <w:p w14:paraId="2E909CA9" w14:textId="77777777" w:rsidR="00EE358E" w:rsidRDefault="00EE358E" w:rsidP="00EE358E">
      <w:pPr>
        <w:spacing w:after="0"/>
        <w:rPr>
          <w:rFonts w:ascii="Times New Roman" w:hAnsi="Times New Roman" w:cs="Times New Roman"/>
          <w:sz w:val="24"/>
          <w:szCs w:val="24"/>
        </w:rPr>
      </w:pPr>
      <w:r>
        <w:rPr>
          <w:rFonts w:ascii="Times New Roman" w:hAnsi="Times New Roman" w:cs="Times New Roman"/>
          <w:sz w:val="24"/>
          <w:szCs w:val="24"/>
        </w:rPr>
        <w:t>Each of t</w:t>
      </w:r>
      <w:r w:rsidRPr="00793DD1">
        <w:rPr>
          <w:rFonts w:ascii="Times New Roman" w:hAnsi="Times New Roman" w:cs="Times New Roman"/>
          <w:sz w:val="24"/>
          <w:szCs w:val="24"/>
        </w:rPr>
        <w: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via data forms on the portals.  These portals are accessible through an internet browser password protected user interface.</w:t>
      </w:r>
    </w:p>
    <w:p w14:paraId="7CD6C06E" w14:textId="77777777" w:rsidR="00EE358E" w:rsidRDefault="00EE358E" w:rsidP="00EE358E">
      <w:pPr>
        <w:tabs>
          <w:tab w:val="left" w:pos="3540"/>
        </w:tabs>
        <w:spacing w:after="0"/>
        <w:rPr>
          <w:rFonts w:ascii="Times New Roman" w:hAnsi="Times New Roman" w:cs="Times New Roman"/>
          <w:sz w:val="24"/>
          <w:szCs w:val="24"/>
        </w:rPr>
      </w:pPr>
      <w:r>
        <w:rPr>
          <w:rFonts w:ascii="Times New Roman" w:hAnsi="Times New Roman" w:cs="Times New Roman"/>
          <w:sz w:val="24"/>
          <w:szCs w:val="24"/>
        </w:rPr>
        <w:tab/>
      </w:r>
    </w:p>
    <w:p w14:paraId="55A12F46" w14:textId="77777777" w:rsidR="00EE358E" w:rsidRDefault="00EE358E" w:rsidP="00EE358E">
      <w:pPr>
        <w:spacing w:after="0"/>
        <w:rPr>
          <w:rFonts w:ascii="Times New Roman" w:hAnsi="Times New Roman" w:cs="Times New Roman"/>
          <w:sz w:val="24"/>
          <w:szCs w:val="24"/>
        </w:rPr>
      </w:pPr>
      <w:r>
        <w:rPr>
          <w:rFonts w:ascii="Times New Roman" w:hAnsi="Times New Roman" w:cs="Times New Roman"/>
          <w:sz w:val="24"/>
          <w:szCs w:val="24"/>
        </w:rPr>
        <w:t xml:space="preserve">In preparation for the implementation of the bulk electric system definition and ROP exception process, NERC and the eight regional entities worked together to develop a new data collection system called the </w:t>
      </w:r>
      <w:proofErr w:type="spellStart"/>
      <w:r>
        <w:rPr>
          <w:rFonts w:ascii="Times New Roman" w:hAnsi="Times New Roman" w:cs="Times New Roman"/>
          <w:sz w:val="24"/>
          <w:szCs w:val="24"/>
        </w:rPr>
        <w:t>BESNet</w:t>
      </w:r>
      <w:proofErr w:type="spellEnd"/>
      <w:r>
        <w:rPr>
          <w:rFonts w:ascii="Times New Roman" w:hAnsi="Times New Roman" w:cs="Times New Roman"/>
          <w:sz w:val="24"/>
          <w:szCs w:val="24"/>
        </w:rPr>
        <w:t xml:space="preserve">.  This new system will contain all of the information required for the definition and exception process into one database.  All owners of bulk electric system elements will follow the same procedures for submitting electronic data.  The </w:t>
      </w:r>
      <w:proofErr w:type="spellStart"/>
      <w:r>
        <w:rPr>
          <w:rFonts w:ascii="Times New Roman" w:hAnsi="Times New Roman" w:cs="Times New Roman"/>
          <w:sz w:val="24"/>
          <w:szCs w:val="24"/>
        </w:rPr>
        <w:t>BESNet</w:t>
      </w:r>
      <w:proofErr w:type="spellEnd"/>
      <w:r>
        <w:rPr>
          <w:rFonts w:ascii="Times New Roman" w:hAnsi="Times New Roman" w:cs="Times New Roman"/>
          <w:sz w:val="24"/>
          <w:szCs w:val="24"/>
        </w:rPr>
        <w:t xml:space="preserve"> software will be accessible through an internet browser password protected user interface.</w:t>
      </w:r>
    </w:p>
    <w:p w14:paraId="30CBC552" w14:textId="1BBF54DA" w:rsidR="00EB3E6F" w:rsidRDefault="00EB3E6F" w:rsidP="00314874">
      <w:pPr>
        <w:spacing w:after="0"/>
        <w:rPr>
          <w:rFonts w:ascii="Times New Roman" w:hAnsi="Times New Roman" w:cs="Times New Roman"/>
          <w:sz w:val="24"/>
          <w:szCs w:val="24"/>
        </w:rPr>
      </w:pPr>
    </w:p>
    <w:p w14:paraId="5A74C757" w14:textId="77777777" w:rsidR="00693371" w:rsidRPr="00B16372" w:rsidRDefault="00693371" w:rsidP="00314874">
      <w:pPr>
        <w:spacing w:after="0"/>
        <w:rPr>
          <w:rFonts w:ascii="Times New Roman" w:hAnsi="Times New Roman" w:cs="Times New Roman"/>
          <w:sz w:val="24"/>
          <w:szCs w:val="24"/>
        </w:rPr>
      </w:pPr>
    </w:p>
    <w:p w14:paraId="145DA2A6" w14:textId="77777777" w:rsidR="00EB3E6F"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DESCRIBE EFFORTS TO IDENTIF</w:t>
      </w:r>
      <w:r w:rsidR="00E05FA3" w:rsidRPr="00B16372">
        <w:rPr>
          <w:rFonts w:ascii="Times New Roman" w:hAnsi="Times New Roman" w:cs="Times New Roman"/>
          <w:b/>
          <w:sz w:val="24"/>
          <w:szCs w:val="24"/>
        </w:rPr>
        <w:t>Y</w:t>
      </w:r>
      <w:r w:rsidRPr="00B16372">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67357532" w14:textId="77777777" w:rsidR="00EB3E6F" w:rsidRPr="00B16372" w:rsidRDefault="00EB3E6F" w:rsidP="00314874">
      <w:pPr>
        <w:spacing w:after="0"/>
        <w:rPr>
          <w:rFonts w:ascii="Times New Roman" w:hAnsi="Times New Roman" w:cs="Times New Roman"/>
          <w:sz w:val="24"/>
          <w:szCs w:val="24"/>
        </w:rPr>
      </w:pPr>
    </w:p>
    <w:p w14:paraId="46853A9C" w14:textId="77777777" w:rsidR="00EE358E" w:rsidRDefault="00EE358E" w:rsidP="00EE358E">
      <w:pPr>
        <w:spacing w:after="0"/>
        <w:rPr>
          <w:rFonts w:ascii="Times New Roman" w:hAnsi="Times New Roman" w:cs="Times New Roman"/>
          <w:sz w:val="24"/>
          <w:szCs w:val="24"/>
        </w:rPr>
      </w:pPr>
      <w:r w:rsidRPr="00811BFB">
        <w:rPr>
          <w:rFonts w:ascii="Times New Roman" w:hAnsi="Times New Roman" w:cs="Times New Roman"/>
          <w:sz w:val="24"/>
          <w:szCs w:val="24"/>
        </w:rPr>
        <w:lastRenderedPageBreak/>
        <w:t>Entities filing requests for local distribution determinations may use the Commission’s eFiling system.</w:t>
      </w:r>
    </w:p>
    <w:p w14:paraId="0026532F" w14:textId="77777777" w:rsidR="00EE358E" w:rsidRDefault="00EE358E" w:rsidP="00EE358E">
      <w:pPr>
        <w:spacing w:after="0"/>
        <w:rPr>
          <w:rFonts w:ascii="Times New Roman" w:hAnsi="Times New Roman" w:cs="Times New Roman"/>
          <w:sz w:val="24"/>
          <w:szCs w:val="24"/>
        </w:rPr>
      </w:pPr>
    </w:p>
    <w:p w14:paraId="5951E3C0" w14:textId="77777777" w:rsidR="00EE358E" w:rsidRDefault="00EE358E" w:rsidP="00EE358E">
      <w:pPr>
        <w:spacing w:after="0"/>
        <w:rPr>
          <w:rFonts w:ascii="Times New Roman" w:hAnsi="Times New Roman" w:cs="Times New Roman"/>
          <w:sz w:val="24"/>
          <w:szCs w:val="24"/>
        </w:rPr>
      </w:pPr>
      <w:r>
        <w:rPr>
          <w:rFonts w:ascii="Times New Roman" w:hAnsi="Times New Roman" w:cs="Times New Roman"/>
          <w:sz w:val="24"/>
          <w:szCs w:val="24"/>
        </w:rPr>
        <w:t xml:space="preserve">For information collected by NERC and the regional entities, the </w:t>
      </w:r>
      <w:proofErr w:type="spellStart"/>
      <w:r>
        <w:rPr>
          <w:rFonts w:ascii="Times New Roman" w:hAnsi="Times New Roman" w:cs="Times New Roman"/>
          <w:sz w:val="24"/>
          <w:szCs w:val="24"/>
        </w:rPr>
        <w:t>BESNet</w:t>
      </w:r>
      <w:proofErr w:type="spellEnd"/>
      <w:r>
        <w:rPr>
          <w:rFonts w:ascii="Times New Roman" w:hAnsi="Times New Roman" w:cs="Times New Roman"/>
          <w:sz w:val="24"/>
          <w:szCs w:val="24"/>
        </w:rPr>
        <w:t xml:space="preserve"> software will prevent the need for duplication of submittals.  This data has not been collected in the past and is part of the implementation of the revised bulk electric system definition and ROP exception process effective July 1, 2014.</w:t>
      </w:r>
    </w:p>
    <w:p w14:paraId="46475A15" w14:textId="77777777" w:rsidR="00C00D70" w:rsidRPr="00B16372" w:rsidRDefault="00C00D70" w:rsidP="00314874">
      <w:pPr>
        <w:spacing w:after="0"/>
        <w:rPr>
          <w:rFonts w:ascii="Times New Roman" w:hAnsi="Times New Roman" w:cs="Times New Roman"/>
          <w:sz w:val="24"/>
          <w:szCs w:val="24"/>
        </w:rPr>
      </w:pPr>
    </w:p>
    <w:p w14:paraId="3A57A495" w14:textId="048A1048" w:rsidR="00EB3E6F"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METHODS USED TO MINIMIZE THE BURDEN IN COLLECTION OF INFORMATION INVOLVING SMALL ENTITIES</w:t>
      </w:r>
    </w:p>
    <w:p w14:paraId="4F51B082" w14:textId="77777777" w:rsidR="00EB3E6F" w:rsidRPr="00B16372" w:rsidRDefault="00EB3E6F" w:rsidP="00314874">
      <w:pPr>
        <w:spacing w:after="0"/>
        <w:rPr>
          <w:rFonts w:ascii="Times New Roman" w:hAnsi="Times New Roman" w:cs="Times New Roman"/>
          <w:sz w:val="24"/>
          <w:szCs w:val="24"/>
        </w:rPr>
      </w:pPr>
    </w:p>
    <w:p w14:paraId="39BA6D31" w14:textId="0C055E8D" w:rsidR="00EB3E6F" w:rsidRDefault="00EE358E" w:rsidP="00314874">
      <w:pPr>
        <w:spacing w:after="0"/>
        <w:rPr>
          <w:rFonts w:ascii="Times New Roman" w:hAnsi="Times New Roman" w:cs="Times New Roman"/>
          <w:sz w:val="24"/>
          <w:szCs w:val="24"/>
        </w:rPr>
      </w:pPr>
      <w:r w:rsidRPr="00597525">
        <w:rPr>
          <w:rFonts w:ascii="Times New Roman" w:hAnsi="Times New Roman" w:cs="Times New Roman"/>
          <w:sz w:val="24"/>
          <w:szCs w:val="24"/>
        </w:rPr>
        <w:t xml:space="preserve">Generally, small entities may not have large systems, may not have a significant impact on the </w:t>
      </w:r>
      <w:r>
        <w:rPr>
          <w:rFonts w:ascii="Times New Roman" w:hAnsi="Times New Roman" w:cs="Times New Roman"/>
          <w:sz w:val="24"/>
          <w:szCs w:val="24"/>
        </w:rPr>
        <w:t>bulk electric system</w:t>
      </w:r>
      <w:r w:rsidRPr="00597525">
        <w:rPr>
          <w:rFonts w:ascii="Times New Roman" w:hAnsi="Times New Roman" w:cs="Times New Roman"/>
          <w:sz w:val="24"/>
          <w:szCs w:val="24"/>
        </w:rPr>
        <w:t xml:space="preserve">, or tend to operate at lower voltages.  For those small entities that do have critical elements that are included in the </w:t>
      </w:r>
      <w:r>
        <w:rPr>
          <w:rFonts w:ascii="Times New Roman" w:hAnsi="Times New Roman" w:cs="Times New Roman"/>
          <w:sz w:val="24"/>
          <w:szCs w:val="24"/>
        </w:rPr>
        <w:t>bulk electric system</w:t>
      </w:r>
      <w:r w:rsidRPr="00597525">
        <w:rPr>
          <w:rFonts w:ascii="Times New Roman" w:hAnsi="Times New Roman" w:cs="Times New Roman"/>
          <w:sz w:val="24"/>
          <w:szCs w:val="24"/>
        </w:rPr>
        <w:t xml:space="preserve">, their obligation is to meet all the applicable standards with no exceptions.  A small entity could pursue an </w:t>
      </w:r>
      <w:r>
        <w:rPr>
          <w:rFonts w:ascii="Times New Roman" w:hAnsi="Times New Roman" w:cs="Times New Roman"/>
          <w:sz w:val="24"/>
          <w:szCs w:val="24"/>
        </w:rPr>
        <w:t>e</w:t>
      </w:r>
      <w:r w:rsidRPr="00597525">
        <w:rPr>
          <w:rFonts w:ascii="Times New Roman" w:hAnsi="Times New Roman" w:cs="Times New Roman"/>
          <w:sz w:val="24"/>
          <w:szCs w:val="24"/>
        </w:rPr>
        <w:t xml:space="preserve">xception </w:t>
      </w:r>
      <w:r>
        <w:rPr>
          <w:rFonts w:ascii="Times New Roman" w:hAnsi="Times New Roman" w:cs="Times New Roman"/>
          <w:sz w:val="24"/>
          <w:szCs w:val="24"/>
        </w:rPr>
        <w:t>r</w:t>
      </w:r>
      <w:r w:rsidRPr="00597525">
        <w:rPr>
          <w:rFonts w:ascii="Times New Roman" w:hAnsi="Times New Roman" w:cs="Times New Roman"/>
          <w:sz w:val="24"/>
          <w:szCs w:val="24"/>
        </w:rPr>
        <w:t>equest to have an element removed and it will be evaluated by the regional entities and NERC.</w:t>
      </w:r>
    </w:p>
    <w:p w14:paraId="1D266F35" w14:textId="77777777" w:rsidR="00DE00F4" w:rsidRPr="00B16372" w:rsidRDefault="00DE00F4" w:rsidP="00314874">
      <w:pPr>
        <w:spacing w:after="0"/>
        <w:rPr>
          <w:rFonts w:ascii="Times New Roman" w:hAnsi="Times New Roman" w:cs="Times New Roman"/>
          <w:sz w:val="24"/>
          <w:szCs w:val="24"/>
        </w:rPr>
      </w:pPr>
    </w:p>
    <w:p w14:paraId="3FFBC266" w14:textId="77777777" w:rsidR="00EB3E6F"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CONSEQUENCE TO FEDERAL PROGRAM IF COLLECTION WERE CONDUCTED LESS FREQUENTLY</w:t>
      </w:r>
    </w:p>
    <w:p w14:paraId="385D957A" w14:textId="77777777" w:rsidR="00EB3E6F" w:rsidRPr="00B16372" w:rsidRDefault="00EB3E6F" w:rsidP="00314874">
      <w:pPr>
        <w:spacing w:after="0"/>
        <w:rPr>
          <w:rFonts w:ascii="Times New Roman" w:hAnsi="Times New Roman" w:cs="Times New Roman"/>
          <w:sz w:val="24"/>
          <w:szCs w:val="24"/>
        </w:rPr>
      </w:pPr>
    </w:p>
    <w:p w14:paraId="68F44DF9" w14:textId="56270804" w:rsidR="00EE358E" w:rsidRDefault="00EE358E" w:rsidP="00EE358E">
      <w:pPr>
        <w:spacing w:after="0"/>
        <w:rPr>
          <w:rFonts w:ascii="Times New Roman" w:hAnsi="Times New Roman" w:cs="Times New Roman"/>
          <w:sz w:val="24"/>
          <w:szCs w:val="24"/>
        </w:rPr>
      </w:pPr>
      <w:r w:rsidRPr="00C2222D">
        <w:rPr>
          <w:rFonts w:ascii="Times New Roman" w:hAnsi="Times New Roman" w:cs="Times New Roman"/>
          <w:sz w:val="24"/>
          <w:szCs w:val="24"/>
        </w:rPr>
        <w:t>Failure to properly perfor</w:t>
      </w:r>
      <w:r w:rsidR="00290410">
        <w:rPr>
          <w:rFonts w:ascii="Times New Roman" w:hAnsi="Times New Roman" w:cs="Times New Roman"/>
          <w:sz w:val="24"/>
          <w:szCs w:val="24"/>
        </w:rPr>
        <w:t xml:space="preserve">m exception requests, </w:t>
      </w:r>
      <w:r w:rsidRPr="00C2222D">
        <w:rPr>
          <w:rFonts w:ascii="Times New Roman" w:hAnsi="Times New Roman" w:cs="Times New Roman"/>
          <w:sz w:val="24"/>
          <w:szCs w:val="24"/>
        </w:rPr>
        <w:t>implementation plans</w:t>
      </w:r>
      <w:r w:rsidR="00290410">
        <w:rPr>
          <w:rFonts w:ascii="Times New Roman" w:hAnsi="Times New Roman" w:cs="Times New Roman"/>
          <w:sz w:val="24"/>
          <w:szCs w:val="24"/>
        </w:rPr>
        <w:t>, and local distributions, and determination</w:t>
      </w:r>
      <w:r w:rsidRPr="00C2222D">
        <w:rPr>
          <w:rFonts w:ascii="Times New Roman" w:hAnsi="Times New Roman" w:cs="Times New Roman"/>
          <w:sz w:val="24"/>
          <w:szCs w:val="24"/>
        </w:rPr>
        <w:t xml:space="preserve"> could </w:t>
      </w:r>
      <w:r>
        <w:rPr>
          <w:rFonts w:ascii="Times New Roman" w:hAnsi="Times New Roman" w:cs="Times New Roman"/>
          <w:sz w:val="24"/>
          <w:szCs w:val="24"/>
        </w:rPr>
        <w:t>result in the failure to properly classify</w:t>
      </w:r>
      <w:r w:rsidRPr="00C2222D">
        <w:rPr>
          <w:rFonts w:ascii="Times New Roman" w:hAnsi="Times New Roman" w:cs="Times New Roman"/>
          <w:sz w:val="24"/>
          <w:szCs w:val="24"/>
        </w:rPr>
        <w:t xml:space="preserve"> elements needed for </w:t>
      </w:r>
      <w:r>
        <w:rPr>
          <w:rFonts w:ascii="Times New Roman" w:hAnsi="Times New Roman" w:cs="Times New Roman"/>
          <w:sz w:val="24"/>
          <w:szCs w:val="24"/>
        </w:rPr>
        <w:t>operating the interconnected transmission network</w:t>
      </w:r>
      <w:r w:rsidRPr="00C2222D">
        <w:rPr>
          <w:rFonts w:ascii="Times New Roman" w:hAnsi="Times New Roman" w:cs="Times New Roman"/>
          <w:sz w:val="24"/>
          <w:szCs w:val="24"/>
        </w:rPr>
        <w:t xml:space="preserve"> and could jeopardize system reliability.</w:t>
      </w:r>
    </w:p>
    <w:p w14:paraId="16C9DA80" w14:textId="77777777" w:rsidR="00B86284" w:rsidRPr="00B16372" w:rsidRDefault="00B86284" w:rsidP="00314874">
      <w:pPr>
        <w:spacing w:after="0"/>
        <w:rPr>
          <w:rFonts w:ascii="Times New Roman" w:hAnsi="Times New Roman" w:cs="Times New Roman"/>
          <w:sz w:val="24"/>
          <w:szCs w:val="24"/>
        </w:rPr>
      </w:pPr>
    </w:p>
    <w:p w14:paraId="58D02FFF" w14:textId="77777777" w:rsidR="00EB3E6F"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EXPLAIN ANY SPECIAL CIRCUMSTANCES RELATING TO THE INFORMATION COLLECTION</w:t>
      </w:r>
    </w:p>
    <w:p w14:paraId="45CE3F20" w14:textId="77777777" w:rsidR="00EB3E6F" w:rsidRPr="00B16372" w:rsidRDefault="00EB3E6F" w:rsidP="00314874">
      <w:pPr>
        <w:spacing w:after="0"/>
        <w:rPr>
          <w:rFonts w:ascii="Times New Roman" w:hAnsi="Times New Roman" w:cs="Times New Roman"/>
          <w:sz w:val="24"/>
          <w:szCs w:val="24"/>
        </w:rPr>
      </w:pPr>
    </w:p>
    <w:p w14:paraId="4C6B8CC6" w14:textId="3F3106F6" w:rsidR="00C3084B" w:rsidRDefault="00116BB4" w:rsidP="00C3084B">
      <w:pPr>
        <w:spacing w:after="0"/>
        <w:rPr>
          <w:rFonts w:ascii="Times New Roman" w:hAnsi="Times New Roman" w:cs="Times New Roman"/>
          <w:sz w:val="24"/>
          <w:szCs w:val="24"/>
        </w:rPr>
      </w:pPr>
      <w:r>
        <w:rPr>
          <w:rFonts w:ascii="Times New Roman" w:hAnsi="Times New Roman" w:cs="Times New Roman"/>
          <w:sz w:val="24"/>
          <w:szCs w:val="24"/>
        </w:rPr>
        <w:t>There are no special circumstances</w:t>
      </w:r>
      <w:r w:rsidR="00701DFB">
        <w:rPr>
          <w:rFonts w:ascii="Times New Roman" w:hAnsi="Times New Roman" w:cs="Times New Roman"/>
          <w:sz w:val="24"/>
          <w:szCs w:val="24"/>
        </w:rPr>
        <w:t xml:space="preserve"> as described in 5 CFR 1320.5(d</w:t>
      </w:r>
      <w:proofErr w:type="gramStart"/>
      <w:r w:rsidR="00701DFB">
        <w:rPr>
          <w:rFonts w:ascii="Times New Roman" w:hAnsi="Times New Roman" w:cs="Times New Roman"/>
          <w:sz w:val="24"/>
          <w:szCs w:val="24"/>
        </w:rPr>
        <w:t>)(</w:t>
      </w:r>
      <w:proofErr w:type="gramEnd"/>
      <w:r w:rsidR="00701DFB">
        <w:rPr>
          <w:rFonts w:ascii="Times New Roman" w:hAnsi="Times New Roman" w:cs="Times New Roman"/>
          <w:sz w:val="24"/>
          <w:szCs w:val="24"/>
        </w:rPr>
        <w:t>2)</w:t>
      </w:r>
      <w:r>
        <w:rPr>
          <w:rFonts w:ascii="Times New Roman" w:hAnsi="Times New Roman" w:cs="Times New Roman"/>
          <w:sz w:val="24"/>
          <w:szCs w:val="24"/>
        </w:rPr>
        <w:t xml:space="preserve"> related to the FERC-725J information collection.  Typically, </w:t>
      </w:r>
      <w:r w:rsidR="00C3084B" w:rsidRPr="00490132">
        <w:rPr>
          <w:rFonts w:ascii="Times New Roman" w:hAnsi="Times New Roman" w:cs="Times New Roman"/>
          <w:sz w:val="24"/>
          <w:szCs w:val="24"/>
        </w:rPr>
        <w:t>OMB guidelines in 5 CFR 1320.5(d</w:t>
      </w:r>
      <w:proofErr w:type="gramStart"/>
      <w:r w:rsidR="00C3084B" w:rsidRPr="00490132">
        <w:rPr>
          <w:rFonts w:ascii="Times New Roman" w:hAnsi="Times New Roman" w:cs="Times New Roman"/>
          <w:sz w:val="24"/>
          <w:szCs w:val="24"/>
        </w:rPr>
        <w:t>)(</w:t>
      </w:r>
      <w:proofErr w:type="gramEnd"/>
      <w:r w:rsidR="00C3084B" w:rsidRPr="00490132">
        <w:rPr>
          <w:rFonts w:ascii="Times New Roman" w:hAnsi="Times New Roman" w:cs="Times New Roman"/>
          <w:sz w:val="24"/>
          <w:szCs w:val="24"/>
        </w:rPr>
        <w:t xml:space="preserve">2)(iv) </w:t>
      </w:r>
      <w:r w:rsidR="00701DFB">
        <w:rPr>
          <w:rFonts w:ascii="Times New Roman" w:hAnsi="Times New Roman" w:cs="Times New Roman"/>
          <w:sz w:val="24"/>
          <w:szCs w:val="24"/>
        </w:rPr>
        <w:t>prohibiting the</w:t>
      </w:r>
      <w:r w:rsidR="00C3084B" w:rsidRPr="00490132">
        <w:rPr>
          <w:rFonts w:ascii="Times New Roman" w:hAnsi="Times New Roman" w:cs="Times New Roman"/>
          <w:sz w:val="24"/>
          <w:szCs w:val="24"/>
        </w:rPr>
        <w:t xml:space="preserve"> ret</w:t>
      </w:r>
      <w:r w:rsidR="00701DFB">
        <w:rPr>
          <w:rFonts w:ascii="Times New Roman" w:hAnsi="Times New Roman" w:cs="Times New Roman"/>
          <w:sz w:val="24"/>
          <w:szCs w:val="24"/>
        </w:rPr>
        <w:t>ention of</w:t>
      </w:r>
      <w:r w:rsidR="00C3084B" w:rsidRPr="00490132">
        <w:rPr>
          <w:rFonts w:ascii="Times New Roman" w:hAnsi="Times New Roman" w:cs="Times New Roman"/>
          <w:sz w:val="24"/>
          <w:szCs w:val="24"/>
        </w:rPr>
        <w:t xml:space="preserve"> records for longer than three years</w:t>
      </w:r>
      <w:r>
        <w:rPr>
          <w:rFonts w:ascii="Times New Roman" w:hAnsi="Times New Roman" w:cs="Times New Roman"/>
          <w:sz w:val="24"/>
          <w:szCs w:val="24"/>
        </w:rPr>
        <w:t xml:space="preserve"> pertain to </w:t>
      </w:r>
      <w:r w:rsidR="004C6BBA">
        <w:rPr>
          <w:rFonts w:ascii="Times New Roman" w:hAnsi="Times New Roman" w:cs="Times New Roman"/>
          <w:sz w:val="24"/>
          <w:szCs w:val="24"/>
        </w:rPr>
        <w:t xml:space="preserve">information </w:t>
      </w:r>
      <w:r>
        <w:rPr>
          <w:rFonts w:ascii="Times New Roman" w:hAnsi="Times New Roman" w:cs="Times New Roman"/>
          <w:sz w:val="24"/>
          <w:szCs w:val="24"/>
        </w:rPr>
        <w:t>collections affecting NERC registered entities. However, there are no record retention requirements within the BES definition.</w:t>
      </w:r>
      <w:r w:rsidR="00C3084B" w:rsidRPr="00490132">
        <w:rPr>
          <w:rFonts w:ascii="Times New Roman" w:hAnsi="Times New Roman" w:cs="Times New Roman"/>
          <w:sz w:val="24"/>
          <w:szCs w:val="24"/>
        </w:rPr>
        <w:t xml:space="preserve">  </w:t>
      </w:r>
    </w:p>
    <w:p w14:paraId="3CF02824" w14:textId="77777777" w:rsidR="00EB3E6F" w:rsidRPr="00B16372" w:rsidRDefault="00EB3E6F" w:rsidP="00314874">
      <w:pPr>
        <w:spacing w:after="0"/>
        <w:rPr>
          <w:rFonts w:ascii="Times New Roman" w:hAnsi="Times New Roman" w:cs="Times New Roman"/>
          <w:sz w:val="24"/>
          <w:szCs w:val="24"/>
        </w:rPr>
      </w:pPr>
    </w:p>
    <w:p w14:paraId="6440C006" w14:textId="77777777" w:rsidR="00EB3E6F" w:rsidRPr="00B16372" w:rsidRDefault="00EB3E6F"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DESCRIBE EFFORTS TO CONSULT OUTSIDE THE AGENCY: SUMMARIZE PUBLIC COMMENTS AND THE AGENCY’S RESPONSE</w:t>
      </w:r>
    </w:p>
    <w:p w14:paraId="231382F1" w14:textId="77777777" w:rsidR="00EB3E6F" w:rsidRPr="00B16372" w:rsidRDefault="00EB3E6F" w:rsidP="00314874">
      <w:pPr>
        <w:spacing w:after="0"/>
        <w:rPr>
          <w:rFonts w:ascii="Times New Roman" w:hAnsi="Times New Roman" w:cs="Times New Roman"/>
          <w:sz w:val="24"/>
          <w:szCs w:val="24"/>
        </w:rPr>
      </w:pPr>
    </w:p>
    <w:p w14:paraId="5AFA0870" w14:textId="4B35D717" w:rsidR="005462C0" w:rsidRPr="00B16372" w:rsidRDefault="004B5B5C" w:rsidP="004B5B5C">
      <w:pPr>
        <w:rPr>
          <w:rFonts w:ascii="Times New Roman" w:hAnsi="Times New Roman" w:cs="Times New Roman"/>
          <w:sz w:val="24"/>
          <w:szCs w:val="24"/>
        </w:rPr>
      </w:pPr>
      <w:r w:rsidRPr="000F2C3E">
        <w:rPr>
          <w:rFonts w:ascii="Times New Roman" w:hAnsi="Times New Roman" w:cs="Times New Roman"/>
          <w:sz w:val="24"/>
          <w:szCs w:val="24"/>
        </w:rPr>
        <w:t>In accordance with OMB requirements, the Commission published a 60-day notice and a 30-day notice to the public regarding thi</w:t>
      </w:r>
      <w:r w:rsidR="008C2702">
        <w:rPr>
          <w:rFonts w:ascii="Times New Roman" w:hAnsi="Times New Roman" w:cs="Times New Roman"/>
          <w:sz w:val="24"/>
          <w:szCs w:val="24"/>
        </w:rPr>
        <w:t>s information collection on 2/24</w:t>
      </w:r>
      <w:r w:rsidRPr="000F2C3E">
        <w:rPr>
          <w:rFonts w:ascii="Times New Roman" w:hAnsi="Times New Roman" w:cs="Times New Roman"/>
          <w:sz w:val="24"/>
          <w:szCs w:val="24"/>
        </w:rPr>
        <w:t>/201</w:t>
      </w:r>
      <w:r w:rsidR="004C6BBA">
        <w:rPr>
          <w:rFonts w:ascii="Times New Roman" w:hAnsi="Times New Roman" w:cs="Times New Roman"/>
          <w:sz w:val="24"/>
          <w:szCs w:val="24"/>
        </w:rPr>
        <w:t>6</w:t>
      </w:r>
      <w:r w:rsidRPr="00D14607">
        <w:rPr>
          <w:rFonts w:ascii="Times New Roman" w:hAnsi="Times New Roman" w:cs="Times New Roman"/>
          <w:sz w:val="24"/>
          <w:szCs w:val="24"/>
          <w:vertAlign w:val="superscript"/>
        </w:rPr>
        <w:t xml:space="preserve"> </w:t>
      </w:r>
      <w:r w:rsidR="008C2702">
        <w:rPr>
          <w:rFonts w:ascii="Times New Roman" w:hAnsi="Times New Roman" w:cs="Times New Roman"/>
          <w:sz w:val="24"/>
          <w:szCs w:val="24"/>
        </w:rPr>
        <w:t>and 5</w:t>
      </w:r>
      <w:r w:rsidRPr="000F2C3E">
        <w:rPr>
          <w:rFonts w:ascii="Times New Roman" w:hAnsi="Times New Roman" w:cs="Times New Roman"/>
          <w:sz w:val="24"/>
          <w:szCs w:val="24"/>
        </w:rPr>
        <w:t>/</w:t>
      </w:r>
      <w:r w:rsidR="008C2702">
        <w:rPr>
          <w:rFonts w:ascii="Times New Roman" w:hAnsi="Times New Roman" w:cs="Times New Roman"/>
          <w:sz w:val="24"/>
          <w:szCs w:val="24"/>
        </w:rPr>
        <w:t>12/2016</w:t>
      </w:r>
      <w:r w:rsidRPr="00944643">
        <w:rPr>
          <w:rStyle w:val="FootnoteReference"/>
          <w:rFonts w:ascii="Times New Roman" w:hAnsi="Times New Roman" w:cs="Times New Roman"/>
          <w:sz w:val="24"/>
          <w:szCs w:val="24"/>
          <w:vertAlign w:val="superscript"/>
        </w:rPr>
        <w:footnoteReference w:id="3"/>
      </w:r>
      <w:r w:rsidRPr="000F2C3E">
        <w:rPr>
          <w:rFonts w:ascii="Times New Roman" w:hAnsi="Times New Roman" w:cs="Times New Roman"/>
          <w:sz w:val="24"/>
          <w:szCs w:val="24"/>
        </w:rPr>
        <w:t xml:space="preserve"> respectively.  Within the public notices, the Commission noted that it approved</w:t>
      </w:r>
      <w:r>
        <w:rPr>
          <w:rFonts w:ascii="Times New Roman" w:hAnsi="Times New Roman" w:cs="Times New Roman"/>
          <w:sz w:val="24"/>
          <w:szCs w:val="24"/>
        </w:rPr>
        <w:t xml:space="preserve"> the NERC’s </w:t>
      </w:r>
      <w:r>
        <w:rPr>
          <w:rFonts w:ascii="Times New Roman" w:hAnsi="Times New Roman" w:cs="Times New Roman"/>
          <w:sz w:val="24"/>
          <w:szCs w:val="24"/>
        </w:rPr>
        <w:lastRenderedPageBreak/>
        <w:t>modifications to the definition of the BES and highlighted the associated burden reduction</w:t>
      </w:r>
      <w:r w:rsidRPr="000F2C3E">
        <w:rPr>
          <w:rFonts w:ascii="Times New Roman" w:hAnsi="Times New Roman" w:cs="Times New Roman"/>
          <w:sz w:val="24"/>
          <w:szCs w:val="24"/>
        </w:rPr>
        <w:t xml:space="preserve">.  </w:t>
      </w:r>
      <w:r>
        <w:rPr>
          <w:rFonts w:ascii="Times New Roman" w:hAnsi="Times New Roman" w:cs="Times New Roman"/>
          <w:sz w:val="24"/>
          <w:szCs w:val="24"/>
        </w:rPr>
        <w:t>The Commission invited comments regarding 1) the necessity of the collection for proper performance of the agency’s functions, 2) the accuracy of the agency’s burden estimate (along with the validity of the methodology), 3) any ways in which the Commission might enhance the quality/utility/clarity of the information collection, and 4) ways in which the Commission might minimize the burden of the information collection upon respondents</w:t>
      </w:r>
      <w:r w:rsidR="0038387E">
        <w:rPr>
          <w:rFonts w:ascii="Times New Roman" w:hAnsi="Times New Roman"/>
          <w:sz w:val="24"/>
          <w:szCs w:val="24"/>
        </w:rPr>
        <w:t>.</w:t>
      </w:r>
    </w:p>
    <w:p w14:paraId="4522982A" w14:textId="77777777" w:rsidR="00EB3E6F" w:rsidRPr="00B16372" w:rsidRDefault="00D80FBD"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EXPLAIN ANY PAYMENT OR GIFTS TO RESPONDENTS</w:t>
      </w:r>
    </w:p>
    <w:p w14:paraId="5B34572D" w14:textId="77777777" w:rsidR="00D80FBD" w:rsidRPr="00B16372" w:rsidRDefault="00D80FBD" w:rsidP="00314874">
      <w:pPr>
        <w:spacing w:after="0"/>
        <w:rPr>
          <w:rFonts w:ascii="Times New Roman" w:hAnsi="Times New Roman" w:cs="Times New Roman"/>
          <w:sz w:val="24"/>
          <w:szCs w:val="24"/>
        </w:rPr>
      </w:pPr>
    </w:p>
    <w:p w14:paraId="020143FA" w14:textId="77777777" w:rsidR="0072126E" w:rsidRPr="00B16372" w:rsidRDefault="0072126E" w:rsidP="00314874">
      <w:pPr>
        <w:spacing w:after="0"/>
        <w:rPr>
          <w:rFonts w:ascii="Times New Roman" w:hAnsi="Times New Roman"/>
          <w:sz w:val="24"/>
          <w:szCs w:val="24"/>
        </w:rPr>
      </w:pPr>
      <w:r w:rsidRPr="00B16372">
        <w:rPr>
          <w:rFonts w:ascii="Times New Roman" w:hAnsi="Times New Roman"/>
          <w:sz w:val="24"/>
          <w:szCs w:val="24"/>
        </w:rPr>
        <w:t>The Commission does not make payments or provide gifts for respondents related to this collection.</w:t>
      </w:r>
    </w:p>
    <w:p w14:paraId="05996D25" w14:textId="77777777" w:rsidR="00D80FBD" w:rsidRPr="00B16372" w:rsidRDefault="00D80FBD" w:rsidP="00314874">
      <w:pPr>
        <w:spacing w:after="0"/>
        <w:rPr>
          <w:rFonts w:ascii="Times New Roman" w:hAnsi="Times New Roman" w:cs="Times New Roman"/>
          <w:sz w:val="24"/>
          <w:szCs w:val="24"/>
        </w:rPr>
      </w:pPr>
    </w:p>
    <w:p w14:paraId="69FCD512" w14:textId="77777777" w:rsidR="00D80FBD" w:rsidRPr="00B16372" w:rsidRDefault="00D80FBD"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DESCRIBE ANY ASSURANCE OF CONFIDENTIALITY PROVIDED TO RESPONDENTS</w:t>
      </w:r>
    </w:p>
    <w:p w14:paraId="2386FFF5" w14:textId="77777777" w:rsidR="00DF19E8" w:rsidRDefault="00DF19E8" w:rsidP="00314874">
      <w:pPr>
        <w:spacing w:after="0"/>
        <w:rPr>
          <w:rFonts w:ascii="Times New Roman" w:hAnsi="Times New Roman" w:cs="Times New Roman"/>
          <w:sz w:val="24"/>
          <w:szCs w:val="24"/>
        </w:rPr>
      </w:pPr>
    </w:p>
    <w:p w14:paraId="5EBA3A68" w14:textId="6DAE2392" w:rsidR="004B5B5C" w:rsidRDefault="004B5B5C" w:rsidP="004B5B5C">
      <w:pPr>
        <w:spacing w:after="0"/>
        <w:rPr>
          <w:rFonts w:ascii="Times New Roman" w:hAnsi="Times New Roman" w:cs="Times New Roman"/>
          <w:sz w:val="24"/>
          <w:szCs w:val="24"/>
        </w:rPr>
      </w:pPr>
      <w:r w:rsidRPr="007E4A68">
        <w:rPr>
          <w:rFonts w:ascii="Times New Roman" w:hAnsi="Times New Roman" w:cs="Times New Roman"/>
          <w:sz w:val="24"/>
          <w:szCs w:val="24"/>
        </w:rPr>
        <w:t>No specific assurance of confidentiality has been mentioned to respondents.</w:t>
      </w:r>
    </w:p>
    <w:p w14:paraId="7E88157E" w14:textId="77777777" w:rsidR="00E7335D" w:rsidRPr="00B16372" w:rsidRDefault="00E7335D" w:rsidP="00314874">
      <w:pPr>
        <w:spacing w:after="0"/>
        <w:rPr>
          <w:rFonts w:ascii="Times New Roman" w:hAnsi="Times New Roman" w:cs="Times New Roman"/>
          <w:sz w:val="24"/>
          <w:szCs w:val="24"/>
        </w:rPr>
      </w:pPr>
    </w:p>
    <w:p w14:paraId="59425FEA" w14:textId="5FFFE8C9" w:rsidR="00D80FBD" w:rsidRPr="00B16372" w:rsidRDefault="00D80FBD"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PROVIDE ADDITIONAL JUSTIFICATION FOR ANY QUESTIONS OF A SENSITIVE NATURE</w:t>
      </w:r>
      <w:r w:rsidR="00C62F55" w:rsidRPr="00C62F55">
        <w:rPr>
          <w:rFonts w:ascii="Times New Roman" w:hAnsi="Times New Roman" w:cs="Times New Roman"/>
          <w:b/>
          <w:sz w:val="24"/>
          <w:szCs w:val="24"/>
        </w:rPr>
        <w:t>, SUCH AS SEXUAL BEHAVIOR AND ATTITUDES, RELIGIOUS BELIEFS, AND OTHER MATTERS THAT ARE COMMONLY CONSIDERED PRIVATE</w:t>
      </w:r>
    </w:p>
    <w:p w14:paraId="626668E6" w14:textId="77777777" w:rsidR="00D80FBD" w:rsidRPr="00B16372" w:rsidRDefault="00D80FBD" w:rsidP="00314874">
      <w:pPr>
        <w:spacing w:after="0"/>
        <w:rPr>
          <w:rFonts w:ascii="Times New Roman" w:hAnsi="Times New Roman" w:cs="Times New Roman"/>
          <w:sz w:val="24"/>
          <w:szCs w:val="24"/>
        </w:rPr>
      </w:pPr>
    </w:p>
    <w:p w14:paraId="7D0BFD1B" w14:textId="77777777" w:rsidR="004B5B5C" w:rsidRDefault="004B5B5C" w:rsidP="004B5B5C">
      <w:pPr>
        <w:spacing w:after="0"/>
        <w:rPr>
          <w:rFonts w:ascii="Times New Roman" w:hAnsi="Times New Roman" w:cs="Times New Roman"/>
          <w:sz w:val="24"/>
          <w:szCs w:val="24"/>
        </w:rPr>
      </w:pPr>
      <w:r w:rsidRPr="000A7303">
        <w:rPr>
          <w:rFonts w:ascii="Times New Roman" w:hAnsi="Times New Roman" w:cs="Times New Roman"/>
          <w:sz w:val="24"/>
          <w:szCs w:val="24"/>
        </w:rPr>
        <w:t>The Commission considers the questions within the approved reliability standard neither sensitive in nature nor private.</w:t>
      </w:r>
    </w:p>
    <w:p w14:paraId="7B19B477" w14:textId="77777777" w:rsidR="00D80FBD" w:rsidRPr="00B16372" w:rsidRDefault="00D80FBD" w:rsidP="00314874">
      <w:pPr>
        <w:spacing w:after="0"/>
        <w:rPr>
          <w:rFonts w:ascii="Times New Roman" w:hAnsi="Times New Roman" w:cs="Times New Roman"/>
          <w:sz w:val="24"/>
          <w:szCs w:val="24"/>
        </w:rPr>
      </w:pPr>
    </w:p>
    <w:p w14:paraId="242D3B75" w14:textId="77777777" w:rsidR="00D80FBD" w:rsidRPr="00B16372" w:rsidRDefault="00D80FBD"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ESTIMATED BURDEN OF COLLECTION OF INFORMATION</w:t>
      </w:r>
    </w:p>
    <w:p w14:paraId="764EC580" w14:textId="77777777" w:rsidR="00A4336A" w:rsidRPr="00B16372" w:rsidRDefault="00A4336A" w:rsidP="00314874">
      <w:pPr>
        <w:spacing w:after="0"/>
        <w:rPr>
          <w:rFonts w:ascii="Times New Roman" w:hAnsi="Times New Roman" w:cs="Times New Roman"/>
          <w:sz w:val="24"/>
          <w:szCs w:val="24"/>
        </w:rPr>
      </w:pPr>
    </w:p>
    <w:p w14:paraId="6043E2E0" w14:textId="4C978343" w:rsidR="00EC1414" w:rsidRDefault="004B5B5C" w:rsidP="00314874">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5E5EEF">
        <w:rPr>
          <w:rFonts w:ascii="Times New Roman" w:hAnsi="Times New Roman" w:cs="Times New Roman"/>
          <w:sz w:val="24"/>
          <w:szCs w:val="24"/>
        </w:rPr>
        <w:t xml:space="preserve">burden and cost of the </w:t>
      </w:r>
      <w:r>
        <w:rPr>
          <w:rFonts w:ascii="Times New Roman" w:hAnsi="Times New Roman" w:cs="Times New Roman"/>
          <w:sz w:val="24"/>
          <w:szCs w:val="24"/>
        </w:rPr>
        <w:t>FERC-725J information collection requirements</w:t>
      </w:r>
      <w:r w:rsidR="004B1DA7">
        <w:rPr>
          <w:rFonts w:ascii="Times New Roman" w:hAnsi="Times New Roman" w:cs="Times New Roman"/>
          <w:sz w:val="24"/>
          <w:szCs w:val="24"/>
        </w:rPr>
        <w:t xml:space="preserve"> are:</w:t>
      </w:r>
      <w:r>
        <w:rPr>
          <w:rFonts w:ascii="Times New Roman" w:hAnsi="Times New Roman" w:cs="Times New Roman"/>
          <w:sz w:val="24"/>
          <w:szCs w:val="24"/>
        </w:rPr>
        <w:t xml:space="preserve"> </w:t>
      </w:r>
    </w:p>
    <w:p w14:paraId="099F62BA" w14:textId="77777777" w:rsidR="003518E4" w:rsidRDefault="003518E4" w:rsidP="00314874">
      <w:pPr>
        <w:spacing w:after="0"/>
        <w:rPr>
          <w:rFonts w:ascii="Times New Roman" w:hAnsi="Times New Roman" w:cs="Times New Roman"/>
          <w:sz w:val="24"/>
          <w:szCs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0"/>
        <w:gridCol w:w="1495"/>
        <w:gridCol w:w="1495"/>
        <w:gridCol w:w="1409"/>
        <w:gridCol w:w="1310"/>
        <w:gridCol w:w="1316"/>
        <w:gridCol w:w="1234"/>
      </w:tblGrid>
      <w:tr w:rsidR="004B1DA7" w:rsidRPr="004B1DA7" w14:paraId="3814CCC3" w14:textId="77777777" w:rsidTr="00021E3B">
        <w:trPr>
          <w:cantSplit/>
        </w:trPr>
        <w:tc>
          <w:tcPr>
            <w:tcW w:w="5000" w:type="pct"/>
            <w:gridSpan w:val="7"/>
            <w:tcBorders>
              <w:bottom w:val="single" w:sz="4" w:space="0" w:color="auto"/>
            </w:tcBorders>
            <w:shd w:val="clear" w:color="auto" w:fill="D9D9D9"/>
          </w:tcPr>
          <w:p w14:paraId="1012B0C9" w14:textId="77777777" w:rsidR="004B1DA7" w:rsidRPr="004B1DA7" w:rsidRDefault="004B1DA7" w:rsidP="004B1DA7">
            <w:pPr>
              <w:spacing w:after="0" w:line="240" w:lineRule="auto"/>
              <w:jc w:val="center"/>
              <w:rPr>
                <w:rFonts w:ascii="Times New Roman" w:eastAsia="Calibri" w:hAnsi="Times New Roman" w:cs="Times New Roman"/>
                <w:b/>
                <w:sz w:val="20"/>
                <w:szCs w:val="20"/>
              </w:rPr>
            </w:pPr>
            <w:r w:rsidRPr="004B1DA7">
              <w:rPr>
                <w:rFonts w:ascii="Times New Roman" w:eastAsia="Calibri" w:hAnsi="Times New Roman" w:cs="Times New Roman"/>
                <w:b/>
                <w:sz w:val="20"/>
                <w:szCs w:val="20"/>
              </w:rPr>
              <w:t>FERC-725J (Definition of the Bulk Electric System)</w:t>
            </w:r>
          </w:p>
        </w:tc>
      </w:tr>
      <w:tr w:rsidR="004B1DA7" w:rsidRPr="004B1DA7" w14:paraId="075F55AE" w14:textId="77777777" w:rsidTr="00021E3B">
        <w:trPr>
          <w:cantSplit/>
        </w:trPr>
        <w:tc>
          <w:tcPr>
            <w:tcW w:w="878" w:type="pct"/>
            <w:shd w:val="clear" w:color="auto" w:fill="D9D9D9"/>
          </w:tcPr>
          <w:p w14:paraId="11002218" w14:textId="77777777" w:rsidR="004B1DA7" w:rsidRPr="004B1DA7" w:rsidRDefault="004B1DA7" w:rsidP="004B1DA7">
            <w:pPr>
              <w:spacing w:after="0" w:line="240" w:lineRule="auto"/>
              <w:jc w:val="center"/>
              <w:rPr>
                <w:rFonts w:ascii="Times New Roman" w:eastAsia="Calibri" w:hAnsi="Times New Roman" w:cs="Times New Roman"/>
                <w:b/>
                <w:sz w:val="20"/>
                <w:szCs w:val="20"/>
              </w:rPr>
            </w:pPr>
          </w:p>
        </w:tc>
        <w:tc>
          <w:tcPr>
            <w:tcW w:w="746" w:type="pct"/>
            <w:shd w:val="clear" w:color="auto" w:fill="D9D9D9"/>
            <w:vAlign w:val="bottom"/>
          </w:tcPr>
          <w:p w14:paraId="4D28B09C" w14:textId="77777777" w:rsidR="004B1DA7" w:rsidRPr="004B1DA7" w:rsidRDefault="004B1DA7" w:rsidP="004B1DA7">
            <w:pPr>
              <w:spacing w:after="0" w:line="240" w:lineRule="auto"/>
              <w:jc w:val="center"/>
              <w:rPr>
                <w:rFonts w:ascii="Times New Roman" w:eastAsia="Calibri" w:hAnsi="Times New Roman" w:cs="Times New Roman"/>
                <w:b/>
                <w:sz w:val="20"/>
                <w:szCs w:val="20"/>
              </w:rPr>
            </w:pPr>
            <w:r w:rsidRPr="004B1DA7">
              <w:rPr>
                <w:rFonts w:ascii="Times New Roman" w:eastAsia="Calibri" w:hAnsi="Times New Roman" w:cs="Times New Roman"/>
                <w:b/>
                <w:sz w:val="20"/>
                <w:szCs w:val="20"/>
              </w:rPr>
              <w:t>Number of Respondents</w:t>
            </w:r>
            <w:r w:rsidRPr="004B1DA7">
              <w:rPr>
                <w:rFonts w:ascii="Times New Roman" w:eastAsia="Calibri" w:hAnsi="Times New Roman" w:cs="Times New Roman"/>
                <w:b/>
                <w:sz w:val="20"/>
                <w:szCs w:val="20"/>
              </w:rPr>
              <w:br/>
              <w:t>(1)</w:t>
            </w:r>
          </w:p>
        </w:tc>
        <w:tc>
          <w:tcPr>
            <w:tcW w:w="746" w:type="pct"/>
            <w:shd w:val="clear" w:color="auto" w:fill="D9D9D9"/>
            <w:vAlign w:val="bottom"/>
          </w:tcPr>
          <w:p w14:paraId="2D0C2BDC" w14:textId="77777777" w:rsidR="004B1DA7" w:rsidRPr="004B1DA7" w:rsidRDefault="004B1DA7" w:rsidP="004B1DA7">
            <w:pPr>
              <w:spacing w:after="0" w:line="240" w:lineRule="auto"/>
              <w:jc w:val="center"/>
              <w:rPr>
                <w:rFonts w:ascii="Times New Roman" w:eastAsia="Calibri" w:hAnsi="Times New Roman" w:cs="Times New Roman"/>
                <w:b/>
                <w:sz w:val="20"/>
                <w:szCs w:val="20"/>
              </w:rPr>
            </w:pPr>
            <w:r w:rsidRPr="004B1DA7">
              <w:rPr>
                <w:rFonts w:ascii="Times New Roman" w:eastAsia="Calibri" w:hAnsi="Times New Roman" w:cs="Times New Roman"/>
                <w:b/>
                <w:sz w:val="20"/>
                <w:szCs w:val="20"/>
              </w:rPr>
              <w:t>Annual Number of Responses per Respondent</w:t>
            </w:r>
          </w:p>
          <w:p w14:paraId="46FB72EF" w14:textId="77777777" w:rsidR="004B1DA7" w:rsidRPr="004B1DA7" w:rsidRDefault="004B1DA7" w:rsidP="004B1DA7">
            <w:pPr>
              <w:spacing w:after="0" w:line="240" w:lineRule="auto"/>
              <w:jc w:val="center"/>
              <w:rPr>
                <w:rFonts w:ascii="Times New Roman" w:eastAsia="Calibri" w:hAnsi="Times New Roman" w:cs="Times New Roman"/>
                <w:b/>
                <w:sz w:val="20"/>
                <w:szCs w:val="20"/>
              </w:rPr>
            </w:pPr>
            <w:r w:rsidRPr="004B1DA7">
              <w:rPr>
                <w:rFonts w:ascii="Times New Roman" w:eastAsia="Calibri" w:hAnsi="Times New Roman" w:cs="Times New Roman"/>
                <w:b/>
                <w:sz w:val="20"/>
                <w:szCs w:val="20"/>
              </w:rPr>
              <w:t>(2)</w:t>
            </w:r>
          </w:p>
        </w:tc>
        <w:tc>
          <w:tcPr>
            <w:tcW w:w="703" w:type="pct"/>
            <w:shd w:val="clear" w:color="auto" w:fill="D9D9D9"/>
            <w:vAlign w:val="bottom"/>
          </w:tcPr>
          <w:p w14:paraId="377516C3" w14:textId="77777777" w:rsidR="004B1DA7" w:rsidRPr="004B1DA7" w:rsidRDefault="004B1DA7" w:rsidP="004B1DA7">
            <w:pPr>
              <w:spacing w:after="0" w:line="240" w:lineRule="auto"/>
              <w:jc w:val="center"/>
              <w:rPr>
                <w:rFonts w:ascii="Times New Roman" w:eastAsia="Calibri" w:hAnsi="Times New Roman" w:cs="Times New Roman"/>
                <w:b/>
                <w:sz w:val="20"/>
                <w:szCs w:val="20"/>
              </w:rPr>
            </w:pPr>
            <w:r w:rsidRPr="004B1DA7">
              <w:rPr>
                <w:rFonts w:ascii="Times New Roman" w:eastAsia="Calibri" w:hAnsi="Times New Roman" w:cs="Times New Roman"/>
                <w:b/>
                <w:sz w:val="20"/>
                <w:szCs w:val="20"/>
              </w:rPr>
              <w:t>Total Number of Responses (1)*(2)=(3)</w:t>
            </w:r>
          </w:p>
        </w:tc>
        <w:tc>
          <w:tcPr>
            <w:tcW w:w="654" w:type="pct"/>
            <w:shd w:val="clear" w:color="auto" w:fill="D9D9D9"/>
            <w:vAlign w:val="bottom"/>
          </w:tcPr>
          <w:p w14:paraId="21F70BD0" w14:textId="77777777" w:rsidR="004B1DA7" w:rsidRPr="004B1DA7" w:rsidRDefault="004B1DA7" w:rsidP="004B1DA7">
            <w:pPr>
              <w:spacing w:after="0" w:line="240" w:lineRule="auto"/>
              <w:jc w:val="center"/>
              <w:rPr>
                <w:rFonts w:ascii="Times New Roman" w:eastAsia="Calibri" w:hAnsi="Times New Roman" w:cs="Times New Roman"/>
                <w:b/>
                <w:sz w:val="20"/>
                <w:szCs w:val="20"/>
              </w:rPr>
            </w:pPr>
            <w:r w:rsidRPr="004B1DA7">
              <w:rPr>
                <w:rFonts w:ascii="Times New Roman" w:eastAsia="Calibri" w:hAnsi="Times New Roman" w:cs="Times New Roman"/>
                <w:b/>
                <w:sz w:val="20"/>
                <w:szCs w:val="20"/>
              </w:rPr>
              <w:t>Average Burden &amp; Cost Per Response</w:t>
            </w:r>
          </w:p>
          <w:p w14:paraId="1D8CDD4B" w14:textId="77777777" w:rsidR="004B1DA7" w:rsidRPr="004B1DA7" w:rsidRDefault="004B1DA7" w:rsidP="004B1DA7">
            <w:pPr>
              <w:spacing w:after="0" w:line="240" w:lineRule="auto"/>
              <w:jc w:val="center"/>
              <w:rPr>
                <w:rFonts w:ascii="Times New Roman" w:eastAsia="Calibri" w:hAnsi="Times New Roman" w:cs="Times New Roman"/>
                <w:b/>
                <w:sz w:val="20"/>
                <w:szCs w:val="20"/>
              </w:rPr>
            </w:pPr>
            <w:r w:rsidRPr="004B1DA7">
              <w:rPr>
                <w:rFonts w:ascii="Times New Roman" w:eastAsia="Calibri" w:hAnsi="Times New Roman" w:cs="Times New Roman"/>
                <w:b/>
                <w:sz w:val="20"/>
                <w:szCs w:val="20"/>
              </w:rPr>
              <w:t>(4)</w:t>
            </w:r>
          </w:p>
        </w:tc>
        <w:tc>
          <w:tcPr>
            <w:tcW w:w="657" w:type="pct"/>
            <w:shd w:val="clear" w:color="auto" w:fill="D9D9D9"/>
            <w:vAlign w:val="bottom"/>
          </w:tcPr>
          <w:p w14:paraId="40123899" w14:textId="77777777" w:rsidR="004B1DA7" w:rsidRPr="004B1DA7" w:rsidRDefault="004B1DA7" w:rsidP="004B1DA7">
            <w:pPr>
              <w:spacing w:after="0" w:line="240" w:lineRule="auto"/>
              <w:jc w:val="center"/>
              <w:rPr>
                <w:rFonts w:ascii="Times New Roman" w:eastAsia="Calibri" w:hAnsi="Times New Roman" w:cs="Times New Roman"/>
                <w:b/>
                <w:sz w:val="20"/>
                <w:szCs w:val="20"/>
              </w:rPr>
            </w:pPr>
            <w:r w:rsidRPr="004B1DA7">
              <w:rPr>
                <w:rFonts w:ascii="Times New Roman" w:eastAsia="Calibri" w:hAnsi="Times New Roman" w:cs="Times New Roman"/>
                <w:b/>
                <w:sz w:val="20"/>
                <w:szCs w:val="20"/>
              </w:rPr>
              <w:t>Total Annual Burden Hours &amp; Total Annual Cost</w:t>
            </w:r>
          </w:p>
          <w:p w14:paraId="161221D2" w14:textId="77777777" w:rsidR="004B1DA7" w:rsidRPr="004B1DA7" w:rsidRDefault="004B1DA7" w:rsidP="004B1DA7">
            <w:pPr>
              <w:spacing w:after="0" w:line="240" w:lineRule="auto"/>
              <w:jc w:val="center"/>
              <w:rPr>
                <w:rFonts w:ascii="Times New Roman" w:eastAsia="Calibri" w:hAnsi="Times New Roman" w:cs="Times New Roman"/>
                <w:b/>
                <w:sz w:val="20"/>
                <w:szCs w:val="20"/>
              </w:rPr>
            </w:pPr>
            <w:r w:rsidRPr="004B1DA7">
              <w:rPr>
                <w:rFonts w:ascii="Times New Roman" w:eastAsia="Calibri" w:hAnsi="Times New Roman" w:cs="Times New Roman"/>
                <w:b/>
                <w:sz w:val="20"/>
                <w:szCs w:val="20"/>
              </w:rPr>
              <w:t>(3)*(4)=(5)</w:t>
            </w:r>
          </w:p>
        </w:tc>
        <w:tc>
          <w:tcPr>
            <w:tcW w:w="616" w:type="pct"/>
            <w:shd w:val="clear" w:color="auto" w:fill="D9D9D9"/>
            <w:vAlign w:val="bottom"/>
          </w:tcPr>
          <w:p w14:paraId="50A83FC4" w14:textId="77777777" w:rsidR="004B1DA7" w:rsidRPr="004B1DA7" w:rsidRDefault="004B1DA7" w:rsidP="004B1DA7">
            <w:pPr>
              <w:spacing w:after="0" w:line="240" w:lineRule="auto"/>
              <w:jc w:val="center"/>
              <w:rPr>
                <w:rFonts w:ascii="Times New Roman" w:eastAsia="Calibri" w:hAnsi="Times New Roman" w:cs="Times New Roman"/>
                <w:b/>
                <w:sz w:val="20"/>
                <w:szCs w:val="20"/>
              </w:rPr>
            </w:pPr>
            <w:r w:rsidRPr="004B1DA7">
              <w:rPr>
                <w:rFonts w:ascii="Times New Roman" w:eastAsia="Calibri" w:hAnsi="Times New Roman" w:cs="Times New Roman"/>
                <w:b/>
                <w:sz w:val="20"/>
                <w:szCs w:val="20"/>
              </w:rPr>
              <w:t>Cost per Respondent</w:t>
            </w:r>
          </w:p>
          <w:p w14:paraId="61A3312C" w14:textId="77777777" w:rsidR="004B1DA7" w:rsidRPr="004B1DA7" w:rsidRDefault="004B1DA7" w:rsidP="004B1DA7">
            <w:pPr>
              <w:spacing w:after="0" w:line="240" w:lineRule="auto"/>
              <w:jc w:val="center"/>
              <w:rPr>
                <w:rFonts w:ascii="Times New Roman" w:eastAsia="Calibri" w:hAnsi="Times New Roman" w:cs="Times New Roman"/>
                <w:b/>
                <w:sz w:val="20"/>
                <w:szCs w:val="20"/>
              </w:rPr>
            </w:pPr>
            <w:r w:rsidRPr="004B1DA7">
              <w:rPr>
                <w:rFonts w:ascii="Times New Roman" w:eastAsia="Calibri" w:hAnsi="Times New Roman" w:cs="Times New Roman"/>
                <w:b/>
                <w:sz w:val="20"/>
                <w:szCs w:val="20"/>
              </w:rPr>
              <w:t xml:space="preserve"> ($)</w:t>
            </w:r>
          </w:p>
          <w:p w14:paraId="4CA23F33" w14:textId="77777777" w:rsidR="004B1DA7" w:rsidRPr="004B1DA7" w:rsidRDefault="004B1DA7" w:rsidP="004B1DA7">
            <w:pPr>
              <w:spacing w:after="0" w:line="240" w:lineRule="auto"/>
              <w:jc w:val="center"/>
              <w:rPr>
                <w:rFonts w:ascii="Times New Roman" w:eastAsia="Calibri" w:hAnsi="Times New Roman" w:cs="Times New Roman"/>
                <w:b/>
                <w:sz w:val="20"/>
                <w:szCs w:val="20"/>
              </w:rPr>
            </w:pPr>
            <w:r w:rsidRPr="004B1DA7">
              <w:rPr>
                <w:rFonts w:ascii="Times New Roman" w:eastAsia="Calibri" w:hAnsi="Times New Roman" w:cs="Times New Roman"/>
                <w:b/>
                <w:sz w:val="20"/>
                <w:szCs w:val="20"/>
              </w:rPr>
              <w:t>(5)÷(1)</w:t>
            </w:r>
          </w:p>
        </w:tc>
      </w:tr>
      <w:tr w:rsidR="004B1DA7" w:rsidRPr="004B1DA7" w14:paraId="75720C8D" w14:textId="77777777" w:rsidTr="00021E3B">
        <w:trPr>
          <w:cantSplit/>
        </w:trPr>
        <w:tc>
          <w:tcPr>
            <w:tcW w:w="878" w:type="pct"/>
          </w:tcPr>
          <w:p w14:paraId="6F66B8FE" w14:textId="77777777" w:rsidR="004B1DA7" w:rsidRPr="004B1DA7" w:rsidRDefault="004B1DA7" w:rsidP="004B1DA7">
            <w:pPr>
              <w:spacing w:after="0" w:line="240" w:lineRule="auto"/>
              <w:rPr>
                <w:rFonts w:ascii="Times New Roman" w:eastAsia="Calibri" w:hAnsi="Times New Roman" w:cs="Times New Roman"/>
                <w:sz w:val="20"/>
                <w:szCs w:val="20"/>
              </w:rPr>
            </w:pPr>
            <w:r w:rsidRPr="004B1DA7">
              <w:rPr>
                <w:rFonts w:ascii="Times New Roman" w:eastAsia="Calibri" w:hAnsi="Times New Roman" w:cs="Times New Roman"/>
                <w:sz w:val="20"/>
                <w:szCs w:val="20"/>
              </w:rPr>
              <w:t>Generator Owners, Distribution Providers, and Transmission Owners (Exception Request)</w:t>
            </w:r>
          </w:p>
        </w:tc>
        <w:tc>
          <w:tcPr>
            <w:tcW w:w="746" w:type="pct"/>
          </w:tcPr>
          <w:p w14:paraId="52D3DEBC" w14:textId="77777777" w:rsidR="004B1DA7" w:rsidRPr="004B1DA7" w:rsidRDefault="004B1DA7" w:rsidP="004B1DA7">
            <w:pPr>
              <w:spacing w:after="0" w:line="240" w:lineRule="auto"/>
              <w:jc w:val="right"/>
              <w:rPr>
                <w:rFonts w:ascii="Times New Roman" w:eastAsia="Calibri" w:hAnsi="Times New Roman" w:cs="Times New Roman"/>
                <w:sz w:val="20"/>
                <w:szCs w:val="20"/>
              </w:rPr>
            </w:pPr>
            <w:r w:rsidRPr="004B1DA7">
              <w:rPr>
                <w:rFonts w:ascii="Times New Roman" w:eastAsia="Calibri" w:hAnsi="Times New Roman" w:cs="Times New Roman"/>
                <w:sz w:val="20"/>
                <w:szCs w:val="20"/>
              </w:rPr>
              <w:t>20</w:t>
            </w:r>
          </w:p>
          <w:p w14:paraId="2514B2E2" w14:textId="77777777" w:rsidR="004B1DA7" w:rsidRPr="004B1DA7" w:rsidRDefault="004B1DA7" w:rsidP="004B1DA7">
            <w:pPr>
              <w:spacing w:after="0" w:line="240" w:lineRule="auto"/>
              <w:jc w:val="right"/>
              <w:rPr>
                <w:rFonts w:ascii="Times New Roman" w:eastAsia="Calibri" w:hAnsi="Times New Roman" w:cs="Times New Roman"/>
                <w:sz w:val="20"/>
                <w:szCs w:val="20"/>
              </w:rPr>
            </w:pPr>
          </w:p>
        </w:tc>
        <w:tc>
          <w:tcPr>
            <w:tcW w:w="746" w:type="pct"/>
          </w:tcPr>
          <w:p w14:paraId="261F40C0" w14:textId="77777777" w:rsidR="004B1DA7" w:rsidRPr="004B1DA7" w:rsidRDefault="004B1DA7" w:rsidP="004B1DA7">
            <w:pPr>
              <w:spacing w:after="0" w:line="240" w:lineRule="auto"/>
              <w:jc w:val="right"/>
              <w:rPr>
                <w:rFonts w:ascii="Times New Roman" w:eastAsia="Calibri" w:hAnsi="Times New Roman" w:cs="Times New Roman"/>
                <w:sz w:val="20"/>
                <w:szCs w:val="20"/>
              </w:rPr>
            </w:pPr>
            <w:r w:rsidRPr="004B1DA7">
              <w:rPr>
                <w:rFonts w:ascii="Times New Roman" w:eastAsia="Calibri" w:hAnsi="Times New Roman" w:cs="Times New Roman"/>
                <w:sz w:val="20"/>
                <w:szCs w:val="20"/>
              </w:rPr>
              <w:t>1</w:t>
            </w:r>
          </w:p>
        </w:tc>
        <w:tc>
          <w:tcPr>
            <w:tcW w:w="703" w:type="pct"/>
          </w:tcPr>
          <w:p w14:paraId="1803C584" w14:textId="77777777" w:rsidR="004B1DA7" w:rsidRPr="004B1DA7" w:rsidRDefault="004B1DA7" w:rsidP="004B1DA7">
            <w:pPr>
              <w:spacing w:after="0" w:line="240" w:lineRule="auto"/>
              <w:jc w:val="right"/>
              <w:rPr>
                <w:rFonts w:ascii="Times New Roman" w:eastAsia="Calibri" w:hAnsi="Times New Roman" w:cs="Times New Roman"/>
                <w:sz w:val="20"/>
                <w:szCs w:val="20"/>
              </w:rPr>
            </w:pPr>
            <w:r w:rsidRPr="004B1DA7">
              <w:rPr>
                <w:rFonts w:ascii="Times New Roman" w:eastAsia="Calibri" w:hAnsi="Times New Roman" w:cs="Times New Roman"/>
                <w:sz w:val="20"/>
                <w:szCs w:val="20"/>
              </w:rPr>
              <w:t>20</w:t>
            </w:r>
          </w:p>
        </w:tc>
        <w:tc>
          <w:tcPr>
            <w:tcW w:w="654" w:type="pct"/>
          </w:tcPr>
          <w:p w14:paraId="63BD2288" w14:textId="77777777" w:rsidR="004B1DA7" w:rsidRPr="004B1DA7" w:rsidRDefault="004B1DA7" w:rsidP="004B1DA7">
            <w:pPr>
              <w:spacing w:after="0" w:line="240" w:lineRule="auto"/>
              <w:jc w:val="right"/>
              <w:rPr>
                <w:rFonts w:ascii="Times New Roman" w:eastAsia="Calibri" w:hAnsi="Times New Roman" w:cs="Times New Roman"/>
                <w:sz w:val="20"/>
                <w:szCs w:val="20"/>
              </w:rPr>
            </w:pPr>
            <w:r w:rsidRPr="004B1DA7">
              <w:rPr>
                <w:rFonts w:ascii="Times New Roman" w:eastAsia="Calibri" w:hAnsi="Times New Roman" w:cs="Times New Roman"/>
                <w:sz w:val="20"/>
                <w:szCs w:val="20"/>
              </w:rPr>
              <w:t>94 hrs</w:t>
            </w:r>
            <w:proofErr w:type="gramStart"/>
            <w:r w:rsidRPr="004B1DA7">
              <w:rPr>
                <w:rFonts w:ascii="Times New Roman" w:eastAsia="Calibri" w:hAnsi="Times New Roman" w:cs="Times New Roman"/>
                <w:sz w:val="20"/>
                <w:szCs w:val="20"/>
              </w:rPr>
              <w:t>.;</w:t>
            </w:r>
            <w:proofErr w:type="gramEnd"/>
          </w:p>
          <w:p w14:paraId="69E2A37B" w14:textId="77777777" w:rsidR="004B1DA7" w:rsidRPr="004B1DA7" w:rsidRDefault="004B1DA7" w:rsidP="004B1DA7">
            <w:pPr>
              <w:spacing w:after="0" w:line="240" w:lineRule="auto"/>
              <w:jc w:val="right"/>
              <w:rPr>
                <w:rFonts w:ascii="Times New Roman" w:eastAsia="Calibri" w:hAnsi="Times New Roman" w:cs="Times New Roman"/>
                <w:sz w:val="20"/>
                <w:szCs w:val="20"/>
              </w:rPr>
            </w:pPr>
            <w:r w:rsidRPr="004B1DA7">
              <w:rPr>
                <w:rFonts w:ascii="Times New Roman" w:eastAsia="Calibri" w:hAnsi="Times New Roman" w:cs="Times New Roman"/>
                <w:sz w:val="20"/>
                <w:szCs w:val="20"/>
              </w:rPr>
              <w:t>$4,978</w:t>
            </w:r>
            <w:bookmarkStart w:id="1" w:name="_Ref450205315"/>
            <w:r w:rsidRPr="004B1DA7">
              <w:rPr>
                <w:rFonts w:ascii="Times New Roman" w:eastAsia="Calibri" w:hAnsi="Times New Roman" w:cs="Times New Roman"/>
                <w:sz w:val="20"/>
                <w:szCs w:val="20"/>
                <w:vertAlign w:val="superscript"/>
              </w:rPr>
              <w:footnoteReference w:id="4"/>
            </w:r>
            <w:bookmarkEnd w:id="1"/>
          </w:p>
        </w:tc>
        <w:tc>
          <w:tcPr>
            <w:tcW w:w="657" w:type="pct"/>
          </w:tcPr>
          <w:p w14:paraId="36A68AFD" w14:textId="77777777" w:rsidR="004B1DA7" w:rsidRPr="004B1DA7" w:rsidRDefault="004B1DA7" w:rsidP="004B1DA7">
            <w:pPr>
              <w:spacing w:after="0" w:line="240" w:lineRule="auto"/>
              <w:jc w:val="right"/>
              <w:rPr>
                <w:rFonts w:ascii="Times New Roman" w:eastAsia="Calibri" w:hAnsi="Times New Roman" w:cs="Times New Roman"/>
                <w:sz w:val="20"/>
                <w:szCs w:val="20"/>
              </w:rPr>
            </w:pPr>
            <w:r w:rsidRPr="004B1DA7">
              <w:rPr>
                <w:rFonts w:ascii="Times New Roman" w:eastAsia="Calibri" w:hAnsi="Times New Roman" w:cs="Times New Roman"/>
                <w:sz w:val="20"/>
                <w:szCs w:val="20"/>
              </w:rPr>
              <w:t xml:space="preserve"> 1,880 hrs</w:t>
            </w:r>
            <w:proofErr w:type="gramStart"/>
            <w:r w:rsidRPr="004B1DA7">
              <w:rPr>
                <w:rFonts w:ascii="Times New Roman" w:eastAsia="Calibri" w:hAnsi="Times New Roman" w:cs="Times New Roman"/>
                <w:sz w:val="20"/>
                <w:szCs w:val="20"/>
              </w:rPr>
              <w:t>.;</w:t>
            </w:r>
            <w:proofErr w:type="gramEnd"/>
            <w:r w:rsidRPr="004B1DA7">
              <w:rPr>
                <w:rFonts w:ascii="Times New Roman" w:eastAsia="Calibri" w:hAnsi="Times New Roman" w:cs="Times New Roman"/>
                <w:sz w:val="20"/>
                <w:szCs w:val="20"/>
              </w:rPr>
              <w:t xml:space="preserve"> </w:t>
            </w:r>
          </w:p>
          <w:p w14:paraId="2E2ED591" w14:textId="77777777" w:rsidR="004B1DA7" w:rsidRPr="004B1DA7" w:rsidRDefault="004B1DA7" w:rsidP="004B1DA7">
            <w:pPr>
              <w:spacing w:after="0" w:line="240" w:lineRule="auto"/>
              <w:jc w:val="right"/>
              <w:rPr>
                <w:rFonts w:ascii="Times New Roman" w:eastAsia="Calibri" w:hAnsi="Times New Roman" w:cs="Times New Roman"/>
                <w:sz w:val="20"/>
                <w:szCs w:val="20"/>
              </w:rPr>
            </w:pPr>
            <w:r w:rsidRPr="004B1DA7">
              <w:rPr>
                <w:rFonts w:ascii="Times New Roman" w:eastAsia="Calibri" w:hAnsi="Times New Roman" w:cs="Times New Roman"/>
                <w:sz w:val="20"/>
                <w:szCs w:val="20"/>
              </w:rPr>
              <w:t xml:space="preserve">$99,560 </w:t>
            </w:r>
          </w:p>
        </w:tc>
        <w:tc>
          <w:tcPr>
            <w:tcW w:w="616" w:type="pct"/>
          </w:tcPr>
          <w:p w14:paraId="55C3E45B" w14:textId="77777777" w:rsidR="004B1DA7" w:rsidRPr="004B1DA7" w:rsidRDefault="004B1DA7" w:rsidP="004B1DA7">
            <w:pPr>
              <w:spacing w:after="0" w:line="240" w:lineRule="auto"/>
              <w:jc w:val="right"/>
              <w:rPr>
                <w:rFonts w:ascii="Times New Roman" w:eastAsia="Calibri" w:hAnsi="Times New Roman" w:cs="Times New Roman"/>
                <w:sz w:val="20"/>
                <w:szCs w:val="20"/>
              </w:rPr>
            </w:pPr>
            <w:r w:rsidRPr="004B1DA7">
              <w:rPr>
                <w:rFonts w:ascii="Times New Roman" w:eastAsia="Calibri" w:hAnsi="Times New Roman" w:cs="Times New Roman"/>
                <w:sz w:val="20"/>
                <w:szCs w:val="20"/>
              </w:rPr>
              <w:t xml:space="preserve">$4,978 </w:t>
            </w:r>
          </w:p>
          <w:p w14:paraId="571C583D" w14:textId="77777777" w:rsidR="004B1DA7" w:rsidRPr="004B1DA7" w:rsidRDefault="004B1DA7" w:rsidP="004B1DA7">
            <w:pPr>
              <w:spacing w:after="0" w:line="240" w:lineRule="auto"/>
              <w:jc w:val="right"/>
              <w:rPr>
                <w:rFonts w:ascii="Times New Roman" w:eastAsia="Calibri" w:hAnsi="Times New Roman" w:cs="Times New Roman"/>
                <w:sz w:val="20"/>
                <w:szCs w:val="20"/>
              </w:rPr>
            </w:pPr>
          </w:p>
        </w:tc>
      </w:tr>
      <w:tr w:rsidR="004B1DA7" w:rsidRPr="004B1DA7" w14:paraId="749FBD7B" w14:textId="77777777" w:rsidTr="00021E3B">
        <w:trPr>
          <w:cantSplit/>
        </w:trPr>
        <w:tc>
          <w:tcPr>
            <w:tcW w:w="878" w:type="pct"/>
          </w:tcPr>
          <w:p w14:paraId="335868BF" w14:textId="77777777" w:rsidR="004B1DA7" w:rsidRPr="004B1DA7" w:rsidRDefault="004B1DA7" w:rsidP="004B1DA7">
            <w:pPr>
              <w:spacing w:after="0" w:line="240" w:lineRule="auto"/>
              <w:rPr>
                <w:rFonts w:ascii="Times New Roman" w:eastAsia="Calibri" w:hAnsi="Times New Roman" w:cs="Times New Roman"/>
                <w:sz w:val="20"/>
                <w:szCs w:val="20"/>
              </w:rPr>
            </w:pPr>
            <w:r w:rsidRPr="004B1DA7">
              <w:rPr>
                <w:rFonts w:ascii="Times New Roman" w:eastAsia="Calibri" w:hAnsi="Times New Roman" w:cs="Times New Roman"/>
                <w:sz w:val="20"/>
                <w:szCs w:val="20"/>
              </w:rPr>
              <w:t>All Registered Entities (Implementation Plans and Compliance)</w:t>
            </w:r>
          </w:p>
        </w:tc>
        <w:tc>
          <w:tcPr>
            <w:tcW w:w="746" w:type="pct"/>
          </w:tcPr>
          <w:p w14:paraId="61B73409" w14:textId="77777777" w:rsidR="004B1DA7" w:rsidRPr="004B1DA7" w:rsidRDefault="004B1DA7" w:rsidP="004B1DA7">
            <w:pPr>
              <w:spacing w:after="0" w:line="240" w:lineRule="auto"/>
              <w:jc w:val="right"/>
              <w:rPr>
                <w:rFonts w:ascii="Times New Roman" w:eastAsia="Calibri" w:hAnsi="Times New Roman" w:cs="Times New Roman"/>
                <w:sz w:val="20"/>
                <w:szCs w:val="20"/>
              </w:rPr>
            </w:pPr>
            <w:r w:rsidRPr="004B1DA7">
              <w:rPr>
                <w:rFonts w:ascii="Times New Roman" w:eastAsia="Calibri" w:hAnsi="Times New Roman" w:cs="Times New Roman"/>
                <w:sz w:val="20"/>
                <w:szCs w:val="20"/>
              </w:rPr>
              <w:t>186</w:t>
            </w:r>
          </w:p>
        </w:tc>
        <w:tc>
          <w:tcPr>
            <w:tcW w:w="746" w:type="pct"/>
          </w:tcPr>
          <w:p w14:paraId="4C543681" w14:textId="77777777" w:rsidR="004B1DA7" w:rsidRPr="004B1DA7" w:rsidRDefault="004B1DA7" w:rsidP="004B1DA7">
            <w:pPr>
              <w:spacing w:after="0" w:line="240" w:lineRule="auto"/>
              <w:jc w:val="right"/>
              <w:rPr>
                <w:rFonts w:ascii="Times New Roman" w:eastAsia="Calibri" w:hAnsi="Times New Roman" w:cs="Times New Roman"/>
                <w:sz w:val="20"/>
                <w:szCs w:val="20"/>
              </w:rPr>
            </w:pPr>
            <w:r w:rsidRPr="004B1DA7">
              <w:rPr>
                <w:rFonts w:ascii="Times New Roman" w:eastAsia="Calibri" w:hAnsi="Times New Roman" w:cs="Times New Roman"/>
                <w:sz w:val="20"/>
                <w:szCs w:val="20"/>
              </w:rPr>
              <w:t>1</w:t>
            </w:r>
          </w:p>
        </w:tc>
        <w:tc>
          <w:tcPr>
            <w:tcW w:w="703" w:type="pct"/>
          </w:tcPr>
          <w:p w14:paraId="55BBC8A8" w14:textId="77777777" w:rsidR="004B1DA7" w:rsidRPr="004B1DA7" w:rsidRDefault="004B1DA7" w:rsidP="004B1DA7">
            <w:pPr>
              <w:spacing w:after="0" w:line="240" w:lineRule="auto"/>
              <w:jc w:val="right"/>
              <w:rPr>
                <w:rFonts w:ascii="Times New Roman" w:eastAsia="Calibri" w:hAnsi="Times New Roman" w:cs="Times New Roman"/>
                <w:sz w:val="20"/>
                <w:szCs w:val="20"/>
              </w:rPr>
            </w:pPr>
            <w:r w:rsidRPr="004B1DA7">
              <w:rPr>
                <w:rFonts w:ascii="Times New Roman" w:eastAsia="Calibri" w:hAnsi="Times New Roman" w:cs="Times New Roman"/>
                <w:sz w:val="20"/>
                <w:szCs w:val="20"/>
              </w:rPr>
              <w:t>186</w:t>
            </w:r>
          </w:p>
        </w:tc>
        <w:tc>
          <w:tcPr>
            <w:tcW w:w="654" w:type="pct"/>
          </w:tcPr>
          <w:p w14:paraId="200DAE0C" w14:textId="77777777" w:rsidR="004B1DA7" w:rsidRPr="004B1DA7" w:rsidRDefault="004B1DA7" w:rsidP="004B1DA7">
            <w:pPr>
              <w:spacing w:after="0" w:line="240" w:lineRule="auto"/>
              <w:jc w:val="right"/>
              <w:rPr>
                <w:rFonts w:ascii="Times New Roman" w:eastAsia="Calibri" w:hAnsi="Times New Roman" w:cs="Times New Roman"/>
                <w:sz w:val="20"/>
                <w:szCs w:val="20"/>
              </w:rPr>
            </w:pPr>
            <w:r w:rsidRPr="004B1DA7">
              <w:rPr>
                <w:rFonts w:ascii="Times New Roman" w:eastAsia="Calibri" w:hAnsi="Times New Roman" w:cs="Times New Roman"/>
                <w:sz w:val="20"/>
                <w:szCs w:val="20"/>
              </w:rPr>
              <w:t>350 hrs</w:t>
            </w:r>
            <w:proofErr w:type="gramStart"/>
            <w:r w:rsidRPr="004B1DA7">
              <w:rPr>
                <w:rFonts w:ascii="Times New Roman" w:eastAsia="Calibri" w:hAnsi="Times New Roman" w:cs="Times New Roman"/>
                <w:sz w:val="20"/>
                <w:szCs w:val="20"/>
              </w:rPr>
              <w:t>.;</w:t>
            </w:r>
            <w:proofErr w:type="gramEnd"/>
          </w:p>
          <w:p w14:paraId="47DAD41B" w14:textId="77777777" w:rsidR="004B1DA7" w:rsidRPr="004B1DA7" w:rsidRDefault="004B1DA7" w:rsidP="004B1DA7">
            <w:pPr>
              <w:spacing w:after="0" w:line="240" w:lineRule="auto"/>
              <w:jc w:val="right"/>
              <w:rPr>
                <w:rFonts w:ascii="Times New Roman" w:eastAsia="Calibri" w:hAnsi="Times New Roman" w:cs="Times New Roman"/>
                <w:sz w:val="20"/>
                <w:szCs w:val="20"/>
              </w:rPr>
            </w:pPr>
            <w:r w:rsidRPr="004B1DA7">
              <w:rPr>
                <w:rFonts w:ascii="Times New Roman" w:eastAsia="Calibri" w:hAnsi="Times New Roman" w:cs="Times New Roman"/>
                <w:sz w:val="20"/>
                <w:szCs w:val="20"/>
              </w:rPr>
              <w:t>$21,833</w:t>
            </w:r>
            <w:r w:rsidRPr="004B1DA7">
              <w:rPr>
                <w:rFonts w:ascii="Times New Roman" w:eastAsia="Calibri" w:hAnsi="Times New Roman" w:cs="Times New Roman"/>
                <w:sz w:val="20"/>
                <w:szCs w:val="20"/>
                <w:vertAlign w:val="superscript"/>
              </w:rPr>
              <w:footnoteReference w:id="5"/>
            </w:r>
          </w:p>
        </w:tc>
        <w:tc>
          <w:tcPr>
            <w:tcW w:w="657" w:type="pct"/>
          </w:tcPr>
          <w:p w14:paraId="3107F02B" w14:textId="77777777" w:rsidR="004B1DA7" w:rsidRPr="004B1DA7" w:rsidRDefault="004B1DA7" w:rsidP="004B1DA7">
            <w:pPr>
              <w:spacing w:after="0" w:line="240" w:lineRule="auto"/>
              <w:jc w:val="right"/>
              <w:rPr>
                <w:rFonts w:ascii="Times New Roman" w:eastAsia="Calibri" w:hAnsi="Times New Roman" w:cs="Times New Roman"/>
                <w:sz w:val="20"/>
                <w:szCs w:val="20"/>
              </w:rPr>
            </w:pPr>
            <w:r w:rsidRPr="004B1DA7">
              <w:rPr>
                <w:rFonts w:ascii="Times New Roman" w:eastAsia="Calibri" w:hAnsi="Times New Roman" w:cs="Times New Roman"/>
                <w:sz w:val="20"/>
                <w:szCs w:val="20"/>
              </w:rPr>
              <w:t>65,100 hrs</w:t>
            </w:r>
            <w:proofErr w:type="gramStart"/>
            <w:r w:rsidRPr="004B1DA7">
              <w:rPr>
                <w:rFonts w:ascii="Times New Roman" w:eastAsia="Calibri" w:hAnsi="Times New Roman" w:cs="Times New Roman"/>
                <w:sz w:val="20"/>
                <w:szCs w:val="20"/>
              </w:rPr>
              <w:t>.;</w:t>
            </w:r>
            <w:proofErr w:type="gramEnd"/>
          </w:p>
          <w:p w14:paraId="18956BBA" w14:textId="77777777" w:rsidR="004B1DA7" w:rsidRPr="004B1DA7" w:rsidRDefault="004B1DA7" w:rsidP="004B1DA7">
            <w:pPr>
              <w:spacing w:after="0" w:line="240" w:lineRule="auto"/>
              <w:jc w:val="right"/>
              <w:rPr>
                <w:rFonts w:ascii="Times New Roman" w:eastAsia="Calibri" w:hAnsi="Times New Roman" w:cs="Times New Roman"/>
                <w:sz w:val="20"/>
                <w:szCs w:val="20"/>
              </w:rPr>
            </w:pPr>
            <w:r w:rsidRPr="004B1DA7">
              <w:rPr>
                <w:rFonts w:ascii="Times New Roman" w:eastAsia="Calibri" w:hAnsi="Times New Roman" w:cs="Times New Roman"/>
                <w:sz w:val="20"/>
                <w:szCs w:val="20"/>
              </w:rPr>
              <w:t>$4,060,938</w:t>
            </w:r>
          </w:p>
        </w:tc>
        <w:tc>
          <w:tcPr>
            <w:tcW w:w="616" w:type="pct"/>
          </w:tcPr>
          <w:p w14:paraId="37528AB3" w14:textId="77777777" w:rsidR="004B1DA7" w:rsidRPr="004B1DA7" w:rsidRDefault="004B1DA7" w:rsidP="004B1DA7">
            <w:pPr>
              <w:spacing w:after="0" w:line="240" w:lineRule="auto"/>
              <w:jc w:val="right"/>
              <w:rPr>
                <w:rFonts w:ascii="Times New Roman" w:eastAsia="Calibri" w:hAnsi="Times New Roman" w:cs="Times New Roman"/>
                <w:sz w:val="20"/>
                <w:szCs w:val="20"/>
              </w:rPr>
            </w:pPr>
            <w:r w:rsidRPr="004B1DA7">
              <w:rPr>
                <w:rFonts w:ascii="Times New Roman" w:eastAsia="Calibri" w:hAnsi="Times New Roman" w:cs="Times New Roman"/>
                <w:sz w:val="20"/>
                <w:szCs w:val="20"/>
              </w:rPr>
              <w:t>$21,833</w:t>
            </w:r>
          </w:p>
        </w:tc>
      </w:tr>
      <w:tr w:rsidR="004B1DA7" w:rsidRPr="004B1DA7" w14:paraId="138D0011" w14:textId="77777777" w:rsidTr="00021E3B">
        <w:trPr>
          <w:cantSplit/>
        </w:trPr>
        <w:tc>
          <w:tcPr>
            <w:tcW w:w="878" w:type="pct"/>
          </w:tcPr>
          <w:p w14:paraId="2F350A53" w14:textId="77777777" w:rsidR="004B1DA7" w:rsidRPr="004B1DA7" w:rsidRDefault="004B1DA7" w:rsidP="004B1DA7">
            <w:pPr>
              <w:spacing w:after="0" w:line="240" w:lineRule="auto"/>
              <w:rPr>
                <w:rFonts w:ascii="Times New Roman" w:eastAsia="Calibri" w:hAnsi="Times New Roman" w:cs="Times New Roman"/>
                <w:sz w:val="20"/>
                <w:szCs w:val="20"/>
              </w:rPr>
            </w:pPr>
            <w:r w:rsidRPr="004B1DA7">
              <w:rPr>
                <w:rFonts w:ascii="Times New Roman" w:eastAsia="Calibri" w:hAnsi="Times New Roman" w:cs="Times New Roman"/>
                <w:sz w:val="20"/>
                <w:szCs w:val="20"/>
              </w:rPr>
              <w:t>Local Distribution Determinations</w:t>
            </w:r>
          </w:p>
        </w:tc>
        <w:tc>
          <w:tcPr>
            <w:tcW w:w="746" w:type="pct"/>
          </w:tcPr>
          <w:p w14:paraId="20D9E8B2" w14:textId="77777777" w:rsidR="004B1DA7" w:rsidRPr="004B1DA7" w:rsidRDefault="004B1DA7" w:rsidP="004B1DA7">
            <w:pPr>
              <w:spacing w:after="0" w:line="240" w:lineRule="auto"/>
              <w:jc w:val="right"/>
              <w:rPr>
                <w:rFonts w:ascii="Times New Roman" w:eastAsia="Calibri" w:hAnsi="Times New Roman" w:cs="Times New Roman"/>
                <w:sz w:val="20"/>
                <w:szCs w:val="20"/>
              </w:rPr>
            </w:pPr>
            <w:r w:rsidRPr="004B1DA7">
              <w:rPr>
                <w:rFonts w:ascii="Times New Roman" w:eastAsia="Calibri" w:hAnsi="Times New Roman" w:cs="Times New Roman"/>
                <w:sz w:val="20"/>
                <w:szCs w:val="20"/>
              </w:rPr>
              <w:t>8</w:t>
            </w:r>
          </w:p>
        </w:tc>
        <w:tc>
          <w:tcPr>
            <w:tcW w:w="746" w:type="pct"/>
          </w:tcPr>
          <w:p w14:paraId="62C0C6A2" w14:textId="77777777" w:rsidR="004B1DA7" w:rsidRPr="004B1DA7" w:rsidRDefault="004B1DA7" w:rsidP="004B1DA7">
            <w:pPr>
              <w:spacing w:after="0" w:line="240" w:lineRule="auto"/>
              <w:jc w:val="right"/>
              <w:rPr>
                <w:rFonts w:ascii="Times New Roman" w:eastAsia="Calibri" w:hAnsi="Times New Roman" w:cs="Times New Roman"/>
                <w:sz w:val="20"/>
                <w:szCs w:val="20"/>
              </w:rPr>
            </w:pPr>
            <w:r w:rsidRPr="004B1DA7">
              <w:rPr>
                <w:rFonts w:ascii="Times New Roman" w:eastAsia="Calibri" w:hAnsi="Times New Roman" w:cs="Times New Roman"/>
                <w:sz w:val="20"/>
                <w:szCs w:val="20"/>
              </w:rPr>
              <w:t>1</w:t>
            </w:r>
          </w:p>
        </w:tc>
        <w:tc>
          <w:tcPr>
            <w:tcW w:w="703" w:type="pct"/>
          </w:tcPr>
          <w:p w14:paraId="18912A1E" w14:textId="77777777" w:rsidR="004B1DA7" w:rsidRPr="004B1DA7" w:rsidRDefault="004B1DA7" w:rsidP="004B1DA7">
            <w:pPr>
              <w:spacing w:after="0" w:line="240" w:lineRule="auto"/>
              <w:jc w:val="right"/>
              <w:rPr>
                <w:rFonts w:ascii="Times New Roman" w:eastAsia="Calibri" w:hAnsi="Times New Roman" w:cs="Times New Roman"/>
                <w:sz w:val="20"/>
                <w:szCs w:val="20"/>
              </w:rPr>
            </w:pPr>
            <w:r w:rsidRPr="004B1DA7">
              <w:rPr>
                <w:rFonts w:ascii="Times New Roman" w:eastAsia="Calibri" w:hAnsi="Times New Roman" w:cs="Times New Roman"/>
                <w:sz w:val="20"/>
                <w:szCs w:val="20"/>
              </w:rPr>
              <w:t>8</w:t>
            </w:r>
          </w:p>
        </w:tc>
        <w:tc>
          <w:tcPr>
            <w:tcW w:w="654" w:type="pct"/>
          </w:tcPr>
          <w:p w14:paraId="14097EA4" w14:textId="77777777" w:rsidR="004B1DA7" w:rsidRPr="004B1DA7" w:rsidRDefault="004B1DA7" w:rsidP="004B1DA7">
            <w:pPr>
              <w:spacing w:after="0" w:line="240" w:lineRule="auto"/>
              <w:jc w:val="right"/>
              <w:rPr>
                <w:rFonts w:ascii="Times New Roman" w:eastAsia="Calibri" w:hAnsi="Times New Roman" w:cs="Times New Roman"/>
                <w:sz w:val="20"/>
                <w:szCs w:val="20"/>
              </w:rPr>
            </w:pPr>
            <w:r w:rsidRPr="004B1DA7">
              <w:rPr>
                <w:rFonts w:ascii="Times New Roman" w:eastAsia="Calibri" w:hAnsi="Times New Roman" w:cs="Times New Roman"/>
                <w:sz w:val="20"/>
                <w:szCs w:val="20"/>
              </w:rPr>
              <w:t>92 hrs</w:t>
            </w:r>
            <w:proofErr w:type="gramStart"/>
            <w:r w:rsidRPr="004B1DA7">
              <w:rPr>
                <w:rFonts w:ascii="Times New Roman" w:eastAsia="Calibri" w:hAnsi="Times New Roman" w:cs="Times New Roman"/>
                <w:sz w:val="20"/>
                <w:szCs w:val="20"/>
              </w:rPr>
              <w:t>.;</w:t>
            </w:r>
            <w:proofErr w:type="gramEnd"/>
          </w:p>
          <w:p w14:paraId="4B4C26D4" w14:textId="77777777" w:rsidR="004B1DA7" w:rsidRPr="004B1DA7" w:rsidRDefault="004B1DA7" w:rsidP="004B1DA7">
            <w:pPr>
              <w:spacing w:after="0" w:line="240" w:lineRule="auto"/>
              <w:jc w:val="right"/>
              <w:rPr>
                <w:rFonts w:ascii="Times New Roman" w:eastAsia="Calibri" w:hAnsi="Times New Roman" w:cs="Times New Roman"/>
                <w:sz w:val="20"/>
                <w:szCs w:val="20"/>
              </w:rPr>
            </w:pPr>
            <w:r w:rsidRPr="004B1DA7">
              <w:rPr>
                <w:rFonts w:ascii="Times New Roman" w:eastAsia="Calibri" w:hAnsi="Times New Roman" w:cs="Times New Roman"/>
                <w:sz w:val="20"/>
                <w:szCs w:val="20"/>
              </w:rPr>
              <w:t>$7,086</w:t>
            </w:r>
            <w:r w:rsidRPr="004B1DA7">
              <w:rPr>
                <w:rFonts w:ascii="Times New Roman" w:eastAsia="Calibri" w:hAnsi="Times New Roman" w:cs="Times New Roman"/>
                <w:sz w:val="20"/>
                <w:szCs w:val="20"/>
                <w:vertAlign w:val="superscript"/>
              </w:rPr>
              <w:footnoteReference w:id="6"/>
            </w:r>
          </w:p>
        </w:tc>
        <w:tc>
          <w:tcPr>
            <w:tcW w:w="657" w:type="pct"/>
          </w:tcPr>
          <w:p w14:paraId="437A7745" w14:textId="77777777" w:rsidR="004B1DA7" w:rsidRPr="004B1DA7" w:rsidRDefault="004B1DA7" w:rsidP="004B1DA7">
            <w:pPr>
              <w:spacing w:after="0" w:line="240" w:lineRule="auto"/>
              <w:jc w:val="right"/>
              <w:rPr>
                <w:rFonts w:ascii="Times New Roman" w:eastAsia="Calibri" w:hAnsi="Times New Roman" w:cs="Times New Roman"/>
                <w:sz w:val="20"/>
                <w:szCs w:val="20"/>
              </w:rPr>
            </w:pPr>
            <w:r w:rsidRPr="004B1DA7">
              <w:rPr>
                <w:rFonts w:ascii="Times New Roman" w:eastAsia="Calibri" w:hAnsi="Times New Roman" w:cs="Times New Roman"/>
                <w:sz w:val="20"/>
                <w:szCs w:val="20"/>
              </w:rPr>
              <w:t>736 hrs</w:t>
            </w:r>
            <w:proofErr w:type="gramStart"/>
            <w:r w:rsidRPr="004B1DA7">
              <w:rPr>
                <w:rFonts w:ascii="Times New Roman" w:eastAsia="Calibri" w:hAnsi="Times New Roman" w:cs="Times New Roman"/>
                <w:sz w:val="20"/>
                <w:szCs w:val="20"/>
              </w:rPr>
              <w:t>.;</w:t>
            </w:r>
            <w:proofErr w:type="gramEnd"/>
          </w:p>
          <w:p w14:paraId="4C3E6D41" w14:textId="77777777" w:rsidR="004B1DA7" w:rsidRPr="004B1DA7" w:rsidRDefault="004B1DA7" w:rsidP="004B1DA7">
            <w:pPr>
              <w:spacing w:after="0" w:line="240" w:lineRule="auto"/>
              <w:jc w:val="right"/>
              <w:rPr>
                <w:rFonts w:ascii="Times New Roman" w:eastAsia="Calibri" w:hAnsi="Times New Roman" w:cs="Times New Roman"/>
                <w:sz w:val="20"/>
                <w:szCs w:val="20"/>
              </w:rPr>
            </w:pPr>
            <w:r w:rsidRPr="004B1DA7">
              <w:rPr>
                <w:rFonts w:ascii="Times New Roman" w:eastAsia="Calibri" w:hAnsi="Times New Roman" w:cs="Times New Roman"/>
                <w:sz w:val="20"/>
                <w:szCs w:val="20"/>
              </w:rPr>
              <w:t>$56,688</w:t>
            </w:r>
          </w:p>
        </w:tc>
        <w:tc>
          <w:tcPr>
            <w:tcW w:w="616" w:type="pct"/>
          </w:tcPr>
          <w:p w14:paraId="11F232A1" w14:textId="77777777" w:rsidR="004B1DA7" w:rsidRPr="004B1DA7" w:rsidRDefault="004B1DA7" w:rsidP="004B1DA7">
            <w:pPr>
              <w:spacing w:after="0" w:line="240" w:lineRule="auto"/>
              <w:jc w:val="right"/>
              <w:rPr>
                <w:rFonts w:ascii="Times New Roman" w:eastAsia="Calibri" w:hAnsi="Times New Roman" w:cs="Times New Roman"/>
                <w:sz w:val="20"/>
                <w:szCs w:val="20"/>
              </w:rPr>
            </w:pPr>
            <w:r w:rsidRPr="004B1DA7">
              <w:rPr>
                <w:rFonts w:ascii="Times New Roman" w:eastAsia="Calibri" w:hAnsi="Times New Roman" w:cs="Times New Roman"/>
                <w:sz w:val="20"/>
                <w:szCs w:val="20"/>
              </w:rPr>
              <w:t>$7,086</w:t>
            </w:r>
          </w:p>
        </w:tc>
      </w:tr>
      <w:tr w:rsidR="004B1DA7" w:rsidRPr="004B1DA7" w14:paraId="6A93DAE2" w14:textId="77777777" w:rsidTr="00021E3B">
        <w:trPr>
          <w:cantSplit/>
          <w:trHeight w:val="485"/>
        </w:trPr>
        <w:tc>
          <w:tcPr>
            <w:tcW w:w="878" w:type="pct"/>
            <w:tcBorders>
              <w:bottom w:val="single" w:sz="4" w:space="0" w:color="auto"/>
            </w:tcBorders>
          </w:tcPr>
          <w:p w14:paraId="23483AC9" w14:textId="77777777" w:rsidR="004B1DA7" w:rsidRPr="004B1DA7" w:rsidRDefault="004B1DA7" w:rsidP="004B1DA7">
            <w:pPr>
              <w:spacing w:after="0" w:line="240" w:lineRule="auto"/>
              <w:rPr>
                <w:rFonts w:ascii="Times New Roman" w:eastAsia="Calibri" w:hAnsi="Times New Roman" w:cs="Times New Roman"/>
                <w:b/>
                <w:sz w:val="20"/>
                <w:szCs w:val="20"/>
              </w:rPr>
            </w:pPr>
            <w:r w:rsidRPr="004B1DA7">
              <w:rPr>
                <w:rFonts w:ascii="Times New Roman" w:eastAsia="Calibri" w:hAnsi="Times New Roman" w:cs="Times New Roman"/>
                <w:b/>
                <w:sz w:val="20"/>
                <w:szCs w:val="20"/>
              </w:rPr>
              <w:t>TOTAL</w:t>
            </w:r>
          </w:p>
        </w:tc>
        <w:tc>
          <w:tcPr>
            <w:tcW w:w="1492" w:type="pct"/>
            <w:gridSpan w:val="2"/>
            <w:tcBorders>
              <w:bottom w:val="single" w:sz="4" w:space="0" w:color="auto"/>
            </w:tcBorders>
            <w:shd w:val="clear" w:color="auto" w:fill="D9D9D9"/>
          </w:tcPr>
          <w:p w14:paraId="2503E3BF" w14:textId="77777777" w:rsidR="004B1DA7" w:rsidRPr="004B1DA7" w:rsidRDefault="004B1DA7" w:rsidP="004B1DA7">
            <w:pPr>
              <w:spacing w:after="0" w:line="240" w:lineRule="auto"/>
              <w:jc w:val="right"/>
              <w:rPr>
                <w:rFonts w:ascii="Times New Roman" w:eastAsia="Calibri" w:hAnsi="Times New Roman" w:cs="Times New Roman"/>
                <w:sz w:val="20"/>
                <w:szCs w:val="20"/>
              </w:rPr>
            </w:pPr>
          </w:p>
        </w:tc>
        <w:tc>
          <w:tcPr>
            <w:tcW w:w="703" w:type="pct"/>
            <w:tcBorders>
              <w:bottom w:val="single" w:sz="4" w:space="0" w:color="auto"/>
            </w:tcBorders>
            <w:shd w:val="clear" w:color="auto" w:fill="auto"/>
          </w:tcPr>
          <w:p w14:paraId="2144EF1B" w14:textId="77777777" w:rsidR="004B1DA7" w:rsidRPr="004B1DA7" w:rsidRDefault="004B1DA7" w:rsidP="004B1DA7">
            <w:pPr>
              <w:spacing w:after="0" w:line="240" w:lineRule="auto"/>
              <w:jc w:val="right"/>
              <w:rPr>
                <w:rFonts w:ascii="Times New Roman" w:eastAsia="Calibri" w:hAnsi="Times New Roman" w:cs="Times New Roman"/>
                <w:b/>
                <w:sz w:val="20"/>
                <w:szCs w:val="20"/>
              </w:rPr>
            </w:pPr>
            <w:r w:rsidRPr="004B1DA7">
              <w:rPr>
                <w:rFonts w:ascii="Times New Roman" w:eastAsia="Calibri" w:hAnsi="Times New Roman" w:cs="Times New Roman"/>
                <w:b/>
                <w:sz w:val="20"/>
                <w:szCs w:val="20"/>
              </w:rPr>
              <w:t>214</w:t>
            </w:r>
          </w:p>
        </w:tc>
        <w:tc>
          <w:tcPr>
            <w:tcW w:w="654" w:type="pct"/>
            <w:tcBorders>
              <w:bottom w:val="single" w:sz="4" w:space="0" w:color="auto"/>
            </w:tcBorders>
            <w:shd w:val="clear" w:color="auto" w:fill="D9D9D9"/>
          </w:tcPr>
          <w:p w14:paraId="6C9594AE" w14:textId="77777777" w:rsidR="004B1DA7" w:rsidRPr="004B1DA7" w:rsidRDefault="004B1DA7" w:rsidP="004B1DA7">
            <w:pPr>
              <w:spacing w:after="0" w:line="240" w:lineRule="auto"/>
              <w:jc w:val="right"/>
              <w:rPr>
                <w:rFonts w:ascii="Times New Roman" w:eastAsia="Calibri" w:hAnsi="Times New Roman" w:cs="Times New Roman"/>
                <w:sz w:val="20"/>
                <w:szCs w:val="20"/>
              </w:rPr>
            </w:pPr>
          </w:p>
        </w:tc>
        <w:tc>
          <w:tcPr>
            <w:tcW w:w="657" w:type="pct"/>
            <w:tcBorders>
              <w:bottom w:val="single" w:sz="4" w:space="0" w:color="auto"/>
            </w:tcBorders>
          </w:tcPr>
          <w:p w14:paraId="4175C80E" w14:textId="77777777" w:rsidR="004B1DA7" w:rsidRPr="004B1DA7" w:rsidRDefault="004B1DA7" w:rsidP="004B1DA7">
            <w:pPr>
              <w:spacing w:after="0" w:line="240" w:lineRule="auto"/>
              <w:jc w:val="right"/>
              <w:rPr>
                <w:rFonts w:ascii="Times New Roman" w:eastAsia="Calibri" w:hAnsi="Times New Roman" w:cs="Times New Roman"/>
                <w:b/>
                <w:sz w:val="20"/>
                <w:szCs w:val="20"/>
              </w:rPr>
            </w:pPr>
            <w:r w:rsidRPr="004B1DA7">
              <w:rPr>
                <w:rFonts w:ascii="Times New Roman" w:eastAsia="Calibri" w:hAnsi="Times New Roman" w:cs="Times New Roman"/>
                <w:b/>
                <w:sz w:val="20"/>
                <w:szCs w:val="20"/>
              </w:rPr>
              <w:t>67,716 hrs</w:t>
            </w:r>
            <w:proofErr w:type="gramStart"/>
            <w:r w:rsidRPr="004B1DA7">
              <w:rPr>
                <w:rFonts w:ascii="Times New Roman" w:eastAsia="Calibri" w:hAnsi="Times New Roman" w:cs="Times New Roman"/>
                <w:b/>
                <w:sz w:val="20"/>
                <w:szCs w:val="20"/>
              </w:rPr>
              <w:t>.;</w:t>
            </w:r>
            <w:proofErr w:type="gramEnd"/>
          </w:p>
          <w:p w14:paraId="5E8889D7" w14:textId="77777777" w:rsidR="004B1DA7" w:rsidRPr="004B1DA7" w:rsidRDefault="004B1DA7" w:rsidP="004B1DA7">
            <w:pPr>
              <w:spacing w:after="0" w:line="240" w:lineRule="auto"/>
              <w:jc w:val="right"/>
              <w:rPr>
                <w:rFonts w:ascii="Times New Roman" w:eastAsia="Calibri" w:hAnsi="Times New Roman" w:cs="Times New Roman"/>
                <w:b/>
                <w:sz w:val="20"/>
                <w:szCs w:val="20"/>
              </w:rPr>
            </w:pPr>
            <w:r w:rsidRPr="004B1DA7">
              <w:rPr>
                <w:rFonts w:ascii="Times New Roman" w:eastAsia="Calibri" w:hAnsi="Times New Roman" w:cs="Times New Roman"/>
                <w:b/>
                <w:sz w:val="20"/>
                <w:szCs w:val="20"/>
              </w:rPr>
              <w:t>$4,217,186</w:t>
            </w:r>
          </w:p>
        </w:tc>
        <w:tc>
          <w:tcPr>
            <w:tcW w:w="616" w:type="pct"/>
            <w:tcBorders>
              <w:bottom w:val="single" w:sz="4" w:space="0" w:color="auto"/>
            </w:tcBorders>
            <w:shd w:val="clear" w:color="auto" w:fill="D9D9D9"/>
          </w:tcPr>
          <w:p w14:paraId="371CE542" w14:textId="77777777" w:rsidR="004B1DA7" w:rsidRPr="004B1DA7" w:rsidRDefault="004B1DA7" w:rsidP="004B1DA7">
            <w:pPr>
              <w:spacing w:after="0" w:line="240" w:lineRule="auto"/>
              <w:jc w:val="right"/>
              <w:rPr>
                <w:rFonts w:ascii="Times New Roman" w:eastAsia="Calibri" w:hAnsi="Times New Roman" w:cs="Times New Roman"/>
                <w:b/>
                <w:sz w:val="20"/>
                <w:szCs w:val="20"/>
              </w:rPr>
            </w:pPr>
          </w:p>
        </w:tc>
      </w:tr>
    </w:tbl>
    <w:p w14:paraId="72F9A6CC" w14:textId="3D86856F" w:rsidR="00D80FBD" w:rsidRPr="00B16372" w:rsidRDefault="00D80FBD" w:rsidP="00314874">
      <w:pPr>
        <w:spacing w:after="0"/>
        <w:rPr>
          <w:rFonts w:ascii="Times New Roman" w:hAnsi="Times New Roman" w:cs="Times New Roman"/>
          <w:sz w:val="24"/>
          <w:szCs w:val="24"/>
        </w:rPr>
      </w:pPr>
    </w:p>
    <w:p w14:paraId="28488CF0" w14:textId="774F08BB" w:rsidR="00462F59" w:rsidRPr="00462F59" w:rsidRDefault="00E636D7"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ESTIMATE OF THE TOTAL ANNUAL COST BURDEN TO RESPONDENTS</w:t>
      </w:r>
    </w:p>
    <w:p w14:paraId="27639EEB" w14:textId="77777777" w:rsidR="00EC1414" w:rsidRDefault="00EC1414" w:rsidP="00314874">
      <w:pPr>
        <w:spacing w:after="0"/>
        <w:rPr>
          <w:rFonts w:ascii="Times New Roman" w:hAnsi="Times New Roman" w:cs="Times New Roman"/>
          <w:sz w:val="24"/>
          <w:szCs w:val="24"/>
        </w:rPr>
      </w:pPr>
    </w:p>
    <w:p w14:paraId="547E0361" w14:textId="79FC5613" w:rsidR="004B1DA7" w:rsidRDefault="004B1DA7" w:rsidP="004B1DA7">
      <w:pPr>
        <w:spacing w:after="0"/>
        <w:rPr>
          <w:rFonts w:ascii="Times New Roman" w:hAnsi="Times New Roman" w:cs="Times New Roman"/>
          <w:sz w:val="24"/>
          <w:szCs w:val="24"/>
        </w:rPr>
      </w:pPr>
      <w:r w:rsidRPr="000A7303">
        <w:rPr>
          <w:rFonts w:ascii="Times New Roman" w:hAnsi="Times New Roman" w:cs="Times New Roman"/>
          <w:sz w:val="24"/>
          <w:szCs w:val="24"/>
        </w:rPr>
        <w:t>There is no start-up or other non-labor hour cost associated</w:t>
      </w:r>
      <w:r w:rsidR="00195C0D">
        <w:rPr>
          <w:rFonts w:ascii="Times New Roman" w:hAnsi="Times New Roman" w:cs="Times New Roman"/>
          <w:sz w:val="24"/>
          <w:szCs w:val="24"/>
        </w:rPr>
        <w:t xml:space="preserve"> with the FERC-725J information collection</w:t>
      </w:r>
      <w:proofErr w:type="gramStart"/>
      <w:r w:rsidR="00195C0D">
        <w:rPr>
          <w:rFonts w:ascii="Times New Roman" w:hAnsi="Times New Roman" w:cs="Times New Roman"/>
          <w:sz w:val="24"/>
          <w:szCs w:val="24"/>
        </w:rPr>
        <w:t>.</w:t>
      </w:r>
      <w:r w:rsidRPr="000A7303">
        <w:rPr>
          <w:rFonts w:ascii="Times New Roman" w:hAnsi="Times New Roman" w:cs="Times New Roman"/>
          <w:sz w:val="24"/>
          <w:szCs w:val="24"/>
        </w:rPr>
        <w:t>.</w:t>
      </w:r>
      <w:proofErr w:type="gramEnd"/>
      <w:r w:rsidR="00F13E46">
        <w:rPr>
          <w:rFonts w:ascii="Times New Roman" w:hAnsi="Times New Roman" w:cs="Times New Roman"/>
          <w:sz w:val="24"/>
          <w:szCs w:val="24"/>
        </w:rPr>
        <w:t>`</w:t>
      </w:r>
      <w:r w:rsidR="00F13E46">
        <w:rPr>
          <w:rFonts w:ascii="Times New Roman" w:hAnsi="Times New Roman" w:cs="Times New Roman"/>
          <w:sz w:val="24"/>
          <w:szCs w:val="24"/>
        </w:rPr>
        <w:tab/>
        <w:t>1</w:t>
      </w:r>
    </w:p>
    <w:p w14:paraId="2BDF3360" w14:textId="77777777" w:rsidR="00462F59" w:rsidRPr="00B16372" w:rsidRDefault="00462F59" w:rsidP="00314874">
      <w:pPr>
        <w:spacing w:after="0"/>
        <w:rPr>
          <w:rFonts w:ascii="Times New Roman" w:hAnsi="Times New Roman" w:cs="Times New Roman"/>
          <w:sz w:val="24"/>
          <w:szCs w:val="24"/>
        </w:rPr>
      </w:pPr>
    </w:p>
    <w:p w14:paraId="39889A6C" w14:textId="77777777" w:rsidR="00E636D7" w:rsidRPr="00B16372" w:rsidRDefault="00A276F5"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ESTIMATED ANNUALIZED COST TO FEDERAL GOVERNMENT</w:t>
      </w:r>
    </w:p>
    <w:p w14:paraId="4899015E" w14:textId="77777777" w:rsidR="00A276F5" w:rsidRPr="00B16372" w:rsidRDefault="00A276F5" w:rsidP="00314874">
      <w:pPr>
        <w:spacing w:after="0"/>
        <w:rPr>
          <w:rFonts w:ascii="Times New Roman" w:hAnsi="Times New Roman" w:cs="Times New Roman"/>
          <w:sz w:val="24"/>
          <w:szCs w:val="24"/>
        </w:rPr>
      </w:pPr>
    </w:p>
    <w:p w14:paraId="30FDB1CE" w14:textId="607F0BF0" w:rsidR="00C61BCC" w:rsidRPr="00C61BCC" w:rsidRDefault="00C61BCC" w:rsidP="00314874">
      <w:pPr>
        <w:spacing w:after="0"/>
        <w:rPr>
          <w:rFonts w:ascii="Times New Roman" w:eastAsia="Calibri" w:hAnsi="Times New Roman" w:cs="Times New Roman"/>
          <w:sz w:val="24"/>
          <w:szCs w:val="24"/>
        </w:rPr>
      </w:pPr>
      <w:r w:rsidRPr="00C61BCC">
        <w:rPr>
          <w:rFonts w:ascii="Times New Roman" w:eastAsia="Calibri" w:hAnsi="Times New Roman" w:cs="Times New Roman"/>
          <w:sz w:val="24"/>
          <w:szCs w:val="24"/>
        </w:rPr>
        <w:t xml:space="preserve">The Regional Entities and NERC do most of the data processing, monitoring and compliance work for Reliability Standards.  </w:t>
      </w:r>
      <w:r w:rsidR="001C1428">
        <w:rPr>
          <w:rFonts w:ascii="Times New Roman" w:eastAsia="Calibri" w:hAnsi="Times New Roman" w:cs="Times New Roman"/>
          <w:sz w:val="24"/>
          <w:szCs w:val="24"/>
        </w:rPr>
        <w:t xml:space="preserve">The only filings submitted </w:t>
      </w:r>
      <w:r w:rsidR="00203C5C">
        <w:rPr>
          <w:rFonts w:ascii="Times New Roman" w:eastAsia="Calibri" w:hAnsi="Times New Roman" w:cs="Times New Roman"/>
          <w:sz w:val="24"/>
          <w:szCs w:val="24"/>
        </w:rPr>
        <w:t xml:space="preserve">to FERC </w:t>
      </w:r>
      <w:r w:rsidR="001C1428">
        <w:rPr>
          <w:rFonts w:ascii="Times New Roman" w:eastAsia="Calibri" w:hAnsi="Times New Roman" w:cs="Times New Roman"/>
          <w:sz w:val="24"/>
          <w:szCs w:val="24"/>
        </w:rPr>
        <w:t xml:space="preserve">under FERC-725J are the local distribution determinations.  Federal effort </w:t>
      </w:r>
      <w:r w:rsidR="00CA65E7">
        <w:rPr>
          <w:rFonts w:ascii="Times New Roman" w:eastAsia="Calibri" w:hAnsi="Times New Roman" w:cs="Times New Roman"/>
          <w:sz w:val="24"/>
          <w:szCs w:val="24"/>
        </w:rPr>
        <w:t>is enumerated below:</w:t>
      </w:r>
      <w:r w:rsidR="00CA65E7" w:rsidRPr="00C61BCC" w:rsidDel="00CA65E7">
        <w:rPr>
          <w:rFonts w:ascii="Times New Roman" w:eastAsia="Calibri" w:hAnsi="Times New Roman" w:cs="Times New Roman"/>
          <w:sz w:val="24"/>
          <w:szCs w:val="24"/>
        </w:rPr>
        <w:t xml:space="preserve"> </w:t>
      </w:r>
    </w:p>
    <w:p w14:paraId="0F9B0873" w14:textId="77777777" w:rsidR="00C61BCC" w:rsidRDefault="00C61BCC" w:rsidP="00314874">
      <w:pPr>
        <w:spacing w:after="0"/>
        <w:rPr>
          <w:rFonts w:ascii="Times New Roman" w:eastAsia="Times New Roman" w:hAnsi="Times New Roman" w:cs="Times New Roman"/>
          <w:sz w:val="24"/>
          <w:szCs w:val="24"/>
        </w:rPr>
      </w:pPr>
    </w:p>
    <w:p w14:paraId="324AEFF5" w14:textId="78776209" w:rsidR="00EC1414" w:rsidRDefault="00EC1414" w:rsidP="0031487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estimated annualized cost to the F</w:t>
      </w:r>
      <w:r w:rsidR="004B1DA7">
        <w:rPr>
          <w:rFonts w:ascii="Times New Roman" w:eastAsia="Times New Roman" w:hAnsi="Times New Roman" w:cs="Times New Roman"/>
          <w:sz w:val="24"/>
          <w:szCs w:val="24"/>
        </w:rPr>
        <w:t>ederal Government for FERC-725J</w:t>
      </w:r>
      <w:r>
        <w:rPr>
          <w:rFonts w:ascii="Times New Roman" w:eastAsia="Times New Roman" w:hAnsi="Times New Roman" w:cs="Times New Roman"/>
          <w:sz w:val="24"/>
          <w:szCs w:val="24"/>
        </w:rPr>
        <w:t xml:space="preserve"> follows:</w:t>
      </w:r>
    </w:p>
    <w:p w14:paraId="67762FB0" w14:textId="77777777" w:rsidR="00EC1414" w:rsidRPr="00C61BCC" w:rsidRDefault="00EC1414" w:rsidP="00314874">
      <w:pPr>
        <w:spacing w:after="0"/>
        <w:rPr>
          <w:rFonts w:ascii="Times New Roman" w:eastAsia="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EC1414" w:rsidRPr="00630A34" w14:paraId="1AFEF8B2" w14:textId="77777777" w:rsidTr="006434CC">
        <w:tc>
          <w:tcPr>
            <w:tcW w:w="3182" w:type="dxa"/>
            <w:tcBorders>
              <w:top w:val="single" w:sz="4" w:space="0" w:color="auto"/>
              <w:left w:val="single" w:sz="4" w:space="0" w:color="auto"/>
              <w:bottom w:val="single" w:sz="4" w:space="0" w:color="auto"/>
              <w:right w:val="single" w:sz="4" w:space="0" w:color="auto"/>
            </w:tcBorders>
            <w:shd w:val="clear" w:color="auto" w:fill="CCCCCC"/>
          </w:tcPr>
          <w:p w14:paraId="671BB698" w14:textId="77777777" w:rsidR="00EC1414" w:rsidRPr="00630A34" w:rsidRDefault="00EC1414" w:rsidP="0031487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tcPr>
          <w:p w14:paraId="2D38D397" w14:textId="77777777" w:rsidR="00EC1414" w:rsidRPr="00630A34" w:rsidRDefault="00EC1414" w:rsidP="00314874">
            <w:pPr>
              <w:spacing w:after="0"/>
              <w:rPr>
                <w:rFonts w:ascii="Times New Roman" w:hAnsi="Times New Roman" w:cs="Times New Roman"/>
                <w:b/>
                <w:sz w:val="24"/>
                <w:szCs w:val="24"/>
              </w:rPr>
            </w:pPr>
            <w:r w:rsidRPr="00630A34">
              <w:rPr>
                <w:rFonts w:ascii="Times New Roman" w:hAnsi="Times New Roman" w:cs="Times New Roman"/>
                <w:b/>
                <w:sz w:val="24"/>
                <w:szCs w:val="24"/>
              </w:rPr>
              <w:t xml:space="preserve">Number of </w:t>
            </w:r>
            <w:r>
              <w:rPr>
                <w:rFonts w:ascii="Times New Roman" w:hAnsi="Times New Roman" w:cs="Times New Roman"/>
                <w:b/>
                <w:sz w:val="24"/>
                <w:szCs w:val="24"/>
              </w:rPr>
              <w:t xml:space="preserve">Federal </w:t>
            </w:r>
            <w:r w:rsidRPr="00630A34">
              <w:rPr>
                <w:rFonts w:ascii="Times New Roman" w:hAnsi="Times New Roman" w:cs="Times New Roman"/>
                <w:b/>
                <w:sz w:val="24"/>
                <w:szCs w:val="24"/>
              </w:rPr>
              <w:t>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tcPr>
          <w:p w14:paraId="781A10AF" w14:textId="77777777" w:rsidR="00EC1414" w:rsidRPr="00630A34" w:rsidRDefault="00EC1414" w:rsidP="0031487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EC1414" w:rsidRPr="00630A34" w14:paraId="27E6DB3C" w14:textId="77777777" w:rsidTr="006434CC">
        <w:tc>
          <w:tcPr>
            <w:tcW w:w="3182" w:type="dxa"/>
            <w:tcBorders>
              <w:top w:val="single" w:sz="4" w:space="0" w:color="auto"/>
              <w:left w:val="single" w:sz="4" w:space="0" w:color="auto"/>
              <w:bottom w:val="single" w:sz="4" w:space="0" w:color="auto"/>
              <w:right w:val="single" w:sz="4" w:space="0" w:color="auto"/>
            </w:tcBorders>
          </w:tcPr>
          <w:p w14:paraId="42978687" w14:textId="3283BDBA" w:rsidR="00EC1414" w:rsidRPr="00630A34" w:rsidRDefault="004B1DA7" w:rsidP="00314874">
            <w:pPr>
              <w:spacing w:after="0"/>
              <w:rPr>
                <w:rFonts w:ascii="Times New Roman" w:hAnsi="Times New Roman" w:cs="Times New Roman"/>
                <w:sz w:val="24"/>
                <w:szCs w:val="24"/>
              </w:rPr>
            </w:pPr>
            <w:r>
              <w:rPr>
                <w:rFonts w:ascii="Times New Roman" w:hAnsi="Times New Roman" w:cs="Times New Roman"/>
                <w:sz w:val="24"/>
                <w:szCs w:val="24"/>
              </w:rPr>
              <w:t>FERC-725J</w:t>
            </w:r>
            <w:r w:rsidR="00EC1414">
              <w:rPr>
                <w:rFonts w:ascii="Times New Roman" w:hAnsi="Times New Roman" w:cs="Times New Roman"/>
                <w:sz w:val="24"/>
                <w:szCs w:val="24"/>
              </w:rPr>
              <w:t xml:space="preserve"> </w:t>
            </w:r>
            <w:r w:rsidR="00EC1414" w:rsidRPr="00630A34">
              <w:rPr>
                <w:rFonts w:ascii="Times New Roman" w:hAnsi="Times New Roman" w:cs="Times New Roman"/>
                <w:sz w:val="24"/>
                <w:szCs w:val="24"/>
              </w:rPr>
              <w:t>Analysis and Processing of filings</w:t>
            </w:r>
            <w:r w:rsidR="00701DFB" w:rsidRPr="001D2EC1">
              <w:rPr>
                <w:rStyle w:val="FootnoteReference"/>
                <w:rFonts w:ascii="Times New Roman" w:hAnsi="Times New Roman"/>
                <w:sz w:val="24"/>
                <w:szCs w:val="24"/>
                <w:vertAlign w:val="superscript"/>
              </w:rPr>
              <w:footnoteReference w:id="7"/>
            </w:r>
          </w:p>
        </w:tc>
        <w:tc>
          <w:tcPr>
            <w:tcW w:w="3201" w:type="dxa"/>
            <w:tcBorders>
              <w:top w:val="single" w:sz="4" w:space="0" w:color="auto"/>
              <w:left w:val="single" w:sz="4" w:space="0" w:color="auto"/>
              <w:bottom w:val="single" w:sz="4" w:space="0" w:color="auto"/>
              <w:right w:val="single" w:sz="4" w:space="0" w:color="auto"/>
            </w:tcBorders>
            <w:vAlign w:val="bottom"/>
          </w:tcPr>
          <w:p w14:paraId="4A10B5EB" w14:textId="04F9EBE7" w:rsidR="00EC1414" w:rsidRPr="00630A34" w:rsidRDefault="00FA0CEC" w:rsidP="00314874">
            <w:pPr>
              <w:spacing w:after="0"/>
              <w:rPr>
                <w:rFonts w:ascii="Times New Roman" w:hAnsi="Times New Roman" w:cs="Times New Roman"/>
                <w:sz w:val="24"/>
                <w:szCs w:val="24"/>
              </w:rPr>
            </w:pPr>
            <w:r>
              <w:rPr>
                <w:rFonts w:ascii="Times New Roman" w:hAnsi="Times New Roman" w:cs="Times New Roman"/>
                <w:sz w:val="24"/>
                <w:szCs w:val="24"/>
              </w:rPr>
              <w:t>1</w:t>
            </w:r>
          </w:p>
        </w:tc>
        <w:tc>
          <w:tcPr>
            <w:tcW w:w="2995" w:type="dxa"/>
            <w:tcBorders>
              <w:top w:val="single" w:sz="4" w:space="0" w:color="auto"/>
              <w:left w:val="single" w:sz="4" w:space="0" w:color="auto"/>
              <w:bottom w:val="single" w:sz="4" w:space="0" w:color="auto"/>
              <w:right w:val="single" w:sz="4" w:space="0" w:color="auto"/>
            </w:tcBorders>
            <w:vAlign w:val="bottom"/>
          </w:tcPr>
          <w:p w14:paraId="7E1FE025" w14:textId="02DBBE1C" w:rsidR="00EC1414" w:rsidRPr="00630A34" w:rsidRDefault="00EC1414" w:rsidP="00314874">
            <w:pPr>
              <w:spacing w:after="0"/>
              <w:rPr>
                <w:rFonts w:ascii="Times New Roman" w:hAnsi="Times New Roman" w:cs="Times New Roman"/>
                <w:sz w:val="24"/>
                <w:szCs w:val="24"/>
              </w:rPr>
            </w:pPr>
            <w:r w:rsidRPr="00630A34">
              <w:rPr>
                <w:rFonts w:ascii="Times New Roman" w:hAnsi="Times New Roman" w:cs="Times New Roman"/>
                <w:sz w:val="24"/>
                <w:szCs w:val="24"/>
              </w:rPr>
              <w:t>$</w:t>
            </w:r>
            <w:r w:rsidR="00FA0CEC">
              <w:rPr>
                <w:rFonts w:ascii="Times New Roman" w:hAnsi="Times New Roman" w:cs="Times New Roman"/>
                <w:sz w:val="24"/>
                <w:szCs w:val="24"/>
              </w:rPr>
              <w:t>154,647</w:t>
            </w:r>
          </w:p>
        </w:tc>
      </w:tr>
      <w:tr w:rsidR="00EC1414" w:rsidRPr="00630A34" w14:paraId="3031D599" w14:textId="77777777" w:rsidTr="006434CC">
        <w:tc>
          <w:tcPr>
            <w:tcW w:w="3182" w:type="dxa"/>
            <w:tcBorders>
              <w:top w:val="single" w:sz="4" w:space="0" w:color="auto"/>
              <w:left w:val="single" w:sz="4" w:space="0" w:color="auto"/>
              <w:bottom w:val="single" w:sz="4" w:space="0" w:color="auto"/>
              <w:right w:val="single" w:sz="4" w:space="0" w:color="auto"/>
            </w:tcBorders>
          </w:tcPr>
          <w:p w14:paraId="5E7566EF" w14:textId="77777777" w:rsidR="00EC1414" w:rsidRDefault="00EC1414" w:rsidP="00314874">
            <w:pPr>
              <w:spacing w:after="0"/>
              <w:rPr>
                <w:rFonts w:ascii="Times New Roman" w:hAnsi="Times New Roman" w:cs="Times New Roman"/>
                <w:sz w:val="24"/>
                <w:szCs w:val="24"/>
              </w:rPr>
            </w:pPr>
            <w:r w:rsidRPr="00630A34">
              <w:rPr>
                <w:rFonts w:ascii="Times New Roman" w:hAnsi="Times New Roman" w:cs="Times New Roman"/>
                <w:sz w:val="24"/>
                <w:szCs w:val="24"/>
              </w:rPr>
              <w:t>PRA</w:t>
            </w:r>
            <w:r w:rsidRPr="00630A34">
              <w:rPr>
                <w:rFonts w:ascii="Times New Roman" w:hAnsi="Times New Roman" w:cs="Times New Roman"/>
                <w:sz w:val="24"/>
                <w:szCs w:val="24"/>
                <w:vertAlign w:val="superscript"/>
              </w:rPr>
              <w:footnoteReference w:id="8"/>
            </w:r>
            <w:r w:rsidRPr="00630A34">
              <w:rPr>
                <w:rFonts w:ascii="Times New Roman" w:hAnsi="Times New Roman" w:cs="Times New Roman"/>
                <w:sz w:val="24"/>
                <w:szCs w:val="24"/>
              </w:rPr>
              <w:t xml:space="preserve"> Administrative Cost</w:t>
            </w:r>
            <w:r w:rsidRPr="00896F4D">
              <w:rPr>
                <w:rStyle w:val="FootnoteReference"/>
                <w:rFonts w:ascii="Times New Roman" w:hAnsi="Times New Roman" w:cs="Times New Roman"/>
                <w:sz w:val="24"/>
                <w:szCs w:val="24"/>
                <w:vertAlign w:val="superscript"/>
              </w:rPr>
              <w:footnoteReference w:id="9"/>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58FACC5E" w14:textId="77777777" w:rsidR="00EC1414" w:rsidRPr="00630A34" w:rsidRDefault="00EC1414" w:rsidP="0031487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287F216B" w14:textId="4318ECB2" w:rsidR="00EC1414" w:rsidRPr="00630A34" w:rsidRDefault="00EC1414" w:rsidP="00314874">
            <w:pPr>
              <w:spacing w:after="0"/>
              <w:rPr>
                <w:rFonts w:ascii="Times New Roman" w:hAnsi="Times New Roman" w:cs="Times New Roman"/>
                <w:sz w:val="24"/>
                <w:szCs w:val="24"/>
              </w:rPr>
            </w:pPr>
            <w:r w:rsidRPr="00630A34">
              <w:rPr>
                <w:rFonts w:ascii="Times New Roman" w:hAnsi="Times New Roman" w:cs="Times New Roman"/>
                <w:sz w:val="24"/>
                <w:szCs w:val="24"/>
              </w:rPr>
              <w:t>$5</w:t>
            </w:r>
            <w:r w:rsidR="00FA0CEC">
              <w:rPr>
                <w:rFonts w:ascii="Times New Roman" w:hAnsi="Times New Roman" w:cs="Times New Roman"/>
                <w:sz w:val="24"/>
                <w:szCs w:val="24"/>
              </w:rPr>
              <w:t>,481</w:t>
            </w:r>
          </w:p>
        </w:tc>
      </w:tr>
      <w:tr w:rsidR="00EC1414" w:rsidRPr="00630A34" w14:paraId="6CFCB078" w14:textId="77777777" w:rsidTr="006434CC">
        <w:tc>
          <w:tcPr>
            <w:tcW w:w="3182" w:type="dxa"/>
            <w:tcBorders>
              <w:top w:val="single" w:sz="4" w:space="0" w:color="auto"/>
              <w:left w:val="single" w:sz="4" w:space="0" w:color="auto"/>
              <w:bottom w:val="single" w:sz="4" w:space="0" w:color="auto"/>
              <w:right w:val="single" w:sz="4" w:space="0" w:color="auto"/>
            </w:tcBorders>
          </w:tcPr>
          <w:p w14:paraId="02DC0C41" w14:textId="77777777" w:rsidR="00EC1414" w:rsidRPr="00630A34" w:rsidRDefault="00EC1414" w:rsidP="00314874">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4ECEB988" w14:textId="77777777" w:rsidR="00EC1414" w:rsidRPr="00630A34" w:rsidRDefault="00EC1414" w:rsidP="0031487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6BB07EC8" w14:textId="2E3D4F2B" w:rsidR="00EC1414" w:rsidRPr="00630A34" w:rsidRDefault="00EC1414" w:rsidP="00314874">
            <w:pPr>
              <w:spacing w:after="0"/>
              <w:rPr>
                <w:rFonts w:ascii="Times New Roman" w:hAnsi="Times New Roman" w:cs="Times New Roman"/>
                <w:sz w:val="24"/>
                <w:szCs w:val="24"/>
              </w:rPr>
            </w:pPr>
            <w:r w:rsidRPr="00630A34">
              <w:rPr>
                <w:rFonts w:ascii="Times New Roman" w:hAnsi="Times New Roman" w:cs="Times New Roman"/>
                <w:sz w:val="24"/>
                <w:szCs w:val="24"/>
              </w:rPr>
              <w:t>$</w:t>
            </w:r>
            <w:r w:rsidR="00FA0CEC">
              <w:rPr>
                <w:rFonts w:ascii="Times New Roman" w:hAnsi="Times New Roman" w:cs="Times New Roman"/>
                <w:sz w:val="24"/>
                <w:szCs w:val="24"/>
              </w:rPr>
              <w:t>160,151</w:t>
            </w:r>
          </w:p>
        </w:tc>
      </w:tr>
    </w:tbl>
    <w:p w14:paraId="52E49934" w14:textId="778E2E00" w:rsidR="00A276F5" w:rsidRPr="00B16372" w:rsidRDefault="00A276F5" w:rsidP="00314874">
      <w:pPr>
        <w:spacing w:after="0"/>
        <w:rPr>
          <w:rFonts w:ascii="Times New Roman" w:hAnsi="Times New Roman" w:cs="Times New Roman"/>
          <w:sz w:val="24"/>
          <w:szCs w:val="24"/>
        </w:rPr>
      </w:pPr>
    </w:p>
    <w:p w14:paraId="26D64DBD" w14:textId="77777777" w:rsidR="00A276F5" w:rsidRPr="00DB14A2" w:rsidRDefault="00A276F5"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REASONS FOR CHANGES IN BURDEN INCLUDING THE NEED FOR ANY INCREASE</w:t>
      </w:r>
    </w:p>
    <w:p w14:paraId="06710A14" w14:textId="77777777" w:rsidR="00DB14A2" w:rsidRPr="00DB14A2" w:rsidRDefault="00DB14A2" w:rsidP="00314874">
      <w:pPr>
        <w:spacing w:after="0"/>
        <w:rPr>
          <w:rFonts w:ascii="Times New Roman" w:hAnsi="Times New Roman" w:cs="Times New Roman"/>
          <w:sz w:val="24"/>
          <w:szCs w:val="24"/>
          <w:u w:val="single"/>
        </w:rPr>
      </w:pPr>
    </w:p>
    <w:p w14:paraId="24CA7EC1" w14:textId="2AB61EAC" w:rsidR="009B35A6" w:rsidRPr="0092596C" w:rsidRDefault="00431245" w:rsidP="00431245">
      <w:pPr>
        <w:spacing w:after="0"/>
        <w:rPr>
          <w:rFonts w:ascii="Times New Roman" w:hAnsi="Times New Roman" w:cs="Times New Roman"/>
          <w:sz w:val="24"/>
          <w:szCs w:val="24"/>
        </w:rPr>
      </w:pPr>
      <w:r>
        <w:rPr>
          <w:rFonts w:ascii="Times New Roman" w:hAnsi="Times New Roman" w:cs="Times New Roman"/>
          <w:sz w:val="24"/>
          <w:szCs w:val="24"/>
        </w:rPr>
        <w:t>The reduction in both the annual number of responses and the total annual hourly burden is based on the understanding that Orders 7</w:t>
      </w:r>
      <w:r w:rsidR="009B35A6">
        <w:rPr>
          <w:rFonts w:ascii="Times New Roman" w:hAnsi="Times New Roman" w:cs="Times New Roman"/>
          <w:sz w:val="24"/>
          <w:szCs w:val="24"/>
        </w:rPr>
        <w:t>73 and 773-A have greater than three</w:t>
      </w:r>
      <w:r>
        <w:rPr>
          <w:rFonts w:ascii="Times New Roman" w:hAnsi="Times New Roman" w:cs="Times New Roman"/>
          <w:sz w:val="24"/>
          <w:szCs w:val="24"/>
        </w:rPr>
        <w:t xml:space="preserve"> years of active status but will both have less ongoing burden than in Years 1 and 2.  Order 773 and 773-A recognized that for the first two years of implementation, the total annual hourly burden would be higher since every Registered Entity would need to accomplish tasks associated with the FERC-725J (e.g. exception requests, implementation plans, local distribution determination).  Another reason the burden is higher in the first two years is that NPCC entities used to be impacted more. New exclusions to the BES definition lowering the regional threshold from 200Kv to 100Kv</w:t>
      </w:r>
      <w:r w:rsidRPr="003F1DD0">
        <w:rPr>
          <w:rStyle w:val="FootnoteReference"/>
          <w:rFonts w:ascii="Times New Roman" w:hAnsi="Times New Roman" w:cs="Times New Roman"/>
          <w:sz w:val="24"/>
          <w:szCs w:val="24"/>
          <w:vertAlign w:val="superscript"/>
        </w:rPr>
        <w:footnoteReference w:id="10"/>
      </w:r>
      <w:r>
        <w:rPr>
          <w:rFonts w:ascii="Times New Roman" w:hAnsi="Times New Roman" w:cs="Times New Roman"/>
          <w:sz w:val="24"/>
          <w:szCs w:val="24"/>
        </w:rPr>
        <w:t xml:space="preserve"> will exclude some of the entities previously affected by Orders 773 and 773-A.  However, after the th</w:t>
      </w:r>
      <w:r w:rsidR="007D33F1">
        <w:rPr>
          <w:rFonts w:ascii="Times New Roman" w:hAnsi="Times New Roman" w:cs="Times New Roman"/>
          <w:sz w:val="24"/>
          <w:szCs w:val="24"/>
        </w:rPr>
        <w:t>ird year, a reduced</w:t>
      </w:r>
      <w:r>
        <w:rPr>
          <w:rFonts w:ascii="Times New Roman" w:hAnsi="Times New Roman" w:cs="Times New Roman"/>
          <w:sz w:val="24"/>
          <w:szCs w:val="24"/>
        </w:rPr>
        <w:t xml:space="preserve"> ongoing burden is present as describ</w:t>
      </w:r>
      <w:r w:rsidR="007D33F1">
        <w:rPr>
          <w:rFonts w:ascii="Times New Roman" w:hAnsi="Times New Roman" w:cs="Times New Roman"/>
          <w:sz w:val="24"/>
          <w:szCs w:val="24"/>
        </w:rPr>
        <w:t>ed in this supporting statement.  This is because</w:t>
      </w:r>
      <w:r w:rsidR="009B35A6" w:rsidRPr="009B35A6">
        <w:rPr>
          <w:rFonts w:ascii="Times New Roman" w:hAnsi="Times New Roman" w:cs="Times New Roman"/>
          <w:sz w:val="24"/>
          <w:szCs w:val="24"/>
        </w:rPr>
        <w:t xml:space="preserve"> the amount of entities that need to reapply the definition </w:t>
      </w:r>
      <w:r w:rsidR="009B35A6">
        <w:rPr>
          <w:rFonts w:ascii="Times New Roman" w:hAnsi="Times New Roman" w:cs="Times New Roman"/>
          <w:sz w:val="24"/>
          <w:szCs w:val="24"/>
        </w:rPr>
        <w:t>(</w:t>
      </w:r>
      <w:r w:rsidR="007D33F1">
        <w:rPr>
          <w:rFonts w:ascii="Times New Roman" w:hAnsi="Times New Roman" w:cs="Times New Roman"/>
          <w:sz w:val="24"/>
          <w:szCs w:val="24"/>
        </w:rPr>
        <w:t>due to</w:t>
      </w:r>
      <w:r w:rsidR="009B35A6" w:rsidRPr="009B35A6">
        <w:rPr>
          <w:rFonts w:ascii="Times New Roman" w:hAnsi="Times New Roman" w:cs="Times New Roman"/>
          <w:sz w:val="24"/>
          <w:szCs w:val="24"/>
        </w:rPr>
        <w:t xml:space="preserve"> new assets introduced to their system or changes to their current system</w:t>
      </w:r>
      <w:r w:rsidR="009B35A6">
        <w:rPr>
          <w:rFonts w:ascii="Times New Roman" w:hAnsi="Times New Roman" w:cs="Times New Roman"/>
          <w:sz w:val="24"/>
          <w:szCs w:val="24"/>
        </w:rPr>
        <w:t>)</w:t>
      </w:r>
      <w:r w:rsidR="009B35A6" w:rsidRPr="009B35A6">
        <w:rPr>
          <w:rFonts w:ascii="Times New Roman" w:hAnsi="Times New Roman" w:cs="Times New Roman"/>
          <w:sz w:val="24"/>
          <w:szCs w:val="24"/>
        </w:rPr>
        <w:t xml:space="preserve"> will be </w:t>
      </w:r>
      <w:r w:rsidR="009B35A6">
        <w:rPr>
          <w:rFonts w:ascii="Times New Roman" w:hAnsi="Times New Roman" w:cs="Times New Roman"/>
          <w:sz w:val="24"/>
          <w:szCs w:val="24"/>
        </w:rPr>
        <w:t xml:space="preserve">only </w:t>
      </w:r>
      <w:r w:rsidR="009B35A6" w:rsidRPr="009B35A6">
        <w:rPr>
          <w:rFonts w:ascii="Times New Roman" w:hAnsi="Times New Roman" w:cs="Times New Roman"/>
          <w:sz w:val="24"/>
          <w:szCs w:val="24"/>
        </w:rPr>
        <w:t xml:space="preserve">a </w:t>
      </w:r>
      <w:r w:rsidR="009B35A6">
        <w:rPr>
          <w:rFonts w:ascii="Times New Roman" w:hAnsi="Times New Roman" w:cs="Times New Roman"/>
          <w:sz w:val="24"/>
          <w:szCs w:val="24"/>
        </w:rPr>
        <w:t>small fraction in comparison</w:t>
      </w:r>
      <w:r w:rsidR="009B35A6" w:rsidRPr="009B35A6">
        <w:rPr>
          <w:rFonts w:ascii="Times New Roman" w:hAnsi="Times New Roman" w:cs="Times New Roman"/>
          <w:sz w:val="24"/>
          <w:szCs w:val="24"/>
        </w:rPr>
        <w:t xml:space="preserve"> to the amount of entities responding in </w:t>
      </w:r>
      <w:r w:rsidR="009B35A6">
        <w:rPr>
          <w:rFonts w:ascii="Times New Roman" w:hAnsi="Times New Roman" w:cs="Times New Roman"/>
          <w:sz w:val="24"/>
          <w:szCs w:val="24"/>
        </w:rPr>
        <w:t xml:space="preserve">the first two </w:t>
      </w:r>
      <w:r w:rsidR="009B35A6" w:rsidRPr="009B35A6">
        <w:rPr>
          <w:rFonts w:ascii="Times New Roman" w:hAnsi="Times New Roman" w:cs="Times New Roman"/>
          <w:sz w:val="24"/>
          <w:szCs w:val="24"/>
        </w:rPr>
        <w:t>year</w:t>
      </w:r>
      <w:r w:rsidR="009B35A6">
        <w:rPr>
          <w:rFonts w:ascii="Times New Roman" w:hAnsi="Times New Roman" w:cs="Times New Roman"/>
          <w:sz w:val="24"/>
          <w:szCs w:val="24"/>
        </w:rPr>
        <w:t>s</w:t>
      </w:r>
      <w:r w:rsidR="009B35A6" w:rsidRPr="009B35A6">
        <w:rPr>
          <w:rFonts w:ascii="Times New Roman" w:hAnsi="Times New Roman" w:cs="Times New Roman"/>
          <w:sz w:val="24"/>
          <w:szCs w:val="24"/>
        </w:rPr>
        <w:t>.  Therefore, the burden associ</w:t>
      </w:r>
      <w:r w:rsidR="007D33F1">
        <w:rPr>
          <w:rFonts w:ascii="Times New Roman" w:hAnsi="Times New Roman" w:cs="Times New Roman"/>
          <w:sz w:val="24"/>
          <w:szCs w:val="24"/>
        </w:rPr>
        <w:t>ated with year three and beyond</w:t>
      </w:r>
      <w:r w:rsidR="009B35A6" w:rsidRPr="009B35A6">
        <w:rPr>
          <w:rFonts w:ascii="Times New Roman" w:hAnsi="Times New Roman" w:cs="Times New Roman"/>
          <w:sz w:val="24"/>
          <w:szCs w:val="24"/>
        </w:rPr>
        <w:t xml:space="preserve"> will be a fraction of the front loaded burden associated with year one and two.</w:t>
      </w:r>
    </w:p>
    <w:p w14:paraId="44176C6D" w14:textId="77777777" w:rsidR="008C116D" w:rsidRDefault="008C116D" w:rsidP="00314874">
      <w:pPr>
        <w:spacing w:after="0"/>
        <w:rPr>
          <w:rFonts w:ascii="Times New Roman" w:hAnsi="Times New Roman" w:cs="Times New Roman"/>
          <w:sz w:val="24"/>
          <w:szCs w:val="24"/>
        </w:rPr>
      </w:pPr>
    </w:p>
    <w:p w14:paraId="287897EF" w14:textId="2C318643" w:rsidR="00EC1414" w:rsidRDefault="00EC1414" w:rsidP="00314874">
      <w:pPr>
        <w:spacing w:after="0"/>
        <w:rPr>
          <w:rFonts w:ascii="Times New Roman" w:hAnsi="Times New Roman" w:cs="Times New Roman"/>
          <w:sz w:val="24"/>
          <w:szCs w:val="24"/>
        </w:rPr>
      </w:pPr>
      <w:r>
        <w:rPr>
          <w:rFonts w:ascii="Times New Roman" w:hAnsi="Times New Roman" w:cs="Times New Roman"/>
          <w:sz w:val="24"/>
          <w:szCs w:val="24"/>
        </w:rPr>
        <w:t>The estimated r</w:t>
      </w:r>
      <w:r w:rsidR="00DB2A0A">
        <w:rPr>
          <w:rFonts w:ascii="Times New Roman" w:hAnsi="Times New Roman" w:cs="Times New Roman"/>
          <w:sz w:val="24"/>
          <w:szCs w:val="24"/>
        </w:rPr>
        <w:t>evised totals after the</w:t>
      </w:r>
      <w:r w:rsidR="004B1DA7">
        <w:rPr>
          <w:rFonts w:ascii="Times New Roman" w:hAnsi="Times New Roman" w:cs="Times New Roman"/>
          <w:sz w:val="24"/>
          <w:szCs w:val="24"/>
        </w:rPr>
        <w:t xml:space="preserve"> changes in FERC-725J</w:t>
      </w:r>
      <w:r>
        <w:rPr>
          <w:rFonts w:ascii="Times New Roman" w:hAnsi="Times New Roman" w:cs="Times New Roman"/>
          <w:sz w:val="24"/>
          <w:szCs w:val="24"/>
        </w:rPr>
        <w:t xml:space="preserve"> follow:</w:t>
      </w:r>
    </w:p>
    <w:p w14:paraId="5ED68325" w14:textId="77777777" w:rsidR="0092596C" w:rsidRDefault="0092596C" w:rsidP="00314874">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92596C" w14:paraId="203AEC17" w14:textId="77777777" w:rsidTr="0092596C">
        <w:trPr>
          <w:trHeight w:val="870"/>
        </w:trPr>
        <w:tc>
          <w:tcPr>
            <w:tcW w:w="2679" w:type="dxa"/>
            <w:shd w:val="clear" w:color="auto" w:fill="D9D9D9"/>
            <w:vAlign w:val="bottom"/>
          </w:tcPr>
          <w:p w14:paraId="667204BF" w14:textId="10585693" w:rsidR="0092596C" w:rsidRDefault="0092596C" w:rsidP="00314874">
            <w:pPr>
              <w:spacing w:after="0" w:line="240" w:lineRule="auto"/>
              <w:jc w:val="center"/>
              <w:rPr>
                <w:rFonts w:ascii="Times New Roman" w:hAnsi="Times New Roman"/>
                <w:b/>
                <w:sz w:val="26"/>
                <w:szCs w:val="26"/>
              </w:rPr>
            </w:pPr>
            <w:r>
              <w:rPr>
                <w:rFonts w:ascii="Times New Roman" w:hAnsi="Times New Roman"/>
                <w:b/>
                <w:sz w:val="26"/>
                <w:szCs w:val="26"/>
              </w:rPr>
              <w:t>FERC-725</w:t>
            </w:r>
            <w:r w:rsidR="004B1DA7">
              <w:rPr>
                <w:rFonts w:ascii="Times New Roman" w:hAnsi="Times New Roman"/>
                <w:b/>
                <w:sz w:val="26"/>
                <w:szCs w:val="26"/>
              </w:rPr>
              <w:t>J</w:t>
            </w:r>
          </w:p>
        </w:tc>
        <w:tc>
          <w:tcPr>
            <w:tcW w:w="1461" w:type="dxa"/>
            <w:shd w:val="clear" w:color="auto" w:fill="D9D9D9"/>
            <w:vAlign w:val="bottom"/>
          </w:tcPr>
          <w:p w14:paraId="3F2CF937" w14:textId="77777777" w:rsidR="0092596C" w:rsidRDefault="0092596C" w:rsidP="00314874">
            <w:pPr>
              <w:spacing w:after="0" w:line="240" w:lineRule="auto"/>
              <w:jc w:val="center"/>
              <w:rPr>
                <w:rFonts w:ascii="Times New Roman" w:hAnsi="Times New Roman"/>
                <w:b/>
                <w:sz w:val="26"/>
                <w:szCs w:val="26"/>
              </w:rPr>
            </w:pPr>
            <w:r>
              <w:rPr>
                <w:rFonts w:ascii="Times New Roman" w:hAnsi="Times New Roman"/>
                <w:b/>
                <w:sz w:val="26"/>
                <w:szCs w:val="26"/>
              </w:rPr>
              <w:t>Total Request</w:t>
            </w:r>
          </w:p>
        </w:tc>
        <w:tc>
          <w:tcPr>
            <w:tcW w:w="1620" w:type="dxa"/>
            <w:shd w:val="clear" w:color="auto" w:fill="D9D9D9"/>
            <w:vAlign w:val="bottom"/>
          </w:tcPr>
          <w:p w14:paraId="3B61870D" w14:textId="77777777" w:rsidR="0092596C" w:rsidRDefault="0092596C" w:rsidP="00314874">
            <w:pPr>
              <w:spacing w:after="0" w:line="240" w:lineRule="auto"/>
              <w:jc w:val="center"/>
              <w:rPr>
                <w:rFonts w:ascii="Times New Roman" w:hAnsi="Times New Roman"/>
                <w:b/>
                <w:sz w:val="26"/>
                <w:szCs w:val="26"/>
              </w:rPr>
            </w:pPr>
            <w:r>
              <w:rPr>
                <w:rFonts w:ascii="Times New Roman" w:hAnsi="Times New Roman"/>
                <w:b/>
                <w:sz w:val="26"/>
                <w:szCs w:val="26"/>
              </w:rPr>
              <w:t>Previously Approved</w:t>
            </w:r>
          </w:p>
        </w:tc>
        <w:tc>
          <w:tcPr>
            <w:tcW w:w="1800" w:type="dxa"/>
            <w:shd w:val="clear" w:color="auto" w:fill="D9D9D9"/>
            <w:vAlign w:val="bottom"/>
          </w:tcPr>
          <w:p w14:paraId="2786CFEC" w14:textId="77777777" w:rsidR="0092596C" w:rsidRDefault="0092596C" w:rsidP="00314874">
            <w:pPr>
              <w:spacing w:after="0" w:line="240" w:lineRule="auto"/>
              <w:jc w:val="center"/>
              <w:rPr>
                <w:rFonts w:ascii="Times New Roman" w:hAnsi="Times New Roman"/>
                <w:b/>
                <w:sz w:val="26"/>
                <w:szCs w:val="26"/>
              </w:rPr>
            </w:pPr>
            <w:r>
              <w:rPr>
                <w:rFonts w:ascii="Times New Roman" w:hAnsi="Times New Roman"/>
                <w:b/>
                <w:sz w:val="26"/>
                <w:szCs w:val="26"/>
              </w:rPr>
              <w:t>Change due to Adjustment in Estimate</w:t>
            </w:r>
          </w:p>
        </w:tc>
        <w:tc>
          <w:tcPr>
            <w:tcW w:w="1800" w:type="dxa"/>
            <w:shd w:val="clear" w:color="auto" w:fill="D9D9D9"/>
            <w:vAlign w:val="bottom"/>
          </w:tcPr>
          <w:p w14:paraId="79E34E2C" w14:textId="77777777" w:rsidR="0092596C" w:rsidRDefault="0092596C" w:rsidP="00314874">
            <w:pPr>
              <w:spacing w:after="0" w:line="240" w:lineRule="auto"/>
              <w:jc w:val="center"/>
              <w:rPr>
                <w:rFonts w:ascii="Times New Roman" w:hAnsi="Times New Roman"/>
                <w:b/>
                <w:sz w:val="26"/>
                <w:szCs w:val="26"/>
              </w:rPr>
            </w:pPr>
            <w:r>
              <w:rPr>
                <w:rFonts w:ascii="Times New Roman" w:hAnsi="Times New Roman"/>
                <w:b/>
                <w:sz w:val="26"/>
                <w:szCs w:val="26"/>
              </w:rPr>
              <w:t>Change Due to Agency Discretion</w:t>
            </w:r>
          </w:p>
        </w:tc>
      </w:tr>
      <w:tr w:rsidR="00BD6EEC" w14:paraId="042C8985" w14:textId="77777777" w:rsidTr="0092596C">
        <w:trPr>
          <w:trHeight w:val="591"/>
        </w:trPr>
        <w:tc>
          <w:tcPr>
            <w:tcW w:w="2679" w:type="dxa"/>
          </w:tcPr>
          <w:p w14:paraId="0F7FFCCF" w14:textId="77777777" w:rsidR="00BD6EEC" w:rsidRDefault="00BD6EEC" w:rsidP="00314874">
            <w:pPr>
              <w:spacing w:after="0" w:line="240" w:lineRule="auto"/>
              <w:jc w:val="center"/>
              <w:rPr>
                <w:rFonts w:ascii="Times New Roman" w:hAnsi="Times New Roman"/>
                <w:sz w:val="26"/>
                <w:szCs w:val="26"/>
              </w:rPr>
            </w:pPr>
            <w:r>
              <w:rPr>
                <w:rFonts w:ascii="Times New Roman" w:hAnsi="Times New Roman"/>
                <w:sz w:val="26"/>
                <w:szCs w:val="26"/>
              </w:rPr>
              <w:t>Annual Number of Responses</w:t>
            </w:r>
          </w:p>
        </w:tc>
        <w:tc>
          <w:tcPr>
            <w:tcW w:w="1461" w:type="dxa"/>
            <w:vAlign w:val="center"/>
          </w:tcPr>
          <w:p w14:paraId="3C124B7E" w14:textId="64E2C0A0" w:rsidR="00BD6EEC" w:rsidRDefault="00BF7EB2" w:rsidP="00314874">
            <w:pPr>
              <w:spacing w:after="0" w:line="240" w:lineRule="auto"/>
              <w:jc w:val="right"/>
              <w:rPr>
                <w:rFonts w:ascii="Times New Roman" w:hAnsi="Times New Roman"/>
                <w:sz w:val="26"/>
                <w:szCs w:val="26"/>
              </w:rPr>
            </w:pPr>
            <w:r>
              <w:rPr>
                <w:rFonts w:ascii="Times New Roman" w:hAnsi="Times New Roman"/>
                <w:sz w:val="26"/>
                <w:szCs w:val="26"/>
              </w:rPr>
              <w:t>214</w:t>
            </w:r>
          </w:p>
        </w:tc>
        <w:tc>
          <w:tcPr>
            <w:tcW w:w="1620" w:type="dxa"/>
            <w:vAlign w:val="center"/>
          </w:tcPr>
          <w:p w14:paraId="24E706C1" w14:textId="23615911" w:rsidR="00BD6EEC" w:rsidRDefault="00BF7EB2" w:rsidP="00314874">
            <w:pPr>
              <w:spacing w:after="0" w:line="240" w:lineRule="auto"/>
              <w:jc w:val="right"/>
              <w:rPr>
                <w:rFonts w:ascii="Times New Roman" w:hAnsi="Times New Roman"/>
                <w:sz w:val="26"/>
                <w:szCs w:val="26"/>
              </w:rPr>
            </w:pPr>
            <w:r>
              <w:rPr>
                <w:rFonts w:ascii="Times New Roman" w:hAnsi="Times New Roman"/>
                <w:sz w:val="26"/>
                <w:szCs w:val="26"/>
              </w:rPr>
              <w:t>2,193</w:t>
            </w:r>
          </w:p>
        </w:tc>
        <w:tc>
          <w:tcPr>
            <w:tcW w:w="1800" w:type="dxa"/>
            <w:vAlign w:val="center"/>
          </w:tcPr>
          <w:p w14:paraId="4DFAD5C1" w14:textId="36253762" w:rsidR="00BD6EEC" w:rsidRDefault="00743430" w:rsidP="00314874">
            <w:pPr>
              <w:spacing w:after="0" w:line="240" w:lineRule="auto"/>
              <w:jc w:val="right"/>
              <w:rPr>
                <w:rFonts w:ascii="Times New Roman" w:hAnsi="Times New Roman"/>
                <w:sz w:val="26"/>
                <w:szCs w:val="26"/>
              </w:rPr>
            </w:pPr>
            <w:r>
              <w:rPr>
                <w:rFonts w:ascii="Times New Roman" w:hAnsi="Times New Roman"/>
                <w:sz w:val="26"/>
                <w:szCs w:val="26"/>
              </w:rPr>
              <w:t>-240</w:t>
            </w:r>
          </w:p>
        </w:tc>
        <w:tc>
          <w:tcPr>
            <w:tcW w:w="1800" w:type="dxa"/>
            <w:vAlign w:val="center"/>
          </w:tcPr>
          <w:p w14:paraId="2AE73D6F" w14:textId="4CCA7D9F" w:rsidR="00BD6EEC" w:rsidRDefault="00CA65E7" w:rsidP="00743430">
            <w:pPr>
              <w:spacing w:after="0" w:line="240" w:lineRule="auto"/>
              <w:jc w:val="right"/>
              <w:rPr>
                <w:rFonts w:ascii="Times New Roman" w:hAnsi="Times New Roman"/>
                <w:sz w:val="26"/>
                <w:szCs w:val="26"/>
              </w:rPr>
            </w:pPr>
            <w:r>
              <w:rPr>
                <w:rFonts w:ascii="Times New Roman" w:hAnsi="Times New Roman"/>
                <w:sz w:val="26"/>
                <w:szCs w:val="26"/>
              </w:rPr>
              <w:t>-1,</w:t>
            </w:r>
            <w:r w:rsidR="00743430">
              <w:rPr>
                <w:rFonts w:ascii="Times New Roman" w:hAnsi="Times New Roman"/>
                <w:sz w:val="26"/>
                <w:szCs w:val="26"/>
              </w:rPr>
              <w:t>739</w:t>
            </w:r>
          </w:p>
        </w:tc>
      </w:tr>
      <w:tr w:rsidR="00BD6EEC" w14:paraId="384A505A" w14:textId="77777777" w:rsidTr="0092596C">
        <w:trPr>
          <w:trHeight w:val="575"/>
        </w:trPr>
        <w:tc>
          <w:tcPr>
            <w:tcW w:w="2679" w:type="dxa"/>
          </w:tcPr>
          <w:p w14:paraId="3BA45DA7" w14:textId="4B8B7587" w:rsidR="00BD6EEC" w:rsidRDefault="00BD6EEC" w:rsidP="00314874">
            <w:pPr>
              <w:spacing w:after="0" w:line="240" w:lineRule="auto"/>
              <w:jc w:val="center"/>
              <w:rPr>
                <w:rFonts w:ascii="Times New Roman" w:hAnsi="Times New Roman"/>
                <w:sz w:val="26"/>
                <w:szCs w:val="26"/>
              </w:rPr>
            </w:pPr>
            <w:r>
              <w:rPr>
                <w:rFonts w:ascii="Times New Roman" w:hAnsi="Times New Roman"/>
                <w:sz w:val="26"/>
                <w:szCs w:val="26"/>
              </w:rPr>
              <w:t>Annual Time Burden (Hr</w:t>
            </w:r>
            <w:r w:rsidR="00F05363">
              <w:rPr>
                <w:rFonts w:ascii="Times New Roman" w:hAnsi="Times New Roman"/>
                <w:sz w:val="26"/>
                <w:szCs w:val="26"/>
              </w:rPr>
              <w:t>.</w:t>
            </w:r>
            <w:r>
              <w:rPr>
                <w:rFonts w:ascii="Times New Roman" w:hAnsi="Times New Roman"/>
                <w:sz w:val="26"/>
                <w:szCs w:val="26"/>
              </w:rPr>
              <w:t>)</w:t>
            </w:r>
          </w:p>
        </w:tc>
        <w:tc>
          <w:tcPr>
            <w:tcW w:w="1461" w:type="dxa"/>
            <w:vAlign w:val="center"/>
          </w:tcPr>
          <w:p w14:paraId="2BA99B32" w14:textId="4DA75127" w:rsidR="00BD6EEC" w:rsidRDefault="00BF7EB2" w:rsidP="00314874">
            <w:pPr>
              <w:spacing w:after="0" w:line="240" w:lineRule="auto"/>
              <w:jc w:val="right"/>
              <w:rPr>
                <w:rFonts w:ascii="Times New Roman" w:hAnsi="Times New Roman"/>
                <w:sz w:val="26"/>
                <w:szCs w:val="26"/>
              </w:rPr>
            </w:pPr>
            <w:r>
              <w:rPr>
                <w:rFonts w:ascii="Times New Roman" w:hAnsi="Times New Roman"/>
                <w:sz w:val="26"/>
                <w:szCs w:val="26"/>
              </w:rPr>
              <w:t>67,716</w:t>
            </w:r>
          </w:p>
        </w:tc>
        <w:tc>
          <w:tcPr>
            <w:tcW w:w="1620" w:type="dxa"/>
            <w:vAlign w:val="center"/>
          </w:tcPr>
          <w:p w14:paraId="24B3AA9A" w14:textId="43E51188" w:rsidR="00BD6EEC" w:rsidRDefault="00BF7EB2" w:rsidP="00314874">
            <w:pPr>
              <w:spacing w:after="0" w:line="240" w:lineRule="auto"/>
              <w:jc w:val="right"/>
              <w:rPr>
                <w:rFonts w:ascii="Times New Roman" w:hAnsi="Times New Roman"/>
                <w:sz w:val="26"/>
                <w:szCs w:val="26"/>
              </w:rPr>
            </w:pPr>
            <w:r>
              <w:rPr>
                <w:rFonts w:ascii="Times New Roman" w:hAnsi="Times New Roman"/>
                <w:sz w:val="26"/>
                <w:szCs w:val="26"/>
              </w:rPr>
              <w:t>154,073</w:t>
            </w:r>
          </w:p>
        </w:tc>
        <w:tc>
          <w:tcPr>
            <w:tcW w:w="1800" w:type="dxa"/>
            <w:vAlign w:val="center"/>
          </w:tcPr>
          <w:p w14:paraId="1BA49CD4" w14:textId="0F42207F" w:rsidR="00BD6EEC" w:rsidRDefault="00743430" w:rsidP="00314874">
            <w:pPr>
              <w:spacing w:after="0" w:line="240" w:lineRule="auto"/>
              <w:jc w:val="right"/>
              <w:rPr>
                <w:rFonts w:ascii="Times New Roman" w:hAnsi="Times New Roman"/>
                <w:sz w:val="26"/>
                <w:szCs w:val="26"/>
              </w:rPr>
            </w:pPr>
            <w:r>
              <w:rPr>
                <w:rFonts w:ascii="Times New Roman" w:hAnsi="Times New Roman"/>
                <w:sz w:val="26"/>
                <w:szCs w:val="26"/>
              </w:rPr>
              <w:t>-60,007</w:t>
            </w:r>
          </w:p>
        </w:tc>
        <w:tc>
          <w:tcPr>
            <w:tcW w:w="1800" w:type="dxa"/>
            <w:vAlign w:val="center"/>
          </w:tcPr>
          <w:p w14:paraId="1521446A" w14:textId="50675773" w:rsidR="00BD6EEC" w:rsidRDefault="00CA65E7" w:rsidP="00E4569B">
            <w:pPr>
              <w:spacing w:after="0" w:line="240" w:lineRule="auto"/>
              <w:jc w:val="right"/>
              <w:rPr>
                <w:rFonts w:ascii="Times New Roman" w:hAnsi="Times New Roman"/>
                <w:sz w:val="26"/>
                <w:szCs w:val="26"/>
              </w:rPr>
            </w:pPr>
            <w:r>
              <w:rPr>
                <w:rFonts w:ascii="Times New Roman" w:hAnsi="Times New Roman" w:cs="Times New Roman"/>
                <w:sz w:val="24"/>
                <w:szCs w:val="24"/>
              </w:rPr>
              <w:t>-</w:t>
            </w:r>
            <w:r w:rsidR="00743430">
              <w:rPr>
                <w:rFonts w:ascii="Times New Roman" w:hAnsi="Times New Roman" w:cs="Times New Roman"/>
                <w:sz w:val="24"/>
                <w:szCs w:val="24"/>
              </w:rPr>
              <w:t>26,350</w:t>
            </w:r>
          </w:p>
        </w:tc>
      </w:tr>
      <w:tr w:rsidR="0092596C" w14:paraId="2500CEFC" w14:textId="77777777" w:rsidTr="0092596C">
        <w:trPr>
          <w:trHeight w:val="295"/>
        </w:trPr>
        <w:tc>
          <w:tcPr>
            <w:tcW w:w="2679" w:type="dxa"/>
          </w:tcPr>
          <w:p w14:paraId="15F96F3B" w14:textId="77777777" w:rsidR="0092596C" w:rsidRDefault="0092596C" w:rsidP="00314874">
            <w:pPr>
              <w:spacing w:after="0" w:line="240" w:lineRule="auto"/>
              <w:jc w:val="center"/>
              <w:rPr>
                <w:rFonts w:ascii="Times New Roman" w:hAnsi="Times New Roman"/>
                <w:sz w:val="26"/>
                <w:szCs w:val="26"/>
              </w:rPr>
            </w:pPr>
            <w:r>
              <w:rPr>
                <w:rFonts w:ascii="Times New Roman" w:hAnsi="Times New Roman"/>
                <w:sz w:val="26"/>
                <w:szCs w:val="26"/>
              </w:rPr>
              <w:t>Annual Cost Burden ($)</w:t>
            </w:r>
          </w:p>
        </w:tc>
        <w:tc>
          <w:tcPr>
            <w:tcW w:w="1461" w:type="dxa"/>
            <w:vAlign w:val="center"/>
          </w:tcPr>
          <w:p w14:paraId="1D2CD871" w14:textId="4B2A0CFE" w:rsidR="0092596C" w:rsidRDefault="00BD6EEC" w:rsidP="00314874">
            <w:pPr>
              <w:spacing w:after="0" w:line="240" w:lineRule="auto"/>
              <w:jc w:val="right"/>
              <w:rPr>
                <w:rFonts w:ascii="Times New Roman" w:hAnsi="Times New Roman"/>
                <w:sz w:val="26"/>
                <w:szCs w:val="26"/>
              </w:rPr>
            </w:pPr>
            <w:r>
              <w:rPr>
                <w:rFonts w:ascii="Times New Roman" w:hAnsi="Times New Roman"/>
                <w:sz w:val="26"/>
                <w:szCs w:val="26"/>
              </w:rPr>
              <w:t>0</w:t>
            </w:r>
          </w:p>
        </w:tc>
        <w:tc>
          <w:tcPr>
            <w:tcW w:w="1620" w:type="dxa"/>
            <w:vAlign w:val="center"/>
          </w:tcPr>
          <w:p w14:paraId="5C782EC1" w14:textId="27415A6B" w:rsidR="0092596C" w:rsidRDefault="00BD6EEC" w:rsidP="00314874">
            <w:pPr>
              <w:spacing w:after="0" w:line="240" w:lineRule="auto"/>
              <w:jc w:val="right"/>
              <w:rPr>
                <w:rFonts w:ascii="Times New Roman" w:hAnsi="Times New Roman"/>
                <w:sz w:val="26"/>
                <w:szCs w:val="26"/>
              </w:rPr>
            </w:pPr>
            <w:r>
              <w:rPr>
                <w:rFonts w:ascii="Times New Roman" w:hAnsi="Times New Roman"/>
                <w:sz w:val="26"/>
                <w:szCs w:val="26"/>
              </w:rPr>
              <w:t>0</w:t>
            </w:r>
          </w:p>
        </w:tc>
        <w:tc>
          <w:tcPr>
            <w:tcW w:w="1800" w:type="dxa"/>
            <w:vAlign w:val="center"/>
          </w:tcPr>
          <w:p w14:paraId="09A69BCD" w14:textId="1136952A" w:rsidR="0092596C" w:rsidRDefault="00BD6EEC" w:rsidP="00314874">
            <w:pPr>
              <w:spacing w:after="0" w:line="240" w:lineRule="auto"/>
              <w:jc w:val="right"/>
              <w:rPr>
                <w:rFonts w:ascii="Times New Roman" w:hAnsi="Times New Roman"/>
                <w:sz w:val="26"/>
                <w:szCs w:val="26"/>
              </w:rPr>
            </w:pPr>
            <w:r>
              <w:rPr>
                <w:rFonts w:ascii="Times New Roman" w:hAnsi="Times New Roman"/>
                <w:sz w:val="26"/>
                <w:szCs w:val="26"/>
              </w:rPr>
              <w:t>0</w:t>
            </w:r>
          </w:p>
        </w:tc>
        <w:tc>
          <w:tcPr>
            <w:tcW w:w="1800" w:type="dxa"/>
            <w:vAlign w:val="center"/>
          </w:tcPr>
          <w:p w14:paraId="57B3BA59" w14:textId="76051B03" w:rsidR="0092596C" w:rsidRDefault="00BD6EEC" w:rsidP="00314874">
            <w:pPr>
              <w:spacing w:after="0" w:line="240" w:lineRule="auto"/>
              <w:jc w:val="right"/>
              <w:rPr>
                <w:rFonts w:ascii="Times New Roman" w:hAnsi="Times New Roman"/>
                <w:sz w:val="26"/>
                <w:szCs w:val="26"/>
              </w:rPr>
            </w:pPr>
            <w:r>
              <w:rPr>
                <w:rFonts w:ascii="Times New Roman" w:hAnsi="Times New Roman"/>
                <w:sz w:val="26"/>
                <w:szCs w:val="26"/>
              </w:rPr>
              <w:t>0</w:t>
            </w:r>
          </w:p>
        </w:tc>
      </w:tr>
    </w:tbl>
    <w:p w14:paraId="2B116D8B" w14:textId="77777777" w:rsidR="0092596C" w:rsidRDefault="0092596C" w:rsidP="00314874">
      <w:pPr>
        <w:spacing w:after="0"/>
        <w:rPr>
          <w:rFonts w:ascii="Times New Roman" w:hAnsi="Times New Roman" w:cs="Times New Roman"/>
          <w:sz w:val="24"/>
          <w:szCs w:val="24"/>
        </w:rPr>
      </w:pPr>
    </w:p>
    <w:p w14:paraId="56A438B9" w14:textId="77777777" w:rsidR="00970FE4" w:rsidRPr="00B16372" w:rsidRDefault="00970FE4" w:rsidP="00314874">
      <w:pPr>
        <w:spacing w:after="0"/>
        <w:rPr>
          <w:rFonts w:ascii="Times New Roman" w:hAnsi="Times New Roman" w:cs="Times New Roman"/>
          <w:sz w:val="24"/>
          <w:szCs w:val="24"/>
        </w:rPr>
      </w:pPr>
    </w:p>
    <w:p w14:paraId="7520F921" w14:textId="77777777" w:rsidR="00A276F5" w:rsidRPr="00B16372" w:rsidRDefault="00414F32"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TIME SCHEDULE FOR PUBLICATION OF DATA</w:t>
      </w:r>
    </w:p>
    <w:p w14:paraId="0D0264B9" w14:textId="77777777" w:rsidR="00826750" w:rsidRPr="00B16372" w:rsidRDefault="00826750" w:rsidP="00314874">
      <w:pPr>
        <w:spacing w:after="0"/>
        <w:rPr>
          <w:rFonts w:ascii="Times New Roman" w:hAnsi="Times New Roman" w:cs="Times New Roman"/>
          <w:sz w:val="24"/>
          <w:szCs w:val="24"/>
        </w:rPr>
      </w:pPr>
    </w:p>
    <w:p w14:paraId="2FDEB8BE" w14:textId="77777777" w:rsidR="00414F32" w:rsidRPr="00B16372" w:rsidRDefault="00826750" w:rsidP="00314874">
      <w:pPr>
        <w:spacing w:after="0"/>
        <w:rPr>
          <w:rFonts w:ascii="Times New Roman" w:hAnsi="Times New Roman" w:cs="Times New Roman"/>
          <w:sz w:val="24"/>
          <w:szCs w:val="24"/>
        </w:rPr>
      </w:pPr>
      <w:r w:rsidRPr="00B16372">
        <w:rPr>
          <w:rFonts w:ascii="Times New Roman" w:hAnsi="Times New Roman" w:cs="Times New Roman"/>
          <w:sz w:val="24"/>
          <w:szCs w:val="24"/>
        </w:rPr>
        <w:t>There are no data publications as part of this collection</w:t>
      </w:r>
    </w:p>
    <w:p w14:paraId="0E6218F5" w14:textId="77777777" w:rsidR="00414F32" w:rsidRPr="00B16372" w:rsidRDefault="00414F32" w:rsidP="00314874">
      <w:pPr>
        <w:spacing w:after="0"/>
        <w:rPr>
          <w:rFonts w:ascii="Times New Roman" w:hAnsi="Times New Roman" w:cs="Times New Roman"/>
          <w:sz w:val="24"/>
          <w:szCs w:val="24"/>
        </w:rPr>
      </w:pPr>
    </w:p>
    <w:p w14:paraId="646430DD" w14:textId="77777777" w:rsidR="00414F32" w:rsidRPr="00B16372" w:rsidRDefault="00414F32"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DISPLAY OF EXPIRATION DATE</w:t>
      </w:r>
    </w:p>
    <w:p w14:paraId="72B38186" w14:textId="77777777" w:rsidR="00414F32" w:rsidRPr="00B16372" w:rsidRDefault="00414F32" w:rsidP="00314874">
      <w:pPr>
        <w:spacing w:after="0"/>
        <w:rPr>
          <w:rFonts w:ascii="Times New Roman" w:hAnsi="Times New Roman" w:cs="Times New Roman"/>
          <w:sz w:val="24"/>
          <w:szCs w:val="24"/>
        </w:rPr>
      </w:pPr>
    </w:p>
    <w:p w14:paraId="2FAF2703" w14:textId="6711E45E" w:rsidR="00414F32" w:rsidRDefault="00C61BCC" w:rsidP="00314874">
      <w:pPr>
        <w:spacing w:after="0"/>
        <w:rPr>
          <w:rFonts w:ascii="Times New Roman" w:hAnsi="Times New Roman" w:cs="Times New Roman"/>
          <w:sz w:val="24"/>
          <w:szCs w:val="24"/>
        </w:rPr>
      </w:pPr>
      <w:r w:rsidRPr="00C61BCC">
        <w:rPr>
          <w:rFonts w:ascii="Times New Roman" w:hAnsi="Times New Roman" w:cs="Times New Roman"/>
          <w:sz w:val="24"/>
          <w:szCs w:val="24"/>
        </w:rPr>
        <w:t xml:space="preserve">The expiration date is displayed in a table posted on ferc.gov at </w:t>
      </w:r>
      <w:hyperlink r:id="rId12" w:history="1">
        <w:r w:rsidRPr="0051581F">
          <w:rPr>
            <w:rStyle w:val="Hyperlink"/>
            <w:rFonts w:ascii="Times New Roman" w:hAnsi="Times New Roman"/>
            <w:sz w:val="24"/>
            <w:szCs w:val="24"/>
          </w:rPr>
          <w:t>http://www.ferc.gov/docs-filing/info-collections.asp</w:t>
        </w:r>
      </w:hyperlink>
      <w:r w:rsidRPr="00C61BCC">
        <w:rPr>
          <w:rFonts w:ascii="Times New Roman" w:hAnsi="Times New Roman" w:cs="Times New Roman"/>
          <w:sz w:val="24"/>
          <w:szCs w:val="24"/>
        </w:rPr>
        <w:t>.</w:t>
      </w:r>
    </w:p>
    <w:p w14:paraId="54D67751" w14:textId="77777777" w:rsidR="00C61BCC" w:rsidRPr="00B16372" w:rsidRDefault="00C61BCC" w:rsidP="00314874">
      <w:pPr>
        <w:spacing w:after="0"/>
        <w:rPr>
          <w:rFonts w:ascii="Times New Roman" w:hAnsi="Times New Roman" w:cs="Times New Roman"/>
          <w:sz w:val="24"/>
          <w:szCs w:val="24"/>
        </w:rPr>
      </w:pPr>
    </w:p>
    <w:p w14:paraId="6D7858E8" w14:textId="77777777" w:rsidR="00414F32" w:rsidRPr="00B16372" w:rsidRDefault="00414F32" w:rsidP="00314874">
      <w:pPr>
        <w:pStyle w:val="ListParagraph"/>
        <w:numPr>
          <w:ilvl w:val="0"/>
          <w:numId w:val="1"/>
        </w:numPr>
        <w:spacing w:after="0"/>
        <w:ind w:left="360"/>
        <w:rPr>
          <w:rFonts w:ascii="Times New Roman" w:hAnsi="Times New Roman" w:cs="Times New Roman"/>
          <w:b/>
          <w:sz w:val="24"/>
          <w:szCs w:val="24"/>
        </w:rPr>
      </w:pPr>
      <w:r w:rsidRPr="00B16372">
        <w:rPr>
          <w:rFonts w:ascii="Times New Roman" w:hAnsi="Times New Roman" w:cs="Times New Roman"/>
          <w:b/>
          <w:sz w:val="24"/>
          <w:szCs w:val="24"/>
        </w:rPr>
        <w:t>EXCEPTIONS TO THE CERTIFICATION STATEMENT</w:t>
      </w:r>
    </w:p>
    <w:p w14:paraId="3CF7ACAD" w14:textId="77777777" w:rsidR="0057700F" w:rsidRPr="00B16372" w:rsidRDefault="0057700F" w:rsidP="00314874">
      <w:pPr>
        <w:spacing w:after="0"/>
        <w:rPr>
          <w:rFonts w:ascii="Times New Roman" w:hAnsi="Times New Roman" w:cs="Times New Roman"/>
          <w:b/>
          <w:sz w:val="24"/>
          <w:szCs w:val="24"/>
        </w:rPr>
      </w:pPr>
    </w:p>
    <w:p w14:paraId="04A82E03" w14:textId="177D5809" w:rsidR="00B16372" w:rsidRPr="00B16372" w:rsidRDefault="00E44A59" w:rsidP="00314874">
      <w:pPr>
        <w:spacing w:after="0"/>
        <w:rPr>
          <w:rFonts w:ascii="Times New Roman" w:hAnsi="Times New Roman" w:cs="Times New Roman"/>
          <w:b/>
          <w:sz w:val="24"/>
          <w:szCs w:val="24"/>
        </w:rPr>
      </w:pPr>
      <w:r>
        <w:rPr>
          <w:rFonts w:ascii="Times New Roman" w:eastAsia="Calibri" w:hAnsi="Times New Roman" w:cs="Times New Roman"/>
          <w:sz w:val="24"/>
          <w:szCs w:val="24"/>
        </w:rPr>
        <w:t>There are no exceptions.</w:t>
      </w:r>
    </w:p>
    <w:p w14:paraId="560027F4" w14:textId="37FAFF89" w:rsidR="00AD7B67" w:rsidRPr="00336D71" w:rsidRDefault="00AD7B67" w:rsidP="00336D71">
      <w:pPr>
        <w:rPr>
          <w:rFonts w:ascii="Times New Roman" w:hAnsi="Times New Roman" w:cs="Times New Roman"/>
          <w:sz w:val="24"/>
          <w:szCs w:val="24"/>
        </w:rPr>
      </w:pPr>
    </w:p>
    <w:sectPr w:rsidR="00AD7B67" w:rsidRPr="00336D7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6FFB6" w14:textId="77777777" w:rsidR="004E6128" w:rsidRDefault="004E6128" w:rsidP="00FD66F1">
      <w:pPr>
        <w:spacing w:after="0" w:line="240" w:lineRule="auto"/>
      </w:pPr>
      <w:r>
        <w:separator/>
      </w:r>
    </w:p>
  </w:endnote>
  <w:endnote w:type="continuationSeparator" w:id="0">
    <w:p w14:paraId="1BC13780" w14:textId="77777777" w:rsidR="004E6128" w:rsidRDefault="004E6128"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rFonts w:ascii="Times New Roman" w:hAnsi="Times New Roman" w:cs="Times New Roman"/>
        <w:noProof/>
      </w:rPr>
    </w:sdtEndPr>
    <w:sdtContent>
      <w:p w14:paraId="27B8E56E" w14:textId="77777777" w:rsidR="00430B5F" w:rsidRPr="009C3453" w:rsidRDefault="00430B5F">
        <w:pPr>
          <w:pStyle w:val="Footer"/>
          <w:jc w:val="right"/>
          <w:rPr>
            <w:rFonts w:ascii="Times New Roman" w:hAnsi="Times New Roman" w:cs="Times New Roman"/>
          </w:rPr>
        </w:pPr>
        <w:r w:rsidRPr="009C3453">
          <w:rPr>
            <w:rFonts w:ascii="Times New Roman" w:hAnsi="Times New Roman" w:cs="Times New Roman"/>
          </w:rPr>
          <w:fldChar w:fldCharType="begin"/>
        </w:r>
        <w:r w:rsidRPr="009C3453">
          <w:rPr>
            <w:rFonts w:ascii="Times New Roman" w:hAnsi="Times New Roman" w:cs="Times New Roman"/>
          </w:rPr>
          <w:instrText xml:space="preserve"> PAGE   \* MERGEFORMAT </w:instrText>
        </w:r>
        <w:r w:rsidRPr="009C3453">
          <w:rPr>
            <w:rFonts w:ascii="Times New Roman" w:hAnsi="Times New Roman" w:cs="Times New Roman"/>
          </w:rPr>
          <w:fldChar w:fldCharType="separate"/>
        </w:r>
        <w:r w:rsidR="00D51D6E">
          <w:rPr>
            <w:rFonts w:ascii="Times New Roman" w:hAnsi="Times New Roman" w:cs="Times New Roman"/>
            <w:noProof/>
          </w:rPr>
          <w:t>7</w:t>
        </w:r>
        <w:r w:rsidRPr="009C3453">
          <w:rPr>
            <w:rFonts w:ascii="Times New Roman" w:hAnsi="Times New Roman" w:cs="Times New Roman"/>
            <w:noProof/>
          </w:rPr>
          <w:fldChar w:fldCharType="end"/>
        </w:r>
      </w:p>
    </w:sdtContent>
  </w:sdt>
  <w:p w14:paraId="7B466C59" w14:textId="77777777" w:rsidR="00430B5F" w:rsidRDefault="00430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AFC62" w14:textId="77777777" w:rsidR="004E6128" w:rsidRDefault="004E6128" w:rsidP="00FD66F1">
      <w:pPr>
        <w:spacing w:after="0" w:line="240" w:lineRule="auto"/>
      </w:pPr>
      <w:r>
        <w:separator/>
      </w:r>
    </w:p>
  </w:footnote>
  <w:footnote w:type="continuationSeparator" w:id="0">
    <w:p w14:paraId="798C3E60" w14:textId="77777777" w:rsidR="004E6128" w:rsidRDefault="004E6128" w:rsidP="00FD66F1">
      <w:pPr>
        <w:spacing w:after="0" w:line="240" w:lineRule="auto"/>
      </w:pPr>
      <w:r>
        <w:continuationSeparator/>
      </w:r>
    </w:p>
  </w:footnote>
  <w:footnote w:id="1">
    <w:p w14:paraId="3505F9E0" w14:textId="2B656C95" w:rsidR="00535DDD" w:rsidRDefault="00535DDD" w:rsidP="00701DFB">
      <w:pPr>
        <w:pStyle w:val="FootnoteText"/>
      </w:pPr>
      <w:r>
        <w:rPr>
          <w:rStyle w:val="FootnoteReference"/>
        </w:rPr>
        <w:footnoteRef/>
      </w:r>
      <w:r>
        <w:t xml:space="preserve"> NPCC region had a different threshold of what a BES element would be based on the original definition and the flexibility given to Regional Entitles on this matter.  </w:t>
      </w:r>
    </w:p>
  </w:footnote>
  <w:footnote w:id="2">
    <w:p w14:paraId="6C42AC3A" w14:textId="77777777" w:rsidR="00137DE7" w:rsidRPr="000F2C3E" w:rsidRDefault="00137DE7" w:rsidP="00701DFB">
      <w:pPr>
        <w:pStyle w:val="FootnoteText"/>
      </w:pPr>
      <w:r w:rsidRPr="00B615A5">
        <w:rPr>
          <w:rStyle w:val="FootnoteReference"/>
        </w:rPr>
        <w:footnoteRef/>
      </w:r>
      <w:r w:rsidRPr="00B615A5">
        <w:t xml:space="preserve"> </w:t>
      </w:r>
      <w:r w:rsidRPr="000F2C3E">
        <w:t>The ROP exception process allows entities to request elements to be included or excluded from the bulk electric system based on technical analysis.  The exception process occurs after the bulk electric system is applied.</w:t>
      </w:r>
    </w:p>
  </w:footnote>
  <w:footnote w:id="3">
    <w:p w14:paraId="6AFF9518" w14:textId="1519BEB5" w:rsidR="004B5B5C" w:rsidRPr="00944643" w:rsidRDefault="004B5B5C" w:rsidP="00701DFB">
      <w:pPr>
        <w:pStyle w:val="FootnoteText"/>
      </w:pPr>
      <w:r w:rsidRPr="00944643">
        <w:rPr>
          <w:rStyle w:val="FootnoteReference"/>
        </w:rPr>
        <w:footnoteRef/>
      </w:r>
      <w:r w:rsidR="008C2702">
        <w:t xml:space="preserve"> 81</w:t>
      </w:r>
      <w:r w:rsidRPr="00944643">
        <w:t xml:space="preserve"> FR </w:t>
      </w:r>
      <w:r w:rsidR="008C2702">
        <w:t>29561</w:t>
      </w:r>
    </w:p>
  </w:footnote>
  <w:footnote w:id="4">
    <w:p w14:paraId="4540FC00" w14:textId="225A9E37" w:rsidR="004B1DA7" w:rsidRPr="00FD5FF4" w:rsidRDefault="004B1DA7" w:rsidP="00701DFB">
      <w:pPr>
        <w:pStyle w:val="FootnoteText"/>
      </w:pPr>
      <w:r w:rsidRPr="00FD5FF4">
        <w:rPr>
          <w:rStyle w:val="FootnoteReference"/>
        </w:rPr>
        <w:footnoteRef/>
      </w:r>
      <w:r w:rsidRPr="00FD5FF4">
        <w:t xml:space="preserve"> The hourly cost figure (wages plus benefits) comes from the Bureau of Labor Statistics (</w:t>
      </w:r>
      <w:hyperlink r:id="rId1" w:history="1">
        <w:r w:rsidRPr="00FD5FF4">
          <w:rPr>
            <w:rStyle w:val="Hyperlink"/>
          </w:rPr>
          <w:t>http://www.bls.gov/oes/current/naics2_22.htm</w:t>
        </w:r>
      </w:hyperlink>
      <w:r w:rsidRPr="00FD5FF4">
        <w:t xml:space="preserve">).  The figure is </w:t>
      </w:r>
      <w:r w:rsidR="00B317A7" w:rsidRPr="00B317A7">
        <w:t xml:space="preserve">a weighted average comprised of hourly figures </w:t>
      </w:r>
      <w:r w:rsidRPr="00FD5FF4">
        <w:t>for an electric engineer ($62.38, Occupational Code: 17-2071), file clerk ($30.53, Occupational Code: 43-4071), and a lawyer (</w:t>
      </w:r>
      <w:r w:rsidR="00B317A7">
        <w:t>$</w:t>
      </w:r>
      <w:r w:rsidRPr="00FD5FF4">
        <w:t>129.12, Occupational Code: 23-0000); the calculation is as follows: 60 hours of burden * $62.38 = $3,743; 32 hours * $30.53 = $977; 2 hours * $129.12 = $258. $3,743 + $977 + $258 = $4,978.</w:t>
      </w:r>
    </w:p>
  </w:footnote>
  <w:footnote w:id="5">
    <w:p w14:paraId="6910550E" w14:textId="77777777" w:rsidR="004B1DA7" w:rsidRPr="00FD5FF4" w:rsidRDefault="004B1DA7" w:rsidP="00701DFB">
      <w:pPr>
        <w:pStyle w:val="FootnoteText"/>
      </w:pPr>
      <w:r w:rsidRPr="00FD5FF4">
        <w:rPr>
          <w:rStyle w:val="FootnoteReference"/>
        </w:rPr>
        <w:footnoteRef/>
      </w:r>
      <w:r w:rsidRPr="00FD5FF4">
        <w:t xml:space="preserve"> The hourly cost figure of $62.38 (wages plus benefits) comes from the Bureau of Labor Statistics (</w:t>
      </w:r>
      <w:hyperlink r:id="rId2" w:history="1">
        <w:r w:rsidRPr="00FD5FF4">
          <w:rPr>
            <w:rStyle w:val="Hyperlink"/>
          </w:rPr>
          <w:t>http://www.bls.gov/oes/current/naics2_22.htm</w:t>
        </w:r>
      </w:hyperlink>
      <w:r w:rsidRPr="00FD5FF4">
        <w:t>).  The figure is for an electric engineer (Occupational Code: 17-2071).</w:t>
      </w:r>
    </w:p>
  </w:footnote>
  <w:footnote w:id="6">
    <w:p w14:paraId="329BD7BF" w14:textId="77777777" w:rsidR="004B1DA7" w:rsidRPr="00FD5FF4" w:rsidRDefault="004B1DA7" w:rsidP="00701DFB">
      <w:pPr>
        <w:pStyle w:val="FootnoteText"/>
      </w:pPr>
      <w:r w:rsidRPr="00FD5FF4">
        <w:rPr>
          <w:rStyle w:val="FootnoteReference"/>
        </w:rPr>
        <w:footnoteRef/>
      </w:r>
      <w:r w:rsidRPr="00FD5FF4">
        <w:t xml:space="preserve"> The hourly cost figure (wages plus benefits) comes from the Bureau of Labor Statistics (</w:t>
      </w:r>
      <w:hyperlink r:id="rId3" w:history="1">
        <w:r w:rsidRPr="00FD5FF4">
          <w:rPr>
            <w:rStyle w:val="Hyperlink"/>
          </w:rPr>
          <w:t>http://www.bls.gov/oes/current/naics2_22.htm</w:t>
        </w:r>
      </w:hyperlink>
      <w:r w:rsidRPr="00FD5FF4">
        <w:t xml:space="preserve">).  The figure is a weighted average comprised of </w:t>
      </w:r>
      <w:r>
        <w:t xml:space="preserve">hourly </w:t>
      </w:r>
      <w:r w:rsidRPr="00FD5FF4">
        <w:t>figures for an electric engineer ($62.38, Occupational Code: 17-2071), file clerk ($30.53, Occupational Code: 43-4071), and a lawyer (129.12, Occupational Code:</w:t>
      </w:r>
      <w:r>
        <w:t xml:space="preserve"> 23-0000); t</w:t>
      </w:r>
      <w:r w:rsidRPr="00FD5FF4">
        <w:t>he calculation is as follows: 60 hours of burden * $62.38 = $3,743; 8 hours * $30.53 = $244; 24 hours * $129.12 = $3,099. $3,743 + $244 + $3,099 = $7,086.</w:t>
      </w:r>
    </w:p>
  </w:footnote>
  <w:footnote w:id="7">
    <w:p w14:paraId="03124C62" w14:textId="03E8E5A5" w:rsidR="00701DFB" w:rsidRPr="00701DFB" w:rsidRDefault="00701DFB" w:rsidP="00701DFB">
      <w:pPr>
        <w:spacing w:after="0" w:line="240" w:lineRule="auto"/>
        <w:rPr>
          <w:rFonts w:ascii="Times New Roman" w:hAnsi="Times New Roman" w:cs="Times New Roman"/>
          <w:sz w:val="20"/>
          <w:szCs w:val="20"/>
        </w:rPr>
      </w:pPr>
      <w:r w:rsidRPr="00701DFB">
        <w:rPr>
          <w:rStyle w:val="FootnoteReference"/>
          <w:rFonts w:ascii="Times New Roman" w:hAnsi="Times New Roman" w:cs="Times New Roman"/>
          <w:sz w:val="20"/>
          <w:szCs w:val="20"/>
          <w:vertAlign w:val="superscript"/>
        </w:rPr>
        <w:footnoteRef/>
      </w:r>
      <w:r w:rsidRPr="00701DFB">
        <w:rPr>
          <w:rFonts w:ascii="Times New Roman" w:hAnsi="Times New Roman" w:cs="Times New Roman"/>
          <w:sz w:val="20"/>
          <w:szCs w:val="20"/>
        </w:rPr>
        <w:t xml:space="preserve"> Based upon 2016 FTE average salary plus benefits ($154,647.00).</w:t>
      </w:r>
    </w:p>
  </w:footnote>
  <w:footnote w:id="8">
    <w:p w14:paraId="350AE880" w14:textId="77777777" w:rsidR="00EC1414" w:rsidRPr="00C41886" w:rsidRDefault="00EC1414" w:rsidP="00701DFB">
      <w:pPr>
        <w:pStyle w:val="FootnoteText"/>
      </w:pPr>
      <w:r w:rsidRPr="00C41886">
        <w:rPr>
          <w:rStyle w:val="FootnoteReference"/>
          <w:vertAlign w:val="superscript"/>
        </w:rPr>
        <w:footnoteRef/>
      </w:r>
      <w:r w:rsidRPr="00C41886">
        <w:rPr>
          <w:vertAlign w:val="superscript"/>
        </w:rPr>
        <w:t xml:space="preserve"> </w:t>
      </w:r>
      <w:r w:rsidRPr="00C41886">
        <w:t>Paperwork Reduction Act of 1995 (PRA)</w:t>
      </w:r>
    </w:p>
  </w:footnote>
  <w:footnote w:id="9">
    <w:p w14:paraId="7E86488B" w14:textId="77777777" w:rsidR="00EC1414" w:rsidRPr="00C41886" w:rsidRDefault="00EC1414" w:rsidP="00701DFB">
      <w:pPr>
        <w:pStyle w:val="FootnoteText"/>
      </w:pPr>
      <w:r w:rsidRPr="00C41886">
        <w:rPr>
          <w:rStyle w:val="FootnoteReference"/>
          <w:vertAlign w:val="superscript"/>
        </w:rPr>
        <w:footnoteRef/>
      </w:r>
      <w:r w:rsidRPr="00C41886">
        <w:rPr>
          <w:vertAlign w:val="superscript"/>
        </w:rPr>
        <w:t xml:space="preserve"> </w:t>
      </w:r>
      <w:r w:rsidRPr="00C41886">
        <w:t>The PRA Administrative Cost is a Federal Cost associated with preparing, issuing, and submitting materials necessary to comply with the PRA for rulemakings, orders, or any other vehicle used to create, modify, extend, or discontinue an information collection.   </w:t>
      </w:r>
    </w:p>
  </w:footnote>
  <w:footnote w:id="10">
    <w:p w14:paraId="0C51FB5C" w14:textId="77777777" w:rsidR="00431245" w:rsidRDefault="00431245" w:rsidP="00701DFB">
      <w:pPr>
        <w:pStyle w:val="FootnoteText"/>
      </w:pPr>
      <w:r w:rsidRPr="003F1DD0">
        <w:rPr>
          <w:rStyle w:val="FootnoteReference"/>
          <w:vertAlign w:val="superscript"/>
        </w:rPr>
        <w:footnoteRef/>
      </w:r>
      <w:r>
        <w:t xml:space="preserve"> NPCC used 200Kv as a threshold value to distinguish between BES elements and distribution elements.  The original BES definition gave Regional Entities the discretion to use other values as the cutoff value.  However, the revised definition uses 100Kv and takes away the Regional Entities discretion to have a uniformed definition.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D59AB" w14:textId="72D48434" w:rsidR="00430B5F" w:rsidRDefault="00C3084B" w:rsidP="00B3407F">
    <w:pPr>
      <w:pStyle w:val="Header"/>
      <w:rPr>
        <w:rFonts w:ascii="Times New Roman" w:hAnsi="Times New Roman"/>
        <w:sz w:val="24"/>
        <w:szCs w:val="24"/>
      </w:rPr>
    </w:pPr>
    <w:r>
      <w:rPr>
        <w:rFonts w:ascii="Times New Roman" w:hAnsi="Times New Roman"/>
        <w:sz w:val="24"/>
        <w:szCs w:val="24"/>
      </w:rPr>
      <w:t>FERC-725J</w:t>
    </w:r>
    <w:r w:rsidR="00A62E6A">
      <w:rPr>
        <w:rFonts w:ascii="Times New Roman" w:hAnsi="Times New Roman"/>
        <w:sz w:val="24"/>
        <w:szCs w:val="24"/>
      </w:rPr>
      <w:t xml:space="preserve"> (OMB </w:t>
    </w:r>
    <w:r>
      <w:rPr>
        <w:rFonts w:ascii="Times New Roman" w:hAnsi="Times New Roman"/>
        <w:sz w:val="24"/>
        <w:szCs w:val="24"/>
      </w:rPr>
      <w:t>Control No.: 1902-0259</w:t>
    </w:r>
    <w:r w:rsidR="00430B5F" w:rsidRPr="00A62E6A">
      <w:rPr>
        <w:rFonts w:ascii="Times New Roman" w:hAnsi="Times New Roman"/>
        <w:sz w:val="24"/>
        <w:szCs w:val="24"/>
      </w:rPr>
      <w:t>)</w:t>
    </w:r>
  </w:p>
  <w:p w14:paraId="7A139A62" w14:textId="29617706" w:rsidR="007D33F1" w:rsidRPr="00C3084B" w:rsidRDefault="007D33F1" w:rsidP="00B3407F">
    <w:pPr>
      <w:pStyle w:val="Header"/>
      <w:rPr>
        <w:rFonts w:ascii="Times New Roman" w:hAnsi="Times New Roman"/>
        <w:sz w:val="24"/>
        <w:szCs w:val="24"/>
      </w:rPr>
    </w:pPr>
    <w:r>
      <w:rPr>
        <w:rFonts w:ascii="Times New Roman" w:hAnsi="Times New Roman"/>
        <w:sz w:val="24"/>
        <w:szCs w:val="24"/>
      </w:rPr>
      <w:t>Updated: 10/6/2016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1" w15:restartNumberingAfterBreak="0">
    <w:nsid w:val="267174C2"/>
    <w:multiLevelType w:val="hybridMultilevel"/>
    <w:tmpl w:val="337C6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D7AD3"/>
    <w:multiLevelType w:val="hybridMultilevel"/>
    <w:tmpl w:val="94342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A7D1E"/>
    <w:multiLevelType w:val="hybridMultilevel"/>
    <w:tmpl w:val="6A10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5" w15:restartNumberingAfterBreak="0">
    <w:nsid w:val="3330762A"/>
    <w:multiLevelType w:val="hybridMultilevel"/>
    <w:tmpl w:val="324E4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F1306"/>
    <w:multiLevelType w:val="hybridMultilevel"/>
    <w:tmpl w:val="64FE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23863"/>
    <w:multiLevelType w:val="hybridMultilevel"/>
    <w:tmpl w:val="4280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893EE1"/>
    <w:multiLevelType w:val="hybridMultilevel"/>
    <w:tmpl w:val="FEB892D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3" w15:restartNumberingAfterBreak="0">
    <w:nsid w:val="7C646418"/>
    <w:multiLevelType w:val="hybridMultilevel"/>
    <w:tmpl w:val="6C382824"/>
    <w:lvl w:ilvl="0" w:tplc="C2BE6C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14"/>
  </w:num>
  <w:num w:numId="3">
    <w:abstractNumId w:val="19"/>
  </w:num>
  <w:num w:numId="4">
    <w:abstractNumId w:val="21"/>
  </w:num>
  <w:num w:numId="5">
    <w:abstractNumId w:val="24"/>
  </w:num>
  <w:num w:numId="6">
    <w:abstractNumId w:val="22"/>
  </w:num>
  <w:num w:numId="7">
    <w:abstractNumId w:val="10"/>
  </w:num>
  <w:num w:numId="8">
    <w:abstractNumId w:val="2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 w:numId="20">
    <w:abstractNumId w:val="24"/>
    <w:lvlOverride w:ilvl="0">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1"/>
  </w:num>
  <w:num w:numId="25">
    <w:abstractNumId w:val="23"/>
  </w:num>
  <w:num w:numId="26">
    <w:abstractNumId w:val="13"/>
  </w:num>
  <w:num w:numId="27">
    <w:abstractNumId w:val="1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revisionView w:formatting="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01E9B"/>
    <w:rsid w:val="000042C0"/>
    <w:rsid w:val="00005EA6"/>
    <w:rsid w:val="00014184"/>
    <w:rsid w:val="0002242D"/>
    <w:rsid w:val="0003446B"/>
    <w:rsid w:val="00035845"/>
    <w:rsid w:val="00051011"/>
    <w:rsid w:val="00052F06"/>
    <w:rsid w:val="00054123"/>
    <w:rsid w:val="00066DA6"/>
    <w:rsid w:val="00071E8E"/>
    <w:rsid w:val="00072C72"/>
    <w:rsid w:val="00082040"/>
    <w:rsid w:val="0008601A"/>
    <w:rsid w:val="000870B7"/>
    <w:rsid w:val="00094281"/>
    <w:rsid w:val="000968A1"/>
    <w:rsid w:val="000B0C37"/>
    <w:rsid w:val="000D2AF1"/>
    <w:rsid w:val="000E12AA"/>
    <w:rsid w:val="000E18A0"/>
    <w:rsid w:val="000E4604"/>
    <w:rsid w:val="000E7187"/>
    <w:rsid w:val="000E7A2C"/>
    <w:rsid w:val="000F13C5"/>
    <w:rsid w:val="00100A8D"/>
    <w:rsid w:val="00110157"/>
    <w:rsid w:val="00116BB4"/>
    <w:rsid w:val="00137DE7"/>
    <w:rsid w:val="00143103"/>
    <w:rsid w:val="001438C3"/>
    <w:rsid w:val="001560BD"/>
    <w:rsid w:val="00177077"/>
    <w:rsid w:val="0017787C"/>
    <w:rsid w:val="00181727"/>
    <w:rsid w:val="00185730"/>
    <w:rsid w:val="00186AD0"/>
    <w:rsid w:val="00195C0D"/>
    <w:rsid w:val="001A1EAE"/>
    <w:rsid w:val="001B6724"/>
    <w:rsid w:val="001C1428"/>
    <w:rsid w:val="001C300E"/>
    <w:rsid w:val="001C388B"/>
    <w:rsid w:val="001D3121"/>
    <w:rsid w:val="001D7E0A"/>
    <w:rsid w:val="001F1AD2"/>
    <w:rsid w:val="001F54A4"/>
    <w:rsid w:val="001F5893"/>
    <w:rsid w:val="001F6FF8"/>
    <w:rsid w:val="00203C5C"/>
    <w:rsid w:val="00212A8F"/>
    <w:rsid w:val="00212FCA"/>
    <w:rsid w:val="002249B4"/>
    <w:rsid w:val="00231EBD"/>
    <w:rsid w:val="00234A54"/>
    <w:rsid w:val="002435E5"/>
    <w:rsid w:val="002441B8"/>
    <w:rsid w:val="00245FFD"/>
    <w:rsid w:val="00253694"/>
    <w:rsid w:val="00255F31"/>
    <w:rsid w:val="0026674D"/>
    <w:rsid w:val="00275D65"/>
    <w:rsid w:val="002800F3"/>
    <w:rsid w:val="0028162C"/>
    <w:rsid w:val="0028412B"/>
    <w:rsid w:val="00290410"/>
    <w:rsid w:val="0029489D"/>
    <w:rsid w:val="00295AAF"/>
    <w:rsid w:val="0029639D"/>
    <w:rsid w:val="002A25C9"/>
    <w:rsid w:val="002A67D6"/>
    <w:rsid w:val="002B13E2"/>
    <w:rsid w:val="002B2D91"/>
    <w:rsid w:val="002B4647"/>
    <w:rsid w:val="002D5B8B"/>
    <w:rsid w:val="002D7421"/>
    <w:rsid w:val="002E6793"/>
    <w:rsid w:val="00301A61"/>
    <w:rsid w:val="003108FC"/>
    <w:rsid w:val="00314874"/>
    <w:rsid w:val="0031742B"/>
    <w:rsid w:val="00317E44"/>
    <w:rsid w:val="00324D7D"/>
    <w:rsid w:val="003273E6"/>
    <w:rsid w:val="00333EE2"/>
    <w:rsid w:val="00336D71"/>
    <w:rsid w:val="003443B0"/>
    <w:rsid w:val="00350FC4"/>
    <w:rsid w:val="003518E4"/>
    <w:rsid w:val="003568F0"/>
    <w:rsid w:val="003729A3"/>
    <w:rsid w:val="00381926"/>
    <w:rsid w:val="00381D71"/>
    <w:rsid w:val="0038387E"/>
    <w:rsid w:val="0038697C"/>
    <w:rsid w:val="0038744E"/>
    <w:rsid w:val="00391952"/>
    <w:rsid w:val="00392C99"/>
    <w:rsid w:val="003972EB"/>
    <w:rsid w:val="003A3C84"/>
    <w:rsid w:val="003A6785"/>
    <w:rsid w:val="003B064D"/>
    <w:rsid w:val="003B25DD"/>
    <w:rsid w:val="003B3018"/>
    <w:rsid w:val="003D1CAB"/>
    <w:rsid w:val="003D4247"/>
    <w:rsid w:val="003E3422"/>
    <w:rsid w:val="003F1DD0"/>
    <w:rsid w:val="003F5663"/>
    <w:rsid w:val="003F56FD"/>
    <w:rsid w:val="00414F32"/>
    <w:rsid w:val="00415C53"/>
    <w:rsid w:val="00422546"/>
    <w:rsid w:val="00430B5F"/>
    <w:rsid w:val="00431245"/>
    <w:rsid w:val="00432D3A"/>
    <w:rsid w:val="00442C83"/>
    <w:rsid w:val="004552E9"/>
    <w:rsid w:val="00462F59"/>
    <w:rsid w:val="004779B9"/>
    <w:rsid w:val="004A189C"/>
    <w:rsid w:val="004A1C23"/>
    <w:rsid w:val="004A40DB"/>
    <w:rsid w:val="004B01EE"/>
    <w:rsid w:val="004B1DA7"/>
    <w:rsid w:val="004B5B5C"/>
    <w:rsid w:val="004C01C2"/>
    <w:rsid w:val="004C4C89"/>
    <w:rsid w:val="004C5674"/>
    <w:rsid w:val="004C6BBA"/>
    <w:rsid w:val="004E6128"/>
    <w:rsid w:val="004E69D9"/>
    <w:rsid w:val="004F6977"/>
    <w:rsid w:val="004F7D08"/>
    <w:rsid w:val="00500E8A"/>
    <w:rsid w:val="005013F0"/>
    <w:rsid w:val="00503B00"/>
    <w:rsid w:val="00504E92"/>
    <w:rsid w:val="00522F69"/>
    <w:rsid w:val="00525027"/>
    <w:rsid w:val="00530462"/>
    <w:rsid w:val="0053287C"/>
    <w:rsid w:val="005335A7"/>
    <w:rsid w:val="00534362"/>
    <w:rsid w:val="00535DDD"/>
    <w:rsid w:val="005462C0"/>
    <w:rsid w:val="00571C5E"/>
    <w:rsid w:val="0057700F"/>
    <w:rsid w:val="00580974"/>
    <w:rsid w:val="00585851"/>
    <w:rsid w:val="005A2792"/>
    <w:rsid w:val="005A615D"/>
    <w:rsid w:val="005B4642"/>
    <w:rsid w:val="005B77CE"/>
    <w:rsid w:val="005E5EEF"/>
    <w:rsid w:val="005E7290"/>
    <w:rsid w:val="005F1679"/>
    <w:rsid w:val="005F1C3C"/>
    <w:rsid w:val="006166FA"/>
    <w:rsid w:val="00632E66"/>
    <w:rsid w:val="0063660B"/>
    <w:rsid w:val="00640C78"/>
    <w:rsid w:val="00652A58"/>
    <w:rsid w:val="00653BD5"/>
    <w:rsid w:val="00664BC0"/>
    <w:rsid w:val="00670E40"/>
    <w:rsid w:val="006738A3"/>
    <w:rsid w:val="006835EB"/>
    <w:rsid w:val="006867FE"/>
    <w:rsid w:val="0068765C"/>
    <w:rsid w:val="00690136"/>
    <w:rsid w:val="00693106"/>
    <w:rsid w:val="00693371"/>
    <w:rsid w:val="006A01B9"/>
    <w:rsid w:val="006A7291"/>
    <w:rsid w:val="006B1C0C"/>
    <w:rsid w:val="006B36DC"/>
    <w:rsid w:val="006D15EC"/>
    <w:rsid w:val="006D3785"/>
    <w:rsid w:val="006E33D4"/>
    <w:rsid w:val="006E6BF1"/>
    <w:rsid w:val="006F18E9"/>
    <w:rsid w:val="006F5785"/>
    <w:rsid w:val="00701DFB"/>
    <w:rsid w:val="007023B0"/>
    <w:rsid w:val="00704347"/>
    <w:rsid w:val="00704857"/>
    <w:rsid w:val="0070490D"/>
    <w:rsid w:val="0071460E"/>
    <w:rsid w:val="0072126E"/>
    <w:rsid w:val="00730307"/>
    <w:rsid w:val="00734692"/>
    <w:rsid w:val="00743430"/>
    <w:rsid w:val="00763EAE"/>
    <w:rsid w:val="00764D4D"/>
    <w:rsid w:val="00773AEB"/>
    <w:rsid w:val="007766A6"/>
    <w:rsid w:val="0077755E"/>
    <w:rsid w:val="00787670"/>
    <w:rsid w:val="00793898"/>
    <w:rsid w:val="007A2F92"/>
    <w:rsid w:val="007B25AA"/>
    <w:rsid w:val="007B5A69"/>
    <w:rsid w:val="007B6ADD"/>
    <w:rsid w:val="007D2944"/>
    <w:rsid w:val="007D33F1"/>
    <w:rsid w:val="007D66EB"/>
    <w:rsid w:val="007E6F2F"/>
    <w:rsid w:val="007E7C0F"/>
    <w:rsid w:val="007F2CD9"/>
    <w:rsid w:val="0080180A"/>
    <w:rsid w:val="0081469B"/>
    <w:rsid w:val="00826750"/>
    <w:rsid w:val="00846003"/>
    <w:rsid w:val="00847897"/>
    <w:rsid w:val="0085335C"/>
    <w:rsid w:val="00854C4E"/>
    <w:rsid w:val="008619E1"/>
    <w:rsid w:val="0087477C"/>
    <w:rsid w:val="00876154"/>
    <w:rsid w:val="00876F75"/>
    <w:rsid w:val="00883F19"/>
    <w:rsid w:val="008844F3"/>
    <w:rsid w:val="00887E7E"/>
    <w:rsid w:val="008A21A4"/>
    <w:rsid w:val="008A3C25"/>
    <w:rsid w:val="008B703B"/>
    <w:rsid w:val="008C116D"/>
    <w:rsid w:val="008C2702"/>
    <w:rsid w:val="008C288D"/>
    <w:rsid w:val="008D06B5"/>
    <w:rsid w:val="008D1162"/>
    <w:rsid w:val="008D7D08"/>
    <w:rsid w:val="008E3BFC"/>
    <w:rsid w:val="008E657B"/>
    <w:rsid w:val="008E70CD"/>
    <w:rsid w:val="009009B7"/>
    <w:rsid w:val="00913A8B"/>
    <w:rsid w:val="00923694"/>
    <w:rsid w:val="0092596C"/>
    <w:rsid w:val="00926C24"/>
    <w:rsid w:val="00933B30"/>
    <w:rsid w:val="009367D6"/>
    <w:rsid w:val="0093752E"/>
    <w:rsid w:val="00942604"/>
    <w:rsid w:val="00970FE4"/>
    <w:rsid w:val="00976E96"/>
    <w:rsid w:val="0098144A"/>
    <w:rsid w:val="009A2394"/>
    <w:rsid w:val="009B35A6"/>
    <w:rsid w:val="009B4CC4"/>
    <w:rsid w:val="009C16AD"/>
    <w:rsid w:val="009C3453"/>
    <w:rsid w:val="009C5135"/>
    <w:rsid w:val="009E1190"/>
    <w:rsid w:val="009E68B7"/>
    <w:rsid w:val="009F358B"/>
    <w:rsid w:val="00A1249A"/>
    <w:rsid w:val="00A13566"/>
    <w:rsid w:val="00A276F5"/>
    <w:rsid w:val="00A306DF"/>
    <w:rsid w:val="00A337D1"/>
    <w:rsid w:val="00A3517E"/>
    <w:rsid w:val="00A36E03"/>
    <w:rsid w:val="00A4052D"/>
    <w:rsid w:val="00A4336A"/>
    <w:rsid w:val="00A548BE"/>
    <w:rsid w:val="00A62E6A"/>
    <w:rsid w:val="00A6524A"/>
    <w:rsid w:val="00A72607"/>
    <w:rsid w:val="00A72E7B"/>
    <w:rsid w:val="00A73469"/>
    <w:rsid w:val="00A800B2"/>
    <w:rsid w:val="00A93304"/>
    <w:rsid w:val="00A94DB1"/>
    <w:rsid w:val="00A968FB"/>
    <w:rsid w:val="00A96B65"/>
    <w:rsid w:val="00AA7559"/>
    <w:rsid w:val="00AC503F"/>
    <w:rsid w:val="00AD3DE5"/>
    <w:rsid w:val="00AD7B67"/>
    <w:rsid w:val="00AE4211"/>
    <w:rsid w:val="00AF32F2"/>
    <w:rsid w:val="00AF4B6E"/>
    <w:rsid w:val="00AF7F46"/>
    <w:rsid w:val="00B018E3"/>
    <w:rsid w:val="00B1381C"/>
    <w:rsid w:val="00B1422D"/>
    <w:rsid w:val="00B15596"/>
    <w:rsid w:val="00B16372"/>
    <w:rsid w:val="00B317A7"/>
    <w:rsid w:val="00B3407F"/>
    <w:rsid w:val="00B344D8"/>
    <w:rsid w:val="00B41267"/>
    <w:rsid w:val="00B41F71"/>
    <w:rsid w:val="00B5301A"/>
    <w:rsid w:val="00B63139"/>
    <w:rsid w:val="00B7202E"/>
    <w:rsid w:val="00B7427C"/>
    <w:rsid w:val="00B8040E"/>
    <w:rsid w:val="00B86284"/>
    <w:rsid w:val="00B91FA9"/>
    <w:rsid w:val="00BA1C7D"/>
    <w:rsid w:val="00BA5743"/>
    <w:rsid w:val="00BA7C56"/>
    <w:rsid w:val="00BC302C"/>
    <w:rsid w:val="00BC77EF"/>
    <w:rsid w:val="00BD431D"/>
    <w:rsid w:val="00BD488B"/>
    <w:rsid w:val="00BD6EEC"/>
    <w:rsid w:val="00BF7EB2"/>
    <w:rsid w:val="00C00D70"/>
    <w:rsid w:val="00C01698"/>
    <w:rsid w:val="00C068E0"/>
    <w:rsid w:val="00C06913"/>
    <w:rsid w:val="00C16F76"/>
    <w:rsid w:val="00C256AC"/>
    <w:rsid w:val="00C3084B"/>
    <w:rsid w:val="00C37770"/>
    <w:rsid w:val="00C41886"/>
    <w:rsid w:val="00C41A65"/>
    <w:rsid w:val="00C47083"/>
    <w:rsid w:val="00C510DD"/>
    <w:rsid w:val="00C55853"/>
    <w:rsid w:val="00C57485"/>
    <w:rsid w:val="00C60EDC"/>
    <w:rsid w:val="00C61BCC"/>
    <w:rsid w:val="00C61DBB"/>
    <w:rsid w:val="00C62F55"/>
    <w:rsid w:val="00C6730B"/>
    <w:rsid w:val="00C71122"/>
    <w:rsid w:val="00C822D1"/>
    <w:rsid w:val="00C867EB"/>
    <w:rsid w:val="00C87021"/>
    <w:rsid w:val="00CA495F"/>
    <w:rsid w:val="00CA4F8C"/>
    <w:rsid w:val="00CA59C3"/>
    <w:rsid w:val="00CA65E7"/>
    <w:rsid w:val="00CB42C4"/>
    <w:rsid w:val="00CB5C60"/>
    <w:rsid w:val="00CB75A8"/>
    <w:rsid w:val="00CC366F"/>
    <w:rsid w:val="00CC376A"/>
    <w:rsid w:val="00CD061C"/>
    <w:rsid w:val="00CD7DBB"/>
    <w:rsid w:val="00CE34E4"/>
    <w:rsid w:val="00CE5550"/>
    <w:rsid w:val="00CF511E"/>
    <w:rsid w:val="00CF734E"/>
    <w:rsid w:val="00CF793D"/>
    <w:rsid w:val="00D009B9"/>
    <w:rsid w:val="00D018D3"/>
    <w:rsid w:val="00D037AB"/>
    <w:rsid w:val="00D05A7F"/>
    <w:rsid w:val="00D20588"/>
    <w:rsid w:val="00D25C92"/>
    <w:rsid w:val="00D31FF3"/>
    <w:rsid w:val="00D3369F"/>
    <w:rsid w:val="00D34087"/>
    <w:rsid w:val="00D35F10"/>
    <w:rsid w:val="00D40D3F"/>
    <w:rsid w:val="00D430F7"/>
    <w:rsid w:val="00D51D6E"/>
    <w:rsid w:val="00D72E0B"/>
    <w:rsid w:val="00D734E6"/>
    <w:rsid w:val="00D80FBD"/>
    <w:rsid w:val="00D925EA"/>
    <w:rsid w:val="00DA5A72"/>
    <w:rsid w:val="00DB14A2"/>
    <w:rsid w:val="00DB2A0A"/>
    <w:rsid w:val="00DC385C"/>
    <w:rsid w:val="00DC4E36"/>
    <w:rsid w:val="00DC6B58"/>
    <w:rsid w:val="00DC738F"/>
    <w:rsid w:val="00DE00F4"/>
    <w:rsid w:val="00DF19E8"/>
    <w:rsid w:val="00DF401D"/>
    <w:rsid w:val="00DF56DA"/>
    <w:rsid w:val="00DF739D"/>
    <w:rsid w:val="00E05FA3"/>
    <w:rsid w:val="00E07437"/>
    <w:rsid w:val="00E11CA6"/>
    <w:rsid w:val="00E14565"/>
    <w:rsid w:val="00E14A66"/>
    <w:rsid w:val="00E14BA3"/>
    <w:rsid w:val="00E20612"/>
    <w:rsid w:val="00E20D62"/>
    <w:rsid w:val="00E21C81"/>
    <w:rsid w:val="00E22223"/>
    <w:rsid w:val="00E37E84"/>
    <w:rsid w:val="00E41EEC"/>
    <w:rsid w:val="00E4319E"/>
    <w:rsid w:val="00E44A59"/>
    <w:rsid w:val="00E4569B"/>
    <w:rsid w:val="00E55D46"/>
    <w:rsid w:val="00E57AAC"/>
    <w:rsid w:val="00E636D7"/>
    <w:rsid w:val="00E70827"/>
    <w:rsid w:val="00E72069"/>
    <w:rsid w:val="00E7335D"/>
    <w:rsid w:val="00E77D58"/>
    <w:rsid w:val="00E87A4F"/>
    <w:rsid w:val="00EA1E26"/>
    <w:rsid w:val="00EA242E"/>
    <w:rsid w:val="00EB1FF5"/>
    <w:rsid w:val="00EB3E6F"/>
    <w:rsid w:val="00EC0232"/>
    <w:rsid w:val="00EC1414"/>
    <w:rsid w:val="00EC3EC5"/>
    <w:rsid w:val="00ED5560"/>
    <w:rsid w:val="00ED56B3"/>
    <w:rsid w:val="00EE141F"/>
    <w:rsid w:val="00EE358E"/>
    <w:rsid w:val="00EE674C"/>
    <w:rsid w:val="00EF2978"/>
    <w:rsid w:val="00EF57A0"/>
    <w:rsid w:val="00EF7683"/>
    <w:rsid w:val="00F05363"/>
    <w:rsid w:val="00F12DC2"/>
    <w:rsid w:val="00F13E46"/>
    <w:rsid w:val="00F152DF"/>
    <w:rsid w:val="00F30A23"/>
    <w:rsid w:val="00F421CB"/>
    <w:rsid w:val="00F436F8"/>
    <w:rsid w:val="00F65BD2"/>
    <w:rsid w:val="00FA0CEC"/>
    <w:rsid w:val="00FA2F50"/>
    <w:rsid w:val="00FA3DDA"/>
    <w:rsid w:val="00FA4A60"/>
    <w:rsid w:val="00FB0BA8"/>
    <w:rsid w:val="00FB16E6"/>
    <w:rsid w:val="00FB44C6"/>
    <w:rsid w:val="00FB6DBC"/>
    <w:rsid w:val="00FC1142"/>
    <w:rsid w:val="00FD1DF0"/>
    <w:rsid w:val="00FD66F1"/>
    <w:rsid w:val="00FF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F1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qFormat/>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6B1C0C"/>
    <w:rPr>
      <w:sz w:val="26"/>
      <w:szCs w:val="24"/>
    </w:rPr>
  </w:style>
  <w:style w:type="paragraph" w:styleId="Revision">
    <w:name w:val="Revision"/>
    <w:hidden/>
    <w:uiPriority w:val="99"/>
    <w:semiHidden/>
    <w:rsid w:val="002A25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2483">
      <w:bodyDiv w:val="1"/>
      <w:marLeft w:val="0"/>
      <w:marRight w:val="0"/>
      <w:marTop w:val="0"/>
      <w:marBottom w:val="0"/>
      <w:divBdr>
        <w:top w:val="none" w:sz="0" w:space="0" w:color="auto"/>
        <w:left w:val="none" w:sz="0" w:space="0" w:color="auto"/>
        <w:bottom w:val="none" w:sz="0" w:space="0" w:color="auto"/>
        <w:right w:val="none" w:sz="0" w:space="0" w:color="auto"/>
      </w:divBdr>
    </w:div>
    <w:div w:id="227614954">
      <w:bodyDiv w:val="1"/>
      <w:marLeft w:val="0"/>
      <w:marRight w:val="0"/>
      <w:marTop w:val="0"/>
      <w:marBottom w:val="0"/>
      <w:divBdr>
        <w:top w:val="none" w:sz="0" w:space="0" w:color="auto"/>
        <w:left w:val="none" w:sz="0" w:space="0" w:color="auto"/>
        <w:bottom w:val="none" w:sz="0" w:space="0" w:color="auto"/>
        <w:right w:val="none" w:sz="0" w:space="0" w:color="auto"/>
      </w:divBdr>
    </w:div>
    <w:div w:id="270867530">
      <w:bodyDiv w:val="1"/>
      <w:marLeft w:val="0"/>
      <w:marRight w:val="0"/>
      <w:marTop w:val="0"/>
      <w:marBottom w:val="0"/>
      <w:divBdr>
        <w:top w:val="none" w:sz="0" w:space="0" w:color="auto"/>
        <w:left w:val="none" w:sz="0" w:space="0" w:color="auto"/>
        <w:bottom w:val="none" w:sz="0" w:space="0" w:color="auto"/>
        <w:right w:val="none" w:sz="0" w:space="0" w:color="auto"/>
      </w:divBdr>
    </w:div>
    <w:div w:id="633489383">
      <w:bodyDiv w:val="1"/>
      <w:marLeft w:val="0"/>
      <w:marRight w:val="0"/>
      <w:marTop w:val="0"/>
      <w:marBottom w:val="0"/>
      <w:divBdr>
        <w:top w:val="none" w:sz="0" w:space="0" w:color="auto"/>
        <w:left w:val="none" w:sz="0" w:space="0" w:color="auto"/>
        <w:bottom w:val="none" w:sz="0" w:space="0" w:color="auto"/>
        <w:right w:val="none" w:sz="0" w:space="0" w:color="auto"/>
      </w:divBdr>
    </w:div>
    <w:div w:id="1175533537">
      <w:bodyDiv w:val="1"/>
      <w:marLeft w:val="0"/>
      <w:marRight w:val="0"/>
      <w:marTop w:val="0"/>
      <w:marBottom w:val="0"/>
      <w:divBdr>
        <w:top w:val="none" w:sz="0" w:space="0" w:color="auto"/>
        <w:left w:val="none" w:sz="0" w:space="0" w:color="auto"/>
        <w:bottom w:val="none" w:sz="0" w:space="0" w:color="auto"/>
        <w:right w:val="none" w:sz="0" w:space="0" w:color="auto"/>
      </w:divBdr>
    </w:div>
    <w:div w:id="1375235784">
      <w:bodyDiv w:val="1"/>
      <w:marLeft w:val="0"/>
      <w:marRight w:val="0"/>
      <w:marTop w:val="0"/>
      <w:marBottom w:val="0"/>
      <w:divBdr>
        <w:top w:val="none" w:sz="0" w:space="0" w:color="auto"/>
        <w:left w:val="none" w:sz="0" w:space="0" w:color="auto"/>
        <w:bottom w:val="none" w:sz="0" w:space="0" w:color="auto"/>
        <w:right w:val="none" w:sz="0" w:space="0" w:color="auto"/>
      </w:divBdr>
    </w:div>
    <w:div w:id="208806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2_22.htm" TargetMode="External"/><Relationship Id="rId2" Type="http://schemas.openxmlformats.org/officeDocument/2006/relationships/hyperlink" Target="http://www.bls.gov/oes/current/naics2_22.htm" TargetMode="External"/><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725J</_x0031__x002e__x0020_Collection_x0020_Number>
    <Date xmlns="d6eefc7d-9817-4fa6-84d5-3bc009be21b8">2016-10-06T00:00:00-04:00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IC16-6</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C3E51-C8B3-4EFB-B940-C70B42BC4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5CB2A-8010-4082-A8E8-764905A58D25}">
  <ds:schemaRefs>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 ds:uri="http://schemas.microsoft.com/office/2006/metadata/properties"/>
    <ds:schemaRef ds:uri="http://schemas.microsoft.com/office/infopath/2007/PartnerControls"/>
    <ds:schemaRef ds:uri="d6eefc7d-9817-4fa6-84d5-3bc009be21b8"/>
  </ds:schemaRefs>
</ds:datastoreItem>
</file>

<file path=customXml/itemProps3.xml><?xml version="1.0" encoding="utf-8"?>
<ds:datastoreItem xmlns:ds="http://schemas.openxmlformats.org/officeDocument/2006/customXml" ds:itemID="{09AC96BB-788A-4436-9F20-3C2CCEF5FD5E}">
  <ds:schemaRefs>
    <ds:schemaRef ds:uri="http://schemas.microsoft.com/sharepoint/v3/contenttype/forms"/>
  </ds:schemaRefs>
</ds:datastoreItem>
</file>

<file path=customXml/itemProps4.xml><?xml version="1.0" encoding="utf-8"?>
<ds:datastoreItem xmlns:ds="http://schemas.openxmlformats.org/officeDocument/2006/customXml" ds:itemID="{28888CC6-4B3C-4F46-A507-85E12A375553}">
  <ds:schemaRefs>
    <ds:schemaRef ds:uri="http://schemas.microsoft.com/office/2006/metadata/customXsn"/>
  </ds:schemaRefs>
</ds:datastoreItem>
</file>

<file path=customXml/itemProps5.xml><?xml version="1.0" encoding="utf-8"?>
<ds:datastoreItem xmlns:ds="http://schemas.openxmlformats.org/officeDocument/2006/customXml" ds:itemID="{E81595AC-07FD-42D4-B960-57DB8F7B1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FERC-725J supporting statement (5-18-2016)</vt:lpstr>
    </vt:vector>
  </TitlesOfParts>
  <LinksUpToDate>false</LinksUpToDate>
  <CharactersWithSpaces>11823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FERC-725J supporting statement (5-18-2016)</dc:title>
  <dc:creator/>
  <cp:lastModifiedBy/>
  <cp:revision>1</cp:revision>
  <dcterms:created xsi:type="dcterms:W3CDTF">2016-10-06T17:47:00Z</dcterms:created>
  <dcterms:modified xsi:type="dcterms:W3CDTF">2016-10-06T17:48:00Z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