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2334CD5A" w14:textId="546894D6" w:rsidR="00376504" w:rsidRDefault="00F76789" w:rsidP="00C77132">
      <w:r>
        <w:rPr>
          <w:szCs w:val="24"/>
        </w:rPr>
        <w:t xml:space="preserve">The Department of Veterans Affairs (VA), through its Veterans Benefits Administration (VBA), administers an integrated program of benefits and services, established by law, for </w:t>
      </w:r>
      <w:r w:rsidR="00BA26AC">
        <w:rPr>
          <w:szCs w:val="24"/>
        </w:rPr>
        <w:t>V</w:t>
      </w:r>
      <w:r>
        <w:rPr>
          <w:szCs w:val="24"/>
        </w:rPr>
        <w:t>eterans, service personnel, and their dependents and/or beneficiaries</w:t>
      </w:r>
      <w:r w:rsidR="00E418BD">
        <w:t xml:space="preserve">.  Information is requested by this form under the authority of 38 U.S.C. </w:t>
      </w:r>
      <w:r w:rsidR="00F12A43">
        <w:t>§</w:t>
      </w:r>
      <w:r>
        <w:t>7105.  The statute is codified at 38 CFR §20.201, §20.302, and §20.501.</w:t>
      </w:r>
    </w:p>
    <w:p w14:paraId="39C5D220" w14:textId="3E910A86" w:rsidR="00107BFF" w:rsidRPr="00376504" w:rsidRDefault="00107BFF" w:rsidP="00C77132">
      <w:r>
        <w:t xml:space="preserve">The statute and regulations describe the process by which a claimant can appeal the decisions made by VBA </w:t>
      </w:r>
      <w:r w:rsidR="00120059">
        <w:t>on</w:t>
      </w:r>
      <w:r>
        <w:t xml:space="preserve"> </w:t>
      </w:r>
      <w:r w:rsidR="0043430E">
        <w:t>a</w:t>
      </w:r>
      <w:r>
        <w:t xml:space="preserve"> claim for benefits.</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317BD9DB" w14:textId="0D8A8BAD" w:rsidR="002A726C" w:rsidRDefault="00491177" w:rsidP="00491177">
      <w:r>
        <w:t>VA Form 21</w:t>
      </w:r>
      <w:r w:rsidR="00B953F0">
        <w:t>P</w:t>
      </w:r>
      <w:r>
        <w:t>-0970</w:t>
      </w:r>
      <w:r>
        <w:rPr>
          <w:szCs w:val="24"/>
        </w:rPr>
        <w:t xml:space="preserve"> </w:t>
      </w:r>
      <w:r>
        <w:t xml:space="preserve">will be used by the claimant to initiate an appeal by indicating disagreement with a decision issued by a </w:t>
      </w:r>
      <w:r w:rsidR="00D96049">
        <w:t xml:space="preserve">VA </w:t>
      </w:r>
      <w:r>
        <w:t xml:space="preserve">Regional Office (RO) specifically related to a claim for VA pension benefits, dependency and indemnity compensation (DIC) benefits, </w:t>
      </w:r>
      <w:r w:rsidR="00BE21C3">
        <w:t xml:space="preserve">burial </w:t>
      </w:r>
      <w:r>
        <w:t xml:space="preserve">benefits, and </w:t>
      </w:r>
      <w:r w:rsidR="00BE21C3">
        <w:t>accrued</w:t>
      </w:r>
      <w:r>
        <w:t xml:space="preserve"> </w:t>
      </w:r>
      <w:proofErr w:type="gramStart"/>
      <w:r>
        <w:t>benefits</w:t>
      </w:r>
      <w:proofErr w:type="gramEnd"/>
      <w:r>
        <w:t xml:space="preserve">.  </w:t>
      </w:r>
      <w:r>
        <w:rPr>
          <w:szCs w:val="24"/>
        </w:rPr>
        <w:t xml:space="preserve">VA Form </w:t>
      </w:r>
      <w:r w:rsidR="00B953F0">
        <w:rPr>
          <w:szCs w:val="24"/>
        </w:rPr>
        <w:t>21P-0970</w:t>
      </w:r>
      <w:r>
        <w:rPr>
          <w:szCs w:val="24"/>
        </w:rPr>
        <w:t xml:space="preserve"> </w:t>
      </w:r>
      <w:r w:rsidR="00DF3986">
        <w:rPr>
          <w:szCs w:val="24"/>
        </w:rPr>
        <w:t>will be</w:t>
      </w:r>
      <w:r>
        <w:rPr>
          <w:szCs w:val="24"/>
        </w:rPr>
        <w:t xml:space="preserve"> the </w:t>
      </w:r>
      <w:r w:rsidR="00B953F0">
        <w:rPr>
          <w:szCs w:val="24"/>
        </w:rPr>
        <w:t xml:space="preserve">claimant’s </w:t>
      </w:r>
      <w:r>
        <w:rPr>
          <w:szCs w:val="24"/>
        </w:rPr>
        <w:t xml:space="preserve">first step in the appeal process.  The respondent may or may not continue with an appeal to the Board of Veterans Appeals (BVA).  If the </w:t>
      </w:r>
      <w:r w:rsidR="00DF3986">
        <w:rPr>
          <w:szCs w:val="24"/>
        </w:rPr>
        <w:t>claimant</w:t>
      </w:r>
      <w:r>
        <w:rPr>
          <w:szCs w:val="24"/>
        </w:rPr>
        <w:t xml:space="preserve"> opts to continue to BVA for an appeal, this form will be included in the claim folder as evidence.</w:t>
      </w:r>
      <w:r>
        <w:t xml:space="preserve">  </w:t>
      </w:r>
    </w:p>
    <w:p w14:paraId="16FCA965" w14:textId="77777777" w:rsidR="00D96049" w:rsidRDefault="00491177" w:rsidP="00491177">
      <w:r>
        <w:t xml:space="preserve">VA will provide VA Form </w:t>
      </w:r>
      <w:r w:rsidR="00B953F0">
        <w:t>21P-0970</w:t>
      </w:r>
      <w:r>
        <w:t xml:space="preserve"> to </w:t>
      </w:r>
      <w:r w:rsidR="00D96049">
        <w:t xml:space="preserve">the </w:t>
      </w:r>
      <w:r>
        <w:t>claimant with the notification letter of the decision in paper form</w:t>
      </w:r>
      <w:r w:rsidR="00B953F0">
        <w:t xml:space="preserve"> or </w:t>
      </w:r>
      <w:r>
        <w:t>via hyperlink to VA’s website</w:t>
      </w:r>
      <w:r w:rsidR="00B953F0">
        <w:t>.</w:t>
      </w:r>
      <w:r>
        <w:t xml:space="preserve">  The use of VA Form </w:t>
      </w:r>
      <w:r w:rsidR="00B953F0">
        <w:t>21P-0970</w:t>
      </w:r>
      <w:r w:rsidR="00D96049">
        <w:t xml:space="preserve"> will be</w:t>
      </w:r>
      <w:r>
        <w:t xml:space="preserve"> mandatory when claimants initiate an appeal </w:t>
      </w:r>
      <w:r w:rsidR="00066347">
        <w:t>of</w:t>
      </w:r>
      <w:r>
        <w:t xml:space="preserve"> a decision </w:t>
      </w:r>
      <w:r w:rsidR="00135677">
        <w:t>regarding</w:t>
      </w:r>
      <w:r>
        <w:t xml:space="preserve"> </w:t>
      </w:r>
      <w:r w:rsidR="00BE21C3">
        <w:t xml:space="preserve">pension, DIC, </w:t>
      </w:r>
      <w:r w:rsidR="00135677">
        <w:t>burial</w:t>
      </w:r>
      <w:r w:rsidR="00066347">
        <w:t>,</w:t>
      </w:r>
      <w:r w:rsidR="00BE21C3">
        <w:t xml:space="preserve"> or accrued </w:t>
      </w:r>
      <w:r w:rsidR="00066347">
        <w:t xml:space="preserve">claims for </w:t>
      </w:r>
      <w:r w:rsidR="00BE21C3">
        <w:t>benefits</w:t>
      </w:r>
      <w:r w:rsidR="00135677">
        <w:t xml:space="preserve">. </w:t>
      </w:r>
    </w:p>
    <w:p w14:paraId="6E42805A" w14:textId="0842FF26" w:rsidR="00E04C66" w:rsidRDefault="00D96049" w:rsidP="00491177">
      <w:r>
        <w:t>Currently, V</w:t>
      </w:r>
      <w:r w:rsidR="00E04C66">
        <w:t>B</w:t>
      </w:r>
      <w:r>
        <w:t>A does not have a mandatory form which would enable the claimant to initiate an appeal of a decision made regarding entitlement to pension, DIC, burial, or accrued benefits.  As a result, claimants may provide their notice of disagreement in any format.</w:t>
      </w:r>
      <w:r w:rsidR="00E04C66">
        <w:t xml:space="preserve">  The variety of submissions hampers efforts to identify, and process timely, the claimant’s appeal.</w:t>
      </w:r>
      <w:r>
        <w:t xml:space="preserve">  </w:t>
      </w:r>
      <w:r w:rsidR="00E04C66">
        <w:t xml:space="preserve">With the implementation of this collection, the submissions will be standardized, increasing efficiency.  </w:t>
      </w:r>
    </w:p>
    <w:p w14:paraId="2334CD5D" w14:textId="1A929B65" w:rsidR="003D6582" w:rsidRDefault="003D6582" w:rsidP="00135677">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E" w14:textId="36B33231" w:rsidR="00B9713A" w:rsidRDefault="00B9713A" w:rsidP="00820450">
      <w:pPr>
        <w:rPr>
          <w:color w:val="000000"/>
          <w:szCs w:val="24"/>
        </w:rPr>
      </w:pPr>
      <w:r>
        <w:rPr>
          <w:color w:val="000000"/>
          <w:szCs w:val="24"/>
        </w:rPr>
        <w:t>For the information collected on VA Form 21P-</w:t>
      </w:r>
      <w:r w:rsidR="00A549DD">
        <w:rPr>
          <w:color w:val="000000"/>
          <w:szCs w:val="24"/>
        </w:rPr>
        <w:t>0970</w:t>
      </w:r>
      <w:r>
        <w:rPr>
          <w:color w:val="000000"/>
          <w:szCs w:val="24"/>
        </w:rPr>
        <w:t xml:space="preserve"> VA </w:t>
      </w:r>
      <w:r w:rsidR="001C3C68">
        <w:rPr>
          <w:color w:val="000000"/>
          <w:szCs w:val="24"/>
        </w:rPr>
        <w:t>will</w:t>
      </w:r>
      <w:r>
        <w:rPr>
          <w:color w:val="000000"/>
          <w:szCs w:val="24"/>
        </w:rPr>
        <w:t xml:space="preserve"> not use automated, electronic, mechanical, or other technological collection techniques.</w:t>
      </w:r>
    </w:p>
    <w:p w14:paraId="2334CD5F" w14:textId="2607930B" w:rsidR="00B9713A" w:rsidRDefault="00820450" w:rsidP="00820450">
      <w:pPr>
        <w:rPr>
          <w:color w:val="000000"/>
          <w:szCs w:val="24"/>
        </w:rPr>
      </w:pPr>
      <w:r>
        <w:rPr>
          <w:color w:val="000000"/>
          <w:szCs w:val="24"/>
        </w:rPr>
        <w:t>VA Form 21P-</w:t>
      </w:r>
      <w:r w:rsidR="00737C01">
        <w:rPr>
          <w:color w:val="000000"/>
          <w:szCs w:val="24"/>
        </w:rPr>
        <w:t>0970</w:t>
      </w:r>
      <w:r>
        <w:rPr>
          <w:color w:val="000000"/>
          <w:szCs w:val="24"/>
        </w:rPr>
        <w:t xml:space="preserve"> </w:t>
      </w:r>
      <w:r w:rsidR="00737C01">
        <w:rPr>
          <w:color w:val="000000"/>
          <w:szCs w:val="24"/>
        </w:rPr>
        <w:t>will be</w:t>
      </w:r>
      <w:r>
        <w:rPr>
          <w:color w:val="000000"/>
          <w:szCs w:val="24"/>
        </w:rPr>
        <w:t xml:space="preserve"> available on the benefits.va.gov website in a fillable</w:t>
      </w:r>
      <w:r w:rsidR="001C3C68">
        <w:rPr>
          <w:color w:val="000000"/>
          <w:szCs w:val="24"/>
        </w:rPr>
        <w:t>, printable</w:t>
      </w:r>
      <w:r>
        <w:rPr>
          <w:color w:val="000000"/>
          <w:szCs w:val="24"/>
        </w:rPr>
        <w:t xml:space="preserve"> electronic format.  </w:t>
      </w:r>
    </w:p>
    <w:p w14:paraId="2334CD60" w14:textId="77777777"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Pr>
          <w:color w:val="000000"/>
          <w:szCs w:val="24"/>
        </w:rPr>
        <w:t xml:space="preserve"> submission of the form.  </w:t>
      </w:r>
      <w:r w:rsidR="00B9713A">
        <w:rPr>
          <w:color w:val="000000"/>
          <w:szCs w:val="24"/>
        </w:rPr>
        <w:t xml:space="preserve">To ease the burden on respondents, VBA plans to develop and deploy functionality enabling </w:t>
      </w:r>
      <w:r w:rsidR="00B9713A">
        <w:rPr>
          <w:color w:val="000000"/>
          <w:szCs w:val="24"/>
        </w:rPr>
        <w:lastRenderedPageBreak/>
        <w:t>electronic submission of this information.  VBA cannot estimate the date this functionality will be deployed.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38D1C610" w14:textId="59633010" w:rsidR="00BA6298" w:rsidRPr="006628C1" w:rsidRDefault="00BA6298" w:rsidP="006628C1">
      <w:r>
        <w:t>VA maintains a related information collection, VA Form 21-0958</w:t>
      </w:r>
      <w:r w:rsidR="005B5A43">
        <w:t xml:space="preserve"> (OMB Control Number 2900-0791)</w:t>
      </w:r>
      <w:r>
        <w:t>.  However, this form applies only to disability compensation claims</w:t>
      </w:r>
      <w:r w:rsidR="00F45A38">
        <w:t>;</w:t>
      </w:r>
      <w:r>
        <w:t xml:space="preserve"> it does not apply to claims for pension, DIC, burial, or accrued benefits.</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2334CD64" w14:textId="77777777" w:rsidR="006628C1" w:rsidRPr="006628C1" w:rsidRDefault="00E866F6" w:rsidP="006628C1">
      <w:r>
        <w:t>The collection of information does not affect small businesses 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2334CD66" w14:textId="65299A72" w:rsidR="006628C1" w:rsidRPr="006628C1" w:rsidRDefault="00987DA9" w:rsidP="006628C1">
      <w:r>
        <w:t xml:space="preserve">VBA would be unable to properly administer </w:t>
      </w:r>
      <w:r w:rsidR="00A40413">
        <w:t>appeals of decisions made on claim</w:t>
      </w:r>
      <w:r w:rsidR="00A3281C">
        <w:t>s</w:t>
      </w:r>
      <w:r w:rsidR="00A40413">
        <w:t xml:space="preserve"> for pension, DIC, burial, or accrued benefits</w:t>
      </w:r>
      <w:r>
        <w:t xml:space="preserve"> without this collection of information.  The information is collected on an ad hoc basis, and, therefore, cannot be collected less frequently.  The form is designed to collect the minimum amount of information which will allow VBA to properly administer the </w:t>
      </w:r>
      <w:r w:rsidR="002958EC">
        <w:t>appeal</w:t>
      </w:r>
      <w:r>
        <w:t>.</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D93C1F3" w14:textId="77777777" w:rsidR="006B104A" w:rsidRDefault="00714B4C" w:rsidP="006B104A">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w:t>
      </w:r>
      <w:r w:rsidR="004B1D7E">
        <w:t xml:space="preserve">ffice of </w:t>
      </w:r>
      <w:r w:rsidR="00645324">
        <w:t>M</w:t>
      </w:r>
      <w:r w:rsidR="004B1D7E">
        <w:t xml:space="preserve">anagement and </w:t>
      </w:r>
      <w:r w:rsidR="00645324">
        <w:t>B</w:t>
      </w:r>
      <w:r w:rsidR="004B1D7E">
        <w:t>udget</w:t>
      </w:r>
      <w:r>
        <w:t>.</w:t>
      </w:r>
    </w:p>
    <w:p w14:paraId="2334CD69" w14:textId="7FC93AC4" w:rsidR="001733B3" w:rsidRDefault="00FD27EF" w:rsidP="006B104A">
      <w:pPr>
        <w:pStyle w:val="Heading2"/>
      </w:pPr>
      <w:r>
        <w:t>8.</w:t>
      </w:r>
      <w:r>
        <w:tab/>
        <w:t xml:space="preserve"> </w:t>
      </w:r>
      <w:r w:rsidR="003D6582" w:rsidRPr="00D957D6">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w:t>
      </w:r>
      <w:r w:rsidR="003D6582" w:rsidRPr="00D957D6">
        <w:lastRenderedPageBreak/>
        <w:t>response to that notice and describe actions taken by the sponsor in responses to these comments.  Specifically address comments received on cost and hour burden.</w:t>
      </w:r>
    </w:p>
    <w:p w14:paraId="5249A402" w14:textId="7C972EED" w:rsidR="002C53E2" w:rsidRDefault="002F4AA7" w:rsidP="00EE6A5D">
      <w:r>
        <w:t xml:space="preserve">The </w:t>
      </w:r>
      <w:r w:rsidR="00E82B81">
        <w:t>sponsor’s notice</w:t>
      </w:r>
      <w:r w:rsidR="00EE6A5D">
        <w:t xml:space="preserve"> was published in the Federal Register on</w:t>
      </w:r>
      <w:r w:rsidR="00911EA8">
        <w:t xml:space="preserve"> Monday,</w:t>
      </w:r>
      <w:r w:rsidR="00EE6A5D">
        <w:t xml:space="preserve"> </w:t>
      </w:r>
      <w:r>
        <w:t>M</w:t>
      </w:r>
      <w:r w:rsidR="00B55197">
        <w:t xml:space="preserve">ay 23, </w:t>
      </w:r>
      <w:r w:rsidR="00BF65C8">
        <w:t>2016</w:t>
      </w:r>
      <w:r>
        <w:t xml:space="preserve">, Volume 81, No. 99, pages 32386-32387. </w:t>
      </w:r>
      <w:r w:rsidR="0095045F">
        <w:t xml:space="preserve">Two </w:t>
      </w:r>
      <w:r w:rsidR="004654D3">
        <w:t>comment</w:t>
      </w:r>
      <w:r w:rsidR="0095045F">
        <w:t>s were</w:t>
      </w:r>
      <w:r w:rsidR="004654D3">
        <w:t xml:space="preserve"> received</w:t>
      </w:r>
      <w:r w:rsidR="000C7855">
        <w:t xml:space="preserve"> in response to the notice</w:t>
      </w:r>
      <w:r w:rsidR="00EE6A5D">
        <w:t xml:space="preserve">.  </w:t>
      </w:r>
    </w:p>
    <w:p w14:paraId="59B38250" w14:textId="54A8FE8B" w:rsidR="000C7855" w:rsidRDefault="0095045F" w:rsidP="00EE6A5D">
      <w:r>
        <w:t>One</w:t>
      </w:r>
      <w:r w:rsidR="000C7855">
        <w:t xml:space="preserve"> comment was submitted by the National Organization of Veterans’ Advocates (NOVA).  </w:t>
      </w:r>
    </w:p>
    <w:p w14:paraId="425DF188" w14:textId="569B2954" w:rsidR="004654D3" w:rsidRDefault="000C7855" w:rsidP="00EE6A5D">
      <w:r>
        <w:t xml:space="preserve">NOVA stated it is unnecessary two have separate Notice of Disagreement (NOD) forms for compensation and other types of claims.  NOVA pointed out the existence of an NOD form for compensation claims (VA Form 21-0958 </w:t>
      </w:r>
      <w:r>
        <w:rPr>
          <w:i/>
        </w:rPr>
        <w:t xml:space="preserve">Notice of Disagreement </w:t>
      </w:r>
      <w:r>
        <w:t>[OMB Approved No. 2900-0791]) and suggested the benefit types present on the proposed VA Form 21P-0970 be added to the existing VA Form 21-0958.</w:t>
      </w:r>
    </w:p>
    <w:p w14:paraId="198D556F" w14:textId="5874D6F5" w:rsidR="000C7855" w:rsidRDefault="000C7855" w:rsidP="00EE6A5D">
      <w:r>
        <w:t xml:space="preserve">VBA studied adding the benefit types in question to VA Form 21-0958, but we determined the form would become too complicated and unduly increase the burden on the respondent.  Furthermore, since different types of claims and appeals are processed by different </w:t>
      </w:r>
      <w:r w:rsidR="00800275">
        <w:t>VA Regional O</w:t>
      </w:r>
      <w:r>
        <w:t xml:space="preserve">ffices, using separate forms will help </w:t>
      </w:r>
      <w:r w:rsidR="00E0061F">
        <w:t xml:space="preserve">ensure </w:t>
      </w:r>
      <w:r>
        <w:t xml:space="preserve">the forms </w:t>
      </w:r>
      <w:r w:rsidR="00E0061F">
        <w:t xml:space="preserve">are routed </w:t>
      </w:r>
      <w:r>
        <w:t xml:space="preserve">to the proper office of jurisdiction, </w:t>
      </w:r>
      <w:r w:rsidR="00E0061F">
        <w:t xml:space="preserve">thereby </w:t>
      </w:r>
      <w:r>
        <w:t>ensuring proper processing.</w:t>
      </w:r>
    </w:p>
    <w:p w14:paraId="56795DF6" w14:textId="0916854E" w:rsidR="00EA52F5" w:rsidRDefault="00EA52F5" w:rsidP="00EA52F5">
      <w:r>
        <w:t>NOVA stated that not all benefit types have checkboxes in column 12.B.  VBA believes there is little additional burden for the appellant to use the “Other” checkbox and fillable field.  Adding two additional checkboxes to each row in 12.B would cause each row to be so wide that the form would require an additional page.</w:t>
      </w:r>
    </w:p>
    <w:p w14:paraId="628D16E0" w14:textId="64EF84AF" w:rsidR="000C7855" w:rsidRDefault="00F5142C" w:rsidP="00EE6A5D">
      <w:r>
        <w:t>Lastly, NOVA stated that VA should clarify that a claimant who files the wrong standardized form will not be penalized, but will be given the opportunity to file the correct form in a reasonable period of time.  VBA cannot concur with this portion of the comment because we are bound by 38 CFR §20.201(a</w:t>
      </w:r>
      <w:proofErr w:type="gramStart"/>
      <w:r>
        <w:t>)(</w:t>
      </w:r>
      <w:proofErr w:type="gramEnd"/>
      <w:r>
        <w:t>5), which states:</w:t>
      </w:r>
    </w:p>
    <w:p w14:paraId="5F74802E" w14:textId="4B695237" w:rsidR="0095045F" w:rsidRPr="000C7855" w:rsidRDefault="00F5142C" w:rsidP="002E2CCB">
      <w:pPr>
        <w:ind w:left="1440" w:right="1296"/>
        <w:jc w:val="both"/>
      </w:pPr>
      <w:proofErr w:type="gramStart"/>
      <w:r>
        <w:t>“</w:t>
      </w:r>
      <w:r w:rsidRPr="007C581C">
        <w:rPr>
          <w:i/>
        </w:rPr>
        <w:t>Alternate form or other communication</w:t>
      </w:r>
      <w:r w:rsidRPr="007C581C">
        <w:t>.</w:t>
      </w:r>
      <w:proofErr w:type="gramEnd"/>
      <w:r w:rsidRPr="007C581C">
        <w:t xml:space="preserve"> The filing of an alternate form or other communication will not extend, toll, or otherwise delay the time limit for filing a Notice of Disagreement, as provided in §20.302(a). In particular, returning the incorrect VA form, including a form designed to appeal a different benefit does not extend, toll, or otherwise delay the time limit for filing the correct form.</w:t>
      </w:r>
      <w:r>
        <w:t>”</w:t>
      </w:r>
    </w:p>
    <w:p w14:paraId="2BECBBF5" w14:textId="05475B41" w:rsidR="0095045F" w:rsidRDefault="0095045F" w:rsidP="0095045F">
      <w:r>
        <w:t xml:space="preserve">The second comment was submitted by Mr. Larry </w:t>
      </w:r>
      <w:proofErr w:type="spellStart"/>
      <w:r>
        <w:t>Goette</w:t>
      </w:r>
      <w:proofErr w:type="spellEnd"/>
      <w:r>
        <w:t xml:space="preserve">, County Veterans Service Officer for Robert County at the Sioux Falls Regional </w:t>
      </w:r>
      <w:r w:rsidR="002E2CCB">
        <w:t>Office.</w:t>
      </w:r>
      <w:r>
        <w:t xml:space="preserve">  </w:t>
      </w:r>
    </w:p>
    <w:p w14:paraId="66D44868" w14:textId="30A08C96" w:rsidR="0095045F" w:rsidRDefault="0095045F" w:rsidP="0095045F">
      <w:r>
        <w:t xml:space="preserve">Mr. </w:t>
      </w:r>
      <w:proofErr w:type="spellStart"/>
      <w:r>
        <w:t>Goette</w:t>
      </w:r>
      <w:proofErr w:type="spellEnd"/>
      <w:r>
        <w:t xml:space="preserve"> questioned why there was a need for a new NOD form </w:t>
      </w:r>
      <w:r w:rsidR="002E2CCB">
        <w:t xml:space="preserve">with </w:t>
      </w:r>
      <w:r>
        <w:t>the VA Form 21-0958 currently being used.</w:t>
      </w:r>
    </w:p>
    <w:p w14:paraId="4F06E05D" w14:textId="77777777" w:rsidR="002E2CCB" w:rsidRDefault="002E2CCB" w:rsidP="002E2CCB">
      <w:r>
        <w:t xml:space="preserve">Currently, VBA does not have a mandatory form which would enable the claimant to initiate an appeal of a decision made regarding entitlement to pension, DIC, burial, or accrued benefits.  As a result, claimants may provide their notice of disagreement for these benefit types in any format. The variety of submissions hampers efforts to identify, and timely process the claimant’s appeal.  With the implementation of the 21P-0970, the submissions will be standardized, increasing efficiency.  </w:t>
      </w:r>
    </w:p>
    <w:p w14:paraId="13262398" w14:textId="05E55E8F" w:rsidR="0095045F" w:rsidRPr="000C7855" w:rsidRDefault="002E2CCB" w:rsidP="002E2CCB">
      <w:r>
        <w:lastRenderedPageBreak/>
        <w:t>VA form 21-0958 Notice of Disagreement, applies only to disability compensation claims; it does not apply to claims for pension, DIC, burial, or accrued benefits. Adding pension and other contentions to VA Form 21-0958 would overly complicate the form. Also, separating pension, DIC, burial, and accrued NODs from compensation NODs helps ensure the forms are routed to the correct VA Regional Office of Jurisdiction and processed properly.</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661907" w:rsidRDefault="002D1D70" w:rsidP="002D1D70">
      <w:r w:rsidRPr="00661907">
        <w:t>There are no questions of a sensitive nature.</w:t>
      </w:r>
    </w:p>
    <w:p w14:paraId="2334CD73" w14:textId="2DF49BA9" w:rsidR="001733B3" w:rsidRPr="00661907" w:rsidRDefault="003D6582" w:rsidP="00782B96">
      <w:pPr>
        <w:pStyle w:val="Heading2"/>
      </w:pPr>
      <w:r w:rsidRPr="00661907">
        <w:t>12.</w:t>
      </w:r>
      <w:r w:rsidR="002F640F" w:rsidRPr="00661907">
        <w:t xml:space="preserve"> </w:t>
      </w:r>
      <w:r w:rsidRPr="00661907">
        <w:t>Estimate of the hour burden of the collection of information:</w:t>
      </w:r>
    </w:p>
    <w:p w14:paraId="2334CD74" w14:textId="60DE6364" w:rsidR="006A0F5F" w:rsidRPr="005B5FC6" w:rsidRDefault="00661907" w:rsidP="009E4E5F">
      <w:pPr>
        <w:pStyle w:val="ListParagraph"/>
        <w:numPr>
          <w:ilvl w:val="0"/>
          <w:numId w:val="13"/>
        </w:numPr>
        <w:spacing w:after="240"/>
        <w:contextualSpacing w:val="0"/>
      </w:pPr>
      <w:r w:rsidRPr="005B5FC6">
        <w:t>Number</w:t>
      </w:r>
      <w:r w:rsidR="00EA17B1" w:rsidRPr="005B5FC6">
        <w:t xml:space="preserve"> of Annual Respondents: </w:t>
      </w:r>
      <w:r w:rsidR="005A2EE6" w:rsidRPr="005B5FC6">
        <w:tab/>
      </w:r>
      <w:r w:rsidR="005B5FC6" w:rsidRPr="005B5FC6">
        <w:t xml:space="preserve">12,000 </w:t>
      </w:r>
      <w:r w:rsidR="00D67F36" w:rsidRPr="005B5FC6">
        <w:t>Respondents</w:t>
      </w:r>
    </w:p>
    <w:p w14:paraId="6AD1520C" w14:textId="6995A864" w:rsidR="009E4E5F" w:rsidRPr="005B5FC6" w:rsidRDefault="009E4E5F" w:rsidP="009E4E5F">
      <w:pPr>
        <w:pStyle w:val="ListParagraph"/>
        <w:numPr>
          <w:ilvl w:val="0"/>
          <w:numId w:val="13"/>
        </w:numPr>
        <w:spacing w:after="240"/>
        <w:contextualSpacing w:val="0"/>
      </w:pPr>
      <w:r w:rsidRPr="005B5FC6">
        <w:t xml:space="preserve">Frequency of Response: </w:t>
      </w:r>
      <w:r w:rsidRPr="005B5FC6">
        <w:tab/>
      </w:r>
      <w:r w:rsidRPr="005B5FC6">
        <w:tab/>
        <w:t>One-time</w:t>
      </w:r>
    </w:p>
    <w:p w14:paraId="67AB0C2C" w14:textId="60422ECA" w:rsidR="009E4E5F" w:rsidRPr="005B5FC6" w:rsidRDefault="009E4E5F" w:rsidP="009E4E5F">
      <w:pPr>
        <w:pStyle w:val="ListParagraph"/>
        <w:numPr>
          <w:ilvl w:val="0"/>
          <w:numId w:val="13"/>
        </w:numPr>
        <w:spacing w:after="240"/>
        <w:contextualSpacing w:val="0"/>
      </w:pPr>
      <w:r w:rsidRPr="005B5FC6">
        <w:t xml:space="preserve">Total Burden Hours:  </w:t>
      </w:r>
      <w:r w:rsidRPr="005B5FC6">
        <w:tab/>
      </w:r>
      <w:r w:rsidRPr="005B5FC6">
        <w:tab/>
      </w:r>
      <w:r w:rsidR="00BB08AC">
        <w:tab/>
      </w:r>
      <w:r w:rsidR="005B5FC6" w:rsidRPr="005B5FC6">
        <w:t>6,000</w:t>
      </w:r>
      <w:r w:rsidRPr="005B5FC6">
        <w:t xml:space="preserve"> hours</w:t>
      </w:r>
    </w:p>
    <w:p w14:paraId="59D9F0E1" w14:textId="12E8C2D1" w:rsidR="00661907" w:rsidRPr="00C055E1" w:rsidRDefault="00661907" w:rsidP="009E4E5F">
      <w:pPr>
        <w:pStyle w:val="ListParagraph"/>
        <w:numPr>
          <w:ilvl w:val="0"/>
          <w:numId w:val="13"/>
        </w:numPr>
        <w:spacing w:after="240"/>
        <w:contextualSpacing w:val="0"/>
      </w:pPr>
      <w:r w:rsidRPr="00C055E1">
        <w:t>Estimated Completion Time:</w:t>
      </w:r>
      <w:r w:rsidRPr="00C055E1">
        <w:tab/>
      </w:r>
      <w:r w:rsidR="00BB08AC">
        <w:tab/>
      </w:r>
      <w:r w:rsidRPr="00C055E1">
        <w:t>30 minutes</w:t>
      </w:r>
    </w:p>
    <w:p w14:paraId="2334CD7D" w14:textId="32A530B0" w:rsidR="00161E5E" w:rsidRPr="008D350D" w:rsidRDefault="00B1003B" w:rsidP="000058AE">
      <w:pPr>
        <w:pStyle w:val="ListParagraph"/>
        <w:numPr>
          <w:ilvl w:val="0"/>
          <w:numId w:val="13"/>
        </w:numPr>
        <w:spacing w:after="240"/>
        <w:contextualSpacing w:val="0"/>
      </w:pPr>
      <w:r w:rsidRPr="00C055E1">
        <w:t xml:space="preserve">Any person may apply for </w:t>
      </w:r>
      <w:r w:rsidR="00B23502" w:rsidRPr="00C055E1">
        <w:t xml:space="preserve">one of the </w:t>
      </w:r>
      <w:r w:rsidRPr="00C055E1">
        <w:t xml:space="preserve">benefits </w:t>
      </w:r>
      <w:r w:rsidR="00B23502" w:rsidRPr="00C055E1">
        <w:t>covered by this collection</w:t>
      </w:r>
      <w:r w:rsidR="00E031BC" w:rsidRPr="00C055E1">
        <w:t xml:space="preserve">.  Therefore it is not possible to make assumptions regarding the population of </w:t>
      </w:r>
      <w:r w:rsidR="00B23502" w:rsidRPr="00C055E1">
        <w:t>claimants and appellants</w:t>
      </w:r>
      <w:r w:rsidR="00E031BC" w:rsidRPr="00C055E1">
        <w:t xml:space="preserve">, such as the average age of </w:t>
      </w:r>
      <w:r w:rsidR="00B23502" w:rsidRPr="00C055E1">
        <w:t>claimants</w:t>
      </w:r>
      <w:r w:rsidR="00E031BC" w:rsidRPr="00C055E1">
        <w:t xml:space="preserve"> or their average earnings.  In order to estimate the costs to respondents,</w:t>
      </w:r>
      <w:r w:rsidR="00423C86" w:rsidRPr="00C055E1">
        <w:t xml:space="preserve"> V</w:t>
      </w:r>
      <w:r w:rsidR="000316C8" w:rsidRPr="00C055E1">
        <w:t>B</w:t>
      </w:r>
      <w:r w:rsidR="00423C86" w:rsidRPr="00C055E1">
        <w:t>A used general</w:t>
      </w:r>
      <w:r w:rsidR="00E031BC" w:rsidRPr="00C055E1">
        <w:t xml:space="preserve"> wage information for the population as a whole.</w:t>
      </w:r>
      <w:r w:rsidR="009E4E5F" w:rsidRPr="00C055E1">
        <w:br/>
      </w:r>
      <w:r w:rsidR="009E4E5F" w:rsidRPr="00C055E1">
        <w:br/>
      </w:r>
      <w:r w:rsidR="000058AE" w:rsidRPr="004D00C4">
        <w:t>The Bureau of Labor Statistics</w:t>
      </w:r>
      <w:r w:rsidR="000058AE">
        <w:t xml:space="preserve"> (BLS)</w:t>
      </w:r>
      <w:r w:rsidR="000058AE" w:rsidRPr="004D00C4">
        <w:t xml:space="preserve"> gathers information on full-time wage and salary workers.  According to </w:t>
      </w:r>
      <w:hyperlink r:id="rId11" w:history="1">
        <w:r w:rsidR="000058AE" w:rsidRPr="00D461E6">
          <w:rPr>
            <w:rStyle w:val="Hyperlink"/>
          </w:rPr>
          <w:t>the latest available BLS Current Population Survey (CPS)</w:t>
        </w:r>
      </w:hyperlink>
      <w:r w:rsidR="000058AE">
        <w:t xml:space="preserve"> (</w:t>
      </w:r>
      <w:hyperlink r:id="rId12" w:history="1">
        <w:r w:rsidR="000058AE" w:rsidRPr="003475A6">
          <w:rPr>
            <w:rStyle w:val="Hyperlink"/>
          </w:rPr>
          <w:t>http://www.bls.gov/cps/cpsaat39.htm</w:t>
        </w:r>
      </w:hyperlink>
      <w:r w:rsidR="000058AE">
        <w:t xml:space="preserve">), </w:t>
      </w:r>
      <w:r w:rsidR="000058AE" w:rsidRPr="004D00C4">
        <w:t xml:space="preserve">the </w:t>
      </w:r>
      <w:bookmarkStart w:id="0" w:name="_GoBack"/>
      <w:bookmarkEnd w:id="0"/>
      <w:r w:rsidR="00DF069E" w:rsidRPr="00BE2A89">
        <w:t>2016</w:t>
      </w:r>
      <w:r w:rsidR="00DF069E">
        <w:t xml:space="preserve"> </w:t>
      </w:r>
      <w:r w:rsidR="000058AE" w:rsidRPr="004D00C4">
        <w:t>median weekly earnings of full-time wage and salary workers are $</w:t>
      </w:r>
      <w:r w:rsidR="008F3A17">
        <w:t>832</w:t>
      </w:r>
      <w:r w:rsidR="000058AE" w:rsidRPr="004D00C4">
        <w:t xml:space="preserve">.00.  Assuming a forty (40) hour work week, </w:t>
      </w:r>
      <w:r w:rsidR="008F3A17">
        <w:t>the median hourly wage is $20.80</w:t>
      </w:r>
      <w:r w:rsidR="000058AE" w:rsidRPr="004D00C4">
        <w:t>.</w:t>
      </w:r>
      <w:r w:rsidR="009E4E5F" w:rsidRPr="00C055E1">
        <w:br/>
      </w:r>
      <w:r w:rsidR="009E4E5F" w:rsidRPr="00C055E1">
        <w:br/>
      </w:r>
      <w:r w:rsidR="00D56564" w:rsidRPr="000058AE">
        <w:rPr>
          <w:szCs w:val="24"/>
        </w:rPr>
        <w:t xml:space="preserve">Legally, respondents may not pay a person or business for assistance in completing the information collection, and a person or business may not accept payment for assisting a </w:t>
      </w:r>
      <w:r w:rsidR="00D56564" w:rsidRPr="000058AE">
        <w:rPr>
          <w:szCs w:val="24"/>
        </w:rPr>
        <w:lastRenderedPageBreak/>
        <w:t xml:space="preserve">respondent in completing the information collection.  Therefore, there are no expected overhead costs for completing the information collection.  </w:t>
      </w:r>
      <w:r w:rsidR="00161E5E" w:rsidRPr="008C335C">
        <w:t>VBA estimates the total cost of all respondents to be $</w:t>
      </w:r>
      <w:r w:rsidR="008F3A17">
        <w:t>124,800</w:t>
      </w:r>
      <w:r w:rsidR="003A0C9E">
        <w:t>.00</w:t>
      </w:r>
      <w:r w:rsidR="00661239" w:rsidRPr="008D350D">
        <w:t>.</w:t>
      </w:r>
      <w:r w:rsidR="000058AE">
        <w:br/>
      </w:r>
      <w:r w:rsidR="000058AE">
        <w:br/>
        <w:t>Median Weekly Wage = $8</w:t>
      </w:r>
      <w:r w:rsidR="008F3A17">
        <w:t>32.00/week</w:t>
      </w:r>
      <w:r w:rsidR="008F3A17">
        <w:br/>
        <w:t>Median Hour Wage = $832</w:t>
      </w:r>
      <w:r w:rsidR="000058AE">
        <w:t>.00/week x 40hrs/week = $20.</w:t>
      </w:r>
      <w:r w:rsidR="008F3A17">
        <w:t>80</w:t>
      </w:r>
      <w:r w:rsidR="000058AE">
        <w:t>/</w:t>
      </w:r>
      <w:proofErr w:type="spellStart"/>
      <w:r w:rsidR="000058AE">
        <w:t>hr</w:t>
      </w:r>
      <w:proofErr w:type="spellEnd"/>
      <w:r w:rsidR="000058AE">
        <w:br/>
        <w:t xml:space="preserve">Burden Hours per Response = 0.50 </w:t>
      </w:r>
      <w:proofErr w:type="spellStart"/>
      <w:r w:rsidR="000058AE">
        <w:t>hrs</w:t>
      </w:r>
      <w:proofErr w:type="spellEnd"/>
      <w:r w:rsidR="000058AE">
        <w:br/>
        <w:t>Cost per Response = $20.</w:t>
      </w:r>
      <w:r w:rsidR="008F3A17">
        <w:t>80/</w:t>
      </w:r>
      <w:proofErr w:type="spellStart"/>
      <w:r w:rsidR="008F3A17">
        <w:t>hr</w:t>
      </w:r>
      <w:proofErr w:type="spellEnd"/>
      <w:r w:rsidR="008F3A17">
        <w:t xml:space="preserve"> x 0.50 </w:t>
      </w:r>
      <w:proofErr w:type="spellStart"/>
      <w:r w:rsidR="008F3A17">
        <w:t>hrs</w:t>
      </w:r>
      <w:proofErr w:type="spellEnd"/>
      <w:r w:rsidR="008F3A17">
        <w:t xml:space="preserve"> = $10.4</w:t>
      </w:r>
      <w:r w:rsidR="000058AE">
        <w:br/>
        <w:t>Total Burden Estimate = $10.</w:t>
      </w:r>
      <w:r w:rsidR="008F3A17">
        <w:t>4</w:t>
      </w:r>
      <w:r w:rsidR="000058AE">
        <w:t>/Re</w:t>
      </w:r>
      <w:r w:rsidR="008F3A17">
        <w:t>sponse x 12,000 Responses = $124,800</w:t>
      </w:r>
      <w:r w:rsidR="000058AE">
        <w:t>.00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4280181B" w:rsidR="003837DC" w:rsidRPr="00134808" w:rsidRDefault="00075B8E" w:rsidP="00335C16">
      <w:pPr>
        <w:tabs>
          <w:tab w:val="right" w:pos="8370"/>
        </w:tabs>
        <w:ind w:firstLine="720"/>
        <w:rPr>
          <w:b/>
          <w:szCs w:val="24"/>
        </w:rPr>
      </w:pPr>
      <w:r w:rsidRPr="00134808">
        <w:rPr>
          <w:szCs w:val="24"/>
        </w:rPr>
        <w:t>Total Processing/Analyzing Costs with Overhead</w:t>
      </w:r>
      <w:r w:rsidR="00335C16" w:rsidRPr="00134808">
        <w:rPr>
          <w:szCs w:val="24"/>
        </w:rPr>
        <w:tab/>
      </w:r>
      <w:r w:rsidR="003837DC" w:rsidRPr="00134808">
        <w:rPr>
          <w:szCs w:val="24"/>
        </w:rPr>
        <w:t>$</w:t>
      </w:r>
      <w:r w:rsidR="00134808" w:rsidRPr="00134808">
        <w:rPr>
          <w:szCs w:val="24"/>
        </w:rPr>
        <w:t>1,145,040</w:t>
      </w:r>
    </w:p>
    <w:p w14:paraId="25BD0E05" w14:textId="09C89DB5" w:rsidR="00DF7C4B" w:rsidRDefault="003837DC" w:rsidP="001A7EDF">
      <w:pPr>
        <w:pStyle w:val="ListParagraph"/>
        <w:numPr>
          <w:ilvl w:val="0"/>
          <w:numId w:val="11"/>
        </w:numPr>
        <w:tabs>
          <w:tab w:val="left" w:pos="3150"/>
          <w:tab w:val="right" w:pos="8370"/>
        </w:tabs>
        <w:spacing w:after="240"/>
        <w:rPr>
          <w:szCs w:val="24"/>
        </w:rPr>
      </w:pPr>
      <w:r w:rsidRPr="009C320E">
        <w:rPr>
          <w:szCs w:val="24"/>
        </w:rPr>
        <w:t>GS-</w:t>
      </w:r>
      <w:r w:rsidR="009C320E" w:rsidRPr="009C320E">
        <w:rPr>
          <w:szCs w:val="24"/>
        </w:rPr>
        <w:t>13/3</w:t>
      </w:r>
      <w:r w:rsidR="004D048F" w:rsidRPr="009C320E">
        <w:rPr>
          <w:szCs w:val="24"/>
        </w:rPr>
        <w:tab/>
      </w:r>
      <w:r w:rsidR="004D048F" w:rsidRPr="004E2A1C">
        <w:rPr>
          <w:szCs w:val="24"/>
        </w:rPr>
        <w:t>@ $</w:t>
      </w:r>
      <w:r w:rsidR="004E2A1C" w:rsidRPr="004E2A1C">
        <w:rPr>
          <w:szCs w:val="24"/>
        </w:rPr>
        <w:t>45.78</w:t>
      </w:r>
      <w:r w:rsidRPr="004E2A1C">
        <w:rPr>
          <w:szCs w:val="24"/>
        </w:rPr>
        <w:t xml:space="preserve"> x </w:t>
      </w:r>
      <w:r w:rsidR="004E2A1C" w:rsidRPr="004E2A1C">
        <w:rPr>
          <w:szCs w:val="24"/>
        </w:rPr>
        <w:t>12,000</w:t>
      </w:r>
      <w:r w:rsidR="004D048F" w:rsidRPr="009C320E">
        <w:rPr>
          <w:szCs w:val="24"/>
        </w:rPr>
        <w:t xml:space="preserve"> x </w:t>
      </w:r>
      <w:r w:rsidR="009C320E" w:rsidRPr="009C320E">
        <w:rPr>
          <w:szCs w:val="24"/>
        </w:rPr>
        <w:t>30</w:t>
      </w:r>
      <w:r w:rsidR="004D048F" w:rsidRPr="009C320E">
        <w:rPr>
          <w:szCs w:val="24"/>
        </w:rPr>
        <w:t>/60 minutes =</w:t>
      </w:r>
      <w:r w:rsidR="00DF7C4B">
        <w:rPr>
          <w:szCs w:val="24"/>
        </w:rPr>
        <w:tab/>
      </w:r>
      <w:r w:rsidR="004E2A1C">
        <w:rPr>
          <w:szCs w:val="24"/>
        </w:rPr>
        <w:t>$274,680.00</w:t>
      </w:r>
    </w:p>
    <w:p w14:paraId="2334CD82" w14:textId="7056D02A" w:rsidR="003837DC" w:rsidRPr="009C320E" w:rsidRDefault="00DF7C4B" w:rsidP="001A7EDF">
      <w:pPr>
        <w:pStyle w:val="ListParagraph"/>
        <w:numPr>
          <w:ilvl w:val="0"/>
          <w:numId w:val="11"/>
        </w:numPr>
        <w:tabs>
          <w:tab w:val="left" w:pos="3150"/>
          <w:tab w:val="right" w:pos="8370"/>
        </w:tabs>
        <w:spacing w:after="240"/>
        <w:rPr>
          <w:szCs w:val="24"/>
        </w:rPr>
      </w:pPr>
      <w:r>
        <w:rPr>
          <w:szCs w:val="24"/>
        </w:rPr>
        <w:t>GS-13/3 Overhead at 100%</w:t>
      </w:r>
      <w:r w:rsidR="001A7EDF" w:rsidRPr="009C320E">
        <w:rPr>
          <w:szCs w:val="24"/>
        </w:rPr>
        <w:tab/>
      </w:r>
      <w:r w:rsidR="004E2A1C">
        <w:rPr>
          <w:szCs w:val="24"/>
        </w:rPr>
        <w:t>$274,680.00</w:t>
      </w:r>
    </w:p>
    <w:p w14:paraId="6AE58B28" w14:textId="4D9767E4" w:rsidR="009C320E" w:rsidRDefault="009C320E" w:rsidP="009C320E">
      <w:pPr>
        <w:pStyle w:val="ListParagraph"/>
        <w:numPr>
          <w:ilvl w:val="0"/>
          <w:numId w:val="11"/>
        </w:numPr>
        <w:tabs>
          <w:tab w:val="left" w:pos="3150"/>
          <w:tab w:val="right" w:pos="8370"/>
        </w:tabs>
        <w:spacing w:after="240"/>
        <w:rPr>
          <w:szCs w:val="24"/>
        </w:rPr>
      </w:pPr>
      <w:r w:rsidRPr="009C320E">
        <w:rPr>
          <w:szCs w:val="24"/>
        </w:rPr>
        <w:t>GS-1</w:t>
      </w:r>
      <w:r>
        <w:rPr>
          <w:szCs w:val="24"/>
        </w:rPr>
        <w:t>1</w:t>
      </w:r>
      <w:r w:rsidRPr="009C320E">
        <w:rPr>
          <w:szCs w:val="24"/>
        </w:rPr>
        <w:t>/3</w:t>
      </w:r>
      <w:r w:rsidRPr="009C320E">
        <w:rPr>
          <w:szCs w:val="24"/>
        </w:rPr>
        <w:tab/>
      </w:r>
      <w:r w:rsidRPr="004E2A1C">
        <w:rPr>
          <w:szCs w:val="24"/>
        </w:rPr>
        <w:t>@ $</w:t>
      </w:r>
      <w:r w:rsidR="004E2A1C" w:rsidRPr="004E2A1C">
        <w:rPr>
          <w:szCs w:val="24"/>
        </w:rPr>
        <w:t>32.12</w:t>
      </w:r>
      <w:r w:rsidRPr="004E2A1C">
        <w:rPr>
          <w:szCs w:val="24"/>
        </w:rPr>
        <w:t xml:space="preserve"> x </w:t>
      </w:r>
      <w:r w:rsidR="004E2A1C" w:rsidRPr="004E2A1C">
        <w:rPr>
          <w:szCs w:val="24"/>
        </w:rPr>
        <w:t>12,000</w:t>
      </w:r>
      <w:r w:rsidRPr="009C320E">
        <w:rPr>
          <w:szCs w:val="24"/>
        </w:rPr>
        <w:t xml:space="preserve"> x 30/60 minutes =</w:t>
      </w:r>
      <w:r w:rsidRPr="009C320E">
        <w:rPr>
          <w:szCs w:val="24"/>
        </w:rPr>
        <w:tab/>
      </w:r>
      <w:r w:rsidR="004E2A1C">
        <w:rPr>
          <w:szCs w:val="24"/>
        </w:rPr>
        <w:t>$192,720.00</w:t>
      </w:r>
    </w:p>
    <w:p w14:paraId="07F88220" w14:textId="44797882" w:rsidR="00DF7C4B" w:rsidRDefault="00DF7C4B" w:rsidP="009C320E">
      <w:pPr>
        <w:pStyle w:val="ListParagraph"/>
        <w:numPr>
          <w:ilvl w:val="0"/>
          <w:numId w:val="11"/>
        </w:numPr>
        <w:tabs>
          <w:tab w:val="left" w:pos="3150"/>
          <w:tab w:val="right" w:pos="8370"/>
        </w:tabs>
        <w:spacing w:after="240"/>
        <w:rPr>
          <w:szCs w:val="24"/>
        </w:rPr>
      </w:pPr>
      <w:r>
        <w:rPr>
          <w:szCs w:val="24"/>
        </w:rPr>
        <w:t>GS-11/3 Overhead at 100%</w:t>
      </w:r>
      <w:r>
        <w:rPr>
          <w:szCs w:val="24"/>
        </w:rPr>
        <w:tab/>
      </w:r>
      <w:r w:rsidR="004E2A1C">
        <w:rPr>
          <w:szCs w:val="24"/>
        </w:rPr>
        <w:t>$192,720.00</w:t>
      </w:r>
    </w:p>
    <w:p w14:paraId="031862B0" w14:textId="0310F589" w:rsidR="009C320E" w:rsidRDefault="009C320E" w:rsidP="009C320E">
      <w:pPr>
        <w:pStyle w:val="ListParagraph"/>
        <w:numPr>
          <w:ilvl w:val="0"/>
          <w:numId w:val="11"/>
        </w:numPr>
        <w:tabs>
          <w:tab w:val="left" w:pos="3150"/>
          <w:tab w:val="right" w:pos="8370"/>
        </w:tabs>
        <w:spacing w:after="240"/>
        <w:rPr>
          <w:szCs w:val="24"/>
        </w:rPr>
      </w:pPr>
      <w:r>
        <w:rPr>
          <w:szCs w:val="24"/>
        </w:rPr>
        <w:t>GS-5</w:t>
      </w:r>
      <w:r w:rsidRPr="009C320E">
        <w:rPr>
          <w:szCs w:val="24"/>
        </w:rPr>
        <w:t>/3</w:t>
      </w:r>
      <w:r w:rsidRPr="009C320E">
        <w:rPr>
          <w:szCs w:val="24"/>
        </w:rPr>
        <w:tab/>
      </w:r>
      <w:r w:rsidRPr="004E2A1C">
        <w:rPr>
          <w:szCs w:val="24"/>
        </w:rPr>
        <w:t xml:space="preserve">@ $XXXX x </w:t>
      </w:r>
      <w:r w:rsidR="004E2A1C" w:rsidRPr="004E2A1C">
        <w:rPr>
          <w:szCs w:val="24"/>
        </w:rPr>
        <w:t>12,000</w:t>
      </w:r>
      <w:r w:rsidRPr="004E2A1C">
        <w:rPr>
          <w:szCs w:val="24"/>
        </w:rPr>
        <w:t xml:space="preserve"> x 30</w:t>
      </w:r>
      <w:r w:rsidRPr="009C320E">
        <w:rPr>
          <w:szCs w:val="24"/>
        </w:rPr>
        <w:t>/60 minutes =</w:t>
      </w:r>
      <w:r w:rsidRPr="009C320E">
        <w:rPr>
          <w:szCs w:val="24"/>
        </w:rPr>
        <w:tab/>
      </w:r>
      <w:r w:rsidR="004E2A1C">
        <w:rPr>
          <w:szCs w:val="24"/>
        </w:rPr>
        <w:t>$105,120.00</w:t>
      </w:r>
    </w:p>
    <w:p w14:paraId="421E8374" w14:textId="3CA8483C" w:rsidR="00DF7C4B" w:rsidRPr="009C320E" w:rsidRDefault="00DF7C4B" w:rsidP="009C320E">
      <w:pPr>
        <w:pStyle w:val="ListParagraph"/>
        <w:numPr>
          <w:ilvl w:val="0"/>
          <w:numId w:val="11"/>
        </w:numPr>
        <w:tabs>
          <w:tab w:val="left" w:pos="3150"/>
          <w:tab w:val="right" w:pos="8370"/>
        </w:tabs>
        <w:spacing w:after="240"/>
        <w:rPr>
          <w:szCs w:val="24"/>
        </w:rPr>
      </w:pPr>
      <w:r>
        <w:rPr>
          <w:szCs w:val="24"/>
        </w:rPr>
        <w:t>GS-5/3 Overhead at 100%</w:t>
      </w:r>
      <w:r>
        <w:rPr>
          <w:szCs w:val="24"/>
        </w:rPr>
        <w:tab/>
      </w:r>
      <w:r w:rsidR="004E2A1C">
        <w:rPr>
          <w:szCs w:val="24"/>
        </w:rPr>
        <w:t>$105,120.00</w:t>
      </w:r>
    </w:p>
    <w:p w14:paraId="2334CD88" w14:textId="2474A540" w:rsidR="003837DC" w:rsidRPr="00134808" w:rsidRDefault="003837DC" w:rsidP="00335C16">
      <w:pPr>
        <w:tabs>
          <w:tab w:val="right" w:pos="8370"/>
        </w:tabs>
        <w:ind w:firstLine="720"/>
        <w:rPr>
          <w:szCs w:val="24"/>
        </w:rPr>
      </w:pPr>
      <w:r w:rsidRPr="00134808">
        <w:rPr>
          <w:szCs w:val="24"/>
        </w:rPr>
        <w:t>Printing and production cost ($90/thousand)</w:t>
      </w:r>
      <w:r w:rsidR="00335C16" w:rsidRPr="00134808">
        <w:rPr>
          <w:szCs w:val="24"/>
        </w:rPr>
        <w:tab/>
        <w:t>$</w:t>
      </w:r>
      <w:r w:rsidR="00134808" w:rsidRPr="00134808">
        <w:rPr>
          <w:szCs w:val="24"/>
        </w:rPr>
        <w:t>1,080.00</w:t>
      </w:r>
    </w:p>
    <w:p w14:paraId="2334CD89" w14:textId="5EDDA87E" w:rsidR="003837DC" w:rsidRDefault="00335C16" w:rsidP="00335C16">
      <w:pPr>
        <w:tabs>
          <w:tab w:val="right" w:pos="8370"/>
        </w:tabs>
        <w:rPr>
          <w:szCs w:val="24"/>
        </w:rPr>
      </w:pPr>
      <w:r w:rsidRPr="000259BF">
        <w:rPr>
          <w:szCs w:val="24"/>
        </w:rPr>
        <w:t>Total cost to government</w:t>
      </w:r>
      <w:r w:rsidR="003837DC" w:rsidRPr="000259BF">
        <w:rPr>
          <w:szCs w:val="24"/>
        </w:rPr>
        <w:tab/>
        <w:t>$</w:t>
      </w:r>
      <w:r w:rsidR="000259BF" w:rsidRPr="000259BF">
        <w:rPr>
          <w:szCs w:val="24"/>
        </w:rPr>
        <w:t>1,146,120.00</w:t>
      </w:r>
    </w:p>
    <w:p w14:paraId="019D893E" w14:textId="77777777" w:rsidR="008C361A" w:rsidRDefault="008C361A" w:rsidP="008C361A">
      <w:r>
        <w:t xml:space="preserve">Note: the hourly wage information above is based on the </w:t>
      </w:r>
      <w:hyperlink r:id="rId13" w:history="1">
        <w:r w:rsidRPr="00D54977">
          <w:rPr>
            <w:rStyle w:val="Hyperlink"/>
          </w:rPr>
          <w:t>2016 hourly wages for employees of the VA Regional Office at St. Paul, Minnesota</w:t>
        </w:r>
      </w:hyperlink>
      <w:r>
        <w:t xml:space="preserve"> (</w:t>
      </w:r>
      <w:hyperlink r:id="rId14" w:history="1">
        <w:r w:rsidRPr="00FF30A3">
          <w:rPr>
            <w:rStyle w:val="Hyperlink"/>
          </w:rPr>
          <w:t>https://www.opm.gov/policy-data-oversight/pay-leave/salaries-wages/salary-tables/pdf/2016/MSP_h.pdf</w:t>
        </w:r>
      </w:hyperlink>
      <w:r>
        <w:t xml:space="preserve">).  The St. Paul Regional Office is one of three adjudication offices which process these types of claims (Milwaukee and Philadelphia are the others).  The locality adjustment of 21.3% applicable to St. Paul falls between the </w:t>
      </w:r>
      <w:proofErr w:type="gramStart"/>
      <w:r>
        <w:t>locality</w:t>
      </w:r>
      <w:proofErr w:type="gramEnd"/>
      <w:r>
        <w:t xml:space="preserve"> adjustments of Milwaukee and Philadelphia.</w:t>
      </w:r>
    </w:p>
    <w:p w14:paraId="13A6B477" w14:textId="77777777" w:rsidR="008C361A" w:rsidRDefault="008C361A" w:rsidP="008C361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D6601C2" w14:textId="77777777" w:rsidR="008C361A" w:rsidRPr="00324D72" w:rsidRDefault="008C361A" w:rsidP="008C361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5" w:history="1">
        <w:r w:rsidRPr="00C73983">
          <w:rPr>
            <w:rStyle w:val="Hyperlink"/>
          </w:rPr>
          <w:t xml:space="preserve">Boston Business Journal </w:t>
        </w:r>
      </w:hyperlink>
      <w:r>
        <w:t>(</w:t>
      </w:r>
      <w:hyperlink r:id="rId16" w:history="1">
        <w:r w:rsidRPr="009876D1">
          <w:rPr>
            <w:rStyle w:val="Hyperlink"/>
          </w:rPr>
          <w:t>http://web.mit.edu/e-</w:t>
        </w:r>
        <w:r w:rsidRPr="009876D1">
          <w:rPr>
            <w:rStyle w:val="Hyperlink"/>
          </w:rPr>
          <w:lastRenderedPageBreak/>
          <w:t>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2334CD8D" w14:textId="1F313E7C" w:rsidR="002B0D86" w:rsidRDefault="00916F0F" w:rsidP="001733B3">
      <w:r>
        <w:t>This is the first submission for this collection.</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7"/>
      <w:footerReference w:type="default" r:id="rId18"/>
      <w:headerReference w:type="first" r:id="rId19"/>
      <w:footerReference w:type="first" r:id="rId20"/>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77571" w14:textId="77777777" w:rsidR="004B5236" w:rsidRDefault="004B5236">
      <w:r>
        <w:separator/>
      </w:r>
    </w:p>
  </w:endnote>
  <w:endnote w:type="continuationSeparator" w:id="0">
    <w:p w14:paraId="11413C42" w14:textId="77777777" w:rsidR="004B5236" w:rsidRDefault="004B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C07C96">
      <w:rPr>
        <w:rStyle w:val="PageNumber"/>
        <w:b/>
        <w:noProof/>
        <w:szCs w:val="24"/>
      </w:rPr>
      <w:t>4</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BE2A89">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3B434" w14:textId="77777777" w:rsidR="004B5236" w:rsidRDefault="004B5236">
      <w:r>
        <w:separator/>
      </w:r>
    </w:p>
  </w:footnote>
  <w:footnote w:type="continuationSeparator" w:id="0">
    <w:p w14:paraId="42366EAE" w14:textId="77777777" w:rsidR="004B5236" w:rsidRDefault="004B5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37C17F82" w:rsidR="0068206F" w:rsidRPr="0068206F" w:rsidRDefault="006B104A" w:rsidP="0068206F">
    <w:pPr>
      <w:pStyle w:val="Heading1"/>
      <w:tabs>
        <w:tab w:val="clear" w:pos="10267"/>
        <w:tab w:val="left" w:pos="11070"/>
      </w:tabs>
      <w:spacing w:after="120"/>
      <w:rPr>
        <w:bCs/>
        <w:szCs w:val="22"/>
      </w:rPr>
    </w:pPr>
    <w:r>
      <w:rPr>
        <w:bCs/>
        <w:szCs w:val="22"/>
      </w:rPr>
      <w:t>Notice of Disagreement (NOD) (Pension, Dependency and Indemnity Compensation (DIC), Burial, and Accrued)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3B2E13C5" w:rsidR="00F462E6" w:rsidRPr="00F32324" w:rsidRDefault="00B9210E" w:rsidP="00EA17B1">
    <w:pPr>
      <w:pStyle w:val="HeaderTitle"/>
      <w:rPr>
        <w:b w:val="0"/>
        <w:bCs w:val="0"/>
        <w:color w:val="auto"/>
      </w:rPr>
    </w:pPr>
    <w:r w:rsidRPr="00B9210E">
      <w:t>Notice of Disagreement (NOD) (Pension, Dependency and Indemnity Compensation (DIC), Burial, and Accrued), VA Form 21P-0970</w:t>
    </w:r>
    <w:r w:rsidR="0068206F">
      <w:br/>
    </w:r>
    <w:r w:rsidR="00F462E6" w:rsidRPr="00F32324">
      <w:rPr>
        <w:color w:val="auto"/>
      </w:rPr>
      <w:t>OMB 2900-</w:t>
    </w:r>
    <w:r>
      <w:rPr>
        <w:color w:val="auto"/>
      </w:rPr>
      <w:t>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CB66BC7"/>
    <w:multiLevelType w:val="hybridMultilevel"/>
    <w:tmpl w:val="F9B8C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1"/>
  </w:num>
  <w:num w:numId="2">
    <w:abstractNumId w:val="3"/>
  </w:num>
  <w:num w:numId="3">
    <w:abstractNumId w:val="10"/>
  </w:num>
  <w:num w:numId="4">
    <w:abstractNumId w:val="12"/>
  </w:num>
  <w:num w:numId="5">
    <w:abstractNumId w:val="0"/>
  </w:num>
  <w:num w:numId="6">
    <w:abstractNumId w:val="5"/>
  </w:num>
  <w:num w:numId="7">
    <w:abstractNumId w:val="4"/>
  </w:num>
  <w:num w:numId="8">
    <w:abstractNumId w:val="1"/>
  </w:num>
  <w:num w:numId="9">
    <w:abstractNumId w:val="8"/>
  </w:num>
  <w:num w:numId="10">
    <w:abstractNumId w:val="9"/>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14E"/>
    <w:rsid w:val="00004793"/>
    <w:rsid w:val="00005686"/>
    <w:rsid w:val="000058AE"/>
    <w:rsid w:val="00007FB9"/>
    <w:rsid w:val="000222E0"/>
    <w:rsid w:val="00023492"/>
    <w:rsid w:val="000259BF"/>
    <w:rsid w:val="000316C8"/>
    <w:rsid w:val="00055442"/>
    <w:rsid w:val="00066347"/>
    <w:rsid w:val="00071C8C"/>
    <w:rsid w:val="00075B8E"/>
    <w:rsid w:val="00080080"/>
    <w:rsid w:val="00086594"/>
    <w:rsid w:val="000A2CC8"/>
    <w:rsid w:val="000B6A17"/>
    <w:rsid w:val="000B7228"/>
    <w:rsid w:val="000C7855"/>
    <w:rsid w:val="000D5AC7"/>
    <w:rsid w:val="000E6D06"/>
    <w:rsid w:val="000F0679"/>
    <w:rsid w:val="000F4A7F"/>
    <w:rsid w:val="000F7D0D"/>
    <w:rsid w:val="00105A5D"/>
    <w:rsid w:val="00107BFF"/>
    <w:rsid w:val="00107C8C"/>
    <w:rsid w:val="00111F4C"/>
    <w:rsid w:val="00120059"/>
    <w:rsid w:val="00120FFA"/>
    <w:rsid w:val="0012127E"/>
    <w:rsid w:val="001266EC"/>
    <w:rsid w:val="00131F32"/>
    <w:rsid w:val="00132BE3"/>
    <w:rsid w:val="00134808"/>
    <w:rsid w:val="00135677"/>
    <w:rsid w:val="001420F5"/>
    <w:rsid w:val="001476FB"/>
    <w:rsid w:val="00154779"/>
    <w:rsid w:val="00157120"/>
    <w:rsid w:val="00161E5E"/>
    <w:rsid w:val="001733B3"/>
    <w:rsid w:val="001800A2"/>
    <w:rsid w:val="0018798C"/>
    <w:rsid w:val="00192E6D"/>
    <w:rsid w:val="001A7EDF"/>
    <w:rsid w:val="001B3EFD"/>
    <w:rsid w:val="001C093E"/>
    <w:rsid w:val="001C3C68"/>
    <w:rsid w:val="001C637B"/>
    <w:rsid w:val="001D72E5"/>
    <w:rsid w:val="001E7AA6"/>
    <w:rsid w:val="001E7B54"/>
    <w:rsid w:val="001F3760"/>
    <w:rsid w:val="001F6B92"/>
    <w:rsid w:val="001F6F32"/>
    <w:rsid w:val="00203A68"/>
    <w:rsid w:val="00217224"/>
    <w:rsid w:val="0022071A"/>
    <w:rsid w:val="00221D49"/>
    <w:rsid w:val="00222F72"/>
    <w:rsid w:val="00224176"/>
    <w:rsid w:val="00225E71"/>
    <w:rsid w:val="00227212"/>
    <w:rsid w:val="002406E3"/>
    <w:rsid w:val="00241961"/>
    <w:rsid w:val="00247584"/>
    <w:rsid w:val="00254A5F"/>
    <w:rsid w:val="0026047A"/>
    <w:rsid w:val="00267F6E"/>
    <w:rsid w:val="002744E8"/>
    <w:rsid w:val="00293700"/>
    <w:rsid w:val="00294F95"/>
    <w:rsid w:val="00294FB1"/>
    <w:rsid w:val="002958EC"/>
    <w:rsid w:val="002A6472"/>
    <w:rsid w:val="002A6CF1"/>
    <w:rsid w:val="002A726C"/>
    <w:rsid w:val="002B051E"/>
    <w:rsid w:val="002B0D86"/>
    <w:rsid w:val="002B0E36"/>
    <w:rsid w:val="002B5E4B"/>
    <w:rsid w:val="002B68DC"/>
    <w:rsid w:val="002C28FE"/>
    <w:rsid w:val="002C53E2"/>
    <w:rsid w:val="002D1D70"/>
    <w:rsid w:val="002D3BA1"/>
    <w:rsid w:val="002D66A2"/>
    <w:rsid w:val="002E0303"/>
    <w:rsid w:val="002E2CCB"/>
    <w:rsid w:val="002E52B2"/>
    <w:rsid w:val="002E5EFF"/>
    <w:rsid w:val="002E7A76"/>
    <w:rsid w:val="002F0042"/>
    <w:rsid w:val="002F3AA3"/>
    <w:rsid w:val="002F471F"/>
    <w:rsid w:val="002F4AA7"/>
    <w:rsid w:val="002F640F"/>
    <w:rsid w:val="00313935"/>
    <w:rsid w:val="00321523"/>
    <w:rsid w:val="00323997"/>
    <w:rsid w:val="00324D72"/>
    <w:rsid w:val="00331839"/>
    <w:rsid w:val="003319E4"/>
    <w:rsid w:val="00335C16"/>
    <w:rsid w:val="00335D3C"/>
    <w:rsid w:val="00336534"/>
    <w:rsid w:val="00345E6E"/>
    <w:rsid w:val="00346F45"/>
    <w:rsid w:val="00347E64"/>
    <w:rsid w:val="00350BD0"/>
    <w:rsid w:val="00350EB3"/>
    <w:rsid w:val="0035400B"/>
    <w:rsid w:val="00354E73"/>
    <w:rsid w:val="00357E2B"/>
    <w:rsid w:val="0036460E"/>
    <w:rsid w:val="00365F41"/>
    <w:rsid w:val="00376504"/>
    <w:rsid w:val="003837DC"/>
    <w:rsid w:val="0039029D"/>
    <w:rsid w:val="00396589"/>
    <w:rsid w:val="00397001"/>
    <w:rsid w:val="003A0C66"/>
    <w:rsid w:val="003A0C9E"/>
    <w:rsid w:val="003B60AE"/>
    <w:rsid w:val="003C3487"/>
    <w:rsid w:val="003D56F0"/>
    <w:rsid w:val="003D6582"/>
    <w:rsid w:val="003E00B7"/>
    <w:rsid w:val="0040601C"/>
    <w:rsid w:val="0040699F"/>
    <w:rsid w:val="0041041A"/>
    <w:rsid w:val="00415D17"/>
    <w:rsid w:val="00423711"/>
    <w:rsid w:val="00423C86"/>
    <w:rsid w:val="00425625"/>
    <w:rsid w:val="004307F3"/>
    <w:rsid w:val="00433C77"/>
    <w:rsid w:val="0043430E"/>
    <w:rsid w:val="0043456B"/>
    <w:rsid w:val="0045081C"/>
    <w:rsid w:val="004540C3"/>
    <w:rsid w:val="004654D3"/>
    <w:rsid w:val="00467534"/>
    <w:rsid w:val="0047016E"/>
    <w:rsid w:val="00471E2C"/>
    <w:rsid w:val="00474B38"/>
    <w:rsid w:val="00476ED9"/>
    <w:rsid w:val="00477C29"/>
    <w:rsid w:val="00481791"/>
    <w:rsid w:val="00491177"/>
    <w:rsid w:val="0049589A"/>
    <w:rsid w:val="004A357B"/>
    <w:rsid w:val="004A42A0"/>
    <w:rsid w:val="004B1D7E"/>
    <w:rsid w:val="004B2B55"/>
    <w:rsid w:val="004B392D"/>
    <w:rsid w:val="004B4D86"/>
    <w:rsid w:val="004B5236"/>
    <w:rsid w:val="004B6D46"/>
    <w:rsid w:val="004B7B69"/>
    <w:rsid w:val="004D048F"/>
    <w:rsid w:val="004D18D3"/>
    <w:rsid w:val="004D4526"/>
    <w:rsid w:val="004D5B6A"/>
    <w:rsid w:val="004E2A1C"/>
    <w:rsid w:val="004E6CE3"/>
    <w:rsid w:val="004F2E87"/>
    <w:rsid w:val="0050091F"/>
    <w:rsid w:val="00506383"/>
    <w:rsid w:val="00523B4A"/>
    <w:rsid w:val="005249EA"/>
    <w:rsid w:val="00524F9A"/>
    <w:rsid w:val="00530986"/>
    <w:rsid w:val="00546ECC"/>
    <w:rsid w:val="0055019A"/>
    <w:rsid w:val="00553899"/>
    <w:rsid w:val="00557E86"/>
    <w:rsid w:val="00563FCE"/>
    <w:rsid w:val="00576B1E"/>
    <w:rsid w:val="00580A96"/>
    <w:rsid w:val="00580D51"/>
    <w:rsid w:val="005847B5"/>
    <w:rsid w:val="005A2EE6"/>
    <w:rsid w:val="005A2F46"/>
    <w:rsid w:val="005A59C9"/>
    <w:rsid w:val="005B09DF"/>
    <w:rsid w:val="005B0B03"/>
    <w:rsid w:val="005B0B7D"/>
    <w:rsid w:val="005B5A43"/>
    <w:rsid w:val="005B5FC6"/>
    <w:rsid w:val="005C6716"/>
    <w:rsid w:val="005D0978"/>
    <w:rsid w:val="005F2353"/>
    <w:rsid w:val="006031B0"/>
    <w:rsid w:val="0061023D"/>
    <w:rsid w:val="006148BA"/>
    <w:rsid w:val="00615F91"/>
    <w:rsid w:val="0062611D"/>
    <w:rsid w:val="006268E4"/>
    <w:rsid w:val="00640FE4"/>
    <w:rsid w:val="00645324"/>
    <w:rsid w:val="00661239"/>
    <w:rsid w:val="00661907"/>
    <w:rsid w:val="006628C1"/>
    <w:rsid w:val="00676A0E"/>
    <w:rsid w:val="0068206F"/>
    <w:rsid w:val="006942A8"/>
    <w:rsid w:val="006A0F5F"/>
    <w:rsid w:val="006B104A"/>
    <w:rsid w:val="006B3D4D"/>
    <w:rsid w:val="006B6E95"/>
    <w:rsid w:val="006C34EA"/>
    <w:rsid w:val="006C635F"/>
    <w:rsid w:val="006E1F76"/>
    <w:rsid w:val="006F0D4D"/>
    <w:rsid w:val="006F1065"/>
    <w:rsid w:val="006F18E4"/>
    <w:rsid w:val="00702F59"/>
    <w:rsid w:val="00712F1E"/>
    <w:rsid w:val="00713ED4"/>
    <w:rsid w:val="00714B4C"/>
    <w:rsid w:val="0072139E"/>
    <w:rsid w:val="007319FF"/>
    <w:rsid w:val="00733841"/>
    <w:rsid w:val="0073415D"/>
    <w:rsid w:val="00737C01"/>
    <w:rsid w:val="00746BBA"/>
    <w:rsid w:val="00747E64"/>
    <w:rsid w:val="00751A9E"/>
    <w:rsid w:val="0075622B"/>
    <w:rsid w:val="007748C9"/>
    <w:rsid w:val="00776B71"/>
    <w:rsid w:val="00776DFE"/>
    <w:rsid w:val="00782B96"/>
    <w:rsid w:val="007927C8"/>
    <w:rsid w:val="007A147A"/>
    <w:rsid w:val="007A4E1E"/>
    <w:rsid w:val="007B4157"/>
    <w:rsid w:val="007C67CF"/>
    <w:rsid w:val="007D1214"/>
    <w:rsid w:val="007D236D"/>
    <w:rsid w:val="007D3F4B"/>
    <w:rsid w:val="007E7816"/>
    <w:rsid w:val="007F4CD3"/>
    <w:rsid w:val="007F6F2A"/>
    <w:rsid w:val="00800275"/>
    <w:rsid w:val="00803070"/>
    <w:rsid w:val="00806711"/>
    <w:rsid w:val="00820450"/>
    <w:rsid w:val="00824CB9"/>
    <w:rsid w:val="00830556"/>
    <w:rsid w:val="00832A66"/>
    <w:rsid w:val="0083558B"/>
    <w:rsid w:val="00841FF8"/>
    <w:rsid w:val="008447B4"/>
    <w:rsid w:val="00845F8B"/>
    <w:rsid w:val="00866F86"/>
    <w:rsid w:val="00873DA6"/>
    <w:rsid w:val="0087495F"/>
    <w:rsid w:val="00881714"/>
    <w:rsid w:val="0089368A"/>
    <w:rsid w:val="008A3075"/>
    <w:rsid w:val="008B52B6"/>
    <w:rsid w:val="008C335C"/>
    <w:rsid w:val="008C361A"/>
    <w:rsid w:val="008C41E7"/>
    <w:rsid w:val="008D1159"/>
    <w:rsid w:val="008D350D"/>
    <w:rsid w:val="008D63D5"/>
    <w:rsid w:val="008E08C1"/>
    <w:rsid w:val="008E3A5C"/>
    <w:rsid w:val="008F3A17"/>
    <w:rsid w:val="008F6C00"/>
    <w:rsid w:val="00901CD9"/>
    <w:rsid w:val="009027DB"/>
    <w:rsid w:val="00902E82"/>
    <w:rsid w:val="00905B35"/>
    <w:rsid w:val="00911EA8"/>
    <w:rsid w:val="00916F0F"/>
    <w:rsid w:val="009279E3"/>
    <w:rsid w:val="00927A92"/>
    <w:rsid w:val="00933C49"/>
    <w:rsid w:val="009359AC"/>
    <w:rsid w:val="0095045F"/>
    <w:rsid w:val="00965626"/>
    <w:rsid w:val="00967332"/>
    <w:rsid w:val="00975CB9"/>
    <w:rsid w:val="0098135A"/>
    <w:rsid w:val="009879A5"/>
    <w:rsid w:val="00987DA9"/>
    <w:rsid w:val="009A1918"/>
    <w:rsid w:val="009A298C"/>
    <w:rsid w:val="009A6663"/>
    <w:rsid w:val="009A7CCB"/>
    <w:rsid w:val="009B02A0"/>
    <w:rsid w:val="009B08AA"/>
    <w:rsid w:val="009B1068"/>
    <w:rsid w:val="009B5940"/>
    <w:rsid w:val="009C320E"/>
    <w:rsid w:val="009C388F"/>
    <w:rsid w:val="009C3C70"/>
    <w:rsid w:val="009D1AEB"/>
    <w:rsid w:val="009D6D14"/>
    <w:rsid w:val="009E1DB5"/>
    <w:rsid w:val="009E4AD2"/>
    <w:rsid w:val="009E4E5F"/>
    <w:rsid w:val="009E5578"/>
    <w:rsid w:val="009F2972"/>
    <w:rsid w:val="00A0278E"/>
    <w:rsid w:val="00A1010C"/>
    <w:rsid w:val="00A3281C"/>
    <w:rsid w:val="00A32D7A"/>
    <w:rsid w:val="00A354CB"/>
    <w:rsid w:val="00A40413"/>
    <w:rsid w:val="00A41292"/>
    <w:rsid w:val="00A434B3"/>
    <w:rsid w:val="00A549DD"/>
    <w:rsid w:val="00A7565A"/>
    <w:rsid w:val="00A80441"/>
    <w:rsid w:val="00A8310B"/>
    <w:rsid w:val="00A87C94"/>
    <w:rsid w:val="00A93613"/>
    <w:rsid w:val="00A93752"/>
    <w:rsid w:val="00AA5B5A"/>
    <w:rsid w:val="00AA5E22"/>
    <w:rsid w:val="00AC56C6"/>
    <w:rsid w:val="00AD423A"/>
    <w:rsid w:val="00AE0D75"/>
    <w:rsid w:val="00B1003B"/>
    <w:rsid w:val="00B13E69"/>
    <w:rsid w:val="00B23502"/>
    <w:rsid w:val="00B235C5"/>
    <w:rsid w:val="00B37CFC"/>
    <w:rsid w:val="00B42B3E"/>
    <w:rsid w:val="00B44686"/>
    <w:rsid w:val="00B44817"/>
    <w:rsid w:val="00B55197"/>
    <w:rsid w:val="00B62CCA"/>
    <w:rsid w:val="00B8008E"/>
    <w:rsid w:val="00B85173"/>
    <w:rsid w:val="00B87CAE"/>
    <w:rsid w:val="00B9210E"/>
    <w:rsid w:val="00B9479E"/>
    <w:rsid w:val="00B953F0"/>
    <w:rsid w:val="00B9713A"/>
    <w:rsid w:val="00BA26AC"/>
    <w:rsid w:val="00BA3E39"/>
    <w:rsid w:val="00BA6298"/>
    <w:rsid w:val="00BB08AC"/>
    <w:rsid w:val="00BB56D5"/>
    <w:rsid w:val="00BD1020"/>
    <w:rsid w:val="00BD5D01"/>
    <w:rsid w:val="00BE21C3"/>
    <w:rsid w:val="00BE2A89"/>
    <w:rsid w:val="00BF1806"/>
    <w:rsid w:val="00BF65C8"/>
    <w:rsid w:val="00BF7771"/>
    <w:rsid w:val="00C055E1"/>
    <w:rsid w:val="00C06489"/>
    <w:rsid w:val="00C07C96"/>
    <w:rsid w:val="00C107C0"/>
    <w:rsid w:val="00C13429"/>
    <w:rsid w:val="00C226FB"/>
    <w:rsid w:val="00C26850"/>
    <w:rsid w:val="00C3305E"/>
    <w:rsid w:val="00C3311C"/>
    <w:rsid w:val="00C44492"/>
    <w:rsid w:val="00C52D34"/>
    <w:rsid w:val="00C5678B"/>
    <w:rsid w:val="00C60F32"/>
    <w:rsid w:val="00C6578C"/>
    <w:rsid w:val="00C77132"/>
    <w:rsid w:val="00C775F5"/>
    <w:rsid w:val="00C900DE"/>
    <w:rsid w:val="00CA0E57"/>
    <w:rsid w:val="00CA751C"/>
    <w:rsid w:val="00CC0B56"/>
    <w:rsid w:val="00CD07FE"/>
    <w:rsid w:val="00CD30D6"/>
    <w:rsid w:val="00CD3300"/>
    <w:rsid w:val="00CD4013"/>
    <w:rsid w:val="00CD561F"/>
    <w:rsid w:val="00CE202E"/>
    <w:rsid w:val="00CE7ADD"/>
    <w:rsid w:val="00CF4C29"/>
    <w:rsid w:val="00CF55CB"/>
    <w:rsid w:val="00CF5A15"/>
    <w:rsid w:val="00CF7B67"/>
    <w:rsid w:val="00D0177D"/>
    <w:rsid w:val="00D0371D"/>
    <w:rsid w:val="00D14AAC"/>
    <w:rsid w:val="00D17C53"/>
    <w:rsid w:val="00D24B5E"/>
    <w:rsid w:val="00D3019C"/>
    <w:rsid w:val="00D54600"/>
    <w:rsid w:val="00D54D2F"/>
    <w:rsid w:val="00D55837"/>
    <w:rsid w:val="00D56564"/>
    <w:rsid w:val="00D67B9C"/>
    <w:rsid w:val="00D67F36"/>
    <w:rsid w:val="00D81555"/>
    <w:rsid w:val="00D855C6"/>
    <w:rsid w:val="00D90F4A"/>
    <w:rsid w:val="00D91CA2"/>
    <w:rsid w:val="00D92F50"/>
    <w:rsid w:val="00D957D6"/>
    <w:rsid w:val="00D96049"/>
    <w:rsid w:val="00DA1235"/>
    <w:rsid w:val="00DA16C9"/>
    <w:rsid w:val="00DC1CC8"/>
    <w:rsid w:val="00DD09DC"/>
    <w:rsid w:val="00DD7AC9"/>
    <w:rsid w:val="00DF069E"/>
    <w:rsid w:val="00DF3986"/>
    <w:rsid w:val="00DF732F"/>
    <w:rsid w:val="00DF7C4B"/>
    <w:rsid w:val="00E0061F"/>
    <w:rsid w:val="00E031BC"/>
    <w:rsid w:val="00E04C66"/>
    <w:rsid w:val="00E0565B"/>
    <w:rsid w:val="00E114F7"/>
    <w:rsid w:val="00E3042E"/>
    <w:rsid w:val="00E332E6"/>
    <w:rsid w:val="00E418BD"/>
    <w:rsid w:val="00E4264D"/>
    <w:rsid w:val="00E508C1"/>
    <w:rsid w:val="00E50B6C"/>
    <w:rsid w:val="00E6124C"/>
    <w:rsid w:val="00E82B81"/>
    <w:rsid w:val="00E866F6"/>
    <w:rsid w:val="00E90441"/>
    <w:rsid w:val="00EA17B1"/>
    <w:rsid w:val="00EA52F5"/>
    <w:rsid w:val="00EA58DD"/>
    <w:rsid w:val="00EA78D7"/>
    <w:rsid w:val="00EB6E17"/>
    <w:rsid w:val="00EC4165"/>
    <w:rsid w:val="00EC6E8A"/>
    <w:rsid w:val="00ED38B5"/>
    <w:rsid w:val="00ED4B2D"/>
    <w:rsid w:val="00EE6A5D"/>
    <w:rsid w:val="00EF1309"/>
    <w:rsid w:val="00EF20A6"/>
    <w:rsid w:val="00F00E9D"/>
    <w:rsid w:val="00F02BFE"/>
    <w:rsid w:val="00F058FC"/>
    <w:rsid w:val="00F0783E"/>
    <w:rsid w:val="00F12A43"/>
    <w:rsid w:val="00F130C3"/>
    <w:rsid w:val="00F2153F"/>
    <w:rsid w:val="00F24BBE"/>
    <w:rsid w:val="00F32324"/>
    <w:rsid w:val="00F356E4"/>
    <w:rsid w:val="00F43735"/>
    <w:rsid w:val="00F45A38"/>
    <w:rsid w:val="00F462E6"/>
    <w:rsid w:val="00F510FF"/>
    <w:rsid w:val="00F5142C"/>
    <w:rsid w:val="00F65523"/>
    <w:rsid w:val="00F71849"/>
    <w:rsid w:val="00F72153"/>
    <w:rsid w:val="00F72DF3"/>
    <w:rsid w:val="00F76789"/>
    <w:rsid w:val="00F872C4"/>
    <w:rsid w:val="00F91B38"/>
    <w:rsid w:val="00FA2737"/>
    <w:rsid w:val="00FA2E23"/>
    <w:rsid w:val="00FA6042"/>
    <w:rsid w:val="00FA6280"/>
    <w:rsid w:val="00FB17D6"/>
    <w:rsid w:val="00FB23D9"/>
    <w:rsid w:val="00FC2FA5"/>
    <w:rsid w:val="00FD27EF"/>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9E4E5F"/>
    <w:pPr>
      <w:spacing w:after="0"/>
      <w:ind w:left="720"/>
      <w:contextualSpacing/>
    </w:p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9E4E5F"/>
    <w:pPr>
      <w:spacing w:after="0"/>
      <w:ind w:left="720"/>
      <w:contextualSpacing/>
    </w:p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6/MSP_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ls.gov/cps/cpsaat39.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eb.mit.edu/e-club/hadzima/pdf/how-much-does-an-employee-cos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cps/cpsaat39.htm" TargetMode="External"/><Relationship Id="rId5" Type="http://schemas.openxmlformats.org/officeDocument/2006/relationships/styles" Target="styles.xml"/><Relationship Id="rId15" Type="http://schemas.openxmlformats.org/officeDocument/2006/relationships/hyperlink" Target="http://web.mit.edu/e-club/hadzima/pdf/how-much-does-an-employee-cost.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16/MSP_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FA708-77B3-4642-B5E4-29BB8A28862C}">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2497</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16738</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Department of Veterans Affairs</cp:lastModifiedBy>
  <cp:revision>2</cp:revision>
  <cp:lastPrinted>2011-08-23T13:46:00Z</cp:lastPrinted>
  <dcterms:created xsi:type="dcterms:W3CDTF">2017-03-14T16:05:00Z</dcterms:created>
  <dcterms:modified xsi:type="dcterms:W3CDTF">2017-03-14T16:05:00Z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