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6EDE3" w14:textId="77777777" w:rsidR="004D2D8A" w:rsidRDefault="004D2D8A" w:rsidP="004D2D8A">
      <w:pPr>
        <w:jc w:val="center"/>
        <w:rPr>
          <w:rFonts w:ascii="Cambria" w:hAnsi="Cambria"/>
          <w:b/>
          <w:sz w:val="32"/>
          <w:szCs w:val="32"/>
        </w:rPr>
      </w:pPr>
      <w:r w:rsidRPr="00C20E6D">
        <w:rPr>
          <w:rFonts w:ascii="Cambria" w:hAnsi="Cambria"/>
          <w:b/>
          <w:sz w:val="32"/>
          <w:szCs w:val="32"/>
        </w:rPr>
        <w:t>M</w:t>
      </w:r>
      <w:r>
        <w:rPr>
          <w:rFonts w:ascii="Cambria" w:hAnsi="Cambria"/>
          <w:b/>
          <w:sz w:val="32"/>
          <w:szCs w:val="32"/>
        </w:rPr>
        <w:t>emorandum</w:t>
      </w:r>
    </w:p>
    <w:p w14:paraId="69E0D2BD" w14:textId="77777777" w:rsidR="004D2D8A" w:rsidRPr="00D64F7B" w:rsidRDefault="004D2D8A" w:rsidP="004D2D8A">
      <w:pPr>
        <w:jc w:val="center"/>
        <w:rPr>
          <w:rFonts w:ascii="Cambria" w:hAnsi="Cambria"/>
          <w:b/>
          <w:szCs w:val="32"/>
        </w:rPr>
      </w:pPr>
    </w:p>
    <w:p w14:paraId="61037479" w14:textId="06DA339E" w:rsidR="004D2D8A" w:rsidRDefault="004D2D8A" w:rsidP="00D64F7B">
      <w:pPr>
        <w:tabs>
          <w:tab w:val="left" w:pos="1080"/>
        </w:tabs>
      </w:pPr>
      <w:r w:rsidRPr="004D2D8A">
        <w:rPr>
          <w:b/>
        </w:rPr>
        <w:t>Date:</w:t>
      </w:r>
      <w:r w:rsidRPr="004D2D8A">
        <w:t xml:space="preserve"> </w:t>
      </w:r>
      <w:r w:rsidRPr="004D2D8A">
        <w:tab/>
      </w:r>
      <w:r w:rsidR="00FE5EE9">
        <w:t xml:space="preserve">October </w:t>
      </w:r>
      <w:r w:rsidR="005833AD">
        <w:t>1</w:t>
      </w:r>
      <w:r w:rsidR="00FE5EE9">
        <w:t>4</w:t>
      </w:r>
      <w:r w:rsidRPr="004D2D8A">
        <w:t>, 2016</w:t>
      </w:r>
    </w:p>
    <w:p w14:paraId="6EB6E6E1" w14:textId="77777777" w:rsidR="007A2B2C" w:rsidRPr="00DD5933" w:rsidRDefault="007A2B2C" w:rsidP="00D64F7B">
      <w:pPr>
        <w:tabs>
          <w:tab w:val="left" w:pos="1080"/>
        </w:tabs>
      </w:pPr>
    </w:p>
    <w:p w14:paraId="52A6EB2D" w14:textId="7195C2C3" w:rsidR="004D2D8A" w:rsidRPr="004D2D8A" w:rsidRDefault="004D2D8A" w:rsidP="00D64F7B">
      <w:pPr>
        <w:tabs>
          <w:tab w:val="left" w:pos="1080"/>
        </w:tabs>
      </w:pPr>
      <w:r w:rsidRPr="004D2D8A">
        <w:rPr>
          <w:b/>
        </w:rPr>
        <w:t>To:</w:t>
      </w:r>
      <w:r w:rsidRPr="004D2D8A">
        <w:tab/>
      </w:r>
      <w:r w:rsidR="00622ACD">
        <w:t>Margo Schwab</w:t>
      </w:r>
      <w:r w:rsidRPr="004D2D8A">
        <w:t xml:space="preserve">, Desk Officer </w:t>
      </w:r>
    </w:p>
    <w:p w14:paraId="68990FC3" w14:textId="77777777" w:rsidR="004D2D8A" w:rsidRDefault="004D2D8A" w:rsidP="00D64F7B">
      <w:pPr>
        <w:tabs>
          <w:tab w:val="left" w:pos="1080"/>
        </w:tabs>
      </w:pPr>
      <w:r w:rsidRPr="004D2D8A">
        <w:tab/>
        <w:t>Office of Management and Budget</w:t>
      </w:r>
    </w:p>
    <w:p w14:paraId="79C4323B" w14:textId="77777777" w:rsidR="007A2B2C" w:rsidRPr="00DD5933" w:rsidRDefault="007A2B2C" w:rsidP="00D64F7B">
      <w:pPr>
        <w:tabs>
          <w:tab w:val="left" w:pos="1080"/>
        </w:tabs>
        <w:rPr>
          <w:sz w:val="22"/>
        </w:rPr>
      </w:pPr>
    </w:p>
    <w:p w14:paraId="0B74BDB4" w14:textId="77777777" w:rsidR="004D2D8A" w:rsidRPr="004D2D8A" w:rsidRDefault="004D2D8A" w:rsidP="00D64F7B">
      <w:pPr>
        <w:pStyle w:val="Salutation"/>
        <w:rPr>
          <w:sz w:val="24"/>
        </w:rPr>
      </w:pPr>
      <w:r w:rsidRPr="004D2D8A">
        <w:rPr>
          <w:b/>
          <w:sz w:val="24"/>
        </w:rPr>
        <w:t>From:</w:t>
      </w:r>
      <w:r w:rsidRPr="004D2D8A">
        <w:rPr>
          <w:sz w:val="24"/>
        </w:rPr>
        <w:t xml:space="preserve"> </w:t>
      </w:r>
      <w:r w:rsidRPr="004D2D8A">
        <w:rPr>
          <w:sz w:val="24"/>
        </w:rPr>
        <w:tab/>
        <w:t>John R. Gawalt, Director</w:t>
      </w:r>
    </w:p>
    <w:p w14:paraId="189E520C" w14:textId="77777777" w:rsidR="004D2D8A" w:rsidRPr="004D2D8A" w:rsidRDefault="004D2D8A" w:rsidP="00D64F7B">
      <w:pPr>
        <w:pStyle w:val="Salutation"/>
        <w:rPr>
          <w:sz w:val="24"/>
        </w:rPr>
      </w:pPr>
      <w:r w:rsidRPr="004D2D8A">
        <w:rPr>
          <w:sz w:val="24"/>
        </w:rPr>
        <w:tab/>
        <w:t>National Center for Science and Engineering Statistics</w:t>
      </w:r>
    </w:p>
    <w:p w14:paraId="0CBE5DEB" w14:textId="77777777" w:rsidR="004D2D8A" w:rsidRDefault="004D2D8A" w:rsidP="00D64F7B">
      <w:pPr>
        <w:pStyle w:val="Salutation"/>
        <w:rPr>
          <w:sz w:val="24"/>
        </w:rPr>
      </w:pPr>
      <w:r w:rsidRPr="004D2D8A">
        <w:rPr>
          <w:sz w:val="24"/>
        </w:rPr>
        <w:tab/>
        <w:t>National Science Foundation</w:t>
      </w:r>
    </w:p>
    <w:p w14:paraId="76C8023B" w14:textId="77777777" w:rsidR="007A2B2C" w:rsidRPr="00DD5933" w:rsidRDefault="007A2B2C" w:rsidP="00D64F7B">
      <w:pPr>
        <w:pStyle w:val="Salutation"/>
      </w:pPr>
    </w:p>
    <w:p w14:paraId="0A205E99" w14:textId="1788ED07" w:rsidR="004D2D8A" w:rsidRPr="004D2D8A" w:rsidRDefault="004D2D8A" w:rsidP="00D64F7B">
      <w:pPr>
        <w:pStyle w:val="Salutation"/>
        <w:rPr>
          <w:sz w:val="24"/>
        </w:rPr>
      </w:pPr>
      <w:r w:rsidRPr="004D2D8A">
        <w:rPr>
          <w:b/>
          <w:sz w:val="24"/>
        </w:rPr>
        <w:t>Via:</w:t>
      </w:r>
      <w:r w:rsidR="007C1FBB">
        <w:rPr>
          <w:sz w:val="24"/>
        </w:rPr>
        <w:t xml:space="preserve"> </w:t>
      </w:r>
      <w:r w:rsidRPr="004D2D8A">
        <w:rPr>
          <w:sz w:val="24"/>
        </w:rPr>
        <w:tab/>
        <w:t>Suzanne Plimpton, Reports Clearance Officer</w:t>
      </w:r>
    </w:p>
    <w:p w14:paraId="16D9D333" w14:textId="77777777" w:rsidR="004D2D8A" w:rsidRDefault="004D2D8A" w:rsidP="00D64F7B">
      <w:pPr>
        <w:pStyle w:val="Salutation"/>
        <w:rPr>
          <w:sz w:val="24"/>
        </w:rPr>
      </w:pPr>
      <w:r w:rsidRPr="004D2D8A">
        <w:rPr>
          <w:sz w:val="24"/>
        </w:rPr>
        <w:tab/>
        <w:t>National Science Foundation</w:t>
      </w:r>
    </w:p>
    <w:p w14:paraId="720A9AED" w14:textId="77777777" w:rsidR="007A2B2C" w:rsidRPr="00DD5933" w:rsidRDefault="007A2B2C" w:rsidP="00D64F7B">
      <w:pPr>
        <w:pStyle w:val="Salutation"/>
      </w:pPr>
    </w:p>
    <w:p w14:paraId="2687ECF1" w14:textId="75AE8C0A" w:rsidR="004D2D8A" w:rsidRPr="004D2D8A" w:rsidRDefault="004D2D8A" w:rsidP="00D64F7B">
      <w:pPr>
        <w:tabs>
          <w:tab w:val="left" w:pos="1080"/>
        </w:tabs>
        <w:ind w:left="1080" w:hanging="1080"/>
      </w:pPr>
      <w:r w:rsidRPr="004D2D8A">
        <w:rPr>
          <w:b/>
        </w:rPr>
        <w:t>Subject:</w:t>
      </w:r>
      <w:r w:rsidRPr="004D2D8A">
        <w:tab/>
        <w:t xml:space="preserve">Request for </w:t>
      </w:r>
      <w:r w:rsidR="0096244B">
        <w:t>a</w:t>
      </w:r>
      <w:r w:rsidR="0096244B" w:rsidRPr="004D2D8A">
        <w:t xml:space="preserve">pproval </w:t>
      </w:r>
      <w:r w:rsidRPr="004D2D8A">
        <w:t xml:space="preserve">of </w:t>
      </w:r>
      <w:r>
        <w:t xml:space="preserve">Pilot </w:t>
      </w:r>
      <w:r w:rsidR="00547BC0">
        <w:t xml:space="preserve">survey </w:t>
      </w:r>
      <w:r>
        <w:t>data collection</w:t>
      </w:r>
      <w:r w:rsidRPr="004D2D8A">
        <w:t xml:space="preserve"> for the Survey of Graduate Students and Postdoctorates in Science and Engineering (GSS) </w:t>
      </w:r>
    </w:p>
    <w:p w14:paraId="479997BE" w14:textId="77777777" w:rsidR="004D2D8A" w:rsidRPr="004D2D8A" w:rsidRDefault="004D2D8A" w:rsidP="004D2D8A">
      <w:r w:rsidRPr="004D2D8A">
        <w:rPr>
          <w:noProof/>
        </w:rPr>
        <mc:AlternateContent>
          <mc:Choice Requires="wps">
            <w:drawing>
              <wp:anchor distT="0" distB="0" distL="114300" distR="114300" simplePos="0" relativeHeight="251659264" behindDoc="0" locked="0" layoutInCell="1" allowOverlap="1" wp14:anchorId="3033B2DD" wp14:editId="4A618AE5">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76B65"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"/>
            </w:pict>
          </mc:Fallback>
        </mc:AlternateContent>
      </w:r>
    </w:p>
    <w:p w14:paraId="2164D865" w14:textId="76DB6005" w:rsidR="00A8408D" w:rsidRDefault="004D2D8A" w:rsidP="00FE5EE9">
      <w:pPr>
        <w:spacing w:before="240" w:after="240"/>
      </w:pPr>
      <w:r w:rsidRPr="004D2D8A">
        <w:t xml:space="preserve">The National Center for Science and Engineering Statistics (NCSES) requests approval </w:t>
      </w:r>
      <w:r w:rsidR="00607E40">
        <w:t xml:space="preserve">for </w:t>
      </w:r>
      <w:r w:rsidR="00387183">
        <w:t>a</w:t>
      </w:r>
      <w:r w:rsidR="00D87775">
        <w:t xml:space="preserve"> </w:t>
      </w:r>
      <w:r w:rsidR="00A8408D">
        <w:t xml:space="preserve">Pilot </w:t>
      </w:r>
      <w:r w:rsidR="00387183">
        <w:t>study</w:t>
      </w:r>
      <w:r w:rsidR="00EF7B4F">
        <w:t xml:space="preserve"> </w:t>
      </w:r>
      <w:r w:rsidR="00424AA7">
        <w:t xml:space="preserve">embedded within the </w:t>
      </w:r>
      <w:r w:rsidR="00C01531">
        <w:t xml:space="preserve">2016 </w:t>
      </w:r>
      <w:r w:rsidRPr="004D2D8A">
        <w:t xml:space="preserve">GSS </w:t>
      </w:r>
      <w:r w:rsidR="00424AA7">
        <w:t xml:space="preserve">data collection </w:t>
      </w:r>
      <w:r w:rsidR="00D87775">
        <w:t>cycle</w:t>
      </w:r>
      <w:r w:rsidR="00424AA7">
        <w:t xml:space="preserve">. </w:t>
      </w:r>
      <w:r w:rsidR="00A8408D">
        <w:t xml:space="preserve">NCSES is currently considering a redesign of the GSS survey to improve data utility and to potentially reduce institutional response burden. </w:t>
      </w:r>
    </w:p>
    <w:p w14:paraId="6E0BF2CD" w14:textId="2B0C862D" w:rsidR="00A8408D" w:rsidRDefault="005833AD" w:rsidP="00FE5EE9">
      <w:pPr>
        <w:spacing w:before="120" w:after="240"/>
      </w:pPr>
      <w:r>
        <w:t xml:space="preserve">In July and August of this year, </w:t>
      </w:r>
      <w:r w:rsidR="00A8408D">
        <w:t>NCSES requested and received OMB approval to conduct GSS Coordinator Survey t</w:t>
      </w:r>
      <w:r w:rsidR="00A8408D" w:rsidRPr="0004632C">
        <w:t>o assess the institution</w:t>
      </w:r>
      <w:r w:rsidR="00A8408D">
        <w:t>al</w:t>
      </w:r>
      <w:r w:rsidR="00A8408D" w:rsidRPr="0004632C">
        <w:t xml:space="preserve"> reporting practices, availability of detailed institut</w:t>
      </w:r>
      <w:r w:rsidR="00A8408D">
        <w:t xml:space="preserve">ional data, and the awareness and use of GSS </w:t>
      </w:r>
      <w:r w:rsidR="00A8408D" w:rsidRPr="0004632C">
        <w:t>data file transfer</w:t>
      </w:r>
      <w:r w:rsidR="00A8408D">
        <w:t xml:space="preserve"> features</w:t>
      </w:r>
      <w:r w:rsidR="00A8408D" w:rsidRPr="0004632C">
        <w:t xml:space="preserve"> that </w:t>
      </w:r>
      <w:r w:rsidR="00A8408D">
        <w:t>co</w:t>
      </w:r>
      <w:r w:rsidR="00A8408D" w:rsidRPr="0004632C">
        <w:t xml:space="preserve">uld potentially reduce the burden on institutional respondents. </w:t>
      </w:r>
    </w:p>
    <w:p w14:paraId="6A5F24B8" w14:textId="49512AFA" w:rsidR="007B4802" w:rsidRDefault="005833AD" w:rsidP="00FE5EE9">
      <w:pPr>
        <w:spacing w:before="120" w:after="240"/>
      </w:pPr>
      <w:r>
        <w:t>T</w:t>
      </w:r>
      <w:r w:rsidR="00A8408D" w:rsidRPr="0004632C">
        <w:t>he</w:t>
      </w:r>
      <w:r w:rsidR="00A8408D">
        <w:t xml:space="preserve"> GSS</w:t>
      </w:r>
      <w:r w:rsidR="00A8408D" w:rsidRPr="0004632C">
        <w:t xml:space="preserve"> </w:t>
      </w:r>
      <w:r w:rsidR="00A8408D">
        <w:t>Coordinator S</w:t>
      </w:r>
      <w:r w:rsidR="00A8408D" w:rsidRPr="0004632C">
        <w:t>urvey</w:t>
      </w:r>
      <w:r w:rsidR="00F801E4">
        <w:t xml:space="preserve"> result</w:t>
      </w:r>
      <w:r>
        <w:t xml:space="preserve"> will serve</w:t>
      </w:r>
      <w:r w:rsidR="001E5205">
        <w:t xml:space="preserve"> a</w:t>
      </w:r>
      <w:r>
        <w:t xml:space="preserve">s the basis for </w:t>
      </w:r>
      <w:r w:rsidR="00424AA7">
        <w:t xml:space="preserve">the </w:t>
      </w:r>
      <w:r w:rsidR="001759F8">
        <w:t xml:space="preserve">2016 GSS </w:t>
      </w:r>
      <w:r w:rsidR="00424AA7">
        <w:t xml:space="preserve">Pilot </w:t>
      </w:r>
      <w:r>
        <w:t xml:space="preserve">survey. The Pilot survey </w:t>
      </w:r>
      <w:r w:rsidR="00A61E84">
        <w:t>will</w:t>
      </w:r>
      <w:r w:rsidR="00F801E4">
        <w:t xml:space="preserve"> determine</w:t>
      </w:r>
      <w:r w:rsidR="004D2D8A" w:rsidRPr="004D2D8A">
        <w:t xml:space="preserve"> the </w:t>
      </w:r>
      <w:r w:rsidR="004D2D8A">
        <w:t xml:space="preserve">feasibility of </w:t>
      </w:r>
      <w:r w:rsidR="00F801E4">
        <w:t xml:space="preserve">collecting data from the </w:t>
      </w:r>
      <w:r w:rsidR="0004632C">
        <w:t>institution</w:t>
      </w:r>
      <w:r w:rsidR="00F801E4">
        <w:t>s through alternative data collection methods</w:t>
      </w:r>
      <w:r>
        <w:t>. The Pilot survey will be conducted</w:t>
      </w:r>
      <w:r w:rsidR="00F801E4" w:rsidRPr="00F801E4">
        <w:t xml:space="preserve"> </w:t>
      </w:r>
      <w:r w:rsidR="00F801E4">
        <w:t>with a stratified random sample of GSS institutions in conjunction with the regularly administered 2016 GSS.</w:t>
      </w:r>
      <w:r w:rsidR="007C1FBB">
        <w:t xml:space="preserve"> </w:t>
      </w:r>
      <w:r w:rsidR="004D2D8A" w:rsidRPr="004D2D8A">
        <w:t xml:space="preserve">This </w:t>
      </w:r>
      <w:r w:rsidR="00526A38">
        <w:t>methodolog</w:t>
      </w:r>
      <w:r w:rsidR="00A51801">
        <w:t>ical stud</w:t>
      </w:r>
      <w:r w:rsidR="00526A38">
        <w:t xml:space="preserve">y </w:t>
      </w:r>
      <w:r w:rsidR="004D2D8A" w:rsidRPr="004D2D8A">
        <w:t>will be conducted under the NCSES generic clearance (OMB Control Number 3145-0174)</w:t>
      </w:r>
      <w:r w:rsidR="00A51801">
        <w:t>.</w:t>
      </w:r>
    </w:p>
    <w:p w14:paraId="1AC041BC" w14:textId="77777777" w:rsidR="00E54106" w:rsidRPr="00E54106" w:rsidRDefault="00E54106">
      <w:pPr>
        <w:rPr>
          <w:b/>
        </w:rPr>
      </w:pPr>
      <w:r w:rsidRPr="00E54106">
        <w:rPr>
          <w:b/>
        </w:rPr>
        <w:t>Background</w:t>
      </w:r>
    </w:p>
    <w:p w14:paraId="66F7EAAB" w14:textId="77777777" w:rsidR="00A66325" w:rsidRDefault="00A66325" w:rsidP="00A86602"/>
    <w:p w14:paraId="75CC6D22" w14:textId="09DBB083" w:rsidR="0004632C" w:rsidRDefault="0004632C">
      <w:r w:rsidRPr="0004632C">
        <w:t xml:space="preserve">The GSS is </w:t>
      </w:r>
      <w:r>
        <w:t xml:space="preserve">an annual census survey </w:t>
      </w:r>
      <w:r w:rsidR="00424AA7">
        <w:t xml:space="preserve">of </w:t>
      </w:r>
      <w:r w:rsidRPr="0004632C">
        <w:t>the academic institutions that offer graduate degree programs in the sciences, engineering, and health fields in the United States.</w:t>
      </w:r>
      <w:r>
        <w:t xml:space="preserve"> </w:t>
      </w:r>
      <w:r w:rsidR="00424AA7">
        <w:t xml:space="preserve">Institutions are asked to report </w:t>
      </w:r>
      <w:r w:rsidR="00424AA7" w:rsidRPr="00424AA7">
        <w:t>the total number of graduate students, postdoctoral appointees</w:t>
      </w:r>
      <w:r w:rsidR="00424AA7">
        <w:t xml:space="preserve"> (postdocs)</w:t>
      </w:r>
      <w:r w:rsidR="00424AA7" w:rsidRPr="00424AA7">
        <w:t xml:space="preserve">, and doctorate-level nonfaculty researchers </w:t>
      </w:r>
      <w:r w:rsidR="00424AA7">
        <w:t xml:space="preserve">(NFRs) </w:t>
      </w:r>
      <w:r w:rsidR="00424AA7" w:rsidRPr="00424AA7">
        <w:t>by demographic and other characteristic such as source of financial support.</w:t>
      </w:r>
      <w:r w:rsidR="00424AA7" w:rsidRPr="0004632C">
        <w:t xml:space="preserve"> </w:t>
      </w:r>
    </w:p>
    <w:p w14:paraId="1D93746F" w14:textId="20C96776" w:rsidR="00A66325" w:rsidRDefault="00A66325" w:rsidP="00FE5EE9">
      <w:pPr>
        <w:spacing w:before="240"/>
      </w:pPr>
      <w:r>
        <w:lastRenderedPageBreak/>
        <w:t xml:space="preserve">The </w:t>
      </w:r>
      <w:r w:rsidR="000F3CA2">
        <w:t xml:space="preserve">current </w:t>
      </w:r>
      <w:r>
        <w:t xml:space="preserve">GSS </w:t>
      </w:r>
      <w:r w:rsidR="000B390A">
        <w:t>data collection</w:t>
      </w:r>
      <w:r>
        <w:t xml:space="preserve"> </w:t>
      </w:r>
      <w:r w:rsidR="00144B8C">
        <w:t xml:space="preserve">consists </w:t>
      </w:r>
      <w:r>
        <w:t xml:space="preserve">of two parts. The initial data request is sent to the designated respondent (School Coordinator) at each academic institution in the fall of each academic year. </w:t>
      </w:r>
      <w:r w:rsidR="00A8408D">
        <w:t>In Part 1, t</w:t>
      </w:r>
      <w:r w:rsidR="00144B8C">
        <w:t>he</w:t>
      </w:r>
      <w:r>
        <w:t xml:space="preserve"> School Coordinator is responsible for reviewing and updating the list of </w:t>
      </w:r>
      <w:r w:rsidR="00146E72">
        <w:t xml:space="preserve">all </w:t>
      </w:r>
      <w:r>
        <w:t>GSS-eligible organizational units</w:t>
      </w:r>
      <w:r w:rsidR="0004632C">
        <w:t xml:space="preserve"> </w:t>
      </w:r>
      <w:r w:rsidR="00146E72">
        <w:t>for their institution</w:t>
      </w:r>
      <w:r w:rsidR="00EA0926">
        <w:t xml:space="preserve"> (see Attachment 1</w:t>
      </w:r>
      <w:r w:rsidR="007B0103">
        <w:t xml:space="preserve">, </w:t>
      </w:r>
      <w:r w:rsidR="000F3CA2">
        <w:t xml:space="preserve">GSS Web screenshots, </w:t>
      </w:r>
      <w:r w:rsidR="007B0103">
        <w:t>p</w:t>
      </w:r>
      <w:r w:rsidR="00526A38">
        <w:t>p</w:t>
      </w:r>
      <w:r w:rsidR="007B0103">
        <w:t xml:space="preserve">. </w:t>
      </w:r>
      <w:r w:rsidR="00526A38">
        <w:t>1-2</w:t>
      </w:r>
      <w:r w:rsidR="00EA0926">
        <w:t>)</w:t>
      </w:r>
      <w:r>
        <w:rPr>
          <w:rStyle w:val="FootnoteReference"/>
        </w:rPr>
        <w:footnoteReference w:id="2"/>
      </w:r>
      <w:r w:rsidR="00146E72">
        <w:t xml:space="preserve">. </w:t>
      </w:r>
      <w:r w:rsidR="0004632C">
        <w:t>The School Coordinator</w:t>
      </w:r>
      <w:r>
        <w:t xml:space="preserve"> updates the list of eligible organizational units via the </w:t>
      </w:r>
      <w:r w:rsidR="00526A38">
        <w:t xml:space="preserve">GSS </w:t>
      </w:r>
      <w:r w:rsidR="00144B8C">
        <w:t>w</w:t>
      </w:r>
      <w:r>
        <w:t>eb</w:t>
      </w:r>
      <w:r w:rsidR="00526A38">
        <w:t xml:space="preserve"> system</w:t>
      </w:r>
      <w:r>
        <w:t xml:space="preserve">. In Part 2, </w:t>
      </w:r>
      <w:r w:rsidR="00144B8C">
        <w:t xml:space="preserve">the </w:t>
      </w:r>
      <w:r w:rsidR="0004632C">
        <w:t>School C</w:t>
      </w:r>
      <w:r>
        <w:t>oordinator provide</w:t>
      </w:r>
      <w:r w:rsidR="0004632C">
        <w:t>s</w:t>
      </w:r>
      <w:r>
        <w:t xml:space="preserve"> the count data </w:t>
      </w:r>
      <w:r w:rsidR="0004632C">
        <w:t>on</w:t>
      </w:r>
      <w:r>
        <w:t xml:space="preserve"> </w:t>
      </w:r>
      <w:r w:rsidR="0004632C">
        <w:t xml:space="preserve">the graduate students, postdocs, and/or NFRs for </w:t>
      </w:r>
      <w:r w:rsidR="00B345B5">
        <w:t xml:space="preserve">each </w:t>
      </w:r>
      <w:r>
        <w:t>unit</w:t>
      </w:r>
      <w:r w:rsidR="00B345B5">
        <w:t xml:space="preserve"> reported in Part 1</w:t>
      </w:r>
      <w:r>
        <w:t xml:space="preserve">. </w:t>
      </w:r>
      <w:r w:rsidR="00EA0926">
        <w:t>In some cases</w:t>
      </w:r>
      <w:r w:rsidR="00144B8C">
        <w:t>,</w:t>
      </w:r>
      <w:r w:rsidR="00EA0926">
        <w:t xml:space="preserve"> the School Coordinator delegates Part 2 to the organizational unit</w:t>
      </w:r>
      <w:r w:rsidR="0004632C">
        <w:t xml:space="preserve"> respondent</w:t>
      </w:r>
      <w:r w:rsidR="00EA0926">
        <w:t xml:space="preserve">s for completion </w:t>
      </w:r>
      <w:r w:rsidR="00EA0926" w:rsidRPr="009771D7">
        <w:t>(</w:t>
      </w:r>
      <w:r w:rsidR="00146E72">
        <w:t>s</w:t>
      </w:r>
      <w:r w:rsidR="00EA0926">
        <w:t xml:space="preserve">ee </w:t>
      </w:r>
      <w:r w:rsidR="00EA0926" w:rsidRPr="009771D7">
        <w:t xml:space="preserve">Attachment </w:t>
      </w:r>
      <w:r w:rsidR="007B0103">
        <w:t>1,</w:t>
      </w:r>
      <w:r w:rsidR="007B0103" w:rsidRPr="007B0103">
        <w:t xml:space="preserve"> </w:t>
      </w:r>
      <w:r w:rsidR="00526A38">
        <w:t xml:space="preserve">GSS Web screenshots, </w:t>
      </w:r>
      <w:r w:rsidR="007B0103">
        <w:t>pp. 3-</w:t>
      </w:r>
      <w:r w:rsidR="00526A38">
        <w:t>1</w:t>
      </w:r>
      <w:r w:rsidR="007B0103">
        <w:t>2</w:t>
      </w:r>
      <w:r w:rsidR="00EA0926" w:rsidRPr="009771D7">
        <w:t>).</w:t>
      </w:r>
      <w:r w:rsidR="007C1FBB">
        <w:t xml:space="preserve"> </w:t>
      </w:r>
    </w:p>
    <w:p w14:paraId="5D059DE1" w14:textId="77777777" w:rsidR="00485A59" w:rsidRDefault="00485A59" w:rsidP="0004632C">
      <w:pPr>
        <w:rPr>
          <w:b/>
        </w:rPr>
      </w:pPr>
    </w:p>
    <w:p w14:paraId="29CAB8DA" w14:textId="77777777" w:rsidR="00F801E4" w:rsidRPr="002F1E3F" w:rsidRDefault="00F801E4" w:rsidP="00F801E4">
      <w:pPr>
        <w:rPr>
          <w:b/>
        </w:rPr>
      </w:pPr>
      <w:r>
        <w:rPr>
          <w:b/>
        </w:rPr>
        <w:t xml:space="preserve">Proposed </w:t>
      </w:r>
      <w:r w:rsidRPr="002F1E3F">
        <w:rPr>
          <w:b/>
        </w:rPr>
        <w:t>Changes</w:t>
      </w:r>
    </w:p>
    <w:p w14:paraId="7A4482E2" w14:textId="21777DB6" w:rsidR="00F801E4" w:rsidRDefault="00F801E4" w:rsidP="0004632C">
      <w:pPr>
        <w:rPr>
          <w:b/>
        </w:rPr>
      </w:pPr>
    </w:p>
    <w:p w14:paraId="5AF240AF" w14:textId="10B8FF0C" w:rsidR="0004632C" w:rsidRDefault="00F801E4" w:rsidP="00A66325">
      <w:pPr>
        <w:rPr>
          <w:b/>
        </w:rPr>
      </w:pPr>
      <w:r>
        <w:t>T</w:t>
      </w:r>
      <w:r w:rsidR="00485A59">
        <w:t>he Pilot</w:t>
      </w:r>
      <w:r w:rsidR="0004632C">
        <w:t xml:space="preserve"> </w:t>
      </w:r>
      <w:r w:rsidR="00526A38">
        <w:t xml:space="preserve">data collection </w:t>
      </w:r>
      <w:r w:rsidR="0004632C">
        <w:t xml:space="preserve">will </w:t>
      </w:r>
      <w:r>
        <w:t>not ask</w:t>
      </w:r>
      <w:r w:rsidR="00A8408D">
        <w:t xml:space="preserve"> new question</w:t>
      </w:r>
      <w:r>
        <w:t>s but t</w:t>
      </w:r>
      <w:r w:rsidR="00A8408D">
        <w:t xml:space="preserve">he method </w:t>
      </w:r>
      <w:r w:rsidR="005833AD">
        <w:t>used to collect the</w:t>
      </w:r>
      <w:r w:rsidR="00A8408D">
        <w:t xml:space="preserve"> graduate enrollment and financial support data will change for a sample of institutions included in the Pilot study. </w:t>
      </w:r>
      <w:r w:rsidR="00526A38">
        <w:t>The resulting data from the Pilot will be evaluated and aggregated to the same level as the regularly administered GSS for the official data release.</w:t>
      </w:r>
    </w:p>
    <w:p w14:paraId="37D57647" w14:textId="77777777" w:rsidR="007B358A" w:rsidRDefault="007B358A" w:rsidP="001B3EED"/>
    <w:p w14:paraId="2E6C548D" w14:textId="5D16015B" w:rsidR="007B358A" w:rsidRPr="00A86602" w:rsidRDefault="007B358A" w:rsidP="00D64F7B">
      <w:pPr>
        <w:spacing w:after="60"/>
      </w:pPr>
      <w:r>
        <w:t xml:space="preserve">The </w:t>
      </w:r>
      <w:r w:rsidRPr="00A86602">
        <w:t xml:space="preserve">changes being </w:t>
      </w:r>
      <w:r w:rsidR="00B8782D">
        <w:t>tested</w:t>
      </w:r>
      <w:r>
        <w:t xml:space="preserve"> in </w:t>
      </w:r>
      <w:r w:rsidR="00B8782D">
        <w:t xml:space="preserve">the </w:t>
      </w:r>
      <w:r>
        <w:t xml:space="preserve">2016 </w:t>
      </w:r>
      <w:r w:rsidR="00B8782D">
        <w:t xml:space="preserve">Pilot </w:t>
      </w:r>
      <w:r w:rsidR="00827893">
        <w:t xml:space="preserve">data collection </w:t>
      </w:r>
      <w:r w:rsidR="00607E40">
        <w:t>include</w:t>
      </w:r>
      <w:r w:rsidRPr="00A86602">
        <w:t>:</w:t>
      </w:r>
    </w:p>
    <w:p w14:paraId="0CF4770C" w14:textId="303EF0FA" w:rsidR="007B358A" w:rsidRPr="00A86602" w:rsidRDefault="007B358A" w:rsidP="00D64F7B">
      <w:pPr>
        <w:numPr>
          <w:ilvl w:val="0"/>
          <w:numId w:val="1"/>
        </w:numPr>
        <w:spacing w:after="40"/>
      </w:pPr>
      <w:r>
        <w:t xml:space="preserve">Separate </w:t>
      </w:r>
      <w:r w:rsidR="00EF7B4F">
        <w:t>reporting</w:t>
      </w:r>
      <w:r w:rsidRPr="00A86602">
        <w:t xml:space="preserve"> of </w:t>
      </w:r>
      <w:r w:rsidR="00827893">
        <w:t xml:space="preserve">enrollment and financial support </w:t>
      </w:r>
      <w:r w:rsidRPr="00A86602">
        <w:t>data for master’s and doctoral students</w:t>
      </w:r>
      <w:r>
        <w:t xml:space="preserve"> </w:t>
      </w:r>
    </w:p>
    <w:p w14:paraId="3D8E9E59" w14:textId="4EB23748" w:rsidR="00B8782D" w:rsidRDefault="00F822EC" w:rsidP="00D64F7B">
      <w:pPr>
        <w:pStyle w:val="ListParagraph"/>
        <w:numPr>
          <w:ilvl w:val="0"/>
          <w:numId w:val="1"/>
        </w:numPr>
        <w:spacing w:after="40"/>
      </w:pPr>
      <w:r>
        <w:t>Collect</w:t>
      </w:r>
      <w:r w:rsidR="00607E40">
        <w:t>ing</w:t>
      </w:r>
      <w:r>
        <w:t xml:space="preserve"> d</w:t>
      </w:r>
      <w:r w:rsidR="00485A59">
        <w:t xml:space="preserve">ata </w:t>
      </w:r>
      <w:r w:rsidR="00827893">
        <w:t>based on</w:t>
      </w:r>
      <w:r w:rsidR="00485A59">
        <w:t xml:space="preserve"> </w:t>
      </w:r>
      <w:r w:rsidR="007B358A">
        <w:t>the</w:t>
      </w:r>
      <w:r w:rsidR="007B358A" w:rsidRPr="00A86602">
        <w:t xml:space="preserve"> </w:t>
      </w:r>
      <w:r w:rsidR="00B8782D" w:rsidRPr="00A86602">
        <w:t>Classification of Instructional Programs (CIP) codes</w:t>
      </w:r>
      <w:r w:rsidR="00A8408D">
        <w:t xml:space="preserve"> as a disciplinary field, instead of GSS codes</w:t>
      </w:r>
    </w:p>
    <w:p w14:paraId="091CDE24" w14:textId="23F7E8C4" w:rsidR="007B358A" w:rsidRDefault="007B358A" w:rsidP="000C32E5">
      <w:pPr>
        <w:numPr>
          <w:ilvl w:val="0"/>
          <w:numId w:val="1"/>
        </w:numPr>
      </w:pPr>
      <w:r w:rsidRPr="00A86602">
        <w:t>Expand</w:t>
      </w:r>
      <w:r w:rsidR="00B8782D">
        <w:t>ing the</w:t>
      </w:r>
      <w:r w:rsidR="00110F1A">
        <w:t xml:space="preserve"> </w:t>
      </w:r>
      <w:r w:rsidRPr="00A86602">
        <w:t xml:space="preserve">institutional use of file transfers for data submission instead of manual entry </w:t>
      </w:r>
      <w:r w:rsidR="00485A59">
        <w:t xml:space="preserve">of data </w:t>
      </w:r>
      <w:r w:rsidRPr="00A86602">
        <w:t xml:space="preserve">in a GSS web survey </w:t>
      </w:r>
      <w:r w:rsidR="007C1FBB">
        <w:t xml:space="preserve"> </w:t>
      </w:r>
    </w:p>
    <w:p w14:paraId="557A6062" w14:textId="6148110C" w:rsidR="00795D42" w:rsidRDefault="00205303" w:rsidP="00FB2A37">
      <w:pPr>
        <w:spacing w:before="180"/>
      </w:pPr>
      <w:r w:rsidRPr="00D64F7B">
        <w:rPr>
          <w:b/>
          <w:i/>
        </w:rPr>
        <w:t xml:space="preserve">Separate </w:t>
      </w:r>
      <w:r w:rsidR="00F801E4">
        <w:rPr>
          <w:b/>
          <w:i/>
        </w:rPr>
        <w:t>reporting</w:t>
      </w:r>
      <w:r w:rsidR="00F801E4" w:rsidRPr="00D64F7B">
        <w:rPr>
          <w:b/>
          <w:i/>
        </w:rPr>
        <w:t xml:space="preserve"> </w:t>
      </w:r>
      <w:r w:rsidRPr="00D64F7B">
        <w:rPr>
          <w:b/>
          <w:i/>
        </w:rPr>
        <w:t>of master</w:t>
      </w:r>
      <w:r w:rsidR="00774B22" w:rsidRPr="00D64F7B">
        <w:rPr>
          <w:b/>
          <w:i/>
        </w:rPr>
        <w:t>’</w:t>
      </w:r>
      <w:r w:rsidRPr="00D64F7B">
        <w:rPr>
          <w:b/>
          <w:i/>
        </w:rPr>
        <w:t>s and doctora</w:t>
      </w:r>
      <w:r w:rsidR="00F801E4">
        <w:rPr>
          <w:b/>
          <w:i/>
        </w:rPr>
        <w:t>l</w:t>
      </w:r>
      <w:r w:rsidR="00774B22" w:rsidRPr="00D64F7B">
        <w:rPr>
          <w:b/>
          <w:i/>
        </w:rPr>
        <w:t xml:space="preserve"> student</w:t>
      </w:r>
      <w:r w:rsidR="00F801E4">
        <w:rPr>
          <w:b/>
          <w:i/>
        </w:rPr>
        <w:t xml:space="preserve"> data</w:t>
      </w:r>
      <w:r w:rsidRPr="00827893">
        <w:rPr>
          <w:i/>
        </w:rPr>
        <w:t>.</w:t>
      </w:r>
      <w:r w:rsidR="007C1FBB" w:rsidRPr="00827893">
        <w:rPr>
          <w:i/>
        </w:rPr>
        <w:t xml:space="preserve"> </w:t>
      </w:r>
      <w:r w:rsidR="00747D72" w:rsidRPr="00827893">
        <w:t>C</w:t>
      </w:r>
      <w:r w:rsidR="00747D72">
        <w:t xml:space="preserve">urrently, the GSS collects aggregated data on graduate students that cannot be parsed by degree level. </w:t>
      </w:r>
      <w:r w:rsidR="00E61A6B">
        <w:t xml:space="preserve">Through </w:t>
      </w:r>
      <w:r w:rsidR="00A24F8D">
        <w:t xml:space="preserve">the </w:t>
      </w:r>
      <w:r w:rsidR="00774B22">
        <w:t>GSS D</w:t>
      </w:r>
      <w:r w:rsidR="00E61A6B">
        <w:t xml:space="preserve">ata </w:t>
      </w:r>
      <w:r w:rsidR="00774B22">
        <w:t>U</w:t>
      </w:r>
      <w:r w:rsidR="00E61A6B">
        <w:t>ser</w:t>
      </w:r>
      <w:r w:rsidR="00774B22">
        <w:t xml:space="preserve"> Workshop</w:t>
      </w:r>
      <w:r w:rsidR="00E61A6B">
        <w:t xml:space="preserve"> </w:t>
      </w:r>
      <w:r w:rsidR="000D1717">
        <w:t xml:space="preserve">conducted in April 2016 </w:t>
      </w:r>
      <w:r w:rsidR="00774B22">
        <w:t>and the Human Resource Expert Panel meeting in June 2016</w:t>
      </w:r>
      <w:r w:rsidR="00E61A6B">
        <w:t>, N</w:t>
      </w:r>
      <w:r w:rsidR="00774B22">
        <w:t>CSES</w:t>
      </w:r>
      <w:r w:rsidR="00E61A6B">
        <w:t xml:space="preserve"> </w:t>
      </w:r>
      <w:r w:rsidR="005833AD">
        <w:t>received requests to</w:t>
      </w:r>
      <w:r w:rsidR="00774B22">
        <w:t xml:space="preserve"> </w:t>
      </w:r>
      <w:r w:rsidR="00E61A6B">
        <w:t xml:space="preserve">collect granular data </w:t>
      </w:r>
      <w:r w:rsidR="00747D72">
        <w:t>on graduate student</w:t>
      </w:r>
      <w:r w:rsidR="00827893">
        <w:t>s</w:t>
      </w:r>
      <w:r w:rsidR="00747D72">
        <w:t xml:space="preserve">. </w:t>
      </w:r>
      <w:r w:rsidR="00E61A6B">
        <w:t xml:space="preserve">Specifically, </w:t>
      </w:r>
      <w:r w:rsidR="00774B22">
        <w:t xml:space="preserve">the </w:t>
      </w:r>
      <w:r w:rsidR="005833AD">
        <w:t xml:space="preserve">requests were to collect </w:t>
      </w:r>
      <w:r w:rsidR="00E61A6B">
        <w:t xml:space="preserve">separate </w:t>
      </w:r>
      <w:r w:rsidR="00827893">
        <w:t>data on</w:t>
      </w:r>
      <w:r w:rsidR="00E61A6B">
        <w:t xml:space="preserve"> master’s and doctoral level student enrollment and financial support</w:t>
      </w:r>
      <w:r w:rsidR="00774B22">
        <w:t xml:space="preserve"> data</w:t>
      </w:r>
      <w:r w:rsidR="00442DFF">
        <w:t xml:space="preserve"> </w:t>
      </w:r>
      <w:r w:rsidR="005833AD">
        <w:t>to</w:t>
      </w:r>
      <w:r w:rsidR="00442DFF">
        <w:t xml:space="preserve"> significantly increase the </w:t>
      </w:r>
      <w:r w:rsidR="00827893">
        <w:t>usefulness and value of</w:t>
      </w:r>
      <w:r w:rsidR="00442DFF">
        <w:t xml:space="preserve"> the GSS data</w:t>
      </w:r>
      <w:r w:rsidR="00E61A6B">
        <w:t xml:space="preserve">. </w:t>
      </w:r>
    </w:p>
    <w:p w14:paraId="1A5BDCAF" w14:textId="69673B79" w:rsidR="002A7277" w:rsidRDefault="00F801E4" w:rsidP="00FE73E7">
      <w:pPr>
        <w:pStyle w:val="ListBullet"/>
        <w:numPr>
          <w:ilvl w:val="0"/>
          <w:numId w:val="0"/>
        </w:numPr>
      </w:pPr>
      <w:r>
        <w:rPr>
          <w:b/>
          <w:i/>
        </w:rPr>
        <w:t xml:space="preserve">Collecting data based on </w:t>
      </w:r>
      <w:r w:rsidR="00EF7B4F" w:rsidRPr="00D64F7B">
        <w:rPr>
          <w:b/>
          <w:i/>
        </w:rPr>
        <w:t>CIP codes</w:t>
      </w:r>
      <w:r w:rsidR="005210B6">
        <w:rPr>
          <w:i/>
        </w:rPr>
        <w:t>.</w:t>
      </w:r>
      <w:r w:rsidR="00754F10">
        <w:t xml:space="preserve"> </w:t>
      </w:r>
      <w:r w:rsidR="002A7277">
        <w:t xml:space="preserve">The </w:t>
      </w:r>
      <w:r w:rsidR="00110F1A">
        <w:t xml:space="preserve">collection </w:t>
      </w:r>
      <w:r w:rsidR="002A7277">
        <w:t xml:space="preserve">of </w:t>
      </w:r>
      <w:r w:rsidR="006D7941">
        <w:t xml:space="preserve">GSS data by </w:t>
      </w:r>
      <w:r w:rsidR="002A7277">
        <w:t>CIP codes can potentially reduce</w:t>
      </w:r>
      <w:r w:rsidR="00B72932">
        <w:t xml:space="preserve"> response</w:t>
      </w:r>
      <w:r w:rsidR="002A7277">
        <w:t xml:space="preserve"> burden because these codes are commonly </w:t>
      </w:r>
      <w:r w:rsidR="00F822EC">
        <w:t xml:space="preserve">used </w:t>
      </w:r>
      <w:r w:rsidR="002A7277">
        <w:t>at institutions. CIP is the academic field taxonomy used by the U</w:t>
      </w:r>
      <w:r w:rsidR="004D50B5">
        <w:t>.</w:t>
      </w:r>
      <w:r w:rsidR="002A7277">
        <w:t>S</w:t>
      </w:r>
      <w:r w:rsidR="004D50B5">
        <w:t>.</w:t>
      </w:r>
      <w:r w:rsidR="002A7277">
        <w:t xml:space="preserve"> Department of Education for the Integrated Postsecondary Education Data System (IPEDS), a mandatory report</w:t>
      </w:r>
      <w:r w:rsidR="004D50B5">
        <w:t>ing requirement</w:t>
      </w:r>
      <w:r w:rsidR="002A7277">
        <w:t xml:space="preserve"> for institutions </w:t>
      </w:r>
      <w:r w:rsidR="00CD1E8C">
        <w:t xml:space="preserve">receiving Title IV funding. </w:t>
      </w:r>
      <w:r w:rsidR="00865CF2">
        <w:t xml:space="preserve">The </w:t>
      </w:r>
      <w:r w:rsidR="00CD1E8C">
        <w:t xml:space="preserve">GSS </w:t>
      </w:r>
      <w:r w:rsidR="00A51801">
        <w:t>Coordinator Survey results</w:t>
      </w:r>
      <w:r w:rsidR="00865CF2">
        <w:t xml:space="preserve"> indicated </w:t>
      </w:r>
      <w:r w:rsidR="00CD1E8C">
        <w:t>respondents</w:t>
      </w:r>
      <w:r w:rsidR="00865CF2">
        <w:t>’</w:t>
      </w:r>
      <w:r w:rsidR="00CD1E8C">
        <w:t xml:space="preserve"> ability to provide GSS data using CIP codes for </w:t>
      </w:r>
      <w:r w:rsidR="004D50B5">
        <w:t xml:space="preserve">graduate </w:t>
      </w:r>
      <w:r w:rsidR="00CD1E8C">
        <w:t>student demographic and financial support</w:t>
      </w:r>
      <w:r w:rsidR="004D50B5">
        <w:t xml:space="preserve"> information</w:t>
      </w:r>
      <w:r w:rsidR="00CD1E8C">
        <w:t>.</w:t>
      </w:r>
      <w:r w:rsidR="00EF7B4F">
        <w:t xml:space="preserve"> Schools will have the option of using either CIP codes or GSS codes for reporting postdocs and NFRs.</w:t>
      </w:r>
    </w:p>
    <w:p w14:paraId="1351E35A" w14:textId="605E5213" w:rsidR="006F3BE4" w:rsidRDefault="006F4676" w:rsidP="00FE5EE9">
      <w:pPr>
        <w:spacing w:after="240"/>
      </w:pPr>
      <w:r w:rsidRPr="00D64F7B">
        <w:rPr>
          <w:b/>
          <w:i/>
        </w:rPr>
        <w:lastRenderedPageBreak/>
        <w:t>Expanding</w:t>
      </w:r>
      <w:r w:rsidR="006F3BE4" w:rsidRPr="00D64F7B">
        <w:rPr>
          <w:b/>
          <w:i/>
        </w:rPr>
        <w:t xml:space="preserve"> </w:t>
      </w:r>
      <w:r w:rsidR="00F801E4">
        <w:rPr>
          <w:b/>
          <w:i/>
        </w:rPr>
        <w:t xml:space="preserve">the institutional </w:t>
      </w:r>
      <w:r w:rsidR="006F3BE4" w:rsidRPr="00D64F7B">
        <w:rPr>
          <w:b/>
          <w:i/>
        </w:rPr>
        <w:t xml:space="preserve">use of </w:t>
      </w:r>
      <w:r w:rsidR="00F801E4">
        <w:rPr>
          <w:b/>
          <w:i/>
        </w:rPr>
        <w:t>file transfers</w:t>
      </w:r>
      <w:r w:rsidR="006F3BE4" w:rsidRPr="00D64F7B">
        <w:rPr>
          <w:b/>
          <w:i/>
        </w:rPr>
        <w:t>.</w:t>
      </w:r>
      <w:r w:rsidR="006F3BE4">
        <w:t xml:space="preserve"> Currently, GSS provides two </w:t>
      </w:r>
      <w:r>
        <w:t>options</w:t>
      </w:r>
      <w:r w:rsidR="006F3BE4">
        <w:t xml:space="preserve"> for institutions to submit requested data. The most common method uses a series of web-forms in which institution coordinators enter data for each organizational unit</w:t>
      </w:r>
      <w:r w:rsidR="007B0103">
        <w:t>.</w:t>
      </w:r>
      <w:r w:rsidR="00735A79">
        <w:t xml:space="preserve"> </w:t>
      </w:r>
      <w:r w:rsidR="006F3BE4">
        <w:t xml:space="preserve">The second method allows coordinators to upload some or all of the requested data through a </w:t>
      </w:r>
      <w:r>
        <w:t>pre-</w:t>
      </w:r>
      <w:r w:rsidR="006F3BE4">
        <w:t>formatted file.</w:t>
      </w:r>
      <w:r>
        <w:t xml:space="preserve"> </w:t>
      </w:r>
      <w:r w:rsidR="006F3BE4">
        <w:t>The latter method is of considerable utility to institutions with a large number of reporting units</w:t>
      </w:r>
      <w:r w:rsidR="00735A79">
        <w:t xml:space="preserve">: rather than filling out the </w:t>
      </w:r>
      <w:r w:rsidR="00447A43">
        <w:t xml:space="preserve">web </w:t>
      </w:r>
      <w:r w:rsidR="00735A79">
        <w:t>tables for each reporting unit, the coordinators can prepare and upload just one aggregated file</w:t>
      </w:r>
      <w:r w:rsidR="006F3BE4">
        <w:t>. The separate reporting of master</w:t>
      </w:r>
      <w:r w:rsidR="00F509C4">
        <w:t>’</w:t>
      </w:r>
      <w:r w:rsidR="006F3BE4">
        <w:t xml:space="preserve">s and doctoral students as well as the use of more detailed CIP codes will </w:t>
      </w:r>
      <w:r w:rsidR="00350D47">
        <w:t>increase</w:t>
      </w:r>
      <w:r w:rsidR="00735A79">
        <w:t xml:space="preserve"> </w:t>
      </w:r>
      <w:r w:rsidR="00350D47">
        <w:t xml:space="preserve">the number of </w:t>
      </w:r>
      <w:r w:rsidR="006F3BE4">
        <w:t xml:space="preserve">web-forms institutions </w:t>
      </w:r>
      <w:r w:rsidR="00447A43">
        <w:t>will need to</w:t>
      </w:r>
      <w:r w:rsidR="00350D47">
        <w:t xml:space="preserve"> </w:t>
      </w:r>
      <w:r w:rsidR="006F3BE4">
        <w:t>complete.</w:t>
      </w:r>
      <w:r w:rsidR="007C1FBB">
        <w:t xml:space="preserve"> </w:t>
      </w:r>
      <w:r w:rsidR="007E0429">
        <w:t>To mitigate this increase in burden</w:t>
      </w:r>
      <w:r w:rsidR="006F3BE4">
        <w:t xml:space="preserve">, the </w:t>
      </w:r>
      <w:r w:rsidR="00D87775">
        <w:t>P</w:t>
      </w:r>
      <w:r w:rsidR="006F3BE4">
        <w:t xml:space="preserve">ilot </w:t>
      </w:r>
      <w:r w:rsidR="00396617">
        <w:t>survey</w:t>
      </w:r>
      <w:r w:rsidR="00D87775">
        <w:t xml:space="preserve"> </w:t>
      </w:r>
      <w:r w:rsidR="006F3BE4">
        <w:t xml:space="preserve">will </w:t>
      </w:r>
      <w:r w:rsidR="009E47A6">
        <w:t xml:space="preserve">request </w:t>
      </w:r>
      <w:r w:rsidR="007E0429">
        <w:t xml:space="preserve">that </w:t>
      </w:r>
      <w:r w:rsidR="009E47A6">
        <w:t xml:space="preserve">the school </w:t>
      </w:r>
      <w:r w:rsidR="00231CCD">
        <w:t>coordinators prepare</w:t>
      </w:r>
      <w:r w:rsidR="009E47A6">
        <w:t xml:space="preserve"> data files and </w:t>
      </w:r>
      <w:r w:rsidR="006F3BE4">
        <w:t xml:space="preserve">use </w:t>
      </w:r>
      <w:r w:rsidR="007E0429">
        <w:t xml:space="preserve">the </w:t>
      </w:r>
      <w:r w:rsidR="009E47A6">
        <w:t xml:space="preserve">upload feature to </w:t>
      </w:r>
      <w:r w:rsidR="007E0429">
        <w:t>submit the requested data</w:t>
      </w:r>
      <w:r w:rsidR="009E47A6">
        <w:t>. Th</w:t>
      </w:r>
      <w:r w:rsidR="00F509C4">
        <w:t>ese</w:t>
      </w:r>
      <w:r w:rsidR="006F3BE4">
        <w:t xml:space="preserve"> transfers reduce the burden of completing what might be twice as many web forms</w:t>
      </w:r>
      <w:r w:rsidR="00442DFF">
        <w:t xml:space="preserve"> for </w:t>
      </w:r>
      <w:r w:rsidR="00607E40">
        <w:t xml:space="preserve">reporting </w:t>
      </w:r>
      <w:r w:rsidR="00442DFF">
        <w:t>graduate student</w:t>
      </w:r>
      <w:r w:rsidR="00A51801">
        <w:t>s</w:t>
      </w:r>
      <w:r w:rsidR="00442DFF">
        <w:t xml:space="preserve">  </w:t>
      </w:r>
      <w:r w:rsidR="009E47A6">
        <w:t>(one for master’s and another for doctoral degree students)</w:t>
      </w:r>
      <w:r w:rsidR="006F3BE4">
        <w:t>.</w:t>
      </w:r>
    </w:p>
    <w:p w14:paraId="18570C45" w14:textId="48D249A0" w:rsidR="00795D42" w:rsidRPr="006F3BE4" w:rsidRDefault="00DE6593" w:rsidP="00FE5EE9">
      <w:pPr>
        <w:pStyle w:val="BodyText"/>
      </w:pPr>
      <w:r>
        <w:t xml:space="preserve">The feasibility of these changes </w:t>
      </w:r>
      <w:r w:rsidR="00442DFF">
        <w:t>was</w:t>
      </w:r>
      <w:r>
        <w:t xml:space="preserve"> explored through </w:t>
      </w:r>
      <w:r w:rsidR="008F4152">
        <w:t xml:space="preserve">the GSS Coordinator Survey to </w:t>
      </w:r>
      <w:r w:rsidR="00706E14">
        <w:t xml:space="preserve">2015 GSS </w:t>
      </w:r>
      <w:r w:rsidR="007F2568">
        <w:t>institution</w:t>
      </w:r>
      <w:r w:rsidR="00706E14">
        <w:t>s</w:t>
      </w:r>
      <w:r>
        <w:t xml:space="preserve"> (see Attachment </w:t>
      </w:r>
      <w:r w:rsidR="008F4152">
        <w:t>2</w:t>
      </w:r>
      <w:r>
        <w:t xml:space="preserve">). A total </w:t>
      </w:r>
      <w:r w:rsidRPr="00B81768">
        <w:t>of 840</w:t>
      </w:r>
      <w:r>
        <w:t xml:space="preserve"> coordinators were invited to take the survey, and 676 participated, for a total response rate of 80.5%. </w:t>
      </w:r>
      <w:r w:rsidR="00442DFF">
        <w:t>T</w:t>
      </w:r>
      <w:r>
        <w:t xml:space="preserve">he survey </w:t>
      </w:r>
      <w:r w:rsidR="00442DFF">
        <w:t>included items on the</w:t>
      </w:r>
      <w:r>
        <w:t xml:space="preserve"> feasibility of separate reporting of master’s and doctoral student data and the feasibility of using CIP codes to report data by academic discipline.</w:t>
      </w:r>
      <w:r w:rsidR="007C1FBB">
        <w:t xml:space="preserve"> </w:t>
      </w:r>
    </w:p>
    <w:p w14:paraId="2F45CD17" w14:textId="77777777" w:rsidR="00FE5EE9" w:rsidRDefault="00FE5EE9">
      <w:pPr>
        <w:rPr>
          <w:b/>
        </w:rPr>
      </w:pPr>
    </w:p>
    <w:p w14:paraId="4F366055" w14:textId="77777777" w:rsidR="00E54106" w:rsidRDefault="00E54106">
      <w:r w:rsidRPr="00E54106">
        <w:rPr>
          <w:b/>
        </w:rPr>
        <w:t>Proposed Methodology</w:t>
      </w:r>
    </w:p>
    <w:p w14:paraId="3AF45D69" w14:textId="77777777" w:rsidR="004401B9" w:rsidRDefault="004401B9" w:rsidP="004D2D8A"/>
    <w:p w14:paraId="3B9AF5EE" w14:textId="36ABE3A1" w:rsidR="00CA7BCD" w:rsidRDefault="00795D42" w:rsidP="00CA7BCD">
      <w:r>
        <w:t>T</w:t>
      </w:r>
      <w:r w:rsidR="001D46D2">
        <w:t>he 2016 GSS Pilot</w:t>
      </w:r>
      <w:r w:rsidR="00547BC0">
        <w:t xml:space="preserve"> survey</w:t>
      </w:r>
      <w:r w:rsidR="001D46D2">
        <w:t xml:space="preserve"> will be conducted in conjunction with the regularly scheduled 2016 GSS</w:t>
      </w:r>
      <w:r w:rsidR="00EF7B4F">
        <w:t>.</w:t>
      </w:r>
      <w:r w:rsidR="005210B6">
        <w:t xml:space="preserve"> </w:t>
      </w:r>
      <w:r w:rsidR="000F71EB">
        <w:t xml:space="preserve">A stratified random sample of </w:t>
      </w:r>
      <w:r w:rsidR="0009435B">
        <w:t>8</w:t>
      </w:r>
      <w:r w:rsidR="004F3864">
        <w:t>0</w:t>
      </w:r>
      <w:r w:rsidR="000F71EB">
        <w:t xml:space="preserve"> </w:t>
      </w:r>
      <w:r w:rsidR="004552CF">
        <w:t>coordinators</w:t>
      </w:r>
      <w:r w:rsidR="000F71EB">
        <w:t xml:space="preserve"> </w:t>
      </w:r>
      <w:r w:rsidR="00910B54">
        <w:t>that responded to</w:t>
      </w:r>
      <w:r w:rsidR="000F71EB">
        <w:t xml:space="preserve"> 2015 GSS</w:t>
      </w:r>
      <w:r w:rsidR="004552CF">
        <w:t xml:space="preserve"> </w:t>
      </w:r>
      <w:r w:rsidR="00910B54">
        <w:t>will be selected for the Pilot survey</w:t>
      </w:r>
      <w:r w:rsidR="000F71EB">
        <w:t xml:space="preserve">. </w:t>
      </w:r>
      <w:r w:rsidR="00CA7BCD">
        <w:t>Table 1 presents information on the number of coordinators in each strata</w:t>
      </w:r>
      <w:r w:rsidR="00B07B2D">
        <w:t xml:space="preserve"> as a percentage of the </w:t>
      </w:r>
      <w:r w:rsidR="00442DFF">
        <w:t xml:space="preserve">eligible </w:t>
      </w:r>
      <w:r w:rsidR="00B07B2D">
        <w:t>coordinator population</w:t>
      </w:r>
      <w:r w:rsidR="00CA7BCD">
        <w:t>.</w:t>
      </w:r>
    </w:p>
    <w:p w14:paraId="5778B10D" w14:textId="77777777" w:rsidR="00442DFF" w:rsidRDefault="00442DFF" w:rsidP="00CA7BCD"/>
    <w:p w14:paraId="7F0B591B" w14:textId="15056467" w:rsidR="000F71EB" w:rsidRDefault="00B07916" w:rsidP="00D64F7B">
      <w:pPr>
        <w:spacing w:after="40"/>
      </w:pPr>
      <w:r>
        <w:t xml:space="preserve">The sample will </w:t>
      </w:r>
      <w:r w:rsidR="00910B54">
        <w:t>consist of</w:t>
      </w:r>
      <w:r w:rsidR="000F71EB">
        <w:t>:</w:t>
      </w:r>
    </w:p>
    <w:p w14:paraId="6F8F21DF" w14:textId="39338002" w:rsidR="000F71EB" w:rsidRDefault="00D20773" w:rsidP="00D64F7B">
      <w:pPr>
        <w:pStyle w:val="ListParagraph"/>
        <w:numPr>
          <w:ilvl w:val="0"/>
          <w:numId w:val="17"/>
        </w:numPr>
        <w:spacing w:after="40"/>
        <w:contextualSpacing w:val="0"/>
      </w:pPr>
      <w:r>
        <w:t>15</w:t>
      </w:r>
      <w:r w:rsidR="00E72626">
        <w:t xml:space="preserve"> </w:t>
      </w:r>
      <w:r w:rsidR="00AA319A">
        <w:t xml:space="preserve">coordinators </w:t>
      </w:r>
      <w:r w:rsidR="000F71EB">
        <w:t>that used the data upload tool in the 2015 GSS</w:t>
      </w:r>
    </w:p>
    <w:p w14:paraId="45F0AECB" w14:textId="008C9AB7" w:rsidR="000F71EB" w:rsidRDefault="00E72626" w:rsidP="00D64F7B">
      <w:pPr>
        <w:pStyle w:val="ListParagraph"/>
        <w:numPr>
          <w:ilvl w:val="0"/>
          <w:numId w:val="17"/>
        </w:numPr>
        <w:spacing w:after="40"/>
        <w:contextualSpacing w:val="0"/>
      </w:pPr>
      <w:r>
        <w:t>2</w:t>
      </w:r>
      <w:r w:rsidR="00D20773">
        <w:t>5</w:t>
      </w:r>
      <w:r>
        <w:t xml:space="preserve"> </w:t>
      </w:r>
      <w:r w:rsidR="00AA319A">
        <w:t xml:space="preserve">coordinators </w:t>
      </w:r>
      <w:r w:rsidR="00D20773">
        <w:t>that report both master</w:t>
      </w:r>
      <w:r w:rsidR="00A51801">
        <w:t>’</w:t>
      </w:r>
      <w:r w:rsidR="00D20773">
        <w:t>s and doctora</w:t>
      </w:r>
      <w:r w:rsidR="00A51801">
        <w:t>l</w:t>
      </w:r>
      <w:r w:rsidR="00BA7AB5">
        <w:t xml:space="preserve"> students</w:t>
      </w:r>
      <w:r w:rsidR="00D20773">
        <w:t>,</w:t>
      </w:r>
      <w:r w:rsidR="000F71EB">
        <w:t xml:space="preserve"> that have a large number of reporting units (</w:t>
      </w:r>
      <w:r w:rsidR="00006FC4">
        <w:t>more than 15</w:t>
      </w:r>
      <w:r w:rsidR="000F71EB">
        <w:t xml:space="preserve"> units) and did not use the data upload tool in 2015</w:t>
      </w:r>
    </w:p>
    <w:p w14:paraId="5245DE23" w14:textId="0EA6BEFE" w:rsidR="000F71EB" w:rsidRDefault="00E72626" w:rsidP="00D64F7B">
      <w:pPr>
        <w:pStyle w:val="ListParagraph"/>
        <w:numPr>
          <w:ilvl w:val="0"/>
          <w:numId w:val="17"/>
        </w:numPr>
        <w:spacing w:after="40"/>
        <w:contextualSpacing w:val="0"/>
      </w:pPr>
      <w:r>
        <w:t>2</w:t>
      </w:r>
      <w:r w:rsidR="00D20773">
        <w:t>5</w:t>
      </w:r>
      <w:r>
        <w:t xml:space="preserve"> </w:t>
      </w:r>
      <w:r w:rsidR="00AA319A">
        <w:t xml:space="preserve">coordinators </w:t>
      </w:r>
      <w:r w:rsidR="00D20773">
        <w:t>that report both master</w:t>
      </w:r>
      <w:r w:rsidR="00A51801">
        <w:t>’</w:t>
      </w:r>
      <w:r w:rsidR="00D20773">
        <w:t>s and doctora</w:t>
      </w:r>
      <w:r w:rsidR="00A51801">
        <w:t xml:space="preserve">l </w:t>
      </w:r>
      <w:r w:rsidR="00BA7AB5">
        <w:t>student</w:t>
      </w:r>
      <w:r w:rsidR="00D20773">
        <w:t>s,</w:t>
      </w:r>
      <w:r w:rsidR="000F71EB">
        <w:t xml:space="preserve"> that have a small number of reporting units (15</w:t>
      </w:r>
      <w:r w:rsidR="00006FC4">
        <w:t xml:space="preserve"> or less</w:t>
      </w:r>
      <w:r w:rsidR="000F71EB">
        <w:t xml:space="preserve"> units) and did not use the data upload tool in 2015</w:t>
      </w:r>
    </w:p>
    <w:p w14:paraId="708D34AB" w14:textId="62DEAAEF" w:rsidR="000F71EB" w:rsidRDefault="00D20773" w:rsidP="00D64F7B">
      <w:pPr>
        <w:pStyle w:val="ListParagraph"/>
        <w:numPr>
          <w:ilvl w:val="0"/>
          <w:numId w:val="17"/>
        </w:numPr>
      </w:pPr>
      <w:r>
        <w:t>15</w:t>
      </w:r>
      <w:r w:rsidR="00E72626">
        <w:t xml:space="preserve"> </w:t>
      </w:r>
      <w:r w:rsidR="00AA319A">
        <w:t xml:space="preserve">coordinators </w:t>
      </w:r>
      <w:r>
        <w:t xml:space="preserve">that report only </w:t>
      </w:r>
      <w:r w:rsidR="000F71EB">
        <w:t>master</w:t>
      </w:r>
      <w:r w:rsidR="00A51801">
        <w:t>’</w:t>
      </w:r>
      <w:r w:rsidR="000F71EB">
        <w:t xml:space="preserve">s </w:t>
      </w:r>
      <w:r w:rsidR="00BA7AB5">
        <w:t>student</w:t>
      </w:r>
      <w:r>
        <w:t>s</w:t>
      </w:r>
      <w:r w:rsidR="000F71EB">
        <w:t xml:space="preserve"> that did not use the data upload tool in 2015</w:t>
      </w:r>
    </w:p>
    <w:p w14:paraId="72A3E11A" w14:textId="77777777" w:rsidR="008F4152" w:rsidRDefault="008F4152" w:rsidP="005210B6"/>
    <w:p w14:paraId="10314144" w14:textId="1350765F" w:rsidR="006F7304" w:rsidRPr="00D64F7B" w:rsidRDefault="00CA7BCD" w:rsidP="00D64F7B">
      <w:pPr>
        <w:spacing w:after="120"/>
        <w:jc w:val="both"/>
        <w:rPr>
          <w:rFonts w:asciiTheme="minorHAnsi" w:hAnsiTheme="minorHAnsi"/>
          <w:b/>
          <w:sz w:val="22"/>
        </w:rPr>
      </w:pPr>
      <w:r w:rsidRPr="00D64F7B">
        <w:rPr>
          <w:rFonts w:asciiTheme="minorHAnsi" w:hAnsiTheme="minorHAnsi"/>
          <w:b/>
          <w:sz w:val="22"/>
        </w:rPr>
        <w:t xml:space="preserve">Table 1: </w:t>
      </w:r>
      <w:r w:rsidR="003C3DDC" w:rsidRPr="00D64F7B">
        <w:rPr>
          <w:rFonts w:asciiTheme="minorHAnsi" w:hAnsiTheme="minorHAnsi"/>
          <w:b/>
          <w:sz w:val="22"/>
        </w:rPr>
        <w:t xml:space="preserve">Sample of </w:t>
      </w:r>
      <w:r w:rsidRPr="00D64F7B">
        <w:rPr>
          <w:rFonts w:asciiTheme="minorHAnsi" w:hAnsiTheme="minorHAnsi"/>
          <w:b/>
          <w:sz w:val="22"/>
        </w:rPr>
        <w:t xml:space="preserve">Pilot </w:t>
      </w:r>
      <w:r w:rsidR="003C3DDC" w:rsidRPr="00D64F7B">
        <w:rPr>
          <w:rFonts w:asciiTheme="minorHAnsi" w:hAnsiTheme="minorHAnsi"/>
          <w:b/>
          <w:sz w:val="22"/>
        </w:rPr>
        <w:t>Institution</w:t>
      </w:r>
      <w:r w:rsidR="00245C98">
        <w:rPr>
          <w:rFonts w:asciiTheme="minorHAnsi" w:hAnsiTheme="minorHAnsi"/>
          <w:b/>
          <w:sz w:val="22"/>
        </w:rPr>
        <w:t xml:space="preserve"> Coordinators</w:t>
      </w:r>
    </w:p>
    <w:tbl>
      <w:tblPr>
        <w:tblW w:w="8550" w:type="dxa"/>
        <w:tblLook w:val="04A0" w:firstRow="1" w:lastRow="0" w:firstColumn="1" w:lastColumn="0" w:noHBand="0" w:noVBand="1"/>
      </w:tblPr>
      <w:tblGrid>
        <w:gridCol w:w="4140"/>
        <w:gridCol w:w="1530"/>
        <w:gridCol w:w="1350"/>
        <w:gridCol w:w="1530"/>
      </w:tblGrid>
      <w:tr w:rsidR="003C3DDC" w:rsidRPr="00D64F7B" w14:paraId="48BB8023" w14:textId="42144F1D" w:rsidTr="00D64F7B">
        <w:trPr>
          <w:trHeight w:val="300"/>
        </w:trPr>
        <w:tc>
          <w:tcPr>
            <w:tcW w:w="4140" w:type="dxa"/>
            <w:tcBorders>
              <w:top w:val="single" w:sz="4" w:space="0" w:color="auto"/>
              <w:left w:val="nil"/>
              <w:bottom w:val="single" w:sz="4" w:space="0" w:color="auto"/>
              <w:right w:val="nil"/>
            </w:tcBorders>
            <w:shd w:val="clear" w:color="auto" w:fill="auto"/>
            <w:noWrap/>
            <w:vAlign w:val="bottom"/>
            <w:hideMark/>
          </w:tcPr>
          <w:p w14:paraId="1E794659" w14:textId="10D9C6B9" w:rsidR="003C3DDC" w:rsidRPr="00D64F7B" w:rsidRDefault="003C3DDC" w:rsidP="00EE3141">
            <w:pPr>
              <w:rPr>
                <w:rFonts w:asciiTheme="minorHAnsi" w:hAnsiTheme="minorHAnsi"/>
                <w:color w:val="000000"/>
                <w:sz w:val="20"/>
                <w:szCs w:val="16"/>
              </w:rPr>
            </w:pPr>
            <w:r w:rsidRPr="00D64F7B">
              <w:rPr>
                <w:rFonts w:asciiTheme="minorHAnsi" w:hAnsiTheme="minorHAnsi"/>
                <w:color w:val="000000"/>
                <w:sz w:val="20"/>
                <w:szCs w:val="16"/>
              </w:rPr>
              <w:lastRenderedPageBreak/>
              <w:t>Institution </w:t>
            </w:r>
            <w:r w:rsidR="00245C98">
              <w:rPr>
                <w:rFonts w:asciiTheme="minorHAnsi" w:hAnsiTheme="minorHAnsi"/>
                <w:color w:val="000000"/>
                <w:sz w:val="20"/>
                <w:szCs w:val="16"/>
              </w:rPr>
              <w:t>Coordinator</w:t>
            </w:r>
            <w:r w:rsidRPr="00D64F7B">
              <w:rPr>
                <w:rFonts w:asciiTheme="minorHAnsi" w:hAnsiTheme="minorHAnsi"/>
                <w:color w:val="000000"/>
                <w:sz w:val="20"/>
                <w:szCs w:val="16"/>
              </w:rPr>
              <w:t>s </w:t>
            </w:r>
          </w:p>
        </w:tc>
        <w:tc>
          <w:tcPr>
            <w:tcW w:w="1530" w:type="dxa"/>
            <w:tcBorders>
              <w:top w:val="single" w:sz="4" w:space="0" w:color="auto"/>
              <w:left w:val="nil"/>
              <w:bottom w:val="single" w:sz="4" w:space="0" w:color="auto"/>
              <w:right w:val="nil"/>
            </w:tcBorders>
            <w:vAlign w:val="bottom"/>
          </w:tcPr>
          <w:p w14:paraId="45D93BC2" w14:textId="3F7B5030" w:rsidR="003C3DDC" w:rsidRPr="00D64F7B" w:rsidRDefault="00B81768" w:rsidP="00D64F7B">
            <w:pPr>
              <w:ind w:right="44"/>
              <w:jc w:val="center"/>
              <w:rPr>
                <w:rFonts w:asciiTheme="minorHAnsi" w:hAnsiTheme="minorHAnsi"/>
                <w:color w:val="000000"/>
                <w:sz w:val="20"/>
                <w:szCs w:val="16"/>
              </w:rPr>
            </w:pPr>
            <w:r>
              <w:rPr>
                <w:rFonts w:asciiTheme="minorHAnsi" w:hAnsiTheme="minorHAnsi"/>
                <w:color w:val="000000"/>
                <w:sz w:val="20"/>
                <w:szCs w:val="16"/>
              </w:rPr>
              <w:t>Total Number</w:t>
            </w:r>
            <w:r>
              <w:rPr>
                <w:rStyle w:val="FootnoteReference"/>
                <w:rFonts w:asciiTheme="minorHAnsi" w:hAnsiTheme="minorHAnsi"/>
                <w:color w:val="000000"/>
                <w:sz w:val="20"/>
                <w:szCs w:val="16"/>
              </w:rPr>
              <w:footnoteReference w:id="3"/>
            </w:r>
          </w:p>
        </w:tc>
        <w:tc>
          <w:tcPr>
            <w:tcW w:w="1350" w:type="dxa"/>
            <w:tcBorders>
              <w:top w:val="single" w:sz="4" w:space="0" w:color="auto"/>
              <w:left w:val="nil"/>
              <w:bottom w:val="single" w:sz="4" w:space="0" w:color="auto"/>
              <w:right w:val="nil"/>
            </w:tcBorders>
            <w:shd w:val="clear" w:color="auto" w:fill="auto"/>
            <w:noWrap/>
            <w:vAlign w:val="bottom"/>
            <w:hideMark/>
          </w:tcPr>
          <w:p w14:paraId="2D8C7FC0" w14:textId="4CEE09D6"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Sample size</w:t>
            </w:r>
          </w:p>
        </w:tc>
        <w:tc>
          <w:tcPr>
            <w:tcW w:w="1530" w:type="dxa"/>
            <w:tcBorders>
              <w:top w:val="single" w:sz="4" w:space="0" w:color="auto"/>
              <w:left w:val="nil"/>
              <w:bottom w:val="single" w:sz="4" w:space="0" w:color="auto"/>
              <w:right w:val="nil"/>
            </w:tcBorders>
            <w:noWrap/>
            <w:vAlign w:val="bottom"/>
            <w:hideMark/>
          </w:tcPr>
          <w:p w14:paraId="652B49CF" w14:textId="6F04B7F2" w:rsidR="003C3DDC" w:rsidRPr="00D64F7B" w:rsidRDefault="003C3DDC" w:rsidP="00D64F7B">
            <w:pPr>
              <w:jc w:val="center"/>
              <w:rPr>
                <w:rFonts w:asciiTheme="minorHAnsi" w:hAnsiTheme="minorHAnsi"/>
                <w:color w:val="000000"/>
                <w:sz w:val="20"/>
                <w:szCs w:val="16"/>
              </w:rPr>
            </w:pPr>
            <w:r w:rsidRPr="00D64F7B">
              <w:rPr>
                <w:rFonts w:asciiTheme="minorHAnsi" w:hAnsiTheme="minorHAnsi"/>
                <w:color w:val="000000"/>
                <w:sz w:val="20"/>
                <w:szCs w:val="16"/>
              </w:rPr>
              <w:t>% sampled</w:t>
            </w:r>
          </w:p>
        </w:tc>
      </w:tr>
      <w:tr w:rsidR="003C3DDC" w:rsidRPr="00D64F7B" w14:paraId="59C93275" w14:textId="4F02C5EF" w:rsidTr="00D64F7B">
        <w:trPr>
          <w:trHeight w:val="300"/>
        </w:trPr>
        <w:tc>
          <w:tcPr>
            <w:tcW w:w="4140" w:type="dxa"/>
            <w:tcBorders>
              <w:top w:val="nil"/>
              <w:left w:val="nil"/>
              <w:bottom w:val="nil"/>
              <w:right w:val="nil"/>
            </w:tcBorders>
            <w:shd w:val="clear" w:color="auto" w:fill="auto"/>
            <w:noWrap/>
            <w:vAlign w:val="bottom"/>
            <w:hideMark/>
          </w:tcPr>
          <w:p w14:paraId="5C2FABCF" w14:textId="77777777" w:rsidR="003C3DDC" w:rsidRPr="00D64F7B" w:rsidRDefault="003C3DDC" w:rsidP="00D64F7B">
            <w:pPr>
              <w:spacing w:before="80"/>
              <w:rPr>
                <w:rFonts w:asciiTheme="minorHAnsi" w:hAnsiTheme="minorHAnsi"/>
                <w:color w:val="000000"/>
                <w:sz w:val="20"/>
                <w:szCs w:val="16"/>
              </w:rPr>
            </w:pPr>
            <w:r w:rsidRPr="00D64F7B">
              <w:rPr>
                <w:rFonts w:asciiTheme="minorHAnsi" w:hAnsiTheme="minorHAnsi"/>
                <w:color w:val="000000"/>
                <w:sz w:val="20"/>
                <w:szCs w:val="16"/>
              </w:rPr>
              <w:t>Uploaded data in 2015</w:t>
            </w:r>
          </w:p>
        </w:tc>
        <w:tc>
          <w:tcPr>
            <w:tcW w:w="1530" w:type="dxa"/>
            <w:tcBorders>
              <w:top w:val="nil"/>
              <w:left w:val="nil"/>
              <w:bottom w:val="nil"/>
              <w:right w:val="nil"/>
            </w:tcBorders>
            <w:vAlign w:val="bottom"/>
          </w:tcPr>
          <w:p w14:paraId="6D4F3D0E" w14:textId="1B00B25B"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65</w:t>
            </w:r>
          </w:p>
        </w:tc>
        <w:tc>
          <w:tcPr>
            <w:tcW w:w="1350" w:type="dxa"/>
            <w:tcBorders>
              <w:top w:val="nil"/>
              <w:left w:val="nil"/>
              <w:bottom w:val="nil"/>
              <w:right w:val="nil"/>
            </w:tcBorders>
            <w:shd w:val="clear" w:color="auto" w:fill="auto"/>
            <w:noWrap/>
            <w:vAlign w:val="bottom"/>
            <w:hideMark/>
          </w:tcPr>
          <w:p w14:paraId="2BDF1006" w14:textId="7F3F9D0A"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15</w:t>
            </w:r>
          </w:p>
        </w:tc>
        <w:tc>
          <w:tcPr>
            <w:tcW w:w="1530" w:type="dxa"/>
            <w:tcBorders>
              <w:top w:val="nil"/>
              <w:left w:val="nil"/>
              <w:bottom w:val="nil"/>
              <w:right w:val="nil"/>
            </w:tcBorders>
            <w:noWrap/>
            <w:vAlign w:val="bottom"/>
            <w:hideMark/>
          </w:tcPr>
          <w:p w14:paraId="06F0AA7D" w14:textId="77777777" w:rsidR="003C3DDC" w:rsidRPr="00D64F7B" w:rsidRDefault="003C3DDC" w:rsidP="00D64F7B">
            <w:pPr>
              <w:jc w:val="center"/>
              <w:rPr>
                <w:rFonts w:asciiTheme="minorHAnsi" w:hAnsiTheme="minorHAnsi"/>
                <w:color w:val="000000"/>
                <w:sz w:val="20"/>
                <w:szCs w:val="16"/>
              </w:rPr>
            </w:pPr>
            <w:r w:rsidRPr="00D64F7B">
              <w:rPr>
                <w:rFonts w:asciiTheme="minorHAnsi" w:hAnsiTheme="minorHAnsi"/>
                <w:color w:val="000000"/>
                <w:sz w:val="20"/>
                <w:szCs w:val="16"/>
              </w:rPr>
              <w:t>23.1</w:t>
            </w:r>
          </w:p>
        </w:tc>
      </w:tr>
      <w:tr w:rsidR="003C3DDC" w:rsidRPr="00D64F7B" w14:paraId="0A326832" w14:textId="4676C5DE" w:rsidTr="00D64F7B">
        <w:trPr>
          <w:trHeight w:val="300"/>
        </w:trPr>
        <w:tc>
          <w:tcPr>
            <w:tcW w:w="4140" w:type="dxa"/>
            <w:tcBorders>
              <w:top w:val="nil"/>
              <w:left w:val="nil"/>
              <w:bottom w:val="nil"/>
              <w:right w:val="nil"/>
            </w:tcBorders>
            <w:shd w:val="clear" w:color="auto" w:fill="auto"/>
            <w:noWrap/>
            <w:vAlign w:val="bottom"/>
            <w:hideMark/>
          </w:tcPr>
          <w:p w14:paraId="16A1A36C" w14:textId="7B003217" w:rsidR="003C3DDC" w:rsidRPr="00D64F7B" w:rsidRDefault="003C3DDC" w:rsidP="00C756B3">
            <w:pPr>
              <w:spacing w:before="80"/>
              <w:ind w:right="162"/>
              <w:rPr>
                <w:rFonts w:asciiTheme="minorHAnsi" w:hAnsiTheme="minorHAnsi"/>
                <w:color w:val="000000"/>
                <w:sz w:val="20"/>
                <w:szCs w:val="16"/>
              </w:rPr>
            </w:pPr>
            <w:r w:rsidRPr="00D64F7B">
              <w:rPr>
                <w:rFonts w:asciiTheme="minorHAnsi" w:hAnsiTheme="minorHAnsi"/>
                <w:color w:val="000000"/>
                <w:sz w:val="20"/>
                <w:szCs w:val="16"/>
              </w:rPr>
              <w:t>More than 15 units, master’s and doctorate, did not upload data</w:t>
            </w:r>
          </w:p>
        </w:tc>
        <w:tc>
          <w:tcPr>
            <w:tcW w:w="1530" w:type="dxa"/>
            <w:tcBorders>
              <w:top w:val="nil"/>
              <w:left w:val="nil"/>
              <w:bottom w:val="nil"/>
              <w:right w:val="nil"/>
            </w:tcBorders>
            <w:vAlign w:val="bottom"/>
          </w:tcPr>
          <w:p w14:paraId="01EED50D" w14:textId="04C71D3C" w:rsidR="003C3DDC" w:rsidRPr="00D64F7B" w:rsidRDefault="003C3DDC" w:rsidP="003C3DDC">
            <w:pPr>
              <w:ind w:right="44"/>
              <w:jc w:val="center"/>
              <w:rPr>
                <w:rFonts w:asciiTheme="minorHAnsi" w:hAnsiTheme="minorHAnsi"/>
                <w:color w:val="000000"/>
                <w:sz w:val="20"/>
                <w:szCs w:val="16"/>
              </w:rPr>
            </w:pPr>
            <w:r w:rsidRPr="00D64F7B">
              <w:rPr>
                <w:rFonts w:asciiTheme="minorHAnsi" w:hAnsiTheme="minorHAnsi"/>
                <w:color w:val="000000"/>
                <w:sz w:val="20"/>
                <w:szCs w:val="16"/>
              </w:rPr>
              <w:t>207</w:t>
            </w:r>
          </w:p>
        </w:tc>
        <w:tc>
          <w:tcPr>
            <w:tcW w:w="1350" w:type="dxa"/>
            <w:tcBorders>
              <w:top w:val="nil"/>
              <w:left w:val="nil"/>
              <w:bottom w:val="nil"/>
              <w:right w:val="nil"/>
            </w:tcBorders>
            <w:shd w:val="clear" w:color="auto" w:fill="auto"/>
            <w:noWrap/>
            <w:vAlign w:val="bottom"/>
            <w:hideMark/>
          </w:tcPr>
          <w:p w14:paraId="520735CF" w14:textId="192C0B3C"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25</w:t>
            </w:r>
          </w:p>
        </w:tc>
        <w:tc>
          <w:tcPr>
            <w:tcW w:w="1530" w:type="dxa"/>
            <w:tcBorders>
              <w:top w:val="nil"/>
              <w:left w:val="nil"/>
              <w:bottom w:val="nil"/>
              <w:right w:val="nil"/>
            </w:tcBorders>
            <w:noWrap/>
            <w:vAlign w:val="bottom"/>
            <w:hideMark/>
          </w:tcPr>
          <w:p w14:paraId="415237C5" w14:textId="77777777" w:rsidR="003C3DDC" w:rsidRPr="00D64F7B" w:rsidRDefault="003C3DDC" w:rsidP="00D64F7B">
            <w:pPr>
              <w:jc w:val="center"/>
              <w:rPr>
                <w:rFonts w:asciiTheme="minorHAnsi" w:hAnsiTheme="minorHAnsi"/>
                <w:color w:val="000000"/>
                <w:sz w:val="20"/>
                <w:szCs w:val="16"/>
              </w:rPr>
            </w:pPr>
            <w:r w:rsidRPr="00D64F7B">
              <w:rPr>
                <w:rFonts w:asciiTheme="minorHAnsi" w:hAnsiTheme="minorHAnsi"/>
                <w:color w:val="000000"/>
                <w:sz w:val="20"/>
                <w:szCs w:val="16"/>
              </w:rPr>
              <w:t>12.1</w:t>
            </w:r>
          </w:p>
        </w:tc>
      </w:tr>
      <w:tr w:rsidR="003C3DDC" w:rsidRPr="00D64F7B" w14:paraId="2C8E1E13" w14:textId="507F0629" w:rsidTr="00D64F7B">
        <w:trPr>
          <w:trHeight w:val="300"/>
        </w:trPr>
        <w:tc>
          <w:tcPr>
            <w:tcW w:w="4140" w:type="dxa"/>
            <w:tcBorders>
              <w:top w:val="nil"/>
              <w:left w:val="nil"/>
              <w:bottom w:val="nil"/>
              <w:right w:val="nil"/>
            </w:tcBorders>
            <w:shd w:val="clear" w:color="auto" w:fill="auto"/>
            <w:noWrap/>
            <w:vAlign w:val="bottom"/>
            <w:hideMark/>
          </w:tcPr>
          <w:p w14:paraId="4AD401A8" w14:textId="518E97FD" w:rsidR="003C3DDC" w:rsidRPr="00D64F7B" w:rsidRDefault="003C3DDC" w:rsidP="00C756B3">
            <w:pPr>
              <w:spacing w:before="80"/>
              <w:ind w:right="252"/>
              <w:rPr>
                <w:rFonts w:asciiTheme="minorHAnsi" w:hAnsiTheme="minorHAnsi"/>
                <w:color w:val="000000"/>
                <w:sz w:val="20"/>
                <w:szCs w:val="16"/>
              </w:rPr>
            </w:pPr>
            <w:r w:rsidRPr="00D64F7B">
              <w:rPr>
                <w:rFonts w:asciiTheme="minorHAnsi" w:hAnsiTheme="minorHAnsi"/>
                <w:color w:val="000000"/>
                <w:sz w:val="20"/>
                <w:szCs w:val="16"/>
              </w:rPr>
              <w:t>15 units or fewer, master’s and doctorate,   did not upload data</w:t>
            </w:r>
          </w:p>
        </w:tc>
        <w:tc>
          <w:tcPr>
            <w:tcW w:w="1530" w:type="dxa"/>
            <w:tcBorders>
              <w:top w:val="nil"/>
              <w:left w:val="nil"/>
              <w:bottom w:val="nil"/>
              <w:right w:val="nil"/>
            </w:tcBorders>
            <w:vAlign w:val="bottom"/>
          </w:tcPr>
          <w:p w14:paraId="60D38A0D" w14:textId="65B947E8" w:rsidR="003C3DDC" w:rsidRPr="00D64F7B" w:rsidRDefault="003C3DDC" w:rsidP="003C3DDC">
            <w:pPr>
              <w:ind w:right="44"/>
              <w:jc w:val="center"/>
              <w:rPr>
                <w:rFonts w:asciiTheme="minorHAnsi" w:hAnsiTheme="minorHAnsi"/>
                <w:color w:val="000000"/>
                <w:sz w:val="20"/>
                <w:szCs w:val="16"/>
              </w:rPr>
            </w:pPr>
            <w:r w:rsidRPr="00D64F7B">
              <w:rPr>
                <w:rFonts w:asciiTheme="minorHAnsi" w:hAnsiTheme="minorHAnsi"/>
                <w:color w:val="000000"/>
                <w:sz w:val="20"/>
                <w:szCs w:val="16"/>
              </w:rPr>
              <w:t>194</w:t>
            </w:r>
          </w:p>
        </w:tc>
        <w:tc>
          <w:tcPr>
            <w:tcW w:w="1350" w:type="dxa"/>
            <w:tcBorders>
              <w:top w:val="nil"/>
              <w:left w:val="nil"/>
              <w:bottom w:val="nil"/>
              <w:right w:val="nil"/>
            </w:tcBorders>
            <w:shd w:val="clear" w:color="auto" w:fill="auto"/>
            <w:noWrap/>
            <w:vAlign w:val="bottom"/>
            <w:hideMark/>
          </w:tcPr>
          <w:p w14:paraId="42506C6A" w14:textId="26B02214"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25</w:t>
            </w:r>
          </w:p>
        </w:tc>
        <w:tc>
          <w:tcPr>
            <w:tcW w:w="1530" w:type="dxa"/>
            <w:tcBorders>
              <w:top w:val="nil"/>
              <w:left w:val="nil"/>
              <w:bottom w:val="nil"/>
              <w:right w:val="nil"/>
            </w:tcBorders>
            <w:noWrap/>
            <w:vAlign w:val="bottom"/>
            <w:hideMark/>
          </w:tcPr>
          <w:p w14:paraId="3A6AC180" w14:textId="77777777" w:rsidR="003C3DDC" w:rsidRPr="00D64F7B" w:rsidRDefault="003C3DDC" w:rsidP="00D64F7B">
            <w:pPr>
              <w:jc w:val="center"/>
              <w:rPr>
                <w:rFonts w:asciiTheme="minorHAnsi" w:hAnsiTheme="minorHAnsi"/>
                <w:color w:val="000000"/>
                <w:sz w:val="20"/>
                <w:szCs w:val="16"/>
              </w:rPr>
            </w:pPr>
            <w:r w:rsidRPr="00D64F7B">
              <w:rPr>
                <w:rFonts w:asciiTheme="minorHAnsi" w:hAnsiTheme="minorHAnsi"/>
                <w:color w:val="000000"/>
                <w:sz w:val="20"/>
                <w:szCs w:val="16"/>
              </w:rPr>
              <w:t>12.9</w:t>
            </w:r>
          </w:p>
        </w:tc>
      </w:tr>
      <w:tr w:rsidR="003C3DDC" w:rsidRPr="00D64F7B" w14:paraId="09C310A0" w14:textId="38239783" w:rsidTr="00D64F7B">
        <w:trPr>
          <w:trHeight w:val="300"/>
        </w:trPr>
        <w:tc>
          <w:tcPr>
            <w:tcW w:w="4140" w:type="dxa"/>
            <w:tcBorders>
              <w:top w:val="nil"/>
              <w:left w:val="nil"/>
              <w:bottom w:val="single" w:sz="4" w:space="0" w:color="auto"/>
              <w:right w:val="nil"/>
            </w:tcBorders>
            <w:shd w:val="clear" w:color="auto" w:fill="auto"/>
            <w:noWrap/>
            <w:vAlign w:val="bottom"/>
            <w:hideMark/>
          </w:tcPr>
          <w:p w14:paraId="632478D2" w14:textId="111C23AB" w:rsidR="003C3DDC" w:rsidRPr="00D64F7B" w:rsidRDefault="003C3DDC" w:rsidP="00D64F7B">
            <w:pPr>
              <w:spacing w:before="80" w:after="60"/>
              <w:rPr>
                <w:rFonts w:asciiTheme="minorHAnsi" w:hAnsiTheme="minorHAnsi"/>
                <w:color w:val="000000"/>
                <w:sz w:val="20"/>
                <w:szCs w:val="16"/>
              </w:rPr>
            </w:pPr>
            <w:r w:rsidRPr="00D64F7B">
              <w:rPr>
                <w:rFonts w:asciiTheme="minorHAnsi" w:hAnsiTheme="minorHAnsi"/>
                <w:color w:val="000000"/>
                <w:sz w:val="20"/>
                <w:szCs w:val="16"/>
              </w:rPr>
              <w:t>Master’s only, did not upload data</w:t>
            </w:r>
          </w:p>
        </w:tc>
        <w:tc>
          <w:tcPr>
            <w:tcW w:w="1530" w:type="dxa"/>
            <w:tcBorders>
              <w:top w:val="nil"/>
              <w:left w:val="nil"/>
              <w:bottom w:val="single" w:sz="4" w:space="0" w:color="auto"/>
              <w:right w:val="nil"/>
            </w:tcBorders>
            <w:vAlign w:val="bottom"/>
          </w:tcPr>
          <w:p w14:paraId="4CD4C430" w14:textId="10088991" w:rsidR="003C3DDC" w:rsidRPr="00D64F7B" w:rsidRDefault="003C3DDC" w:rsidP="00D64F7B">
            <w:pPr>
              <w:spacing w:after="60"/>
              <w:ind w:right="44"/>
              <w:jc w:val="center"/>
              <w:rPr>
                <w:rFonts w:asciiTheme="minorHAnsi" w:hAnsiTheme="minorHAnsi"/>
                <w:color w:val="000000"/>
                <w:sz w:val="20"/>
                <w:szCs w:val="16"/>
              </w:rPr>
            </w:pPr>
            <w:r w:rsidRPr="00D64F7B">
              <w:rPr>
                <w:rFonts w:asciiTheme="minorHAnsi" w:hAnsiTheme="minorHAnsi"/>
                <w:color w:val="000000"/>
                <w:sz w:val="20"/>
                <w:szCs w:val="16"/>
              </w:rPr>
              <w:t>293</w:t>
            </w:r>
          </w:p>
        </w:tc>
        <w:tc>
          <w:tcPr>
            <w:tcW w:w="1350" w:type="dxa"/>
            <w:tcBorders>
              <w:top w:val="nil"/>
              <w:left w:val="nil"/>
              <w:bottom w:val="single" w:sz="4" w:space="0" w:color="auto"/>
              <w:right w:val="nil"/>
            </w:tcBorders>
            <w:shd w:val="clear" w:color="auto" w:fill="auto"/>
            <w:noWrap/>
            <w:vAlign w:val="bottom"/>
            <w:hideMark/>
          </w:tcPr>
          <w:p w14:paraId="093BF9CB" w14:textId="0E51284F" w:rsidR="003C3DDC" w:rsidRPr="00D64F7B" w:rsidRDefault="003C3DDC" w:rsidP="00D64F7B">
            <w:pPr>
              <w:spacing w:after="60"/>
              <w:ind w:right="44"/>
              <w:jc w:val="center"/>
              <w:rPr>
                <w:rFonts w:asciiTheme="minorHAnsi" w:hAnsiTheme="minorHAnsi"/>
                <w:color w:val="000000"/>
                <w:sz w:val="20"/>
                <w:szCs w:val="16"/>
              </w:rPr>
            </w:pPr>
            <w:r w:rsidRPr="00D64F7B">
              <w:rPr>
                <w:rFonts w:asciiTheme="minorHAnsi" w:hAnsiTheme="minorHAnsi"/>
                <w:color w:val="000000"/>
                <w:sz w:val="20"/>
                <w:szCs w:val="16"/>
              </w:rPr>
              <w:t>15</w:t>
            </w:r>
          </w:p>
        </w:tc>
        <w:tc>
          <w:tcPr>
            <w:tcW w:w="1530" w:type="dxa"/>
            <w:tcBorders>
              <w:top w:val="nil"/>
              <w:left w:val="nil"/>
              <w:bottom w:val="single" w:sz="4" w:space="0" w:color="auto"/>
              <w:right w:val="nil"/>
            </w:tcBorders>
            <w:noWrap/>
            <w:vAlign w:val="bottom"/>
            <w:hideMark/>
          </w:tcPr>
          <w:p w14:paraId="2CD530EF" w14:textId="77777777" w:rsidR="003C3DDC" w:rsidRPr="00D64F7B" w:rsidRDefault="003C3DDC" w:rsidP="00D64F7B">
            <w:pPr>
              <w:spacing w:after="60"/>
              <w:jc w:val="center"/>
              <w:rPr>
                <w:rFonts w:asciiTheme="minorHAnsi" w:hAnsiTheme="minorHAnsi"/>
                <w:color w:val="000000"/>
                <w:sz w:val="20"/>
                <w:szCs w:val="16"/>
              </w:rPr>
            </w:pPr>
            <w:r w:rsidRPr="00D64F7B">
              <w:rPr>
                <w:rFonts w:asciiTheme="minorHAnsi" w:hAnsiTheme="minorHAnsi"/>
                <w:color w:val="000000"/>
                <w:sz w:val="20"/>
                <w:szCs w:val="16"/>
              </w:rPr>
              <w:t>5.1</w:t>
            </w:r>
          </w:p>
        </w:tc>
      </w:tr>
      <w:tr w:rsidR="003C3DDC" w:rsidRPr="00D64F7B" w14:paraId="129576ED" w14:textId="4B4AEF20" w:rsidTr="00D64F7B">
        <w:trPr>
          <w:trHeight w:val="300"/>
        </w:trPr>
        <w:tc>
          <w:tcPr>
            <w:tcW w:w="4140" w:type="dxa"/>
            <w:tcBorders>
              <w:top w:val="single" w:sz="4" w:space="0" w:color="auto"/>
              <w:left w:val="nil"/>
              <w:bottom w:val="single" w:sz="4" w:space="0" w:color="auto"/>
              <w:right w:val="nil"/>
            </w:tcBorders>
            <w:shd w:val="clear" w:color="auto" w:fill="auto"/>
            <w:noWrap/>
            <w:vAlign w:val="bottom"/>
            <w:hideMark/>
          </w:tcPr>
          <w:p w14:paraId="1B618EC3" w14:textId="77777777" w:rsidR="003C3DDC" w:rsidRPr="00D64F7B" w:rsidRDefault="003C3DDC" w:rsidP="00D64F7B">
            <w:pPr>
              <w:spacing w:before="80"/>
              <w:rPr>
                <w:rFonts w:asciiTheme="minorHAnsi" w:hAnsiTheme="minorHAnsi"/>
                <w:color w:val="000000"/>
                <w:sz w:val="20"/>
                <w:szCs w:val="16"/>
              </w:rPr>
            </w:pPr>
            <w:r w:rsidRPr="00D64F7B">
              <w:rPr>
                <w:rFonts w:asciiTheme="minorHAnsi" w:hAnsiTheme="minorHAnsi"/>
                <w:color w:val="000000"/>
                <w:sz w:val="20"/>
                <w:szCs w:val="16"/>
              </w:rPr>
              <w:t>Total</w:t>
            </w:r>
          </w:p>
        </w:tc>
        <w:tc>
          <w:tcPr>
            <w:tcW w:w="1530" w:type="dxa"/>
            <w:tcBorders>
              <w:top w:val="single" w:sz="4" w:space="0" w:color="auto"/>
              <w:left w:val="nil"/>
              <w:bottom w:val="single" w:sz="4" w:space="0" w:color="auto"/>
              <w:right w:val="nil"/>
            </w:tcBorders>
            <w:vAlign w:val="bottom"/>
          </w:tcPr>
          <w:p w14:paraId="100B09BA" w14:textId="329243F0" w:rsidR="003C3DDC" w:rsidRPr="00D64F7B" w:rsidRDefault="003C3DDC" w:rsidP="003C3DDC">
            <w:pPr>
              <w:ind w:right="44"/>
              <w:jc w:val="center"/>
              <w:rPr>
                <w:rFonts w:asciiTheme="minorHAnsi" w:hAnsiTheme="minorHAnsi"/>
                <w:color w:val="000000"/>
                <w:sz w:val="20"/>
                <w:szCs w:val="16"/>
              </w:rPr>
            </w:pPr>
            <w:r w:rsidRPr="00B81768">
              <w:rPr>
                <w:rFonts w:asciiTheme="minorHAnsi" w:hAnsiTheme="minorHAnsi"/>
                <w:color w:val="000000"/>
                <w:sz w:val="20"/>
                <w:szCs w:val="16"/>
              </w:rPr>
              <w:t>759</w:t>
            </w:r>
          </w:p>
        </w:tc>
        <w:tc>
          <w:tcPr>
            <w:tcW w:w="1350" w:type="dxa"/>
            <w:tcBorders>
              <w:top w:val="single" w:sz="4" w:space="0" w:color="auto"/>
              <w:left w:val="nil"/>
              <w:bottom w:val="single" w:sz="4" w:space="0" w:color="auto"/>
              <w:right w:val="nil"/>
            </w:tcBorders>
            <w:shd w:val="clear" w:color="auto" w:fill="auto"/>
            <w:noWrap/>
            <w:vAlign w:val="bottom"/>
            <w:hideMark/>
          </w:tcPr>
          <w:p w14:paraId="08AE9101" w14:textId="16418AF7" w:rsidR="003C3DDC" w:rsidRPr="00D64F7B" w:rsidRDefault="003C3DDC" w:rsidP="00D64F7B">
            <w:pPr>
              <w:ind w:right="44"/>
              <w:jc w:val="center"/>
              <w:rPr>
                <w:rFonts w:asciiTheme="minorHAnsi" w:hAnsiTheme="minorHAnsi"/>
                <w:color w:val="000000"/>
                <w:sz w:val="20"/>
                <w:szCs w:val="16"/>
              </w:rPr>
            </w:pPr>
            <w:r w:rsidRPr="00D64F7B">
              <w:rPr>
                <w:rFonts w:asciiTheme="minorHAnsi" w:hAnsiTheme="minorHAnsi"/>
                <w:color w:val="000000"/>
                <w:sz w:val="20"/>
                <w:szCs w:val="16"/>
              </w:rPr>
              <w:t>80</w:t>
            </w:r>
          </w:p>
        </w:tc>
        <w:tc>
          <w:tcPr>
            <w:tcW w:w="1530" w:type="dxa"/>
            <w:tcBorders>
              <w:top w:val="single" w:sz="4" w:space="0" w:color="auto"/>
              <w:left w:val="nil"/>
              <w:bottom w:val="single" w:sz="4" w:space="0" w:color="auto"/>
              <w:right w:val="nil"/>
            </w:tcBorders>
            <w:noWrap/>
            <w:vAlign w:val="bottom"/>
            <w:hideMark/>
          </w:tcPr>
          <w:p w14:paraId="3A66BE0B" w14:textId="77777777" w:rsidR="003C3DDC" w:rsidRPr="00D64F7B" w:rsidRDefault="003C3DDC" w:rsidP="00D64F7B">
            <w:pPr>
              <w:jc w:val="center"/>
              <w:rPr>
                <w:rFonts w:asciiTheme="minorHAnsi" w:hAnsiTheme="minorHAnsi"/>
                <w:color w:val="000000"/>
                <w:sz w:val="20"/>
                <w:szCs w:val="16"/>
              </w:rPr>
            </w:pPr>
            <w:r w:rsidRPr="00D64F7B">
              <w:rPr>
                <w:rFonts w:asciiTheme="minorHAnsi" w:hAnsiTheme="minorHAnsi"/>
                <w:color w:val="000000"/>
                <w:sz w:val="20"/>
                <w:szCs w:val="16"/>
              </w:rPr>
              <w:t>10.5</w:t>
            </w:r>
          </w:p>
        </w:tc>
      </w:tr>
    </w:tbl>
    <w:p w14:paraId="41A10B7C" w14:textId="77777777" w:rsidR="006F7304" w:rsidRPr="00D64F7B" w:rsidRDefault="006F7304" w:rsidP="005210B6">
      <w:pPr>
        <w:rPr>
          <w:rFonts w:asciiTheme="minorHAnsi" w:hAnsiTheme="minorHAnsi"/>
        </w:rPr>
      </w:pPr>
    </w:p>
    <w:p w14:paraId="1345E866" w14:textId="531B6AF2" w:rsidR="003F27C8" w:rsidRDefault="00D87641" w:rsidP="00DD5933">
      <w:pPr>
        <w:spacing w:before="120" w:after="240"/>
      </w:pPr>
      <w:r>
        <w:t xml:space="preserve">The </w:t>
      </w:r>
      <w:r w:rsidR="005833AD">
        <w:t xml:space="preserve">80 </w:t>
      </w:r>
      <w:r w:rsidR="0009435B">
        <w:t xml:space="preserve">coordinators </w:t>
      </w:r>
      <w:r w:rsidR="005833AD">
        <w:t>selected for</w:t>
      </w:r>
      <w:r>
        <w:t xml:space="preserve"> the Pilot </w:t>
      </w:r>
      <w:r w:rsidR="005833AD">
        <w:t>w</w:t>
      </w:r>
      <w:r w:rsidR="00CD68BB">
        <w:t xml:space="preserve">ill </w:t>
      </w:r>
      <w:r w:rsidR="00706E14">
        <w:t>not be part of the regular GSS data collection</w:t>
      </w:r>
      <w:r w:rsidR="005833AD">
        <w:t xml:space="preserve"> </w:t>
      </w:r>
      <w:r w:rsidR="00CD68BB">
        <w:t xml:space="preserve">(see Attachment </w:t>
      </w:r>
      <w:r w:rsidR="005126C7">
        <w:t>3</w:t>
      </w:r>
      <w:r w:rsidR="00706E14">
        <w:t xml:space="preserve"> for Pilot survey invitation email</w:t>
      </w:r>
      <w:r w:rsidR="00CD68BB">
        <w:t>)</w:t>
      </w:r>
      <w:r w:rsidR="00706E14">
        <w:t xml:space="preserve">. </w:t>
      </w:r>
      <w:r w:rsidR="007437A6">
        <w:t xml:space="preserve">The </w:t>
      </w:r>
      <w:r w:rsidR="001F725C">
        <w:t xml:space="preserve">Pilot </w:t>
      </w:r>
      <w:r w:rsidR="00547BC0">
        <w:t xml:space="preserve">survey </w:t>
      </w:r>
      <w:r w:rsidR="001F725C">
        <w:t xml:space="preserve">participants will be provided with </w:t>
      </w:r>
      <w:r w:rsidR="00023A41">
        <w:t xml:space="preserve">variable and file </w:t>
      </w:r>
      <w:r w:rsidR="001F725C">
        <w:t>specifications</w:t>
      </w:r>
      <w:r>
        <w:t>,</w:t>
      </w:r>
      <w:r w:rsidR="001F725C">
        <w:t xml:space="preserve"> </w:t>
      </w:r>
      <w:r w:rsidR="00441435">
        <w:t xml:space="preserve">and data aggregation macros </w:t>
      </w:r>
      <w:r>
        <w:t>in</w:t>
      </w:r>
      <w:r w:rsidR="00706E14">
        <w:t xml:space="preserve"> an</w:t>
      </w:r>
      <w:r>
        <w:t xml:space="preserve"> Excel file </w:t>
      </w:r>
      <w:r w:rsidR="007437A6">
        <w:t xml:space="preserve">that </w:t>
      </w:r>
      <w:r w:rsidR="00441435">
        <w:t>the</w:t>
      </w:r>
      <w:r w:rsidR="00D91AA0">
        <w:t>y</w:t>
      </w:r>
      <w:r w:rsidR="00441435">
        <w:t xml:space="preserve"> can use to report </w:t>
      </w:r>
      <w:r>
        <w:t xml:space="preserve">their institution’s </w:t>
      </w:r>
      <w:r w:rsidR="00441435">
        <w:t xml:space="preserve">data at the </w:t>
      </w:r>
      <w:r w:rsidR="00A34CCC">
        <w:t>organizational unit-level</w:t>
      </w:r>
      <w:r w:rsidR="00441435">
        <w:t xml:space="preserve"> </w:t>
      </w:r>
      <w:r w:rsidR="001F725C">
        <w:t>to create a</w:t>
      </w:r>
      <w:r w:rsidR="009B1A2F">
        <w:t>n</w:t>
      </w:r>
      <w:r w:rsidR="00441435">
        <w:t xml:space="preserve"> upload file that will be transferred to </w:t>
      </w:r>
      <w:r w:rsidR="000F34D4">
        <w:t>NCSES</w:t>
      </w:r>
      <w:r w:rsidR="00BA6D60">
        <w:t xml:space="preserve"> GSS </w:t>
      </w:r>
      <w:r>
        <w:t>contractor, RTI,</w:t>
      </w:r>
      <w:r w:rsidR="00441435">
        <w:t xml:space="preserve"> via a secure web-connection</w:t>
      </w:r>
      <w:r w:rsidR="002665FC">
        <w:t xml:space="preserve"> (</w:t>
      </w:r>
      <w:r w:rsidR="002665FC" w:rsidRPr="002665FC">
        <w:t xml:space="preserve">see Attachment </w:t>
      </w:r>
      <w:r w:rsidR="00A34CCC">
        <w:t>4</w:t>
      </w:r>
      <w:r w:rsidR="002665FC">
        <w:t>)</w:t>
      </w:r>
      <w:r w:rsidR="00441435">
        <w:t>.</w:t>
      </w:r>
      <w:r w:rsidR="007C1FBB">
        <w:t xml:space="preserve"> </w:t>
      </w:r>
      <w:r w:rsidR="00441435">
        <w:t xml:space="preserve">These transfers will </w:t>
      </w:r>
      <w:r>
        <w:t xml:space="preserve">allow </w:t>
      </w:r>
      <w:r w:rsidR="000F34D4">
        <w:t>NCSES</w:t>
      </w:r>
      <w:r w:rsidR="00441435">
        <w:t xml:space="preserve"> to report data by CIP codes and by GSS unit—allowing </w:t>
      </w:r>
      <w:r w:rsidR="007437A6">
        <w:t xml:space="preserve">the </w:t>
      </w:r>
      <w:r w:rsidR="00547BC0">
        <w:t>P</w:t>
      </w:r>
      <w:r w:rsidR="00441435">
        <w:t xml:space="preserve">ilot </w:t>
      </w:r>
      <w:r w:rsidR="00547BC0">
        <w:t xml:space="preserve">survey </w:t>
      </w:r>
      <w:r w:rsidR="00441435">
        <w:t xml:space="preserve">data to be merged </w:t>
      </w:r>
      <w:r>
        <w:t xml:space="preserve">with the </w:t>
      </w:r>
      <w:r w:rsidR="00BA6D60">
        <w:t>main</w:t>
      </w:r>
      <w:r w:rsidR="00441435">
        <w:t xml:space="preserve"> 2016 GSS</w:t>
      </w:r>
      <w:r>
        <w:t xml:space="preserve"> data</w:t>
      </w:r>
      <w:r w:rsidR="00441435">
        <w:t>.</w:t>
      </w:r>
      <w:r w:rsidR="003F27C8">
        <w:t xml:space="preserve"> In some instances, institutions may prefer to upload a de-identified student/postdoc unit-record file. In such instances, GSS project staff will construct the appropriate data file from these submissions.</w:t>
      </w:r>
    </w:p>
    <w:p w14:paraId="6ED4C4BA" w14:textId="6FABF7F6" w:rsidR="00F019A9" w:rsidRDefault="007437A6" w:rsidP="00DD5933">
      <w:pPr>
        <w:spacing w:after="120"/>
      </w:pPr>
      <w:r>
        <w:t xml:space="preserve">The </w:t>
      </w:r>
      <w:r w:rsidR="00F019A9">
        <w:t xml:space="preserve">Pilot </w:t>
      </w:r>
      <w:r w:rsidR="00547BC0">
        <w:t xml:space="preserve">survey </w:t>
      </w:r>
      <w:r w:rsidR="00F019A9">
        <w:t>data collection will include:</w:t>
      </w:r>
    </w:p>
    <w:p w14:paraId="36E5E2EA" w14:textId="3448A6F1" w:rsidR="001F725C" w:rsidRDefault="00F019A9" w:rsidP="00D64F7B">
      <w:pPr>
        <w:pStyle w:val="ListParagraph"/>
        <w:numPr>
          <w:ilvl w:val="0"/>
          <w:numId w:val="8"/>
        </w:numPr>
        <w:spacing w:after="40"/>
        <w:ind w:left="778"/>
        <w:contextualSpacing w:val="0"/>
      </w:pPr>
      <w:r>
        <w:t>Student demographic and financial support data using CIP codes instead of GSS codes as the organizing taxonomy</w:t>
      </w:r>
    </w:p>
    <w:p w14:paraId="472F41B2" w14:textId="4F777176" w:rsidR="00F019A9" w:rsidRDefault="00F019A9" w:rsidP="00FE5EE9">
      <w:pPr>
        <w:pStyle w:val="ListParagraph"/>
        <w:numPr>
          <w:ilvl w:val="0"/>
          <w:numId w:val="8"/>
        </w:numPr>
        <w:ind w:left="778"/>
        <w:contextualSpacing w:val="0"/>
      </w:pPr>
      <w:r>
        <w:t>Student demographic and financial support data bifurcated by degree-level to capture master’s and doctorate data separately</w:t>
      </w:r>
    </w:p>
    <w:p w14:paraId="3994D0E0" w14:textId="31474D5D" w:rsidR="00656743" w:rsidRDefault="000F34D4" w:rsidP="00FE5EE9">
      <w:pPr>
        <w:spacing w:before="240"/>
      </w:pPr>
      <w:r>
        <w:t>NCSES</w:t>
      </w:r>
      <w:r w:rsidR="00656743">
        <w:t xml:space="preserve"> will provide training to </w:t>
      </w:r>
      <w:r w:rsidR="00547BC0">
        <w:t>P</w:t>
      </w:r>
      <w:r w:rsidR="00656743">
        <w:t xml:space="preserve">ilot </w:t>
      </w:r>
      <w:r w:rsidR="00547BC0">
        <w:t xml:space="preserve">survey </w:t>
      </w:r>
      <w:r w:rsidR="00656743">
        <w:t>participants through webinars, providing detailed instructions on preparing data files for upload.</w:t>
      </w:r>
      <w:r w:rsidR="007C1FBB">
        <w:t xml:space="preserve"> </w:t>
      </w:r>
      <w:r w:rsidR="00656743">
        <w:t xml:space="preserve">Pilot </w:t>
      </w:r>
      <w:r w:rsidR="00547BC0">
        <w:t xml:space="preserve">survey </w:t>
      </w:r>
      <w:r w:rsidR="00656743">
        <w:t xml:space="preserve">participants will also benefit from a set of </w:t>
      </w:r>
      <w:r w:rsidR="00706E14">
        <w:t>best</w:t>
      </w:r>
      <w:r w:rsidR="00656743">
        <w:t xml:space="preserve"> practices from </w:t>
      </w:r>
      <w:r w:rsidR="00D87641">
        <w:t xml:space="preserve">GSS </w:t>
      </w:r>
      <w:r w:rsidR="00656743">
        <w:t>institutions that have prior</w:t>
      </w:r>
      <w:r w:rsidR="009D0A0B">
        <w:t xml:space="preserve"> </w:t>
      </w:r>
      <w:r w:rsidR="00656743">
        <w:t>experience using the data upload tool.</w:t>
      </w:r>
      <w:r w:rsidR="007C1FBB">
        <w:t xml:space="preserve"> </w:t>
      </w:r>
      <w:r w:rsidR="00656743">
        <w:t xml:space="preserve">During the </w:t>
      </w:r>
      <w:r w:rsidR="00547BC0">
        <w:t>P</w:t>
      </w:r>
      <w:r w:rsidR="00656743">
        <w:t>ilot</w:t>
      </w:r>
      <w:r w:rsidR="00547BC0">
        <w:t xml:space="preserve"> survey</w:t>
      </w:r>
      <w:r w:rsidR="00656743">
        <w:t xml:space="preserve">, the </w:t>
      </w:r>
      <w:r w:rsidR="00D87641">
        <w:t xml:space="preserve">RTI </w:t>
      </w:r>
      <w:r w:rsidR="00656743">
        <w:t xml:space="preserve">will maintain a dedicated help-desk to support institutions as they compile and report requested GSS data. </w:t>
      </w:r>
      <w:r w:rsidR="008275C1">
        <w:t xml:space="preserve">Participants who are unable or unwilling to provide data using the pilot protocols will be </w:t>
      </w:r>
      <w:r w:rsidR="00543C58">
        <w:t>allowed</w:t>
      </w:r>
      <w:r w:rsidR="008275C1">
        <w:t xml:space="preserve"> to revert to regular 2016 GSS collection pro</w:t>
      </w:r>
      <w:r w:rsidR="00543C58">
        <w:t>cess</w:t>
      </w:r>
      <w:r w:rsidR="008275C1">
        <w:t xml:space="preserve">. NCSES will not replace these institutions in the sample. </w:t>
      </w:r>
      <w:r w:rsidR="002907A4">
        <w:t>Based on the GSS Coordinator Survey response rate, w</w:t>
      </w:r>
      <w:r w:rsidR="008275C1">
        <w:t xml:space="preserve">e anticipate at least 80% of invited </w:t>
      </w:r>
      <w:r w:rsidR="00543C58">
        <w:t xml:space="preserve">institution </w:t>
      </w:r>
      <w:r w:rsidR="008275C1">
        <w:t xml:space="preserve">coordinators will participate in the Pilot data collection. </w:t>
      </w:r>
    </w:p>
    <w:p w14:paraId="575FDCBC" w14:textId="77777777" w:rsidR="006A66FA" w:rsidRDefault="006A66FA" w:rsidP="00F019A9"/>
    <w:p w14:paraId="7C75F506" w14:textId="77777777" w:rsidR="00E54106" w:rsidRPr="00E54106" w:rsidRDefault="00E54106">
      <w:pPr>
        <w:rPr>
          <w:b/>
        </w:rPr>
      </w:pPr>
      <w:r w:rsidRPr="00E54106">
        <w:rPr>
          <w:b/>
        </w:rPr>
        <w:lastRenderedPageBreak/>
        <w:t>Schedule of Activities</w:t>
      </w:r>
    </w:p>
    <w:p w14:paraId="5445D65F" w14:textId="77777777" w:rsidR="00E54106" w:rsidRDefault="00E54106" w:rsidP="004D2D8A"/>
    <w:p w14:paraId="26BFE62A" w14:textId="2C7092E3" w:rsidR="0091648C" w:rsidRDefault="0091648C" w:rsidP="00FB2A37">
      <w:pPr>
        <w:spacing w:after="240"/>
      </w:pPr>
      <w:r>
        <w:t xml:space="preserve">The tentative schedule for the GSS Pilot </w:t>
      </w:r>
      <w:r w:rsidR="00547BC0">
        <w:t xml:space="preserve">survey </w:t>
      </w:r>
      <w:r>
        <w:t>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6030"/>
      </w:tblGrid>
      <w:tr w:rsidR="0091648C" w:rsidRPr="00D64F7B" w14:paraId="7DD78A91" w14:textId="77777777" w:rsidTr="00D42800">
        <w:tc>
          <w:tcPr>
            <w:tcW w:w="3037" w:type="dxa"/>
          </w:tcPr>
          <w:p w14:paraId="7488F37A" w14:textId="77777777" w:rsidR="0091648C" w:rsidRPr="00D64F7B" w:rsidRDefault="0091648C" w:rsidP="007B4802">
            <w:pPr>
              <w:spacing w:before="40" w:after="40"/>
              <w:rPr>
                <w:rFonts w:asciiTheme="minorHAnsi" w:hAnsiTheme="minorHAnsi"/>
                <w:b/>
                <w:bCs/>
                <w:sz w:val="22"/>
              </w:rPr>
            </w:pPr>
            <w:r w:rsidRPr="00D64F7B">
              <w:rPr>
                <w:rFonts w:asciiTheme="minorHAnsi" w:hAnsiTheme="minorHAnsi"/>
                <w:b/>
                <w:bCs/>
                <w:sz w:val="22"/>
              </w:rPr>
              <w:t>Proposed Date</w:t>
            </w:r>
          </w:p>
        </w:tc>
        <w:tc>
          <w:tcPr>
            <w:tcW w:w="6030" w:type="dxa"/>
          </w:tcPr>
          <w:p w14:paraId="44F1730D" w14:textId="77777777" w:rsidR="0091648C" w:rsidRPr="00D64F7B" w:rsidRDefault="0091648C" w:rsidP="007B4802">
            <w:pPr>
              <w:spacing w:before="40" w:after="40"/>
              <w:rPr>
                <w:rFonts w:asciiTheme="minorHAnsi" w:hAnsiTheme="minorHAnsi"/>
                <w:b/>
                <w:bCs/>
                <w:sz w:val="22"/>
              </w:rPr>
            </w:pPr>
            <w:r w:rsidRPr="00D64F7B">
              <w:rPr>
                <w:rFonts w:asciiTheme="minorHAnsi" w:hAnsiTheme="minorHAnsi"/>
                <w:b/>
                <w:bCs/>
                <w:sz w:val="22"/>
              </w:rPr>
              <w:t>Activity/Deliverable</w:t>
            </w:r>
          </w:p>
        </w:tc>
      </w:tr>
      <w:tr w:rsidR="0091648C" w:rsidRPr="00D64F7B" w14:paraId="0A9BC4D3" w14:textId="77777777" w:rsidTr="00D42800">
        <w:tc>
          <w:tcPr>
            <w:tcW w:w="3037" w:type="dxa"/>
            <w:vAlign w:val="center"/>
          </w:tcPr>
          <w:p w14:paraId="50EBDC81" w14:textId="28E08835" w:rsidR="0091648C" w:rsidRPr="00D64F7B" w:rsidRDefault="00FE5EE9" w:rsidP="00706E14">
            <w:pPr>
              <w:spacing w:before="40" w:after="40"/>
              <w:rPr>
                <w:rFonts w:asciiTheme="minorHAnsi" w:hAnsiTheme="minorHAnsi"/>
                <w:sz w:val="22"/>
              </w:rPr>
            </w:pPr>
            <w:r>
              <w:rPr>
                <w:rFonts w:asciiTheme="minorHAnsi" w:hAnsiTheme="minorHAnsi"/>
                <w:sz w:val="22"/>
              </w:rPr>
              <w:t xml:space="preserve">October </w:t>
            </w:r>
            <w:r w:rsidR="00706E14">
              <w:rPr>
                <w:rFonts w:asciiTheme="minorHAnsi" w:hAnsiTheme="minorHAnsi"/>
                <w:sz w:val="22"/>
              </w:rPr>
              <w:t>14</w:t>
            </w:r>
            <w:r w:rsidR="006F1D9B" w:rsidRPr="00D64F7B">
              <w:rPr>
                <w:rFonts w:asciiTheme="minorHAnsi" w:hAnsiTheme="minorHAnsi"/>
                <w:sz w:val="22"/>
              </w:rPr>
              <w:t>, 2016</w:t>
            </w:r>
          </w:p>
        </w:tc>
        <w:tc>
          <w:tcPr>
            <w:tcW w:w="6030" w:type="dxa"/>
            <w:vAlign w:val="center"/>
          </w:tcPr>
          <w:p w14:paraId="03771636" w14:textId="77777777" w:rsidR="0091648C" w:rsidRPr="00D64F7B" w:rsidRDefault="0091648C" w:rsidP="007B4802">
            <w:pPr>
              <w:spacing w:before="40" w:after="40"/>
              <w:rPr>
                <w:rFonts w:asciiTheme="minorHAnsi" w:hAnsiTheme="minorHAnsi"/>
                <w:sz w:val="22"/>
              </w:rPr>
            </w:pPr>
            <w:r w:rsidRPr="00D64F7B">
              <w:rPr>
                <w:rFonts w:asciiTheme="minorHAnsi" w:hAnsiTheme="minorHAnsi"/>
                <w:sz w:val="22"/>
              </w:rPr>
              <w:t>OMB submission for approval</w:t>
            </w:r>
          </w:p>
        </w:tc>
      </w:tr>
      <w:tr w:rsidR="0091648C" w:rsidRPr="00D64F7B" w14:paraId="631D0D82" w14:textId="77777777" w:rsidTr="00D42800">
        <w:tc>
          <w:tcPr>
            <w:tcW w:w="3037" w:type="dxa"/>
            <w:vAlign w:val="center"/>
          </w:tcPr>
          <w:p w14:paraId="14DA96C4" w14:textId="07A8D844" w:rsidR="0091648C" w:rsidRPr="00D64F7B" w:rsidRDefault="0037779F" w:rsidP="00706E14">
            <w:pPr>
              <w:spacing w:before="40" w:after="40"/>
              <w:rPr>
                <w:rFonts w:asciiTheme="minorHAnsi" w:hAnsiTheme="minorHAnsi"/>
                <w:sz w:val="22"/>
              </w:rPr>
            </w:pPr>
            <w:r w:rsidRPr="00D64F7B">
              <w:rPr>
                <w:rFonts w:asciiTheme="minorHAnsi" w:hAnsiTheme="minorHAnsi"/>
                <w:sz w:val="22"/>
              </w:rPr>
              <w:t xml:space="preserve">October </w:t>
            </w:r>
            <w:r w:rsidR="00706E14">
              <w:rPr>
                <w:rFonts w:asciiTheme="minorHAnsi" w:hAnsiTheme="minorHAnsi"/>
                <w:sz w:val="22"/>
              </w:rPr>
              <w:t>28</w:t>
            </w:r>
            <w:r w:rsidR="006F1D9B" w:rsidRPr="00D64F7B">
              <w:rPr>
                <w:rFonts w:asciiTheme="minorHAnsi" w:hAnsiTheme="minorHAnsi"/>
                <w:sz w:val="22"/>
              </w:rPr>
              <w:t>, 2016</w:t>
            </w:r>
          </w:p>
        </w:tc>
        <w:tc>
          <w:tcPr>
            <w:tcW w:w="6030" w:type="dxa"/>
            <w:vAlign w:val="center"/>
          </w:tcPr>
          <w:p w14:paraId="20D694F4" w14:textId="77777777" w:rsidR="0091648C" w:rsidRPr="00D64F7B" w:rsidRDefault="0091648C" w:rsidP="007B4802">
            <w:pPr>
              <w:spacing w:before="40" w:after="40"/>
              <w:rPr>
                <w:rFonts w:asciiTheme="minorHAnsi" w:hAnsiTheme="minorHAnsi"/>
                <w:sz w:val="22"/>
              </w:rPr>
            </w:pPr>
            <w:r w:rsidRPr="00D64F7B">
              <w:rPr>
                <w:rFonts w:asciiTheme="minorHAnsi" w:hAnsiTheme="minorHAnsi"/>
                <w:sz w:val="22"/>
              </w:rPr>
              <w:t xml:space="preserve">OMB clearance </w:t>
            </w:r>
          </w:p>
        </w:tc>
      </w:tr>
      <w:tr w:rsidR="0091648C" w:rsidRPr="00D64F7B" w14:paraId="7A4662DB" w14:textId="77777777" w:rsidTr="00D42800">
        <w:tc>
          <w:tcPr>
            <w:tcW w:w="3037" w:type="dxa"/>
            <w:vAlign w:val="center"/>
          </w:tcPr>
          <w:p w14:paraId="6C9C2F42" w14:textId="2B68A0D5" w:rsidR="0091648C" w:rsidRPr="00D64F7B" w:rsidRDefault="00BA64AB" w:rsidP="00706E14">
            <w:pPr>
              <w:spacing w:before="40" w:after="40"/>
              <w:rPr>
                <w:rFonts w:asciiTheme="minorHAnsi" w:hAnsiTheme="minorHAnsi"/>
                <w:sz w:val="22"/>
              </w:rPr>
            </w:pPr>
            <w:r w:rsidRPr="00D64F7B">
              <w:rPr>
                <w:rFonts w:asciiTheme="minorHAnsi" w:hAnsiTheme="minorHAnsi"/>
                <w:sz w:val="22"/>
              </w:rPr>
              <w:t xml:space="preserve">November </w:t>
            </w:r>
            <w:r w:rsidR="00706E14">
              <w:rPr>
                <w:rFonts w:asciiTheme="minorHAnsi" w:hAnsiTheme="minorHAnsi"/>
                <w:sz w:val="22"/>
              </w:rPr>
              <w:t>7</w:t>
            </w:r>
            <w:r w:rsidR="006F1D9B" w:rsidRPr="00D64F7B">
              <w:rPr>
                <w:rFonts w:asciiTheme="minorHAnsi" w:hAnsiTheme="minorHAnsi"/>
                <w:sz w:val="22"/>
              </w:rPr>
              <w:t>, 2016</w:t>
            </w:r>
          </w:p>
        </w:tc>
        <w:tc>
          <w:tcPr>
            <w:tcW w:w="6030" w:type="dxa"/>
            <w:vAlign w:val="center"/>
          </w:tcPr>
          <w:p w14:paraId="3ECDDA8F" w14:textId="07C3A2F5" w:rsidR="0091648C" w:rsidRPr="00D64F7B" w:rsidRDefault="0091648C" w:rsidP="0037779F">
            <w:pPr>
              <w:spacing w:before="40" w:after="40"/>
              <w:rPr>
                <w:rFonts w:asciiTheme="minorHAnsi" w:hAnsiTheme="minorHAnsi"/>
                <w:sz w:val="22"/>
              </w:rPr>
            </w:pPr>
            <w:r w:rsidRPr="00D64F7B">
              <w:rPr>
                <w:rFonts w:asciiTheme="minorHAnsi" w:hAnsiTheme="minorHAnsi"/>
                <w:sz w:val="22"/>
              </w:rPr>
              <w:t xml:space="preserve">Send </w:t>
            </w:r>
            <w:r w:rsidR="002B610C" w:rsidRPr="00D64F7B">
              <w:rPr>
                <w:rFonts w:asciiTheme="minorHAnsi" w:hAnsiTheme="minorHAnsi"/>
                <w:sz w:val="22"/>
              </w:rPr>
              <w:t>FedEx</w:t>
            </w:r>
            <w:r w:rsidR="0037779F" w:rsidRPr="00D64F7B">
              <w:rPr>
                <w:rFonts w:asciiTheme="minorHAnsi" w:hAnsiTheme="minorHAnsi"/>
                <w:sz w:val="22"/>
              </w:rPr>
              <w:t xml:space="preserve"> invitation</w:t>
            </w:r>
            <w:r w:rsidRPr="00D64F7B">
              <w:rPr>
                <w:rFonts w:asciiTheme="minorHAnsi" w:hAnsiTheme="minorHAnsi"/>
                <w:sz w:val="22"/>
              </w:rPr>
              <w:t xml:space="preserve"> to </w:t>
            </w:r>
            <w:r w:rsidR="00334F1C" w:rsidRPr="00D64F7B">
              <w:rPr>
                <w:rFonts w:asciiTheme="minorHAnsi" w:hAnsiTheme="minorHAnsi"/>
                <w:sz w:val="22"/>
              </w:rPr>
              <w:t xml:space="preserve">Pilot sample </w:t>
            </w:r>
            <w:r w:rsidRPr="00D64F7B">
              <w:rPr>
                <w:rFonts w:asciiTheme="minorHAnsi" w:hAnsiTheme="minorHAnsi"/>
                <w:sz w:val="22"/>
              </w:rPr>
              <w:t>institutions</w:t>
            </w:r>
          </w:p>
        </w:tc>
      </w:tr>
      <w:tr w:rsidR="0037779F" w:rsidRPr="00D64F7B" w14:paraId="6F6C5BF0" w14:textId="77777777" w:rsidTr="00D42800">
        <w:tc>
          <w:tcPr>
            <w:tcW w:w="3037" w:type="dxa"/>
            <w:vAlign w:val="center"/>
          </w:tcPr>
          <w:p w14:paraId="145E38EB" w14:textId="7299FE76" w:rsidR="0037779F" w:rsidRPr="00D64F7B" w:rsidRDefault="00BA64AB" w:rsidP="00706E14">
            <w:pPr>
              <w:spacing w:before="40" w:after="40"/>
              <w:rPr>
                <w:rFonts w:asciiTheme="minorHAnsi" w:hAnsiTheme="minorHAnsi"/>
                <w:sz w:val="22"/>
              </w:rPr>
            </w:pPr>
            <w:r w:rsidRPr="00D64F7B">
              <w:rPr>
                <w:rFonts w:asciiTheme="minorHAnsi" w:hAnsiTheme="minorHAnsi"/>
                <w:sz w:val="22"/>
              </w:rPr>
              <w:t xml:space="preserve">November </w:t>
            </w:r>
            <w:r w:rsidR="00706E14">
              <w:rPr>
                <w:rFonts w:asciiTheme="minorHAnsi" w:hAnsiTheme="minorHAnsi"/>
                <w:sz w:val="22"/>
              </w:rPr>
              <w:t>14</w:t>
            </w:r>
            <w:r w:rsidRPr="00D64F7B">
              <w:rPr>
                <w:rFonts w:asciiTheme="minorHAnsi" w:hAnsiTheme="minorHAnsi"/>
                <w:sz w:val="22"/>
              </w:rPr>
              <w:t>,</w:t>
            </w:r>
            <w:r w:rsidR="0037779F" w:rsidRPr="00D64F7B">
              <w:rPr>
                <w:rFonts w:asciiTheme="minorHAnsi" w:hAnsiTheme="minorHAnsi"/>
                <w:sz w:val="22"/>
              </w:rPr>
              <w:t xml:space="preserve"> 2016</w:t>
            </w:r>
          </w:p>
        </w:tc>
        <w:tc>
          <w:tcPr>
            <w:tcW w:w="6030" w:type="dxa"/>
            <w:vAlign w:val="center"/>
          </w:tcPr>
          <w:p w14:paraId="7DBA4EC2" w14:textId="3C8495D6" w:rsidR="0037779F" w:rsidRPr="00D64F7B" w:rsidRDefault="0037779F" w:rsidP="0037779F">
            <w:pPr>
              <w:spacing w:before="40" w:after="40"/>
              <w:rPr>
                <w:rFonts w:asciiTheme="minorHAnsi" w:hAnsiTheme="minorHAnsi"/>
                <w:sz w:val="22"/>
              </w:rPr>
            </w:pPr>
            <w:r w:rsidRPr="00D64F7B">
              <w:rPr>
                <w:rFonts w:asciiTheme="minorHAnsi" w:hAnsiTheme="minorHAnsi"/>
                <w:sz w:val="22"/>
              </w:rPr>
              <w:t>Send email follow-up invitation to Pilot sample institutions</w:t>
            </w:r>
          </w:p>
        </w:tc>
      </w:tr>
      <w:tr w:rsidR="0091648C" w:rsidRPr="00D64F7B" w14:paraId="30F98E93" w14:textId="77777777" w:rsidTr="00D42800">
        <w:tc>
          <w:tcPr>
            <w:tcW w:w="3037" w:type="dxa"/>
            <w:vAlign w:val="center"/>
          </w:tcPr>
          <w:p w14:paraId="794B73A0" w14:textId="152DD2EE" w:rsidR="0091648C" w:rsidRPr="00D64F7B" w:rsidRDefault="00706E14" w:rsidP="00D42800">
            <w:pPr>
              <w:spacing w:before="40" w:after="40"/>
              <w:rPr>
                <w:rFonts w:asciiTheme="minorHAnsi" w:hAnsiTheme="minorHAnsi"/>
                <w:sz w:val="22"/>
              </w:rPr>
            </w:pPr>
            <w:r>
              <w:rPr>
                <w:rFonts w:asciiTheme="minorHAnsi" w:hAnsiTheme="minorHAnsi"/>
                <w:sz w:val="22"/>
              </w:rPr>
              <w:t>Novem</w:t>
            </w:r>
            <w:r w:rsidR="006F1D9B" w:rsidRPr="00D64F7B">
              <w:rPr>
                <w:rFonts w:asciiTheme="minorHAnsi" w:hAnsiTheme="minorHAnsi"/>
                <w:sz w:val="22"/>
              </w:rPr>
              <w:t>ber 1-</w:t>
            </w:r>
            <w:r w:rsidR="00D42800">
              <w:rPr>
                <w:rFonts w:asciiTheme="minorHAnsi" w:hAnsiTheme="minorHAnsi"/>
                <w:sz w:val="22"/>
              </w:rPr>
              <w:t>18</w:t>
            </w:r>
            <w:r w:rsidR="006F1D9B" w:rsidRPr="00D64F7B">
              <w:rPr>
                <w:rFonts w:asciiTheme="minorHAnsi" w:hAnsiTheme="minorHAnsi"/>
                <w:sz w:val="22"/>
              </w:rPr>
              <w:t>, 2016</w:t>
            </w:r>
          </w:p>
        </w:tc>
        <w:tc>
          <w:tcPr>
            <w:tcW w:w="6030" w:type="dxa"/>
            <w:vAlign w:val="center"/>
          </w:tcPr>
          <w:p w14:paraId="5E9FBBEE" w14:textId="558F270F" w:rsidR="0091648C" w:rsidRPr="00D64F7B" w:rsidRDefault="00BA6D60" w:rsidP="00B1082D">
            <w:pPr>
              <w:rPr>
                <w:rFonts w:asciiTheme="minorHAnsi" w:hAnsiTheme="minorHAnsi"/>
                <w:sz w:val="22"/>
              </w:rPr>
            </w:pPr>
            <w:r w:rsidRPr="00D64F7B">
              <w:rPr>
                <w:rFonts w:asciiTheme="minorHAnsi" w:hAnsiTheme="minorHAnsi"/>
                <w:sz w:val="22"/>
              </w:rPr>
              <w:t>Update</w:t>
            </w:r>
            <w:r w:rsidR="003F27C8" w:rsidRPr="00D64F7B">
              <w:rPr>
                <w:rFonts w:asciiTheme="minorHAnsi" w:hAnsiTheme="minorHAnsi"/>
                <w:sz w:val="22"/>
              </w:rPr>
              <w:t xml:space="preserve"> G</w:t>
            </w:r>
            <w:r w:rsidR="00144856" w:rsidRPr="00D64F7B">
              <w:rPr>
                <w:rFonts w:asciiTheme="minorHAnsi" w:hAnsiTheme="minorHAnsi"/>
                <w:sz w:val="22"/>
              </w:rPr>
              <w:t>SS</w:t>
            </w:r>
            <w:r w:rsidR="001210D7" w:rsidRPr="00D64F7B">
              <w:rPr>
                <w:rFonts w:asciiTheme="minorHAnsi" w:hAnsiTheme="minorHAnsi"/>
                <w:sz w:val="22"/>
              </w:rPr>
              <w:t xml:space="preserve"> Instrument </w:t>
            </w:r>
            <w:r w:rsidRPr="00D64F7B">
              <w:rPr>
                <w:rFonts w:asciiTheme="minorHAnsi" w:hAnsiTheme="minorHAnsi"/>
                <w:sz w:val="22"/>
              </w:rPr>
              <w:t xml:space="preserve">for </w:t>
            </w:r>
            <w:r w:rsidR="00B1082D">
              <w:rPr>
                <w:rFonts w:asciiTheme="minorHAnsi" w:hAnsiTheme="minorHAnsi"/>
                <w:sz w:val="22"/>
              </w:rPr>
              <w:t>P</w:t>
            </w:r>
            <w:r w:rsidRPr="00D64F7B">
              <w:rPr>
                <w:rFonts w:asciiTheme="minorHAnsi" w:hAnsiTheme="minorHAnsi"/>
                <w:sz w:val="22"/>
              </w:rPr>
              <w:t>ilot</w:t>
            </w:r>
            <w:r w:rsidR="00D42800">
              <w:rPr>
                <w:rFonts w:asciiTheme="minorHAnsi" w:hAnsiTheme="minorHAnsi"/>
                <w:sz w:val="22"/>
              </w:rPr>
              <w:t xml:space="preserve"> survey</w:t>
            </w:r>
          </w:p>
        </w:tc>
      </w:tr>
      <w:tr w:rsidR="0091648C" w:rsidRPr="00D64F7B" w14:paraId="0219ADFD" w14:textId="77777777" w:rsidTr="00D42800">
        <w:tc>
          <w:tcPr>
            <w:tcW w:w="3037" w:type="dxa"/>
            <w:vAlign w:val="center"/>
          </w:tcPr>
          <w:p w14:paraId="70DF7391" w14:textId="4DB3E6ED" w:rsidR="0091648C" w:rsidRPr="00D64F7B" w:rsidRDefault="00706E14" w:rsidP="00706E14">
            <w:pPr>
              <w:spacing w:before="40" w:after="40"/>
              <w:rPr>
                <w:rFonts w:asciiTheme="minorHAnsi" w:hAnsiTheme="minorHAnsi"/>
                <w:sz w:val="22"/>
              </w:rPr>
            </w:pPr>
            <w:r>
              <w:rPr>
                <w:rFonts w:asciiTheme="minorHAnsi" w:hAnsiTheme="minorHAnsi"/>
                <w:sz w:val="22"/>
              </w:rPr>
              <w:t>December</w:t>
            </w:r>
            <w:r w:rsidR="00D42800">
              <w:rPr>
                <w:rFonts w:asciiTheme="minorHAnsi" w:hAnsiTheme="minorHAnsi"/>
                <w:sz w:val="22"/>
              </w:rPr>
              <w:t xml:space="preserve"> 5</w:t>
            </w:r>
            <w:r w:rsidR="009A12B5" w:rsidRPr="00D64F7B">
              <w:rPr>
                <w:rFonts w:asciiTheme="minorHAnsi" w:hAnsiTheme="minorHAnsi"/>
                <w:sz w:val="22"/>
              </w:rPr>
              <w:t>, 2016</w:t>
            </w:r>
          </w:p>
        </w:tc>
        <w:tc>
          <w:tcPr>
            <w:tcW w:w="6030" w:type="dxa"/>
            <w:vAlign w:val="center"/>
          </w:tcPr>
          <w:p w14:paraId="47617D88" w14:textId="42D1F0DD" w:rsidR="0091648C" w:rsidRPr="00D64F7B" w:rsidRDefault="00D42800" w:rsidP="00D42800">
            <w:pPr>
              <w:spacing w:before="40" w:after="40"/>
              <w:rPr>
                <w:rFonts w:asciiTheme="minorHAnsi" w:hAnsiTheme="minorHAnsi"/>
                <w:sz w:val="22"/>
              </w:rPr>
            </w:pPr>
            <w:r>
              <w:rPr>
                <w:rFonts w:asciiTheme="minorHAnsi" w:hAnsiTheme="minorHAnsi"/>
                <w:sz w:val="22"/>
              </w:rPr>
              <w:t xml:space="preserve">Launch </w:t>
            </w:r>
            <w:r w:rsidR="001210D7" w:rsidRPr="00D64F7B">
              <w:rPr>
                <w:rFonts w:asciiTheme="minorHAnsi" w:hAnsiTheme="minorHAnsi"/>
                <w:sz w:val="22"/>
              </w:rPr>
              <w:t xml:space="preserve">Pilot </w:t>
            </w:r>
            <w:r>
              <w:rPr>
                <w:rFonts w:asciiTheme="minorHAnsi" w:hAnsiTheme="minorHAnsi"/>
                <w:sz w:val="22"/>
              </w:rPr>
              <w:t>survey</w:t>
            </w:r>
            <w:r w:rsidR="001210D7" w:rsidRPr="00D64F7B">
              <w:rPr>
                <w:rFonts w:asciiTheme="minorHAnsi" w:hAnsiTheme="minorHAnsi"/>
                <w:sz w:val="22"/>
              </w:rPr>
              <w:t xml:space="preserve"> </w:t>
            </w:r>
          </w:p>
        </w:tc>
      </w:tr>
      <w:tr w:rsidR="0091648C" w:rsidRPr="00D64F7B" w14:paraId="69AC7A31" w14:textId="77777777" w:rsidTr="00D42800">
        <w:tc>
          <w:tcPr>
            <w:tcW w:w="3037" w:type="dxa"/>
            <w:vAlign w:val="center"/>
          </w:tcPr>
          <w:p w14:paraId="2E3485BF" w14:textId="79CFB467" w:rsidR="0091648C" w:rsidRPr="00D64F7B" w:rsidRDefault="009A12B5" w:rsidP="00D42800">
            <w:pPr>
              <w:spacing w:before="40" w:after="40"/>
              <w:rPr>
                <w:rFonts w:asciiTheme="minorHAnsi" w:hAnsiTheme="minorHAnsi"/>
                <w:sz w:val="22"/>
              </w:rPr>
            </w:pPr>
            <w:r w:rsidRPr="00D64F7B">
              <w:rPr>
                <w:rFonts w:asciiTheme="minorHAnsi" w:hAnsiTheme="minorHAnsi"/>
                <w:sz w:val="22"/>
              </w:rPr>
              <w:t xml:space="preserve">December </w:t>
            </w:r>
            <w:r w:rsidR="00D42800">
              <w:rPr>
                <w:rFonts w:asciiTheme="minorHAnsi" w:hAnsiTheme="minorHAnsi"/>
                <w:sz w:val="22"/>
              </w:rPr>
              <w:t>12</w:t>
            </w:r>
            <w:r w:rsidR="003048BF" w:rsidRPr="00D64F7B">
              <w:rPr>
                <w:rFonts w:asciiTheme="minorHAnsi" w:hAnsiTheme="minorHAnsi"/>
                <w:sz w:val="22"/>
              </w:rPr>
              <w:t>-</w:t>
            </w:r>
            <w:r w:rsidR="00D42800">
              <w:rPr>
                <w:rFonts w:asciiTheme="minorHAnsi" w:hAnsiTheme="minorHAnsi"/>
                <w:sz w:val="22"/>
              </w:rPr>
              <w:t>16</w:t>
            </w:r>
            <w:r w:rsidR="003048BF" w:rsidRPr="00D64F7B">
              <w:rPr>
                <w:rFonts w:asciiTheme="minorHAnsi" w:hAnsiTheme="minorHAnsi"/>
                <w:sz w:val="22"/>
              </w:rPr>
              <w:t xml:space="preserve">, </w:t>
            </w:r>
            <w:r w:rsidRPr="00D64F7B">
              <w:rPr>
                <w:rFonts w:asciiTheme="minorHAnsi" w:hAnsiTheme="minorHAnsi"/>
                <w:sz w:val="22"/>
              </w:rPr>
              <w:t>2016</w:t>
            </w:r>
          </w:p>
        </w:tc>
        <w:tc>
          <w:tcPr>
            <w:tcW w:w="6030" w:type="dxa"/>
            <w:vAlign w:val="center"/>
          </w:tcPr>
          <w:p w14:paraId="2FFBCB21" w14:textId="1B00368C" w:rsidR="0091648C" w:rsidRPr="00D64F7B" w:rsidRDefault="00D42800" w:rsidP="00D42800">
            <w:pPr>
              <w:spacing w:before="40" w:after="40"/>
              <w:rPr>
                <w:rFonts w:asciiTheme="minorHAnsi" w:hAnsiTheme="minorHAnsi"/>
                <w:sz w:val="22"/>
              </w:rPr>
            </w:pPr>
            <w:r>
              <w:rPr>
                <w:rFonts w:asciiTheme="minorHAnsi" w:hAnsiTheme="minorHAnsi"/>
                <w:sz w:val="22"/>
              </w:rPr>
              <w:t>Pilot survey t</w:t>
            </w:r>
            <w:r w:rsidR="001210D7" w:rsidRPr="00D64F7B">
              <w:rPr>
                <w:rFonts w:asciiTheme="minorHAnsi" w:hAnsiTheme="minorHAnsi"/>
                <w:sz w:val="22"/>
              </w:rPr>
              <w:t>raining</w:t>
            </w:r>
            <w:r>
              <w:rPr>
                <w:rFonts w:asciiTheme="minorHAnsi" w:hAnsiTheme="minorHAnsi"/>
                <w:sz w:val="22"/>
              </w:rPr>
              <w:t xml:space="preserve"> </w:t>
            </w:r>
            <w:r w:rsidR="001210D7" w:rsidRPr="00D64F7B">
              <w:rPr>
                <w:rFonts w:asciiTheme="minorHAnsi" w:hAnsiTheme="minorHAnsi"/>
                <w:sz w:val="22"/>
              </w:rPr>
              <w:t>for Coordinators</w:t>
            </w:r>
          </w:p>
        </w:tc>
      </w:tr>
      <w:tr w:rsidR="00D87641" w:rsidRPr="00D64F7B" w14:paraId="7C4489E8" w14:textId="77777777" w:rsidTr="00D42800">
        <w:tc>
          <w:tcPr>
            <w:tcW w:w="3037" w:type="dxa"/>
            <w:vAlign w:val="center"/>
          </w:tcPr>
          <w:p w14:paraId="69806507" w14:textId="3CBD2768" w:rsidR="00D87641" w:rsidRPr="00D64F7B" w:rsidDel="00D87641" w:rsidRDefault="00D87641" w:rsidP="00D87641">
            <w:pPr>
              <w:spacing w:before="40" w:after="40"/>
              <w:rPr>
                <w:rFonts w:asciiTheme="minorHAnsi" w:hAnsiTheme="minorHAnsi"/>
                <w:sz w:val="22"/>
              </w:rPr>
            </w:pPr>
            <w:r w:rsidRPr="00D64F7B">
              <w:rPr>
                <w:rFonts w:asciiTheme="minorHAnsi" w:hAnsiTheme="minorHAnsi"/>
                <w:sz w:val="22"/>
              </w:rPr>
              <w:t>March 31, 2017</w:t>
            </w:r>
          </w:p>
        </w:tc>
        <w:tc>
          <w:tcPr>
            <w:tcW w:w="6030" w:type="dxa"/>
            <w:vAlign w:val="center"/>
          </w:tcPr>
          <w:p w14:paraId="7DB0A205" w14:textId="4A7AFAC8" w:rsidR="00D87641" w:rsidRPr="00D64F7B" w:rsidRDefault="00D42800" w:rsidP="00D42800">
            <w:pPr>
              <w:spacing w:before="40" w:after="40"/>
              <w:rPr>
                <w:rFonts w:asciiTheme="minorHAnsi" w:hAnsiTheme="minorHAnsi"/>
                <w:sz w:val="22"/>
              </w:rPr>
            </w:pPr>
            <w:r>
              <w:rPr>
                <w:rFonts w:asciiTheme="minorHAnsi" w:hAnsiTheme="minorHAnsi"/>
                <w:sz w:val="22"/>
              </w:rPr>
              <w:t>Pilot survey d</w:t>
            </w:r>
            <w:r w:rsidR="00D87641" w:rsidRPr="00D64F7B">
              <w:rPr>
                <w:rFonts w:asciiTheme="minorHAnsi" w:hAnsiTheme="minorHAnsi"/>
                <w:sz w:val="22"/>
              </w:rPr>
              <w:t xml:space="preserve">ue </w:t>
            </w:r>
            <w:r>
              <w:rPr>
                <w:rFonts w:asciiTheme="minorHAnsi" w:hAnsiTheme="minorHAnsi"/>
                <w:sz w:val="22"/>
              </w:rPr>
              <w:t>d</w:t>
            </w:r>
            <w:r w:rsidR="00D87641" w:rsidRPr="00D64F7B">
              <w:rPr>
                <w:rFonts w:asciiTheme="minorHAnsi" w:hAnsiTheme="minorHAnsi"/>
                <w:sz w:val="22"/>
              </w:rPr>
              <w:t>ate</w:t>
            </w:r>
          </w:p>
        </w:tc>
      </w:tr>
      <w:tr w:rsidR="00D87641" w:rsidRPr="00D64F7B" w14:paraId="68C1EE59" w14:textId="77777777" w:rsidTr="00D42800">
        <w:tc>
          <w:tcPr>
            <w:tcW w:w="3037" w:type="dxa"/>
            <w:vAlign w:val="center"/>
          </w:tcPr>
          <w:p w14:paraId="223AEA06" w14:textId="59C778E9" w:rsidR="00D87641" w:rsidRPr="00D64F7B" w:rsidRDefault="00D87641" w:rsidP="00D87641">
            <w:pPr>
              <w:spacing w:before="40" w:after="40"/>
              <w:rPr>
                <w:rFonts w:asciiTheme="minorHAnsi" w:hAnsiTheme="minorHAnsi"/>
                <w:sz w:val="22"/>
              </w:rPr>
            </w:pPr>
            <w:r w:rsidRPr="00D64F7B">
              <w:rPr>
                <w:rFonts w:asciiTheme="minorHAnsi" w:hAnsiTheme="minorHAnsi"/>
                <w:sz w:val="22"/>
              </w:rPr>
              <w:t>May 31, 2017</w:t>
            </w:r>
          </w:p>
        </w:tc>
        <w:tc>
          <w:tcPr>
            <w:tcW w:w="6030" w:type="dxa"/>
            <w:vAlign w:val="center"/>
          </w:tcPr>
          <w:p w14:paraId="49309B48" w14:textId="39F50021" w:rsidR="00D87641" w:rsidRPr="00D64F7B" w:rsidRDefault="00D87641" w:rsidP="00D42800">
            <w:pPr>
              <w:spacing w:before="40" w:after="40"/>
              <w:rPr>
                <w:rFonts w:asciiTheme="minorHAnsi" w:hAnsiTheme="minorHAnsi"/>
                <w:sz w:val="22"/>
              </w:rPr>
            </w:pPr>
            <w:r w:rsidRPr="00D64F7B">
              <w:rPr>
                <w:rFonts w:asciiTheme="minorHAnsi" w:hAnsiTheme="minorHAnsi"/>
                <w:sz w:val="22"/>
              </w:rPr>
              <w:t xml:space="preserve">Pilot </w:t>
            </w:r>
            <w:r w:rsidR="00D42800">
              <w:rPr>
                <w:rFonts w:asciiTheme="minorHAnsi" w:hAnsiTheme="minorHAnsi"/>
                <w:sz w:val="22"/>
              </w:rPr>
              <w:t>survey</w:t>
            </w:r>
            <w:r w:rsidRPr="00D64F7B">
              <w:rPr>
                <w:rFonts w:asciiTheme="minorHAnsi" w:hAnsiTheme="minorHAnsi"/>
                <w:sz w:val="22"/>
              </w:rPr>
              <w:t xml:space="preserve"> Closeout and </w:t>
            </w:r>
            <w:r w:rsidR="00D42800">
              <w:rPr>
                <w:rFonts w:asciiTheme="minorHAnsi" w:hAnsiTheme="minorHAnsi"/>
                <w:sz w:val="22"/>
              </w:rPr>
              <w:t>m</w:t>
            </w:r>
            <w:r w:rsidRPr="00D64F7B">
              <w:rPr>
                <w:rFonts w:asciiTheme="minorHAnsi" w:hAnsiTheme="minorHAnsi"/>
                <w:sz w:val="22"/>
              </w:rPr>
              <w:t xml:space="preserve">erge of Pilot </w:t>
            </w:r>
            <w:r w:rsidR="00D42800">
              <w:rPr>
                <w:rFonts w:asciiTheme="minorHAnsi" w:hAnsiTheme="minorHAnsi"/>
                <w:sz w:val="22"/>
              </w:rPr>
              <w:t>data</w:t>
            </w:r>
            <w:r w:rsidRPr="00D64F7B">
              <w:rPr>
                <w:rFonts w:asciiTheme="minorHAnsi" w:hAnsiTheme="minorHAnsi"/>
                <w:sz w:val="22"/>
              </w:rPr>
              <w:t xml:space="preserve"> with </w:t>
            </w:r>
            <w:r w:rsidR="00D42800">
              <w:rPr>
                <w:rFonts w:asciiTheme="minorHAnsi" w:hAnsiTheme="minorHAnsi"/>
                <w:sz w:val="22"/>
              </w:rPr>
              <w:t>2016 GSS data</w:t>
            </w:r>
          </w:p>
        </w:tc>
      </w:tr>
      <w:tr w:rsidR="00D87641" w:rsidRPr="00D64F7B" w14:paraId="3AB634A7" w14:textId="77777777" w:rsidTr="00D42800">
        <w:tc>
          <w:tcPr>
            <w:tcW w:w="3037" w:type="dxa"/>
            <w:vAlign w:val="center"/>
          </w:tcPr>
          <w:p w14:paraId="2933BE5D" w14:textId="361BC78E" w:rsidR="00D87641" w:rsidRPr="00D64F7B" w:rsidRDefault="00D87641" w:rsidP="00D87641">
            <w:pPr>
              <w:spacing w:before="40" w:after="40"/>
              <w:rPr>
                <w:rFonts w:asciiTheme="minorHAnsi" w:hAnsiTheme="minorHAnsi"/>
                <w:sz w:val="22"/>
              </w:rPr>
            </w:pPr>
            <w:r w:rsidRPr="00D64F7B">
              <w:rPr>
                <w:rFonts w:asciiTheme="minorHAnsi" w:hAnsiTheme="minorHAnsi"/>
                <w:sz w:val="22"/>
              </w:rPr>
              <w:t>June 30, 2017</w:t>
            </w:r>
          </w:p>
        </w:tc>
        <w:tc>
          <w:tcPr>
            <w:tcW w:w="6030" w:type="dxa"/>
            <w:vAlign w:val="center"/>
          </w:tcPr>
          <w:p w14:paraId="411AC2F6" w14:textId="4299D73D" w:rsidR="00D87641" w:rsidRPr="00D64F7B" w:rsidRDefault="00D87641" w:rsidP="00D87641">
            <w:pPr>
              <w:spacing w:before="40" w:after="40"/>
              <w:rPr>
                <w:rFonts w:asciiTheme="minorHAnsi" w:hAnsiTheme="minorHAnsi"/>
                <w:sz w:val="22"/>
              </w:rPr>
            </w:pPr>
            <w:r w:rsidRPr="00D64F7B">
              <w:rPr>
                <w:rFonts w:asciiTheme="minorHAnsi" w:hAnsiTheme="minorHAnsi"/>
                <w:sz w:val="22"/>
              </w:rPr>
              <w:t>Draft Report</w:t>
            </w:r>
          </w:p>
        </w:tc>
      </w:tr>
      <w:tr w:rsidR="00D87641" w:rsidRPr="00D64F7B" w14:paraId="5BD6EA32" w14:textId="77777777" w:rsidTr="00D42800">
        <w:tc>
          <w:tcPr>
            <w:tcW w:w="3037" w:type="dxa"/>
            <w:vAlign w:val="center"/>
          </w:tcPr>
          <w:p w14:paraId="74930309" w14:textId="62C36561" w:rsidR="00D87641" w:rsidRPr="00D64F7B" w:rsidRDefault="00D87641" w:rsidP="00D87641">
            <w:pPr>
              <w:spacing w:before="40" w:after="40"/>
              <w:rPr>
                <w:rFonts w:asciiTheme="minorHAnsi" w:hAnsiTheme="minorHAnsi"/>
                <w:sz w:val="22"/>
              </w:rPr>
            </w:pPr>
            <w:r w:rsidRPr="00D64F7B">
              <w:rPr>
                <w:rFonts w:asciiTheme="minorHAnsi" w:hAnsiTheme="minorHAnsi"/>
                <w:sz w:val="22"/>
              </w:rPr>
              <w:t>July 31, 2017</w:t>
            </w:r>
          </w:p>
        </w:tc>
        <w:tc>
          <w:tcPr>
            <w:tcW w:w="6030" w:type="dxa"/>
            <w:vAlign w:val="center"/>
          </w:tcPr>
          <w:p w14:paraId="46E860D0" w14:textId="6D62C76B" w:rsidR="00D87641" w:rsidRPr="00D64F7B" w:rsidRDefault="00D87641" w:rsidP="00D87641">
            <w:pPr>
              <w:spacing w:before="40" w:after="40"/>
              <w:rPr>
                <w:rFonts w:asciiTheme="minorHAnsi" w:hAnsiTheme="minorHAnsi"/>
                <w:sz w:val="22"/>
              </w:rPr>
            </w:pPr>
            <w:r w:rsidRPr="00D64F7B">
              <w:rPr>
                <w:rFonts w:asciiTheme="minorHAnsi" w:hAnsiTheme="minorHAnsi"/>
                <w:sz w:val="22"/>
              </w:rPr>
              <w:t>Final Report and Recommendations for 2017 GSS</w:t>
            </w:r>
          </w:p>
        </w:tc>
      </w:tr>
    </w:tbl>
    <w:p w14:paraId="6038ADA3" w14:textId="77777777" w:rsidR="00E54106" w:rsidRDefault="00E54106" w:rsidP="00EE3141">
      <w:pPr>
        <w:spacing w:before="360"/>
        <w:rPr>
          <w:b/>
        </w:rPr>
      </w:pPr>
      <w:r w:rsidRPr="00E54106">
        <w:rPr>
          <w:b/>
        </w:rPr>
        <w:t>Response Burden</w:t>
      </w:r>
    </w:p>
    <w:p w14:paraId="085671B0" w14:textId="77777777" w:rsidR="00E001C9" w:rsidRDefault="00E001C9" w:rsidP="004D2D8A">
      <w:pPr>
        <w:rPr>
          <w:b/>
        </w:rPr>
      </w:pPr>
    </w:p>
    <w:p w14:paraId="2D0B359D" w14:textId="48647B3E" w:rsidR="008275C1" w:rsidRDefault="00F80DAF" w:rsidP="008275C1">
      <w:r>
        <w:t xml:space="preserve">A total of </w:t>
      </w:r>
      <w:r w:rsidR="00A61E84">
        <w:t>260</w:t>
      </w:r>
      <w:r w:rsidR="00AA319A">
        <w:t xml:space="preserve"> </w:t>
      </w:r>
      <w:r>
        <w:t xml:space="preserve">hours are being requested for the 2016 GSS Pilot. Pilot </w:t>
      </w:r>
      <w:r w:rsidR="00CB0858">
        <w:t xml:space="preserve">institution </w:t>
      </w:r>
      <w:r>
        <w:t>coordinators will be invited to attend a one-hour training workshop that describes the data collection, and provides details on the data upload process</w:t>
      </w:r>
      <w:r w:rsidR="00A61E84">
        <w:t>.</w:t>
      </w:r>
      <w:r w:rsidR="007C1FBB">
        <w:t xml:space="preserve"> </w:t>
      </w:r>
      <w:r w:rsidR="008275C1">
        <w:t>As noted above, we expect at least 80% of invited coordinators will participate in the Pilot. However, we use</w:t>
      </w:r>
      <w:r w:rsidR="00543C58">
        <w:t>d</w:t>
      </w:r>
      <w:r w:rsidR="008275C1">
        <w:t xml:space="preserve"> a 100% response rate to estimate the response burden. </w:t>
      </w:r>
    </w:p>
    <w:p w14:paraId="59E52D03" w14:textId="77777777" w:rsidR="00A26FE8" w:rsidRDefault="00A26FE8" w:rsidP="004D2D8A"/>
    <w:p w14:paraId="505AB905" w14:textId="4E9BF6A0" w:rsidR="00500843" w:rsidRDefault="00500843" w:rsidP="004D2D8A">
      <w:r>
        <w:t>Based on the results</w:t>
      </w:r>
      <w:r w:rsidR="00754F10">
        <w:t xml:space="preserve"> of the </w:t>
      </w:r>
      <w:r w:rsidR="008F4152">
        <w:t xml:space="preserve">GSS </w:t>
      </w:r>
      <w:r w:rsidR="00754F10">
        <w:t>Coordinator Survey (</w:t>
      </w:r>
      <w:r w:rsidR="005126C7">
        <w:t>see Attachment 2</w:t>
      </w:r>
      <w:r w:rsidR="001073BE">
        <w:t xml:space="preserve">, </w:t>
      </w:r>
      <w:r w:rsidR="001073BE" w:rsidRPr="001073BE">
        <w:t>GSS Coordinator Survey Results: Executive Summary</w:t>
      </w:r>
      <w:r>
        <w:t>)</w:t>
      </w:r>
      <w:r w:rsidR="00754F10">
        <w:t xml:space="preserve">, </w:t>
      </w:r>
      <w:r w:rsidR="007A0B95">
        <w:t xml:space="preserve">we know that some coordinators think that this new </w:t>
      </w:r>
      <w:r w:rsidR="000F5C1C">
        <w:t xml:space="preserve">data collection </w:t>
      </w:r>
      <w:r w:rsidR="007A0B95">
        <w:t>methodology will require the same or less burden</w:t>
      </w:r>
      <w:r w:rsidR="000F5C1C">
        <w:t xml:space="preserve"> as the regular method</w:t>
      </w:r>
      <w:r w:rsidR="007A0B95">
        <w:t>.</w:t>
      </w:r>
      <w:r w:rsidR="007C1FBB">
        <w:t xml:space="preserve"> </w:t>
      </w:r>
      <w:r w:rsidR="000F5C1C">
        <w:t xml:space="preserve">Since the Pilot institutions will be submitting the same 2016 GSS data, we expect the increase in response burden to be minimal. </w:t>
      </w:r>
      <w:r w:rsidR="007A0B95">
        <w:t>W</w:t>
      </w:r>
      <w:r>
        <w:t xml:space="preserve">e </w:t>
      </w:r>
      <w:r w:rsidR="007A0B95">
        <w:t xml:space="preserve">also </w:t>
      </w:r>
      <w:r>
        <w:t>expect the burden to vary across coordinators</w:t>
      </w:r>
      <w:r w:rsidR="007A0B95">
        <w:t xml:space="preserve">, depending on whether they have uploaded </w:t>
      </w:r>
      <w:r w:rsidR="001073BE">
        <w:t xml:space="preserve">GSS data </w:t>
      </w:r>
      <w:r w:rsidR="007A0B95">
        <w:t>in the past, the number of units they report, and whether they confer both master</w:t>
      </w:r>
      <w:r w:rsidR="00A51801">
        <w:t>’</w:t>
      </w:r>
      <w:r w:rsidR="007A0B95">
        <w:t>s and doctora</w:t>
      </w:r>
      <w:r w:rsidR="00A51801">
        <w:t>l d</w:t>
      </w:r>
      <w:r w:rsidR="00BA7AB5">
        <w:t>egrees</w:t>
      </w:r>
      <w:r w:rsidR="007A0B95">
        <w:t>.</w:t>
      </w:r>
      <w:r w:rsidR="007C1FBB">
        <w:t xml:space="preserve"> </w:t>
      </w:r>
      <w:r w:rsidR="007A0B95">
        <w:t xml:space="preserve">Table </w:t>
      </w:r>
      <w:r w:rsidR="00CA7BCD">
        <w:t>2</w:t>
      </w:r>
      <w:r w:rsidR="007A0B95">
        <w:t xml:space="preserve"> </w:t>
      </w:r>
      <w:r w:rsidR="00CA7BCD">
        <w:t>s</w:t>
      </w:r>
      <w:r w:rsidR="007A0B95">
        <w:t xml:space="preserve">hows the estimated </w:t>
      </w:r>
      <w:r>
        <w:t xml:space="preserve">increase in burden for </w:t>
      </w:r>
      <w:r w:rsidR="00B1082D">
        <w:t>P</w:t>
      </w:r>
      <w:r>
        <w:t xml:space="preserve">ilot </w:t>
      </w:r>
      <w:r w:rsidR="000F5C1C">
        <w:t xml:space="preserve">survey </w:t>
      </w:r>
      <w:r>
        <w:t>participants</w:t>
      </w:r>
      <w:r w:rsidR="007A0B95">
        <w:t>, by sampling strata</w:t>
      </w:r>
      <w:r>
        <w:t>.</w:t>
      </w:r>
      <w:r w:rsidR="004437D6">
        <w:t xml:space="preserve"> </w:t>
      </w:r>
    </w:p>
    <w:p w14:paraId="22CEB289" w14:textId="187229DF" w:rsidR="00500843" w:rsidRPr="00D64F7B" w:rsidRDefault="00500843" w:rsidP="00FB2A37">
      <w:pPr>
        <w:spacing w:before="240" w:after="120"/>
        <w:rPr>
          <w:rFonts w:asciiTheme="minorHAnsi" w:hAnsiTheme="minorHAnsi" w:cs="Arial"/>
          <w:b/>
          <w:sz w:val="22"/>
        </w:rPr>
      </w:pPr>
      <w:r w:rsidRPr="00D64F7B">
        <w:rPr>
          <w:rFonts w:asciiTheme="minorHAnsi" w:hAnsiTheme="minorHAnsi" w:cs="Arial"/>
          <w:b/>
          <w:sz w:val="22"/>
        </w:rPr>
        <w:t xml:space="preserve">Table </w:t>
      </w:r>
      <w:r w:rsidR="00CA7BCD" w:rsidRPr="00D64F7B">
        <w:rPr>
          <w:rFonts w:asciiTheme="minorHAnsi" w:hAnsiTheme="minorHAnsi" w:cs="Arial"/>
          <w:b/>
          <w:sz w:val="22"/>
        </w:rPr>
        <w:t>2</w:t>
      </w:r>
      <w:r w:rsidRPr="00D64F7B">
        <w:rPr>
          <w:rFonts w:asciiTheme="minorHAnsi" w:hAnsiTheme="minorHAnsi" w:cs="Arial"/>
          <w:b/>
          <w:sz w:val="22"/>
        </w:rPr>
        <w:t>.</w:t>
      </w:r>
      <w:r w:rsidR="007C1FBB" w:rsidRPr="00D64F7B">
        <w:rPr>
          <w:rFonts w:asciiTheme="minorHAnsi" w:hAnsiTheme="minorHAnsi" w:cs="Arial"/>
          <w:b/>
          <w:sz w:val="22"/>
        </w:rPr>
        <w:t xml:space="preserve"> </w:t>
      </w:r>
      <w:r w:rsidRPr="00D64F7B">
        <w:rPr>
          <w:rFonts w:asciiTheme="minorHAnsi" w:hAnsiTheme="minorHAnsi" w:cs="Arial"/>
          <w:b/>
          <w:sz w:val="22"/>
        </w:rPr>
        <w:t xml:space="preserve">Projected increase in burden for </w:t>
      </w:r>
      <w:r w:rsidR="00796772">
        <w:rPr>
          <w:rFonts w:asciiTheme="minorHAnsi" w:hAnsiTheme="minorHAnsi" w:cs="Arial"/>
          <w:b/>
          <w:sz w:val="22"/>
        </w:rPr>
        <w:t>Pilot Institutions by</w:t>
      </w:r>
      <w:r w:rsidR="007A0B95" w:rsidRPr="00D64F7B">
        <w:rPr>
          <w:rFonts w:asciiTheme="minorHAnsi" w:hAnsiTheme="minorHAnsi" w:cs="Arial"/>
          <w:b/>
          <w:sz w:val="22"/>
        </w:rPr>
        <w:t xml:space="preserve"> sample strata</w:t>
      </w:r>
    </w:p>
    <w:tbl>
      <w:tblPr>
        <w:tblW w:w="9000" w:type="dxa"/>
        <w:tblLook w:val="04A0" w:firstRow="1" w:lastRow="0" w:firstColumn="1" w:lastColumn="0" w:noHBand="0" w:noVBand="1"/>
      </w:tblPr>
      <w:tblGrid>
        <w:gridCol w:w="4050"/>
        <w:gridCol w:w="1620"/>
        <w:gridCol w:w="1710"/>
        <w:gridCol w:w="1620"/>
      </w:tblGrid>
      <w:tr w:rsidR="005126C7" w:rsidRPr="00D64F7B" w14:paraId="4F2C779B" w14:textId="77777777" w:rsidTr="00EE3141">
        <w:trPr>
          <w:trHeight w:val="300"/>
        </w:trPr>
        <w:tc>
          <w:tcPr>
            <w:tcW w:w="4050" w:type="dxa"/>
            <w:tcBorders>
              <w:top w:val="single" w:sz="4" w:space="0" w:color="auto"/>
              <w:left w:val="nil"/>
              <w:bottom w:val="single" w:sz="4" w:space="0" w:color="auto"/>
              <w:right w:val="nil"/>
            </w:tcBorders>
            <w:shd w:val="clear" w:color="auto" w:fill="auto"/>
            <w:noWrap/>
            <w:vAlign w:val="bottom"/>
            <w:hideMark/>
          </w:tcPr>
          <w:p w14:paraId="5A6A9E79" w14:textId="1CDE625E" w:rsidR="00933DD5" w:rsidRPr="00D64F7B" w:rsidRDefault="00796772" w:rsidP="00D64F7B">
            <w:pPr>
              <w:rPr>
                <w:rFonts w:asciiTheme="minorHAnsi" w:hAnsiTheme="minorHAnsi" w:cs="Arial"/>
                <w:color w:val="000000"/>
                <w:sz w:val="20"/>
                <w:szCs w:val="16"/>
              </w:rPr>
            </w:pPr>
            <w:r>
              <w:rPr>
                <w:rFonts w:asciiTheme="minorHAnsi" w:hAnsiTheme="minorHAnsi" w:cs="Arial"/>
                <w:color w:val="000000"/>
                <w:sz w:val="20"/>
                <w:szCs w:val="16"/>
              </w:rPr>
              <w:lastRenderedPageBreak/>
              <w:t>Sample strata based on i</w:t>
            </w:r>
            <w:r w:rsidR="004657B9" w:rsidRPr="00D64F7B">
              <w:rPr>
                <w:rFonts w:asciiTheme="minorHAnsi" w:hAnsiTheme="minorHAnsi" w:cs="Arial"/>
                <w:color w:val="000000"/>
                <w:sz w:val="20"/>
                <w:szCs w:val="16"/>
              </w:rPr>
              <w:t xml:space="preserve">nstitution </w:t>
            </w:r>
            <w:r w:rsidR="00245C98">
              <w:rPr>
                <w:rFonts w:asciiTheme="minorHAnsi" w:hAnsiTheme="minorHAnsi" w:cs="Arial"/>
                <w:color w:val="000000"/>
                <w:sz w:val="20"/>
                <w:szCs w:val="16"/>
              </w:rPr>
              <w:t xml:space="preserve">coordinators’ </w:t>
            </w:r>
            <w:r>
              <w:rPr>
                <w:rFonts w:asciiTheme="minorHAnsi" w:hAnsiTheme="minorHAnsi" w:cs="Arial"/>
                <w:color w:val="000000"/>
                <w:sz w:val="20"/>
                <w:szCs w:val="16"/>
              </w:rPr>
              <w:t>r</w:t>
            </w:r>
            <w:r w:rsidR="004657B9" w:rsidRPr="00D64F7B">
              <w:rPr>
                <w:rFonts w:asciiTheme="minorHAnsi" w:hAnsiTheme="minorHAnsi" w:cs="Arial"/>
                <w:color w:val="000000"/>
                <w:sz w:val="20"/>
                <w:szCs w:val="16"/>
              </w:rPr>
              <w:t xml:space="preserve">eporting </w:t>
            </w:r>
            <w:r>
              <w:rPr>
                <w:rFonts w:asciiTheme="minorHAnsi" w:hAnsiTheme="minorHAnsi" w:cs="Arial"/>
                <w:color w:val="000000"/>
                <w:sz w:val="20"/>
                <w:szCs w:val="16"/>
              </w:rPr>
              <w:t>s</w:t>
            </w:r>
            <w:r w:rsidR="004657B9" w:rsidRPr="00D64F7B">
              <w:rPr>
                <w:rFonts w:asciiTheme="minorHAnsi" w:hAnsiTheme="minorHAnsi" w:cs="Arial"/>
                <w:color w:val="000000"/>
                <w:sz w:val="20"/>
                <w:szCs w:val="16"/>
              </w:rPr>
              <w:t>tatus in 2015</w:t>
            </w:r>
            <w:r w:rsidR="00933DD5" w:rsidRPr="00D64F7B">
              <w:rPr>
                <w:rFonts w:asciiTheme="minorHAnsi" w:hAnsiTheme="minorHAnsi" w:cs="Arial"/>
                <w:color w:val="000000"/>
                <w:sz w:val="20"/>
                <w:szCs w:val="16"/>
              </w:rPr>
              <w:t> </w:t>
            </w:r>
            <w:r>
              <w:rPr>
                <w:rFonts w:asciiTheme="minorHAnsi" w:hAnsiTheme="minorHAnsi" w:cs="Arial"/>
                <w:color w:val="000000"/>
                <w:sz w:val="20"/>
                <w:szCs w:val="16"/>
              </w:rPr>
              <w:t>GSS</w:t>
            </w:r>
          </w:p>
        </w:tc>
        <w:tc>
          <w:tcPr>
            <w:tcW w:w="1620" w:type="dxa"/>
            <w:tcBorders>
              <w:top w:val="single" w:sz="4" w:space="0" w:color="auto"/>
              <w:left w:val="nil"/>
              <w:bottom w:val="single" w:sz="4" w:space="0" w:color="auto"/>
              <w:right w:val="nil"/>
            </w:tcBorders>
            <w:shd w:val="clear" w:color="auto" w:fill="auto"/>
            <w:noWrap/>
            <w:vAlign w:val="bottom"/>
            <w:hideMark/>
          </w:tcPr>
          <w:p w14:paraId="1913131D" w14:textId="62B99079" w:rsidR="007A2B2C" w:rsidRDefault="007A2B2C" w:rsidP="00D64F7B">
            <w:pPr>
              <w:jc w:val="center"/>
              <w:rPr>
                <w:rFonts w:asciiTheme="minorHAnsi" w:hAnsiTheme="minorHAnsi" w:cs="Arial"/>
                <w:color w:val="000000"/>
                <w:sz w:val="20"/>
                <w:szCs w:val="16"/>
              </w:rPr>
            </w:pPr>
            <w:r>
              <w:rPr>
                <w:rFonts w:asciiTheme="minorHAnsi" w:hAnsiTheme="minorHAnsi" w:cs="Arial"/>
                <w:color w:val="000000"/>
                <w:sz w:val="20"/>
                <w:szCs w:val="16"/>
              </w:rPr>
              <w:t xml:space="preserve">Number </w:t>
            </w:r>
            <w:r w:rsidR="00796772">
              <w:rPr>
                <w:rFonts w:asciiTheme="minorHAnsi" w:hAnsiTheme="minorHAnsi" w:cs="Arial"/>
                <w:color w:val="000000"/>
                <w:sz w:val="20"/>
                <w:szCs w:val="16"/>
              </w:rPr>
              <w:t>of</w:t>
            </w:r>
          </w:p>
          <w:p w14:paraId="474E5D00" w14:textId="1A707D07" w:rsidR="00933DD5" w:rsidRPr="00D64F7B" w:rsidRDefault="007A2B2C" w:rsidP="00D64F7B">
            <w:pPr>
              <w:jc w:val="center"/>
              <w:rPr>
                <w:rFonts w:asciiTheme="minorHAnsi" w:hAnsiTheme="minorHAnsi" w:cs="Arial"/>
                <w:color w:val="000000"/>
                <w:sz w:val="20"/>
                <w:szCs w:val="16"/>
              </w:rPr>
            </w:pPr>
            <w:r>
              <w:rPr>
                <w:rFonts w:asciiTheme="minorHAnsi" w:hAnsiTheme="minorHAnsi" w:cs="Arial"/>
                <w:color w:val="000000"/>
                <w:sz w:val="20"/>
                <w:szCs w:val="16"/>
              </w:rPr>
              <w:t>P</w:t>
            </w:r>
            <w:r w:rsidR="00933DD5" w:rsidRPr="00D64F7B">
              <w:rPr>
                <w:rFonts w:asciiTheme="minorHAnsi" w:hAnsiTheme="minorHAnsi" w:cs="Arial"/>
                <w:color w:val="000000"/>
                <w:sz w:val="20"/>
                <w:szCs w:val="16"/>
              </w:rPr>
              <w:t>ilot</w:t>
            </w:r>
            <w:r>
              <w:rPr>
                <w:rFonts w:asciiTheme="minorHAnsi" w:hAnsiTheme="minorHAnsi" w:cs="Arial"/>
                <w:color w:val="000000"/>
                <w:sz w:val="20"/>
                <w:szCs w:val="16"/>
              </w:rPr>
              <w:t xml:space="preserve"> </w:t>
            </w:r>
            <w:r w:rsidR="00796772">
              <w:rPr>
                <w:rFonts w:asciiTheme="minorHAnsi" w:hAnsiTheme="minorHAnsi" w:cs="Arial"/>
                <w:color w:val="000000"/>
                <w:sz w:val="20"/>
                <w:szCs w:val="16"/>
              </w:rPr>
              <w:t>institution</w:t>
            </w:r>
            <w:r w:rsidR="00245C98">
              <w:rPr>
                <w:rFonts w:asciiTheme="minorHAnsi" w:hAnsiTheme="minorHAnsi" w:cs="Arial"/>
                <w:color w:val="000000"/>
                <w:sz w:val="20"/>
                <w:szCs w:val="16"/>
              </w:rPr>
              <w:t xml:space="preserve"> coordinators</w:t>
            </w:r>
          </w:p>
        </w:tc>
        <w:tc>
          <w:tcPr>
            <w:tcW w:w="1710" w:type="dxa"/>
            <w:tcBorders>
              <w:top w:val="single" w:sz="4" w:space="0" w:color="auto"/>
              <w:left w:val="nil"/>
              <w:bottom w:val="single" w:sz="4" w:space="0" w:color="auto"/>
              <w:right w:val="nil"/>
            </w:tcBorders>
            <w:shd w:val="clear" w:color="auto" w:fill="auto"/>
            <w:noWrap/>
            <w:vAlign w:val="bottom"/>
            <w:hideMark/>
          </w:tcPr>
          <w:p w14:paraId="2452A90F" w14:textId="342FB78C" w:rsidR="00933DD5" w:rsidRPr="00D64F7B" w:rsidRDefault="00933DD5" w:rsidP="00D64F7B">
            <w:pPr>
              <w:jc w:val="center"/>
              <w:rPr>
                <w:rFonts w:asciiTheme="minorHAnsi" w:hAnsiTheme="minorHAnsi" w:cs="Arial"/>
                <w:color w:val="000000"/>
                <w:sz w:val="20"/>
                <w:szCs w:val="16"/>
              </w:rPr>
            </w:pPr>
            <w:r w:rsidRPr="00D64F7B">
              <w:rPr>
                <w:rFonts w:asciiTheme="minorHAnsi" w:hAnsiTheme="minorHAnsi" w:cs="Arial"/>
                <w:color w:val="000000"/>
                <w:sz w:val="20"/>
                <w:szCs w:val="16"/>
              </w:rPr>
              <w:t xml:space="preserve">Estimated marginal </w:t>
            </w:r>
            <w:r w:rsidR="00971754">
              <w:rPr>
                <w:rFonts w:asciiTheme="minorHAnsi" w:hAnsiTheme="minorHAnsi" w:cs="Arial"/>
                <w:color w:val="000000"/>
                <w:sz w:val="20"/>
                <w:szCs w:val="16"/>
              </w:rPr>
              <w:t xml:space="preserve">increase in </w:t>
            </w:r>
            <w:r w:rsidRPr="00D64F7B">
              <w:rPr>
                <w:rFonts w:asciiTheme="minorHAnsi" w:hAnsiTheme="minorHAnsi" w:cs="Arial"/>
                <w:color w:val="000000"/>
                <w:sz w:val="20"/>
                <w:szCs w:val="16"/>
              </w:rPr>
              <w:t xml:space="preserve">burden </w:t>
            </w:r>
            <w:r w:rsidR="00622ACD" w:rsidRPr="00D64F7B">
              <w:rPr>
                <w:rFonts w:asciiTheme="minorHAnsi" w:hAnsiTheme="minorHAnsi" w:cs="Arial"/>
                <w:color w:val="000000"/>
                <w:sz w:val="20"/>
                <w:szCs w:val="16"/>
              </w:rPr>
              <w:t>hours</w:t>
            </w:r>
          </w:p>
        </w:tc>
        <w:tc>
          <w:tcPr>
            <w:tcW w:w="1620" w:type="dxa"/>
            <w:tcBorders>
              <w:top w:val="single" w:sz="4" w:space="0" w:color="auto"/>
              <w:left w:val="nil"/>
              <w:bottom w:val="single" w:sz="4" w:space="0" w:color="auto"/>
              <w:right w:val="nil"/>
            </w:tcBorders>
            <w:shd w:val="clear" w:color="auto" w:fill="auto"/>
            <w:noWrap/>
            <w:vAlign w:val="bottom"/>
            <w:hideMark/>
          </w:tcPr>
          <w:p w14:paraId="122C790C" w14:textId="49EAC104" w:rsidR="00933DD5" w:rsidRPr="00D64F7B" w:rsidRDefault="007A2B2C" w:rsidP="002907A4">
            <w:pPr>
              <w:jc w:val="center"/>
              <w:rPr>
                <w:rFonts w:asciiTheme="minorHAnsi" w:hAnsiTheme="minorHAnsi" w:cs="Arial"/>
                <w:color w:val="000000"/>
                <w:sz w:val="20"/>
                <w:szCs w:val="16"/>
              </w:rPr>
            </w:pPr>
            <w:r>
              <w:rPr>
                <w:rFonts w:asciiTheme="minorHAnsi" w:hAnsiTheme="minorHAnsi" w:cs="Arial"/>
                <w:color w:val="000000"/>
                <w:sz w:val="20"/>
                <w:szCs w:val="16"/>
              </w:rPr>
              <w:t>Estimated t</w:t>
            </w:r>
            <w:r w:rsidR="00622ACD" w:rsidRPr="00D64F7B">
              <w:rPr>
                <w:rFonts w:asciiTheme="minorHAnsi" w:hAnsiTheme="minorHAnsi" w:cs="Arial"/>
                <w:color w:val="000000"/>
                <w:sz w:val="20"/>
                <w:szCs w:val="16"/>
              </w:rPr>
              <w:t>otal b</w:t>
            </w:r>
            <w:r w:rsidR="00933DD5" w:rsidRPr="00D64F7B">
              <w:rPr>
                <w:rFonts w:asciiTheme="minorHAnsi" w:hAnsiTheme="minorHAnsi" w:cs="Arial"/>
                <w:color w:val="000000"/>
                <w:sz w:val="20"/>
                <w:szCs w:val="16"/>
              </w:rPr>
              <w:t>urden hours</w:t>
            </w:r>
            <w:r w:rsidR="00AA319A">
              <w:rPr>
                <w:rFonts w:asciiTheme="minorHAnsi" w:hAnsiTheme="minorHAnsi" w:cs="Arial"/>
                <w:color w:val="000000"/>
                <w:sz w:val="20"/>
                <w:szCs w:val="16"/>
              </w:rPr>
              <w:t xml:space="preserve"> for collection</w:t>
            </w:r>
          </w:p>
        </w:tc>
      </w:tr>
      <w:tr w:rsidR="005126C7" w:rsidRPr="00D64F7B" w14:paraId="6219C697" w14:textId="77777777" w:rsidTr="00EE3141">
        <w:trPr>
          <w:trHeight w:val="300"/>
        </w:trPr>
        <w:tc>
          <w:tcPr>
            <w:tcW w:w="4050" w:type="dxa"/>
            <w:tcBorders>
              <w:top w:val="nil"/>
              <w:left w:val="nil"/>
              <w:bottom w:val="nil"/>
              <w:right w:val="nil"/>
            </w:tcBorders>
            <w:shd w:val="clear" w:color="auto" w:fill="auto"/>
            <w:noWrap/>
            <w:vAlign w:val="center"/>
            <w:hideMark/>
          </w:tcPr>
          <w:p w14:paraId="77F562A0" w14:textId="54609C08" w:rsidR="00933DD5" w:rsidRPr="00D64F7B" w:rsidRDefault="00933DD5" w:rsidP="00EE3141">
            <w:pPr>
              <w:spacing w:before="120"/>
              <w:ind w:left="162"/>
              <w:rPr>
                <w:rFonts w:asciiTheme="minorHAnsi" w:hAnsiTheme="minorHAnsi" w:cs="Arial"/>
                <w:color w:val="000000"/>
                <w:sz w:val="20"/>
                <w:szCs w:val="16"/>
              </w:rPr>
            </w:pPr>
            <w:r w:rsidRPr="00D64F7B">
              <w:rPr>
                <w:rFonts w:asciiTheme="minorHAnsi" w:hAnsiTheme="minorHAnsi" w:cs="Arial"/>
                <w:color w:val="000000"/>
                <w:sz w:val="20"/>
                <w:szCs w:val="16"/>
              </w:rPr>
              <w:t xml:space="preserve">Uploaded data </w:t>
            </w:r>
          </w:p>
        </w:tc>
        <w:tc>
          <w:tcPr>
            <w:tcW w:w="1620" w:type="dxa"/>
            <w:tcBorders>
              <w:top w:val="nil"/>
              <w:left w:val="nil"/>
              <w:bottom w:val="nil"/>
              <w:right w:val="nil"/>
            </w:tcBorders>
            <w:shd w:val="clear" w:color="auto" w:fill="auto"/>
            <w:noWrap/>
            <w:vAlign w:val="bottom"/>
            <w:hideMark/>
          </w:tcPr>
          <w:p w14:paraId="1BD594DB" w14:textId="77777777" w:rsidR="00933DD5" w:rsidRPr="00D64F7B" w:rsidRDefault="00933DD5" w:rsidP="00D64F7B">
            <w:pPr>
              <w:spacing w:before="120"/>
              <w:jc w:val="center"/>
              <w:rPr>
                <w:rFonts w:asciiTheme="minorHAnsi" w:hAnsiTheme="minorHAnsi" w:cs="Arial"/>
                <w:color w:val="000000"/>
                <w:sz w:val="20"/>
                <w:szCs w:val="16"/>
              </w:rPr>
            </w:pPr>
            <w:r w:rsidRPr="00D64F7B">
              <w:rPr>
                <w:rFonts w:asciiTheme="minorHAnsi" w:hAnsiTheme="minorHAnsi" w:cs="Arial"/>
                <w:color w:val="000000"/>
                <w:sz w:val="20"/>
                <w:szCs w:val="16"/>
              </w:rPr>
              <w:t>15</w:t>
            </w:r>
          </w:p>
        </w:tc>
        <w:tc>
          <w:tcPr>
            <w:tcW w:w="1710" w:type="dxa"/>
            <w:tcBorders>
              <w:top w:val="nil"/>
              <w:left w:val="nil"/>
              <w:bottom w:val="nil"/>
              <w:right w:val="nil"/>
            </w:tcBorders>
            <w:shd w:val="clear" w:color="auto" w:fill="auto"/>
            <w:noWrap/>
            <w:vAlign w:val="bottom"/>
          </w:tcPr>
          <w:p w14:paraId="6BBC4B6E" w14:textId="73638E13" w:rsidR="00933DD5" w:rsidRPr="00D64F7B" w:rsidRDefault="00971754" w:rsidP="00D64F7B">
            <w:pPr>
              <w:spacing w:before="120"/>
              <w:jc w:val="center"/>
              <w:rPr>
                <w:rFonts w:asciiTheme="minorHAnsi" w:hAnsiTheme="minorHAnsi" w:cs="Arial"/>
                <w:color w:val="000000"/>
                <w:sz w:val="20"/>
                <w:szCs w:val="16"/>
              </w:rPr>
            </w:pPr>
            <w:r>
              <w:rPr>
                <w:rFonts w:asciiTheme="minorHAnsi" w:hAnsiTheme="minorHAnsi" w:cs="Arial"/>
                <w:color w:val="000000"/>
                <w:sz w:val="20"/>
                <w:szCs w:val="16"/>
              </w:rPr>
              <w:t>1</w:t>
            </w:r>
          </w:p>
        </w:tc>
        <w:tc>
          <w:tcPr>
            <w:tcW w:w="1620" w:type="dxa"/>
            <w:tcBorders>
              <w:top w:val="nil"/>
              <w:left w:val="nil"/>
              <w:bottom w:val="nil"/>
              <w:right w:val="nil"/>
            </w:tcBorders>
            <w:shd w:val="clear" w:color="auto" w:fill="auto"/>
            <w:noWrap/>
            <w:vAlign w:val="bottom"/>
          </w:tcPr>
          <w:p w14:paraId="31A6ABCE" w14:textId="7EA15486" w:rsidR="00933DD5" w:rsidRPr="00D64F7B" w:rsidRDefault="00971754" w:rsidP="00D64F7B">
            <w:pPr>
              <w:spacing w:before="120"/>
              <w:jc w:val="center"/>
              <w:rPr>
                <w:rFonts w:asciiTheme="minorHAnsi" w:hAnsiTheme="minorHAnsi" w:cs="Arial"/>
                <w:color w:val="000000"/>
                <w:sz w:val="20"/>
                <w:szCs w:val="16"/>
              </w:rPr>
            </w:pPr>
            <w:r>
              <w:rPr>
                <w:rFonts w:asciiTheme="minorHAnsi" w:hAnsiTheme="minorHAnsi" w:cs="Arial"/>
                <w:color w:val="000000"/>
                <w:sz w:val="20"/>
                <w:szCs w:val="16"/>
              </w:rPr>
              <w:t>15</w:t>
            </w:r>
          </w:p>
        </w:tc>
      </w:tr>
      <w:tr w:rsidR="005126C7" w:rsidRPr="00D64F7B" w14:paraId="332E157F" w14:textId="77777777" w:rsidTr="00EE3141">
        <w:trPr>
          <w:trHeight w:val="300"/>
        </w:trPr>
        <w:tc>
          <w:tcPr>
            <w:tcW w:w="4050" w:type="dxa"/>
            <w:tcBorders>
              <w:top w:val="nil"/>
              <w:left w:val="nil"/>
              <w:bottom w:val="nil"/>
              <w:right w:val="nil"/>
            </w:tcBorders>
            <w:shd w:val="clear" w:color="auto" w:fill="auto"/>
            <w:noWrap/>
            <w:vAlign w:val="center"/>
            <w:hideMark/>
          </w:tcPr>
          <w:p w14:paraId="11E47702" w14:textId="6992CD08" w:rsidR="00933DD5" w:rsidRPr="00D64F7B" w:rsidRDefault="00933DD5" w:rsidP="00EE3141">
            <w:pPr>
              <w:spacing w:before="60"/>
              <w:ind w:left="162"/>
              <w:rPr>
                <w:rFonts w:asciiTheme="minorHAnsi" w:hAnsiTheme="minorHAnsi" w:cs="Arial"/>
                <w:color w:val="000000"/>
                <w:sz w:val="20"/>
                <w:szCs w:val="16"/>
              </w:rPr>
            </w:pPr>
            <w:r w:rsidRPr="00D64F7B">
              <w:rPr>
                <w:rFonts w:asciiTheme="minorHAnsi" w:hAnsiTheme="minorHAnsi" w:cs="Arial"/>
                <w:color w:val="000000"/>
                <w:sz w:val="20"/>
                <w:szCs w:val="16"/>
              </w:rPr>
              <w:t xml:space="preserve">More than 15 units, master’s and doctoral, </w:t>
            </w:r>
            <w:r w:rsidR="00796772">
              <w:rPr>
                <w:rFonts w:asciiTheme="minorHAnsi" w:hAnsiTheme="minorHAnsi" w:cs="Arial"/>
                <w:color w:val="000000"/>
                <w:sz w:val="20"/>
                <w:szCs w:val="16"/>
              </w:rPr>
              <w:t xml:space="preserve">  </w:t>
            </w:r>
            <w:r w:rsidR="004657B9" w:rsidRPr="00D64F7B">
              <w:rPr>
                <w:rFonts w:asciiTheme="minorHAnsi" w:hAnsiTheme="minorHAnsi" w:cs="Arial"/>
                <w:color w:val="000000"/>
                <w:sz w:val="20"/>
                <w:szCs w:val="16"/>
              </w:rPr>
              <w:t xml:space="preserve">did </w:t>
            </w:r>
            <w:r w:rsidRPr="00D64F7B">
              <w:rPr>
                <w:rFonts w:asciiTheme="minorHAnsi" w:hAnsiTheme="minorHAnsi" w:cs="Arial"/>
                <w:color w:val="000000"/>
                <w:sz w:val="20"/>
                <w:szCs w:val="16"/>
              </w:rPr>
              <w:t>no</w:t>
            </w:r>
            <w:r w:rsidR="004657B9" w:rsidRPr="00D64F7B">
              <w:rPr>
                <w:rFonts w:asciiTheme="minorHAnsi" w:hAnsiTheme="minorHAnsi" w:cs="Arial"/>
                <w:color w:val="000000"/>
                <w:sz w:val="20"/>
                <w:szCs w:val="16"/>
              </w:rPr>
              <w:t>t</w:t>
            </w:r>
            <w:r w:rsidRPr="00D64F7B">
              <w:rPr>
                <w:rFonts w:asciiTheme="minorHAnsi" w:hAnsiTheme="minorHAnsi" w:cs="Arial"/>
                <w:color w:val="000000"/>
                <w:sz w:val="20"/>
                <w:szCs w:val="16"/>
              </w:rPr>
              <w:t xml:space="preserve"> upload</w:t>
            </w:r>
          </w:p>
        </w:tc>
        <w:tc>
          <w:tcPr>
            <w:tcW w:w="1620" w:type="dxa"/>
            <w:tcBorders>
              <w:top w:val="nil"/>
              <w:left w:val="nil"/>
              <w:bottom w:val="nil"/>
              <w:right w:val="nil"/>
            </w:tcBorders>
            <w:shd w:val="clear" w:color="auto" w:fill="auto"/>
            <w:noWrap/>
            <w:vAlign w:val="bottom"/>
            <w:hideMark/>
          </w:tcPr>
          <w:p w14:paraId="04B64DA3" w14:textId="77777777" w:rsidR="00933DD5" w:rsidRPr="00D64F7B" w:rsidRDefault="00933DD5" w:rsidP="00D64F7B">
            <w:pPr>
              <w:spacing w:before="40"/>
              <w:jc w:val="center"/>
              <w:rPr>
                <w:rFonts w:asciiTheme="minorHAnsi" w:hAnsiTheme="minorHAnsi" w:cs="Arial"/>
                <w:color w:val="000000"/>
                <w:sz w:val="20"/>
                <w:szCs w:val="16"/>
              </w:rPr>
            </w:pPr>
            <w:r w:rsidRPr="00D64F7B">
              <w:rPr>
                <w:rFonts w:asciiTheme="minorHAnsi" w:hAnsiTheme="minorHAnsi" w:cs="Arial"/>
                <w:color w:val="000000"/>
                <w:sz w:val="20"/>
                <w:szCs w:val="16"/>
              </w:rPr>
              <w:t>25</w:t>
            </w:r>
          </w:p>
        </w:tc>
        <w:tc>
          <w:tcPr>
            <w:tcW w:w="1710" w:type="dxa"/>
            <w:tcBorders>
              <w:top w:val="nil"/>
              <w:left w:val="nil"/>
              <w:bottom w:val="nil"/>
              <w:right w:val="nil"/>
            </w:tcBorders>
            <w:shd w:val="clear" w:color="auto" w:fill="auto"/>
            <w:noWrap/>
            <w:vAlign w:val="bottom"/>
          </w:tcPr>
          <w:p w14:paraId="60CD2BBF" w14:textId="4164B33D" w:rsidR="00933DD5" w:rsidRPr="00D64F7B" w:rsidRDefault="00933DD5" w:rsidP="00D64F7B">
            <w:pPr>
              <w:spacing w:before="40"/>
              <w:jc w:val="center"/>
              <w:rPr>
                <w:rFonts w:asciiTheme="minorHAnsi" w:hAnsiTheme="minorHAnsi" w:cs="Arial"/>
                <w:color w:val="000000"/>
                <w:sz w:val="20"/>
                <w:szCs w:val="16"/>
              </w:rPr>
            </w:pPr>
            <w:r w:rsidRPr="00D64F7B">
              <w:rPr>
                <w:rFonts w:asciiTheme="minorHAnsi" w:hAnsiTheme="minorHAnsi" w:cs="Arial"/>
                <w:color w:val="000000"/>
                <w:sz w:val="20"/>
                <w:szCs w:val="16"/>
              </w:rPr>
              <w:t>4</w:t>
            </w:r>
          </w:p>
        </w:tc>
        <w:tc>
          <w:tcPr>
            <w:tcW w:w="1620" w:type="dxa"/>
            <w:tcBorders>
              <w:top w:val="nil"/>
              <w:left w:val="nil"/>
              <w:bottom w:val="nil"/>
              <w:right w:val="nil"/>
            </w:tcBorders>
            <w:shd w:val="clear" w:color="auto" w:fill="auto"/>
            <w:noWrap/>
            <w:vAlign w:val="bottom"/>
          </w:tcPr>
          <w:p w14:paraId="3A142DCE" w14:textId="5E93CF20" w:rsidR="00933DD5" w:rsidRPr="00D64F7B" w:rsidRDefault="00933DD5" w:rsidP="00D64F7B">
            <w:pPr>
              <w:spacing w:before="40"/>
              <w:jc w:val="center"/>
              <w:rPr>
                <w:rFonts w:asciiTheme="minorHAnsi" w:hAnsiTheme="minorHAnsi" w:cs="Arial"/>
                <w:color w:val="000000"/>
                <w:sz w:val="20"/>
                <w:szCs w:val="16"/>
              </w:rPr>
            </w:pPr>
            <w:r w:rsidRPr="00D64F7B">
              <w:rPr>
                <w:rFonts w:asciiTheme="minorHAnsi" w:hAnsiTheme="minorHAnsi" w:cs="Arial"/>
                <w:color w:val="000000"/>
                <w:sz w:val="20"/>
                <w:szCs w:val="16"/>
              </w:rPr>
              <w:t>100</w:t>
            </w:r>
          </w:p>
        </w:tc>
      </w:tr>
      <w:tr w:rsidR="005126C7" w:rsidRPr="00D64F7B" w14:paraId="70F2B264" w14:textId="77777777" w:rsidTr="00EE3141">
        <w:trPr>
          <w:trHeight w:val="300"/>
        </w:trPr>
        <w:tc>
          <w:tcPr>
            <w:tcW w:w="4050" w:type="dxa"/>
            <w:tcBorders>
              <w:top w:val="nil"/>
              <w:left w:val="nil"/>
              <w:bottom w:val="nil"/>
              <w:right w:val="nil"/>
            </w:tcBorders>
            <w:shd w:val="clear" w:color="auto" w:fill="auto"/>
            <w:noWrap/>
            <w:vAlign w:val="center"/>
            <w:hideMark/>
          </w:tcPr>
          <w:p w14:paraId="1BBCDA67" w14:textId="77777777" w:rsidR="005126C7" w:rsidRPr="00D64F7B" w:rsidRDefault="00933DD5" w:rsidP="00EE3141">
            <w:pPr>
              <w:spacing w:before="60"/>
              <w:ind w:left="162"/>
              <w:rPr>
                <w:rFonts w:asciiTheme="minorHAnsi" w:hAnsiTheme="minorHAnsi" w:cs="Arial"/>
                <w:color w:val="000000"/>
                <w:sz w:val="20"/>
                <w:szCs w:val="16"/>
              </w:rPr>
            </w:pPr>
            <w:r w:rsidRPr="00D64F7B">
              <w:rPr>
                <w:rFonts w:asciiTheme="minorHAnsi" w:hAnsiTheme="minorHAnsi" w:cs="Arial"/>
                <w:color w:val="000000"/>
                <w:sz w:val="20"/>
                <w:szCs w:val="16"/>
              </w:rPr>
              <w:t xml:space="preserve">15 units or fewer, master’s and doctoral, </w:t>
            </w:r>
          </w:p>
          <w:p w14:paraId="09FB84ED" w14:textId="37136574" w:rsidR="00933DD5" w:rsidRPr="00D64F7B" w:rsidRDefault="004657B9" w:rsidP="00EE3141">
            <w:pPr>
              <w:ind w:left="162"/>
              <w:rPr>
                <w:rFonts w:asciiTheme="minorHAnsi" w:hAnsiTheme="minorHAnsi" w:cs="Arial"/>
                <w:color w:val="000000"/>
                <w:sz w:val="20"/>
                <w:szCs w:val="16"/>
              </w:rPr>
            </w:pPr>
            <w:r w:rsidRPr="00D64F7B">
              <w:rPr>
                <w:rFonts w:asciiTheme="minorHAnsi" w:hAnsiTheme="minorHAnsi" w:cs="Arial"/>
                <w:color w:val="000000"/>
                <w:sz w:val="20"/>
                <w:szCs w:val="16"/>
              </w:rPr>
              <w:t xml:space="preserve">did </w:t>
            </w:r>
            <w:r w:rsidR="00933DD5" w:rsidRPr="00D64F7B">
              <w:rPr>
                <w:rFonts w:asciiTheme="minorHAnsi" w:hAnsiTheme="minorHAnsi" w:cs="Arial"/>
                <w:color w:val="000000"/>
                <w:sz w:val="20"/>
                <w:szCs w:val="16"/>
              </w:rPr>
              <w:t>no</w:t>
            </w:r>
            <w:r w:rsidRPr="00D64F7B">
              <w:rPr>
                <w:rFonts w:asciiTheme="minorHAnsi" w:hAnsiTheme="minorHAnsi" w:cs="Arial"/>
                <w:color w:val="000000"/>
                <w:sz w:val="20"/>
                <w:szCs w:val="16"/>
              </w:rPr>
              <w:t>t</w:t>
            </w:r>
            <w:r w:rsidR="00933DD5" w:rsidRPr="00D64F7B">
              <w:rPr>
                <w:rFonts w:asciiTheme="minorHAnsi" w:hAnsiTheme="minorHAnsi" w:cs="Arial"/>
                <w:color w:val="000000"/>
                <w:sz w:val="20"/>
                <w:szCs w:val="16"/>
              </w:rPr>
              <w:t xml:space="preserve"> upload</w:t>
            </w:r>
          </w:p>
        </w:tc>
        <w:tc>
          <w:tcPr>
            <w:tcW w:w="1620" w:type="dxa"/>
            <w:tcBorders>
              <w:top w:val="nil"/>
              <w:left w:val="nil"/>
              <w:bottom w:val="nil"/>
              <w:right w:val="nil"/>
            </w:tcBorders>
            <w:shd w:val="clear" w:color="auto" w:fill="auto"/>
            <w:noWrap/>
            <w:vAlign w:val="bottom"/>
            <w:hideMark/>
          </w:tcPr>
          <w:p w14:paraId="11273F22" w14:textId="77777777" w:rsidR="00933DD5" w:rsidRPr="00D64F7B" w:rsidRDefault="00933DD5" w:rsidP="00D64F7B">
            <w:pPr>
              <w:spacing w:before="40"/>
              <w:jc w:val="center"/>
              <w:rPr>
                <w:rFonts w:asciiTheme="minorHAnsi" w:hAnsiTheme="minorHAnsi" w:cs="Arial"/>
                <w:color w:val="000000"/>
                <w:sz w:val="20"/>
                <w:szCs w:val="16"/>
              </w:rPr>
            </w:pPr>
            <w:r w:rsidRPr="00D64F7B">
              <w:rPr>
                <w:rFonts w:asciiTheme="minorHAnsi" w:hAnsiTheme="minorHAnsi" w:cs="Arial"/>
                <w:color w:val="000000"/>
                <w:sz w:val="20"/>
                <w:szCs w:val="16"/>
              </w:rPr>
              <w:t>25</w:t>
            </w:r>
          </w:p>
        </w:tc>
        <w:tc>
          <w:tcPr>
            <w:tcW w:w="1710" w:type="dxa"/>
            <w:tcBorders>
              <w:top w:val="nil"/>
              <w:left w:val="nil"/>
              <w:bottom w:val="nil"/>
              <w:right w:val="nil"/>
            </w:tcBorders>
            <w:shd w:val="clear" w:color="auto" w:fill="auto"/>
            <w:noWrap/>
            <w:vAlign w:val="bottom"/>
          </w:tcPr>
          <w:p w14:paraId="29ADB652" w14:textId="4F3D14A9" w:rsidR="00933DD5" w:rsidRPr="00D64F7B" w:rsidRDefault="00933DD5" w:rsidP="00D64F7B">
            <w:pPr>
              <w:spacing w:before="40"/>
              <w:jc w:val="center"/>
              <w:rPr>
                <w:rFonts w:asciiTheme="minorHAnsi" w:hAnsiTheme="minorHAnsi" w:cs="Arial"/>
                <w:color w:val="000000"/>
                <w:sz w:val="20"/>
                <w:szCs w:val="16"/>
              </w:rPr>
            </w:pPr>
            <w:r w:rsidRPr="00D64F7B">
              <w:rPr>
                <w:rFonts w:asciiTheme="minorHAnsi" w:hAnsiTheme="minorHAnsi" w:cs="Arial"/>
                <w:color w:val="000000"/>
                <w:sz w:val="20"/>
                <w:szCs w:val="16"/>
              </w:rPr>
              <w:t>2</w:t>
            </w:r>
          </w:p>
        </w:tc>
        <w:tc>
          <w:tcPr>
            <w:tcW w:w="1620" w:type="dxa"/>
            <w:tcBorders>
              <w:top w:val="nil"/>
              <w:left w:val="nil"/>
              <w:bottom w:val="nil"/>
              <w:right w:val="nil"/>
            </w:tcBorders>
            <w:shd w:val="clear" w:color="auto" w:fill="auto"/>
            <w:noWrap/>
            <w:vAlign w:val="bottom"/>
          </w:tcPr>
          <w:p w14:paraId="08383FC2" w14:textId="677DF78F" w:rsidR="00933DD5" w:rsidRPr="00D64F7B" w:rsidRDefault="00933DD5" w:rsidP="00D64F7B">
            <w:pPr>
              <w:spacing w:before="60"/>
              <w:jc w:val="center"/>
              <w:rPr>
                <w:rFonts w:asciiTheme="minorHAnsi" w:hAnsiTheme="minorHAnsi" w:cs="Arial"/>
                <w:color w:val="000000"/>
                <w:sz w:val="20"/>
                <w:szCs w:val="16"/>
              </w:rPr>
            </w:pPr>
            <w:r w:rsidRPr="00D64F7B">
              <w:rPr>
                <w:rFonts w:asciiTheme="minorHAnsi" w:hAnsiTheme="minorHAnsi" w:cs="Arial"/>
                <w:color w:val="000000"/>
                <w:sz w:val="20"/>
                <w:szCs w:val="16"/>
              </w:rPr>
              <w:t>50</w:t>
            </w:r>
          </w:p>
        </w:tc>
      </w:tr>
      <w:tr w:rsidR="005126C7" w:rsidRPr="00D64F7B" w14:paraId="0E427D2F" w14:textId="77777777" w:rsidTr="00EE3141">
        <w:trPr>
          <w:trHeight w:val="300"/>
        </w:trPr>
        <w:tc>
          <w:tcPr>
            <w:tcW w:w="4050" w:type="dxa"/>
            <w:tcBorders>
              <w:top w:val="nil"/>
              <w:left w:val="nil"/>
              <w:bottom w:val="single" w:sz="4" w:space="0" w:color="auto"/>
              <w:right w:val="nil"/>
            </w:tcBorders>
            <w:shd w:val="clear" w:color="auto" w:fill="auto"/>
            <w:noWrap/>
            <w:vAlign w:val="center"/>
            <w:hideMark/>
          </w:tcPr>
          <w:p w14:paraId="29B29A05" w14:textId="33E3B122" w:rsidR="00933DD5" w:rsidRPr="00D64F7B" w:rsidRDefault="00933DD5" w:rsidP="00EE3141">
            <w:pPr>
              <w:spacing w:before="60" w:after="60"/>
              <w:ind w:left="162"/>
              <w:rPr>
                <w:rFonts w:asciiTheme="minorHAnsi" w:hAnsiTheme="minorHAnsi" w:cs="Arial"/>
                <w:color w:val="000000"/>
                <w:sz w:val="20"/>
                <w:szCs w:val="16"/>
              </w:rPr>
            </w:pPr>
            <w:r w:rsidRPr="00D64F7B">
              <w:rPr>
                <w:rFonts w:asciiTheme="minorHAnsi" w:hAnsiTheme="minorHAnsi" w:cs="Arial"/>
                <w:color w:val="000000"/>
                <w:sz w:val="20"/>
                <w:szCs w:val="16"/>
              </w:rPr>
              <w:t xml:space="preserve">Master’s only, </w:t>
            </w:r>
            <w:r w:rsidR="004657B9" w:rsidRPr="00D64F7B">
              <w:rPr>
                <w:rFonts w:asciiTheme="minorHAnsi" w:hAnsiTheme="minorHAnsi" w:cs="Arial"/>
                <w:color w:val="000000"/>
                <w:sz w:val="20"/>
                <w:szCs w:val="16"/>
              </w:rPr>
              <w:t xml:space="preserve">did </w:t>
            </w:r>
            <w:r w:rsidRPr="00D64F7B">
              <w:rPr>
                <w:rFonts w:asciiTheme="minorHAnsi" w:hAnsiTheme="minorHAnsi" w:cs="Arial"/>
                <w:color w:val="000000"/>
                <w:sz w:val="20"/>
                <w:szCs w:val="16"/>
              </w:rPr>
              <w:t>no</w:t>
            </w:r>
            <w:r w:rsidR="004657B9" w:rsidRPr="00D64F7B">
              <w:rPr>
                <w:rFonts w:asciiTheme="minorHAnsi" w:hAnsiTheme="minorHAnsi" w:cs="Arial"/>
                <w:color w:val="000000"/>
                <w:sz w:val="20"/>
                <w:szCs w:val="16"/>
              </w:rPr>
              <w:t>t</w:t>
            </w:r>
            <w:r w:rsidRPr="00D64F7B">
              <w:rPr>
                <w:rFonts w:asciiTheme="minorHAnsi" w:hAnsiTheme="minorHAnsi" w:cs="Arial"/>
                <w:color w:val="000000"/>
                <w:sz w:val="20"/>
                <w:szCs w:val="16"/>
              </w:rPr>
              <w:t xml:space="preserve"> upload</w:t>
            </w:r>
          </w:p>
        </w:tc>
        <w:tc>
          <w:tcPr>
            <w:tcW w:w="1620" w:type="dxa"/>
            <w:tcBorders>
              <w:top w:val="nil"/>
              <w:left w:val="nil"/>
              <w:bottom w:val="single" w:sz="4" w:space="0" w:color="auto"/>
              <w:right w:val="nil"/>
            </w:tcBorders>
            <w:shd w:val="clear" w:color="auto" w:fill="auto"/>
            <w:noWrap/>
            <w:vAlign w:val="bottom"/>
            <w:hideMark/>
          </w:tcPr>
          <w:p w14:paraId="43CB76AD" w14:textId="77777777" w:rsidR="00933DD5" w:rsidRPr="00D64F7B" w:rsidRDefault="00933DD5" w:rsidP="00D64F7B">
            <w:pPr>
              <w:spacing w:before="40" w:after="60"/>
              <w:jc w:val="center"/>
              <w:rPr>
                <w:rFonts w:asciiTheme="minorHAnsi" w:hAnsiTheme="minorHAnsi" w:cs="Arial"/>
                <w:color w:val="000000"/>
                <w:sz w:val="20"/>
                <w:szCs w:val="16"/>
              </w:rPr>
            </w:pPr>
            <w:r w:rsidRPr="00D64F7B">
              <w:rPr>
                <w:rFonts w:asciiTheme="minorHAnsi" w:hAnsiTheme="minorHAnsi" w:cs="Arial"/>
                <w:color w:val="000000"/>
                <w:sz w:val="20"/>
                <w:szCs w:val="16"/>
              </w:rPr>
              <w:t>15</w:t>
            </w:r>
          </w:p>
        </w:tc>
        <w:tc>
          <w:tcPr>
            <w:tcW w:w="1710" w:type="dxa"/>
            <w:tcBorders>
              <w:top w:val="nil"/>
              <w:left w:val="nil"/>
              <w:bottom w:val="single" w:sz="4" w:space="0" w:color="auto"/>
              <w:right w:val="nil"/>
            </w:tcBorders>
            <w:shd w:val="clear" w:color="auto" w:fill="auto"/>
            <w:noWrap/>
            <w:vAlign w:val="bottom"/>
          </w:tcPr>
          <w:p w14:paraId="6F94A1E9" w14:textId="754E67A4" w:rsidR="00933DD5" w:rsidRPr="00D64F7B" w:rsidRDefault="00933DD5" w:rsidP="00D64F7B">
            <w:pPr>
              <w:spacing w:before="40" w:after="60"/>
              <w:jc w:val="center"/>
              <w:rPr>
                <w:rFonts w:asciiTheme="minorHAnsi" w:hAnsiTheme="minorHAnsi" w:cs="Arial"/>
                <w:color w:val="000000"/>
                <w:sz w:val="20"/>
                <w:szCs w:val="16"/>
              </w:rPr>
            </w:pPr>
            <w:r w:rsidRPr="00D64F7B">
              <w:rPr>
                <w:rFonts w:asciiTheme="minorHAnsi" w:hAnsiTheme="minorHAnsi" w:cs="Arial"/>
                <w:color w:val="000000"/>
                <w:sz w:val="20"/>
                <w:szCs w:val="16"/>
              </w:rPr>
              <w:t>1</w:t>
            </w:r>
          </w:p>
        </w:tc>
        <w:tc>
          <w:tcPr>
            <w:tcW w:w="1620" w:type="dxa"/>
            <w:tcBorders>
              <w:top w:val="nil"/>
              <w:left w:val="nil"/>
              <w:bottom w:val="single" w:sz="4" w:space="0" w:color="auto"/>
              <w:right w:val="nil"/>
            </w:tcBorders>
            <w:shd w:val="clear" w:color="auto" w:fill="auto"/>
            <w:noWrap/>
            <w:vAlign w:val="bottom"/>
          </w:tcPr>
          <w:p w14:paraId="34146A65" w14:textId="668F093B" w:rsidR="00933DD5" w:rsidRPr="00D64F7B" w:rsidRDefault="00933DD5" w:rsidP="00D64F7B">
            <w:pPr>
              <w:spacing w:before="60" w:after="60"/>
              <w:jc w:val="center"/>
              <w:rPr>
                <w:rFonts w:asciiTheme="minorHAnsi" w:hAnsiTheme="minorHAnsi" w:cs="Arial"/>
                <w:color w:val="000000"/>
                <w:sz w:val="20"/>
                <w:szCs w:val="16"/>
              </w:rPr>
            </w:pPr>
            <w:r w:rsidRPr="00D64F7B">
              <w:rPr>
                <w:rFonts w:asciiTheme="minorHAnsi" w:hAnsiTheme="minorHAnsi" w:cs="Arial"/>
                <w:color w:val="000000"/>
                <w:sz w:val="20"/>
                <w:szCs w:val="16"/>
              </w:rPr>
              <w:t>15</w:t>
            </w:r>
          </w:p>
        </w:tc>
      </w:tr>
      <w:tr w:rsidR="005126C7" w:rsidRPr="00C756B3" w14:paraId="571C0469" w14:textId="77777777" w:rsidTr="00FA47BB">
        <w:trPr>
          <w:trHeight w:val="300"/>
        </w:trPr>
        <w:tc>
          <w:tcPr>
            <w:tcW w:w="4050" w:type="dxa"/>
            <w:tcBorders>
              <w:top w:val="single" w:sz="4" w:space="0" w:color="auto"/>
              <w:left w:val="nil"/>
              <w:bottom w:val="single" w:sz="4" w:space="0" w:color="auto"/>
              <w:right w:val="nil"/>
            </w:tcBorders>
            <w:shd w:val="clear" w:color="auto" w:fill="auto"/>
            <w:noWrap/>
            <w:hideMark/>
          </w:tcPr>
          <w:p w14:paraId="27C93B68" w14:textId="3DA4E7B6" w:rsidR="00933DD5" w:rsidRPr="00C756B3" w:rsidRDefault="00AA319A" w:rsidP="002907A4">
            <w:pPr>
              <w:spacing w:before="100"/>
              <w:rPr>
                <w:rFonts w:asciiTheme="minorHAnsi" w:hAnsiTheme="minorHAnsi" w:cs="Arial"/>
                <w:color w:val="000000"/>
                <w:sz w:val="20"/>
                <w:szCs w:val="16"/>
              </w:rPr>
            </w:pPr>
            <w:r>
              <w:rPr>
                <w:rFonts w:asciiTheme="minorHAnsi" w:hAnsiTheme="minorHAnsi" w:cs="Arial"/>
                <w:sz w:val="20"/>
                <w:szCs w:val="16"/>
              </w:rPr>
              <w:t>B</w:t>
            </w:r>
            <w:r w:rsidR="00933DD5" w:rsidRPr="00C756B3">
              <w:rPr>
                <w:rFonts w:asciiTheme="minorHAnsi" w:hAnsiTheme="minorHAnsi" w:cs="Arial"/>
                <w:sz w:val="20"/>
                <w:szCs w:val="16"/>
              </w:rPr>
              <w:t>urden hours</w:t>
            </w:r>
            <w:r>
              <w:rPr>
                <w:rFonts w:asciiTheme="minorHAnsi" w:hAnsiTheme="minorHAnsi" w:cs="Arial"/>
                <w:sz w:val="20"/>
                <w:szCs w:val="16"/>
              </w:rPr>
              <w:t xml:space="preserve"> for </w:t>
            </w:r>
            <w:r w:rsidR="002907A4">
              <w:rPr>
                <w:rFonts w:asciiTheme="minorHAnsi" w:hAnsiTheme="minorHAnsi" w:cs="Arial"/>
                <w:sz w:val="20"/>
                <w:szCs w:val="16"/>
              </w:rPr>
              <w:t xml:space="preserve">Pilot </w:t>
            </w:r>
            <w:r>
              <w:rPr>
                <w:rFonts w:asciiTheme="minorHAnsi" w:hAnsiTheme="minorHAnsi" w:cs="Arial"/>
                <w:sz w:val="20"/>
                <w:szCs w:val="16"/>
              </w:rPr>
              <w:t>data collection</w:t>
            </w:r>
          </w:p>
        </w:tc>
        <w:tc>
          <w:tcPr>
            <w:tcW w:w="1620" w:type="dxa"/>
            <w:tcBorders>
              <w:top w:val="single" w:sz="4" w:space="0" w:color="auto"/>
              <w:left w:val="nil"/>
              <w:bottom w:val="single" w:sz="4" w:space="0" w:color="auto"/>
              <w:right w:val="nil"/>
            </w:tcBorders>
            <w:shd w:val="clear" w:color="auto" w:fill="auto"/>
            <w:noWrap/>
            <w:vAlign w:val="bottom"/>
            <w:hideMark/>
          </w:tcPr>
          <w:p w14:paraId="6DF8DB9F" w14:textId="11AF98A1" w:rsidR="00933DD5" w:rsidRPr="00C756B3" w:rsidRDefault="00933DD5" w:rsidP="00D64F7B">
            <w:pPr>
              <w:spacing w:before="120"/>
              <w:jc w:val="center"/>
              <w:rPr>
                <w:rFonts w:asciiTheme="minorHAnsi" w:hAnsiTheme="minorHAnsi" w:cs="Arial"/>
                <w:color w:val="000000"/>
                <w:sz w:val="20"/>
                <w:szCs w:val="16"/>
              </w:rPr>
            </w:pPr>
          </w:p>
        </w:tc>
        <w:tc>
          <w:tcPr>
            <w:tcW w:w="1710" w:type="dxa"/>
            <w:tcBorders>
              <w:top w:val="single" w:sz="4" w:space="0" w:color="auto"/>
              <w:left w:val="nil"/>
              <w:bottom w:val="single" w:sz="4" w:space="0" w:color="auto"/>
              <w:right w:val="nil"/>
            </w:tcBorders>
            <w:shd w:val="clear" w:color="auto" w:fill="auto"/>
            <w:noWrap/>
            <w:vAlign w:val="bottom"/>
          </w:tcPr>
          <w:p w14:paraId="7F0E509A" w14:textId="5BCF435F" w:rsidR="00933DD5" w:rsidRPr="00C756B3" w:rsidRDefault="00933DD5" w:rsidP="00D64F7B">
            <w:pPr>
              <w:spacing w:before="120"/>
              <w:jc w:val="center"/>
              <w:rPr>
                <w:rFonts w:asciiTheme="minorHAnsi" w:hAnsiTheme="minorHAnsi" w:cs="Arial"/>
                <w:color w:val="000000"/>
                <w:sz w:val="20"/>
                <w:szCs w:val="16"/>
              </w:rPr>
            </w:pPr>
          </w:p>
        </w:tc>
        <w:tc>
          <w:tcPr>
            <w:tcW w:w="1620" w:type="dxa"/>
            <w:tcBorders>
              <w:top w:val="single" w:sz="4" w:space="0" w:color="auto"/>
              <w:left w:val="nil"/>
              <w:bottom w:val="single" w:sz="4" w:space="0" w:color="auto"/>
              <w:right w:val="nil"/>
            </w:tcBorders>
            <w:shd w:val="clear" w:color="auto" w:fill="auto"/>
            <w:noWrap/>
            <w:vAlign w:val="bottom"/>
          </w:tcPr>
          <w:p w14:paraId="63372F3C" w14:textId="27847A1F" w:rsidR="00933DD5" w:rsidRPr="00C756B3" w:rsidRDefault="00971754" w:rsidP="00971754">
            <w:pPr>
              <w:spacing w:before="100"/>
              <w:jc w:val="center"/>
              <w:rPr>
                <w:rFonts w:asciiTheme="minorHAnsi" w:hAnsiTheme="minorHAnsi" w:cs="Arial"/>
                <w:color w:val="000000"/>
                <w:sz w:val="20"/>
                <w:szCs w:val="16"/>
              </w:rPr>
            </w:pPr>
            <w:r w:rsidRPr="00C756B3">
              <w:rPr>
                <w:rFonts w:asciiTheme="minorHAnsi" w:hAnsiTheme="minorHAnsi" w:cs="Arial"/>
                <w:color w:val="000000"/>
                <w:sz w:val="20"/>
                <w:szCs w:val="16"/>
              </w:rPr>
              <w:t>180</w:t>
            </w:r>
          </w:p>
        </w:tc>
      </w:tr>
      <w:tr w:rsidR="00AA319A" w:rsidRPr="00C756B3" w14:paraId="6921D00A" w14:textId="77777777" w:rsidTr="00FA47BB">
        <w:trPr>
          <w:trHeight w:val="300"/>
        </w:trPr>
        <w:tc>
          <w:tcPr>
            <w:tcW w:w="4050" w:type="dxa"/>
            <w:tcBorders>
              <w:top w:val="single" w:sz="4" w:space="0" w:color="auto"/>
              <w:left w:val="nil"/>
              <w:bottom w:val="single" w:sz="4" w:space="0" w:color="auto"/>
              <w:right w:val="nil"/>
            </w:tcBorders>
            <w:shd w:val="clear" w:color="auto" w:fill="auto"/>
            <w:noWrap/>
          </w:tcPr>
          <w:p w14:paraId="1E27D94C" w14:textId="77777777" w:rsidR="00FA47BB" w:rsidRDefault="00AA319A" w:rsidP="002907A4">
            <w:pPr>
              <w:spacing w:before="100"/>
              <w:rPr>
                <w:rFonts w:asciiTheme="minorHAnsi" w:hAnsiTheme="minorHAnsi" w:cs="Arial"/>
                <w:sz w:val="20"/>
                <w:szCs w:val="16"/>
              </w:rPr>
            </w:pPr>
            <w:r>
              <w:rPr>
                <w:rFonts w:asciiTheme="minorHAnsi" w:hAnsiTheme="minorHAnsi" w:cs="Arial"/>
                <w:sz w:val="20"/>
                <w:szCs w:val="16"/>
              </w:rPr>
              <w:t xml:space="preserve">Burden hours for training </w:t>
            </w:r>
          </w:p>
          <w:p w14:paraId="2D8760E0" w14:textId="79C7F141" w:rsidR="00AA319A" w:rsidRPr="00C756B3" w:rsidDel="00AA319A" w:rsidRDefault="00AA319A" w:rsidP="00FA47BB">
            <w:pPr>
              <w:rPr>
                <w:rFonts w:asciiTheme="minorHAnsi" w:hAnsiTheme="minorHAnsi" w:cs="Arial"/>
                <w:sz w:val="20"/>
                <w:szCs w:val="16"/>
              </w:rPr>
            </w:pPr>
            <w:r>
              <w:rPr>
                <w:rFonts w:asciiTheme="minorHAnsi" w:hAnsiTheme="minorHAnsi" w:cs="Arial"/>
                <w:sz w:val="20"/>
                <w:szCs w:val="16"/>
              </w:rPr>
              <w:t xml:space="preserve">(80 coordinators @ </w:t>
            </w:r>
            <w:r w:rsidR="00565A5B">
              <w:rPr>
                <w:rFonts w:asciiTheme="minorHAnsi" w:hAnsiTheme="minorHAnsi" w:cs="Arial"/>
                <w:sz w:val="20"/>
                <w:szCs w:val="16"/>
              </w:rPr>
              <w:t>1</w:t>
            </w:r>
            <w:r>
              <w:rPr>
                <w:rFonts w:asciiTheme="minorHAnsi" w:hAnsiTheme="minorHAnsi" w:cs="Arial"/>
                <w:sz w:val="20"/>
                <w:szCs w:val="16"/>
              </w:rPr>
              <w:t xml:space="preserve"> hour)</w:t>
            </w:r>
          </w:p>
        </w:tc>
        <w:tc>
          <w:tcPr>
            <w:tcW w:w="1620" w:type="dxa"/>
            <w:tcBorders>
              <w:top w:val="single" w:sz="4" w:space="0" w:color="auto"/>
              <w:left w:val="nil"/>
              <w:bottom w:val="single" w:sz="4" w:space="0" w:color="auto"/>
              <w:right w:val="nil"/>
            </w:tcBorders>
            <w:shd w:val="clear" w:color="auto" w:fill="auto"/>
            <w:noWrap/>
            <w:vAlign w:val="bottom"/>
          </w:tcPr>
          <w:p w14:paraId="3D9C2F44" w14:textId="77777777" w:rsidR="00AA319A" w:rsidRPr="00C756B3" w:rsidRDefault="00AA319A" w:rsidP="00D64F7B">
            <w:pPr>
              <w:spacing w:before="120"/>
              <w:jc w:val="center"/>
              <w:rPr>
                <w:rFonts w:asciiTheme="minorHAnsi" w:hAnsiTheme="minorHAnsi" w:cs="Arial"/>
                <w:color w:val="000000"/>
                <w:sz w:val="20"/>
                <w:szCs w:val="16"/>
              </w:rPr>
            </w:pPr>
          </w:p>
        </w:tc>
        <w:tc>
          <w:tcPr>
            <w:tcW w:w="1710" w:type="dxa"/>
            <w:tcBorders>
              <w:top w:val="single" w:sz="4" w:space="0" w:color="auto"/>
              <w:left w:val="nil"/>
              <w:bottom w:val="single" w:sz="4" w:space="0" w:color="auto"/>
              <w:right w:val="nil"/>
            </w:tcBorders>
            <w:shd w:val="clear" w:color="auto" w:fill="auto"/>
            <w:noWrap/>
            <w:vAlign w:val="bottom"/>
          </w:tcPr>
          <w:p w14:paraId="2BCE1EE4" w14:textId="77777777" w:rsidR="00AA319A" w:rsidRPr="00C756B3" w:rsidRDefault="00AA319A" w:rsidP="00D64F7B">
            <w:pPr>
              <w:spacing w:before="120"/>
              <w:jc w:val="center"/>
              <w:rPr>
                <w:rFonts w:asciiTheme="minorHAnsi" w:hAnsiTheme="minorHAnsi" w:cs="Arial"/>
                <w:color w:val="000000"/>
                <w:sz w:val="20"/>
                <w:szCs w:val="16"/>
              </w:rPr>
            </w:pPr>
          </w:p>
        </w:tc>
        <w:tc>
          <w:tcPr>
            <w:tcW w:w="1620" w:type="dxa"/>
            <w:tcBorders>
              <w:top w:val="single" w:sz="4" w:space="0" w:color="auto"/>
              <w:left w:val="nil"/>
              <w:bottom w:val="single" w:sz="4" w:space="0" w:color="auto"/>
              <w:right w:val="nil"/>
            </w:tcBorders>
            <w:shd w:val="clear" w:color="auto" w:fill="auto"/>
            <w:noWrap/>
            <w:vAlign w:val="bottom"/>
          </w:tcPr>
          <w:p w14:paraId="1D83ECD8" w14:textId="0B820825" w:rsidR="00AA319A" w:rsidRPr="00C756B3" w:rsidRDefault="00565A5B" w:rsidP="00971754">
            <w:pPr>
              <w:spacing w:before="100"/>
              <w:jc w:val="center"/>
              <w:rPr>
                <w:rFonts w:asciiTheme="minorHAnsi" w:hAnsiTheme="minorHAnsi" w:cs="Arial"/>
                <w:color w:val="000000"/>
                <w:sz w:val="20"/>
                <w:szCs w:val="16"/>
              </w:rPr>
            </w:pPr>
            <w:r>
              <w:rPr>
                <w:rFonts w:asciiTheme="minorHAnsi" w:hAnsiTheme="minorHAnsi" w:cs="Arial"/>
                <w:color w:val="000000"/>
                <w:sz w:val="20"/>
                <w:szCs w:val="16"/>
              </w:rPr>
              <w:t>80</w:t>
            </w:r>
          </w:p>
        </w:tc>
      </w:tr>
      <w:tr w:rsidR="00AA319A" w:rsidRPr="00C756B3" w14:paraId="1429B9A9" w14:textId="77777777" w:rsidTr="00EE3141">
        <w:trPr>
          <w:trHeight w:val="300"/>
        </w:trPr>
        <w:tc>
          <w:tcPr>
            <w:tcW w:w="4050" w:type="dxa"/>
            <w:tcBorders>
              <w:top w:val="single" w:sz="4" w:space="0" w:color="auto"/>
              <w:left w:val="nil"/>
              <w:bottom w:val="single" w:sz="4" w:space="0" w:color="auto"/>
              <w:right w:val="nil"/>
            </w:tcBorders>
            <w:shd w:val="clear" w:color="auto" w:fill="auto"/>
            <w:noWrap/>
          </w:tcPr>
          <w:p w14:paraId="235C9BF6" w14:textId="48426490" w:rsidR="00AA319A" w:rsidRPr="00EE3141" w:rsidRDefault="00AA319A" w:rsidP="00AA319A">
            <w:pPr>
              <w:spacing w:before="100"/>
              <w:rPr>
                <w:rFonts w:asciiTheme="minorHAnsi" w:hAnsiTheme="minorHAnsi"/>
                <w:sz w:val="20"/>
              </w:rPr>
            </w:pPr>
            <w:r>
              <w:rPr>
                <w:rFonts w:asciiTheme="minorHAnsi" w:hAnsiTheme="minorHAnsi" w:cs="Arial"/>
                <w:sz w:val="20"/>
                <w:szCs w:val="16"/>
              </w:rPr>
              <w:t>Total burden hours requested</w:t>
            </w:r>
          </w:p>
        </w:tc>
        <w:tc>
          <w:tcPr>
            <w:tcW w:w="1620" w:type="dxa"/>
            <w:tcBorders>
              <w:top w:val="single" w:sz="4" w:space="0" w:color="auto"/>
              <w:left w:val="nil"/>
              <w:bottom w:val="single" w:sz="4" w:space="0" w:color="auto"/>
              <w:right w:val="nil"/>
            </w:tcBorders>
            <w:shd w:val="clear" w:color="auto" w:fill="auto"/>
            <w:noWrap/>
            <w:vAlign w:val="bottom"/>
          </w:tcPr>
          <w:p w14:paraId="32D7F127" w14:textId="77777777" w:rsidR="00AA319A" w:rsidRPr="00C756B3" w:rsidRDefault="00AA319A" w:rsidP="00D64F7B">
            <w:pPr>
              <w:spacing w:before="120"/>
              <w:jc w:val="center"/>
              <w:rPr>
                <w:rFonts w:asciiTheme="minorHAnsi" w:hAnsiTheme="minorHAnsi" w:cs="Arial"/>
                <w:color w:val="000000"/>
                <w:sz w:val="20"/>
                <w:szCs w:val="16"/>
              </w:rPr>
            </w:pPr>
          </w:p>
        </w:tc>
        <w:tc>
          <w:tcPr>
            <w:tcW w:w="1710" w:type="dxa"/>
            <w:tcBorders>
              <w:top w:val="single" w:sz="4" w:space="0" w:color="auto"/>
              <w:left w:val="nil"/>
              <w:bottom w:val="single" w:sz="4" w:space="0" w:color="auto"/>
              <w:right w:val="nil"/>
            </w:tcBorders>
            <w:shd w:val="clear" w:color="auto" w:fill="auto"/>
            <w:noWrap/>
            <w:vAlign w:val="bottom"/>
          </w:tcPr>
          <w:p w14:paraId="214B3545" w14:textId="77777777" w:rsidR="00AA319A" w:rsidRPr="00C756B3" w:rsidRDefault="00AA319A" w:rsidP="00D64F7B">
            <w:pPr>
              <w:spacing w:before="120"/>
              <w:jc w:val="center"/>
              <w:rPr>
                <w:rFonts w:asciiTheme="minorHAnsi" w:hAnsiTheme="minorHAnsi" w:cs="Arial"/>
                <w:color w:val="000000"/>
                <w:sz w:val="20"/>
                <w:szCs w:val="16"/>
              </w:rPr>
            </w:pPr>
          </w:p>
        </w:tc>
        <w:tc>
          <w:tcPr>
            <w:tcW w:w="1620" w:type="dxa"/>
            <w:tcBorders>
              <w:top w:val="single" w:sz="4" w:space="0" w:color="auto"/>
              <w:left w:val="nil"/>
              <w:bottom w:val="single" w:sz="4" w:space="0" w:color="auto"/>
              <w:right w:val="nil"/>
            </w:tcBorders>
            <w:shd w:val="clear" w:color="auto" w:fill="auto"/>
            <w:noWrap/>
            <w:vAlign w:val="bottom"/>
          </w:tcPr>
          <w:p w14:paraId="5D475236" w14:textId="05CFACDC" w:rsidR="00AA319A" w:rsidRDefault="00A61E84" w:rsidP="002907A4">
            <w:pPr>
              <w:spacing w:before="100"/>
              <w:jc w:val="center"/>
              <w:rPr>
                <w:rFonts w:asciiTheme="minorHAnsi" w:hAnsiTheme="minorHAnsi" w:cs="Arial"/>
                <w:color w:val="000000"/>
                <w:sz w:val="20"/>
                <w:szCs w:val="16"/>
              </w:rPr>
            </w:pPr>
            <w:r>
              <w:rPr>
                <w:rFonts w:asciiTheme="minorHAnsi" w:hAnsiTheme="minorHAnsi" w:cs="Arial"/>
                <w:color w:val="000000"/>
                <w:sz w:val="20"/>
                <w:szCs w:val="16"/>
              </w:rPr>
              <w:t>260</w:t>
            </w:r>
          </w:p>
        </w:tc>
      </w:tr>
    </w:tbl>
    <w:p w14:paraId="5CCC2C87" w14:textId="35DBF090" w:rsidR="00500843" w:rsidRPr="00D64F7B" w:rsidRDefault="00DD5933" w:rsidP="00DD5933">
      <w:pPr>
        <w:tabs>
          <w:tab w:val="left" w:pos="960"/>
        </w:tabs>
        <w:rPr>
          <w:rFonts w:asciiTheme="minorHAnsi" w:hAnsiTheme="minorHAnsi" w:cs="Arial"/>
        </w:rPr>
      </w:pPr>
      <w:r>
        <w:rPr>
          <w:rFonts w:asciiTheme="minorHAnsi" w:hAnsiTheme="minorHAnsi" w:cs="Arial"/>
        </w:rPr>
        <w:tab/>
      </w:r>
    </w:p>
    <w:p w14:paraId="7B69FE81" w14:textId="539C9075" w:rsidR="00F44D30" w:rsidRDefault="000F5C1C" w:rsidP="00FB2A37">
      <w:pPr>
        <w:spacing w:after="160"/>
      </w:pPr>
      <w:r>
        <w:rPr>
          <w:u w:val="single"/>
        </w:rPr>
        <w:t xml:space="preserve">Sample of </w:t>
      </w:r>
      <w:r w:rsidR="00A26FE8">
        <w:rPr>
          <w:u w:val="single"/>
        </w:rPr>
        <w:t>15 c</w:t>
      </w:r>
      <w:r w:rsidR="00F44D30" w:rsidRPr="00F44D30">
        <w:rPr>
          <w:u w:val="single"/>
        </w:rPr>
        <w:t>oordinators that used the data upload tool in the 2015 GSS</w:t>
      </w:r>
      <w:r w:rsidR="00F44D30">
        <w:t xml:space="preserve">: </w:t>
      </w:r>
      <w:r w:rsidR="004657B9">
        <w:t xml:space="preserve"> </w:t>
      </w:r>
      <w:r w:rsidR="00F44D30">
        <w:t>The marginal burden for Pilot participation should be negligible.</w:t>
      </w:r>
      <w:r w:rsidR="007C1FBB">
        <w:t xml:space="preserve"> </w:t>
      </w:r>
      <w:r w:rsidR="00F44D30">
        <w:t>These coordinators are already providing data using the upload format. While there is additional data that will be collected through the separate reporting of master</w:t>
      </w:r>
      <w:r w:rsidR="00A51801">
        <w:t>’</w:t>
      </w:r>
      <w:r w:rsidR="00F44D30">
        <w:t>s and doctoral students, since these data are provided through an upload process (rather than through web-based forms), little to no additional burden is expected in terms of generating and reporting these data.</w:t>
      </w:r>
      <w:r w:rsidR="007C1FBB">
        <w:t xml:space="preserve"> </w:t>
      </w:r>
      <w:r w:rsidR="00F44D30">
        <w:t>Additionally, the use of CIP codes should ease the burden associated with data reporting</w:t>
      </w:r>
      <w:r w:rsidR="00971754">
        <w:t xml:space="preserve">. </w:t>
      </w:r>
    </w:p>
    <w:p w14:paraId="17EEE92D" w14:textId="328C70E8" w:rsidR="00F44D30" w:rsidRDefault="000F5C1C" w:rsidP="00D64F7B">
      <w:pPr>
        <w:spacing w:after="240"/>
      </w:pPr>
      <w:r>
        <w:rPr>
          <w:u w:val="single"/>
        </w:rPr>
        <w:t xml:space="preserve">Sample of </w:t>
      </w:r>
      <w:r w:rsidR="00A26FE8">
        <w:rPr>
          <w:u w:val="single"/>
        </w:rPr>
        <w:t>25 c</w:t>
      </w:r>
      <w:r w:rsidR="00F44D30" w:rsidRPr="00F44D30">
        <w:rPr>
          <w:u w:val="single"/>
        </w:rPr>
        <w:t>oordinators that report</w:t>
      </w:r>
      <w:r w:rsidR="00971754">
        <w:rPr>
          <w:u w:val="single"/>
        </w:rPr>
        <w:t>ed</w:t>
      </w:r>
      <w:r w:rsidR="00F44D30" w:rsidRPr="00F44D30">
        <w:rPr>
          <w:u w:val="single"/>
        </w:rPr>
        <w:t xml:space="preserve"> both master</w:t>
      </w:r>
      <w:r w:rsidR="00A51801">
        <w:rPr>
          <w:u w:val="single"/>
        </w:rPr>
        <w:t>’</w:t>
      </w:r>
      <w:r w:rsidR="00F44D30" w:rsidRPr="00F44D30">
        <w:rPr>
          <w:u w:val="single"/>
        </w:rPr>
        <w:t>s</w:t>
      </w:r>
      <w:r w:rsidR="00BA7AB5">
        <w:rPr>
          <w:u w:val="single"/>
        </w:rPr>
        <w:t xml:space="preserve"> and </w:t>
      </w:r>
      <w:r w:rsidR="00F44D30" w:rsidRPr="00F44D30">
        <w:rPr>
          <w:u w:val="single"/>
        </w:rPr>
        <w:t>doctora</w:t>
      </w:r>
      <w:r w:rsidR="00A51801">
        <w:rPr>
          <w:u w:val="single"/>
        </w:rPr>
        <w:t>l</w:t>
      </w:r>
      <w:r w:rsidR="00BA7AB5">
        <w:rPr>
          <w:u w:val="single"/>
        </w:rPr>
        <w:t xml:space="preserve"> students</w:t>
      </w:r>
      <w:r w:rsidR="00F44D30" w:rsidRPr="00F44D30">
        <w:rPr>
          <w:u w:val="single"/>
        </w:rPr>
        <w:t>, have more than 15 reporting units</w:t>
      </w:r>
      <w:r w:rsidR="00021605">
        <w:rPr>
          <w:u w:val="single"/>
        </w:rPr>
        <w:t>,</w:t>
      </w:r>
      <w:r w:rsidR="00F44D30" w:rsidRPr="00F44D30">
        <w:rPr>
          <w:u w:val="single"/>
        </w:rPr>
        <w:t xml:space="preserve"> and did not use the data upload tool in 2015</w:t>
      </w:r>
      <w:r w:rsidR="00F44D30" w:rsidRPr="00D64F7B">
        <w:t>:</w:t>
      </w:r>
      <w:r w:rsidR="00A45DC4">
        <w:t xml:space="preserve"> </w:t>
      </w:r>
      <w:r w:rsidR="004657B9">
        <w:t xml:space="preserve"> </w:t>
      </w:r>
      <w:r w:rsidR="00A45DC4">
        <w:t>These coordinators will encounter increased burden of learning to use the upload tool.</w:t>
      </w:r>
      <w:r w:rsidR="007C1FBB">
        <w:t xml:space="preserve"> </w:t>
      </w:r>
      <w:r w:rsidR="00A45DC4">
        <w:t>The use of CIP codes rather than GSS codes when uploading may mitigate overall burden for this group.</w:t>
      </w:r>
      <w:r w:rsidR="007C1FBB">
        <w:t xml:space="preserve"> </w:t>
      </w:r>
      <w:r w:rsidR="00A45DC4">
        <w:t xml:space="preserve">We estimate </w:t>
      </w:r>
      <w:r>
        <w:t xml:space="preserve">that </w:t>
      </w:r>
      <w:r w:rsidR="00A45DC4">
        <w:t xml:space="preserve">Pilot participation to impose </w:t>
      </w:r>
      <w:r w:rsidR="00207D7B">
        <w:t>four</w:t>
      </w:r>
      <w:r w:rsidR="00A45DC4">
        <w:t xml:space="preserve"> additional hours of burden per coordinator, based on the time required to master the data upload tool</w:t>
      </w:r>
      <w:r w:rsidR="00E13046">
        <w:t xml:space="preserve"> and the amount of data that will be reported separately by degree level</w:t>
      </w:r>
      <w:r w:rsidR="00A45DC4">
        <w:t>.</w:t>
      </w:r>
      <w:r w:rsidR="007C1FBB">
        <w:t xml:space="preserve"> </w:t>
      </w:r>
    </w:p>
    <w:p w14:paraId="1CD8E1B3" w14:textId="1F9F04EB" w:rsidR="00E13046" w:rsidRDefault="000F5C1C" w:rsidP="00FB2A37">
      <w:pPr>
        <w:spacing w:after="160"/>
      </w:pPr>
      <w:r>
        <w:rPr>
          <w:u w:val="single"/>
        </w:rPr>
        <w:t xml:space="preserve">Sample of </w:t>
      </w:r>
      <w:r w:rsidR="00A26FE8">
        <w:rPr>
          <w:u w:val="single"/>
        </w:rPr>
        <w:t>25 c</w:t>
      </w:r>
      <w:r w:rsidR="00E13046" w:rsidRPr="00F44D30">
        <w:rPr>
          <w:u w:val="single"/>
        </w:rPr>
        <w:t>oordinators that report</w:t>
      </w:r>
      <w:r w:rsidR="00971754">
        <w:rPr>
          <w:u w:val="single"/>
        </w:rPr>
        <w:t>ed</w:t>
      </w:r>
      <w:r w:rsidR="00E13046" w:rsidRPr="00F44D30">
        <w:rPr>
          <w:u w:val="single"/>
        </w:rPr>
        <w:t xml:space="preserve"> both master</w:t>
      </w:r>
      <w:r w:rsidR="00A51801">
        <w:rPr>
          <w:u w:val="single"/>
        </w:rPr>
        <w:t>’</w:t>
      </w:r>
      <w:r w:rsidR="00E13046" w:rsidRPr="00F44D30">
        <w:rPr>
          <w:u w:val="single"/>
        </w:rPr>
        <w:t>s and doctora</w:t>
      </w:r>
      <w:r w:rsidR="00A51801">
        <w:rPr>
          <w:u w:val="single"/>
        </w:rPr>
        <w:t>l</w:t>
      </w:r>
      <w:r w:rsidR="00BA7AB5">
        <w:rPr>
          <w:u w:val="single"/>
        </w:rPr>
        <w:t xml:space="preserve"> students</w:t>
      </w:r>
      <w:r w:rsidR="00E13046" w:rsidRPr="00F44D30">
        <w:rPr>
          <w:u w:val="single"/>
        </w:rPr>
        <w:t xml:space="preserve">, that have 15 </w:t>
      </w:r>
      <w:r w:rsidR="00E13046">
        <w:rPr>
          <w:u w:val="single"/>
        </w:rPr>
        <w:t xml:space="preserve">or fewer </w:t>
      </w:r>
      <w:r w:rsidR="00E13046" w:rsidRPr="00F44D30">
        <w:rPr>
          <w:u w:val="single"/>
        </w:rPr>
        <w:t>reporting units</w:t>
      </w:r>
      <w:r w:rsidR="00021605">
        <w:rPr>
          <w:u w:val="single"/>
        </w:rPr>
        <w:t>,</w:t>
      </w:r>
      <w:r w:rsidR="00E13046" w:rsidRPr="00F44D30">
        <w:rPr>
          <w:u w:val="single"/>
        </w:rPr>
        <w:t xml:space="preserve"> and did not use the data upload tool in 2015</w:t>
      </w:r>
      <w:r w:rsidR="00E13046" w:rsidRPr="00D64F7B">
        <w:t xml:space="preserve">: </w:t>
      </w:r>
      <w:r w:rsidR="004657B9">
        <w:t xml:space="preserve"> </w:t>
      </w:r>
      <w:r w:rsidR="00E13046">
        <w:t xml:space="preserve">These coordinators will also encounter increased burden of learning to use the upload </w:t>
      </w:r>
      <w:r w:rsidR="00230B1C">
        <w:t>tool. The</w:t>
      </w:r>
      <w:r w:rsidR="00E13046">
        <w:t xml:space="preserve"> use of CIP codes rather than GSS codes when uploading may mitigate overall burden for this group.</w:t>
      </w:r>
      <w:r w:rsidR="007C1FBB">
        <w:t xml:space="preserve"> </w:t>
      </w:r>
      <w:r w:rsidR="00E13046">
        <w:t xml:space="preserve">Given the smaller number of units being reported, we estimate </w:t>
      </w:r>
      <w:r>
        <w:t xml:space="preserve">that </w:t>
      </w:r>
      <w:r w:rsidR="00E13046">
        <w:t xml:space="preserve">Pilot participation to impose </w:t>
      </w:r>
      <w:r w:rsidR="00207D7B">
        <w:t>two</w:t>
      </w:r>
      <w:r w:rsidR="00E13046">
        <w:t xml:space="preserve"> additional hours of burden per coordinator, based on the time required to master the data upload tool and the smaller amount of data that will be reported separately by degree level.</w:t>
      </w:r>
    </w:p>
    <w:p w14:paraId="442811CE" w14:textId="50D43D56" w:rsidR="004437D6" w:rsidRDefault="000F5C1C" w:rsidP="004437D6">
      <w:r>
        <w:rPr>
          <w:u w:val="single"/>
        </w:rPr>
        <w:lastRenderedPageBreak/>
        <w:t xml:space="preserve">Sample of </w:t>
      </w:r>
      <w:r w:rsidR="00971754">
        <w:rPr>
          <w:u w:val="single"/>
        </w:rPr>
        <w:t>15 c</w:t>
      </w:r>
      <w:r w:rsidR="00E13046" w:rsidRPr="00E13046">
        <w:rPr>
          <w:u w:val="single"/>
        </w:rPr>
        <w:t>oordinators that report</w:t>
      </w:r>
      <w:r w:rsidR="00971754">
        <w:rPr>
          <w:u w:val="single"/>
        </w:rPr>
        <w:t xml:space="preserve">ed </w:t>
      </w:r>
      <w:r w:rsidR="00E13046" w:rsidRPr="00E13046">
        <w:rPr>
          <w:u w:val="single"/>
        </w:rPr>
        <w:t>only master</w:t>
      </w:r>
      <w:r w:rsidR="00A51801">
        <w:rPr>
          <w:u w:val="single"/>
        </w:rPr>
        <w:t>’</w:t>
      </w:r>
      <w:r w:rsidR="00E13046" w:rsidRPr="00E13046">
        <w:rPr>
          <w:u w:val="single"/>
        </w:rPr>
        <w:t xml:space="preserve">s </w:t>
      </w:r>
      <w:r w:rsidR="00A51801">
        <w:rPr>
          <w:u w:val="single"/>
        </w:rPr>
        <w:t>students</w:t>
      </w:r>
      <w:r w:rsidR="00A51801" w:rsidRPr="00E13046">
        <w:rPr>
          <w:u w:val="single"/>
        </w:rPr>
        <w:t xml:space="preserve"> </w:t>
      </w:r>
      <w:r w:rsidR="004657B9">
        <w:rPr>
          <w:u w:val="single"/>
        </w:rPr>
        <w:t>and</w:t>
      </w:r>
      <w:r w:rsidR="00E13046" w:rsidRPr="00E13046">
        <w:rPr>
          <w:u w:val="single"/>
        </w:rPr>
        <w:t xml:space="preserve"> did not use the data upload tool in 2015</w:t>
      </w:r>
      <w:r w:rsidR="00E13046">
        <w:t xml:space="preserve">: These coordinators will encounter </w:t>
      </w:r>
      <w:r w:rsidR="00207D7B">
        <w:t>a slight</w:t>
      </w:r>
      <w:r w:rsidR="00E13046">
        <w:t xml:space="preserve"> burden of learning to use the upload tool, but will not need to report separate degree level data since they do not enroll doctoral students.</w:t>
      </w:r>
      <w:r w:rsidR="007C1FBB">
        <w:t xml:space="preserve"> </w:t>
      </w:r>
      <w:r w:rsidR="00E13046">
        <w:t>Again, the use of CIP codes rather than GSS codes should mitigate overall burden for this group.</w:t>
      </w:r>
      <w:r w:rsidR="007C1FBB">
        <w:t xml:space="preserve"> </w:t>
      </w:r>
      <w:r w:rsidR="00E13046">
        <w:t xml:space="preserve">We estimate </w:t>
      </w:r>
      <w:r w:rsidR="00207D7B">
        <w:t>one</w:t>
      </w:r>
      <w:r w:rsidR="00E13046">
        <w:t xml:space="preserve"> additional hours of burden based on the time required to master the data upload tool</w:t>
      </w:r>
      <w:r w:rsidR="00207D7B">
        <w:t xml:space="preserve"> provided through the training workshop</w:t>
      </w:r>
      <w:r w:rsidR="00E13046">
        <w:t>.</w:t>
      </w:r>
      <w:r w:rsidR="004437D6" w:rsidRPr="004437D6">
        <w:t xml:space="preserve"> </w:t>
      </w:r>
    </w:p>
    <w:p w14:paraId="62699588" w14:textId="77777777" w:rsidR="00195D33" w:rsidRDefault="00195D33" w:rsidP="00195D33">
      <w:pPr>
        <w:rPr>
          <w:sz w:val="22"/>
        </w:rPr>
      </w:pPr>
    </w:p>
    <w:p w14:paraId="5B5E2941" w14:textId="77777777" w:rsidR="00757D77" w:rsidRDefault="00757D77" w:rsidP="00195D33">
      <w:pPr>
        <w:rPr>
          <w:b/>
        </w:rPr>
      </w:pPr>
    </w:p>
    <w:p w14:paraId="46618D89" w14:textId="77777777" w:rsidR="00757D77" w:rsidRDefault="00757D77" w:rsidP="00195D33">
      <w:pPr>
        <w:rPr>
          <w:b/>
        </w:rPr>
      </w:pPr>
    </w:p>
    <w:p w14:paraId="277FA254" w14:textId="77777777" w:rsidR="00757D77" w:rsidRDefault="00757D77" w:rsidP="00195D33">
      <w:pPr>
        <w:rPr>
          <w:b/>
        </w:rPr>
      </w:pPr>
    </w:p>
    <w:p w14:paraId="66833705" w14:textId="77777777" w:rsidR="00757D77" w:rsidRDefault="00757D77" w:rsidP="00195D33">
      <w:pPr>
        <w:rPr>
          <w:b/>
        </w:rPr>
      </w:pPr>
    </w:p>
    <w:p w14:paraId="6522E116" w14:textId="67549590" w:rsidR="00B1082D" w:rsidRPr="00B1082D" w:rsidRDefault="00B1082D" w:rsidP="00195D33">
      <w:pPr>
        <w:rPr>
          <w:b/>
        </w:rPr>
      </w:pPr>
      <w:r w:rsidRPr="00B1082D">
        <w:rPr>
          <w:b/>
        </w:rPr>
        <w:t>Next Steps</w:t>
      </w:r>
    </w:p>
    <w:p w14:paraId="32FAA9FA" w14:textId="77777777" w:rsidR="00B1082D" w:rsidRPr="00B1082D" w:rsidRDefault="00B1082D" w:rsidP="00195D33">
      <w:pPr>
        <w:rPr>
          <w:b/>
          <w:sz w:val="22"/>
        </w:rPr>
      </w:pPr>
    </w:p>
    <w:p w14:paraId="60A6018E" w14:textId="136B987E" w:rsidR="00195D33" w:rsidRDefault="00195D33" w:rsidP="00195D33">
      <w:r>
        <w:t xml:space="preserve">We will use two criteria for measuring success of the </w:t>
      </w:r>
      <w:r w:rsidR="00B1082D">
        <w:t>P</w:t>
      </w:r>
      <w:r>
        <w:t>ilot survey as follows:</w:t>
      </w:r>
    </w:p>
    <w:p w14:paraId="2E9AF2EE" w14:textId="30E872B1" w:rsidR="00195D33" w:rsidRDefault="00195D33" w:rsidP="00DD5933">
      <w:pPr>
        <w:tabs>
          <w:tab w:val="left" w:pos="630"/>
        </w:tabs>
        <w:spacing w:before="120" w:after="60"/>
        <w:ind w:firstLine="270"/>
      </w:pPr>
      <w:r>
        <w:t xml:space="preserve">1) </w:t>
      </w:r>
      <w:r>
        <w:tab/>
        <w:t>Number of schools using the upload data tool</w:t>
      </w:r>
    </w:p>
    <w:p w14:paraId="70B2D397" w14:textId="3F84BDB6" w:rsidR="00195D33" w:rsidRDefault="00195D33" w:rsidP="00DD5933">
      <w:pPr>
        <w:ind w:left="720"/>
      </w:pPr>
      <w:r>
        <w:t xml:space="preserve">The </w:t>
      </w:r>
      <w:r w:rsidR="00B1082D">
        <w:t>P</w:t>
      </w:r>
      <w:r>
        <w:t xml:space="preserve">ilot survey will be considered as success if about 60% of the Pilot institutions use the upload data tool to submit their data on masters and doctorate students by CIP code.  Submission rates may vary by size of institution/number of units per school and other characteristics. NCSES expects a similar variation for the Pilot – about 70%-90% of schools with a large number of units will use the upload data tool but only about 10% of schools with a small number of units. For schools with a small number of units, using the GSS web survey may be easier than using the upload data tool.   </w:t>
      </w:r>
    </w:p>
    <w:p w14:paraId="4AB1D518" w14:textId="1CBC03F6" w:rsidR="00195D33" w:rsidRDefault="00195D33" w:rsidP="00DD5933">
      <w:pPr>
        <w:tabs>
          <w:tab w:val="left" w:pos="360"/>
        </w:tabs>
        <w:spacing w:before="180" w:after="120"/>
        <w:ind w:firstLine="270"/>
      </w:pPr>
      <w:r>
        <w:t>2)</w:t>
      </w:r>
      <w:r>
        <w:tab/>
        <w:t xml:space="preserve">Observe no long-term impact on response burden. </w:t>
      </w:r>
    </w:p>
    <w:p w14:paraId="3034D7DA" w14:textId="336965BC" w:rsidR="00195D33" w:rsidRDefault="00195D33" w:rsidP="00DD5933">
      <w:pPr>
        <w:tabs>
          <w:tab w:val="left" w:pos="360"/>
        </w:tabs>
        <w:ind w:left="720"/>
      </w:pPr>
      <w:r>
        <w:t>NCSES currently estimates GSS response burden to be 2.5 hours on average. We estimate that the initial additional burden of using the upload data tool will be about 1 to 4 hours (depending on institutional characteristics) with a decrease in response burden in subsequent years. Results from the GSS Coordinator Survey (July 2016) indicated that those who use the upload process were very satisfied with the upload tool, and noted time savings as one of the positive features of the upload. We also know that the large majority of coordinators who upload continue to do so year after year.</w:t>
      </w:r>
    </w:p>
    <w:p w14:paraId="7CC7A1E7" w14:textId="77777777" w:rsidR="00195D33" w:rsidRDefault="00195D33" w:rsidP="00DD5933">
      <w:pPr>
        <w:spacing w:before="180"/>
        <w:ind w:left="720"/>
      </w:pPr>
      <w:r>
        <w:t xml:space="preserve">The Pilot and base 2016 GSS instruments will collect estimated response time. To determine the impact of the new data procedures on response burden, NCSES will compare the completion time reported by the Pilot institutions to their institution’s previous year completion time, as well as those reported by the Pilot’s base institutions.  </w:t>
      </w:r>
    </w:p>
    <w:p w14:paraId="119B0D7D" w14:textId="77777777" w:rsidR="00195D33" w:rsidRDefault="00195D33" w:rsidP="00195D33"/>
    <w:p w14:paraId="00F7925C" w14:textId="17DE0F03" w:rsidR="00195D33" w:rsidRDefault="00195D33" w:rsidP="00195D33">
      <w:r>
        <w:t xml:space="preserve">Unless there are lower than expected Pilot response rates, higher response burden times and an inability to upload data, NCSES will modify the GSS instruments using the Pilot data collection methods. </w:t>
      </w:r>
      <w:r>
        <w:lastRenderedPageBreak/>
        <w:t>Internal NSF directorates, GSS stakeholders and data users (including GSS institutions) have provided strong rationale and agreement on the immense value of separate enrollment and financial support data on the master’s and doctoral students in different fields. We anticipate that the initial increase in institutions’ response burden will be one-time only and will be offset by the increased value of the data for a range of educational policy and decision making purposes.</w:t>
      </w:r>
    </w:p>
    <w:p w14:paraId="2BEDCEF9" w14:textId="6D6F8389" w:rsidR="00E54106" w:rsidRPr="00E54106" w:rsidRDefault="00F80DAF" w:rsidP="00E54106">
      <w:pPr>
        <w:spacing w:before="360"/>
        <w:rPr>
          <w:rStyle w:val="Heading1Char"/>
          <w:rFonts w:ascii="Times New Roman" w:eastAsia="Calibri" w:hAnsi="Times New Roman"/>
          <w:sz w:val="24"/>
          <w:szCs w:val="24"/>
        </w:rPr>
      </w:pPr>
      <w:r>
        <w:rPr>
          <w:rStyle w:val="Heading1Char"/>
          <w:rFonts w:ascii="Times New Roman" w:eastAsia="Calibri" w:hAnsi="Times New Roman"/>
          <w:sz w:val="24"/>
          <w:szCs w:val="24"/>
        </w:rPr>
        <w:t>C</w:t>
      </w:r>
      <w:r w:rsidR="00E54106" w:rsidRPr="00E54106">
        <w:rPr>
          <w:rStyle w:val="Heading1Char"/>
          <w:rFonts w:ascii="Times New Roman" w:eastAsia="Calibri" w:hAnsi="Times New Roman"/>
          <w:sz w:val="24"/>
          <w:szCs w:val="24"/>
        </w:rPr>
        <w:t>ontact Person</w:t>
      </w:r>
    </w:p>
    <w:p w14:paraId="5D29DDD4" w14:textId="77777777" w:rsidR="00E54106" w:rsidRPr="00E54106" w:rsidRDefault="00E54106" w:rsidP="00E54106">
      <w:pPr>
        <w:rPr>
          <w:rStyle w:val="Heading1Char"/>
          <w:rFonts w:ascii="Times New Roman" w:eastAsia="Calibri" w:hAnsi="Times New Roman"/>
          <w:sz w:val="24"/>
          <w:szCs w:val="24"/>
        </w:rPr>
      </w:pPr>
    </w:p>
    <w:p w14:paraId="2A2FF0C6" w14:textId="77777777" w:rsidR="00E54106" w:rsidRPr="00E54106" w:rsidRDefault="00E54106" w:rsidP="00E54106">
      <w:pPr>
        <w:tabs>
          <w:tab w:val="left" w:pos="1080"/>
        </w:tabs>
        <w:ind w:left="1080" w:right="216" w:hanging="1080"/>
      </w:pPr>
      <w:r w:rsidRPr="00E54106">
        <w:t xml:space="preserve">Kelly Kang </w:t>
      </w:r>
    </w:p>
    <w:p w14:paraId="0C349ED8" w14:textId="77777777" w:rsidR="00E54106" w:rsidRPr="00E54106" w:rsidRDefault="00E54106" w:rsidP="00E54106">
      <w:pPr>
        <w:tabs>
          <w:tab w:val="left" w:pos="1080"/>
        </w:tabs>
        <w:ind w:left="1080" w:right="216" w:hanging="1080"/>
      </w:pPr>
      <w:r w:rsidRPr="00E54106">
        <w:t>Project Officer</w:t>
      </w:r>
    </w:p>
    <w:p w14:paraId="59BE7FD0" w14:textId="77777777" w:rsidR="00E54106" w:rsidRPr="00E54106" w:rsidRDefault="00E54106" w:rsidP="00E54106">
      <w:pPr>
        <w:tabs>
          <w:tab w:val="left" w:pos="1080"/>
        </w:tabs>
        <w:ind w:left="1080" w:right="216" w:hanging="1080"/>
      </w:pPr>
      <w:r w:rsidRPr="00E54106">
        <w:t>Survey of Graduate Students and Postdoctorates in Science and Engineering</w:t>
      </w:r>
    </w:p>
    <w:p w14:paraId="7C3A2301" w14:textId="77777777" w:rsidR="00E54106" w:rsidRPr="00E54106" w:rsidRDefault="00E54106" w:rsidP="00E54106">
      <w:pPr>
        <w:tabs>
          <w:tab w:val="left" w:pos="1080"/>
        </w:tabs>
        <w:ind w:left="1080" w:right="216" w:hanging="1080"/>
      </w:pPr>
      <w:r w:rsidRPr="00E54106">
        <w:t xml:space="preserve">Human Resources Statistics Program </w:t>
      </w:r>
    </w:p>
    <w:p w14:paraId="5D5DD266" w14:textId="77777777" w:rsidR="00E54106" w:rsidRPr="00E54106" w:rsidRDefault="00E54106" w:rsidP="00E54106">
      <w:pPr>
        <w:tabs>
          <w:tab w:val="left" w:pos="1080"/>
        </w:tabs>
        <w:ind w:left="1080" w:right="216" w:hanging="1080"/>
      </w:pPr>
      <w:r w:rsidRPr="00E54106">
        <w:t xml:space="preserve">National Center for Science and Engineering Statistics </w:t>
      </w:r>
    </w:p>
    <w:p w14:paraId="735D88C4" w14:textId="77777777" w:rsidR="00E54106" w:rsidRPr="00E54106" w:rsidRDefault="00E54106" w:rsidP="00E54106">
      <w:pPr>
        <w:tabs>
          <w:tab w:val="left" w:pos="1080"/>
        </w:tabs>
        <w:ind w:left="1080" w:right="216" w:hanging="1080"/>
      </w:pPr>
      <w:r w:rsidRPr="00E54106">
        <w:t>National Science Foundation</w:t>
      </w:r>
    </w:p>
    <w:p w14:paraId="6654AEC1" w14:textId="77777777" w:rsidR="00E54106" w:rsidRPr="00E54106" w:rsidRDefault="00E54106" w:rsidP="00E54106">
      <w:pPr>
        <w:tabs>
          <w:tab w:val="left" w:pos="1080"/>
        </w:tabs>
        <w:ind w:left="1080" w:right="216" w:hanging="1080"/>
      </w:pPr>
      <w:r w:rsidRPr="00E54106">
        <w:t>kkang@nsf.gov</w:t>
      </w:r>
    </w:p>
    <w:p w14:paraId="59C0FD26" w14:textId="77777777" w:rsidR="00E54106" w:rsidRPr="00E54106" w:rsidRDefault="00E54106" w:rsidP="00E54106">
      <w:pPr>
        <w:tabs>
          <w:tab w:val="left" w:pos="1080"/>
        </w:tabs>
        <w:ind w:left="1080" w:right="216" w:hanging="1080"/>
      </w:pPr>
      <w:r w:rsidRPr="00E54106">
        <w:t>703-292-7796</w:t>
      </w:r>
    </w:p>
    <w:p w14:paraId="51A8A38C" w14:textId="77777777" w:rsidR="00DD5933" w:rsidRDefault="00DD5933" w:rsidP="004D2D8A"/>
    <w:p w14:paraId="2AA9CA9D" w14:textId="3986135E" w:rsidR="00F612AA" w:rsidRDefault="00F612AA" w:rsidP="00757D77">
      <w:pPr>
        <w:pStyle w:val="NoSpacing"/>
      </w:pPr>
      <w:r>
        <w:t xml:space="preserve">Attachment 1: </w:t>
      </w:r>
      <w:r w:rsidR="008F4152">
        <w:t xml:space="preserve">GSS Web </w:t>
      </w:r>
      <w:r w:rsidR="00A51801">
        <w:t xml:space="preserve">Survey </w:t>
      </w:r>
      <w:r w:rsidR="00EA0926">
        <w:t>Screens</w:t>
      </w:r>
    </w:p>
    <w:p w14:paraId="0A1BF4A4" w14:textId="56DBB55C" w:rsidR="00BB7A46" w:rsidRDefault="00BB7A46" w:rsidP="00757D77">
      <w:pPr>
        <w:pStyle w:val="NoSpacing"/>
      </w:pPr>
      <w:r>
        <w:t xml:space="preserve">Attachment </w:t>
      </w:r>
      <w:r w:rsidR="005126C7">
        <w:t>2</w:t>
      </w:r>
      <w:r>
        <w:t xml:space="preserve">: </w:t>
      </w:r>
      <w:r w:rsidR="008F4152">
        <w:t xml:space="preserve">GSS Coordinator Survey Results: </w:t>
      </w:r>
      <w:r>
        <w:t xml:space="preserve">Executive Summary </w:t>
      </w:r>
    </w:p>
    <w:p w14:paraId="13202A47" w14:textId="7E120AAB" w:rsidR="00CD68BB" w:rsidRDefault="00CD68BB" w:rsidP="00757D77">
      <w:pPr>
        <w:pStyle w:val="NoSpacing"/>
      </w:pPr>
      <w:r>
        <w:t xml:space="preserve">Attachment </w:t>
      </w:r>
      <w:r w:rsidR="005126C7">
        <w:t>3</w:t>
      </w:r>
      <w:r>
        <w:t xml:space="preserve">: </w:t>
      </w:r>
      <w:r w:rsidR="00F54607">
        <w:t xml:space="preserve">2016 </w:t>
      </w:r>
      <w:r w:rsidR="006259C2">
        <w:t xml:space="preserve">GSS </w:t>
      </w:r>
      <w:r>
        <w:t xml:space="preserve">Pilot </w:t>
      </w:r>
      <w:r w:rsidR="008F4152">
        <w:t xml:space="preserve">Institution </w:t>
      </w:r>
      <w:r w:rsidR="00796772">
        <w:t>Invitation</w:t>
      </w:r>
    </w:p>
    <w:p w14:paraId="68D25E31" w14:textId="52E2B818" w:rsidR="00AA319A" w:rsidRDefault="00A51801" w:rsidP="00757D77">
      <w:pPr>
        <w:pStyle w:val="NoSpacing"/>
      </w:pPr>
      <w:r>
        <w:t>Attachment 4: GSS Data File Specification Screens</w:t>
      </w:r>
      <w:bookmarkStart w:id="0" w:name="_GoBack"/>
      <w:bookmarkEnd w:id="0"/>
    </w:p>
    <w:sectPr w:rsidR="00AA319A" w:rsidSect="00DD5933">
      <w:footerReference w:type="default" r:id="rId8"/>
      <w:pgSz w:w="12240" w:h="15840" w:code="1"/>
      <w:pgMar w:top="1008" w:right="1440" w:bottom="93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59B7A" w14:textId="77777777" w:rsidR="00DF01E3" w:rsidRDefault="00DF01E3" w:rsidP="00A66325">
      <w:r>
        <w:separator/>
      </w:r>
    </w:p>
  </w:endnote>
  <w:endnote w:type="continuationSeparator" w:id="0">
    <w:p w14:paraId="3EDBE055" w14:textId="77777777" w:rsidR="00DF01E3" w:rsidRDefault="00DF01E3" w:rsidP="00A66325">
      <w:r>
        <w:continuationSeparator/>
      </w:r>
    </w:p>
  </w:endnote>
  <w:endnote w:type="continuationNotice" w:id="1">
    <w:p w14:paraId="10784E79" w14:textId="77777777" w:rsidR="00DF01E3" w:rsidRDefault="00DF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718702"/>
      <w:docPartObj>
        <w:docPartGallery w:val="Page Numbers (Bottom of Page)"/>
        <w:docPartUnique/>
      </w:docPartObj>
    </w:sdtPr>
    <w:sdtEndPr>
      <w:rPr>
        <w:noProof/>
      </w:rPr>
    </w:sdtEndPr>
    <w:sdtContent>
      <w:p w14:paraId="6DD33CE9" w14:textId="0638E578" w:rsidR="00754F10" w:rsidRDefault="00754F10">
        <w:pPr>
          <w:pStyle w:val="Footer"/>
          <w:jc w:val="right"/>
        </w:pPr>
        <w:r>
          <w:fldChar w:fldCharType="begin"/>
        </w:r>
        <w:r>
          <w:instrText xml:space="preserve"> PAGE   \* MERGEFORMAT </w:instrText>
        </w:r>
        <w:r>
          <w:fldChar w:fldCharType="separate"/>
        </w:r>
        <w:r w:rsidR="00757D77">
          <w:rPr>
            <w:noProof/>
          </w:rPr>
          <w:t>6</w:t>
        </w:r>
        <w:r>
          <w:rPr>
            <w:noProof/>
          </w:rPr>
          <w:fldChar w:fldCharType="end"/>
        </w:r>
      </w:p>
    </w:sdtContent>
  </w:sdt>
  <w:p w14:paraId="6D2805AA" w14:textId="77777777" w:rsidR="00754F10" w:rsidRDefault="00754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BE073" w14:textId="77777777" w:rsidR="00DF01E3" w:rsidRDefault="00DF01E3" w:rsidP="00A66325">
      <w:r>
        <w:separator/>
      </w:r>
    </w:p>
  </w:footnote>
  <w:footnote w:type="continuationSeparator" w:id="0">
    <w:p w14:paraId="001FECB8" w14:textId="77777777" w:rsidR="00DF01E3" w:rsidRDefault="00DF01E3" w:rsidP="00A66325">
      <w:r>
        <w:continuationSeparator/>
      </w:r>
    </w:p>
  </w:footnote>
  <w:footnote w:type="continuationNotice" w:id="1">
    <w:p w14:paraId="2E9955ED" w14:textId="77777777" w:rsidR="00DF01E3" w:rsidRDefault="00DF01E3"/>
  </w:footnote>
  <w:footnote w:id="2">
    <w:p w14:paraId="660CCEF9" w14:textId="77777777" w:rsidR="00957EBE" w:rsidRDefault="00957EBE" w:rsidP="00A66325">
      <w:pPr>
        <w:pStyle w:val="FootnoteText"/>
      </w:pPr>
      <w:r>
        <w:rPr>
          <w:rStyle w:val="FootnoteReference"/>
        </w:rPr>
        <w:footnoteRef/>
      </w:r>
      <w:r>
        <w:t xml:space="preserve"> Organizational units are defined as departments, programs, health-care facilities and research centers.</w:t>
      </w:r>
    </w:p>
  </w:footnote>
  <w:footnote w:id="3">
    <w:p w14:paraId="78C005C5" w14:textId="541C5994" w:rsidR="00B81768" w:rsidRDefault="00B81768">
      <w:pPr>
        <w:pStyle w:val="FootnoteText"/>
      </w:pPr>
      <w:r>
        <w:rPr>
          <w:rStyle w:val="FootnoteReference"/>
        </w:rPr>
        <w:footnoteRef/>
      </w:r>
      <w:r>
        <w:t xml:space="preserve"> Pilot sample excludes the coordinators who are only responsible for reporting postdoc and NFR data at their institution since the study is primarily focused on separate data reporting of master’s and doctoral students.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1A70"/>
    <w:multiLevelType w:val="hybridMultilevel"/>
    <w:tmpl w:val="CBE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631A9"/>
    <w:multiLevelType w:val="hybridMultilevel"/>
    <w:tmpl w:val="F7169D9C"/>
    <w:lvl w:ilvl="0" w:tplc="D1740CCA">
      <w:start w:val="1"/>
      <w:numFmt w:val="bullet"/>
      <w:pStyle w:val="List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13F2B15"/>
    <w:multiLevelType w:val="hybridMultilevel"/>
    <w:tmpl w:val="EC4A501A"/>
    <w:lvl w:ilvl="0" w:tplc="843A32A4">
      <w:numFmt w:val="bullet"/>
      <w:lvlText w:val="•"/>
      <w:lvlJc w:val="left"/>
      <w:pPr>
        <w:ind w:left="990" w:hanging="360"/>
      </w:pPr>
      <w:rPr>
        <w:rFonts w:ascii="Tahoma" w:hAnsi="Tahoma" w:hint="default"/>
        <w:caps w:val="0"/>
        <w:strike w:val="0"/>
        <w:dstrike w:val="0"/>
        <w:vanish w:val="0"/>
        <w:sz w:val="28"/>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35D580B"/>
    <w:multiLevelType w:val="hybridMultilevel"/>
    <w:tmpl w:val="CBB4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F12C0"/>
    <w:multiLevelType w:val="hybridMultilevel"/>
    <w:tmpl w:val="B1BCFDA2"/>
    <w:lvl w:ilvl="0" w:tplc="658E7388">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C7B4445"/>
    <w:multiLevelType w:val="hybridMultilevel"/>
    <w:tmpl w:val="AB1A8722"/>
    <w:lvl w:ilvl="0" w:tplc="843A32A4">
      <w:numFmt w:val="bullet"/>
      <w:lvlText w:val="•"/>
      <w:lvlJc w:val="left"/>
      <w:pPr>
        <w:ind w:left="720" w:hanging="360"/>
      </w:pPr>
      <w:rPr>
        <w:rFonts w:ascii="Tahoma" w:hAnsi="Tahoma" w:hint="default"/>
        <w:caps w:val="0"/>
        <w:strike w:val="0"/>
        <w:dstrike w:val="0"/>
        <w:vanish w:val="0"/>
        <w:sz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C44F6"/>
    <w:multiLevelType w:val="hybridMultilevel"/>
    <w:tmpl w:val="8536FE30"/>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4F33075"/>
    <w:multiLevelType w:val="hybridMultilevel"/>
    <w:tmpl w:val="4E3E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C12ED"/>
    <w:multiLevelType w:val="hybridMultilevel"/>
    <w:tmpl w:val="98464F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CF02C3A"/>
    <w:multiLevelType w:val="hybridMultilevel"/>
    <w:tmpl w:val="4F5E4AC0"/>
    <w:lvl w:ilvl="0" w:tplc="97041CB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F5875"/>
    <w:multiLevelType w:val="hybridMultilevel"/>
    <w:tmpl w:val="EE3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52C85"/>
    <w:multiLevelType w:val="hybridMultilevel"/>
    <w:tmpl w:val="5820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37D46"/>
    <w:multiLevelType w:val="hybridMultilevel"/>
    <w:tmpl w:val="65920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B176E"/>
    <w:multiLevelType w:val="hybridMultilevel"/>
    <w:tmpl w:val="F40E7D3E"/>
    <w:lvl w:ilvl="0" w:tplc="843A32A4">
      <w:numFmt w:val="bullet"/>
      <w:lvlText w:val="•"/>
      <w:lvlJc w:val="left"/>
      <w:pPr>
        <w:ind w:left="1080" w:hanging="360"/>
      </w:pPr>
      <w:rPr>
        <w:rFonts w:ascii="Tahoma" w:hAnsi="Tahoma" w:hint="default"/>
        <w:caps w:val="0"/>
        <w:strike w:val="0"/>
        <w:dstrike w:val="0"/>
        <w:vanish w:val="0"/>
        <w:sz w:val="28"/>
        <w:szCs w:val="20"/>
        <w:vertAlign w:val="baseline"/>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71650134"/>
    <w:multiLevelType w:val="hybridMultilevel"/>
    <w:tmpl w:val="8AA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3"/>
  </w:num>
  <w:num w:numId="5">
    <w:abstractNumId w:val="16"/>
  </w:num>
  <w:num w:numId="6">
    <w:abstractNumId w:val="4"/>
  </w:num>
  <w:num w:numId="7">
    <w:abstractNumId w:val="10"/>
  </w:num>
  <w:num w:numId="8">
    <w:abstractNumId w:val="7"/>
  </w:num>
  <w:num w:numId="9">
    <w:abstractNumId w:val="0"/>
  </w:num>
  <w:num w:numId="10">
    <w:abstractNumId w:val="12"/>
  </w:num>
  <w:num w:numId="11">
    <w:abstractNumId w:val="14"/>
  </w:num>
  <w:num w:numId="12">
    <w:abstractNumId w:val="1"/>
  </w:num>
  <w:num w:numId="13">
    <w:abstractNumId w:val="3"/>
  </w:num>
  <w:num w:numId="14">
    <w:abstractNumId w:val="2"/>
  </w:num>
  <w:num w:numId="15">
    <w:abstractNumId w:val="5"/>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8A"/>
    <w:rsid w:val="00003DE5"/>
    <w:rsid w:val="00006FC4"/>
    <w:rsid w:val="000071B4"/>
    <w:rsid w:val="00021605"/>
    <w:rsid w:val="00023A41"/>
    <w:rsid w:val="0004632C"/>
    <w:rsid w:val="00082EED"/>
    <w:rsid w:val="000859EA"/>
    <w:rsid w:val="00092934"/>
    <w:rsid w:val="00093C5C"/>
    <w:rsid w:val="0009435B"/>
    <w:rsid w:val="000B390A"/>
    <w:rsid w:val="000C0FF2"/>
    <w:rsid w:val="000C174F"/>
    <w:rsid w:val="000C32E5"/>
    <w:rsid w:val="000D1717"/>
    <w:rsid w:val="000D271C"/>
    <w:rsid w:val="000D7A9F"/>
    <w:rsid w:val="000F34D4"/>
    <w:rsid w:val="000F3CA2"/>
    <w:rsid w:val="000F5C1C"/>
    <w:rsid w:val="000F71EB"/>
    <w:rsid w:val="001073BE"/>
    <w:rsid w:val="00110F1A"/>
    <w:rsid w:val="001210D7"/>
    <w:rsid w:val="00127CDA"/>
    <w:rsid w:val="0013423D"/>
    <w:rsid w:val="00144856"/>
    <w:rsid w:val="00144B8C"/>
    <w:rsid w:val="00146790"/>
    <w:rsid w:val="00146E72"/>
    <w:rsid w:val="00153FE8"/>
    <w:rsid w:val="00167BA4"/>
    <w:rsid w:val="001759F8"/>
    <w:rsid w:val="00191923"/>
    <w:rsid w:val="00195D33"/>
    <w:rsid w:val="001A1E39"/>
    <w:rsid w:val="001A394B"/>
    <w:rsid w:val="001B3EED"/>
    <w:rsid w:val="001D46D2"/>
    <w:rsid w:val="001E5205"/>
    <w:rsid w:val="001F725C"/>
    <w:rsid w:val="00205303"/>
    <w:rsid w:val="00207D7B"/>
    <w:rsid w:val="002117F6"/>
    <w:rsid w:val="00227927"/>
    <w:rsid w:val="00230B1C"/>
    <w:rsid w:val="00231CCD"/>
    <w:rsid w:val="00236B45"/>
    <w:rsid w:val="00242250"/>
    <w:rsid w:val="00242FE8"/>
    <w:rsid w:val="00245C98"/>
    <w:rsid w:val="0025675E"/>
    <w:rsid w:val="00262082"/>
    <w:rsid w:val="002665FC"/>
    <w:rsid w:val="0026709C"/>
    <w:rsid w:val="00270CDD"/>
    <w:rsid w:val="002907A4"/>
    <w:rsid w:val="002A7277"/>
    <w:rsid w:val="002A787E"/>
    <w:rsid w:val="002B2807"/>
    <w:rsid w:val="002B610C"/>
    <w:rsid w:val="002B62D1"/>
    <w:rsid w:val="002C581B"/>
    <w:rsid w:val="002D4B6A"/>
    <w:rsid w:val="002E4BDB"/>
    <w:rsid w:val="002E6C0D"/>
    <w:rsid w:val="002F1E3F"/>
    <w:rsid w:val="003048BF"/>
    <w:rsid w:val="00334F1C"/>
    <w:rsid w:val="00340474"/>
    <w:rsid w:val="003404A9"/>
    <w:rsid w:val="00350D47"/>
    <w:rsid w:val="00367E36"/>
    <w:rsid w:val="00374869"/>
    <w:rsid w:val="00374F28"/>
    <w:rsid w:val="0037779F"/>
    <w:rsid w:val="00387183"/>
    <w:rsid w:val="00387E46"/>
    <w:rsid w:val="00390D70"/>
    <w:rsid w:val="00396617"/>
    <w:rsid w:val="00396984"/>
    <w:rsid w:val="003A1749"/>
    <w:rsid w:val="003B2C29"/>
    <w:rsid w:val="003B5A2B"/>
    <w:rsid w:val="003C286A"/>
    <w:rsid w:val="003C3DDC"/>
    <w:rsid w:val="003D00D1"/>
    <w:rsid w:val="003E579A"/>
    <w:rsid w:val="003F14AE"/>
    <w:rsid w:val="003F27C8"/>
    <w:rsid w:val="00406C3C"/>
    <w:rsid w:val="0041193E"/>
    <w:rsid w:val="00417772"/>
    <w:rsid w:val="00424AA7"/>
    <w:rsid w:val="00430462"/>
    <w:rsid w:val="004401B9"/>
    <w:rsid w:val="00441435"/>
    <w:rsid w:val="00442DFF"/>
    <w:rsid w:val="004437D6"/>
    <w:rsid w:val="00447A43"/>
    <w:rsid w:val="004539B4"/>
    <w:rsid w:val="004552CF"/>
    <w:rsid w:val="004657B9"/>
    <w:rsid w:val="00485A59"/>
    <w:rsid w:val="004A0E75"/>
    <w:rsid w:val="004B6D29"/>
    <w:rsid w:val="004C50DF"/>
    <w:rsid w:val="004D2D8A"/>
    <w:rsid w:val="004D50B5"/>
    <w:rsid w:val="004F19C2"/>
    <w:rsid w:val="004F3864"/>
    <w:rsid w:val="00500843"/>
    <w:rsid w:val="005070F6"/>
    <w:rsid w:val="005126C7"/>
    <w:rsid w:val="005210B6"/>
    <w:rsid w:val="00526A38"/>
    <w:rsid w:val="00543C58"/>
    <w:rsid w:val="00547BC0"/>
    <w:rsid w:val="00550AD7"/>
    <w:rsid w:val="005566E2"/>
    <w:rsid w:val="00565A5B"/>
    <w:rsid w:val="00565AF2"/>
    <w:rsid w:val="0057314C"/>
    <w:rsid w:val="005833AD"/>
    <w:rsid w:val="00595CA9"/>
    <w:rsid w:val="00597F8F"/>
    <w:rsid w:val="005A5409"/>
    <w:rsid w:val="005B7EC4"/>
    <w:rsid w:val="00607E40"/>
    <w:rsid w:val="00611F4F"/>
    <w:rsid w:val="00622ACD"/>
    <w:rsid w:val="006259C2"/>
    <w:rsid w:val="00626A52"/>
    <w:rsid w:val="00656743"/>
    <w:rsid w:val="00674169"/>
    <w:rsid w:val="006762A9"/>
    <w:rsid w:val="006A5AFD"/>
    <w:rsid w:val="006A5C1A"/>
    <w:rsid w:val="006A66FA"/>
    <w:rsid w:val="006C1AC6"/>
    <w:rsid w:val="006C2C01"/>
    <w:rsid w:val="006D6403"/>
    <w:rsid w:val="006D7941"/>
    <w:rsid w:val="006F1D9B"/>
    <w:rsid w:val="006F3BE4"/>
    <w:rsid w:val="006F4676"/>
    <w:rsid w:val="006F7304"/>
    <w:rsid w:val="00706E14"/>
    <w:rsid w:val="007164CC"/>
    <w:rsid w:val="00735A79"/>
    <w:rsid w:val="007437A6"/>
    <w:rsid w:val="00747D72"/>
    <w:rsid w:val="00754F10"/>
    <w:rsid w:val="00757D77"/>
    <w:rsid w:val="00774B22"/>
    <w:rsid w:val="007828EA"/>
    <w:rsid w:val="007934CC"/>
    <w:rsid w:val="00795D42"/>
    <w:rsid w:val="00796772"/>
    <w:rsid w:val="007A0B95"/>
    <w:rsid w:val="007A1FCC"/>
    <w:rsid w:val="007A22DF"/>
    <w:rsid w:val="007A28D1"/>
    <w:rsid w:val="007A2B2C"/>
    <w:rsid w:val="007A42A8"/>
    <w:rsid w:val="007B0103"/>
    <w:rsid w:val="007B358A"/>
    <w:rsid w:val="007B4802"/>
    <w:rsid w:val="007C1FBB"/>
    <w:rsid w:val="007D0A16"/>
    <w:rsid w:val="007D4B21"/>
    <w:rsid w:val="007D7BFF"/>
    <w:rsid w:val="007E0429"/>
    <w:rsid w:val="007E2258"/>
    <w:rsid w:val="007F2568"/>
    <w:rsid w:val="00801785"/>
    <w:rsid w:val="00801E61"/>
    <w:rsid w:val="00811BB1"/>
    <w:rsid w:val="00821A87"/>
    <w:rsid w:val="00822BF7"/>
    <w:rsid w:val="008275C1"/>
    <w:rsid w:val="00827893"/>
    <w:rsid w:val="008302B9"/>
    <w:rsid w:val="008511C6"/>
    <w:rsid w:val="00864CCB"/>
    <w:rsid w:val="00865CF2"/>
    <w:rsid w:val="008962AD"/>
    <w:rsid w:val="008A13BE"/>
    <w:rsid w:val="008A6AB2"/>
    <w:rsid w:val="008C29F0"/>
    <w:rsid w:val="008D36B9"/>
    <w:rsid w:val="008F4152"/>
    <w:rsid w:val="00910B54"/>
    <w:rsid w:val="0091648C"/>
    <w:rsid w:val="009179BB"/>
    <w:rsid w:val="00933DD5"/>
    <w:rsid w:val="00943839"/>
    <w:rsid w:val="00957EBE"/>
    <w:rsid w:val="0096244B"/>
    <w:rsid w:val="00971754"/>
    <w:rsid w:val="00986E83"/>
    <w:rsid w:val="009A12B5"/>
    <w:rsid w:val="009B1A2F"/>
    <w:rsid w:val="009D0A0B"/>
    <w:rsid w:val="009D1A31"/>
    <w:rsid w:val="009E47A6"/>
    <w:rsid w:val="009F03CD"/>
    <w:rsid w:val="00A24F8D"/>
    <w:rsid w:val="00A26FE8"/>
    <w:rsid w:val="00A27F5F"/>
    <w:rsid w:val="00A34CCC"/>
    <w:rsid w:val="00A45359"/>
    <w:rsid w:val="00A45DC4"/>
    <w:rsid w:val="00A51801"/>
    <w:rsid w:val="00A61427"/>
    <w:rsid w:val="00A61E84"/>
    <w:rsid w:val="00A65733"/>
    <w:rsid w:val="00A66325"/>
    <w:rsid w:val="00A70CAE"/>
    <w:rsid w:val="00A75F6E"/>
    <w:rsid w:val="00A8408D"/>
    <w:rsid w:val="00A86602"/>
    <w:rsid w:val="00AA319A"/>
    <w:rsid w:val="00AA481E"/>
    <w:rsid w:val="00AC6EE7"/>
    <w:rsid w:val="00AE19BC"/>
    <w:rsid w:val="00AE67D9"/>
    <w:rsid w:val="00AF63CE"/>
    <w:rsid w:val="00B07916"/>
    <w:rsid w:val="00B07B2D"/>
    <w:rsid w:val="00B1082D"/>
    <w:rsid w:val="00B134E3"/>
    <w:rsid w:val="00B20594"/>
    <w:rsid w:val="00B345B5"/>
    <w:rsid w:val="00B44722"/>
    <w:rsid w:val="00B6730D"/>
    <w:rsid w:val="00B67FC4"/>
    <w:rsid w:val="00B72932"/>
    <w:rsid w:val="00B81768"/>
    <w:rsid w:val="00B8782D"/>
    <w:rsid w:val="00B954A2"/>
    <w:rsid w:val="00BA64AB"/>
    <w:rsid w:val="00BA6D60"/>
    <w:rsid w:val="00BA7AB5"/>
    <w:rsid w:val="00BB7A46"/>
    <w:rsid w:val="00BC6427"/>
    <w:rsid w:val="00BF4991"/>
    <w:rsid w:val="00C01531"/>
    <w:rsid w:val="00C140BD"/>
    <w:rsid w:val="00C17BD6"/>
    <w:rsid w:val="00C35C4F"/>
    <w:rsid w:val="00C400FC"/>
    <w:rsid w:val="00C44EE6"/>
    <w:rsid w:val="00C54DCE"/>
    <w:rsid w:val="00C64F77"/>
    <w:rsid w:val="00C73E96"/>
    <w:rsid w:val="00C756B3"/>
    <w:rsid w:val="00CA01FA"/>
    <w:rsid w:val="00CA7BCD"/>
    <w:rsid w:val="00CB0858"/>
    <w:rsid w:val="00CB2EB1"/>
    <w:rsid w:val="00CC028F"/>
    <w:rsid w:val="00CD1E8C"/>
    <w:rsid w:val="00CD68BB"/>
    <w:rsid w:val="00CF3D6F"/>
    <w:rsid w:val="00CF73A2"/>
    <w:rsid w:val="00D1129C"/>
    <w:rsid w:val="00D13DE1"/>
    <w:rsid w:val="00D20773"/>
    <w:rsid w:val="00D277E2"/>
    <w:rsid w:val="00D41229"/>
    <w:rsid w:val="00D42800"/>
    <w:rsid w:val="00D51330"/>
    <w:rsid w:val="00D64F7B"/>
    <w:rsid w:val="00D66B44"/>
    <w:rsid w:val="00D76F6E"/>
    <w:rsid w:val="00D87641"/>
    <w:rsid w:val="00D87775"/>
    <w:rsid w:val="00D87E13"/>
    <w:rsid w:val="00D91AA0"/>
    <w:rsid w:val="00DD056E"/>
    <w:rsid w:val="00DD5933"/>
    <w:rsid w:val="00DE6593"/>
    <w:rsid w:val="00DF01E3"/>
    <w:rsid w:val="00E001C9"/>
    <w:rsid w:val="00E13046"/>
    <w:rsid w:val="00E21468"/>
    <w:rsid w:val="00E23CA3"/>
    <w:rsid w:val="00E30305"/>
    <w:rsid w:val="00E339A3"/>
    <w:rsid w:val="00E44065"/>
    <w:rsid w:val="00E54106"/>
    <w:rsid w:val="00E61A6B"/>
    <w:rsid w:val="00E61BBC"/>
    <w:rsid w:val="00E72626"/>
    <w:rsid w:val="00E91254"/>
    <w:rsid w:val="00EA0926"/>
    <w:rsid w:val="00EB750E"/>
    <w:rsid w:val="00EE3141"/>
    <w:rsid w:val="00EF40F7"/>
    <w:rsid w:val="00EF7B4F"/>
    <w:rsid w:val="00F019A9"/>
    <w:rsid w:val="00F44D30"/>
    <w:rsid w:val="00F509C4"/>
    <w:rsid w:val="00F54607"/>
    <w:rsid w:val="00F612AA"/>
    <w:rsid w:val="00F64781"/>
    <w:rsid w:val="00F73228"/>
    <w:rsid w:val="00F73E07"/>
    <w:rsid w:val="00F767E9"/>
    <w:rsid w:val="00F801E4"/>
    <w:rsid w:val="00F80DAF"/>
    <w:rsid w:val="00F822EC"/>
    <w:rsid w:val="00FA47BB"/>
    <w:rsid w:val="00FB2A37"/>
    <w:rsid w:val="00FC245D"/>
    <w:rsid w:val="00FE565A"/>
    <w:rsid w:val="00FE5EE9"/>
    <w:rsid w:val="00FE73E7"/>
    <w:rsid w:val="00FF1E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24DD"/>
  <w15:chartTrackingRefBased/>
  <w15:docId w15:val="{0D1C5103-88EB-4E9A-8BA2-3BC3679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410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link w:val="SalutationChar"/>
    <w:autoRedefine/>
    <w:uiPriority w:val="99"/>
    <w:rsid w:val="004D2D8A"/>
    <w:pPr>
      <w:tabs>
        <w:tab w:val="left" w:pos="1080"/>
      </w:tabs>
      <w:ind w:left="1080" w:hanging="1080"/>
    </w:pPr>
    <w:rPr>
      <w:sz w:val="22"/>
    </w:rPr>
  </w:style>
  <w:style w:type="character" w:customStyle="1" w:styleId="SalutationChar">
    <w:name w:val="Salutation Char"/>
    <w:basedOn w:val="DefaultParagraphFont"/>
    <w:link w:val="Salutation"/>
    <w:uiPriority w:val="99"/>
    <w:rsid w:val="004D2D8A"/>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54106"/>
    <w:rPr>
      <w:rFonts w:ascii="Cambria" w:eastAsia="Times New Roman" w:hAnsi="Cambria" w:cs="Times New Roman"/>
      <w:b/>
      <w:bCs/>
      <w:kern w:val="32"/>
      <w:sz w:val="32"/>
      <w:szCs w:val="32"/>
    </w:rPr>
  </w:style>
  <w:style w:type="paragraph" w:styleId="FootnoteText">
    <w:name w:val="footnote text"/>
    <w:basedOn w:val="Normal"/>
    <w:link w:val="FootnoteTextChar"/>
    <w:semiHidden/>
    <w:rsid w:val="00A66325"/>
    <w:rPr>
      <w:sz w:val="20"/>
      <w:szCs w:val="20"/>
    </w:rPr>
  </w:style>
  <w:style w:type="character" w:customStyle="1" w:styleId="FootnoteTextChar">
    <w:name w:val="Footnote Text Char"/>
    <w:basedOn w:val="DefaultParagraphFont"/>
    <w:link w:val="FootnoteText"/>
    <w:semiHidden/>
    <w:rsid w:val="00A66325"/>
    <w:rPr>
      <w:rFonts w:ascii="Times New Roman" w:eastAsia="Times New Roman" w:hAnsi="Times New Roman" w:cs="Times New Roman"/>
      <w:sz w:val="20"/>
      <w:szCs w:val="20"/>
    </w:rPr>
  </w:style>
  <w:style w:type="character" w:styleId="FootnoteReference">
    <w:name w:val="footnote reference"/>
    <w:basedOn w:val="DefaultParagraphFont"/>
    <w:semiHidden/>
    <w:rsid w:val="00A66325"/>
    <w:rPr>
      <w:vertAlign w:val="superscript"/>
    </w:rPr>
  </w:style>
  <w:style w:type="paragraph" w:styleId="BodyText">
    <w:name w:val="Body Text"/>
    <w:basedOn w:val="Normal"/>
    <w:link w:val="BodyTextChar"/>
    <w:rsid w:val="00A66325"/>
    <w:rPr>
      <w:szCs w:val="20"/>
    </w:rPr>
  </w:style>
  <w:style w:type="character" w:customStyle="1" w:styleId="BodyTextChar">
    <w:name w:val="Body Text Char"/>
    <w:basedOn w:val="DefaultParagraphFont"/>
    <w:link w:val="BodyText"/>
    <w:rsid w:val="00A6632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1717"/>
    <w:rPr>
      <w:sz w:val="16"/>
      <w:szCs w:val="16"/>
    </w:rPr>
  </w:style>
  <w:style w:type="paragraph" w:styleId="CommentText">
    <w:name w:val="annotation text"/>
    <w:basedOn w:val="Normal"/>
    <w:link w:val="CommentTextChar"/>
    <w:uiPriority w:val="99"/>
    <w:semiHidden/>
    <w:unhideWhenUsed/>
    <w:rsid w:val="000D1717"/>
    <w:rPr>
      <w:sz w:val="20"/>
      <w:szCs w:val="20"/>
    </w:rPr>
  </w:style>
  <w:style w:type="character" w:customStyle="1" w:styleId="CommentTextChar">
    <w:name w:val="Comment Text Char"/>
    <w:basedOn w:val="DefaultParagraphFont"/>
    <w:link w:val="CommentText"/>
    <w:uiPriority w:val="99"/>
    <w:semiHidden/>
    <w:rsid w:val="000D17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717"/>
    <w:rPr>
      <w:b/>
      <w:bCs/>
    </w:rPr>
  </w:style>
  <w:style w:type="character" w:customStyle="1" w:styleId="CommentSubjectChar">
    <w:name w:val="Comment Subject Char"/>
    <w:basedOn w:val="CommentTextChar"/>
    <w:link w:val="CommentSubject"/>
    <w:uiPriority w:val="99"/>
    <w:semiHidden/>
    <w:rsid w:val="000D17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717"/>
    <w:rPr>
      <w:rFonts w:ascii="Segoe UI" w:eastAsia="Times New Roman" w:hAnsi="Segoe UI" w:cs="Segoe UI"/>
      <w:sz w:val="18"/>
      <w:szCs w:val="18"/>
    </w:rPr>
  </w:style>
  <w:style w:type="paragraph" w:styleId="ListParagraph">
    <w:name w:val="List Paragraph"/>
    <w:basedOn w:val="Normal"/>
    <w:uiPriority w:val="34"/>
    <w:qFormat/>
    <w:rsid w:val="003C286A"/>
    <w:pPr>
      <w:ind w:left="720"/>
      <w:contextualSpacing/>
    </w:pPr>
  </w:style>
  <w:style w:type="character" w:styleId="Hyperlink">
    <w:name w:val="Hyperlink"/>
    <w:basedOn w:val="DefaultParagraphFont"/>
    <w:uiPriority w:val="99"/>
    <w:unhideWhenUsed/>
    <w:rsid w:val="00EB750E"/>
    <w:rPr>
      <w:color w:val="0563C1" w:themeColor="hyperlink"/>
      <w:u w:val="single"/>
    </w:rPr>
  </w:style>
  <w:style w:type="paragraph" w:styleId="Revision">
    <w:name w:val="Revision"/>
    <w:hidden/>
    <w:uiPriority w:val="99"/>
    <w:semiHidden/>
    <w:rsid w:val="00146E72"/>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1B3EED"/>
    <w:pPr>
      <w:numPr>
        <w:numId w:val="12"/>
      </w:numPr>
      <w:spacing w:before="160" w:after="160"/>
    </w:pPr>
    <w:rPr>
      <w:rFonts w:eastAsia="MS Mincho"/>
      <w:szCs w:val="20"/>
    </w:rPr>
  </w:style>
  <w:style w:type="character" w:styleId="FollowedHyperlink">
    <w:name w:val="FollowedHyperlink"/>
    <w:basedOn w:val="DefaultParagraphFont"/>
    <w:uiPriority w:val="99"/>
    <w:semiHidden/>
    <w:unhideWhenUsed/>
    <w:rsid w:val="00387183"/>
    <w:rPr>
      <w:color w:val="954F72" w:themeColor="followedHyperlink"/>
      <w:u w:val="single"/>
    </w:rPr>
  </w:style>
  <w:style w:type="table" w:styleId="TableGrid">
    <w:name w:val="Table Grid"/>
    <w:basedOn w:val="TableNormal"/>
    <w:uiPriority w:val="39"/>
    <w:rsid w:val="00F80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F10"/>
    <w:pPr>
      <w:tabs>
        <w:tab w:val="center" w:pos="4680"/>
        <w:tab w:val="right" w:pos="9360"/>
      </w:tabs>
    </w:pPr>
  </w:style>
  <w:style w:type="character" w:customStyle="1" w:styleId="HeaderChar">
    <w:name w:val="Header Char"/>
    <w:basedOn w:val="DefaultParagraphFont"/>
    <w:link w:val="Header"/>
    <w:uiPriority w:val="99"/>
    <w:rsid w:val="00754F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F10"/>
    <w:pPr>
      <w:tabs>
        <w:tab w:val="center" w:pos="4680"/>
        <w:tab w:val="right" w:pos="9360"/>
      </w:tabs>
    </w:pPr>
  </w:style>
  <w:style w:type="character" w:customStyle="1" w:styleId="FooterChar">
    <w:name w:val="Footer Char"/>
    <w:basedOn w:val="DefaultParagraphFont"/>
    <w:link w:val="Footer"/>
    <w:uiPriority w:val="99"/>
    <w:rsid w:val="00754F10"/>
    <w:rPr>
      <w:rFonts w:ascii="Times New Roman" w:eastAsia="Times New Roman" w:hAnsi="Times New Roman" w:cs="Times New Roman"/>
      <w:sz w:val="24"/>
      <w:szCs w:val="24"/>
    </w:rPr>
  </w:style>
  <w:style w:type="paragraph" w:styleId="NoSpacing">
    <w:name w:val="No Spacing"/>
    <w:uiPriority w:val="1"/>
    <w:qFormat/>
    <w:rsid w:val="00757D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6629">
      <w:bodyDiv w:val="1"/>
      <w:marLeft w:val="0"/>
      <w:marRight w:val="0"/>
      <w:marTop w:val="0"/>
      <w:marBottom w:val="0"/>
      <w:divBdr>
        <w:top w:val="none" w:sz="0" w:space="0" w:color="auto"/>
        <w:left w:val="none" w:sz="0" w:space="0" w:color="auto"/>
        <w:bottom w:val="none" w:sz="0" w:space="0" w:color="auto"/>
        <w:right w:val="none" w:sz="0" w:space="0" w:color="auto"/>
      </w:divBdr>
    </w:div>
    <w:div w:id="762723845">
      <w:bodyDiv w:val="1"/>
      <w:marLeft w:val="0"/>
      <w:marRight w:val="0"/>
      <w:marTop w:val="0"/>
      <w:marBottom w:val="0"/>
      <w:divBdr>
        <w:top w:val="none" w:sz="0" w:space="0" w:color="auto"/>
        <w:left w:val="none" w:sz="0" w:space="0" w:color="auto"/>
        <w:bottom w:val="none" w:sz="0" w:space="0" w:color="auto"/>
        <w:right w:val="none" w:sz="0" w:space="0" w:color="auto"/>
      </w:divBdr>
    </w:div>
    <w:div w:id="1301501748">
      <w:bodyDiv w:val="1"/>
      <w:marLeft w:val="0"/>
      <w:marRight w:val="0"/>
      <w:marTop w:val="0"/>
      <w:marBottom w:val="0"/>
      <w:divBdr>
        <w:top w:val="none" w:sz="0" w:space="0" w:color="auto"/>
        <w:left w:val="none" w:sz="0" w:space="0" w:color="auto"/>
        <w:bottom w:val="none" w:sz="0" w:space="0" w:color="auto"/>
        <w:right w:val="none" w:sz="0" w:space="0" w:color="auto"/>
      </w:divBdr>
    </w:div>
    <w:div w:id="1429740221">
      <w:bodyDiv w:val="1"/>
      <w:marLeft w:val="0"/>
      <w:marRight w:val="0"/>
      <w:marTop w:val="0"/>
      <w:marBottom w:val="0"/>
      <w:divBdr>
        <w:top w:val="none" w:sz="0" w:space="0" w:color="auto"/>
        <w:left w:val="none" w:sz="0" w:space="0" w:color="auto"/>
        <w:bottom w:val="none" w:sz="0" w:space="0" w:color="auto"/>
        <w:right w:val="none" w:sz="0" w:space="0" w:color="auto"/>
      </w:divBdr>
    </w:div>
    <w:div w:id="15344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449C-9394-4AFF-B9E3-40515634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Jonathan</dc:creator>
  <cp:keywords/>
  <dc:description/>
  <cp:lastModifiedBy>Rivers, Emilda B.</cp:lastModifiedBy>
  <cp:revision>2</cp:revision>
  <cp:lastPrinted>2016-10-13T14:54:00Z</cp:lastPrinted>
  <dcterms:created xsi:type="dcterms:W3CDTF">2016-10-24T19:22:00Z</dcterms:created>
  <dcterms:modified xsi:type="dcterms:W3CDTF">2016-10-24T19:22:00Z</dcterms:modified>
</cp:coreProperties>
</file>