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2444E" w14:textId="7B52E64A" w:rsidR="00BC0544" w:rsidRPr="004357A7" w:rsidRDefault="00E15951" w:rsidP="00240072">
      <w:pPr>
        <w:ind w:left="720" w:hanging="720"/>
        <w:jc w:val="center"/>
        <w:rPr>
          <w:rFonts w:ascii="Times New Roman" w:hAnsi="Times New Roman"/>
          <w:b/>
        </w:rPr>
      </w:pPr>
      <w:r w:rsidRPr="00285756">
        <w:rPr>
          <w:rFonts w:ascii="Times New Roman" w:hAnsi="Times New Roman" w:cs="Times New Roman"/>
          <w:b/>
          <w:bCs/>
        </w:rPr>
        <w:t xml:space="preserve">SUPPORTING STATEMENT </w:t>
      </w:r>
      <w:r w:rsidRPr="00285756">
        <w:rPr>
          <w:rFonts w:ascii="Times New Roman" w:hAnsi="Times New Roman" w:cs="Times New Roman"/>
          <w:b/>
          <w:bCs/>
        </w:rPr>
        <w:br/>
        <w:t>for the Paperwork Reduction Act Information Collection Submission for</w:t>
      </w:r>
      <w:r w:rsidR="00D601A9">
        <w:rPr>
          <w:rFonts w:ascii="Times New Roman" w:hAnsi="Times New Roman" w:cs="Times New Roman"/>
          <w:b/>
          <w:bCs/>
        </w:rPr>
        <w:t xml:space="preserve"> </w:t>
      </w:r>
      <w:r w:rsidR="00912B3D" w:rsidRPr="008D67DF">
        <w:rPr>
          <w:rFonts w:ascii="Times New Roman" w:hAnsi="Times New Roman" w:cs="Times New Roman"/>
          <w:b/>
        </w:rPr>
        <w:t xml:space="preserve">Rule 301: </w:t>
      </w:r>
      <w:r w:rsidR="00A90B28" w:rsidRPr="008D67DF">
        <w:rPr>
          <w:rFonts w:ascii="Times New Roman" w:hAnsi="Times New Roman" w:cs="Times New Roman"/>
          <w:b/>
        </w:rPr>
        <w:t xml:space="preserve"> </w:t>
      </w:r>
      <w:r w:rsidR="00240072">
        <w:rPr>
          <w:rFonts w:ascii="Times New Roman" w:hAnsi="Times New Roman" w:cs="Times New Roman"/>
          <w:b/>
        </w:rPr>
        <w:t>R</w:t>
      </w:r>
      <w:r w:rsidR="00912B3D" w:rsidRPr="00761B79">
        <w:rPr>
          <w:rFonts w:ascii="Times New Roman" w:hAnsi="Times New Roman" w:cs="Times New Roman"/>
          <w:b/>
        </w:rPr>
        <w:t>equirements for Alternative Trading Systems</w:t>
      </w:r>
      <w:r w:rsidR="00A90B28" w:rsidRPr="00761B79">
        <w:rPr>
          <w:rFonts w:ascii="Times New Roman" w:hAnsi="Times New Roman" w:cs="Times New Roman"/>
          <w:b/>
        </w:rPr>
        <w:t xml:space="preserve"> </w:t>
      </w:r>
      <w:r w:rsidR="003F55EB" w:rsidRPr="00204681">
        <w:rPr>
          <w:rFonts w:ascii="Times New Roman" w:hAnsi="Times New Roman" w:cs="Times New Roman"/>
          <w:b/>
        </w:rPr>
        <w:t>That are Not National Securities Exchanges</w:t>
      </w:r>
      <w:r w:rsidR="00091ED1">
        <w:rPr>
          <w:rFonts w:ascii="Times New Roman" w:hAnsi="Times New Roman" w:cs="Times New Roman"/>
          <w:b/>
        </w:rPr>
        <w:t>,</w:t>
      </w:r>
      <w:r w:rsidR="003F55EB" w:rsidRPr="00204681">
        <w:rPr>
          <w:rFonts w:ascii="Times New Roman" w:hAnsi="Times New Roman" w:cs="Times New Roman"/>
          <w:b/>
        </w:rPr>
        <w:t xml:space="preserve"> - </w:t>
      </w:r>
      <w:r w:rsidR="00A90B28" w:rsidRPr="00BC0544">
        <w:rPr>
          <w:rFonts w:ascii="Times New Roman" w:hAnsi="Times New Roman" w:cs="Times New Roman"/>
          <w:b/>
        </w:rPr>
        <w:t>Form ATS</w:t>
      </w:r>
      <w:r w:rsidR="00091ED1">
        <w:rPr>
          <w:rFonts w:ascii="Times New Roman" w:hAnsi="Times New Roman" w:cs="Times New Roman"/>
          <w:b/>
        </w:rPr>
        <w:t>,</w:t>
      </w:r>
      <w:r w:rsidR="003F55EB" w:rsidRPr="00BC0544">
        <w:rPr>
          <w:rFonts w:ascii="Times New Roman" w:hAnsi="Times New Roman" w:cs="Times New Roman"/>
          <w:b/>
        </w:rPr>
        <w:t xml:space="preserve"> and</w:t>
      </w:r>
      <w:r w:rsidR="00A90B28" w:rsidRPr="00285756">
        <w:rPr>
          <w:rFonts w:ascii="Times New Roman" w:hAnsi="Times New Roman" w:cs="Times New Roman"/>
          <w:b/>
        </w:rPr>
        <w:t xml:space="preserve"> ATS-R</w:t>
      </w:r>
      <w:r w:rsidR="008722F1">
        <w:rPr>
          <w:rFonts w:ascii="Times New Roman" w:hAnsi="Times New Roman" w:cs="Times New Roman"/>
          <w:b/>
        </w:rPr>
        <w:t>.</w:t>
      </w:r>
      <w:r w:rsidR="00240072">
        <w:rPr>
          <w:rFonts w:ascii="Times New Roman" w:hAnsi="Times New Roman" w:cs="Times New Roman"/>
          <w:b/>
        </w:rPr>
        <w:t xml:space="preserve"> </w:t>
      </w:r>
      <w:r w:rsidR="003F55EB" w:rsidRPr="004357A7">
        <w:rPr>
          <w:rFonts w:ascii="Times New Roman" w:hAnsi="Times New Roman" w:cs="Times New Roman"/>
          <w:b/>
        </w:rPr>
        <w:t>Rule 304 and Form ATS-N (a proposed new c</w:t>
      </w:r>
      <w:r w:rsidR="00240072">
        <w:rPr>
          <w:rFonts w:ascii="Times New Roman" w:hAnsi="Times New Roman" w:cs="Times New Roman"/>
          <w:b/>
        </w:rPr>
        <w:t xml:space="preserve">ollection of information) </w:t>
      </w:r>
      <w:r w:rsidR="00BC0544" w:rsidRPr="00E858AC">
        <w:rPr>
          <w:rFonts w:ascii="Times New Roman" w:hAnsi="Times New Roman" w:cs="Times New Roman"/>
          <w:b/>
        </w:rPr>
        <w:t>(OMB Control No. 3235-050</w:t>
      </w:r>
      <w:r w:rsidR="004131FF">
        <w:rPr>
          <w:rFonts w:ascii="Times New Roman" w:hAnsi="Times New Roman" w:cs="Times New Roman"/>
          <w:b/>
        </w:rPr>
        <w:t>9</w:t>
      </w:r>
      <w:r w:rsidR="00BC0544" w:rsidRPr="00E858AC">
        <w:rPr>
          <w:rFonts w:ascii="Times New Roman" w:hAnsi="Times New Roman" w:cs="Times New Roman"/>
          <w:b/>
        </w:rPr>
        <w:t>)</w:t>
      </w:r>
    </w:p>
    <w:p w14:paraId="267DFF47" w14:textId="77777777" w:rsidR="003F55EB" w:rsidRPr="00285756" w:rsidRDefault="003F55EB" w:rsidP="005C1590">
      <w:pPr>
        <w:widowControl/>
        <w:tabs>
          <w:tab w:val="center" w:pos="4680"/>
        </w:tabs>
        <w:suppressAutoHyphens/>
        <w:jc w:val="center"/>
        <w:rPr>
          <w:rFonts w:ascii="Times New Roman" w:hAnsi="Times New Roman" w:cs="Times New Roman"/>
          <w:b/>
          <w:bCs/>
        </w:rPr>
      </w:pPr>
    </w:p>
    <w:p w14:paraId="6BE993B3" w14:textId="619F90E6" w:rsidR="00497D86" w:rsidRPr="00285756" w:rsidRDefault="00DD3AA7" w:rsidP="005C1590">
      <w:pPr>
        <w:widowControl/>
        <w:tabs>
          <w:tab w:val="left" w:pos="0"/>
        </w:tabs>
        <w:suppressAutoHyphens/>
        <w:ind w:firstLine="720"/>
        <w:rPr>
          <w:rFonts w:ascii="Times New Roman" w:hAnsi="Times New Roman" w:cs="Times New Roman"/>
          <w:spacing w:val="-3"/>
        </w:rPr>
      </w:pPr>
      <w:r w:rsidRPr="00285756">
        <w:rPr>
          <w:rFonts w:ascii="Times New Roman" w:hAnsi="Times New Roman" w:cs="Times New Roman"/>
          <w:spacing w:val="-3"/>
        </w:rPr>
        <w:t>This submission is being made pursuant to the Paperwork Reduction Act of 1995, 44 U.S.</w:t>
      </w:r>
      <w:r w:rsidR="00E15951" w:rsidRPr="00285756">
        <w:rPr>
          <w:rFonts w:ascii="Times New Roman" w:hAnsi="Times New Roman" w:cs="Times New Roman"/>
          <w:spacing w:val="-3"/>
        </w:rPr>
        <w:t xml:space="preserve">  </w:t>
      </w:r>
      <w:r w:rsidRPr="00285756">
        <w:rPr>
          <w:rFonts w:ascii="Times New Roman" w:hAnsi="Times New Roman" w:cs="Times New Roman"/>
          <w:spacing w:val="-3"/>
        </w:rPr>
        <w:t>C. Section 3501 et seq.</w:t>
      </w:r>
    </w:p>
    <w:p w14:paraId="7AD43189" w14:textId="77777777" w:rsidR="00497D86" w:rsidRPr="00285756" w:rsidRDefault="00497D86" w:rsidP="005C1590">
      <w:pPr>
        <w:widowControl/>
        <w:tabs>
          <w:tab w:val="left" w:pos="0"/>
        </w:tabs>
        <w:suppressAutoHyphens/>
        <w:rPr>
          <w:rFonts w:ascii="Times New Roman" w:hAnsi="Times New Roman" w:cs="Times New Roman"/>
          <w:spacing w:val="-3"/>
        </w:rPr>
      </w:pPr>
    </w:p>
    <w:p w14:paraId="397D4A2F" w14:textId="77777777" w:rsidR="00497D86" w:rsidRPr="00285756" w:rsidRDefault="00DD3AA7" w:rsidP="005C1590">
      <w:pPr>
        <w:widowControl/>
        <w:tabs>
          <w:tab w:val="left" w:pos="0"/>
        </w:tabs>
        <w:suppressAutoHyphens/>
        <w:rPr>
          <w:rFonts w:ascii="Times New Roman" w:hAnsi="Times New Roman" w:cs="Times New Roman"/>
          <w:spacing w:val="-3"/>
        </w:rPr>
      </w:pPr>
      <w:r w:rsidRPr="00285756">
        <w:rPr>
          <w:rFonts w:ascii="Times New Roman" w:hAnsi="Times New Roman" w:cs="Times New Roman"/>
          <w:b/>
          <w:bCs/>
          <w:spacing w:val="-3"/>
        </w:rPr>
        <w:t>A.</w:t>
      </w:r>
      <w:r w:rsidRPr="00285756">
        <w:rPr>
          <w:rFonts w:ascii="Times New Roman" w:hAnsi="Times New Roman" w:cs="Times New Roman"/>
          <w:b/>
          <w:bCs/>
          <w:spacing w:val="-3"/>
        </w:rPr>
        <w:tab/>
      </w:r>
      <w:r w:rsidR="00315759" w:rsidRPr="00285756">
        <w:rPr>
          <w:rFonts w:ascii="Times New Roman" w:hAnsi="Times New Roman" w:cs="Times New Roman"/>
          <w:b/>
          <w:bCs/>
          <w:spacing w:val="-3"/>
        </w:rPr>
        <w:t>JUSTIFICATION</w:t>
      </w:r>
    </w:p>
    <w:p w14:paraId="1693B8D4" w14:textId="77777777" w:rsidR="00497D86" w:rsidRPr="00285756" w:rsidRDefault="00497D86" w:rsidP="005C1590">
      <w:pPr>
        <w:widowControl/>
        <w:tabs>
          <w:tab w:val="left" w:pos="0"/>
        </w:tabs>
        <w:suppressAutoHyphens/>
        <w:rPr>
          <w:rFonts w:ascii="Times New Roman" w:hAnsi="Times New Roman" w:cs="Times New Roman"/>
          <w:spacing w:val="-3"/>
        </w:rPr>
      </w:pPr>
    </w:p>
    <w:p w14:paraId="3C2668FE" w14:textId="77777777" w:rsidR="00497D86" w:rsidRPr="00285756" w:rsidRDefault="00DD3AA7" w:rsidP="005C1590">
      <w:pPr>
        <w:widowControl/>
        <w:tabs>
          <w:tab w:val="left" w:pos="0"/>
        </w:tabs>
        <w:suppressAutoHyphens/>
        <w:rPr>
          <w:rFonts w:ascii="Times New Roman" w:hAnsi="Times New Roman" w:cs="Times New Roman"/>
          <w:b/>
          <w:spacing w:val="-3"/>
        </w:rPr>
      </w:pPr>
      <w:r w:rsidRPr="00285756">
        <w:rPr>
          <w:rFonts w:ascii="Times New Roman" w:hAnsi="Times New Roman" w:cs="Times New Roman"/>
          <w:b/>
          <w:spacing w:val="-3"/>
        </w:rPr>
        <w:tab/>
        <w:t>1.</w:t>
      </w:r>
      <w:r w:rsidRPr="00285756">
        <w:rPr>
          <w:rFonts w:ascii="Times New Roman" w:hAnsi="Times New Roman" w:cs="Times New Roman"/>
          <w:b/>
          <w:spacing w:val="-3"/>
        </w:rPr>
        <w:tab/>
        <w:t>Necessity of Information Collection</w:t>
      </w:r>
    </w:p>
    <w:p w14:paraId="2896B928" w14:textId="77777777" w:rsidR="00F515ED" w:rsidRPr="00285756" w:rsidRDefault="00DD3AA7" w:rsidP="005C1590">
      <w:pPr>
        <w:widowControl/>
        <w:tabs>
          <w:tab w:val="left" w:pos="0"/>
        </w:tabs>
        <w:suppressAutoHyphens/>
        <w:rPr>
          <w:rFonts w:ascii="Times New Roman" w:hAnsi="Times New Roman" w:cs="Times New Roman"/>
          <w:spacing w:val="-3"/>
        </w:rPr>
      </w:pPr>
      <w:r w:rsidRPr="00285756">
        <w:rPr>
          <w:rFonts w:ascii="Times New Roman" w:hAnsi="Times New Roman" w:cs="Times New Roman"/>
          <w:spacing w:val="-3"/>
        </w:rPr>
        <w:tab/>
      </w:r>
    </w:p>
    <w:p w14:paraId="394A080D" w14:textId="77777777" w:rsidR="00DF5A12" w:rsidRPr="00285756" w:rsidRDefault="00B812DA" w:rsidP="00DF5A12">
      <w:pPr>
        <w:pStyle w:val="ListParagraph"/>
        <w:numPr>
          <w:ilvl w:val="0"/>
          <w:numId w:val="5"/>
        </w:numPr>
        <w:ind w:left="2160" w:hanging="720"/>
        <w:rPr>
          <w:rFonts w:ascii="Times New Roman" w:hAnsi="Times New Roman"/>
          <w:sz w:val="24"/>
          <w:szCs w:val="24"/>
          <w:u w:val="single"/>
        </w:rPr>
      </w:pPr>
      <w:r w:rsidRPr="00285756">
        <w:rPr>
          <w:rFonts w:ascii="Times New Roman" w:hAnsi="Times New Roman"/>
          <w:sz w:val="24"/>
          <w:szCs w:val="24"/>
          <w:u w:val="single"/>
        </w:rPr>
        <w:t>Regulation ATS</w:t>
      </w:r>
    </w:p>
    <w:p w14:paraId="6823B05D" w14:textId="0D96F0D8" w:rsidR="00726C09" w:rsidRPr="00285756" w:rsidRDefault="00DF5A12" w:rsidP="00726C09">
      <w:pPr>
        <w:tabs>
          <w:tab w:val="left" w:pos="-720"/>
        </w:tabs>
        <w:suppressAutoHyphens/>
        <w:rPr>
          <w:rFonts w:ascii="Times New Roman" w:hAnsi="Times New Roman" w:cs="Times New Roman"/>
          <w:spacing w:val="-3"/>
        </w:rPr>
      </w:pPr>
      <w:r w:rsidRPr="00285756">
        <w:rPr>
          <w:rFonts w:ascii="Times New Roman" w:hAnsi="Times New Roman" w:cs="Times New Roman"/>
        </w:rPr>
        <w:tab/>
      </w:r>
      <w:r w:rsidR="00726C09" w:rsidRPr="00285756">
        <w:rPr>
          <w:rFonts w:ascii="Times New Roman" w:hAnsi="Times New Roman" w:cs="Times New Roman"/>
          <w:spacing w:val="-3"/>
        </w:rPr>
        <w:t>The Securities Exchange Act of 1934, as amended (“Act”</w:t>
      </w:r>
      <w:r w:rsidR="00E058EA" w:rsidRPr="00285756">
        <w:rPr>
          <w:rFonts w:ascii="Times New Roman" w:hAnsi="Times New Roman" w:cs="Times New Roman"/>
          <w:spacing w:val="-3"/>
        </w:rPr>
        <w:t xml:space="preserve"> or “Exchange Act”</w:t>
      </w:r>
      <w:r w:rsidR="00726C09" w:rsidRPr="00285756">
        <w:rPr>
          <w:rFonts w:ascii="Times New Roman" w:hAnsi="Times New Roman" w:cs="Times New Roman"/>
          <w:spacing w:val="-3"/>
        </w:rPr>
        <w:t>)</w:t>
      </w:r>
      <w:r w:rsidR="006635C8" w:rsidRPr="00285756">
        <w:rPr>
          <w:rFonts w:ascii="Times New Roman" w:hAnsi="Times New Roman" w:cs="Times New Roman"/>
          <w:spacing w:val="-3"/>
        </w:rPr>
        <w:t>,</w:t>
      </w:r>
      <w:r w:rsidR="00726C09" w:rsidRPr="00285756">
        <w:rPr>
          <w:rStyle w:val="FootnoteReference"/>
          <w:rFonts w:ascii="Times New Roman" w:hAnsi="Times New Roman" w:cs="Times New Roman"/>
          <w:spacing w:val="-3"/>
        </w:rPr>
        <w:footnoteReference w:id="1"/>
      </w:r>
      <w:r w:rsidR="00726C09" w:rsidRPr="00285756">
        <w:rPr>
          <w:rFonts w:ascii="Times New Roman" w:hAnsi="Times New Roman" w:cs="Times New Roman"/>
          <w:spacing w:val="-3"/>
        </w:rPr>
        <w:t xml:space="preserve"> sets forth a scheme of self-regulation in which national securities exchanges and associations have primary responsibility for regulating their members and enforcing compliance by members and their associated persons with the Act, the rules thereunder, and their own rules.  Under the Act, the Commission is charged with the responsibility for supervising and assuring that </w:t>
      </w:r>
      <w:r w:rsidR="00D601A9">
        <w:rPr>
          <w:rFonts w:ascii="Times New Roman" w:hAnsi="Times New Roman" w:cs="Times New Roman"/>
          <w:spacing w:val="-3"/>
        </w:rPr>
        <w:t xml:space="preserve">national securities </w:t>
      </w:r>
      <w:r w:rsidR="00726C09" w:rsidRPr="00285756">
        <w:rPr>
          <w:rFonts w:ascii="Times New Roman" w:hAnsi="Times New Roman" w:cs="Times New Roman"/>
          <w:spacing w:val="-3"/>
        </w:rPr>
        <w:t xml:space="preserve">exchanges and </w:t>
      </w:r>
      <w:r w:rsidR="00D601A9">
        <w:rPr>
          <w:rFonts w:ascii="Times New Roman" w:hAnsi="Times New Roman" w:cs="Times New Roman"/>
          <w:spacing w:val="-3"/>
        </w:rPr>
        <w:t xml:space="preserve">national securities </w:t>
      </w:r>
      <w:r w:rsidR="00726C09" w:rsidRPr="00285756">
        <w:rPr>
          <w:rFonts w:ascii="Times New Roman" w:hAnsi="Times New Roman" w:cs="Times New Roman"/>
          <w:spacing w:val="-3"/>
        </w:rPr>
        <w:t>associations comply with and advance the policies of the Act.</w:t>
      </w:r>
    </w:p>
    <w:p w14:paraId="3C31D13A" w14:textId="77777777" w:rsidR="00726C09" w:rsidRPr="00285756" w:rsidRDefault="00726C09" w:rsidP="00726C09">
      <w:pPr>
        <w:rPr>
          <w:rFonts w:ascii="Times New Roman" w:hAnsi="Times New Roman" w:cs="Times New Roman"/>
        </w:rPr>
      </w:pPr>
    </w:p>
    <w:p w14:paraId="5E34780F" w14:textId="77777777" w:rsidR="00726C09" w:rsidRPr="00285756" w:rsidRDefault="00726C09" w:rsidP="00726C09">
      <w:pPr>
        <w:rPr>
          <w:rFonts w:ascii="Times New Roman" w:hAnsi="Times New Roman" w:cs="Times New Roman"/>
        </w:rPr>
      </w:pPr>
      <w:r w:rsidRPr="00285756">
        <w:rPr>
          <w:rFonts w:ascii="Times New Roman" w:hAnsi="Times New Roman" w:cs="Times New Roman"/>
        </w:rPr>
        <w:tab/>
        <w:t>In the 1975 Amendments to the Act,</w:t>
      </w:r>
      <w:r w:rsidRPr="00285756">
        <w:rPr>
          <w:rStyle w:val="FootnoteReference"/>
          <w:rFonts w:ascii="Times New Roman" w:hAnsi="Times New Roman" w:cs="Times New Roman"/>
        </w:rPr>
        <w:footnoteReference w:id="2"/>
      </w:r>
      <w:r w:rsidRPr="00285756">
        <w:rPr>
          <w:rFonts w:ascii="Times New Roman" w:hAnsi="Times New Roman" w:cs="Times New Roman"/>
        </w:rPr>
        <w:t xml:space="preserve"> Congress specifically endorsed the development of a national market system (“NMS”) and sought to clarify and strengthen the Commission’s authority to promote the achievement of such a system.  The growing use of technology has made it possible for commercial entities to engage in activities similar to those of national securities exchanges.</w:t>
      </w:r>
    </w:p>
    <w:p w14:paraId="1DEEB70F" w14:textId="77777777" w:rsidR="00726C09" w:rsidRPr="00285756" w:rsidRDefault="00726C09" w:rsidP="00726C09">
      <w:pPr>
        <w:rPr>
          <w:rFonts w:ascii="Times New Roman" w:hAnsi="Times New Roman" w:cs="Times New Roman"/>
        </w:rPr>
      </w:pPr>
    </w:p>
    <w:p w14:paraId="7CC16A7C" w14:textId="3270B737" w:rsidR="00E76816" w:rsidRPr="00285756" w:rsidRDefault="00726C09" w:rsidP="00E76816">
      <w:pPr>
        <w:ind w:firstLine="720"/>
        <w:rPr>
          <w:rFonts w:ascii="Times New Roman" w:hAnsi="Times New Roman" w:cs="Times New Roman"/>
        </w:rPr>
      </w:pPr>
      <w:r w:rsidRPr="00285756">
        <w:rPr>
          <w:rFonts w:ascii="Times New Roman" w:hAnsi="Times New Roman" w:cs="Times New Roman"/>
        </w:rPr>
        <w:t xml:space="preserve">Regulation ATS </w:t>
      </w:r>
      <w:r w:rsidR="00FC4D3E" w:rsidRPr="00285756">
        <w:rPr>
          <w:rFonts w:ascii="Times New Roman" w:hAnsi="Times New Roman" w:cs="Times New Roman"/>
        </w:rPr>
        <w:t>established</w:t>
      </w:r>
      <w:r w:rsidR="00E76816" w:rsidRPr="00285756">
        <w:rPr>
          <w:rFonts w:ascii="Times New Roman" w:hAnsi="Times New Roman" w:cs="Times New Roman"/>
        </w:rPr>
        <w:t xml:space="preserve"> a regulatory framework for alternative trading systems (“ATS”)</w:t>
      </w:r>
      <w:r w:rsidR="00FC4D3E" w:rsidRPr="00285756">
        <w:rPr>
          <w:rFonts w:ascii="Times New Roman" w:hAnsi="Times New Roman" w:cs="Times New Roman"/>
        </w:rPr>
        <w:t xml:space="preserve">, which </w:t>
      </w:r>
      <w:r w:rsidRPr="00285756">
        <w:rPr>
          <w:rFonts w:ascii="Times New Roman" w:hAnsi="Times New Roman" w:cs="Times New Roman"/>
        </w:rPr>
        <w:t xml:space="preserve">allows </w:t>
      </w:r>
      <w:r w:rsidR="00063BDB" w:rsidRPr="00285756">
        <w:rPr>
          <w:rFonts w:ascii="Times New Roman" w:hAnsi="Times New Roman" w:cs="Times New Roman"/>
        </w:rPr>
        <w:t xml:space="preserve">entities that </w:t>
      </w:r>
      <w:r w:rsidR="00FB2902" w:rsidRPr="00285756">
        <w:rPr>
          <w:rFonts w:ascii="Times New Roman" w:hAnsi="Times New Roman" w:cs="Times New Roman"/>
        </w:rPr>
        <w:t xml:space="preserve">meet the definition of “exchange” under Section 3(a)(1) of the Exchange Act </w:t>
      </w:r>
      <w:r w:rsidRPr="00285756">
        <w:rPr>
          <w:rFonts w:ascii="Times New Roman" w:hAnsi="Times New Roman" w:cs="Times New Roman"/>
        </w:rPr>
        <w:t>to choose between two regulatory structures: registering as a</w:t>
      </w:r>
      <w:r w:rsidR="00FB2902" w:rsidRPr="00285756">
        <w:rPr>
          <w:rFonts w:ascii="Times New Roman" w:hAnsi="Times New Roman" w:cs="Times New Roman"/>
        </w:rPr>
        <w:t xml:space="preserve"> national securities exchange or registering as a </w:t>
      </w:r>
      <w:r w:rsidRPr="00285756">
        <w:rPr>
          <w:rFonts w:ascii="Times New Roman" w:hAnsi="Times New Roman" w:cs="Times New Roman"/>
        </w:rPr>
        <w:t xml:space="preserve">broker-dealer and complying with Regulation ATS.  </w:t>
      </w:r>
    </w:p>
    <w:p w14:paraId="7761EB4F" w14:textId="77777777" w:rsidR="00E76816" w:rsidRPr="00285756" w:rsidRDefault="00E76816" w:rsidP="00E76816">
      <w:pPr>
        <w:ind w:firstLine="720"/>
        <w:rPr>
          <w:rFonts w:ascii="Times New Roman" w:hAnsi="Times New Roman" w:cs="Times New Roman"/>
        </w:rPr>
      </w:pPr>
    </w:p>
    <w:p w14:paraId="3C61EC21" w14:textId="4C2DD1B4" w:rsidR="00E76816" w:rsidRPr="00285756" w:rsidRDefault="00E76816" w:rsidP="00E76816">
      <w:pPr>
        <w:ind w:firstLine="720"/>
        <w:rPr>
          <w:rFonts w:ascii="Times New Roman" w:eastAsia="Calibri" w:hAnsi="Times New Roman" w:cs="Times New Roman"/>
        </w:rPr>
      </w:pPr>
      <w:r w:rsidRPr="00285756">
        <w:rPr>
          <w:rFonts w:ascii="Times New Roman" w:hAnsi="Times New Roman" w:cs="Times New Roman"/>
        </w:rPr>
        <w:t xml:space="preserve">Specifically, Regulation ATS </w:t>
      </w:r>
      <w:r w:rsidRPr="00285756">
        <w:rPr>
          <w:rFonts w:ascii="Times New Roman" w:eastAsia="Calibri" w:hAnsi="Times New Roman" w:cs="Times New Roman"/>
        </w:rPr>
        <w:t>exempts an organization, association, or group of persons from the statutory definition of “exchange” on the condition that it complies with Regulation ATS.</w:t>
      </w:r>
      <w:r w:rsidRPr="00285756">
        <w:rPr>
          <w:rFonts w:ascii="Times New Roman" w:eastAsia="Calibri" w:hAnsi="Times New Roman" w:cs="Times New Roman"/>
          <w:vertAlign w:val="superscript"/>
        </w:rPr>
        <w:footnoteReference w:id="3"/>
      </w:r>
      <w:r w:rsidRPr="00285756">
        <w:rPr>
          <w:rFonts w:ascii="Times New Roman" w:eastAsia="Calibri" w:hAnsi="Times New Roman" w:cs="Times New Roman"/>
        </w:rPr>
        <w:t xml:space="preserve">  Regulation ATS set</w:t>
      </w:r>
      <w:r w:rsidR="002C6A7E" w:rsidRPr="00285756">
        <w:rPr>
          <w:rFonts w:ascii="Times New Roman" w:eastAsia="Calibri" w:hAnsi="Times New Roman" w:cs="Times New Roman"/>
        </w:rPr>
        <w:t xml:space="preserve">s forth </w:t>
      </w:r>
      <w:r w:rsidR="00C5578B" w:rsidRPr="00285756">
        <w:rPr>
          <w:rFonts w:ascii="Times New Roman" w:eastAsia="Calibri" w:hAnsi="Times New Roman" w:cs="Times New Roman"/>
        </w:rPr>
        <w:t xml:space="preserve">these conditions </w:t>
      </w:r>
      <w:r w:rsidRPr="00285756">
        <w:rPr>
          <w:rFonts w:ascii="Times New Roman" w:eastAsia="Calibri" w:hAnsi="Times New Roman" w:cs="Times New Roman"/>
        </w:rPr>
        <w:t xml:space="preserve">in </w:t>
      </w:r>
      <w:r w:rsidR="002C6A7E" w:rsidRPr="00285756">
        <w:rPr>
          <w:rFonts w:ascii="Times New Roman" w:eastAsia="Calibri" w:hAnsi="Times New Roman" w:cs="Times New Roman"/>
        </w:rPr>
        <w:t>R</w:t>
      </w:r>
      <w:r w:rsidRPr="00285756">
        <w:rPr>
          <w:rFonts w:ascii="Times New Roman" w:eastAsia="Calibri" w:hAnsi="Times New Roman" w:cs="Times New Roman"/>
        </w:rPr>
        <w:t>ules 300 through 303.</w:t>
      </w:r>
      <w:bookmarkStart w:id="0" w:name="_Ref401312832"/>
      <w:r w:rsidRPr="00285756">
        <w:rPr>
          <w:rFonts w:ascii="Times New Roman" w:eastAsia="Calibri" w:hAnsi="Times New Roman" w:cs="Times New Roman"/>
          <w:vertAlign w:val="superscript"/>
        </w:rPr>
        <w:footnoteReference w:id="4"/>
      </w:r>
      <w:bookmarkEnd w:id="0"/>
      <w:r w:rsidRPr="00285756">
        <w:rPr>
          <w:rFonts w:ascii="Times New Roman" w:eastAsia="Calibri" w:hAnsi="Times New Roman" w:cs="Times New Roman"/>
        </w:rPr>
        <w:t xml:space="preserve">  Rule 300 includes relevant definitions.  Rule 301(a) identifies certain entities that are not required to comply with Regulation ATS</w:t>
      </w:r>
      <w:r w:rsidR="001862E0" w:rsidRPr="00285756">
        <w:rPr>
          <w:rFonts w:ascii="Times New Roman" w:eastAsia="Calibri" w:hAnsi="Times New Roman" w:cs="Times New Roman"/>
        </w:rPr>
        <w:t>,</w:t>
      </w:r>
      <w:r w:rsidRPr="00285756">
        <w:rPr>
          <w:rFonts w:ascii="Times New Roman" w:eastAsia="Calibri" w:hAnsi="Times New Roman" w:cs="Times New Roman"/>
        </w:rPr>
        <w:t xml:space="preserve"> and Rule 301(b) sets forth the </w:t>
      </w:r>
      <w:r w:rsidR="00C5578B" w:rsidRPr="00285756">
        <w:rPr>
          <w:rFonts w:ascii="Times New Roman" w:eastAsia="Calibri" w:hAnsi="Times New Roman" w:cs="Times New Roman"/>
        </w:rPr>
        <w:t xml:space="preserve">obligations of </w:t>
      </w:r>
      <w:r w:rsidR="002C6A7E" w:rsidRPr="00285756">
        <w:rPr>
          <w:rFonts w:ascii="Times New Roman" w:eastAsia="Calibri" w:hAnsi="Times New Roman" w:cs="Times New Roman"/>
        </w:rPr>
        <w:t>ATSs</w:t>
      </w:r>
      <w:r w:rsidRPr="00285756">
        <w:rPr>
          <w:rFonts w:ascii="Times New Roman" w:eastAsia="Calibri" w:hAnsi="Times New Roman" w:cs="Times New Roman"/>
        </w:rPr>
        <w:t xml:space="preserve">.  Specifically, Rule 301(b) </w:t>
      </w:r>
      <w:r w:rsidR="00C5578B" w:rsidRPr="00285756">
        <w:rPr>
          <w:rFonts w:ascii="Times New Roman" w:eastAsia="Calibri" w:hAnsi="Times New Roman" w:cs="Times New Roman"/>
        </w:rPr>
        <w:t xml:space="preserve">obligations </w:t>
      </w:r>
      <w:r w:rsidRPr="00285756">
        <w:rPr>
          <w:rFonts w:ascii="Times New Roman" w:eastAsia="Calibri" w:hAnsi="Times New Roman" w:cs="Times New Roman"/>
        </w:rPr>
        <w:t>include, among other</w:t>
      </w:r>
      <w:r w:rsidR="00C5578B" w:rsidRPr="00285756">
        <w:rPr>
          <w:rFonts w:ascii="Times New Roman" w:eastAsia="Calibri" w:hAnsi="Times New Roman" w:cs="Times New Roman"/>
        </w:rPr>
        <w:t xml:space="preserve"> things, </w:t>
      </w:r>
      <w:r w:rsidRPr="00285756">
        <w:rPr>
          <w:rFonts w:ascii="Times New Roman" w:eastAsia="Calibri" w:hAnsi="Times New Roman" w:cs="Times New Roman"/>
        </w:rPr>
        <w:t xml:space="preserve">Form ATS </w:t>
      </w:r>
      <w:r w:rsidR="00C5578B" w:rsidRPr="00285756">
        <w:rPr>
          <w:rFonts w:ascii="Times New Roman" w:eastAsia="Calibri" w:hAnsi="Times New Roman" w:cs="Times New Roman"/>
        </w:rPr>
        <w:t>notice reporting,</w:t>
      </w:r>
      <w:r w:rsidRPr="00285756">
        <w:rPr>
          <w:rFonts w:ascii="Times New Roman" w:eastAsia="Calibri" w:hAnsi="Times New Roman" w:cs="Times New Roman"/>
        </w:rPr>
        <w:t xml:space="preserve"> Form ATS-R </w:t>
      </w:r>
      <w:r w:rsidR="002C6A7E" w:rsidRPr="00285756">
        <w:rPr>
          <w:rFonts w:ascii="Times New Roman" w:eastAsia="Calibri" w:hAnsi="Times New Roman" w:cs="Times New Roman"/>
        </w:rPr>
        <w:t xml:space="preserve">quarterly </w:t>
      </w:r>
      <w:r w:rsidR="002C6A7E" w:rsidRPr="00285756">
        <w:rPr>
          <w:rFonts w:ascii="Times New Roman" w:eastAsia="Calibri" w:hAnsi="Times New Roman" w:cs="Times New Roman"/>
        </w:rPr>
        <w:lastRenderedPageBreak/>
        <w:t xml:space="preserve">transaction </w:t>
      </w:r>
      <w:r w:rsidRPr="00285756">
        <w:rPr>
          <w:rFonts w:ascii="Times New Roman" w:eastAsia="Calibri" w:hAnsi="Times New Roman" w:cs="Times New Roman"/>
        </w:rPr>
        <w:t xml:space="preserve">reporting, </w:t>
      </w:r>
      <w:r w:rsidR="00C5578B" w:rsidRPr="00285756">
        <w:rPr>
          <w:rFonts w:ascii="Times New Roman" w:eastAsia="Calibri" w:hAnsi="Times New Roman" w:cs="Times New Roman"/>
        </w:rPr>
        <w:t>order display and execution access</w:t>
      </w:r>
      <w:r w:rsidR="002C6A7E" w:rsidRPr="00285756">
        <w:rPr>
          <w:rFonts w:ascii="Times New Roman" w:eastAsia="Calibri" w:hAnsi="Times New Roman" w:cs="Times New Roman"/>
        </w:rPr>
        <w:t xml:space="preserve"> obligations,</w:t>
      </w:r>
      <w:r w:rsidR="00C5578B" w:rsidRPr="00285756">
        <w:rPr>
          <w:rFonts w:ascii="Times New Roman" w:eastAsia="Calibri" w:hAnsi="Times New Roman" w:cs="Times New Roman"/>
        </w:rPr>
        <w:t xml:space="preserve"> </w:t>
      </w:r>
      <w:r w:rsidRPr="00285756">
        <w:rPr>
          <w:rFonts w:ascii="Times New Roman" w:eastAsia="Calibri" w:hAnsi="Times New Roman" w:cs="Times New Roman"/>
        </w:rPr>
        <w:t>fair access</w:t>
      </w:r>
      <w:r w:rsidR="002C6A7E" w:rsidRPr="00285756">
        <w:rPr>
          <w:rFonts w:ascii="Times New Roman" w:eastAsia="Calibri" w:hAnsi="Times New Roman" w:cs="Times New Roman"/>
        </w:rPr>
        <w:t xml:space="preserve"> requirements</w:t>
      </w:r>
      <w:r w:rsidR="00C5578B" w:rsidRPr="00285756">
        <w:rPr>
          <w:rFonts w:ascii="Times New Roman" w:eastAsia="Calibri" w:hAnsi="Times New Roman" w:cs="Times New Roman"/>
        </w:rPr>
        <w:t>,</w:t>
      </w:r>
      <w:r w:rsidRPr="00285756">
        <w:rPr>
          <w:rFonts w:ascii="Times New Roman" w:eastAsia="Calibri" w:hAnsi="Times New Roman" w:cs="Times New Roman"/>
        </w:rPr>
        <w:t xml:space="preserve"> and procedures regarding the confidential treatment of trading information.  Rules 302 and 303 address ATS recordkeeping and record preservation requirements.</w:t>
      </w:r>
    </w:p>
    <w:p w14:paraId="5BC3E8F0" w14:textId="77777777" w:rsidR="006E6BC8" w:rsidRPr="00285756" w:rsidRDefault="006E6BC8" w:rsidP="00E76816">
      <w:pPr>
        <w:ind w:firstLine="720"/>
        <w:rPr>
          <w:rFonts w:ascii="Times New Roman" w:eastAsia="Calibri" w:hAnsi="Times New Roman" w:cs="Times New Roman"/>
        </w:rPr>
      </w:pPr>
    </w:p>
    <w:p w14:paraId="1BF17378" w14:textId="50CAEA58" w:rsidR="00687FD8" w:rsidRPr="00285756" w:rsidRDefault="00687FD8" w:rsidP="00687FD8">
      <w:pPr>
        <w:ind w:firstLine="720"/>
        <w:rPr>
          <w:rFonts w:ascii="Times New Roman" w:hAnsi="Times New Roman" w:cs="Times New Roman"/>
        </w:rPr>
      </w:pPr>
      <w:r w:rsidRPr="004357A7">
        <w:rPr>
          <w:rFonts w:ascii="Times New Roman" w:hAnsi="Times New Roman" w:cs="Times New Roman"/>
        </w:rPr>
        <w:t>In the seventeen years since the Commission adopted Regulation ATS, the equity markets have evolved significantly, resulting in an increased number of trading centers and a reduced concentration of trading activity in NMS stocks.</w:t>
      </w:r>
      <w:bookmarkStart w:id="1" w:name="_Ref426548270"/>
      <w:r w:rsidRPr="004357A7">
        <w:rPr>
          <w:rStyle w:val="FootnoteReference"/>
          <w:rFonts w:ascii="Times New Roman" w:hAnsi="Times New Roman" w:cs="Times New Roman"/>
        </w:rPr>
        <w:footnoteReference w:id="5"/>
      </w:r>
      <w:bookmarkEnd w:id="1"/>
      <w:r w:rsidRPr="004357A7">
        <w:rPr>
          <w:rFonts w:ascii="Times New Roman" w:hAnsi="Times New Roman" w:cs="Times New Roman"/>
        </w:rPr>
        <w:t xml:space="preserve">  The growth in trading centers and trading activity has been fueled primarily by advances in technology for generating, routing, and executing orders.  These technologies have markedly improved the speed, capacity, and sophistication of the trading mechanisms and processes that are available to market participants.  Today, ATSs that trade NMS stocks have become an integral part of the national market system, as the number of these ATSs, and the volume of NMS stocks transacted on them, has increased significantly since the adoption of Regulation ATS.  Despite the emergence of ATSs as a significant source of liquidity in NMS stocks among today’s markets, and the fact that ATSs compete with, and operate with almost the same complexity and sophistication as, registered national securities exchanges, the regulatory requirements applicable to ATSs have remained, for the most part, the same since Regulation ATS was adopted.</w:t>
      </w:r>
    </w:p>
    <w:p w14:paraId="138D1447" w14:textId="77777777" w:rsidR="00FB7E74" w:rsidRPr="004357A7" w:rsidRDefault="00FB7E74" w:rsidP="00687FD8">
      <w:pPr>
        <w:ind w:firstLine="720"/>
        <w:rPr>
          <w:rFonts w:ascii="Times New Roman" w:hAnsi="Times New Roman" w:cs="Times New Roman"/>
        </w:rPr>
      </w:pPr>
    </w:p>
    <w:p w14:paraId="6D1C96F8" w14:textId="58D0630B" w:rsidR="00687FD8" w:rsidRPr="00285756" w:rsidRDefault="00687FD8" w:rsidP="00687FD8">
      <w:pPr>
        <w:ind w:firstLine="720"/>
        <w:rPr>
          <w:rFonts w:ascii="Times New Roman" w:hAnsi="Times New Roman" w:cs="Times New Roman"/>
        </w:rPr>
      </w:pPr>
      <w:r w:rsidRPr="004357A7">
        <w:rPr>
          <w:rFonts w:ascii="Times New Roman" w:hAnsi="Times New Roman" w:cs="Times New Roman"/>
        </w:rPr>
        <w:t>The Commission is concerned that the current regulatory requirements relating to operational transparency for ATSs, particularly those that execute trades in NMS stocks, may no longer fully meet the goals of furthering the public interest and protecting investors.  Today, ATSs account for approximately 14.9% of the total dollar volume in NMS stocks and as noted, compete with, and operate with respect to trading in a manner similar to, registered national securities exchanges.  Unlike registered national securities exchanges, however, there is limited public information available to market participants about the operations of ATSs, including how orders and other trading interest may interact, match, and execute on ATSs.  The Commission is concerned that the differences between ATSs that trade NMS stocks and registered national securities exchanges with regard to operational transparency may be creating a competitive imbalance between two functionally similar trading centers that may trade the same security but are subject to different regulatory requirements.  The Commission is also concerned that this difference in operational transparency disadvantages market participants by limiting their ability to adequately assess the relative merits of many trading centers.</w:t>
      </w:r>
      <w:r w:rsidRPr="004357A7">
        <w:rPr>
          <w:rStyle w:val="FootnoteReference"/>
          <w:rFonts w:ascii="Times New Roman" w:hAnsi="Times New Roman" w:cs="Times New Roman"/>
        </w:rPr>
        <w:footnoteReference w:id="6"/>
      </w:r>
      <w:r w:rsidRPr="004357A7">
        <w:rPr>
          <w:rFonts w:ascii="Times New Roman" w:hAnsi="Times New Roman" w:cs="Times New Roman"/>
        </w:rPr>
        <w:t xml:space="preserve">  Specifically, the Commission is concerned that the lack of operational transparency around ATSs limits market participants’ ability to adequately discern how their orders interact, match, and execute on ATSs and to find the optimal market or markets for their orders.  </w:t>
      </w:r>
    </w:p>
    <w:p w14:paraId="593B6E50" w14:textId="77777777" w:rsidR="00285756" w:rsidRPr="004357A7" w:rsidRDefault="00285756" w:rsidP="00687FD8">
      <w:pPr>
        <w:ind w:firstLine="720"/>
        <w:rPr>
          <w:rFonts w:ascii="Times New Roman" w:hAnsi="Times New Roman" w:cs="Times New Roman"/>
        </w:rPr>
      </w:pPr>
    </w:p>
    <w:p w14:paraId="607E6CB0" w14:textId="606DE908" w:rsidR="00687FD8" w:rsidRPr="004357A7" w:rsidRDefault="00687FD8" w:rsidP="00687FD8">
      <w:pPr>
        <w:ind w:firstLine="720"/>
        <w:rPr>
          <w:rFonts w:ascii="Times New Roman" w:hAnsi="Times New Roman" w:cs="Times New Roman"/>
        </w:rPr>
      </w:pPr>
      <w:r w:rsidRPr="004357A7">
        <w:rPr>
          <w:rFonts w:ascii="Times New Roman" w:hAnsi="Times New Roman" w:cs="Times New Roman"/>
        </w:rPr>
        <w:t xml:space="preserve">The Commission is also concerned about the current lack of transparency around </w:t>
      </w:r>
      <w:r w:rsidRPr="004357A7">
        <w:rPr>
          <w:rFonts w:ascii="Times New Roman" w:hAnsi="Times New Roman" w:cs="Times New Roman"/>
        </w:rPr>
        <w:lastRenderedPageBreak/>
        <w:t>potential conflicts of interest that arise from the activities of the broker-dealer operator</w:t>
      </w:r>
      <w:r w:rsidR="00853A51">
        <w:rPr>
          <w:rFonts w:ascii="Times New Roman" w:hAnsi="Times New Roman" w:cs="Times New Roman"/>
        </w:rPr>
        <w:t xml:space="preserve"> that operate </w:t>
      </w:r>
      <w:r w:rsidR="00853A51" w:rsidRPr="00285756">
        <w:rPr>
          <w:rFonts w:ascii="Times New Roman" w:hAnsi="Times New Roman" w:cs="Times New Roman"/>
        </w:rPr>
        <w:t xml:space="preserve">ATSs </w:t>
      </w:r>
      <w:r w:rsidR="00853A51" w:rsidRPr="008A29DF">
        <w:rPr>
          <w:rFonts w:ascii="Times New Roman" w:hAnsi="Times New Roman" w:cs="Times New Roman"/>
        </w:rPr>
        <w:t xml:space="preserve">that transact in </w:t>
      </w:r>
      <w:r w:rsidR="00853A51" w:rsidRPr="00285756">
        <w:rPr>
          <w:rFonts w:ascii="Times New Roman" w:hAnsi="Times New Roman" w:cs="Times New Roman"/>
        </w:rPr>
        <w:t xml:space="preserve">NMS </w:t>
      </w:r>
      <w:r w:rsidR="00853A51" w:rsidRPr="008A29DF">
        <w:rPr>
          <w:rFonts w:ascii="Times New Roman" w:hAnsi="Times New Roman" w:cs="Times New Roman"/>
        </w:rPr>
        <w:t>stocks (hereinafter referred to as</w:t>
      </w:r>
      <w:r w:rsidR="00853A51">
        <w:rPr>
          <w:rFonts w:ascii="Times New Roman" w:hAnsi="Times New Roman" w:cs="Times New Roman"/>
        </w:rPr>
        <w:t xml:space="preserve"> the “broker-dealer operator” of</w:t>
      </w:r>
      <w:r w:rsidR="00853A51" w:rsidRPr="008A29DF">
        <w:rPr>
          <w:rFonts w:ascii="Times New Roman" w:hAnsi="Times New Roman" w:cs="Times New Roman"/>
        </w:rPr>
        <w:t xml:space="preserve"> “NMS Stock ATSs”)</w:t>
      </w:r>
      <w:r w:rsidR="00CD50D2">
        <w:rPr>
          <w:rFonts w:ascii="Times New Roman" w:hAnsi="Times New Roman" w:cs="Times New Roman"/>
        </w:rPr>
        <w:t xml:space="preserve"> </w:t>
      </w:r>
      <w:r w:rsidRPr="004357A7">
        <w:rPr>
          <w:rFonts w:ascii="Times New Roman" w:hAnsi="Times New Roman" w:cs="Times New Roman"/>
        </w:rPr>
        <w:t xml:space="preserve"> and its affiliates in connection with the ATS.  </w:t>
      </w:r>
      <w:r w:rsidR="00FB7E74" w:rsidRPr="00285756">
        <w:rPr>
          <w:rFonts w:ascii="Times New Roman" w:hAnsi="Times New Roman" w:cs="Times New Roman"/>
        </w:rPr>
        <w:t>A</w:t>
      </w:r>
      <w:r w:rsidRPr="004357A7">
        <w:rPr>
          <w:rFonts w:ascii="Times New Roman" w:hAnsi="Times New Roman" w:cs="Times New Roman"/>
        </w:rPr>
        <w:t>n ATS must register as a broker-dealer pursuant to Rule 301(b</w:t>
      </w:r>
      <w:proofErr w:type="gramStart"/>
      <w:r w:rsidRPr="004357A7">
        <w:rPr>
          <w:rFonts w:ascii="Times New Roman" w:hAnsi="Times New Roman" w:cs="Times New Roman"/>
        </w:rPr>
        <w:t>)(</w:t>
      </w:r>
      <w:proofErr w:type="gramEnd"/>
      <w:r w:rsidRPr="004357A7">
        <w:rPr>
          <w:rFonts w:ascii="Times New Roman" w:hAnsi="Times New Roman" w:cs="Times New Roman"/>
        </w:rPr>
        <w:t>1) of Regulation ATS.  This broker-dealer operator, its affiliates, or both, however, may also conduct brokerage or dealing activities in NMS stocks in addition to operating the ATS.</w:t>
      </w:r>
      <w:r w:rsidRPr="004357A7">
        <w:rPr>
          <w:rStyle w:val="FootnoteReference"/>
          <w:rFonts w:ascii="Times New Roman" w:hAnsi="Times New Roman" w:cs="Times New Roman"/>
        </w:rPr>
        <w:footnoteReference w:id="7"/>
      </w:r>
      <w:r w:rsidRPr="004357A7">
        <w:rPr>
          <w:rFonts w:ascii="Times New Roman" w:hAnsi="Times New Roman" w:cs="Times New Roman"/>
        </w:rPr>
        <w:t xml:space="preserve">  Broker-dealer operators may also have affiliates that support the operations of the ATS or trade on it.  The Commission notes that these multi-service </w:t>
      </w:r>
      <w:r w:rsidRPr="004357A7">
        <w:rPr>
          <w:rFonts w:ascii="Times New Roman" w:eastAsia="Calibri" w:hAnsi="Times New Roman" w:cs="Times New Roman"/>
        </w:rPr>
        <w:t xml:space="preserve">broker-dealers that engage in brokerage and dealing activities, in addition to </w:t>
      </w:r>
      <w:r w:rsidRPr="004357A7">
        <w:rPr>
          <w:rFonts w:ascii="Times New Roman" w:hAnsi="Times New Roman" w:cs="Times New Roman"/>
        </w:rPr>
        <w:t xml:space="preserve">the </w:t>
      </w:r>
      <w:r w:rsidRPr="004357A7">
        <w:rPr>
          <w:rFonts w:ascii="Times New Roman" w:eastAsia="Calibri" w:hAnsi="Times New Roman" w:cs="Times New Roman"/>
        </w:rPr>
        <w:t>operation of their ATSs, have</w:t>
      </w:r>
      <w:r w:rsidRPr="004357A7">
        <w:rPr>
          <w:rFonts w:ascii="Times New Roman" w:hAnsi="Times New Roman" w:cs="Times New Roman"/>
        </w:rPr>
        <w:t xml:space="preserve"> become more prevalent since the adoption of Regulation ATS and the other services multi-service broker-dealers provide have become increasingly intertwined with the operation of their ATSs.  Given the unique position that the broker-dealer operator and its affiliates occupy with regard to the operation of an ATS, potential conflicts of interest arise when the various business interests of the broker-dealer operator or its affiliates compete with the interests of market participants that access and trade on the ATS.  </w:t>
      </w:r>
      <w:r w:rsidR="00341F4D" w:rsidRPr="004357A7">
        <w:rPr>
          <w:rFonts w:ascii="Times New Roman" w:hAnsi="Times New Roman" w:cs="Times New Roman"/>
        </w:rPr>
        <w:t>A</w:t>
      </w:r>
      <w:r w:rsidRPr="004357A7">
        <w:rPr>
          <w:rFonts w:ascii="Times New Roman" w:hAnsi="Times New Roman" w:cs="Times New Roman"/>
        </w:rPr>
        <w:t xml:space="preserve">lthough the operations of most ATSs and their broker-dealer operators have become more closely connected, market participants receive limited information about the activities of the broker-dealer operator and its affiliates and the potential conflicts of interest that arise from these activities.  </w:t>
      </w:r>
    </w:p>
    <w:p w14:paraId="171F0437" w14:textId="77777777" w:rsidR="00687FD8" w:rsidRPr="00285756" w:rsidRDefault="00687FD8" w:rsidP="00E76816">
      <w:pPr>
        <w:ind w:firstLine="720"/>
        <w:rPr>
          <w:rFonts w:ascii="Times New Roman" w:eastAsia="Calibri" w:hAnsi="Times New Roman" w:cs="Times New Roman"/>
        </w:rPr>
      </w:pPr>
    </w:p>
    <w:p w14:paraId="38A31738" w14:textId="36BE4462" w:rsidR="00E0643B" w:rsidRPr="00285756" w:rsidRDefault="00E0643B" w:rsidP="004357A7">
      <w:pPr>
        <w:widowControl/>
        <w:spacing w:after="240"/>
        <w:ind w:firstLine="720"/>
        <w:rPr>
          <w:rFonts w:ascii="Times New Roman" w:hAnsi="Times New Roman" w:cs="Times New Roman"/>
        </w:rPr>
      </w:pPr>
      <w:r w:rsidRPr="004357A7">
        <w:rPr>
          <w:rFonts w:ascii="Times New Roman" w:hAnsi="Times New Roman" w:cs="Times New Roman"/>
        </w:rPr>
        <w:t xml:space="preserve">The Commission preliminarily believes that new Form ATS-N could promote more efficient and effective market operations by providing more transparency to market participants about the operations of ATSs and the potential conflicts of interest of the controlling broker-dealer operator and its affiliates.  The Commission preliminarily believes that the </w:t>
      </w:r>
      <w:r w:rsidR="002E3773" w:rsidRPr="00285756">
        <w:rPr>
          <w:rFonts w:ascii="Times New Roman" w:hAnsi="Times New Roman" w:cs="Times New Roman"/>
        </w:rPr>
        <w:t xml:space="preserve">proposed </w:t>
      </w:r>
      <w:r w:rsidRPr="004357A7">
        <w:rPr>
          <w:rFonts w:ascii="Times New Roman" w:hAnsi="Times New Roman" w:cs="Times New Roman"/>
        </w:rPr>
        <w:t>operational transparency rules, including new Form ATS-N, could increase competition among trading centers in regard to order routing and execution quality.  For example, the proposed rules could reveal order interaction procedures that may result in the differential treatment of some order types handled by an NMS Stock ATS.  This improved visibility, in turn, could cause market participants to shift order flow to NMS Stock ATSs that provide better opportunities for executions.  The Commission preliminarily believes that the proposal could facilitate comparisons among trading centers in NMS stocks and increase competition by informing market participants about the operations of NMS Stock ATSs.</w:t>
      </w:r>
    </w:p>
    <w:p w14:paraId="6C3BE68E" w14:textId="45C65FB4" w:rsidR="00FB7E74" w:rsidRPr="00285756" w:rsidRDefault="00FB7E74" w:rsidP="004357A7">
      <w:pPr>
        <w:widowControl/>
        <w:spacing w:after="240"/>
        <w:ind w:firstLine="720"/>
        <w:rPr>
          <w:rFonts w:ascii="Times New Roman" w:hAnsi="Times New Roman" w:cs="Times New Roman"/>
        </w:rPr>
      </w:pPr>
      <w:r w:rsidRPr="00285756">
        <w:rPr>
          <w:rFonts w:ascii="Times New Roman" w:hAnsi="Times New Roman" w:cs="Times New Roman"/>
        </w:rPr>
        <w:t>Current Rule 301(b</w:t>
      </w:r>
      <w:proofErr w:type="gramStart"/>
      <w:r w:rsidRPr="00285756">
        <w:rPr>
          <w:rFonts w:ascii="Times New Roman" w:hAnsi="Times New Roman" w:cs="Times New Roman"/>
        </w:rPr>
        <w:t>)(</w:t>
      </w:r>
      <w:proofErr w:type="gramEnd"/>
      <w:r w:rsidRPr="00285756">
        <w:rPr>
          <w:rFonts w:ascii="Times New Roman" w:hAnsi="Times New Roman" w:cs="Times New Roman"/>
        </w:rPr>
        <w:t>10) of Regulation ATS</w:t>
      </w:r>
      <w:r w:rsidRPr="00285756">
        <w:rPr>
          <w:rStyle w:val="FootnoteReference"/>
          <w:rFonts w:ascii="Times New Roman" w:hAnsi="Times New Roman" w:cs="Times New Roman"/>
        </w:rPr>
        <w:footnoteReference w:id="8"/>
      </w:r>
      <w:r w:rsidRPr="00285756">
        <w:rPr>
          <w:rFonts w:ascii="Times New Roman" w:hAnsi="Times New Roman" w:cs="Times New Roman"/>
        </w:rPr>
        <w:t xml:space="preserve"> requires every ATS to have in place safeguards and procedures to protect subscribers’ confidential trading information and to separate ATS functions from other broker-dealer functions, including proprietary and customer trading.</w:t>
      </w:r>
      <w:r w:rsidRPr="001D4B88">
        <w:rPr>
          <w:rFonts w:ascii="Times New Roman" w:hAnsi="Times New Roman" w:cs="Times New Roman"/>
        </w:rPr>
        <w:t xml:space="preserve">  In the Regulation ATS Adopting Release, the Commission recognized that some broker-dealer operators provide traditional brokerage services as well </w:t>
      </w:r>
      <w:r w:rsidRPr="00285756">
        <w:rPr>
          <w:rFonts w:ascii="Times New Roman" w:hAnsi="Times New Roman" w:cs="Times New Roman"/>
        </w:rPr>
        <w:t>as access to their ATS(s).</w:t>
      </w:r>
      <w:r w:rsidR="00056690" w:rsidRPr="00056690">
        <w:rPr>
          <w:rStyle w:val="FootnoteReference"/>
          <w:rFonts w:ascii="Times New Roman" w:hAnsi="Times New Roman" w:cs="Times New Roman"/>
        </w:rPr>
        <w:t xml:space="preserve"> </w:t>
      </w:r>
      <w:r w:rsidR="00056690" w:rsidRPr="004357A7">
        <w:rPr>
          <w:rStyle w:val="FootnoteReference"/>
          <w:rFonts w:ascii="Times New Roman" w:hAnsi="Times New Roman" w:cs="Times New Roman"/>
        </w:rPr>
        <w:footnoteReference w:id="9"/>
      </w:r>
      <w:r w:rsidRPr="00285756">
        <w:rPr>
          <w:rFonts w:ascii="Times New Roman" w:hAnsi="Times New Roman" w:cs="Times New Roman"/>
        </w:rPr>
        <w:t xml:space="preserve">  </w:t>
      </w:r>
      <w:r w:rsidRPr="00285756">
        <w:rPr>
          <w:rFonts w:ascii="Times New Roman" w:hAnsi="Times New Roman" w:cs="Times New Roman"/>
        </w:rPr>
        <w:lastRenderedPageBreak/>
        <w:t>The Commission further stated that Rule 301(b</w:t>
      </w:r>
      <w:proofErr w:type="gramStart"/>
      <w:r w:rsidRPr="00285756">
        <w:rPr>
          <w:rFonts w:ascii="Times New Roman" w:hAnsi="Times New Roman" w:cs="Times New Roman"/>
        </w:rPr>
        <w:t>)(</w:t>
      </w:r>
      <w:proofErr w:type="gramEnd"/>
      <w:r w:rsidRPr="00285756">
        <w:rPr>
          <w:rFonts w:ascii="Times New Roman" w:hAnsi="Times New Roman" w:cs="Times New Roman"/>
        </w:rPr>
        <w:t>10) was not intended to preclude an ATS from providing it</w:t>
      </w:r>
      <w:r w:rsidRPr="001D4B88">
        <w:rPr>
          <w:rFonts w:ascii="Times New Roman" w:hAnsi="Times New Roman" w:cs="Times New Roman"/>
        </w:rPr>
        <w:t>s traditional brokerage services; rather, Rule 301(b)(10) was designed to prevent the misuse of private customer informatio</w:t>
      </w:r>
      <w:r w:rsidRPr="00285756">
        <w:rPr>
          <w:rFonts w:ascii="Times New Roman" w:hAnsi="Times New Roman" w:cs="Times New Roman"/>
        </w:rPr>
        <w:t>n in the system for the benefit of other customers, the ATS’s operator, or its employees.</w:t>
      </w:r>
    </w:p>
    <w:p w14:paraId="0B22D53A" w14:textId="5108BABD" w:rsidR="00EE4A16" w:rsidRPr="00285756" w:rsidRDefault="00FB7E74" w:rsidP="004357A7">
      <w:pPr>
        <w:widowControl/>
        <w:spacing w:after="240"/>
        <w:ind w:firstLine="720"/>
        <w:rPr>
          <w:rFonts w:ascii="Times New Roman" w:hAnsi="Times New Roman" w:cs="Times New Roman"/>
        </w:rPr>
      </w:pPr>
      <w:r w:rsidRPr="00285756">
        <w:rPr>
          <w:rFonts w:ascii="Times New Roman" w:hAnsi="Times New Roman" w:cs="Times New Roman"/>
        </w:rPr>
        <w:t>Rule 301(b</w:t>
      </w:r>
      <w:proofErr w:type="gramStart"/>
      <w:r w:rsidRPr="00285756">
        <w:rPr>
          <w:rFonts w:ascii="Times New Roman" w:hAnsi="Times New Roman" w:cs="Times New Roman"/>
        </w:rPr>
        <w:t>)(</w:t>
      </w:r>
      <w:proofErr w:type="gramEnd"/>
      <w:r w:rsidRPr="00285756">
        <w:rPr>
          <w:rFonts w:ascii="Times New Roman" w:hAnsi="Times New Roman" w:cs="Times New Roman"/>
        </w:rPr>
        <w:t>10), however, does not currently require that the safeguards and procedures mandated under Rule 301(b)(10) be memorialized in writing.  The Commission is now proposing to amend Rule 301(b</w:t>
      </w:r>
      <w:proofErr w:type="gramStart"/>
      <w:r w:rsidRPr="00285756">
        <w:rPr>
          <w:rFonts w:ascii="Times New Roman" w:hAnsi="Times New Roman" w:cs="Times New Roman"/>
        </w:rPr>
        <w:t>)(</w:t>
      </w:r>
      <w:proofErr w:type="gramEnd"/>
      <w:r w:rsidRPr="00285756">
        <w:rPr>
          <w:rFonts w:ascii="Times New Roman" w:hAnsi="Times New Roman" w:cs="Times New Roman"/>
        </w:rPr>
        <w:t xml:space="preserve">10) to require that such safeguards and procedures be reduced to writing.  The Commission continues to believe that safeguards and procedures to ensure the confidential treatment of ATS subscribers’ trading information are important, and that the potential for misuse of such information continues to exist.  The Commission preliminarily believes that requiring an ATS to reduce to writing those safeguards and procedures, as well as its oversight procedures to ensure that such safeguards and procedures are followed, would strengthen the effectiveness of the ATS’s safeguards and procedures and would better enable the ATS to </w:t>
      </w:r>
      <w:r w:rsidRPr="00204681">
        <w:rPr>
          <w:rFonts w:ascii="Times New Roman" w:eastAsia="Calibri" w:hAnsi="Times New Roman" w:cs="Times New Roman"/>
        </w:rPr>
        <w:t xml:space="preserve">protect confidential subscriber trading information and </w:t>
      </w:r>
      <w:r w:rsidRPr="00285756">
        <w:rPr>
          <w:rFonts w:ascii="Times New Roman" w:hAnsi="Times New Roman" w:cs="Times New Roman"/>
        </w:rPr>
        <w:t>implement and monitor the adequacy of, and the ATS’s compliance with, its safeguards and procedures.</w:t>
      </w:r>
    </w:p>
    <w:p w14:paraId="7C02D9EB" w14:textId="14862CE3" w:rsidR="00E97F10" w:rsidRPr="00285756" w:rsidRDefault="00EE4A16" w:rsidP="004357A7">
      <w:pPr>
        <w:widowControl/>
        <w:spacing w:after="240"/>
        <w:ind w:firstLine="720"/>
        <w:rPr>
          <w:rFonts w:ascii="Times New Roman" w:hAnsi="Times New Roman" w:cs="Times New Roman"/>
        </w:rPr>
      </w:pPr>
      <w:r w:rsidRPr="004357A7">
        <w:rPr>
          <w:rFonts w:ascii="Times New Roman" w:hAnsi="Times New Roman" w:cs="Times New Roman"/>
        </w:rPr>
        <w:t xml:space="preserve">The Securities and Exchange Commission is proposing to amend the regulatory requirements in Regulation ATS under the </w:t>
      </w:r>
      <w:r w:rsidR="00853A51">
        <w:rPr>
          <w:rFonts w:ascii="Times New Roman" w:hAnsi="Times New Roman" w:cs="Times New Roman"/>
        </w:rPr>
        <w:t>E</w:t>
      </w:r>
      <w:r w:rsidRPr="004357A7">
        <w:rPr>
          <w:rFonts w:ascii="Times New Roman" w:hAnsi="Times New Roman" w:cs="Times New Roman"/>
        </w:rPr>
        <w:t xml:space="preserve">xchange Act applicable to </w:t>
      </w:r>
      <w:r w:rsidR="00853A51">
        <w:rPr>
          <w:rFonts w:ascii="Times New Roman" w:hAnsi="Times New Roman" w:cs="Times New Roman"/>
        </w:rPr>
        <w:t xml:space="preserve">NMS Stock </w:t>
      </w:r>
      <w:r w:rsidR="00FB7E74" w:rsidRPr="00285756">
        <w:rPr>
          <w:rFonts w:ascii="Times New Roman" w:hAnsi="Times New Roman" w:cs="Times New Roman"/>
        </w:rPr>
        <w:t>ATSs</w:t>
      </w:r>
      <w:r w:rsidRPr="004357A7">
        <w:rPr>
          <w:rFonts w:ascii="Times New Roman" w:hAnsi="Times New Roman" w:cs="Times New Roman"/>
        </w:rPr>
        <w:t>, including so called “dark pools.”</w:t>
      </w:r>
      <w:r w:rsidR="00056690" w:rsidRPr="00056690">
        <w:rPr>
          <w:rStyle w:val="FootnoteReference"/>
          <w:rFonts w:ascii="Times New Roman" w:hAnsi="Times New Roman" w:cs="Times New Roman"/>
        </w:rPr>
        <w:t xml:space="preserve"> </w:t>
      </w:r>
      <w:r w:rsidR="00056690" w:rsidRPr="004357A7">
        <w:rPr>
          <w:rStyle w:val="FootnoteReference"/>
          <w:rFonts w:ascii="Times New Roman" w:hAnsi="Times New Roman" w:cs="Times New Roman"/>
        </w:rPr>
        <w:footnoteReference w:id="10"/>
      </w:r>
      <w:r w:rsidRPr="004357A7">
        <w:rPr>
          <w:rFonts w:ascii="Times New Roman" w:hAnsi="Times New Roman" w:cs="Times New Roman"/>
        </w:rPr>
        <w:t xml:space="preserve">  The Commission is proposing to amend Regulation ATS to adopt Form ATS-N.  Proposed Form ATS-N would require NMS Stock ATSs to provide information about the broker-dealer </w:t>
      </w:r>
      <w:r w:rsidR="00853A51">
        <w:rPr>
          <w:rFonts w:ascii="Times New Roman" w:hAnsi="Times New Roman" w:cs="Times New Roman"/>
        </w:rPr>
        <w:t xml:space="preserve">operator, </w:t>
      </w:r>
      <w:r w:rsidRPr="004357A7">
        <w:rPr>
          <w:rFonts w:ascii="Times New Roman" w:hAnsi="Times New Roman" w:cs="Times New Roman"/>
        </w:rPr>
        <w:t xml:space="preserve">and the activities of the broker-dealer operator and its affiliates in connection with the NMS </w:t>
      </w:r>
      <w:r w:rsidR="00FB7E74" w:rsidRPr="00285756">
        <w:rPr>
          <w:rFonts w:ascii="Times New Roman" w:hAnsi="Times New Roman" w:cs="Times New Roman"/>
        </w:rPr>
        <w:t xml:space="preserve">Stock ATS, as well as detailed information regarding the operations of the NMS Stock ATS.  </w:t>
      </w:r>
      <w:r w:rsidR="00091474" w:rsidRPr="004357A7">
        <w:rPr>
          <w:rFonts w:ascii="Times New Roman" w:hAnsi="Times New Roman" w:cs="Times New Roman"/>
        </w:rPr>
        <w:t>Second, the Commission is proposing to make filings on Form ATS-N public by posting the Form ATS-N filings on the Commission’s internet website.  Third, the Commission is proposing to amend Regulation ATS to adopt new Rule 304, which would provide a process for the Commission to determine whether an entity qualifies for the exemption from the definition of “exchange” pursuant to Exchange Act Rule 3a1-1(a</w:t>
      </w:r>
      <w:proofErr w:type="gramStart"/>
      <w:r w:rsidR="00091474" w:rsidRPr="004357A7">
        <w:rPr>
          <w:rFonts w:ascii="Times New Roman" w:hAnsi="Times New Roman" w:cs="Times New Roman"/>
        </w:rPr>
        <w:t>)(</w:t>
      </w:r>
      <w:proofErr w:type="gramEnd"/>
      <w:r w:rsidR="00091474" w:rsidRPr="004357A7">
        <w:rPr>
          <w:rFonts w:ascii="Times New Roman" w:hAnsi="Times New Roman" w:cs="Times New Roman"/>
        </w:rPr>
        <w:t>2) with regard to NMS stocks and declare an NMS Stock ATS’s Form ATS-N either effective or, after notice and opportunity for hearing, ineffective.  Fourth, under the proposal, the Commission could suspend, limit, or revoke the exemption provided under Rule 3a1-1(a</w:t>
      </w:r>
      <w:proofErr w:type="gramStart"/>
      <w:r w:rsidR="00091474" w:rsidRPr="004357A7">
        <w:rPr>
          <w:rFonts w:ascii="Times New Roman" w:hAnsi="Times New Roman" w:cs="Times New Roman"/>
        </w:rPr>
        <w:t>)(</w:t>
      </w:r>
      <w:proofErr w:type="gramEnd"/>
      <w:r w:rsidR="00091474" w:rsidRPr="004357A7">
        <w:rPr>
          <w:rFonts w:ascii="Times New Roman" w:hAnsi="Times New Roman" w:cs="Times New Roman"/>
        </w:rPr>
        <w:t>2) after providing notice and opportunity for hearing.  Lastly, the Commission is proposing to amend Exchange Act Rule 301(b</w:t>
      </w:r>
      <w:proofErr w:type="gramStart"/>
      <w:r w:rsidR="00091474" w:rsidRPr="004357A7">
        <w:rPr>
          <w:rFonts w:ascii="Times New Roman" w:hAnsi="Times New Roman" w:cs="Times New Roman"/>
        </w:rPr>
        <w:t>)(</w:t>
      </w:r>
      <w:proofErr w:type="gramEnd"/>
      <w:r w:rsidR="00091474" w:rsidRPr="004357A7">
        <w:rPr>
          <w:rFonts w:ascii="Times New Roman" w:hAnsi="Times New Roman" w:cs="Times New Roman"/>
        </w:rPr>
        <w:t>10) of Regulation ATS to require that an ATS’s safeguards and procedures to ensure the confidential treatment of subscribers’ trading information be written.  The Commission is also proposing to make conforming changes to Regulation ATS and Exchange Act Rule 3a1-1.</w:t>
      </w:r>
    </w:p>
    <w:p w14:paraId="56289999" w14:textId="37B9C93F" w:rsidR="002F4AD6" w:rsidRPr="00285756" w:rsidRDefault="002F4AD6" w:rsidP="002C1B1B">
      <w:pPr>
        <w:pStyle w:val="ListParagraph"/>
        <w:keepNext/>
        <w:numPr>
          <w:ilvl w:val="0"/>
          <w:numId w:val="5"/>
        </w:numPr>
        <w:spacing w:after="240"/>
        <w:ind w:left="2160" w:hanging="720"/>
        <w:rPr>
          <w:rFonts w:ascii="Times New Roman" w:hAnsi="Times New Roman"/>
          <w:sz w:val="24"/>
          <w:szCs w:val="24"/>
          <w:u w:val="single"/>
        </w:rPr>
      </w:pPr>
      <w:r w:rsidRPr="00285756">
        <w:rPr>
          <w:rFonts w:ascii="Times New Roman" w:hAnsi="Times New Roman"/>
          <w:sz w:val="24"/>
          <w:szCs w:val="24"/>
          <w:u w:val="single"/>
        </w:rPr>
        <w:t>Regulation SCI</w:t>
      </w:r>
      <w:r w:rsidR="00FB7E74" w:rsidRPr="00285756">
        <w:rPr>
          <w:rFonts w:ascii="Times New Roman" w:hAnsi="Times New Roman"/>
          <w:sz w:val="24"/>
          <w:szCs w:val="24"/>
          <w:u w:val="single"/>
        </w:rPr>
        <w:t xml:space="preserve"> and Rule 301(b)(6) of Regulation ATS</w:t>
      </w:r>
    </w:p>
    <w:p w14:paraId="6E996E40" w14:textId="77777777" w:rsidR="00F31B02" w:rsidRPr="00285756" w:rsidRDefault="00F31B02" w:rsidP="00F31B02">
      <w:pPr>
        <w:ind w:firstLine="720"/>
        <w:rPr>
          <w:rFonts w:ascii="Times New Roman" w:hAnsi="Times New Roman" w:cs="Times New Roman"/>
        </w:rPr>
      </w:pPr>
      <w:r w:rsidRPr="00285756">
        <w:rPr>
          <w:rFonts w:ascii="Times New Roman" w:hAnsi="Times New Roman" w:cs="Times New Roman"/>
        </w:rPr>
        <w:t xml:space="preserve">Section </w:t>
      </w:r>
      <w:proofErr w:type="gramStart"/>
      <w:r w:rsidRPr="00285756">
        <w:rPr>
          <w:rFonts w:ascii="Times New Roman" w:hAnsi="Times New Roman" w:cs="Times New Roman"/>
        </w:rPr>
        <w:t>11A(</w:t>
      </w:r>
      <w:proofErr w:type="gramEnd"/>
      <w:r w:rsidRPr="00285756">
        <w:rPr>
          <w:rFonts w:ascii="Times New Roman" w:hAnsi="Times New Roman" w:cs="Times New Roman"/>
        </w:rPr>
        <w:t>a)(2) of the Act,</w:t>
      </w:r>
      <w:bookmarkStart w:id="2" w:name="_Ref382981835"/>
      <w:r w:rsidRPr="00285756">
        <w:rPr>
          <w:rStyle w:val="FootnoteReference"/>
          <w:rFonts w:ascii="Times New Roman" w:hAnsi="Times New Roman" w:cs="Times New Roman"/>
        </w:rPr>
        <w:footnoteReference w:id="11"/>
      </w:r>
      <w:bookmarkEnd w:id="2"/>
      <w:r w:rsidRPr="00285756">
        <w:rPr>
          <w:rFonts w:ascii="Times New Roman" w:hAnsi="Times New Roman" w:cs="Times New Roman"/>
        </w:rPr>
        <w:t xml:space="preserve"> enacted as part of the 1975 Amendments</w:t>
      </w:r>
      <w:r w:rsidR="009E2844" w:rsidRPr="00285756">
        <w:rPr>
          <w:rFonts w:ascii="Times New Roman" w:hAnsi="Times New Roman" w:cs="Times New Roman"/>
        </w:rPr>
        <w:t xml:space="preserve"> to the Act</w:t>
      </w:r>
      <w:r w:rsidRPr="00285756">
        <w:rPr>
          <w:rFonts w:ascii="Times New Roman" w:hAnsi="Times New Roman" w:cs="Times New Roman"/>
        </w:rPr>
        <w:t>,</w:t>
      </w:r>
      <w:r w:rsidRPr="00285756">
        <w:rPr>
          <w:rStyle w:val="FootnoteReference"/>
          <w:rFonts w:ascii="Times New Roman" w:hAnsi="Times New Roman" w:cs="Times New Roman"/>
        </w:rPr>
        <w:footnoteReference w:id="12"/>
      </w:r>
      <w:r w:rsidRPr="00285756">
        <w:rPr>
          <w:rFonts w:ascii="Times New Roman" w:hAnsi="Times New Roman" w:cs="Times New Roman"/>
        </w:rPr>
        <w:t xml:space="preserve"> </w:t>
      </w:r>
      <w:r w:rsidRPr="00285756">
        <w:rPr>
          <w:rFonts w:ascii="Times New Roman" w:hAnsi="Times New Roman" w:cs="Times New Roman"/>
        </w:rPr>
        <w:lastRenderedPageBreak/>
        <w:t>directs the Commission, having due regard for the public interest, the protection of investors, and the maintenance of fair and orderly markets, to use its authority under the Exchange Act to facilitate the establishment of a national market system for se</w:t>
      </w:r>
      <w:r w:rsidRPr="001D4B88">
        <w:rPr>
          <w:rFonts w:ascii="Times New Roman" w:hAnsi="Times New Roman" w:cs="Times New Roman"/>
        </w:rPr>
        <w:t xml:space="preserve">curities in accordance with the Congressional findings and objectives set forth </w:t>
      </w:r>
      <w:r w:rsidRPr="00285756">
        <w:rPr>
          <w:rFonts w:ascii="Times New Roman" w:hAnsi="Times New Roman" w:cs="Times New Roman"/>
        </w:rPr>
        <w:t>in Section 11A(a)(1) of the Exchange Act.</w:t>
      </w:r>
      <w:r w:rsidRPr="00285756">
        <w:rPr>
          <w:rStyle w:val="FootnoteReference"/>
          <w:rFonts w:ascii="Times New Roman" w:hAnsi="Times New Roman" w:cs="Times New Roman"/>
        </w:rPr>
        <w:footnoteReference w:id="13"/>
      </w:r>
      <w:r w:rsidRPr="00285756">
        <w:rPr>
          <w:rFonts w:ascii="Times New Roman" w:hAnsi="Times New Roman" w:cs="Times New Roman"/>
        </w:rPr>
        <w:t xml:space="preserve">  Among the findings and objectives in Section </w:t>
      </w:r>
      <w:proofErr w:type="gramStart"/>
      <w:r w:rsidRPr="00285756">
        <w:rPr>
          <w:rFonts w:ascii="Times New Roman" w:hAnsi="Times New Roman" w:cs="Times New Roman"/>
        </w:rPr>
        <w:t>11A(</w:t>
      </w:r>
      <w:proofErr w:type="gramEnd"/>
      <w:r w:rsidRPr="00285756">
        <w:rPr>
          <w:rFonts w:ascii="Times New Roman" w:hAnsi="Times New Roman" w:cs="Times New Roman"/>
        </w:rPr>
        <w:t>a)(1) is that “[n]</w:t>
      </w:r>
      <w:proofErr w:type="spellStart"/>
      <w:r w:rsidRPr="00285756">
        <w:rPr>
          <w:rFonts w:ascii="Times New Roman" w:hAnsi="Times New Roman" w:cs="Times New Roman"/>
        </w:rPr>
        <w:t>ew</w:t>
      </w:r>
      <w:proofErr w:type="spellEnd"/>
      <w:r w:rsidRPr="00285756">
        <w:rPr>
          <w:rFonts w:ascii="Times New Roman" w:hAnsi="Times New Roman" w:cs="Times New Roman"/>
        </w:rPr>
        <w:t xml:space="preserve"> data processing and communications techniques create the oppor</w:t>
      </w:r>
      <w:r w:rsidRPr="001D4B88">
        <w:rPr>
          <w:rFonts w:ascii="Times New Roman" w:hAnsi="Times New Roman" w:cs="Times New Roman"/>
        </w:rPr>
        <w:t>tunity for more efficient and effective market operations”</w:t>
      </w:r>
      <w:r w:rsidRPr="00285756">
        <w:rPr>
          <w:rStyle w:val="FootnoteReference"/>
          <w:rFonts w:ascii="Times New Roman" w:hAnsi="Times New Roman" w:cs="Times New Roman"/>
        </w:rPr>
        <w:footnoteReference w:id="14"/>
      </w:r>
      <w:r w:rsidRPr="00285756">
        <w:rPr>
          <w:rFonts w:ascii="Times New Roman" w:hAnsi="Times New Roman" w:cs="Times New Roman"/>
        </w:rPr>
        <w:t xml:space="preserve"> and “[i]t is in the public interest and appropriate for the protection of investors and the maintenance of fair and orderly markets to assure…the economically efficient execution of securities transactions.”</w:t>
      </w:r>
      <w:r w:rsidRPr="00285756">
        <w:rPr>
          <w:rStyle w:val="FootnoteReference"/>
          <w:rFonts w:ascii="Times New Roman" w:hAnsi="Times New Roman" w:cs="Times New Roman"/>
        </w:rPr>
        <w:footnoteReference w:id="15"/>
      </w:r>
      <w:r w:rsidRPr="00285756">
        <w:rPr>
          <w:rFonts w:ascii="Times New Roman" w:hAnsi="Times New Roman" w:cs="Times New Roman"/>
        </w:rPr>
        <w:t xml:space="preserve">  In addition, Sections 6(b), 15A, and 17A(b)(3) of the Exchange Act impose obligations on national securities exchanges, national securities associations, and clearing agencies, respectively, to be “so organized” and “[have] the capacity to…ca</w:t>
      </w:r>
      <w:r w:rsidRPr="001D4B88">
        <w:rPr>
          <w:rFonts w:ascii="Times New Roman" w:hAnsi="Times New Roman" w:cs="Times New Roman"/>
        </w:rPr>
        <w:t>rry out the purposes of [the Exchange Act].”</w:t>
      </w:r>
      <w:bookmarkStart w:id="3" w:name="_Ref382981837"/>
      <w:r w:rsidRPr="00285756">
        <w:rPr>
          <w:rStyle w:val="FootnoteReference"/>
          <w:rFonts w:ascii="Times New Roman" w:hAnsi="Times New Roman" w:cs="Times New Roman"/>
        </w:rPr>
        <w:footnoteReference w:id="16"/>
      </w:r>
      <w:bookmarkEnd w:id="3"/>
    </w:p>
    <w:p w14:paraId="0F278E21" w14:textId="77777777" w:rsidR="00F31B02" w:rsidRPr="001D4B88" w:rsidRDefault="00F31B02" w:rsidP="00F31B02">
      <w:pPr>
        <w:ind w:firstLine="720"/>
        <w:rPr>
          <w:rFonts w:ascii="Times New Roman" w:hAnsi="Times New Roman" w:cs="Times New Roman"/>
        </w:rPr>
      </w:pPr>
    </w:p>
    <w:p w14:paraId="7B844BA5" w14:textId="77777777" w:rsidR="00F31B02" w:rsidRPr="00285756" w:rsidRDefault="00F31B02" w:rsidP="00F31B02">
      <w:pPr>
        <w:ind w:firstLine="720"/>
        <w:rPr>
          <w:rFonts w:ascii="Times New Roman" w:hAnsi="Times New Roman" w:cs="Times New Roman"/>
        </w:rPr>
      </w:pPr>
      <w:r w:rsidRPr="00285756">
        <w:rPr>
          <w:rFonts w:ascii="Times New Roman" w:eastAsiaTheme="minorHAnsi" w:hAnsi="Times New Roman" w:cs="Times New Roman"/>
        </w:rPr>
        <w:t>The U.S. securities markets have been</w:t>
      </w:r>
      <w:r w:rsidRPr="00285756">
        <w:rPr>
          <w:rFonts w:ascii="Times New Roman" w:hAnsi="Times New Roman" w:cs="Times New Roman"/>
        </w:rPr>
        <w:t xml:space="preserve"> transformed by </w:t>
      </w:r>
      <w:r w:rsidR="0075799B" w:rsidRPr="00285756">
        <w:rPr>
          <w:rFonts w:ascii="Times New Roman" w:hAnsi="Times New Roman" w:cs="Times New Roman"/>
        </w:rPr>
        <w:t xml:space="preserve">regulatory and related </w:t>
      </w:r>
      <w:r w:rsidRPr="00285756">
        <w:rPr>
          <w:rFonts w:ascii="Times New Roman" w:hAnsi="Times New Roman" w:cs="Times New Roman"/>
        </w:rPr>
        <w:t>technological developments in recent years</w:t>
      </w:r>
      <w:r w:rsidR="0075799B" w:rsidRPr="00285756">
        <w:rPr>
          <w:rFonts w:ascii="Times New Roman" w:hAnsi="Times New Roman" w:cs="Times New Roman"/>
        </w:rPr>
        <w:t xml:space="preserve">.  </w:t>
      </w:r>
      <w:r w:rsidR="00C21F29" w:rsidRPr="00285756">
        <w:rPr>
          <w:rFonts w:ascii="Times New Roman" w:hAnsi="Times New Roman" w:cs="Times New Roman"/>
        </w:rPr>
        <w:t>They</w:t>
      </w:r>
      <w:r w:rsidR="0075799B" w:rsidRPr="00285756">
        <w:rPr>
          <w:rFonts w:ascii="Times New Roman" w:hAnsi="Times New Roman" w:cs="Times New Roman"/>
        </w:rPr>
        <w:t xml:space="preserve"> have, among other things,</w:t>
      </w:r>
      <w:r w:rsidRPr="00285756">
        <w:rPr>
          <w:rFonts w:ascii="Times New Roman" w:hAnsi="Times New Roman" w:cs="Times New Roman"/>
        </w:rPr>
        <w:t xml:space="preserve"> substantially enhanced the speed, capacity, efficiency, and sophistication of the trading functions that are available to market participants.  At the same time, these technological advances have generated an increasing risk of operational problems with automated systems, including failures, disruptions, delays, and intrusions.  Given the speed and interconnected nature of the U.S. securities markets, a seemingly minor systems problem at a single entity can quickly create losses and liability for market participants, and spread rapidly across the national market system, potentially creating widespread damage and harm to market participants, including investors.  </w:t>
      </w:r>
    </w:p>
    <w:p w14:paraId="1D56F9F8" w14:textId="77777777" w:rsidR="00F31B02" w:rsidRPr="00285756" w:rsidRDefault="00F31B02" w:rsidP="00F31B02">
      <w:pPr>
        <w:ind w:firstLine="720"/>
        <w:rPr>
          <w:rFonts w:ascii="Times New Roman" w:hAnsi="Times New Roman" w:cs="Times New Roman"/>
        </w:rPr>
      </w:pPr>
    </w:p>
    <w:p w14:paraId="2CC070D8" w14:textId="77777777" w:rsidR="00F31B02" w:rsidRPr="00285756" w:rsidRDefault="00F31B02" w:rsidP="00F31B02">
      <w:pPr>
        <w:ind w:firstLine="720"/>
        <w:rPr>
          <w:rFonts w:ascii="Times New Roman" w:hAnsi="Times New Roman" w:cs="Times New Roman"/>
        </w:rPr>
      </w:pPr>
      <w:r w:rsidRPr="00285756">
        <w:rPr>
          <w:rFonts w:ascii="Times New Roman" w:hAnsi="Times New Roman" w:cs="Times New Roman"/>
        </w:rPr>
        <w:t xml:space="preserve">This transformation of the U.S. securities markets has occurred </w:t>
      </w:r>
      <w:r w:rsidRPr="00285756">
        <w:rPr>
          <w:rFonts w:ascii="Times New Roman" w:eastAsiaTheme="minorHAnsi" w:hAnsi="Times New Roman" w:cs="Times New Roman"/>
        </w:rPr>
        <w:t>in the absence of a formal regulatory structure governing the automated systems of key market participants.  Instead, for over two decades, Commission oversight of the technology of the U.S. securities markets has been conducted primarily pursuant to a voluntary set of principles articulated in the Commission’s ARP Policy Statements,</w:t>
      </w:r>
      <w:bookmarkStart w:id="4" w:name="_Ref287358874"/>
      <w:r w:rsidRPr="00285756">
        <w:rPr>
          <w:rStyle w:val="FootnoteReference"/>
          <w:rFonts w:ascii="Times New Roman" w:hAnsi="Times New Roman" w:cs="Times New Roman"/>
        </w:rPr>
        <w:footnoteReference w:id="17"/>
      </w:r>
      <w:bookmarkEnd w:id="4"/>
      <w:r w:rsidRPr="00285756">
        <w:rPr>
          <w:rFonts w:ascii="Times New Roman" w:eastAsiaTheme="minorHAnsi" w:hAnsi="Times New Roman" w:cs="Times New Roman"/>
        </w:rPr>
        <w:t xml:space="preserve"> applied through the Commission’s </w:t>
      </w:r>
      <w:r w:rsidRPr="00285756">
        <w:rPr>
          <w:rFonts w:ascii="Times New Roman" w:hAnsi="Times New Roman" w:cs="Times New Roman"/>
        </w:rPr>
        <w:t>Automation Review Policy inspection program (“ARP Inspection Program”)</w:t>
      </w:r>
      <w:r w:rsidRPr="00285756">
        <w:rPr>
          <w:rFonts w:ascii="Times New Roman" w:eastAsiaTheme="minorHAnsi" w:hAnsi="Times New Roman" w:cs="Times New Roman"/>
        </w:rPr>
        <w:t>.</w:t>
      </w:r>
      <w:bookmarkStart w:id="5" w:name="_Ref260989959"/>
      <w:r w:rsidRPr="00285756">
        <w:rPr>
          <w:rFonts w:ascii="Times New Roman" w:hAnsi="Times New Roman" w:cs="Times New Roman"/>
          <w:vertAlign w:val="superscript"/>
        </w:rPr>
        <w:footnoteReference w:id="18"/>
      </w:r>
      <w:bookmarkEnd w:id="5"/>
      <w:r w:rsidRPr="00285756">
        <w:rPr>
          <w:rFonts w:ascii="Times New Roman" w:eastAsiaTheme="minorHAnsi" w:hAnsi="Times New Roman" w:cs="Times New Roman"/>
        </w:rPr>
        <w:t xml:space="preserve">  </w:t>
      </w:r>
      <w:r w:rsidRPr="00285756">
        <w:rPr>
          <w:rFonts w:ascii="Times New Roman" w:hAnsi="Times New Roman" w:cs="Times New Roman"/>
        </w:rPr>
        <w:t>Commission staff subsequently provided additional guidance regarding various aspects of the ARP Inspection Program through letters to ARP entities, includin</w:t>
      </w:r>
      <w:r w:rsidRPr="001D4B88">
        <w:rPr>
          <w:rFonts w:ascii="Times New Roman" w:hAnsi="Times New Roman" w:cs="Times New Roman"/>
        </w:rPr>
        <w:t xml:space="preserve">g recommendations regarding reporting planned systems changes </w:t>
      </w:r>
      <w:r w:rsidRPr="001D4B88">
        <w:rPr>
          <w:rFonts w:ascii="Times New Roman" w:hAnsi="Times New Roman" w:cs="Times New Roman"/>
        </w:rPr>
        <w:lastRenderedPageBreak/>
        <w:t>and systems issues</w:t>
      </w:r>
      <w:r w:rsidRPr="00285756">
        <w:rPr>
          <w:rFonts w:ascii="Times New Roman" w:hAnsi="Times New Roman" w:cs="Times New Roman"/>
        </w:rPr>
        <w:t xml:space="preserve"> to the Commission.  National securities exchanges, national securities associations, registered clearing </w:t>
      </w:r>
      <w:proofErr w:type="gramStart"/>
      <w:r w:rsidRPr="00285756">
        <w:rPr>
          <w:rFonts w:ascii="Times New Roman" w:hAnsi="Times New Roman" w:cs="Times New Roman"/>
        </w:rPr>
        <w:t>agencies,</w:t>
      </w:r>
      <w:proofErr w:type="gramEnd"/>
      <w:r w:rsidRPr="00285756">
        <w:rPr>
          <w:rFonts w:ascii="Times New Roman" w:hAnsi="Times New Roman" w:cs="Times New Roman"/>
        </w:rPr>
        <w:t xml:space="preserve"> plan processors, one </w:t>
      </w:r>
      <w:r w:rsidR="000D7F96" w:rsidRPr="00285756">
        <w:rPr>
          <w:rFonts w:ascii="Times New Roman" w:hAnsi="Times New Roman" w:cs="Times New Roman"/>
        </w:rPr>
        <w:t>alternative trading system</w:t>
      </w:r>
      <w:r w:rsidRPr="00285756">
        <w:rPr>
          <w:rFonts w:ascii="Times New Roman" w:hAnsi="Times New Roman" w:cs="Times New Roman"/>
        </w:rPr>
        <w:t xml:space="preserve">, and one exempt clearing agency currently participate in the ARP Inspection Program.  </w:t>
      </w:r>
    </w:p>
    <w:p w14:paraId="6DB5C876" w14:textId="77777777" w:rsidR="00F31B02" w:rsidRPr="00285756" w:rsidRDefault="00F31B02" w:rsidP="00F31B02">
      <w:pPr>
        <w:ind w:firstLine="720"/>
        <w:rPr>
          <w:rFonts w:ascii="Times New Roman" w:hAnsi="Times New Roman" w:cs="Times New Roman"/>
        </w:rPr>
      </w:pPr>
    </w:p>
    <w:p w14:paraId="71D84755" w14:textId="77777777" w:rsidR="00F31B02" w:rsidRPr="00285756" w:rsidRDefault="00F31B02" w:rsidP="00F31B02">
      <w:pPr>
        <w:ind w:firstLine="720"/>
        <w:rPr>
          <w:rFonts w:ascii="Times New Roman" w:eastAsiaTheme="minorHAnsi" w:hAnsi="Times New Roman" w:cs="Times New Roman"/>
        </w:rPr>
      </w:pPr>
      <w:r w:rsidRPr="00285756">
        <w:rPr>
          <w:rFonts w:ascii="Times New Roman" w:hAnsi="Times New Roman" w:cs="Times New Roman"/>
        </w:rPr>
        <w:t xml:space="preserve">In 1998, the Commission adopted Regulation ATS which, among other things, imposed by rule certain aspects of the ARP Policy Statements on significant-volume </w:t>
      </w:r>
      <w:r w:rsidR="007152D1" w:rsidRPr="00285756">
        <w:rPr>
          <w:rFonts w:ascii="Times New Roman" w:hAnsi="Times New Roman" w:cs="Times New Roman"/>
        </w:rPr>
        <w:t>alternative trading systems</w:t>
      </w:r>
      <w:r w:rsidRPr="00285756">
        <w:rPr>
          <w:rFonts w:ascii="Times New Roman" w:hAnsi="Times New Roman" w:cs="Times New Roman"/>
        </w:rPr>
        <w:t>.</w:t>
      </w:r>
      <w:bookmarkStart w:id="6" w:name="_Ref257640975"/>
      <w:r w:rsidRPr="00285756">
        <w:rPr>
          <w:rStyle w:val="FootnoteReference"/>
          <w:rFonts w:ascii="Times New Roman" w:hAnsi="Times New Roman" w:cs="Times New Roman"/>
        </w:rPr>
        <w:footnoteReference w:id="19"/>
      </w:r>
      <w:bookmarkEnd w:id="6"/>
      <w:r w:rsidRPr="00285756">
        <w:rPr>
          <w:rFonts w:ascii="Times New Roman" w:hAnsi="Times New Roman" w:cs="Times New Roman"/>
        </w:rPr>
        <w:t xml:space="preserve">  </w:t>
      </w:r>
    </w:p>
    <w:p w14:paraId="11357A73" w14:textId="77777777" w:rsidR="00F31B02" w:rsidRPr="001D4B88" w:rsidRDefault="00F31B02" w:rsidP="00F31B02">
      <w:pPr>
        <w:ind w:firstLine="720"/>
        <w:rPr>
          <w:rFonts w:ascii="Times New Roman" w:eastAsiaTheme="minorHAnsi" w:hAnsi="Times New Roman" w:cs="Times New Roman"/>
        </w:rPr>
      </w:pPr>
    </w:p>
    <w:p w14:paraId="4BA736EA" w14:textId="370CF4C9" w:rsidR="00F31B02" w:rsidRPr="00285756" w:rsidRDefault="00F31B02" w:rsidP="00F31B02">
      <w:pPr>
        <w:ind w:firstLine="720"/>
        <w:rPr>
          <w:rFonts w:ascii="Times New Roman" w:hAnsi="Times New Roman" w:cs="Times New Roman"/>
        </w:rPr>
      </w:pPr>
      <w:r w:rsidRPr="00285756">
        <w:rPr>
          <w:rFonts w:ascii="Times New Roman" w:eastAsiaTheme="minorHAnsi" w:hAnsi="Times New Roman" w:cs="Times New Roman"/>
        </w:rPr>
        <w:t xml:space="preserve">In </w:t>
      </w:r>
      <w:r w:rsidR="00AF0F1B" w:rsidRPr="00285756">
        <w:rPr>
          <w:rFonts w:ascii="Times New Roman" w:eastAsiaTheme="minorHAnsi" w:hAnsi="Times New Roman" w:cs="Times New Roman"/>
        </w:rPr>
        <w:t xml:space="preserve">November </w:t>
      </w:r>
      <w:r w:rsidRPr="00285756">
        <w:rPr>
          <w:rFonts w:ascii="Times New Roman" w:eastAsiaTheme="minorHAnsi" w:hAnsi="Times New Roman" w:cs="Times New Roman"/>
        </w:rPr>
        <w:t>201</w:t>
      </w:r>
      <w:r w:rsidR="00AF0F1B" w:rsidRPr="00285756">
        <w:rPr>
          <w:rFonts w:ascii="Times New Roman" w:eastAsiaTheme="minorHAnsi" w:hAnsi="Times New Roman" w:cs="Times New Roman"/>
        </w:rPr>
        <w:t>4</w:t>
      </w:r>
      <w:r w:rsidRPr="00285756">
        <w:rPr>
          <w:rFonts w:ascii="Times New Roman" w:eastAsiaTheme="minorHAnsi" w:hAnsi="Times New Roman" w:cs="Times New Roman"/>
        </w:rPr>
        <w:t xml:space="preserve">, the Commission </w:t>
      </w:r>
      <w:r w:rsidR="00AF0F1B" w:rsidRPr="00285756">
        <w:rPr>
          <w:rFonts w:ascii="Times New Roman" w:eastAsiaTheme="minorHAnsi" w:hAnsi="Times New Roman" w:cs="Times New Roman"/>
        </w:rPr>
        <w:t>adopted</w:t>
      </w:r>
      <w:r w:rsidRPr="00285756">
        <w:rPr>
          <w:rFonts w:ascii="Times New Roman" w:eastAsiaTheme="minorHAnsi" w:hAnsi="Times New Roman" w:cs="Times New Roman"/>
        </w:rPr>
        <w:t xml:space="preserve"> Regulation Systems Compliance and Integrity (“Regulation SCI”)</w:t>
      </w:r>
      <w:bookmarkStart w:id="7" w:name="_Ref250980208"/>
      <w:r w:rsidRPr="00285756">
        <w:rPr>
          <w:rFonts w:ascii="Times New Roman" w:eastAsiaTheme="minorHAnsi" w:hAnsi="Times New Roman" w:cs="Times New Roman"/>
          <w:vertAlign w:val="superscript"/>
        </w:rPr>
        <w:footnoteReference w:id="20"/>
      </w:r>
      <w:bookmarkEnd w:id="7"/>
      <w:r w:rsidRPr="00285756">
        <w:rPr>
          <w:rFonts w:ascii="Times New Roman" w:eastAsiaTheme="minorHAnsi" w:hAnsi="Times New Roman" w:cs="Times New Roman"/>
        </w:rPr>
        <w:t xml:space="preserve"> to re</w:t>
      </w:r>
      <w:r w:rsidRPr="00285756">
        <w:rPr>
          <w:rFonts w:ascii="Times New Roman" w:hAnsi="Times New Roman" w:cs="Times New Roman"/>
        </w:rPr>
        <w:t xml:space="preserve">quire certain key market participants to, among other things:  (1) have comprehensive policies and procedures in place to help ensure the robustness and resiliency of their technological systems, and also that their technological </w:t>
      </w:r>
      <w:r w:rsidRPr="001D4B88">
        <w:rPr>
          <w:rFonts w:ascii="Times New Roman" w:eastAsiaTheme="minorHAnsi" w:hAnsi="Times New Roman" w:cs="Times New Roman"/>
        </w:rPr>
        <w:t xml:space="preserve">systems operate in compliance with the federal securities laws and with their own rules; and (2) provide certain notices and reports to the Commission to improve Commission oversight of securities market infrastructure.  </w:t>
      </w:r>
      <w:r w:rsidRPr="00285756">
        <w:rPr>
          <w:rFonts w:ascii="Times New Roman" w:hAnsi="Times New Roman" w:cs="Times New Roman"/>
        </w:rPr>
        <w:t xml:space="preserve">Regulation SCI was </w:t>
      </w:r>
      <w:r w:rsidR="00AF0F1B" w:rsidRPr="00285756">
        <w:rPr>
          <w:rFonts w:ascii="Times New Roman" w:hAnsi="Times New Roman" w:cs="Times New Roman"/>
        </w:rPr>
        <w:t>adopted</w:t>
      </w:r>
      <w:r w:rsidRPr="00285756">
        <w:rPr>
          <w:rFonts w:ascii="Times New Roman" w:hAnsi="Times New Roman" w:cs="Times New Roman"/>
        </w:rPr>
        <w:t xml:space="preserve"> to update, formalize, and expand the Commission’s ARP Inspection Program, and, with respect to SCI entities, to supersede and replace the Commission’s ARP Policy Statements</w:t>
      </w:r>
      <w:r w:rsidR="0027044E" w:rsidRPr="00285756">
        <w:rPr>
          <w:rFonts w:ascii="Times New Roman" w:hAnsi="Times New Roman" w:cs="Times New Roman"/>
        </w:rPr>
        <w:t>, as well as certain</w:t>
      </w:r>
      <w:r w:rsidR="00937155" w:rsidRPr="00285756">
        <w:rPr>
          <w:rFonts w:ascii="Times New Roman" w:hAnsi="Times New Roman" w:cs="Times New Roman"/>
        </w:rPr>
        <w:t xml:space="preserve"> </w:t>
      </w:r>
      <w:r w:rsidRPr="00285756">
        <w:rPr>
          <w:rFonts w:ascii="Times New Roman" w:hAnsi="Times New Roman" w:cs="Times New Roman"/>
        </w:rPr>
        <w:t>rules regarding systems capacity, integrity, and security in Rule 301(b)(6) of Regulation ATS</w:t>
      </w:r>
      <w:r w:rsidR="00AF0F1B" w:rsidRPr="00285756">
        <w:rPr>
          <w:rFonts w:ascii="Times New Roman" w:hAnsi="Times New Roman" w:cs="Times New Roman"/>
        </w:rPr>
        <w:t xml:space="preserve"> that relate to ATSs that trade</w:t>
      </w:r>
      <w:r w:rsidR="000106DD" w:rsidRPr="00285756">
        <w:rPr>
          <w:rFonts w:ascii="Times New Roman" w:hAnsi="Times New Roman" w:cs="Times New Roman"/>
        </w:rPr>
        <w:t xml:space="preserve"> NMS and non-NMS stocks</w:t>
      </w:r>
      <w:r w:rsidRPr="00285756">
        <w:rPr>
          <w:rFonts w:ascii="Times New Roman" w:hAnsi="Times New Roman" w:cs="Times New Roman"/>
        </w:rPr>
        <w:t>.</w:t>
      </w:r>
      <w:bookmarkStart w:id="8" w:name="_Ref257640970"/>
      <w:r w:rsidRPr="00285756">
        <w:rPr>
          <w:rFonts w:ascii="Times New Roman" w:hAnsi="Times New Roman" w:cs="Times New Roman"/>
          <w:vertAlign w:val="superscript"/>
        </w:rPr>
        <w:footnoteReference w:id="21"/>
      </w:r>
      <w:bookmarkEnd w:id="8"/>
    </w:p>
    <w:p w14:paraId="68F27E21" w14:textId="77777777" w:rsidR="00F31B02" w:rsidRPr="001D4B88" w:rsidRDefault="00F31B02" w:rsidP="00F31B02">
      <w:pPr>
        <w:ind w:firstLine="720"/>
        <w:rPr>
          <w:rFonts w:ascii="Times New Roman" w:eastAsiaTheme="minorEastAsia" w:hAnsi="Times New Roman" w:cs="Times New Roman"/>
        </w:rPr>
      </w:pPr>
    </w:p>
    <w:p w14:paraId="39DDB100" w14:textId="30A72D0F" w:rsidR="00F31B02" w:rsidRPr="00285756" w:rsidRDefault="00F31B02" w:rsidP="00F31B02">
      <w:pPr>
        <w:ind w:firstLine="720"/>
        <w:rPr>
          <w:rFonts w:ascii="Times New Roman" w:hAnsi="Times New Roman" w:cs="Times New Roman"/>
        </w:rPr>
      </w:pPr>
      <w:r w:rsidRPr="00285756">
        <w:rPr>
          <w:rFonts w:ascii="Times New Roman" w:hAnsi="Times New Roman" w:cs="Times New Roman"/>
        </w:rPr>
        <w:t xml:space="preserve">A confluence of factors contributed to the Commission’s </w:t>
      </w:r>
      <w:r w:rsidR="0027044E" w:rsidRPr="00285756">
        <w:rPr>
          <w:rFonts w:ascii="Times New Roman" w:hAnsi="Times New Roman" w:cs="Times New Roman"/>
        </w:rPr>
        <w:t xml:space="preserve">adoption </w:t>
      </w:r>
      <w:r w:rsidRPr="00285756">
        <w:rPr>
          <w:rFonts w:ascii="Times New Roman" w:hAnsi="Times New Roman" w:cs="Times New Roman"/>
        </w:rPr>
        <w:t xml:space="preserve">of Regulation SCI and to the Commission’s determination that it is necessary and appropriate at this time to address the technological vulnerabilities, and improve Commission oversight, of the core technology of key U.S. securities markets entities, including national securities exchanges and associations, significant alternative trading systems, clearing agencies, and plan processors.  These considerations include:  the evolution of the markets to become significantly more dependent upon sophisticated, complex and interconnected technology; the current successes and limitations of the ARP Inspection Program; a significant number of, and lessons learned from, recent systems issues at exchanges and other trading venues; increased concerns over “single points of failure” in the securities markets; and the views of a wide variety of commenters received in response to the </w:t>
      </w:r>
      <w:r w:rsidR="0027044E" w:rsidRPr="00285756">
        <w:rPr>
          <w:rFonts w:ascii="Times New Roman" w:hAnsi="Times New Roman" w:cs="Times New Roman"/>
        </w:rPr>
        <w:t>proposing release for Regulation SCI</w:t>
      </w:r>
      <w:r w:rsidRPr="00285756">
        <w:rPr>
          <w:rFonts w:ascii="Times New Roman" w:hAnsi="Times New Roman" w:cs="Times New Roman"/>
        </w:rPr>
        <w:t>.</w:t>
      </w:r>
      <w:r w:rsidR="0027044E" w:rsidRPr="00285756">
        <w:rPr>
          <w:rStyle w:val="FootnoteReference"/>
          <w:rFonts w:ascii="Times New Roman" w:hAnsi="Times New Roman" w:cs="Times New Roman"/>
        </w:rPr>
        <w:footnoteReference w:id="22"/>
      </w:r>
      <w:r w:rsidRPr="00285756">
        <w:rPr>
          <w:rFonts w:ascii="Times New Roman" w:hAnsi="Times New Roman" w:cs="Times New Roman"/>
        </w:rPr>
        <w:t xml:space="preserve">  </w:t>
      </w:r>
    </w:p>
    <w:p w14:paraId="08DC0DE4" w14:textId="77777777" w:rsidR="00F31B02" w:rsidRPr="001D4B88" w:rsidRDefault="00F31B02" w:rsidP="00F31B02">
      <w:pPr>
        <w:widowControl/>
        <w:ind w:firstLine="720"/>
        <w:rPr>
          <w:rFonts w:ascii="Times New Roman" w:hAnsi="Times New Roman" w:cs="Times New Roman"/>
        </w:rPr>
      </w:pPr>
    </w:p>
    <w:p w14:paraId="7D0DA2D7" w14:textId="18786E65" w:rsidR="000B77B5" w:rsidRPr="00285756" w:rsidRDefault="00F31B02" w:rsidP="00F31B02">
      <w:pPr>
        <w:ind w:firstLine="720"/>
        <w:rPr>
          <w:rFonts w:ascii="Times New Roman" w:hAnsi="Times New Roman" w:cs="Times New Roman"/>
          <w:highlight w:val="yellow"/>
        </w:rPr>
      </w:pPr>
      <w:r w:rsidRPr="00285756">
        <w:rPr>
          <w:rFonts w:ascii="Times New Roman" w:hAnsi="Times New Roman" w:cs="Times New Roman"/>
        </w:rPr>
        <w:t xml:space="preserve">The Commission acknowledges that the nature of technology and the level of sophistication and automation of current market systems prevent any measure, regulatory or otherwise, from completely eliminating all systems disruptions, intrusions, or other systems issues.  However, the Commission believes that the adoption of, and compliance by SCI entities </w:t>
      </w:r>
      <w:r w:rsidRPr="00285756">
        <w:rPr>
          <w:rFonts w:ascii="Times New Roman" w:hAnsi="Times New Roman" w:cs="Times New Roman"/>
        </w:rPr>
        <w:lastRenderedPageBreak/>
        <w:t xml:space="preserve">with Regulation SCI will </w:t>
      </w:r>
      <w:r w:rsidR="001B5268" w:rsidRPr="00285756">
        <w:rPr>
          <w:rFonts w:ascii="Times New Roman" w:hAnsi="Times New Roman" w:cs="Times New Roman"/>
        </w:rPr>
        <w:t>advance</w:t>
      </w:r>
      <w:r w:rsidRPr="00285756">
        <w:rPr>
          <w:rFonts w:ascii="Times New Roman" w:hAnsi="Times New Roman" w:cs="Times New Roman"/>
        </w:rPr>
        <w:t xml:space="preserve"> the goals of the national market system by </w:t>
      </w:r>
      <w:r w:rsidR="001B5268" w:rsidRPr="00285756">
        <w:rPr>
          <w:rFonts w:ascii="Times New Roman" w:hAnsi="Times New Roman" w:cs="Times New Roman"/>
        </w:rPr>
        <w:t>enhancing</w:t>
      </w:r>
      <w:r w:rsidRPr="00285756">
        <w:rPr>
          <w:rFonts w:ascii="Times New Roman" w:hAnsi="Times New Roman" w:cs="Times New Roman"/>
        </w:rPr>
        <w:t xml:space="preserve"> the capacity, integrity, resiliency, availability, and security of the automated systems of entities important to the functioning of the U.S. securities markets, as well as reinforce the requirement that such systems operate in compliance with the Exchange Act and rules and regulations thereunder, thus strengthening the infrastructure of the U.S. securities markets and improving its resilience when technological issues arise.  </w:t>
      </w:r>
      <w:r w:rsidR="001B5268" w:rsidRPr="00285756">
        <w:rPr>
          <w:rFonts w:ascii="Times New Roman" w:hAnsi="Times New Roman" w:cs="Times New Roman"/>
        </w:rPr>
        <w:t>In this respect</w:t>
      </w:r>
      <w:r w:rsidRPr="00285756">
        <w:rPr>
          <w:rFonts w:ascii="Times New Roman" w:hAnsi="Times New Roman" w:cs="Times New Roman"/>
        </w:rPr>
        <w:t>, Regulation SCI establishes an updated and formalized regulatory framework, thereby helping to ensure more effective Commission oversight of such systems.</w:t>
      </w:r>
      <w:r w:rsidR="003026E9" w:rsidRPr="00285756">
        <w:rPr>
          <w:rFonts w:ascii="Times New Roman" w:hAnsi="Times New Roman" w:cs="Times New Roman"/>
        </w:rPr>
        <w:t xml:space="preserve"> </w:t>
      </w:r>
    </w:p>
    <w:p w14:paraId="0F2D0918" w14:textId="77777777" w:rsidR="00637AB8" w:rsidRPr="00285756" w:rsidRDefault="00637AB8" w:rsidP="005C1590">
      <w:pPr>
        <w:widowControl/>
        <w:ind w:firstLine="720"/>
        <w:rPr>
          <w:rFonts w:ascii="Times New Roman" w:hAnsi="Times New Roman" w:cs="Times New Roman"/>
        </w:rPr>
      </w:pPr>
    </w:p>
    <w:p w14:paraId="4DC2A247" w14:textId="694EFC80" w:rsidR="000B77B5" w:rsidRPr="00285756" w:rsidRDefault="000106DD" w:rsidP="005C1590">
      <w:pPr>
        <w:widowControl/>
        <w:ind w:firstLine="720"/>
        <w:rPr>
          <w:rFonts w:ascii="Times New Roman" w:hAnsi="Times New Roman" w:cs="Times New Roman"/>
        </w:rPr>
      </w:pPr>
      <w:r w:rsidRPr="00285756">
        <w:rPr>
          <w:rFonts w:ascii="Times New Roman" w:hAnsi="Times New Roman" w:cs="Times New Roman"/>
        </w:rPr>
        <w:t>For these reasons</w:t>
      </w:r>
      <w:r w:rsidR="000952F8" w:rsidRPr="00285756">
        <w:rPr>
          <w:rFonts w:ascii="Times New Roman" w:hAnsi="Times New Roman" w:cs="Times New Roman"/>
        </w:rPr>
        <w:t xml:space="preserve">, the Commission </w:t>
      </w:r>
      <w:r w:rsidR="00E64819" w:rsidRPr="00285756">
        <w:rPr>
          <w:rFonts w:ascii="Times New Roman" w:hAnsi="Times New Roman" w:cs="Times New Roman"/>
        </w:rPr>
        <w:t>adopted</w:t>
      </w:r>
      <w:r w:rsidR="000B77B5" w:rsidRPr="00285756">
        <w:rPr>
          <w:rFonts w:ascii="Times New Roman" w:hAnsi="Times New Roman" w:cs="Times New Roman"/>
        </w:rPr>
        <w:t xml:space="preserve"> Regulation SCI</w:t>
      </w:r>
      <w:r w:rsidR="002D2731" w:rsidRPr="00285756">
        <w:rPr>
          <w:rFonts w:ascii="Times New Roman" w:hAnsi="Times New Roman" w:cs="Times New Roman"/>
        </w:rPr>
        <w:t>, which</w:t>
      </w:r>
      <w:r w:rsidR="000B77B5" w:rsidRPr="00285756">
        <w:rPr>
          <w:rFonts w:ascii="Times New Roman" w:hAnsi="Times New Roman" w:cs="Times New Roman"/>
        </w:rPr>
        <w:t xml:space="preserve"> </w:t>
      </w:r>
      <w:r w:rsidR="00DA46CA" w:rsidRPr="00285756">
        <w:rPr>
          <w:rFonts w:ascii="Times New Roman" w:hAnsi="Times New Roman" w:cs="Times New Roman"/>
        </w:rPr>
        <w:t>consolidate</w:t>
      </w:r>
      <w:r w:rsidR="001B5268" w:rsidRPr="00285756">
        <w:rPr>
          <w:rFonts w:ascii="Times New Roman" w:hAnsi="Times New Roman" w:cs="Times New Roman"/>
        </w:rPr>
        <w:t>s</w:t>
      </w:r>
      <w:r w:rsidR="00DA46CA" w:rsidRPr="00285756">
        <w:rPr>
          <w:rFonts w:ascii="Times New Roman" w:hAnsi="Times New Roman" w:cs="Times New Roman"/>
        </w:rPr>
        <w:t xml:space="preserve"> and supersede</w:t>
      </w:r>
      <w:r w:rsidR="001B5268" w:rsidRPr="00285756">
        <w:rPr>
          <w:rFonts w:ascii="Times New Roman" w:hAnsi="Times New Roman" w:cs="Times New Roman"/>
        </w:rPr>
        <w:t>s</w:t>
      </w:r>
      <w:r w:rsidR="00DA46CA" w:rsidRPr="00285756">
        <w:rPr>
          <w:rFonts w:ascii="Times New Roman" w:hAnsi="Times New Roman" w:cs="Times New Roman"/>
        </w:rPr>
        <w:t xml:space="preserve"> the ARP policy statements and related staff guidance</w:t>
      </w:r>
      <w:r w:rsidR="000B77B5" w:rsidRPr="00285756">
        <w:rPr>
          <w:rFonts w:ascii="Times New Roman" w:hAnsi="Times New Roman" w:cs="Times New Roman"/>
        </w:rPr>
        <w:t>.</w:t>
      </w:r>
      <w:r w:rsidR="00DF0F2D" w:rsidRPr="00285756">
        <w:rPr>
          <w:rStyle w:val="FootnoteReference"/>
          <w:rFonts w:ascii="Times New Roman" w:hAnsi="Times New Roman" w:cs="Times New Roman"/>
        </w:rPr>
        <w:footnoteReference w:id="23"/>
      </w:r>
      <w:r w:rsidR="000B77B5" w:rsidRPr="00285756">
        <w:rPr>
          <w:rFonts w:ascii="Times New Roman" w:hAnsi="Times New Roman" w:cs="Times New Roman"/>
        </w:rPr>
        <w:t xml:space="preserve">  </w:t>
      </w:r>
      <w:r w:rsidR="00B060C0" w:rsidRPr="00285756">
        <w:rPr>
          <w:rFonts w:ascii="Times New Roman" w:hAnsi="Times New Roman" w:cs="Times New Roman"/>
        </w:rPr>
        <w:t xml:space="preserve">Given the inclusion of alternative trading systems that trade NMS stocks and non-NMS stocks within the scope of Regulation SCI, the Commission amended Rule 301(b)(6) </w:t>
      </w:r>
      <w:r w:rsidR="00760B71" w:rsidRPr="001D4B88">
        <w:rPr>
          <w:rFonts w:ascii="Times New Roman" w:hAnsi="Times New Roman" w:cs="Times New Roman"/>
        </w:rPr>
        <w:t xml:space="preserve">of Regulation ATS </w:t>
      </w:r>
      <w:r w:rsidR="00B060C0" w:rsidRPr="008D67DF">
        <w:rPr>
          <w:rFonts w:ascii="Times New Roman" w:hAnsi="Times New Roman" w:cs="Times New Roman"/>
        </w:rPr>
        <w:t>so that it will no longer apply to alternative trading systems that trade NMS stocks and non-NMS stock</w:t>
      </w:r>
      <w:r w:rsidR="00B060C0" w:rsidRPr="00285756">
        <w:rPr>
          <w:rFonts w:ascii="Times New Roman" w:hAnsi="Times New Roman" w:cs="Times New Roman"/>
        </w:rPr>
        <w:t>s.</w:t>
      </w:r>
      <w:r w:rsidR="00E64819" w:rsidRPr="00285756">
        <w:rPr>
          <w:rStyle w:val="FootnoteReference"/>
          <w:rFonts w:ascii="Times New Roman" w:hAnsi="Times New Roman" w:cs="Times New Roman"/>
        </w:rPr>
        <w:footnoteReference w:id="24"/>
      </w:r>
      <w:r w:rsidR="00317663" w:rsidRPr="00285756">
        <w:rPr>
          <w:rFonts w:ascii="Times New Roman" w:hAnsi="Times New Roman" w:cs="Times New Roman"/>
        </w:rPr>
        <w:t xml:space="preserve">  </w:t>
      </w:r>
    </w:p>
    <w:p w14:paraId="3ED85F5A" w14:textId="77777777" w:rsidR="00B33CBF" w:rsidRPr="001D4B88" w:rsidRDefault="00B33CBF" w:rsidP="005C1590">
      <w:pPr>
        <w:widowControl/>
        <w:ind w:firstLine="720"/>
        <w:rPr>
          <w:rFonts w:ascii="Times New Roman" w:hAnsi="Times New Roman" w:cs="Times New Roman"/>
        </w:rPr>
      </w:pPr>
    </w:p>
    <w:p w14:paraId="0DCEC635" w14:textId="77777777" w:rsidR="00497D86" w:rsidRPr="00285756" w:rsidRDefault="00DD3AA7" w:rsidP="005C1590">
      <w:pPr>
        <w:widowControl/>
        <w:tabs>
          <w:tab w:val="left" w:pos="0"/>
        </w:tabs>
        <w:suppressAutoHyphens/>
        <w:ind w:left="720" w:hanging="720"/>
        <w:rPr>
          <w:rFonts w:ascii="Times New Roman" w:hAnsi="Times New Roman" w:cs="Times New Roman"/>
          <w:b/>
        </w:rPr>
      </w:pPr>
      <w:r w:rsidRPr="00285756">
        <w:rPr>
          <w:rFonts w:ascii="Times New Roman" w:hAnsi="Times New Roman" w:cs="Times New Roman"/>
          <w:b/>
          <w:spacing w:val="-3"/>
        </w:rPr>
        <w:tab/>
        <w:t>2.</w:t>
      </w:r>
      <w:r w:rsidRPr="00285756">
        <w:rPr>
          <w:rFonts w:ascii="Times New Roman" w:hAnsi="Times New Roman" w:cs="Times New Roman"/>
          <w:b/>
          <w:spacing w:val="-3"/>
        </w:rPr>
        <w:tab/>
        <w:t xml:space="preserve">Purpose </w:t>
      </w:r>
      <w:r w:rsidR="001D39E9" w:rsidRPr="00285756">
        <w:rPr>
          <w:rFonts w:ascii="Times New Roman" w:hAnsi="Times New Roman" w:cs="Times New Roman"/>
          <w:b/>
          <w:spacing w:val="-3"/>
        </w:rPr>
        <w:t xml:space="preserve">and Use </w:t>
      </w:r>
      <w:r w:rsidRPr="00285756">
        <w:rPr>
          <w:rFonts w:ascii="Times New Roman" w:hAnsi="Times New Roman" w:cs="Times New Roman"/>
          <w:b/>
          <w:spacing w:val="-3"/>
        </w:rPr>
        <w:t>of the Information Collection</w:t>
      </w:r>
    </w:p>
    <w:p w14:paraId="50968FCF" w14:textId="77777777" w:rsidR="002C4F28" w:rsidRPr="00285756" w:rsidRDefault="002C4F28" w:rsidP="005C1590">
      <w:pPr>
        <w:pStyle w:val="ListParagraph"/>
        <w:spacing w:after="0" w:line="240" w:lineRule="auto"/>
        <w:ind w:left="2160"/>
        <w:rPr>
          <w:rFonts w:ascii="Times New Roman" w:hAnsi="Times New Roman"/>
          <w:sz w:val="24"/>
          <w:szCs w:val="24"/>
          <w:highlight w:val="yellow"/>
          <w:u w:val="single"/>
        </w:rPr>
      </w:pPr>
    </w:p>
    <w:p w14:paraId="3B17C6A6" w14:textId="62FA0161" w:rsidR="00726C09" w:rsidRPr="00285756" w:rsidRDefault="004B0B4C" w:rsidP="00726C09">
      <w:pPr>
        <w:rPr>
          <w:rFonts w:ascii="Times New Roman" w:hAnsi="Times New Roman" w:cs="Times New Roman"/>
        </w:rPr>
      </w:pPr>
      <w:r w:rsidRPr="00285756">
        <w:rPr>
          <w:rFonts w:ascii="Times New Roman" w:hAnsi="Times New Roman" w:cs="Times New Roman"/>
          <w:spacing w:val="-3"/>
        </w:rPr>
        <w:tab/>
      </w:r>
      <w:r w:rsidR="00726C09" w:rsidRPr="00285756">
        <w:rPr>
          <w:rFonts w:ascii="Times New Roman" w:hAnsi="Times New Roman" w:cs="Times New Roman"/>
        </w:rPr>
        <w:t xml:space="preserve">Rule 301 </w:t>
      </w:r>
      <w:r w:rsidR="00006DC7" w:rsidRPr="00285756">
        <w:rPr>
          <w:rFonts w:ascii="Times New Roman" w:hAnsi="Times New Roman" w:cs="Times New Roman"/>
        </w:rPr>
        <w:t xml:space="preserve">of Regulation ATS </w:t>
      </w:r>
      <w:r w:rsidR="00726C09" w:rsidRPr="00285756">
        <w:rPr>
          <w:rFonts w:ascii="Times New Roman" w:hAnsi="Times New Roman" w:cs="Times New Roman"/>
        </w:rPr>
        <w:t xml:space="preserve">describes the conditions with which an alternative trading system must comply.  </w:t>
      </w:r>
      <w:r w:rsidR="00006DC7" w:rsidRPr="00285756">
        <w:rPr>
          <w:rFonts w:ascii="Times New Roman" w:hAnsi="Times New Roman" w:cs="Times New Roman"/>
        </w:rPr>
        <w:t xml:space="preserve">Among other things, </w:t>
      </w:r>
      <w:r w:rsidR="006635C8" w:rsidRPr="00285756">
        <w:rPr>
          <w:rFonts w:ascii="Times New Roman" w:hAnsi="Times New Roman" w:cs="Times New Roman"/>
        </w:rPr>
        <w:t>t</w:t>
      </w:r>
      <w:r w:rsidR="00726C09" w:rsidRPr="00285756">
        <w:rPr>
          <w:rFonts w:ascii="Times New Roman" w:hAnsi="Times New Roman" w:cs="Times New Roman"/>
        </w:rPr>
        <w:t xml:space="preserve">he Rule requires all alternative trading systems to file an initial operation report on Form ATS.  The </w:t>
      </w:r>
      <w:r w:rsidR="00C5578B" w:rsidRPr="00285756">
        <w:rPr>
          <w:rFonts w:ascii="Times New Roman" w:hAnsi="Times New Roman" w:cs="Times New Roman"/>
        </w:rPr>
        <w:t xml:space="preserve">Form ATS </w:t>
      </w:r>
      <w:r w:rsidR="00726C09" w:rsidRPr="00285756">
        <w:rPr>
          <w:rFonts w:ascii="Times New Roman" w:hAnsi="Times New Roman" w:cs="Times New Roman"/>
        </w:rPr>
        <w:t xml:space="preserve">initial operation report </w:t>
      </w:r>
      <w:r w:rsidR="00C5578B" w:rsidRPr="00285756">
        <w:rPr>
          <w:rFonts w:ascii="Times New Roman" w:hAnsi="Times New Roman" w:cs="Times New Roman"/>
        </w:rPr>
        <w:t xml:space="preserve">requires an ATS to disclose to the Commission, among other things, </w:t>
      </w:r>
      <w:r w:rsidR="00726C09" w:rsidRPr="00285756">
        <w:rPr>
          <w:rFonts w:ascii="Times New Roman" w:hAnsi="Times New Roman" w:cs="Times New Roman"/>
        </w:rPr>
        <w:t>information re</w:t>
      </w:r>
      <w:r w:rsidR="00C5578B" w:rsidRPr="00285756">
        <w:rPr>
          <w:rFonts w:ascii="Times New Roman" w:hAnsi="Times New Roman" w:cs="Times New Roman"/>
        </w:rPr>
        <w:t xml:space="preserve">lated to </w:t>
      </w:r>
      <w:r w:rsidR="00726C09" w:rsidRPr="00285756">
        <w:rPr>
          <w:rFonts w:ascii="Times New Roman" w:hAnsi="Times New Roman" w:cs="Times New Roman"/>
        </w:rPr>
        <w:t xml:space="preserve">the </w:t>
      </w:r>
      <w:r w:rsidR="00C5578B" w:rsidRPr="00285756">
        <w:rPr>
          <w:rFonts w:ascii="Times New Roman" w:hAnsi="Times New Roman" w:cs="Times New Roman"/>
        </w:rPr>
        <w:t>classes of subscribers, types of securities traded, the manner of operations, procedures governing the entry of orders, means of access, and procedures governing the execution, reporting, clearance, and settlement of  transactions effected through the ATS</w:t>
      </w:r>
      <w:r w:rsidR="00126A79" w:rsidRPr="00285756">
        <w:rPr>
          <w:rFonts w:ascii="Times New Roman" w:hAnsi="Times New Roman" w:cs="Times New Roman"/>
        </w:rPr>
        <w:t>.</w:t>
      </w:r>
      <w:r w:rsidR="00726C09" w:rsidRPr="00285756">
        <w:rPr>
          <w:rFonts w:ascii="Times New Roman" w:hAnsi="Times New Roman" w:cs="Times New Roman"/>
        </w:rPr>
        <w:t xml:space="preserve">  Alternative trading systems are also required to</w:t>
      </w:r>
      <w:r w:rsidR="00C5578B" w:rsidRPr="00285756">
        <w:rPr>
          <w:rFonts w:ascii="Times New Roman" w:hAnsi="Times New Roman" w:cs="Times New Roman"/>
        </w:rPr>
        <w:t xml:space="preserve"> file Form ATS Amendments with t</w:t>
      </w:r>
      <w:r w:rsidR="00726C09" w:rsidRPr="00285756">
        <w:rPr>
          <w:rFonts w:ascii="Times New Roman" w:hAnsi="Times New Roman" w:cs="Times New Roman"/>
        </w:rPr>
        <w:t>he Commission</w:t>
      </w:r>
      <w:r w:rsidR="00741C38" w:rsidRPr="00285756">
        <w:rPr>
          <w:rFonts w:ascii="Times New Roman" w:hAnsi="Times New Roman" w:cs="Times New Roman"/>
        </w:rPr>
        <w:t xml:space="preserve"> to notice changes to its Form ATS.  Specifically, ATS</w:t>
      </w:r>
      <w:r w:rsidR="002C6A7E" w:rsidRPr="00285756">
        <w:rPr>
          <w:rFonts w:ascii="Times New Roman" w:hAnsi="Times New Roman" w:cs="Times New Roman"/>
        </w:rPr>
        <w:t>s</w:t>
      </w:r>
      <w:r w:rsidR="00741C38" w:rsidRPr="00285756">
        <w:rPr>
          <w:rFonts w:ascii="Times New Roman" w:hAnsi="Times New Roman" w:cs="Times New Roman"/>
        </w:rPr>
        <w:t xml:space="preserve"> must file a Form ATS Amendment with the Commission 20 days prior to implementing a </w:t>
      </w:r>
      <w:r w:rsidR="00726C09" w:rsidRPr="00285756">
        <w:rPr>
          <w:rFonts w:ascii="Times New Roman" w:hAnsi="Times New Roman" w:cs="Times New Roman"/>
        </w:rPr>
        <w:t>material change</w:t>
      </w:r>
      <w:r w:rsidR="00741C38" w:rsidRPr="00285756">
        <w:rPr>
          <w:rFonts w:ascii="Times New Roman" w:hAnsi="Times New Roman" w:cs="Times New Roman"/>
        </w:rPr>
        <w:t>.</w:t>
      </w:r>
      <w:r w:rsidR="00726C09" w:rsidRPr="00285756">
        <w:rPr>
          <w:rFonts w:ascii="Times New Roman" w:hAnsi="Times New Roman" w:cs="Times New Roman"/>
        </w:rPr>
        <w:t xml:space="preserve">  In addition, ATS</w:t>
      </w:r>
      <w:r w:rsidR="00FC4D3E" w:rsidRPr="00285756">
        <w:rPr>
          <w:rFonts w:ascii="Times New Roman" w:hAnsi="Times New Roman" w:cs="Times New Roman"/>
        </w:rPr>
        <w:t>s</w:t>
      </w:r>
      <w:r w:rsidR="00726C09" w:rsidRPr="00285756">
        <w:rPr>
          <w:rFonts w:ascii="Times New Roman" w:hAnsi="Times New Roman" w:cs="Times New Roman"/>
        </w:rPr>
        <w:t xml:space="preserve"> </w:t>
      </w:r>
      <w:r w:rsidR="00FC4D3E" w:rsidRPr="00285756">
        <w:rPr>
          <w:rFonts w:ascii="Times New Roman" w:hAnsi="Times New Roman" w:cs="Times New Roman"/>
        </w:rPr>
        <w:t xml:space="preserve">are </w:t>
      </w:r>
      <w:r w:rsidR="00726C09" w:rsidRPr="00285756">
        <w:rPr>
          <w:rFonts w:ascii="Times New Roman" w:hAnsi="Times New Roman" w:cs="Times New Roman"/>
        </w:rPr>
        <w:t>require</w:t>
      </w:r>
      <w:r w:rsidR="00FC4D3E" w:rsidRPr="00285756">
        <w:rPr>
          <w:rFonts w:ascii="Times New Roman" w:hAnsi="Times New Roman" w:cs="Times New Roman"/>
        </w:rPr>
        <w:t>d</w:t>
      </w:r>
      <w:r w:rsidR="00726C09" w:rsidRPr="00285756">
        <w:rPr>
          <w:rFonts w:ascii="Times New Roman" w:hAnsi="Times New Roman" w:cs="Times New Roman"/>
        </w:rPr>
        <w:t xml:space="preserve"> </w:t>
      </w:r>
      <w:r w:rsidR="00FC4D3E" w:rsidRPr="00285756">
        <w:rPr>
          <w:rFonts w:ascii="Times New Roman" w:hAnsi="Times New Roman" w:cs="Times New Roman"/>
        </w:rPr>
        <w:t>to file</w:t>
      </w:r>
      <w:r w:rsidR="00726C09" w:rsidRPr="00285756">
        <w:rPr>
          <w:rFonts w:ascii="Times New Roman" w:hAnsi="Times New Roman" w:cs="Times New Roman"/>
        </w:rPr>
        <w:t xml:space="preserve"> quarterly transaction reports on Form ATS-R</w:t>
      </w:r>
      <w:r w:rsidR="00FC4D3E" w:rsidRPr="00285756">
        <w:rPr>
          <w:rFonts w:ascii="Times New Roman" w:hAnsi="Times New Roman" w:cs="Times New Roman"/>
        </w:rPr>
        <w:t xml:space="preserve"> and file a cessation of operations report when the ATS ceases operation.  </w:t>
      </w:r>
      <w:r w:rsidR="00726C09" w:rsidRPr="00285756">
        <w:rPr>
          <w:rFonts w:ascii="Times New Roman" w:hAnsi="Times New Roman" w:cs="Times New Roman"/>
        </w:rPr>
        <w:t xml:space="preserve"> The gathering of such information permits the Commission to oversee the operation of such systems and track the growth of their role in the securities markets.</w:t>
      </w:r>
    </w:p>
    <w:p w14:paraId="1A2CAEF7" w14:textId="77777777" w:rsidR="00726C09" w:rsidRPr="00285756" w:rsidRDefault="00726C09" w:rsidP="00726C09">
      <w:pPr>
        <w:rPr>
          <w:rFonts w:ascii="Times New Roman" w:hAnsi="Times New Roman" w:cs="Times New Roman"/>
        </w:rPr>
      </w:pPr>
    </w:p>
    <w:p w14:paraId="03BE6B69" w14:textId="5C09838E" w:rsidR="003F4F6B" w:rsidRPr="00285756" w:rsidRDefault="00726C09" w:rsidP="00726C09">
      <w:pPr>
        <w:rPr>
          <w:rFonts w:ascii="Times New Roman" w:hAnsi="Times New Roman" w:cs="Times New Roman"/>
        </w:rPr>
      </w:pPr>
      <w:r w:rsidRPr="00285756">
        <w:rPr>
          <w:rFonts w:ascii="Times New Roman" w:hAnsi="Times New Roman" w:cs="Times New Roman"/>
        </w:rPr>
        <w:tab/>
        <w:t xml:space="preserve">Alternative trading systems </w:t>
      </w:r>
      <w:r w:rsidR="004A7614" w:rsidRPr="00285756">
        <w:rPr>
          <w:rFonts w:ascii="Times New Roman" w:hAnsi="Times New Roman" w:cs="Times New Roman"/>
        </w:rPr>
        <w:t xml:space="preserve">that reach </w:t>
      </w:r>
      <w:r w:rsidR="00FC4D3E" w:rsidRPr="00285756">
        <w:rPr>
          <w:rFonts w:ascii="Times New Roman" w:hAnsi="Times New Roman" w:cs="Times New Roman"/>
        </w:rPr>
        <w:t xml:space="preserve">a </w:t>
      </w:r>
      <w:r w:rsidR="004A7614" w:rsidRPr="00285756">
        <w:rPr>
          <w:rFonts w:ascii="Times New Roman" w:hAnsi="Times New Roman" w:cs="Times New Roman"/>
        </w:rPr>
        <w:t>certain volume threshold</w:t>
      </w:r>
      <w:r w:rsidR="004A7614" w:rsidRPr="00285756">
        <w:rPr>
          <w:rStyle w:val="FootnoteReference"/>
          <w:rFonts w:ascii="Times New Roman" w:hAnsi="Times New Roman" w:cs="Times New Roman"/>
        </w:rPr>
        <w:footnoteReference w:id="25"/>
      </w:r>
      <w:r w:rsidRPr="00285756">
        <w:rPr>
          <w:rFonts w:ascii="Times New Roman" w:hAnsi="Times New Roman" w:cs="Times New Roman"/>
        </w:rPr>
        <w:t xml:space="preserve"> are required to </w:t>
      </w:r>
      <w:r w:rsidRPr="00285756">
        <w:rPr>
          <w:rFonts w:ascii="Times New Roman" w:hAnsi="Times New Roman" w:cs="Times New Roman"/>
        </w:rPr>
        <w:lastRenderedPageBreak/>
        <w:t>comply with requirements for fair access</w:t>
      </w:r>
      <w:r w:rsidR="003F4F6B" w:rsidRPr="00285756">
        <w:rPr>
          <w:rFonts w:ascii="Times New Roman" w:hAnsi="Times New Roman" w:cs="Times New Roman"/>
        </w:rPr>
        <w:t xml:space="preserve">.  </w:t>
      </w:r>
      <w:r w:rsidRPr="00285756">
        <w:rPr>
          <w:rFonts w:ascii="Times New Roman" w:hAnsi="Times New Roman" w:cs="Times New Roman"/>
        </w:rPr>
        <w:t xml:space="preserve"> Under Rule 301</w:t>
      </w:r>
      <w:r w:rsidR="003F4F6B" w:rsidRPr="00285756">
        <w:rPr>
          <w:rFonts w:ascii="Times New Roman" w:hAnsi="Times New Roman" w:cs="Times New Roman"/>
        </w:rPr>
        <w:t>(b</w:t>
      </w:r>
      <w:proofErr w:type="gramStart"/>
      <w:r w:rsidR="003F4F6B" w:rsidRPr="00285756">
        <w:rPr>
          <w:rFonts w:ascii="Times New Roman" w:hAnsi="Times New Roman" w:cs="Times New Roman"/>
        </w:rPr>
        <w:t>)(</w:t>
      </w:r>
      <w:proofErr w:type="gramEnd"/>
      <w:r w:rsidR="003F4F6B" w:rsidRPr="00285756">
        <w:rPr>
          <w:rFonts w:ascii="Times New Roman" w:hAnsi="Times New Roman" w:cs="Times New Roman"/>
        </w:rPr>
        <w:t>5)</w:t>
      </w:r>
      <w:r w:rsidR="006D546E" w:rsidRPr="00285756">
        <w:rPr>
          <w:rFonts w:ascii="Times New Roman" w:hAnsi="Times New Roman" w:cs="Times New Roman"/>
        </w:rPr>
        <w:t xml:space="preserve"> </w:t>
      </w:r>
      <w:r w:rsidR="00FF1DCC" w:rsidRPr="00285756">
        <w:rPr>
          <w:rFonts w:ascii="Times New Roman" w:hAnsi="Times New Roman" w:cs="Times New Roman"/>
        </w:rPr>
        <w:t>of</w:t>
      </w:r>
      <w:r w:rsidR="006D546E" w:rsidRPr="00285756">
        <w:rPr>
          <w:rFonts w:ascii="Times New Roman" w:hAnsi="Times New Roman" w:cs="Times New Roman"/>
        </w:rPr>
        <w:t xml:space="preserve"> Regulation ATS</w:t>
      </w:r>
      <w:r w:rsidRPr="00285756">
        <w:rPr>
          <w:rFonts w:ascii="Times New Roman" w:hAnsi="Times New Roman" w:cs="Times New Roman"/>
        </w:rPr>
        <w:t xml:space="preserve">, </w:t>
      </w:r>
      <w:r w:rsidR="003F4F6B" w:rsidRPr="00F15124">
        <w:rPr>
          <w:rFonts w:ascii="Times New Roman" w:hAnsi="Times New Roman" w:cs="Times New Roman"/>
        </w:rPr>
        <w:t xml:space="preserve">an ATS </w:t>
      </w:r>
      <w:r w:rsidR="004A7614" w:rsidRPr="001D4B88">
        <w:rPr>
          <w:rFonts w:ascii="Times New Roman" w:hAnsi="Times New Roman" w:cs="Times New Roman"/>
        </w:rPr>
        <w:t>that reaches these volume thresholds is</w:t>
      </w:r>
      <w:r w:rsidRPr="008D67DF">
        <w:rPr>
          <w:rFonts w:ascii="Times New Roman" w:hAnsi="Times New Roman" w:cs="Times New Roman"/>
        </w:rPr>
        <w:t xml:space="preserve"> required to </w:t>
      </w:r>
      <w:r w:rsidRPr="00285756">
        <w:rPr>
          <w:rFonts w:ascii="Times New Roman" w:hAnsi="Times New Roman" w:cs="Times New Roman"/>
          <w:spacing w:val="-3"/>
        </w:rPr>
        <w:t>establish written standards for granting access to trading on their systems</w:t>
      </w:r>
      <w:r w:rsidR="00FC4D3E" w:rsidRPr="00285756">
        <w:rPr>
          <w:rFonts w:ascii="Times New Roman" w:hAnsi="Times New Roman" w:cs="Times New Roman"/>
          <w:spacing w:val="-3"/>
        </w:rPr>
        <w:t xml:space="preserve"> and </w:t>
      </w:r>
      <w:r w:rsidRPr="00285756">
        <w:rPr>
          <w:rFonts w:ascii="Times New Roman" w:hAnsi="Times New Roman" w:cs="Times New Roman"/>
          <w:spacing w:val="-3"/>
        </w:rPr>
        <w:t>make and keep records of all grants of access including, for all subscribers, the reasons for granting such access, and all denials or limitations of access and reasons, for each applicant, for denying or limiting access</w:t>
      </w:r>
      <w:r w:rsidRPr="00285756">
        <w:rPr>
          <w:rFonts w:ascii="Times New Roman" w:hAnsi="Times New Roman" w:cs="Times New Roman"/>
        </w:rPr>
        <w:t xml:space="preserve">. </w:t>
      </w:r>
      <w:r w:rsidR="003F4F6B" w:rsidRPr="00285756">
        <w:rPr>
          <w:rFonts w:ascii="Times New Roman" w:hAnsi="Times New Roman" w:cs="Times New Roman"/>
        </w:rPr>
        <w:t xml:space="preserve"> </w:t>
      </w:r>
    </w:p>
    <w:p w14:paraId="3CD90C3C" w14:textId="77777777" w:rsidR="00CB6C4B" w:rsidRPr="00285756" w:rsidRDefault="00CB6C4B" w:rsidP="00726C09">
      <w:pPr>
        <w:rPr>
          <w:rFonts w:ascii="Times New Roman" w:hAnsi="Times New Roman" w:cs="Times New Roman"/>
        </w:rPr>
      </w:pPr>
    </w:p>
    <w:p w14:paraId="4EAE93BE" w14:textId="508B305E" w:rsidR="00726C09" w:rsidRPr="00285756" w:rsidRDefault="00CB6C4B" w:rsidP="00726C09">
      <w:pPr>
        <w:rPr>
          <w:rFonts w:ascii="Times New Roman" w:hAnsi="Times New Roman" w:cs="Times New Roman"/>
        </w:rPr>
      </w:pPr>
      <w:r w:rsidRPr="00285756">
        <w:rPr>
          <w:rFonts w:ascii="Times New Roman" w:hAnsi="Times New Roman" w:cs="Times New Roman"/>
        </w:rPr>
        <w:tab/>
        <w:t>Rule 301(b</w:t>
      </w:r>
      <w:proofErr w:type="gramStart"/>
      <w:r w:rsidRPr="00285756">
        <w:rPr>
          <w:rFonts w:ascii="Times New Roman" w:hAnsi="Times New Roman" w:cs="Times New Roman"/>
        </w:rPr>
        <w:t>)(</w:t>
      </w:r>
      <w:proofErr w:type="gramEnd"/>
      <w:r w:rsidRPr="00285756">
        <w:rPr>
          <w:rFonts w:ascii="Times New Roman" w:hAnsi="Times New Roman" w:cs="Times New Roman"/>
        </w:rPr>
        <w:t xml:space="preserve">6) of Regulation ATS imposes certain requirements related to </w:t>
      </w:r>
      <w:proofErr w:type="spellStart"/>
      <w:r w:rsidRPr="00285756">
        <w:rPr>
          <w:rFonts w:ascii="Times New Roman" w:hAnsi="Times New Roman" w:cs="Times New Roman"/>
        </w:rPr>
        <w:t>systems</w:t>
      </w:r>
      <w:proofErr w:type="spellEnd"/>
      <w:r w:rsidRPr="00285756">
        <w:rPr>
          <w:rFonts w:ascii="Times New Roman" w:hAnsi="Times New Roman" w:cs="Times New Roman"/>
        </w:rPr>
        <w:t xml:space="preserve"> capacity, integrity, and security on alternative trading systems that reach certain volume thresholds</w:t>
      </w:r>
      <w:r w:rsidR="00126A79" w:rsidRPr="00285756">
        <w:rPr>
          <w:rFonts w:ascii="Times New Roman" w:hAnsi="Times New Roman" w:cs="Times New Roman"/>
        </w:rPr>
        <w:t>.</w:t>
      </w:r>
      <w:r w:rsidRPr="00285756">
        <w:rPr>
          <w:rStyle w:val="FootnoteReference"/>
          <w:rFonts w:ascii="Times New Roman" w:hAnsi="Times New Roman" w:cs="Times New Roman"/>
        </w:rPr>
        <w:footnoteReference w:id="26"/>
      </w:r>
      <w:r w:rsidR="00126A79" w:rsidRPr="00285756">
        <w:rPr>
          <w:rFonts w:ascii="Times New Roman" w:hAnsi="Times New Roman" w:cs="Times New Roman"/>
        </w:rPr>
        <w:t xml:space="preserve">  These </w:t>
      </w:r>
      <w:r w:rsidRPr="00285756">
        <w:rPr>
          <w:rFonts w:ascii="Times New Roman" w:hAnsi="Times New Roman" w:cs="Times New Roman"/>
        </w:rPr>
        <w:t xml:space="preserve">alternative trading systems </w:t>
      </w:r>
      <w:r w:rsidR="00126A79" w:rsidRPr="00285756">
        <w:rPr>
          <w:rFonts w:ascii="Times New Roman" w:hAnsi="Times New Roman" w:cs="Times New Roman"/>
        </w:rPr>
        <w:t>must</w:t>
      </w:r>
      <w:r w:rsidRPr="00285756">
        <w:rPr>
          <w:rFonts w:ascii="Times New Roman" w:hAnsi="Times New Roman" w:cs="Times New Roman"/>
        </w:rPr>
        <w:t xml:space="preserve"> preserve any records made in the process of complying with the </w:t>
      </w:r>
      <w:proofErr w:type="spellStart"/>
      <w:r w:rsidRPr="00285756">
        <w:rPr>
          <w:rFonts w:ascii="Times New Roman" w:hAnsi="Times New Roman" w:cs="Times New Roman"/>
        </w:rPr>
        <w:t>systems</w:t>
      </w:r>
      <w:proofErr w:type="spellEnd"/>
      <w:r w:rsidRPr="00285756">
        <w:rPr>
          <w:rFonts w:ascii="Times New Roman" w:hAnsi="Times New Roman" w:cs="Times New Roman"/>
        </w:rPr>
        <w:t xml:space="preserve"> capacity, integrity, and security requirements, and </w:t>
      </w:r>
      <w:r w:rsidR="00126A79" w:rsidRPr="001D4B88">
        <w:rPr>
          <w:rFonts w:ascii="Times New Roman" w:hAnsi="Times New Roman" w:cs="Times New Roman"/>
        </w:rPr>
        <w:t xml:space="preserve">must </w:t>
      </w:r>
      <w:r w:rsidRPr="008D67DF">
        <w:rPr>
          <w:rFonts w:ascii="Times New Roman" w:hAnsi="Times New Roman" w:cs="Times New Roman"/>
        </w:rPr>
        <w:t>notify Commission staff of material systems outages and significant systems changes.</w:t>
      </w:r>
      <w:r w:rsidR="00726C09" w:rsidRPr="00285756">
        <w:rPr>
          <w:rFonts w:ascii="Times New Roman" w:hAnsi="Times New Roman" w:cs="Times New Roman"/>
        </w:rPr>
        <w:tab/>
      </w:r>
    </w:p>
    <w:p w14:paraId="451BADA4" w14:textId="77777777" w:rsidR="002C37DD" w:rsidRPr="00285756" w:rsidRDefault="002C37DD" w:rsidP="00726C09">
      <w:pPr>
        <w:rPr>
          <w:rFonts w:ascii="Times New Roman" w:hAnsi="Times New Roman" w:cs="Times New Roman"/>
        </w:rPr>
      </w:pPr>
    </w:p>
    <w:p w14:paraId="680FBBC9" w14:textId="06CB599F" w:rsidR="00773E21" w:rsidRPr="004357A7" w:rsidRDefault="0056676A" w:rsidP="004357A7">
      <w:pPr>
        <w:ind w:firstLine="720"/>
        <w:rPr>
          <w:rFonts w:ascii="Times New Roman" w:hAnsi="Times New Roman" w:cs="Times New Roman"/>
        </w:rPr>
      </w:pPr>
      <w:r w:rsidRPr="004357A7">
        <w:rPr>
          <w:rFonts w:ascii="Times New Roman" w:hAnsi="Times New Roman" w:cs="Times New Roman"/>
        </w:rPr>
        <w:t xml:space="preserve">Proposed Rule 304 of Regulation ATS states that no exemption from the definition of “exchange” is available to an NMS Stock ATS pursuant to § 240.3a1-1(a)(2) unless the NMS Stock ATS files with the Commission a Form ATS-N, in accordance with the instructions therein, and the Form ATS-N is declared effective by the Commission.  </w:t>
      </w:r>
      <w:r w:rsidR="002C37DD" w:rsidRPr="004357A7">
        <w:rPr>
          <w:rFonts w:ascii="Times New Roman" w:hAnsi="Times New Roman" w:cs="Times New Roman"/>
        </w:rPr>
        <w:t xml:space="preserve">Proposed Form ATS-N would require NMS Stock ATSs to provide information about the broker-dealer that operates the </w:t>
      </w:r>
      <w:r w:rsidR="002C37DD" w:rsidRPr="004357A7">
        <w:rPr>
          <w:rFonts w:ascii="Times New Roman" w:hAnsi="Times New Roman" w:cs="Times New Roman"/>
        </w:rPr>
        <w:lastRenderedPageBreak/>
        <w:t>NMS Stock ATS and the activities of the broker-dealer operator and its affiliates in connection with the NMS Stock ATS, including: their operation of non-ATS trading centers and other NMS Stock ATSs; products and services offered to subscribers; arrangements with unaffiliated trading centers; trading activities on the NMS Stock ATS; smart order router (or similar functionality) and algorithms used to send or receive orders or other trading interest to or from the ATS; personnel and third parties used to operate the NMS Stock ATS; differences in the availability of services, functionalities, or procedures; and safeguards and procedures to ensure the confidential treatment of trading information.  Proposed Form ATS-N would also require NMS Stock ATSs to provide detailed information about the manner of operations of the ATS, including:  subscribers; hours of operation; types of orders; connectivity, order entry, and colocation procedures; segmentation of order flow and notice; display of order and other trading interest; trading services, including matching methodologies, order interaction rules, and order handling and execution procedures; procedures governing suspension of trading or trading during system disruption or malfunction; opening, closing, and after hours procedures; outbound routing services; fees; market data; trade reporting; clearance and settlement; order display and execution access; fair access</w:t>
      </w:r>
      <w:r w:rsidR="002E3773" w:rsidRPr="004357A7">
        <w:rPr>
          <w:rFonts w:ascii="Times New Roman" w:hAnsi="Times New Roman" w:cs="Times New Roman"/>
        </w:rPr>
        <w:t>; and certain market quality statistics published or provided by the NMS Stock ATS to subscribers</w:t>
      </w:r>
      <w:r w:rsidR="002C37DD" w:rsidRPr="004357A7">
        <w:rPr>
          <w:rFonts w:ascii="Times New Roman" w:hAnsi="Times New Roman" w:cs="Times New Roman"/>
        </w:rPr>
        <w:t xml:space="preserve">.  </w:t>
      </w:r>
    </w:p>
    <w:p w14:paraId="014E3D51" w14:textId="77777777" w:rsidR="002C37DD" w:rsidRPr="004357A7" w:rsidRDefault="002C37DD" w:rsidP="004357A7">
      <w:pPr>
        <w:ind w:firstLine="720"/>
        <w:rPr>
          <w:rFonts w:ascii="Times New Roman" w:hAnsi="Times New Roman" w:cs="Times New Roman"/>
        </w:rPr>
      </w:pPr>
    </w:p>
    <w:p w14:paraId="5CFC501D" w14:textId="12927E7F" w:rsidR="006D620E" w:rsidRDefault="006D620E" w:rsidP="004357A7">
      <w:pPr>
        <w:ind w:firstLine="720"/>
        <w:rPr>
          <w:rFonts w:ascii="Times New Roman" w:hAnsi="Times New Roman" w:cs="Times New Roman"/>
        </w:rPr>
      </w:pPr>
      <w:r w:rsidRPr="004357A7">
        <w:rPr>
          <w:rFonts w:ascii="Times New Roman" w:hAnsi="Times New Roman" w:cs="Times New Roman"/>
        </w:rPr>
        <w:t>Form ATS-N is</w:t>
      </w:r>
      <w:r w:rsidR="00351580" w:rsidRPr="004357A7">
        <w:rPr>
          <w:rFonts w:ascii="Times New Roman" w:hAnsi="Times New Roman" w:cs="Times New Roman"/>
        </w:rPr>
        <w:t xml:space="preserve"> primarily designed to provide market participants with greater transparency around the operations of NMS Stock ATSs and potential conflicts of interest that may arise involving the broker-dealer operator and its affiliates.  </w:t>
      </w:r>
    </w:p>
    <w:p w14:paraId="027B1948" w14:textId="77777777" w:rsidR="00773E21" w:rsidRPr="004357A7" w:rsidRDefault="00773E21" w:rsidP="004357A7">
      <w:pPr>
        <w:ind w:firstLine="720"/>
        <w:rPr>
          <w:rFonts w:ascii="Times New Roman" w:hAnsi="Times New Roman" w:cs="Times New Roman"/>
        </w:rPr>
      </w:pPr>
    </w:p>
    <w:p w14:paraId="118EA056" w14:textId="77777777" w:rsidR="006D620E" w:rsidRPr="004357A7" w:rsidRDefault="006D620E" w:rsidP="004357A7">
      <w:pPr>
        <w:ind w:firstLine="720"/>
        <w:rPr>
          <w:rFonts w:ascii="Times New Roman" w:hAnsi="Times New Roman" w:cs="Times New Roman"/>
        </w:rPr>
      </w:pPr>
      <w:r w:rsidRPr="004357A7">
        <w:rPr>
          <w:rFonts w:ascii="Times New Roman" w:hAnsi="Times New Roman" w:cs="Times New Roman"/>
        </w:rPr>
        <w:t xml:space="preserve">The Commission preliminarily believes that greater transparency in this regard would provide important information to market participants so they can evaluate whether submitting order flow to a particular NMS Stock ATS aligns with their trading or investment objectives.  Among other things, these enhanced, public disclosures also are designed to limit the potential that a broker-dealer operator of an NMS Stock ATS could provide certain subscribers with greater disclosure about the operations and system functionalities of the ATS than it provides to other market participants. </w:t>
      </w:r>
    </w:p>
    <w:p w14:paraId="4EA93DDE" w14:textId="77777777" w:rsidR="00285756" w:rsidRPr="004357A7" w:rsidRDefault="00285756" w:rsidP="00726C09">
      <w:pPr>
        <w:rPr>
          <w:rFonts w:ascii="Times New Roman" w:hAnsi="Times New Roman" w:cs="Times New Roman"/>
        </w:rPr>
      </w:pPr>
    </w:p>
    <w:p w14:paraId="257ED039" w14:textId="29FACCC9" w:rsidR="00351580" w:rsidRPr="004357A7" w:rsidRDefault="00351580" w:rsidP="004357A7">
      <w:pPr>
        <w:ind w:firstLine="720"/>
        <w:rPr>
          <w:rFonts w:ascii="Times New Roman" w:eastAsia="Calibri" w:hAnsi="Times New Roman" w:cs="Times New Roman"/>
        </w:rPr>
      </w:pPr>
      <w:r w:rsidRPr="004357A7">
        <w:rPr>
          <w:rFonts w:ascii="Times New Roman" w:hAnsi="Times New Roman" w:cs="Times New Roman"/>
        </w:rPr>
        <w:t xml:space="preserve">The Commission preliminarily believes that if market participants have more information about the operations of NMS Stock ATSs and the activities of the broker-dealer operators and the broker-dealer operators’ affiliates, they could better evaluate whether to do business with an ATS and make more informed decisions about where to route their orders. </w:t>
      </w:r>
      <w:r w:rsidR="00773E21">
        <w:rPr>
          <w:rFonts w:ascii="Times New Roman" w:hAnsi="Times New Roman" w:cs="Times New Roman"/>
        </w:rPr>
        <w:t xml:space="preserve"> </w:t>
      </w:r>
      <w:r w:rsidRPr="004357A7">
        <w:rPr>
          <w:rFonts w:ascii="Times New Roman" w:hAnsi="Times New Roman" w:cs="Times New Roman"/>
        </w:rPr>
        <w:t xml:space="preserve">The Commission preliminarily believes that improved transparency about the operations of NMS Stock ATSs could aid brokers with meeting their best execution obligations to their customers, as they can better assess the trading venues to which they route orders.  </w:t>
      </w:r>
      <w:r w:rsidRPr="004357A7">
        <w:rPr>
          <w:rFonts w:ascii="Times New Roman" w:eastAsia="Calibri" w:hAnsi="Times New Roman" w:cs="Times New Roman"/>
        </w:rPr>
        <w:t xml:space="preserve"> In addition, the Commission preliminarily believes that the proposal could also help customers of broker-dealers, whose orders are routed to an NMS Stock ATS for possible execution in the ATS, evaluate whether their broker-dealer fulfilled its duty of best-execution.</w:t>
      </w:r>
    </w:p>
    <w:p w14:paraId="56772DC6" w14:textId="77777777" w:rsidR="006D620E" w:rsidRPr="004357A7" w:rsidRDefault="006D620E" w:rsidP="00726C09">
      <w:pPr>
        <w:rPr>
          <w:rFonts w:ascii="Times New Roman" w:eastAsia="Calibri" w:hAnsi="Times New Roman" w:cs="Times New Roman"/>
        </w:rPr>
      </w:pPr>
    </w:p>
    <w:p w14:paraId="3523D81A" w14:textId="6FA66C6D" w:rsidR="006D620E" w:rsidRPr="00285756" w:rsidRDefault="006D620E" w:rsidP="004357A7">
      <w:pPr>
        <w:ind w:firstLine="720"/>
        <w:rPr>
          <w:rFonts w:ascii="Times New Roman" w:hAnsi="Times New Roman" w:cs="Times New Roman"/>
        </w:rPr>
      </w:pPr>
      <w:r w:rsidRPr="00285756">
        <w:rPr>
          <w:rFonts w:ascii="Times New Roman" w:hAnsi="Times New Roman" w:cs="Times New Roman"/>
        </w:rPr>
        <w:t xml:space="preserve">The Commission uses the information provided pursuant to Rule 301 and </w:t>
      </w:r>
      <w:r w:rsidR="0056676A" w:rsidRPr="00285756">
        <w:rPr>
          <w:rFonts w:ascii="Times New Roman" w:hAnsi="Times New Roman" w:cs="Times New Roman"/>
        </w:rPr>
        <w:t>304</w:t>
      </w:r>
      <w:r w:rsidRPr="00285756">
        <w:rPr>
          <w:rFonts w:ascii="Times New Roman" w:hAnsi="Times New Roman" w:cs="Times New Roman"/>
        </w:rPr>
        <w:t xml:space="preserve"> to monitor the growth and development of alternative trading systems and oversee alternative trading systems for the purpose of protecting investors.  In particular, the information collected and reported to the Commission by alternative trading sy</w:t>
      </w:r>
      <w:r w:rsidRPr="001D4B88">
        <w:rPr>
          <w:rFonts w:ascii="Times New Roman" w:hAnsi="Times New Roman" w:cs="Times New Roman"/>
        </w:rPr>
        <w:t xml:space="preserve">stems enables the Commission to evaluate </w:t>
      </w:r>
      <w:r w:rsidRPr="001D4B88">
        <w:rPr>
          <w:rFonts w:ascii="Times New Roman" w:hAnsi="Times New Roman" w:cs="Times New Roman"/>
        </w:rPr>
        <w:lastRenderedPageBreak/>
        <w:t>the operation of alternative trading sys</w:t>
      </w:r>
      <w:r w:rsidRPr="00285756">
        <w:rPr>
          <w:rFonts w:ascii="Times New Roman" w:hAnsi="Times New Roman" w:cs="Times New Roman"/>
        </w:rPr>
        <w:t>tems with regard to national market system goals, and monitor the competitive effects of these systems to ascertain whether the regulatory framework remains appropriate to the operation of such systems.  Without the data required by Rule 301</w:t>
      </w:r>
      <w:r w:rsidR="0056676A" w:rsidRPr="00285756">
        <w:rPr>
          <w:rFonts w:ascii="Times New Roman" w:hAnsi="Times New Roman" w:cs="Times New Roman"/>
        </w:rPr>
        <w:t xml:space="preserve"> and Rule 304</w:t>
      </w:r>
      <w:r w:rsidRPr="00285756">
        <w:rPr>
          <w:rFonts w:ascii="Times New Roman" w:hAnsi="Times New Roman" w:cs="Times New Roman"/>
        </w:rPr>
        <w:t>, the Commission would be severely limited in its ability to comply with its statutory obligations, provide for the protection of investors and promote the maintenance of fair and orderly markets.</w:t>
      </w:r>
    </w:p>
    <w:p w14:paraId="1A66D1EB" w14:textId="77777777" w:rsidR="00171BB4" w:rsidRPr="00285756" w:rsidRDefault="00171BB4" w:rsidP="00171BB4">
      <w:pPr>
        <w:rPr>
          <w:rFonts w:ascii="Times New Roman" w:hAnsi="Times New Roman" w:cs="Times New Roman"/>
        </w:rPr>
      </w:pPr>
    </w:p>
    <w:p w14:paraId="758FDB71" w14:textId="42C28AD0" w:rsidR="00E64819" w:rsidRPr="00285756" w:rsidRDefault="00171BB4" w:rsidP="00171BB4">
      <w:pPr>
        <w:rPr>
          <w:rFonts w:ascii="Times New Roman" w:hAnsi="Times New Roman" w:cs="Times New Roman"/>
        </w:rPr>
      </w:pPr>
      <w:r w:rsidRPr="00285756">
        <w:rPr>
          <w:rFonts w:ascii="Times New Roman" w:hAnsi="Times New Roman" w:cs="Times New Roman"/>
        </w:rPr>
        <w:tab/>
      </w:r>
      <w:r w:rsidR="001A709F" w:rsidRPr="00285756">
        <w:rPr>
          <w:rFonts w:ascii="Times New Roman" w:hAnsi="Times New Roman" w:cs="Times New Roman"/>
        </w:rPr>
        <w:t>As noted above, Rule 301(b</w:t>
      </w:r>
      <w:proofErr w:type="gramStart"/>
      <w:r w:rsidR="001A709F" w:rsidRPr="00285756">
        <w:rPr>
          <w:rFonts w:ascii="Times New Roman" w:hAnsi="Times New Roman" w:cs="Times New Roman"/>
        </w:rPr>
        <w:t>)(</w:t>
      </w:r>
      <w:proofErr w:type="gramEnd"/>
      <w:r w:rsidR="001A709F" w:rsidRPr="00285756">
        <w:rPr>
          <w:rFonts w:ascii="Times New Roman" w:hAnsi="Times New Roman" w:cs="Times New Roman"/>
        </w:rPr>
        <w:t xml:space="preserve">6) of Regulation ATS imposed by rule certain aspects of the ARP policy statements on significant-volume </w:t>
      </w:r>
      <w:r w:rsidR="007152D1" w:rsidRPr="00285756">
        <w:rPr>
          <w:rFonts w:ascii="Times New Roman" w:hAnsi="Times New Roman" w:cs="Times New Roman"/>
        </w:rPr>
        <w:t>alternative trading systems</w:t>
      </w:r>
      <w:r w:rsidR="001A709F" w:rsidRPr="00285756">
        <w:rPr>
          <w:rFonts w:ascii="Times New Roman" w:hAnsi="Times New Roman" w:cs="Times New Roman"/>
        </w:rPr>
        <w:t xml:space="preserve">. </w:t>
      </w:r>
      <w:r w:rsidR="00786514" w:rsidRPr="00285756">
        <w:rPr>
          <w:rFonts w:ascii="Times New Roman" w:hAnsi="Times New Roman" w:cs="Times New Roman"/>
        </w:rPr>
        <w:t xml:space="preserve"> </w:t>
      </w:r>
      <w:r w:rsidR="001A709F" w:rsidRPr="00285756">
        <w:rPr>
          <w:rFonts w:ascii="Times New Roman" w:hAnsi="Times New Roman" w:cs="Times New Roman"/>
        </w:rPr>
        <w:t xml:space="preserve">Given the inclusion of </w:t>
      </w:r>
      <w:r w:rsidR="007152D1" w:rsidRPr="00285756">
        <w:rPr>
          <w:rFonts w:ascii="Times New Roman" w:hAnsi="Times New Roman" w:cs="Times New Roman"/>
        </w:rPr>
        <w:t xml:space="preserve">alternative trading systems </w:t>
      </w:r>
      <w:r w:rsidR="001A709F" w:rsidRPr="00285756">
        <w:rPr>
          <w:rFonts w:ascii="Times New Roman" w:hAnsi="Times New Roman" w:cs="Times New Roman"/>
        </w:rPr>
        <w:t xml:space="preserve">that trade NMS stocks and non-NMS stocks within the scope of Regulation SCI, the Commission amended Rule 301(b)(6) so that it will no longer apply to </w:t>
      </w:r>
      <w:r w:rsidR="007152D1" w:rsidRPr="00285756">
        <w:rPr>
          <w:rFonts w:ascii="Times New Roman" w:hAnsi="Times New Roman" w:cs="Times New Roman"/>
        </w:rPr>
        <w:t xml:space="preserve">alternative trading systems </w:t>
      </w:r>
      <w:r w:rsidR="00AA03C5" w:rsidRPr="00285756">
        <w:rPr>
          <w:rFonts w:ascii="Times New Roman" w:hAnsi="Times New Roman" w:cs="Times New Roman"/>
        </w:rPr>
        <w:t>that trade</w:t>
      </w:r>
      <w:r w:rsidR="001A709F" w:rsidRPr="00285756">
        <w:rPr>
          <w:rFonts w:ascii="Times New Roman" w:hAnsi="Times New Roman" w:cs="Times New Roman"/>
        </w:rPr>
        <w:t xml:space="preserve"> NMS stocks and non-NMS stocks.  The Commission did not amend other provisions of Regulation ATS.</w:t>
      </w:r>
    </w:p>
    <w:p w14:paraId="5C8D09C9" w14:textId="77777777" w:rsidR="00C14CDC" w:rsidRPr="00285756" w:rsidRDefault="00C14CDC" w:rsidP="00171BB4">
      <w:pPr>
        <w:rPr>
          <w:rFonts w:ascii="Times New Roman" w:hAnsi="Times New Roman" w:cs="Times New Roman"/>
        </w:rPr>
      </w:pPr>
    </w:p>
    <w:p w14:paraId="29BD53E4" w14:textId="52CEE380" w:rsidR="00C14CDC" w:rsidRPr="00285756" w:rsidRDefault="00C14CDC" w:rsidP="004357A7">
      <w:pPr>
        <w:ind w:firstLine="720"/>
        <w:rPr>
          <w:rFonts w:ascii="Times New Roman" w:hAnsi="Times New Roman" w:cs="Times New Roman"/>
        </w:rPr>
      </w:pPr>
      <w:r w:rsidRPr="004357A7">
        <w:rPr>
          <w:rFonts w:ascii="Times New Roman" w:hAnsi="Times New Roman" w:cs="Times New Roman"/>
        </w:rPr>
        <w:t>Under Rule 301(b</w:t>
      </w:r>
      <w:proofErr w:type="gramStart"/>
      <w:r w:rsidRPr="004357A7">
        <w:rPr>
          <w:rFonts w:ascii="Times New Roman" w:hAnsi="Times New Roman" w:cs="Times New Roman"/>
        </w:rPr>
        <w:t>)(</w:t>
      </w:r>
      <w:proofErr w:type="gramEnd"/>
      <w:r w:rsidRPr="004357A7">
        <w:rPr>
          <w:rFonts w:ascii="Times New Roman" w:hAnsi="Times New Roman" w:cs="Times New Roman"/>
        </w:rPr>
        <w:t>10) of Regulation ATS, all ATSs are currently required to:  (1) establish adequate safeguards and procedures to protect subscribers’ confidential trading information; and (2) adopt and implement adequate oversight procedures to ensure that the safeguards and procedures established to protect subscribers’ confidential trading information are followed.  Rule 301(b</w:t>
      </w:r>
      <w:proofErr w:type="gramStart"/>
      <w:r w:rsidRPr="004357A7">
        <w:rPr>
          <w:rFonts w:ascii="Times New Roman" w:hAnsi="Times New Roman" w:cs="Times New Roman"/>
        </w:rPr>
        <w:t>)(</w:t>
      </w:r>
      <w:proofErr w:type="gramEnd"/>
      <w:r w:rsidRPr="004357A7">
        <w:rPr>
          <w:rFonts w:ascii="Times New Roman" w:hAnsi="Times New Roman" w:cs="Times New Roman"/>
        </w:rPr>
        <w:t>10) of Regulation ATS further requires that the safeguards and procedures to protect subscribers’ confidential trading information shall include:  (1) limiting access to the confidential trading information of subscribers to those employees of the ATS who are operating the system or responsible for its compliance with Regulation ATS or any other applicable rules; and (2) implementing standards controlling employees of the ATS trading for their own accounts.  The proposed amendments to Regulation ATS would require written safeguards and written procedures to protect subscribers’ confidential trading information and written oversight procedures to ensure that the safeguards and procedures are followed.</w:t>
      </w:r>
    </w:p>
    <w:p w14:paraId="763073C0" w14:textId="77777777" w:rsidR="00285756" w:rsidRPr="004357A7" w:rsidRDefault="00285756" w:rsidP="004357A7">
      <w:pPr>
        <w:ind w:firstLine="720"/>
        <w:rPr>
          <w:rFonts w:ascii="Times New Roman" w:hAnsi="Times New Roman" w:cs="Times New Roman"/>
        </w:rPr>
      </w:pPr>
    </w:p>
    <w:p w14:paraId="3DEEA9CB" w14:textId="4EB18024" w:rsidR="00C14CDC" w:rsidRPr="00285756" w:rsidRDefault="00C14CDC" w:rsidP="00171BB4">
      <w:pPr>
        <w:rPr>
          <w:rFonts w:ascii="Times New Roman" w:hAnsi="Times New Roman" w:cs="Times New Roman"/>
        </w:rPr>
      </w:pPr>
      <w:r w:rsidRPr="004357A7">
        <w:rPr>
          <w:rFonts w:ascii="Times New Roman" w:hAnsi="Times New Roman" w:cs="Times New Roman"/>
        </w:rPr>
        <w:tab/>
        <w:t xml:space="preserve">The Commission preliminarily believes that requiring an ATS to reduce to writing those safeguards and procedures, as well as its oversight procedures to ensure that such safeguards and procedures are followed, would strengthen the effectiveness of the ATS’s safeguards and procedures and would better enable the ATS to </w:t>
      </w:r>
      <w:r w:rsidRPr="004357A7">
        <w:rPr>
          <w:rFonts w:ascii="Times New Roman" w:eastAsia="Calibri" w:hAnsi="Times New Roman" w:cs="Times New Roman"/>
        </w:rPr>
        <w:t xml:space="preserve">protect confidential subscriber trading information and </w:t>
      </w:r>
      <w:r w:rsidRPr="004357A7">
        <w:rPr>
          <w:rFonts w:ascii="Times New Roman" w:hAnsi="Times New Roman" w:cs="Times New Roman"/>
        </w:rPr>
        <w:t>implement and monitor the adequacy of, and the ATS’s compliance with, its safeguards and procedures.  For example, if an ATS were required to reduce its safeguards and procedures to writing, it could self-audit – or if it chose to do so, undergo a third-party audit – for compliance with those safeguards and procedures, and also assess their adequacy.  In addition, the Commission preliminarily believes that reducing ATSs’ safeguards and procedures under Rule 301(b</w:t>
      </w:r>
      <w:proofErr w:type="gramStart"/>
      <w:r w:rsidRPr="004357A7">
        <w:rPr>
          <w:rFonts w:ascii="Times New Roman" w:hAnsi="Times New Roman" w:cs="Times New Roman"/>
        </w:rPr>
        <w:t>)(</w:t>
      </w:r>
      <w:proofErr w:type="gramEnd"/>
      <w:r w:rsidRPr="004357A7">
        <w:rPr>
          <w:rFonts w:ascii="Times New Roman" w:hAnsi="Times New Roman" w:cs="Times New Roman"/>
        </w:rPr>
        <w:t>10) to writing will help Commission staff, and the staff of the SRO of which an ATS’s broker-dealer operator is a member, evaluate whether an ATS has established such procedures and safeguards, whether the ATS has implemented and is abiding by them, and whether they comply with the requirements of Rule 301(b)(10).  This should enable the Commission, and the applicable SRO(s), to exercise more effective oversight of ATSs regarding the ATSs’ compliance with Rule 301(b</w:t>
      </w:r>
      <w:proofErr w:type="gramStart"/>
      <w:r w:rsidRPr="004357A7">
        <w:rPr>
          <w:rFonts w:ascii="Times New Roman" w:hAnsi="Times New Roman" w:cs="Times New Roman"/>
        </w:rPr>
        <w:t>)(</w:t>
      </w:r>
      <w:proofErr w:type="gramEnd"/>
      <w:r w:rsidRPr="004357A7">
        <w:rPr>
          <w:rFonts w:ascii="Times New Roman" w:hAnsi="Times New Roman" w:cs="Times New Roman"/>
        </w:rPr>
        <w:t xml:space="preserve">10) and other federal securities laws, rules, and regulations.  </w:t>
      </w:r>
    </w:p>
    <w:p w14:paraId="2AE26B4C" w14:textId="77777777" w:rsidR="00DF09F5" w:rsidRPr="008D67DF" w:rsidRDefault="00DD3AA7" w:rsidP="005C1590">
      <w:pPr>
        <w:widowControl/>
        <w:tabs>
          <w:tab w:val="left" w:pos="0"/>
        </w:tabs>
        <w:suppressAutoHyphens/>
        <w:rPr>
          <w:rFonts w:ascii="Times New Roman" w:hAnsi="Times New Roman" w:cs="Times New Roman"/>
          <w:spacing w:val="-3"/>
        </w:rPr>
      </w:pPr>
      <w:r w:rsidRPr="001D4B88">
        <w:rPr>
          <w:rFonts w:ascii="Times New Roman" w:hAnsi="Times New Roman" w:cs="Times New Roman"/>
          <w:spacing w:val="-3"/>
        </w:rPr>
        <w:tab/>
      </w:r>
    </w:p>
    <w:p w14:paraId="4B3B1627" w14:textId="77777777" w:rsidR="00497D86" w:rsidRPr="00285756" w:rsidRDefault="00AD3E4B" w:rsidP="005C1590">
      <w:pPr>
        <w:widowControl/>
        <w:tabs>
          <w:tab w:val="left" w:pos="0"/>
        </w:tabs>
        <w:suppressAutoHyphens/>
        <w:rPr>
          <w:rFonts w:ascii="Times New Roman" w:hAnsi="Times New Roman" w:cs="Times New Roman"/>
          <w:b/>
          <w:spacing w:val="-3"/>
        </w:rPr>
      </w:pPr>
      <w:r w:rsidRPr="00285756">
        <w:rPr>
          <w:rFonts w:ascii="Times New Roman" w:hAnsi="Times New Roman" w:cs="Times New Roman"/>
          <w:b/>
          <w:spacing w:val="-3"/>
        </w:rPr>
        <w:tab/>
      </w:r>
      <w:r w:rsidR="00DD3AA7" w:rsidRPr="00285756">
        <w:rPr>
          <w:rFonts w:ascii="Times New Roman" w:hAnsi="Times New Roman" w:cs="Times New Roman"/>
          <w:b/>
          <w:spacing w:val="-3"/>
        </w:rPr>
        <w:t>3.</w:t>
      </w:r>
      <w:r w:rsidR="00DD3AA7" w:rsidRPr="00285756">
        <w:rPr>
          <w:rFonts w:ascii="Times New Roman" w:hAnsi="Times New Roman" w:cs="Times New Roman"/>
          <w:b/>
          <w:spacing w:val="-3"/>
        </w:rPr>
        <w:tab/>
      </w:r>
      <w:r w:rsidR="001D39E9" w:rsidRPr="00285756">
        <w:rPr>
          <w:rFonts w:ascii="Times New Roman" w:hAnsi="Times New Roman" w:cs="Times New Roman"/>
          <w:b/>
          <w:spacing w:val="-3"/>
        </w:rPr>
        <w:t>Consideration Given to</w:t>
      </w:r>
      <w:r w:rsidR="00DD3AA7" w:rsidRPr="00285756">
        <w:rPr>
          <w:rFonts w:ascii="Times New Roman" w:hAnsi="Times New Roman" w:cs="Times New Roman"/>
          <w:b/>
          <w:spacing w:val="-3"/>
        </w:rPr>
        <w:t xml:space="preserve"> Information Technology </w:t>
      </w:r>
    </w:p>
    <w:p w14:paraId="34CDC450" w14:textId="77777777" w:rsidR="00497D86" w:rsidRPr="00285756" w:rsidRDefault="00DD3AA7" w:rsidP="005C1590">
      <w:pPr>
        <w:widowControl/>
        <w:tabs>
          <w:tab w:val="left" w:pos="0"/>
        </w:tabs>
        <w:suppressAutoHyphens/>
        <w:rPr>
          <w:rFonts w:ascii="Times New Roman" w:hAnsi="Times New Roman" w:cs="Times New Roman"/>
        </w:rPr>
      </w:pPr>
      <w:r w:rsidRPr="00285756">
        <w:rPr>
          <w:rFonts w:ascii="Times New Roman" w:hAnsi="Times New Roman" w:cs="Times New Roman"/>
          <w:spacing w:val="-3"/>
        </w:rPr>
        <w:lastRenderedPageBreak/>
        <w:t xml:space="preserve"> </w:t>
      </w:r>
    </w:p>
    <w:p w14:paraId="54F10B5A" w14:textId="019C4B46" w:rsidR="00726C09" w:rsidRPr="00285756" w:rsidRDefault="00CC7202" w:rsidP="00726C09">
      <w:pPr>
        <w:tabs>
          <w:tab w:val="left" w:pos="-720"/>
        </w:tabs>
        <w:suppressAutoHyphens/>
        <w:rPr>
          <w:rFonts w:ascii="Times New Roman" w:hAnsi="Times New Roman" w:cs="Times New Roman"/>
          <w:spacing w:val="-3"/>
        </w:rPr>
      </w:pPr>
      <w:r w:rsidRPr="00285756">
        <w:rPr>
          <w:rFonts w:ascii="Times New Roman" w:hAnsi="Times New Roman" w:cs="Times New Roman"/>
          <w:spacing w:val="-3"/>
        </w:rPr>
        <w:tab/>
      </w:r>
      <w:r w:rsidR="00726C09" w:rsidRPr="00285756">
        <w:rPr>
          <w:rFonts w:ascii="Times New Roman" w:hAnsi="Times New Roman" w:cs="Times New Roman"/>
          <w:spacing w:val="-3"/>
        </w:rPr>
        <w:t>Ultimately, Forms ATS and ATS-</w:t>
      </w:r>
      <w:proofErr w:type="gramStart"/>
      <w:r w:rsidR="00726C09" w:rsidRPr="00285756">
        <w:rPr>
          <w:rFonts w:ascii="Times New Roman" w:hAnsi="Times New Roman" w:cs="Times New Roman"/>
          <w:spacing w:val="-3"/>
        </w:rPr>
        <w:t>R,</w:t>
      </w:r>
      <w:proofErr w:type="gramEnd"/>
      <w:r w:rsidR="00726C09" w:rsidRPr="00285756">
        <w:rPr>
          <w:rFonts w:ascii="Times New Roman" w:hAnsi="Times New Roman" w:cs="Times New Roman"/>
          <w:spacing w:val="-3"/>
        </w:rPr>
        <w:t xml:space="preserve"> will be considered for</w:t>
      </w:r>
      <w:r w:rsidR="00E56479" w:rsidRPr="00285756">
        <w:rPr>
          <w:rFonts w:ascii="Times New Roman" w:hAnsi="Times New Roman" w:cs="Times New Roman"/>
          <w:spacing w:val="-3"/>
        </w:rPr>
        <w:t xml:space="preserve"> a transition to</w:t>
      </w:r>
      <w:r w:rsidR="00726C09" w:rsidRPr="00285756">
        <w:rPr>
          <w:rFonts w:ascii="Times New Roman" w:hAnsi="Times New Roman" w:cs="Times New Roman"/>
          <w:spacing w:val="-3"/>
        </w:rPr>
        <w:t xml:space="preserve"> electronic submission.  Such automation would increase the speed, accuracy, and availability of information, generating benefits to investors and financial markets.</w:t>
      </w:r>
    </w:p>
    <w:p w14:paraId="3E4D50D0" w14:textId="77777777" w:rsidR="00B65C45" w:rsidRPr="00285756" w:rsidRDefault="00B65C45" w:rsidP="005C1590">
      <w:pPr>
        <w:widowControl/>
        <w:ind w:firstLine="720"/>
        <w:rPr>
          <w:rFonts w:ascii="Times New Roman" w:hAnsi="Times New Roman" w:cs="Times New Roman"/>
          <w:spacing w:val="-3"/>
        </w:rPr>
      </w:pPr>
    </w:p>
    <w:p w14:paraId="37222297" w14:textId="77777777" w:rsidR="00497D86" w:rsidRPr="00285756" w:rsidRDefault="000F67E5" w:rsidP="005C1590">
      <w:pPr>
        <w:widowControl/>
        <w:ind w:firstLine="720"/>
        <w:rPr>
          <w:rFonts w:ascii="Times New Roman" w:hAnsi="Times New Roman" w:cs="Times New Roman"/>
          <w:spacing w:val="-3"/>
        </w:rPr>
      </w:pPr>
      <w:r w:rsidRPr="00285756">
        <w:rPr>
          <w:rFonts w:ascii="Times New Roman" w:hAnsi="Times New Roman" w:cs="Times New Roman"/>
        </w:rPr>
        <w:t>In connection with Regulation SCI</w:t>
      </w:r>
      <w:r w:rsidR="00564C37" w:rsidRPr="00285756">
        <w:rPr>
          <w:rFonts w:ascii="Times New Roman" w:hAnsi="Times New Roman" w:cs="Times New Roman"/>
        </w:rPr>
        <w:t>,</w:t>
      </w:r>
      <w:r w:rsidR="008171D9" w:rsidRPr="00285756">
        <w:rPr>
          <w:rFonts w:ascii="Times New Roman" w:hAnsi="Times New Roman" w:cs="Times New Roman"/>
        </w:rPr>
        <w:t xml:space="preserve"> </w:t>
      </w:r>
      <w:r w:rsidR="001A5595" w:rsidRPr="00285756">
        <w:rPr>
          <w:rFonts w:ascii="Times New Roman" w:hAnsi="Times New Roman" w:cs="Times New Roman"/>
        </w:rPr>
        <w:t>the Commission only amended Rule 301(b</w:t>
      </w:r>
      <w:proofErr w:type="gramStart"/>
      <w:r w:rsidR="001A5595" w:rsidRPr="00285756">
        <w:rPr>
          <w:rFonts w:ascii="Times New Roman" w:hAnsi="Times New Roman" w:cs="Times New Roman"/>
        </w:rPr>
        <w:t>)(</w:t>
      </w:r>
      <w:proofErr w:type="gramEnd"/>
      <w:r w:rsidR="001A5595" w:rsidRPr="00285756">
        <w:rPr>
          <w:rFonts w:ascii="Times New Roman" w:hAnsi="Times New Roman" w:cs="Times New Roman"/>
        </w:rPr>
        <w:t>6)</w:t>
      </w:r>
      <w:r w:rsidR="00786514" w:rsidRPr="00285756">
        <w:rPr>
          <w:rFonts w:ascii="Times New Roman" w:hAnsi="Times New Roman" w:cs="Times New Roman"/>
          <w:spacing w:val="-3"/>
        </w:rPr>
        <w:t xml:space="preserve"> </w:t>
      </w:r>
      <w:r w:rsidR="001A5595" w:rsidRPr="00285756">
        <w:rPr>
          <w:rFonts w:ascii="Times New Roman" w:hAnsi="Times New Roman" w:cs="Times New Roman"/>
        </w:rPr>
        <w:t xml:space="preserve">so that it will no longer apply to </w:t>
      </w:r>
      <w:r w:rsidR="00732B26" w:rsidRPr="00285756">
        <w:rPr>
          <w:rFonts w:ascii="Times New Roman" w:hAnsi="Times New Roman" w:cs="Times New Roman"/>
        </w:rPr>
        <w:t xml:space="preserve">alternative trading systems </w:t>
      </w:r>
      <w:r w:rsidR="00AA03C5" w:rsidRPr="00285756">
        <w:rPr>
          <w:rFonts w:ascii="Times New Roman" w:hAnsi="Times New Roman" w:cs="Times New Roman"/>
        </w:rPr>
        <w:t>that trade</w:t>
      </w:r>
      <w:r w:rsidR="001A5595" w:rsidRPr="00285756">
        <w:rPr>
          <w:rFonts w:ascii="Times New Roman" w:hAnsi="Times New Roman" w:cs="Times New Roman"/>
        </w:rPr>
        <w:t xml:space="preserve"> NMS stocks and non-NMS stocks</w:t>
      </w:r>
      <w:r w:rsidR="001A5595" w:rsidRPr="00285756">
        <w:rPr>
          <w:rFonts w:ascii="Times New Roman" w:hAnsi="Times New Roman" w:cs="Times New Roman"/>
          <w:spacing w:val="-3"/>
        </w:rPr>
        <w:t xml:space="preserve">.  </w:t>
      </w:r>
      <w:r w:rsidR="008D6C96" w:rsidRPr="00285756">
        <w:rPr>
          <w:rFonts w:ascii="Times New Roman" w:hAnsi="Times New Roman" w:cs="Times New Roman"/>
          <w:spacing w:val="-3"/>
        </w:rPr>
        <w:t>Therefore, c</w:t>
      </w:r>
      <w:r w:rsidR="00786514" w:rsidRPr="00285756">
        <w:rPr>
          <w:rFonts w:ascii="Times New Roman" w:hAnsi="Times New Roman" w:cs="Times New Roman"/>
          <w:spacing w:val="-3"/>
        </w:rPr>
        <w:t>onsideration given to information technology remains unchanged.</w:t>
      </w:r>
    </w:p>
    <w:p w14:paraId="5D5A3E92" w14:textId="77777777" w:rsidR="004D311D" w:rsidRPr="00285756" w:rsidRDefault="004D311D" w:rsidP="005C1590">
      <w:pPr>
        <w:widowControl/>
        <w:ind w:firstLine="720"/>
        <w:rPr>
          <w:rFonts w:ascii="Times New Roman" w:hAnsi="Times New Roman" w:cs="Times New Roman"/>
          <w:spacing w:val="-3"/>
        </w:rPr>
      </w:pPr>
    </w:p>
    <w:p w14:paraId="4D369BD5" w14:textId="75EF2AFD" w:rsidR="004D311D" w:rsidRPr="00285756" w:rsidRDefault="004D311D" w:rsidP="005C1590">
      <w:pPr>
        <w:widowControl/>
        <w:ind w:firstLine="720"/>
        <w:rPr>
          <w:rFonts w:ascii="Times New Roman" w:hAnsi="Times New Roman" w:cs="Times New Roman"/>
        </w:rPr>
      </w:pPr>
      <w:r w:rsidRPr="004357A7">
        <w:rPr>
          <w:rFonts w:ascii="Times New Roman" w:hAnsi="Times New Roman" w:cs="Times New Roman"/>
        </w:rPr>
        <w:t xml:space="preserve">Proposed Rule 304(c)(2) would provide that any report required to be filed with the Commission under proposed Rule 304 of Regulation ATS must be filed electronically on Form ATS-N, and include all information as prescribed in proposed Form ATS-N and the instructions thereto.  The Commission’s proposal contemplates the use of the electronic form filing system (“EFFS”) to file a completed Form ATS-N.  Based on the widespread use and availability of the Internet, the Commission </w:t>
      </w:r>
      <w:r w:rsidRPr="004357A7">
        <w:rPr>
          <w:rFonts w:ascii="Times New Roman" w:eastAsiaTheme="minorHAnsi" w:hAnsi="Times New Roman" w:cs="Times New Roman"/>
        </w:rPr>
        <w:t xml:space="preserve">preliminarily </w:t>
      </w:r>
      <w:r w:rsidRPr="004357A7">
        <w:rPr>
          <w:rFonts w:ascii="Times New Roman" w:hAnsi="Times New Roman" w:cs="Times New Roman"/>
        </w:rPr>
        <w:t>believes that filing Form ATS-N in an electronic format would be less burdensome and a more efficient filing process for NMS Stock ATSs and the Commission, as it is likely to be less expensive and cumbersome than mailing paper forms to the Commission.  The proposed Form ATS-N would require an electronic signature to help ensure the authenticity of the Form ATS-N filing.  The Commission preliminarily believes these proposed requirements would expedite communications between Commission staff and the broker-dealer operator concerning the NMS Stock ATS and help to ensure that only personnel authorized by the NMS Stock ATS are filing required materials.  This proposed requirement is intended to provide a uniform manner in which the Commission would receive—and the broker-dealer operator would file—the Form ATS-N made pursuant to proposed Rule 304 of Regulation ATS.  The Commission preliminarily believes that such consistent framework would make it easier for NMS Stock ATSs to file submissions and for the Commission to review, keep and organize such filings.  Also, the electronic submission would make it easier and more efficient for the Commission and market participants reviewing the disclosures to promptly review, analyze, and respond, as necessary, to the information proposed to be provided.</w:t>
      </w:r>
    </w:p>
    <w:p w14:paraId="3395CB54" w14:textId="77777777" w:rsidR="00497D86" w:rsidRPr="001D4B88" w:rsidRDefault="00497D86" w:rsidP="005C1590">
      <w:pPr>
        <w:pStyle w:val="ListParagraph"/>
        <w:spacing w:after="0" w:line="240" w:lineRule="auto"/>
        <w:ind w:left="0"/>
        <w:rPr>
          <w:rFonts w:ascii="Times New Roman" w:hAnsi="Times New Roman"/>
          <w:sz w:val="24"/>
          <w:szCs w:val="24"/>
          <w:highlight w:val="yellow"/>
        </w:rPr>
      </w:pPr>
    </w:p>
    <w:p w14:paraId="14A63281" w14:textId="77777777" w:rsidR="00497D86" w:rsidRPr="00285756" w:rsidRDefault="00DD3AA7" w:rsidP="005C1590">
      <w:pPr>
        <w:widowControl/>
        <w:tabs>
          <w:tab w:val="left" w:pos="0"/>
        </w:tabs>
        <w:suppressAutoHyphens/>
        <w:rPr>
          <w:rFonts w:ascii="Times New Roman" w:hAnsi="Times New Roman" w:cs="Times New Roman"/>
          <w:b/>
          <w:spacing w:val="-3"/>
        </w:rPr>
      </w:pPr>
      <w:r w:rsidRPr="00285756">
        <w:rPr>
          <w:rFonts w:ascii="Times New Roman" w:hAnsi="Times New Roman" w:cs="Times New Roman"/>
          <w:b/>
          <w:spacing w:val="-3"/>
        </w:rPr>
        <w:tab/>
        <w:t>4.</w:t>
      </w:r>
      <w:r w:rsidRPr="00285756">
        <w:rPr>
          <w:rFonts w:ascii="Times New Roman" w:hAnsi="Times New Roman" w:cs="Times New Roman"/>
          <w:b/>
          <w:spacing w:val="-3"/>
        </w:rPr>
        <w:tab/>
        <w:t>Duplication</w:t>
      </w:r>
    </w:p>
    <w:p w14:paraId="46EC424C" w14:textId="77777777" w:rsidR="00497D86" w:rsidRPr="00285756" w:rsidRDefault="00497D86" w:rsidP="005C1590">
      <w:pPr>
        <w:widowControl/>
        <w:tabs>
          <w:tab w:val="left" w:pos="0"/>
        </w:tabs>
        <w:suppressAutoHyphens/>
        <w:rPr>
          <w:rFonts w:ascii="Times New Roman" w:hAnsi="Times New Roman" w:cs="Times New Roman"/>
          <w:spacing w:val="-3"/>
        </w:rPr>
      </w:pPr>
    </w:p>
    <w:p w14:paraId="70B849BA" w14:textId="77777777" w:rsidR="00497D86" w:rsidRPr="00285756" w:rsidRDefault="00786514" w:rsidP="005C1590">
      <w:pPr>
        <w:widowControl/>
        <w:tabs>
          <w:tab w:val="left" w:pos="0"/>
        </w:tabs>
        <w:suppressAutoHyphens/>
        <w:rPr>
          <w:rFonts w:ascii="Times New Roman" w:hAnsi="Times New Roman" w:cs="Times New Roman"/>
          <w:spacing w:val="-3"/>
        </w:rPr>
      </w:pPr>
      <w:r w:rsidRPr="00285756">
        <w:rPr>
          <w:rFonts w:ascii="Times New Roman" w:hAnsi="Times New Roman" w:cs="Times New Roman"/>
          <w:spacing w:val="-3"/>
        </w:rPr>
        <w:tab/>
      </w:r>
      <w:r w:rsidR="005361E3" w:rsidRPr="00285756">
        <w:rPr>
          <w:rFonts w:ascii="Times New Roman" w:hAnsi="Times New Roman" w:cs="Times New Roman"/>
        </w:rPr>
        <w:t xml:space="preserve">Because Regulation SCI would duplicate the requirements under Rule 301(b)(6) of Regulation ATS as applied to </w:t>
      </w:r>
      <w:r w:rsidR="00732B26" w:rsidRPr="00285756">
        <w:rPr>
          <w:rFonts w:ascii="Times New Roman" w:hAnsi="Times New Roman" w:cs="Times New Roman"/>
        </w:rPr>
        <w:t xml:space="preserve">alternative trading systems </w:t>
      </w:r>
      <w:r w:rsidR="005361E3" w:rsidRPr="00285756">
        <w:rPr>
          <w:rFonts w:ascii="Times New Roman" w:hAnsi="Times New Roman" w:cs="Times New Roman"/>
        </w:rPr>
        <w:t>that trade NMS stocks and non-NMS stocks, the Commission amended Rule 301(b)(6)</w:t>
      </w:r>
      <w:r w:rsidR="005361E3" w:rsidRPr="00285756">
        <w:rPr>
          <w:rFonts w:ascii="Times New Roman" w:hAnsi="Times New Roman" w:cs="Times New Roman"/>
          <w:spacing w:val="-3"/>
        </w:rPr>
        <w:t xml:space="preserve"> </w:t>
      </w:r>
      <w:r w:rsidR="005361E3" w:rsidRPr="00285756">
        <w:rPr>
          <w:rFonts w:ascii="Times New Roman" w:hAnsi="Times New Roman" w:cs="Times New Roman"/>
        </w:rPr>
        <w:t xml:space="preserve">so that it will no longer apply to </w:t>
      </w:r>
      <w:r w:rsidR="00732B26" w:rsidRPr="00285756">
        <w:rPr>
          <w:rFonts w:ascii="Times New Roman" w:hAnsi="Times New Roman" w:cs="Times New Roman"/>
        </w:rPr>
        <w:t xml:space="preserve">alternative trading systems </w:t>
      </w:r>
      <w:r w:rsidR="00AA03C5" w:rsidRPr="00285756">
        <w:rPr>
          <w:rFonts w:ascii="Times New Roman" w:hAnsi="Times New Roman" w:cs="Times New Roman"/>
        </w:rPr>
        <w:t>that trade</w:t>
      </w:r>
      <w:r w:rsidR="005361E3" w:rsidRPr="00285756">
        <w:rPr>
          <w:rFonts w:ascii="Times New Roman" w:hAnsi="Times New Roman" w:cs="Times New Roman"/>
        </w:rPr>
        <w:t xml:space="preserve"> NMS stocks and non-NMS stocks</w:t>
      </w:r>
      <w:r w:rsidR="005361E3" w:rsidRPr="00285756">
        <w:rPr>
          <w:rFonts w:ascii="Times New Roman" w:hAnsi="Times New Roman" w:cs="Times New Roman"/>
          <w:spacing w:val="-3"/>
        </w:rPr>
        <w:t xml:space="preserve">.  </w:t>
      </w:r>
    </w:p>
    <w:p w14:paraId="735126F1" w14:textId="77777777" w:rsidR="00AA48D5" w:rsidRPr="00285756" w:rsidRDefault="00AA48D5" w:rsidP="005C1590">
      <w:pPr>
        <w:widowControl/>
        <w:tabs>
          <w:tab w:val="left" w:pos="0"/>
        </w:tabs>
        <w:suppressAutoHyphens/>
        <w:rPr>
          <w:rFonts w:ascii="Times New Roman" w:hAnsi="Times New Roman" w:cs="Times New Roman"/>
          <w:spacing w:val="-3"/>
        </w:rPr>
      </w:pPr>
    </w:p>
    <w:p w14:paraId="0B4FCF22" w14:textId="613E39D9" w:rsidR="00AA48D5" w:rsidRPr="004357A7" w:rsidRDefault="00696C7A" w:rsidP="005C1590">
      <w:pPr>
        <w:widowControl/>
        <w:tabs>
          <w:tab w:val="left" w:pos="0"/>
        </w:tabs>
        <w:suppressAutoHyphens/>
        <w:rPr>
          <w:rFonts w:ascii="Times New Roman" w:hAnsi="Times New Roman" w:cs="Times New Roman"/>
        </w:rPr>
      </w:pPr>
      <w:r w:rsidRPr="004357A7">
        <w:rPr>
          <w:rFonts w:ascii="Times New Roman" w:hAnsi="Times New Roman" w:cs="Times New Roman"/>
        </w:rPr>
        <w:tab/>
      </w:r>
      <w:r w:rsidR="00AA48D5" w:rsidRPr="004357A7">
        <w:rPr>
          <w:rFonts w:ascii="Times New Roman" w:hAnsi="Times New Roman" w:cs="Times New Roman"/>
        </w:rPr>
        <w:t>The Commission is proposing Rule 301(b)(2)(viii) to provide that an NMS Stock ATS shall file the reports and amendments required by proposed Rule 304 and would not be subject to the requirements of Rule 301(b)(2).  Existing Rule 301(b)(2) requires an ATS to file with the Commission a Form ATS initial operation report, amendments to the Form ATS initial operation report, and cessation of operations reports on Form ATS, all of which are “deemed confidential when filed.”</w:t>
      </w:r>
      <w:r w:rsidR="00AA48D5" w:rsidRPr="004357A7">
        <w:rPr>
          <w:rStyle w:val="FootnoteReference"/>
          <w:rFonts w:ascii="Times New Roman" w:hAnsi="Times New Roman" w:cs="Times New Roman"/>
        </w:rPr>
        <w:footnoteReference w:id="27"/>
      </w:r>
      <w:r w:rsidR="00AA48D5" w:rsidRPr="004357A7">
        <w:rPr>
          <w:rFonts w:ascii="Times New Roman" w:hAnsi="Times New Roman" w:cs="Times New Roman"/>
        </w:rPr>
        <w:t xml:space="preserve">  Because the Commission is proposing rules to govern the content and manner in </w:t>
      </w:r>
      <w:r w:rsidR="00AA48D5" w:rsidRPr="004357A7">
        <w:rPr>
          <w:rFonts w:ascii="Times New Roman" w:hAnsi="Times New Roman" w:cs="Times New Roman"/>
        </w:rPr>
        <w:lastRenderedPageBreak/>
        <w:t>which an NMS Stock ATS would be required to disclose information to the public and the Commission on proposed Form ATS-N, existing Rule 301(b)(2)would be duplicative of the proposed amendments.</w:t>
      </w:r>
    </w:p>
    <w:p w14:paraId="08787FEF" w14:textId="77777777" w:rsidR="00AA48D5" w:rsidRPr="004357A7" w:rsidRDefault="00AA48D5" w:rsidP="005C1590">
      <w:pPr>
        <w:widowControl/>
        <w:tabs>
          <w:tab w:val="left" w:pos="0"/>
        </w:tabs>
        <w:suppressAutoHyphens/>
        <w:rPr>
          <w:rFonts w:ascii="Times New Roman" w:hAnsi="Times New Roman" w:cs="Times New Roman"/>
        </w:rPr>
      </w:pPr>
    </w:p>
    <w:p w14:paraId="5B2595D8" w14:textId="4E02D0C1" w:rsidR="00A4097E" w:rsidRPr="004357A7" w:rsidRDefault="00A4097E" w:rsidP="00A4097E">
      <w:pPr>
        <w:ind w:firstLine="720"/>
        <w:rPr>
          <w:rFonts w:ascii="Times New Roman" w:hAnsi="Times New Roman" w:cs="Times New Roman"/>
        </w:rPr>
      </w:pPr>
      <w:r w:rsidRPr="004357A7">
        <w:rPr>
          <w:rFonts w:ascii="Times New Roman" w:hAnsi="Times New Roman" w:cs="Times New Roman"/>
        </w:rPr>
        <w:t>The Commission did not believe that current Form ATS was sufficient to reach the Commission’s objective of promoting more transparency on NMS Stock ATS, and for this reason, chose to require a new Form ATS-N that requires additional information.  Form ATS discloses only limited aspects of an ATS’s operations, and the Commission preliminarily believes that even where an ATS has voluntarily made public its Form ATS,</w:t>
      </w:r>
      <w:bookmarkStart w:id="17" w:name="_Ref427086537"/>
      <w:r w:rsidRPr="004357A7">
        <w:rPr>
          <w:rStyle w:val="FootnoteReference"/>
          <w:rFonts w:ascii="Times New Roman" w:hAnsi="Times New Roman" w:cs="Times New Roman"/>
        </w:rPr>
        <w:footnoteReference w:id="28"/>
      </w:r>
      <w:bookmarkEnd w:id="17"/>
      <w:r w:rsidRPr="004357A7">
        <w:rPr>
          <w:rFonts w:ascii="Times New Roman" w:hAnsi="Times New Roman" w:cs="Times New Roman"/>
        </w:rPr>
        <w:t xml:space="preserve"> market participants currently might not be able to obtain a complete understanding of how ATSs operate.  In addition, Form ATS does not solicit information about possible circumstances that give rise to potential conflicts of interest resulting from the activities of the broker-dealer operator and its affiliates.  Despite the confidentiality afforded Form ATS, based on Commission experience, including the Commission’s experience reviewing disclosures made by ATSs on Form ATS over the past 16 years, ATSs have often provided minimal, summary disclosure</w:t>
      </w:r>
      <w:r w:rsidRPr="004357A7" w:rsidDel="00977A80">
        <w:rPr>
          <w:rFonts w:ascii="Times New Roman" w:hAnsi="Times New Roman" w:cs="Times New Roman"/>
        </w:rPr>
        <w:t>s</w:t>
      </w:r>
      <w:r w:rsidRPr="004357A7">
        <w:rPr>
          <w:rFonts w:ascii="Times New Roman" w:hAnsi="Times New Roman" w:cs="Times New Roman"/>
        </w:rPr>
        <w:t xml:space="preserve"> about their operations on Form ATS.  Furthermore, the Commission preliminarily believes that the complexity of the operations of NMS Stock ATSs has increased substantially and in a manner that causes the current disclosure requirements of Form ATS to result in a potentially insufficient, and inconsistent, level of detail about the operations of NMS Stock ATSs.</w:t>
      </w:r>
    </w:p>
    <w:p w14:paraId="68F168E4" w14:textId="77777777" w:rsidR="008775D3" w:rsidRPr="001D4B88" w:rsidRDefault="008775D3" w:rsidP="005C1590">
      <w:pPr>
        <w:widowControl/>
        <w:tabs>
          <w:tab w:val="left" w:pos="0"/>
        </w:tabs>
        <w:suppressAutoHyphens/>
        <w:rPr>
          <w:rFonts w:ascii="Times New Roman" w:hAnsi="Times New Roman" w:cs="Times New Roman"/>
        </w:rPr>
      </w:pPr>
    </w:p>
    <w:p w14:paraId="1051EAA4" w14:textId="77777777" w:rsidR="00497D86" w:rsidRPr="00285756" w:rsidRDefault="00DD3AA7" w:rsidP="005C1590">
      <w:pPr>
        <w:widowControl/>
        <w:tabs>
          <w:tab w:val="left" w:pos="0"/>
        </w:tabs>
        <w:suppressAutoHyphens/>
        <w:rPr>
          <w:rFonts w:ascii="Times New Roman" w:hAnsi="Times New Roman" w:cs="Times New Roman"/>
          <w:b/>
          <w:spacing w:val="-3"/>
        </w:rPr>
      </w:pPr>
      <w:r w:rsidRPr="00285756">
        <w:rPr>
          <w:rFonts w:ascii="Times New Roman" w:hAnsi="Times New Roman" w:cs="Times New Roman"/>
          <w:b/>
          <w:spacing w:val="-3"/>
        </w:rPr>
        <w:tab/>
        <w:t>5.</w:t>
      </w:r>
      <w:r w:rsidRPr="00285756">
        <w:rPr>
          <w:rFonts w:ascii="Times New Roman" w:hAnsi="Times New Roman" w:cs="Times New Roman"/>
          <w:b/>
          <w:spacing w:val="-3"/>
        </w:rPr>
        <w:tab/>
      </w:r>
      <w:r w:rsidR="00187B27" w:rsidRPr="00285756">
        <w:rPr>
          <w:rFonts w:ascii="Times New Roman" w:hAnsi="Times New Roman" w:cs="Times New Roman"/>
          <w:b/>
          <w:spacing w:val="-3"/>
        </w:rPr>
        <w:t>Effect</w:t>
      </w:r>
      <w:r w:rsidR="001D39E9" w:rsidRPr="00285756">
        <w:rPr>
          <w:rFonts w:ascii="Times New Roman" w:hAnsi="Times New Roman" w:cs="Times New Roman"/>
          <w:b/>
          <w:spacing w:val="-3"/>
        </w:rPr>
        <w:t xml:space="preserve"> </w:t>
      </w:r>
      <w:r w:rsidRPr="00285756">
        <w:rPr>
          <w:rFonts w:ascii="Times New Roman" w:hAnsi="Times New Roman" w:cs="Times New Roman"/>
          <w:b/>
          <w:spacing w:val="-3"/>
        </w:rPr>
        <w:t>on Small Entities</w:t>
      </w:r>
    </w:p>
    <w:p w14:paraId="31A35A10" w14:textId="77777777" w:rsidR="00497D86" w:rsidRPr="00285756" w:rsidRDefault="00497D86" w:rsidP="005C1590">
      <w:pPr>
        <w:widowControl/>
        <w:tabs>
          <w:tab w:val="left" w:pos="0"/>
        </w:tabs>
        <w:suppressAutoHyphens/>
        <w:rPr>
          <w:rFonts w:ascii="Times New Roman" w:hAnsi="Times New Roman" w:cs="Times New Roman"/>
          <w:spacing w:val="-3"/>
        </w:rPr>
      </w:pPr>
    </w:p>
    <w:p w14:paraId="62C2F266" w14:textId="3C54224F" w:rsidR="00726C09" w:rsidRPr="00285756" w:rsidRDefault="00EA321E" w:rsidP="00F7592F">
      <w:pPr>
        <w:tabs>
          <w:tab w:val="left" w:pos="-720"/>
          <w:tab w:val="left" w:pos="5670"/>
        </w:tabs>
        <w:suppressAutoHyphens/>
        <w:rPr>
          <w:rFonts w:ascii="Times New Roman" w:hAnsi="Times New Roman" w:cs="Times New Roman"/>
          <w:spacing w:val="-3"/>
        </w:rPr>
      </w:pPr>
      <w:r w:rsidRPr="00285756">
        <w:rPr>
          <w:rFonts w:ascii="Times New Roman" w:hAnsi="Times New Roman" w:cs="Times New Roman"/>
        </w:rPr>
        <w:t xml:space="preserve">             </w:t>
      </w:r>
      <w:r w:rsidR="00726C09" w:rsidRPr="00285756">
        <w:rPr>
          <w:rFonts w:ascii="Times New Roman" w:hAnsi="Times New Roman" w:cs="Times New Roman"/>
        </w:rPr>
        <w:t>Rule</w:t>
      </w:r>
      <w:r w:rsidR="00A4097E" w:rsidRPr="00285756">
        <w:rPr>
          <w:rFonts w:ascii="Times New Roman" w:hAnsi="Times New Roman" w:cs="Times New Roman"/>
        </w:rPr>
        <w:t>s</w:t>
      </w:r>
      <w:r w:rsidR="00726C09" w:rsidRPr="00285756">
        <w:rPr>
          <w:rFonts w:ascii="Times New Roman" w:hAnsi="Times New Roman" w:cs="Times New Roman"/>
        </w:rPr>
        <w:t xml:space="preserve"> 301</w:t>
      </w:r>
      <w:r w:rsidR="00A4097E" w:rsidRPr="00285756">
        <w:rPr>
          <w:rFonts w:ascii="Times New Roman" w:hAnsi="Times New Roman" w:cs="Times New Roman"/>
        </w:rPr>
        <w:t xml:space="preserve"> and 304</w:t>
      </w:r>
      <w:r w:rsidR="00726C09" w:rsidRPr="00285756">
        <w:rPr>
          <w:rFonts w:ascii="Times New Roman" w:hAnsi="Times New Roman" w:cs="Times New Roman"/>
        </w:rPr>
        <w:t xml:space="preserve"> </w:t>
      </w:r>
      <w:r w:rsidR="00A4097E" w:rsidRPr="00285756">
        <w:rPr>
          <w:rFonts w:ascii="Times New Roman" w:hAnsi="Times New Roman" w:cs="Times New Roman"/>
          <w:spacing w:val="-3"/>
        </w:rPr>
        <w:t>are</w:t>
      </w:r>
      <w:r w:rsidR="00726C09" w:rsidRPr="00285756">
        <w:rPr>
          <w:rFonts w:ascii="Times New Roman" w:hAnsi="Times New Roman" w:cs="Times New Roman"/>
          <w:spacing w:val="-3"/>
        </w:rPr>
        <w:t xml:space="preserve"> one</w:t>
      </w:r>
      <w:r w:rsidR="00A4097E" w:rsidRPr="00285756">
        <w:rPr>
          <w:rFonts w:ascii="Times New Roman" w:hAnsi="Times New Roman" w:cs="Times New Roman"/>
          <w:spacing w:val="-3"/>
        </w:rPr>
        <w:t>s</w:t>
      </w:r>
      <w:r w:rsidR="00726C09" w:rsidRPr="00285756">
        <w:rPr>
          <w:rFonts w:ascii="Times New Roman" w:hAnsi="Times New Roman" w:cs="Times New Roman"/>
          <w:spacing w:val="-3"/>
        </w:rPr>
        <w:t xml:space="preserve"> of general applicability that mostly does not depend on the size of the system.  Fair access reporting requirements and system capacity, integrity, and security requirements apply only to alternative trading systems that </w:t>
      </w:r>
      <w:r w:rsidR="00BF40BB" w:rsidRPr="00285756">
        <w:rPr>
          <w:rFonts w:ascii="Times New Roman" w:hAnsi="Times New Roman" w:cs="Times New Roman"/>
          <w:spacing w:val="-3"/>
        </w:rPr>
        <w:t xml:space="preserve">reach certain </w:t>
      </w:r>
      <w:r w:rsidR="00726C09" w:rsidRPr="00285756">
        <w:rPr>
          <w:rFonts w:ascii="Times New Roman" w:hAnsi="Times New Roman" w:cs="Times New Roman"/>
          <w:spacing w:val="-3"/>
        </w:rPr>
        <w:t>significant volume</w:t>
      </w:r>
      <w:r w:rsidR="00BF40BB" w:rsidRPr="00285756">
        <w:rPr>
          <w:rFonts w:ascii="Times New Roman" w:hAnsi="Times New Roman" w:cs="Times New Roman"/>
          <w:spacing w:val="-3"/>
        </w:rPr>
        <w:t xml:space="preserve"> thresholds</w:t>
      </w:r>
      <w:r w:rsidR="00726C09" w:rsidRPr="00285756">
        <w:rPr>
          <w:rFonts w:ascii="Times New Roman" w:hAnsi="Times New Roman" w:cs="Times New Roman"/>
          <w:spacing w:val="-3"/>
        </w:rPr>
        <w:t xml:space="preserve">.  The filing requirements on Forms ATS and ATS-R, however, apply to all alternative trading systems regardless of size.  Therefore, the Rule could apply to small businesses.  Pursuant to 17 CFR 240.0-10(c), the term “small business” or “small organization” when used in reference to a broker-dealer means a broker-dealer that has total capital (net worth plus subordinated liabilities) of less than $500,000 on the date in the prior fiscal year as of which its audited financial statements were prepared pursuant to 17 CFR 240.17a-5(d) or, if not required to file such statements, a broker-dealer that had total capital of less than $500,000 on the last business day of the preceding fiscal </w:t>
      </w:r>
      <w:r w:rsidR="00726C09" w:rsidRPr="00285756">
        <w:rPr>
          <w:rFonts w:ascii="Times New Roman" w:hAnsi="Times New Roman" w:cs="Times New Roman"/>
          <w:spacing w:val="-3"/>
        </w:rPr>
        <w:lastRenderedPageBreak/>
        <w:t>year (or in the time that it has been in business); and is not affiliated with any person (other than a natural person) that is not a small business or small organization as defined in 17 CFR 240.0-10.  The Commission staff estimates that 5 alternative trading systems that would register as broker-dealers are small entities as currently defined by the Act.</w:t>
      </w:r>
    </w:p>
    <w:p w14:paraId="6BDA240B" w14:textId="77777777" w:rsidR="00726C09" w:rsidRPr="00285756" w:rsidRDefault="00726C09" w:rsidP="00726C09">
      <w:pPr>
        <w:tabs>
          <w:tab w:val="left" w:pos="-720"/>
        </w:tabs>
        <w:suppressAutoHyphens/>
        <w:rPr>
          <w:rFonts w:ascii="Times New Roman" w:hAnsi="Times New Roman" w:cs="Times New Roman"/>
          <w:spacing w:val="-3"/>
        </w:rPr>
      </w:pPr>
    </w:p>
    <w:p w14:paraId="2AA5B6E7" w14:textId="02B4F4E3" w:rsidR="00E90624" w:rsidRPr="00285756" w:rsidRDefault="00726C09" w:rsidP="00726C09">
      <w:pPr>
        <w:tabs>
          <w:tab w:val="left" w:pos="-720"/>
        </w:tabs>
        <w:suppressAutoHyphens/>
        <w:rPr>
          <w:rFonts w:ascii="Times New Roman" w:hAnsi="Times New Roman" w:cs="Times New Roman"/>
          <w:spacing w:val="-3"/>
        </w:rPr>
      </w:pPr>
      <w:r w:rsidRPr="00285756">
        <w:rPr>
          <w:rFonts w:ascii="Times New Roman" w:hAnsi="Times New Roman" w:cs="Times New Roman"/>
          <w:spacing w:val="-3"/>
        </w:rPr>
        <w:tab/>
        <w:t xml:space="preserve">Because the risks that the Commission monitors in the operation of an alternative trading system occur in any size business, the Commission has determined that </w:t>
      </w:r>
      <w:r w:rsidRPr="00285756">
        <w:rPr>
          <w:rFonts w:ascii="Times New Roman" w:hAnsi="Times New Roman" w:cs="Times New Roman"/>
        </w:rPr>
        <w:t>Rule</w:t>
      </w:r>
      <w:r w:rsidR="00A4097E" w:rsidRPr="00285756">
        <w:rPr>
          <w:rFonts w:ascii="Times New Roman" w:hAnsi="Times New Roman" w:cs="Times New Roman"/>
        </w:rPr>
        <w:t>s</w:t>
      </w:r>
      <w:r w:rsidRPr="00285756">
        <w:rPr>
          <w:rFonts w:ascii="Times New Roman" w:hAnsi="Times New Roman" w:cs="Times New Roman"/>
        </w:rPr>
        <w:t xml:space="preserve"> 301</w:t>
      </w:r>
      <w:r w:rsidR="00A4097E" w:rsidRPr="00285756">
        <w:rPr>
          <w:rFonts w:ascii="Times New Roman" w:hAnsi="Times New Roman" w:cs="Times New Roman"/>
        </w:rPr>
        <w:t xml:space="preserve"> and 304</w:t>
      </w:r>
      <w:r w:rsidRPr="00285756">
        <w:rPr>
          <w:rFonts w:ascii="Times New Roman" w:hAnsi="Times New Roman" w:cs="Times New Roman"/>
          <w:spacing w:val="-3"/>
        </w:rPr>
        <w:t xml:space="preserve"> must apply in the same manner to small as well as large entities.  Hence, </w:t>
      </w:r>
      <w:r w:rsidRPr="00285756">
        <w:rPr>
          <w:rFonts w:ascii="Times New Roman" w:hAnsi="Times New Roman" w:cs="Times New Roman"/>
        </w:rPr>
        <w:t>Rule</w:t>
      </w:r>
      <w:r w:rsidR="00A4097E" w:rsidRPr="00285756">
        <w:rPr>
          <w:rFonts w:ascii="Times New Roman" w:hAnsi="Times New Roman" w:cs="Times New Roman"/>
        </w:rPr>
        <w:t>s</w:t>
      </w:r>
      <w:r w:rsidRPr="00285756">
        <w:rPr>
          <w:rFonts w:ascii="Times New Roman" w:hAnsi="Times New Roman" w:cs="Times New Roman"/>
        </w:rPr>
        <w:t xml:space="preserve"> 301</w:t>
      </w:r>
      <w:r w:rsidR="00A4097E" w:rsidRPr="00285756">
        <w:rPr>
          <w:rFonts w:ascii="Times New Roman" w:hAnsi="Times New Roman" w:cs="Times New Roman"/>
        </w:rPr>
        <w:t xml:space="preserve"> and 304</w:t>
      </w:r>
      <w:r w:rsidRPr="00285756">
        <w:rPr>
          <w:rFonts w:ascii="Times New Roman" w:hAnsi="Times New Roman" w:cs="Times New Roman"/>
        </w:rPr>
        <w:t xml:space="preserve"> </w:t>
      </w:r>
      <w:r w:rsidRPr="00285756">
        <w:rPr>
          <w:rFonts w:ascii="Times New Roman" w:hAnsi="Times New Roman" w:cs="Times New Roman"/>
          <w:spacing w:val="-3"/>
        </w:rPr>
        <w:t>do not contain an exemption for small entities.  However, the Commission notes that Regulation ATS imposes additional duties on alternative trading systems that have large volumes, which are not likely to be small entities.</w:t>
      </w:r>
    </w:p>
    <w:p w14:paraId="32668DF7" w14:textId="77777777" w:rsidR="00E90624" w:rsidRPr="00285756" w:rsidRDefault="00E90624" w:rsidP="00E90624">
      <w:pPr>
        <w:widowControl/>
        <w:tabs>
          <w:tab w:val="left" w:pos="0"/>
        </w:tabs>
        <w:suppressAutoHyphens/>
        <w:rPr>
          <w:rFonts w:ascii="Times New Roman" w:hAnsi="Times New Roman" w:cs="Times New Roman"/>
          <w:spacing w:val="-3"/>
        </w:rPr>
      </w:pPr>
    </w:p>
    <w:p w14:paraId="2361129A" w14:textId="77777777" w:rsidR="00497D86" w:rsidRPr="00285756" w:rsidRDefault="00DF0B86" w:rsidP="00E90624">
      <w:pPr>
        <w:widowControl/>
        <w:tabs>
          <w:tab w:val="left" w:pos="0"/>
        </w:tabs>
        <w:suppressAutoHyphens/>
        <w:rPr>
          <w:rFonts w:ascii="Times New Roman" w:hAnsi="Times New Roman" w:cs="Times New Roman"/>
          <w:spacing w:val="-3"/>
        </w:rPr>
      </w:pPr>
      <w:r w:rsidRPr="00285756">
        <w:rPr>
          <w:rFonts w:ascii="Times New Roman" w:hAnsi="Times New Roman" w:cs="Times New Roman"/>
          <w:spacing w:val="-3"/>
        </w:rPr>
        <w:tab/>
      </w:r>
      <w:r w:rsidR="00740E6B" w:rsidRPr="00285756">
        <w:rPr>
          <w:rFonts w:ascii="Times New Roman" w:hAnsi="Times New Roman" w:cs="Times New Roman"/>
          <w:spacing w:val="-3"/>
        </w:rPr>
        <w:t>In connection with Regulation SCI</w:t>
      </w:r>
      <w:r w:rsidRPr="00285756">
        <w:rPr>
          <w:rFonts w:ascii="Times New Roman" w:hAnsi="Times New Roman" w:cs="Times New Roman"/>
          <w:spacing w:val="-3"/>
        </w:rPr>
        <w:t xml:space="preserve">, </w:t>
      </w:r>
      <w:r w:rsidR="00AE4D6C" w:rsidRPr="00285756">
        <w:rPr>
          <w:rFonts w:ascii="Times New Roman" w:hAnsi="Times New Roman" w:cs="Times New Roman"/>
          <w:spacing w:val="-3"/>
        </w:rPr>
        <w:t xml:space="preserve">the Commission only </w:t>
      </w:r>
      <w:r w:rsidR="00AE4D6C" w:rsidRPr="00285756">
        <w:rPr>
          <w:rFonts w:ascii="Times New Roman" w:hAnsi="Times New Roman" w:cs="Times New Roman"/>
        </w:rPr>
        <w:t>amended Rule 301(b</w:t>
      </w:r>
      <w:proofErr w:type="gramStart"/>
      <w:r w:rsidR="00AE4D6C" w:rsidRPr="00285756">
        <w:rPr>
          <w:rFonts w:ascii="Times New Roman" w:hAnsi="Times New Roman" w:cs="Times New Roman"/>
        </w:rPr>
        <w:t>)(</w:t>
      </w:r>
      <w:proofErr w:type="gramEnd"/>
      <w:r w:rsidR="00AE4D6C" w:rsidRPr="00285756">
        <w:rPr>
          <w:rFonts w:ascii="Times New Roman" w:hAnsi="Times New Roman" w:cs="Times New Roman"/>
        </w:rPr>
        <w:t>6)</w:t>
      </w:r>
      <w:r w:rsidR="00AE4D6C" w:rsidRPr="00285756">
        <w:rPr>
          <w:rFonts w:ascii="Times New Roman" w:hAnsi="Times New Roman" w:cs="Times New Roman"/>
          <w:spacing w:val="-3"/>
        </w:rPr>
        <w:t xml:space="preserve"> </w:t>
      </w:r>
      <w:r w:rsidR="00AE4D6C" w:rsidRPr="00285756">
        <w:rPr>
          <w:rFonts w:ascii="Times New Roman" w:hAnsi="Times New Roman" w:cs="Times New Roman"/>
        </w:rPr>
        <w:t xml:space="preserve">so that it will no longer apply to significant-volume </w:t>
      </w:r>
      <w:r w:rsidR="00732B26" w:rsidRPr="00285756">
        <w:rPr>
          <w:rFonts w:ascii="Times New Roman" w:hAnsi="Times New Roman" w:cs="Times New Roman"/>
        </w:rPr>
        <w:t xml:space="preserve">alternative trading systems </w:t>
      </w:r>
      <w:r w:rsidR="007152D1" w:rsidRPr="00285756">
        <w:rPr>
          <w:rFonts w:ascii="Times New Roman" w:hAnsi="Times New Roman" w:cs="Times New Roman"/>
        </w:rPr>
        <w:t>that trade</w:t>
      </w:r>
      <w:r w:rsidR="00AE4D6C" w:rsidRPr="00285756">
        <w:rPr>
          <w:rFonts w:ascii="Times New Roman" w:hAnsi="Times New Roman" w:cs="Times New Roman"/>
        </w:rPr>
        <w:t xml:space="preserve"> NMS stocks and non-NMS stocks</w:t>
      </w:r>
      <w:r w:rsidR="00AE4D6C" w:rsidRPr="00285756">
        <w:rPr>
          <w:rFonts w:ascii="Times New Roman" w:hAnsi="Times New Roman" w:cs="Times New Roman"/>
          <w:spacing w:val="-3"/>
        </w:rPr>
        <w:t xml:space="preserve">.  </w:t>
      </w:r>
      <w:r w:rsidR="00E25B64" w:rsidRPr="00285756">
        <w:rPr>
          <w:rFonts w:ascii="Times New Roman" w:hAnsi="Times New Roman" w:cs="Times New Roman"/>
          <w:spacing w:val="-3"/>
        </w:rPr>
        <w:t xml:space="preserve">Because </w:t>
      </w:r>
      <w:r w:rsidR="00AE4D6C" w:rsidRPr="00285756">
        <w:rPr>
          <w:rFonts w:ascii="Times New Roman" w:hAnsi="Times New Roman" w:cs="Times New Roman"/>
          <w:spacing w:val="-3"/>
        </w:rPr>
        <w:t>significant-</w:t>
      </w:r>
      <w:r w:rsidR="00E25B64" w:rsidRPr="00285756">
        <w:rPr>
          <w:rFonts w:ascii="Times New Roman" w:hAnsi="Times New Roman" w:cs="Times New Roman"/>
          <w:spacing w:val="-3"/>
        </w:rPr>
        <w:t xml:space="preserve">volume </w:t>
      </w:r>
      <w:r w:rsidR="00732B26" w:rsidRPr="00285756">
        <w:rPr>
          <w:rFonts w:ascii="Times New Roman" w:hAnsi="Times New Roman" w:cs="Times New Roman"/>
        </w:rPr>
        <w:t>alternative trading systems</w:t>
      </w:r>
      <w:r w:rsidR="00732B26" w:rsidRPr="00285756">
        <w:rPr>
          <w:rFonts w:ascii="Times New Roman" w:hAnsi="Times New Roman" w:cs="Times New Roman"/>
          <w:spacing w:val="-3"/>
        </w:rPr>
        <w:t xml:space="preserve"> </w:t>
      </w:r>
      <w:r w:rsidR="00AE4D6C" w:rsidRPr="00285756">
        <w:rPr>
          <w:rFonts w:ascii="Times New Roman" w:hAnsi="Times New Roman" w:cs="Times New Roman"/>
          <w:spacing w:val="-3"/>
        </w:rPr>
        <w:t>subject to Rule 301(b</w:t>
      </w:r>
      <w:proofErr w:type="gramStart"/>
      <w:r w:rsidR="00AE4D6C" w:rsidRPr="00285756">
        <w:rPr>
          <w:rFonts w:ascii="Times New Roman" w:hAnsi="Times New Roman" w:cs="Times New Roman"/>
          <w:spacing w:val="-3"/>
        </w:rPr>
        <w:t>)(</w:t>
      </w:r>
      <w:proofErr w:type="gramEnd"/>
      <w:r w:rsidR="00AE4D6C" w:rsidRPr="00285756">
        <w:rPr>
          <w:rFonts w:ascii="Times New Roman" w:hAnsi="Times New Roman" w:cs="Times New Roman"/>
          <w:spacing w:val="-3"/>
        </w:rPr>
        <w:t>6)</w:t>
      </w:r>
      <w:r w:rsidR="00E25B64" w:rsidRPr="00285756">
        <w:rPr>
          <w:rFonts w:ascii="Times New Roman" w:hAnsi="Times New Roman" w:cs="Times New Roman"/>
          <w:spacing w:val="-3"/>
        </w:rPr>
        <w:t xml:space="preserve"> are </w:t>
      </w:r>
      <w:r w:rsidR="00AE4D6C" w:rsidRPr="00285756">
        <w:rPr>
          <w:rFonts w:ascii="Times New Roman" w:hAnsi="Times New Roman" w:cs="Times New Roman"/>
          <w:spacing w:val="-3"/>
        </w:rPr>
        <w:t xml:space="preserve">not </w:t>
      </w:r>
      <w:r w:rsidR="00E25B64" w:rsidRPr="00285756">
        <w:rPr>
          <w:rFonts w:ascii="Times New Roman" w:hAnsi="Times New Roman" w:cs="Times New Roman"/>
          <w:spacing w:val="-3"/>
        </w:rPr>
        <w:t xml:space="preserve">likely to be small entities, </w:t>
      </w:r>
      <w:r w:rsidR="00AE4D6C" w:rsidRPr="00285756">
        <w:rPr>
          <w:rFonts w:ascii="Times New Roman" w:hAnsi="Times New Roman" w:cs="Times New Roman"/>
          <w:spacing w:val="-3"/>
        </w:rPr>
        <w:t>the amendments to Rule 301(b)(6)</w:t>
      </w:r>
      <w:r w:rsidR="00E25B64" w:rsidRPr="00285756">
        <w:rPr>
          <w:rFonts w:ascii="Times New Roman" w:hAnsi="Times New Roman" w:cs="Times New Roman"/>
          <w:spacing w:val="-3"/>
        </w:rPr>
        <w:t xml:space="preserve"> </w:t>
      </w:r>
      <w:r w:rsidR="00391EF6" w:rsidRPr="00285756">
        <w:rPr>
          <w:rFonts w:ascii="Times New Roman" w:hAnsi="Times New Roman" w:cs="Times New Roman"/>
          <w:spacing w:val="-3"/>
        </w:rPr>
        <w:t xml:space="preserve">would </w:t>
      </w:r>
      <w:r w:rsidR="00B83F8A" w:rsidRPr="00285756">
        <w:rPr>
          <w:rFonts w:ascii="Times New Roman" w:hAnsi="Times New Roman" w:cs="Times New Roman"/>
          <w:spacing w:val="-3"/>
        </w:rPr>
        <w:t xml:space="preserve">likely </w:t>
      </w:r>
      <w:r w:rsidR="00391EF6" w:rsidRPr="00285756">
        <w:rPr>
          <w:rFonts w:ascii="Times New Roman" w:hAnsi="Times New Roman" w:cs="Times New Roman"/>
          <w:spacing w:val="-3"/>
        </w:rPr>
        <w:t xml:space="preserve">have no </w:t>
      </w:r>
      <w:r w:rsidR="00E25B64" w:rsidRPr="00285756">
        <w:rPr>
          <w:rFonts w:ascii="Times New Roman" w:hAnsi="Times New Roman" w:cs="Times New Roman"/>
          <w:spacing w:val="-3"/>
        </w:rPr>
        <w:t>effect on small entities.</w:t>
      </w:r>
      <w:r w:rsidR="00506790" w:rsidRPr="00285756">
        <w:rPr>
          <w:rFonts w:ascii="Times New Roman" w:hAnsi="Times New Roman" w:cs="Times New Roman"/>
          <w:spacing w:val="-3"/>
        </w:rPr>
        <w:t xml:space="preserve"> </w:t>
      </w:r>
      <w:r w:rsidR="00E93A20" w:rsidRPr="00285756">
        <w:rPr>
          <w:rFonts w:ascii="Times New Roman" w:hAnsi="Times New Roman" w:cs="Times New Roman"/>
          <w:spacing w:val="-3"/>
        </w:rPr>
        <w:t xml:space="preserve"> </w:t>
      </w:r>
    </w:p>
    <w:p w14:paraId="5E135790" w14:textId="77777777" w:rsidR="00497D86" w:rsidRPr="00285756" w:rsidRDefault="00497D86" w:rsidP="005C1590">
      <w:pPr>
        <w:widowControl/>
        <w:tabs>
          <w:tab w:val="left" w:pos="0"/>
        </w:tabs>
        <w:suppressAutoHyphens/>
        <w:rPr>
          <w:rFonts w:ascii="Times New Roman" w:hAnsi="Times New Roman" w:cs="Times New Roman"/>
          <w:spacing w:val="-3"/>
          <w:highlight w:val="yellow"/>
        </w:rPr>
      </w:pPr>
    </w:p>
    <w:p w14:paraId="2713234E" w14:textId="77777777" w:rsidR="00497D86" w:rsidRPr="00285756" w:rsidRDefault="00DD3AA7" w:rsidP="005C1590">
      <w:pPr>
        <w:widowControl/>
        <w:tabs>
          <w:tab w:val="left" w:pos="0"/>
        </w:tabs>
        <w:suppressAutoHyphens/>
        <w:rPr>
          <w:rFonts w:ascii="Times New Roman" w:hAnsi="Times New Roman" w:cs="Times New Roman"/>
          <w:b/>
          <w:spacing w:val="-3"/>
        </w:rPr>
      </w:pPr>
      <w:r w:rsidRPr="00285756">
        <w:rPr>
          <w:rFonts w:ascii="Times New Roman" w:hAnsi="Times New Roman" w:cs="Times New Roman"/>
          <w:b/>
          <w:spacing w:val="-3"/>
        </w:rPr>
        <w:tab/>
        <w:t>6.</w:t>
      </w:r>
      <w:r w:rsidRPr="00285756">
        <w:rPr>
          <w:rFonts w:ascii="Times New Roman" w:hAnsi="Times New Roman" w:cs="Times New Roman"/>
          <w:b/>
          <w:spacing w:val="-3"/>
        </w:rPr>
        <w:tab/>
        <w:t xml:space="preserve">Consequences of </w:t>
      </w:r>
      <w:r w:rsidR="001D39E9" w:rsidRPr="00285756">
        <w:rPr>
          <w:rFonts w:ascii="Times New Roman" w:hAnsi="Times New Roman" w:cs="Times New Roman"/>
          <w:b/>
          <w:spacing w:val="-3"/>
        </w:rPr>
        <w:t xml:space="preserve">Not Conducting </w:t>
      </w:r>
      <w:r w:rsidRPr="00285756">
        <w:rPr>
          <w:rFonts w:ascii="Times New Roman" w:hAnsi="Times New Roman" w:cs="Times New Roman"/>
          <w:b/>
          <w:spacing w:val="-3"/>
        </w:rPr>
        <w:t>Collection</w:t>
      </w:r>
    </w:p>
    <w:p w14:paraId="243E21B5" w14:textId="77777777" w:rsidR="00497D86" w:rsidRPr="00285756" w:rsidRDefault="00DA6CB9" w:rsidP="005C1590">
      <w:pPr>
        <w:widowControl/>
        <w:tabs>
          <w:tab w:val="left" w:pos="0"/>
          <w:tab w:val="left" w:pos="2959"/>
        </w:tabs>
        <w:suppressAutoHyphens/>
        <w:rPr>
          <w:rFonts w:ascii="Times New Roman" w:hAnsi="Times New Roman" w:cs="Times New Roman"/>
          <w:spacing w:val="-3"/>
        </w:rPr>
      </w:pPr>
      <w:r w:rsidRPr="00285756">
        <w:rPr>
          <w:rFonts w:ascii="Times New Roman" w:hAnsi="Times New Roman" w:cs="Times New Roman"/>
          <w:spacing w:val="-3"/>
        </w:rPr>
        <w:tab/>
      </w:r>
    </w:p>
    <w:p w14:paraId="7E9FE355" w14:textId="7323672D" w:rsidR="003E648F" w:rsidRPr="00285756" w:rsidRDefault="00DD3AA7" w:rsidP="005C1590">
      <w:pPr>
        <w:widowControl/>
        <w:tabs>
          <w:tab w:val="left" w:pos="0"/>
        </w:tabs>
        <w:suppressAutoHyphens/>
        <w:rPr>
          <w:rFonts w:ascii="Times New Roman" w:hAnsi="Times New Roman" w:cs="Times New Roman"/>
          <w:spacing w:val="-3"/>
        </w:rPr>
      </w:pPr>
      <w:r w:rsidRPr="00285756">
        <w:rPr>
          <w:rFonts w:ascii="Times New Roman" w:hAnsi="Times New Roman" w:cs="Times New Roman"/>
          <w:spacing w:val="-3"/>
        </w:rPr>
        <w:tab/>
      </w:r>
      <w:r w:rsidR="00726C09" w:rsidRPr="00285756">
        <w:rPr>
          <w:rFonts w:ascii="Times New Roman" w:hAnsi="Times New Roman" w:cs="Times New Roman"/>
        </w:rPr>
        <w:t>Without the information provided on Forms ATS</w:t>
      </w:r>
      <w:r w:rsidR="00A4097E" w:rsidRPr="00285756">
        <w:rPr>
          <w:rFonts w:ascii="Times New Roman" w:hAnsi="Times New Roman" w:cs="Times New Roman"/>
        </w:rPr>
        <w:t xml:space="preserve">, </w:t>
      </w:r>
      <w:r w:rsidR="00726C09" w:rsidRPr="00285756">
        <w:rPr>
          <w:rFonts w:ascii="Times New Roman" w:hAnsi="Times New Roman" w:cs="Times New Roman"/>
        </w:rPr>
        <w:t>ATS-R,</w:t>
      </w:r>
      <w:r w:rsidR="00A4097E" w:rsidRPr="00285756">
        <w:rPr>
          <w:rFonts w:ascii="Times New Roman" w:hAnsi="Times New Roman" w:cs="Times New Roman"/>
        </w:rPr>
        <w:t xml:space="preserve"> and ATS-N,</w:t>
      </w:r>
      <w:r w:rsidR="00726C09" w:rsidRPr="00285756">
        <w:rPr>
          <w:rFonts w:ascii="Times New Roman" w:hAnsi="Times New Roman" w:cs="Times New Roman"/>
        </w:rPr>
        <w:t xml:space="preserve"> the Commission would not have readily available information on a regular basis in a format that would allow it </w:t>
      </w:r>
      <w:r w:rsidR="00740600" w:rsidRPr="00285756">
        <w:rPr>
          <w:rFonts w:ascii="Times New Roman" w:hAnsi="Times New Roman" w:cs="Times New Roman"/>
        </w:rPr>
        <w:t>to evaluate the operation of alternative trading systems with regard to national market system goals, and monitor the competitive effects of these systems to ascertain whether the regulatory framework remains appropriate to the operation of such systems.</w:t>
      </w:r>
      <w:r w:rsidR="00726C09" w:rsidRPr="00285756">
        <w:rPr>
          <w:rFonts w:ascii="Times New Roman" w:hAnsi="Times New Roman" w:cs="Times New Roman"/>
        </w:rPr>
        <w:t xml:space="preserve">  Further, in the absence of Rule 301, the Commission would not regularly obtain uniform trading data to identify areas where surveillance by self-regulatory organizations may be more appropriately tailored to the detection of fraudulent, deceptive, and manipulative practices that may be peculiar to an automated trading environment.  In sum, without the data required by Rule</w:t>
      </w:r>
      <w:r w:rsidR="00A4097E" w:rsidRPr="00285756">
        <w:rPr>
          <w:rFonts w:ascii="Times New Roman" w:hAnsi="Times New Roman" w:cs="Times New Roman"/>
        </w:rPr>
        <w:t>s</w:t>
      </w:r>
      <w:r w:rsidR="00726C09" w:rsidRPr="00285756">
        <w:rPr>
          <w:rFonts w:ascii="Times New Roman" w:hAnsi="Times New Roman" w:cs="Times New Roman"/>
        </w:rPr>
        <w:t xml:space="preserve"> 301</w:t>
      </w:r>
      <w:r w:rsidR="00A4097E" w:rsidRPr="00285756">
        <w:rPr>
          <w:rFonts w:ascii="Times New Roman" w:hAnsi="Times New Roman" w:cs="Times New Roman"/>
        </w:rPr>
        <w:t xml:space="preserve"> and 304</w:t>
      </w:r>
      <w:r w:rsidR="00726C09" w:rsidRPr="00285756">
        <w:rPr>
          <w:rFonts w:ascii="Times New Roman" w:hAnsi="Times New Roman" w:cs="Times New Roman"/>
        </w:rPr>
        <w:t>, the Commission would be severely limited in its ability to comply with its statutory obligations, provide for the protection of investors, and promote the maintenance of fair and orderly markets.</w:t>
      </w:r>
      <w:r w:rsidR="003E648F" w:rsidRPr="00285756">
        <w:rPr>
          <w:rFonts w:ascii="Times New Roman" w:hAnsi="Times New Roman" w:cs="Times New Roman"/>
          <w:spacing w:val="-3"/>
        </w:rPr>
        <w:t xml:space="preserve"> </w:t>
      </w:r>
      <w:r w:rsidR="00204681">
        <w:rPr>
          <w:rFonts w:ascii="Times New Roman" w:hAnsi="Times New Roman" w:cs="Times New Roman"/>
          <w:spacing w:val="-3"/>
        </w:rPr>
        <w:t xml:space="preserve"> </w:t>
      </w:r>
      <w:r w:rsidR="00CF3CFF">
        <w:rPr>
          <w:rFonts w:ascii="Times New Roman" w:hAnsi="Times New Roman" w:cs="Times New Roman"/>
          <w:spacing w:val="-3"/>
        </w:rPr>
        <w:t xml:space="preserve">Further, without the information provided on Form ATS-N, the public would have less information concerning NMS Stock ATSs available to them when selecting a trading venue.  </w:t>
      </w:r>
      <w:r w:rsidR="00204681">
        <w:rPr>
          <w:rFonts w:ascii="Times New Roman" w:hAnsi="Times New Roman" w:cs="Times New Roman"/>
          <w:spacing w:val="-3"/>
        </w:rPr>
        <w:t xml:space="preserve">In addition, </w:t>
      </w:r>
      <w:r w:rsidR="001B3953" w:rsidRPr="00E858AC">
        <w:rPr>
          <w:rFonts w:ascii="Times New Roman" w:hAnsi="Times New Roman" w:cs="Times New Roman"/>
        </w:rPr>
        <w:t>requiring a</w:t>
      </w:r>
      <w:r w:rsidR="001B3953">
        <w:rPr>
          <w:rFonts w:ascii="Times New Roman" w:hAnsi="Times New Roman" w:cs="Times New Roman"/>
        </w:rPr>
        <w:t>n ATS to reduce to writing the</w:t>
      </w:r>
      <w:r w:rsidR="001B3953" w:rsidRPr="00E858AC">
        <w:rPr>
          <w:rFonts w:ascii="Times New Roman" w:hAnsi="Times New Roman" w:cs="Times New Roman"/>
        </w:rPr>
        <w:t xml:space="preserve"> safeguards and procedures</w:t>
      </w:r>
      <w:r w:rsidR="001B3953">
        <w:rPr>
          <w:rFonts w:ascii="Times New Roman" w:hAnsi="Times New Roman" w:cs="Times New Roman"/>
        </w:rPr>
        <w:t xml:space="preserve"> required by Rule 301(b</w:t>
      </w:r>
      <w:proofErr w:type="gramStart"/>
      <w:r w:rsidR="001B3953">
        <w:rPr>
          <w:rFonts w:ascii="Times New Roman" w:hAnsi="Times New Roman" w:cs="Times New Roman"/>
        </w:rPr>
        <w:t>)(</w:t>
      </w:r>
      <w:proofErr w:type="gramEnd"/>
      <w:r w:rsidR="001B3953">
        <w:rPr>
          <w:rFonts w:ascii="Times New Roman" w:hAnsi="Times New Roman" w:cs="Times New Roman"/>
        </w:rPr>
        <w:t>10)</w:t>
      </w:r>
      <w:r w:rsidR="001B3953" w:rsidRPr="00E858AC">
        <w:rPr>
          <w:rFonts w:ascii="Times New Roman" w:hAnsi="Times New Roman" w:cs="Times New Roman"/>
        </w:rPr>
        <w:t xml:space="preserve">, as well as its oversight procedures to ensure that such safeguards and procedures are followed, would strengthen the effectiveness of the ATS’s safeguards and procedures and would better enable the ATS to </w:t>
      </w:r>
      <w:r w:rsidR="001B3953" w:rsidRPr="00E858AC">
        <w:rPr>
          <w:rFonts w:ascii="Times New Roman" w:eastAsia="Calibri" w:hAnsi="Times New Roman" w:cs="Times New Roman"/>
        </w:rPr>
        <w:t xml:space="preserve">protect confidential subscriber trading information and </w:t>
      </w:r>
      <w:r w:rsidR="001B3953" w:rsidRPr="00E858AC">
        <w:rPr>
          <w:rFonts w:ascii="Times New Roman" w:hAnsi="Times New Roman" w:cs="Times New Roman"/>
        </w:rPr>
        <w:t xml:space="preserve">implement and monitor the adequacy of, and the ATS’s compliance with, its safeguards and procedures.  </w:t>
      </w:r>
    </w:p>
    <w:p w14:paraId="56E13820" w14:textId="77777777" w:rsidR="00A6725E" w:rsidRPr="00285756" w:rsidRDefault="00A6725E" w:rsidP="005C1590">
      <w:pPr>
        <w:widowControl/>
        <w:tabs>
          <w:tab w:val="left" w:pos="0"/>
        </w:tabs>
        <w:suppressAutoHyphens/>
        <w:rPr>
          <w:rFonts w:ascii="Times New Roman" w:hAnsi="Times New Roman" w:cs="Times New Roman"/>
          <w:spacing w:val="-3"/>
        </w:rPr>
      </w:pPr>
    </w:p>
    <w:p w14:paraId="19331465" w14:textId="77777777" w:rsidR="00497D86" w:rsidRPr="00285756" w:rsidRDefault="003E648F" w:rsidP="005C1590">
      <w:pPr>
        <w:widowControl/>
        <w:tabs>
          <w:tab w:val="left" w:pos="0"/>
        </w:tabs>
        <w:suppressAutoHyphens/>
        <w:rPr>
          <w:rFonts w:ascii="Times New Roman" w:hAnsi="Times New Roman" w:cs="Times New Roman"/>
          <w:spacing w:val="-3"/>
        </w:rPr>
      </w:pPr>
      <w:r w:rsidRPr="00285756">
        <w:rPr>
          <w:rFonts w:ascii="Times New Roman" w:hAnsi="Times New Roman" w:cs="Times New Roman"/>
          <w:spacing w:val="-3"/>
        </w:rPr>
        <w:tab/>
      </w:r>
      <w:r w:rsidR="009C63C9" w:rsidRPr="00285756">
        <w:rPr>
          <w:rFonts w:ascii="Times New Roman" w:hAnsi="Times New Roman" w:cs="Times New Roman"/>
          <w:spacing w:val="-3"/>
        </w:rPr>
        <w:t>In connection with Regulation SCI</w:t>
      </w:r>
      <w:r w:rsidRPr="00285756">
        <w:rPr>
          <w:rFonts w:ascii="Times New Roman" w:hAnsi="Times New Roman" w:cs="Times New Roman"/>
          <w:spacing w:val="-3"/>
        </w:rPr>
        <w:t>, t</w:t>
      </w:r>
      <w:r w:rsidR="00DA6CB9" w:rsidRPr="00285756">
        <w:rPr>
          <w:rFonts w:ascii="Times New Roman" w:hAnsi="Times New Roman" w:cs="Times New Roman"/>
          <w:spacing w:val="-3"/>
        </w:rPr>
        <w:t>he</w:t>
      </w:r>
      <w:r w:rsidR="00C7511D" w:rsidRPr="00285756">
        <w:rPr>
          <w:rFonts w:ascii="Times New Roman" w:hAnsi="Times New Roman" w:cs="Times New Roman"/>
          <w:spacing w:val="-3"/>
        </w:rPr>
        <w:t xml:space="preserve"> </w:t>
      </w:r>
      <w:r w:rsidR="00DA6CB9" w:rsidRPr="00285756">
        <w:rPr>
          <w:rFonts w:ascii="Times New Roman" w:hAnsi="Times New Roman" w:cs="Times New Roman"/>
          <w:spacing w:val="-3"/>
        </w:rPr>
        <w:t xml:space="preserve">failure to </w:t>
      </w:r>
      <w:r w:rsidR="0048125F" w:rsidRPr="00285756">
        <w:rPr>
          <w:rFonts w:ascii="Times New Roman" w:hAnsi="Times New Roman" w:cs="Times New Roman"/>
          <w:spacing w:val="-3"/>
        </w:rPr>
        <w:t>remove</w:t>
      </w:r>
      <w:r w:rsidR="00C75A3E" w:rsidRPr="00285756">
        <w:rPr>
          <w:rFonts w:ascii="Times New Roman" w:hAnsi="Times New Roman" w:cs="Times New Roman"/>
          <w:spacing w:val="-3"/>
        </w:rPr>
        <w:t xml:space="preserve"> </w:t>
      </w:r>
      <w:r w:rsidR="00391EF6" w:rsidRPr="00285756">
        <w:rPr>
          <w:rFonts w:ascii="Times New Roman" w:hAnsi="Times New Roman" w:cs="Times New Roman"/>
          <w:spacing w:val="-3"/>
        </w:rPr>
        <w:t xml:space="preserve">significant-volume </w:t>
      </w:r>
      <w:r w:rsidR="008334A2" w:rsidRPr="00285756">
        <w:rPr>
          <w:rFonts w:ascii="Times New Roman" w:hAnsi="Times New Roman" w:cs="Times New Roman"/>
        </w:rPr>
        <w:t>alternative trading systems</w:t>
      </w:r>
      <w:r w:rsidR="008334A2" w:rsidRPr="00285756">
        <w:rPr>
          <w:rFonts w:ascii="Times New Roman" w:hAnsi="Times New Roman" w:cs="Times New Roman"/>
          <w:spacing w:val="-3"/>
        </w:rPr>
        <w:t xml:space="preserve"> </w:t>
      </w:r>
      <w:r w:rsidR="00391EF6" w:rsidRPr="00285756">
        <w:rPr>
          <w:rFonts w:ascii="Times New Roman" w:hAnsi="Times New Roman" w:cs="Times New Roman"/>
          <w:spacing w:val="-3"/>
        </w:rPr>
        <w:t xml:space="preserve">that trade NMS stocks and non-NMS stocks from the </w:t>
      </w:r>
      <w:r w:rsidR="001A781D" w:rsidRPr="00285756">
        <w:rPr>
          <w:rFonts w:ascii="Times New Roman" w:hAnsi="Times New Roman" w:cs="Times New Roman"/>
          <w:spacing w:val="-3"/>
        </w:rPr>
        <w:t xml:space="preserve">requirements of Rule 301(b)(6) </w:t>
      </w:r>
      <w:r w:rsidR="00DA6CB9" w:rsidRPr="00285756">
        <w:rPr>
          <w:rFonts w:ascii="Times New Roman" w:hAnsi="Times New Roman" w:cs="Times New Roman"/>
          <w:spacing w:val="-3"/>
        </w:rPr>
        <w:t xml:space="preserve">would result in duplicative requirements for certain </w:t>
      </w:r>
      <w:r w:rsidR="00602460" w:rsidRPr="00285756">
        <w:rPr>
          <w:rFonts w:ascii="Times New Roman" w:hAnsi="Times New Roman" w:cs="Times New Roman"/>
          <w:spacing w:val="-3"/>
        </w:rPr>
        <w:t>alternative trading systems</w:t>
      </w:r>
      <w:r w:rsidR="00DA6CB9" w:rsidRPr="00285756">
        <w:rPr>
          <w:rFonts w:ascii="Times New Roman" w:hAnsi="Times New Roman" w:cs="Times New Roman"/>
          <w:spacing w:val="-3"/>
        </w:rPr>
        <w:t>.</w:t>
      </w:r>
    </w:p>
    <w:p w14:paraId="57A22854" w14:textId="77777777" w:rsidR="00497D86" w:rsidRPr="00285756" w:rsidRDefault="00497D86" w:rsidP="005C1590">
      <w:pPr>
        <w:widowControl/>
        <w:tabs>
          <w:tab w:val="left" w:pos="0"/>
        </w:tabs>
        <w:suppressAutoHyphens/>
        <w:rPr>
          <w:rFonts w:ascii="Times New Roman" w:hAnsi="Times New Roman" w:cs="Times New Roman"/>
          <w:spacing w:val="-3"/>
          <w:highlight w:val="yellow"/>
        </w:rPr>
      </w:pPr>
    </w:p>
    <w:p w14:paraId="02F1FCDB" w14:textId="77777777" w:rsidR="00497D86" w:rsidRPr="00285756" w:rsidRDefault="00DD3AA7" w:rsidP="005C1590">
      <w:pPr>
        <w:widowControl/>
        <w:tabs>
          <w:tab w:val="left" w:pos="0"/>
        </w:tabs>
        <w:suppressAutoHyphens/>
        <w:rPr>
          <w:rFonts w:ascii="Times New Roman" w:hAnsi="Times New Roman" w:cs="Times New Roman"/>
          <w:b/>
          <w:spacing w:val="-3"/>
        </w:rPr>
      </w:pPr>
      <w:r w:rsidRPr="00285756">
        <w:rPr>
          <w:rFonts w:ascii="Times New Roman" w:hAnsi="Times New Roman" w:cs="Times New Roman"/>
          <w:b/>
          <w:spacing w:val="-3"/>
        </w:rPr>
        <w:tab/>
        <w:t>7.</w:t>
      </w:r>
      <w:r w:rsidRPr="00285756">
        <w:rPr>
          <w:rFonts w:ascii="Times New Roman" w:hAnsi="Times New Roman" w:cs="Times New Roman"/>
          <w:b/>
          <w:spacing w:val="-3"/>
        </w:rPr>
        <w:tab/>
        <w:t>Inconsistencies with Guidelines in 5 CFR 1320.5(d</w:t>
      </w:r>
      <w:proofErr w:type="gramStart"/>
      <w:r w:rsidRPr="00285756">
        <w:rPr>
          <w:rFonts w:ascii="Times New Roman" w:hAnsi="Times New Roman" w:cs="Times New Roman"/>
          <w:b/>
          <w:spacing w:val="-3"/>
        </w:rPr>
        <w:t>)(</w:t>
      </w:r>
      <w:proofErr w:type="gramEnd"/>
      <w:r w:rsidRPr="00285756">
        <w:rPr>
          <w:rFonts w:ascii="Times New Roman" w:hAnsi="Times New Roman" w:cs="Times New Roman"/>
          <w:b/>
          <w:spacing w:val="-3"/>
        </w:rPr>
        <w:t>2)</w:t>
      </w:r>
    </w:p>
    <w:p w14:paraId="187E04F9" w14:textId="77777777" w:rsidR="00497D86" w:rsidRPr="00285756" w:rsidRDefault="00497D86" w:rsidP="005C1590">
      <w:pPr>
        <w:widowControl/>
        <w:tabs>
          <w:tab w:val="left" w:pos="0"/>
        </w:tabs>
        <w:suppressAutoHyphens/>
        <w:rPr>
          <w:rFonts w:ascii="Times New Roman" w:hAnsi="Times New Roman" w:cs="Times New Roman"/>
          <w:spacing w:val="-3"/>
        </w:rPr>
      </w:pPr>
    </w:p>
    <w:p w14:paraId="22ED4C83" w14:textId="0A69D4CA" w:rsidR="008A7535" w:rsidRPr="00285756" w:rsidRDefault="00DD3AA7" w:rsidP="005C1590">
      <w:pPr>
        <w:widowControl/>
        <w:tabs>
          <w:tab w:val="left" w:pos="0"/>
        </w:tabs>
        <w:suppressAutoHyphens/>
        <w:rPr>
          <w:rFonts w:ascii="Times New Roman" w:hAnsi="Times New Roman" w:cs="Times New Roman"/>
          <w:spacing w:val="-3"/>
        </w:rPr>
      </w:pPr>
      <w:r w:rsidRPr="00285756">
        <w:rPr>
          <w:rFonts w:ascii="Times New Roman" w:hAnsi="Times New Roman" w:cs="Times New Roman"/>
          <w:spacing w:val="-3"/>
        </w:rPr>
        <w:lastRenderedPageBreak/>
        <w:tab/>
      </w:r>
      <w:r w:rsidR="00187B27" w:rsidRPr="00285756">
        <w:rPr>
          <w:rFonts w:ascii="Times New Roman" w:hAnsi="Times New Roman" w:cs="Times New Roman"/>
          <w:spacing w:val="-3"/>
        </w:rPr>
        <w:t>There are no special circumstances.  This collection is consistent with the guidelines in</w:t>
      </w:r>
      <w:r w:rsidRPr="00285756">
        <w:rPr>
          <w:rFonts w:ascii="Times New Roman" w:hAnsi="Times New Roman" w:cs="Times New Roman"/>
          <w:spacing w:val="-3"/>
        </w:rPr>
        <w:t xml:space="preserve"> 5 CFR 1320.5(d</w:t>
      </w:r>
      <w:proofErr w:type="gramStart"/>
      <w:r w:rsidRPr="00285756">
        <w:rPr>
          <w:rFonts w:ascii="Times New Roman" w:hAnsi="Times New Roman" w:cs="Times New Roman"/>
          <w:spacing w:val="-3"/>
        </w:rPr>
        <w:t>)(</w:t>
      </w:r>
      <w:proofErr w:type="gramEnd"/>
      <w:r w:rsidRPr="00285756">
        <w:rPr>
          <w:rFonts w:ascii="Times New Roman" w:hAnsi="Times New Roman" w:cs="Times New Roman"/>
          <w:spacing w:val="-3"/>
        </w:rPr>
        <w:t xml:space="preserve">2). </w:t>
      </w:r>
      <w:r w:rsidR="00D35A02" w:rsidRPr="00285756">
        <w:rPr>
          <w:rFonts w:ascii="Times New Roman" w:hAnsi="Times New Roman" w:cs="Times New Roman"/>
          <w:spacing w:val="-3"/>
        </w:rPr>
        <w:t xml:space="preserve"> </w:t>
      </w:r>
    </w:p>
    <w:p w14:paraId="2BD2108C" w14:textId="77777777" w:rsidR="00497D86" w:rsidRPr="001D4B88" w:rsidRDefault="00497D86" w:rsidP="005C1590">
      <w:pPr>
        <w:widowControl/>
        <w:tabs>
          <w:tab w:val="left" w:pos="0"/>
        </w:tabs>
        <w:suppressAutoHyphens/>
        <w:rPr>
          <w:rFonts w:ascii="Times New Roman" w:hAnsi="Times New Roman" w:cs="Times New Roman"/>
          <w:spacing w:val="-3"/>
        </w:rPr>
      </w:pPr>
    </w:p>
    <w:p w14:paraId="34D1A06E" w14:textId="77777777" w:rsidR="00497D86" w:rsidRPr="00285756" w:rsidRDefault="00DD3AA7" w:rsidP="005C1590">
      <w:pPr>
        <w:widowControl/>
        <w:tabs>
          <w:tab w:val="left" w:pos="0"/>
        </w:tabs>
        <w:suppressAutoHyphens/>
        <w:rPr>
          <w:rFonts w:ascii="Times New Roman" w:hAnsi="Times New Roman" w:cs="Times New Roman"/>
          <w:b/>
          <w:spacing w:val="-3"/>
        </w:rPr>
      </w:pPr>
      <w:r w:rsidRPr="00285756">
        <w:rPr>
          <w:rFonts w:ascii="Times New Roman" w:hAnsi="Times New Roman" w:cs="Times New Roman"/>
          <w:b/>
          <w:spacing w:val="-3"/>
        </w:rPr>
        <w:tab/>
        <w:t>8.</w:t>
      </w:r>
      <w:r w:rsidRPr="00285756">
        <w:rPr>
          <w:rFonts w:ascii="Times New Roman" w:hAnsi="Times New Roman" w:cs="Times New Roman"/>
          <w:b/>
          <w:spacing w:val="-3"/>
        </w:rPr>
        <w:tab/>
        <w:t xml:space="preserve">Consultations </w:t>
      </w:r>
      <w:proofErr w:type="gramStart"/>
      <w:r w:rsidRPr="00285756">
        <w:rPr>
          <w:rFonts w:ascii="Times New Roman" w:hAnsi="Times New Roman" w:cs="Times New Roman"/>
          <w:b/>
          <w:spacing w:val="-3"/>
        </w:rPr>
        <w:t>Outside</w:t>
      </w:r>
      <w:proofErr w:type="gramEnd"/>
      <w:r w:rsidRPr="00285756">
        <w:rPr>
          <w:rFonts w:ascii="Times New Roman" w:hAnsi="Times New Roman" w:cs="Times New Roman"/>
          <w:b/>
          <w:spacing w:val="-3"/>
        </w:rPr>
        <w:t xml:space="preserve"> the Agency</w:t>
      </w:r>
    </w:p>
    <w:p w14:paraId="69046012" w14:textId="77777777" w:rsidR="00497D86" w:rsidRPr="00285756" w:rsidRDefault="00497D86" w:rsidP="005C1590">
      <w:pPr>
        <w:widowControl/>
        <w:tabs>
          <w:tab w:val="left" w:pos="0"/>
        </w:tabs>
        <w:suppressAutoHyphens/>
        <w:rPr>
          <w:rFonts w:ascii="Times New Roman" w:hAnsi="Times New Roman" w:cs="Times New Roman"/>
          <w:spacing w:val="-3"/>
        </w:rPr>
      </w:pPr>
    </w:p>
    <w:p w14:paraId="67E670A6" w14:textId="0D3552D6" w:rsidR="00497D86" w:rsidRPr="00285756" w:rsidRDefault="0030623A" w:rsidP="005C1590">
      <w:pPr>
        <w:widowControl/>
        <w:rPr>
          <w:rFonts w:ascii="Times New Roman" w:hAnsi="Times New Roman" w:cs="Times New Roman"/>
          <w:spacing w:val="-3"/>
        </w:rPr>
      </w:pPr>
      <w:r w:rsidRPr="00285756">
        <w:rPr>
          <w:rFonts w:ascii="Times New Roman" w:hAnsi="Times New Roman" w:cs="Times New Roman"/>
        </w:rPr>
        <w:tab/>
      </w:r>
      <w:r w:rsidR="00212B5D" w:rsidRPr="004357A7">
        <w:rPr>
          <w:rFonts w:ascii="Times New Roman" w:hAnsi="Times New Roman" w:cs="Times New Roman"/>
        </w:rPr>
        <w:t xml:space="preserve"> The Commission has issued a release soliciting comment on the new “collection of information” requirements and associated paperwork burdens.  A copy of the release is attached.  Comments on Commission releases are generally received from registrants, investors, and other market participants.  In addition, the Commission and staff participate in ongoing dialogue with representatives of various market participants through public conferences, meetings and informal exchanges.  Any comments received on this proposed rulemaking will be posted on the Commission’s public website, and made available through </w:t>
      </w:r>
      <w:hyperlink r:id="rId9" w:history="1">
        <w:r w:rsidR="00212B5D" w:rsidRPr="004357A7">
          <w:rPr>
            <w:rStyle w:val="Hyperlink"/>
            <w:rFonts w:ascii="Times New Roman" w:hAnsi="Times New Roman"/>
          </w:rPr>
          <w:t>http://www.sec.gov/rules/proposed.shtml</w:t>
        </w:r>
      </w:hyperlink>
      <w:r w:rsidR="00212B5D" w:rsidRPr="004357A7">
        <w:rPr>
          <w:rFonts w:ascii="Times New Roman" w:hAnsi="Times New Roman" w:cs="Times New Roman"/>
        </w:rPr>
        <w:t>. The Commission will consider all comments received prior to publishing the final rule, and will explain in any adopting release how the final rule responds to such comments, in accordance with 5 C.F.R. 1320.11(f).</w:t>
      </w:r>
      <w:r w:rsidR="00C75A3E" w:rsidRPr="00285756">
        <w:rPr>
          <w:rFonts w:ascii="Times New Roman" w:hAnsi="Times New Roman" w:cs="Times New Roman"/>
        </w:rPr>
        <w:t xml:space="preserve">  </w:t>
      </w:r>
      <w:r w:rsidR="005A6037" w:rsidRPr="00285756">
        <w:rPr>
          <w:rFonts w:ascii="Times New Roman" w:hAnsi="Times New Roman" w:cs="Times New Roman"/>
        </w:rPr>
        <w:t xml:space="preserve">  </w:t>
      </w:r>
    </w:p>
    <w:p w14:paraId="0E7C6F8B" w14:textId="77777777" w:rsidR="00497D86" w:rsidRPr="001D4B88" w:rsidRDefault="00497D86" w:rsidP="005C1590">
      <w:pPr>
        <w:widowControl/>
        <w:tabs>
          <w:tab w:val="left" w:pos="0"/>
        </w:tabs>
        <w:suppressAutoHyphens/>
        <w:rPr>
          <w:rFonts w:ascii="Times New Roman" w:hAnsi="Times New Roman" w:cs="Times New Roman"/>
          <w:spacing w:val="-3"/>
        </w:rPr>
      </w:pPr>
    </w:p>
    <w:p w14:paraId="56CFD5CD" w14:textId="77777777" w:rsidR="00497D86" w:rsidRPr="00285756" w:rsidRDefault="00DD3AA7" w:rsidP="005C1590">
      <w:pPr>
        <w:widowControl/>
        <w:tabs>
          <w:tab w:val="left" w:pos="0"/>
        </w:tabs>
        <w:suppressAutoHyphens/>
        <w:rPr>
          <w:rFonts w:ascii="Times New Roman" w:hAnsi="Times New Roman" w:cs="Times New Roman"/>
          <w:b/>
          <w:spacing w:val="-3"/>
        </w:rPr>
      </w:pPr>
      <w:r w:rsidRPr="00285756">
        <w:rPr>
          <w:rFonts w:ascii="Times New Roman" w:hAnsi="Times New Roman" w:cs="Times New Roman"/>
          <w:b/>
          <w:spacing w:val="-3"/>
        </w:rPr>
        <w:tab/>
        <w:t>9.</w:t>
      </w:r>
      <w:r w:rsidRPr="00285756">
        <w:rPr>
          <w:rFonts w:ascii="Times New Roman" w:hAnsi="Times New Roman" w:cs="Times New Roman"/>
          <w:b/>
          <w:spacing w:val="-3"/>
        </w:rPr>
        <w:tab/>
      </w:r>
      <w:r w:rsidR="009F5BBA" w:rsidRPr="00285756">
        <w:rPr>
          <w:rFonts w:ascii="Times New Roman" w:hAnsi="Times New Roman" w:cs="Times New Roman"/>
          <w:b/>
          <w:spacing w:val="-3"/>
        </w:rPr>
        <w:t>Payment or Gift</w:t>
      </w:r>
    </w:p>
    <w:p w14:paraId="7E49FD0D" w14:textId="77777777" w:rsidR="00497D86" w:rsidRPr="00285756" w:rsidRDefault="00497D86" w:rsidP="005C1590">
      <w:pPr>
        <w:widowControl/>
        <w:tabs>
          <w:tab w:val="left" w:pos="0"/>
        </w:tabs>
        <w:suppressAutoHyphens/>
        <w:rPr>
          <w:rFonts w:ascii="Times New Roman" w:hAnsi="Times New Roman" w:cs="Times New Roman"/>
          <w:spacing w:val="-3"/>
        </w:rPr>
      </w:pPr>
    </w:p>
    <w:p w14:paraId="777DC4EB" w14:textId="77777777" w:rsidR="00497D86" w:rsidRPr="00285756" w:rsidRDefault="00DD3AA7" w:rsidP="005C1590">
      <w:pPr>
        <w:widowControl/>
        <w:tabs>
          <w:tab w:val="left" w:pos="0"/>
        </w:tabs>
        <w:suppressAutoHyphens/>
        <w:rPr>
          <w:rFonts w:ascii="Times New Roman" w:hAnsi="Times New Roman" w:cs="Times New Roman"/>
          <w:spacing w:val="-3"/>
        </w:rPr>
      </w:pPr>
      <w:r w:rsidRPr="00285756">
        <w:rPr>
          <w:rFonts w:ascii="Times New Roman" w:hAnsi="Times New Roman" w:cs="Times New Roman"/>
          <w:spacing w:val="-3"/>
        </w:rPr>
        <w:tab/>
        <w:t>Not applicable.</w:t>
      </w:r>
    </w:p>
    <w:p w14:paraId="2EF86C79" w14:textId="77777777" w:rsidR="00497D86" w:rsidRPr="00285756" w:rsidRDefault="00497D86" w:rsidP="005C1590">
      <w:pPr>
        <w:widowControl/>
        <w:tabs>
          <w:tab w:val="left" w:pos="0"/>
        </w:tabs>
        <w:suppressAutoHyphens/>
        <w:rPr>
          <w:rFonts w:ascii="Times New Roman" w:hAnsi="Times New Roman" w:cs="Times New Roman"/>
          <w:spacing w:val="-3"/>
        </w:rPr>
      </w:pPr>
    </w:p>
    <w:p w14:paraId="0B66369A" w14:textId="77777777" w:rsidR="00497D86" w:rsidRPr="00285756" w:rsidRDefault="00DD3AA7" w:rsidP="00602460">
      <w:pPr>
        <w:keepNext/>
        <w:widowControl/>
        <w:tabs>
          <w:tab w:val="left" w:pos="0"/>
        </w:tabs>
        <w:suppressAutoHyphens/>
        <w:rPr>
          <w:rFonts w:ascii="Times New Roman" w:hAnsi="Times New Roman" w:cs="Times New Roman"/>
          <w:b/>
          <w:spacing w:val="-3"/>
        </w:rPr>
      </w:pPr>
      <w:r w:rsidRPr="00285756">
        <w:rPr>
          <w:rFonts w:ascii="Times New Roman" w:hAnsi="Times New Roman" w:cs="Times New Roman"/>
          <w:b/>
          <w:spacing w:val="-3"/>
        </w:rPr>
        <w:tab/>
        <w:t>10.</w:t>
      </w:r>
      <w:r w:rsidRPr="00285756">
        <w:rPr>
          <w:rFonts w:ascii="Times New Roman" w:hAnsi="Times New Roman" w:cs="Times New Roman"/>
          <w:b/>
          <w:spacing w:val="-3"/>
        </w:rPr>
        <w:tab/>
        <w:t>Confidentiality</w:t>
      </w:r>
    </w:p>
    <w:p w14:paraId="6B4960D9" w14:textId="77777777" w:rsidR="00497D86" w:rsidRPr="00285756" w:rsidRDefault="00497D86" w:rsidP="00602460">
      <w:pPr>
        <w:keepNext/>
        <w:widowControl/>
        <w:tabs>
          <w:tab w:val="left" w:pos="0"/>
        </w:tabs>
        <w:suppressAutoHyphens/>
        <w:rPr>
          <w:rFonts w:ascii="Times New Roman" w:hAnsi="Times New Roman" w:cs="Times New Roman"/>
          <w:spacing w:val="-3"/>
        </w:rPr>
      </w:pPr>
    </w:p>
    <w:p w14:paraId="791559CB" w14:textId="0D87A048" w:rsidR="00EF4D9F" w:rsidRPr="00285756" w:rsidRDefault="00C70CE5" w:rsidP="00602460">
      <w:pPr>
        <w:keepNext/>
        <w:widowControl/>
        <w:tabs>
          <w:tab w:val="left" w:pos="0"/>
        </w:tabs>
        <w:suppressAutoHyphens/>
        <w:rPr>
          <w:rFonts w:ascii="Times New Roman" w:hAnsi="Times New Roman" w:cs="Times New Roman"/>
          <w:spacing w:val="-3"/>
        </w:rPr>
      </w:pPr>
      <w:r w:rsidRPr="00285756">
        <w:rPr>
          <w:rFonts w:ascii="Times New Roman" w:hAnsi="Times New Roman" w:cs="Times New Roman"/>
          <w:spacing w:val="-3"/>
        </w:rPr>
        <w:tab/>
      </w:r>
      <w:r w:rsidR="0011669D">
        <w:rPr>
          <w:rFonts w:ascii="Times New Roman" w:hAnsi="Times New Roman" w:cs="Times New Roman"/>
          <w:spacing w:val="-3"/>
        </w:rPr>
        <w:t>Form ATS and Form ATS-R</w:t>
      </w:r>
      <w:r w:rsidR="00EF4D9F" w:rsidRPr="00285756">
        <w:rPr>
          <w:rFonts w:ascii="Times New Roman" w:hAnsi="Times New Roman" w:cs="Times New Roman"/>
          <w:spacing w:val="-3"/>
        </w:rPr>
        <w:t xml:space="preserve"> are available only to the examination of the Commission staff, state securities authorities</w:t>
      </w:r>
      <w:r w:rsidR="00A20DA2" w:rsidRPr="00285756">
        <w:rPr>
          <w:rFonts w:ascii="Times New Roman" w:hAnsi="Times New Roman" w:cs="Times New Roman"/>
          <w:spacing w:val="-3"/>
        </w:rPr>
        <w:t>,</w:t>
      </w:r>
      <w:r w:rsidR="00EF4D9F" w:rsidRPr="00285756">
        <w:rPr>
          <w:rFonts w:ascii="Times New Roman" w:hAnsi="Times New Roman" w:cs="Times New Roman"/>
          <w:spacing w:val="-3"/>
        </w:rPr>
        <w:t xml:space="preserve"> and </w:t>
      </w:r>
      <w:r w:rsidR="00E27A6F" w:rsidRPr="00285756">
        <w:rPr>
          <w:rFonts w:ascii="Times New Roman" w:hAnsi="Times New Roman" w:cs="Times New Roman"/>
          <w:spacing w:val="-3"/>
        </w:rPr>
        <w:t>self-regulatory organizations</w:t>
      </w:r>
      <w:r w:rsidR="00EF4D9F" w:rsidRPr="00285756">
        <w:rPr>
          <w:rFonts w:ascii="Times New Roman" w:hAnsi="Times New Roman" w:cs="Times New Roman"/>
          <w:spacing w:val="-3"/>
        </w:rPr>
        <w:t>.  Subject to the provisions of the Freedom of Information Act, 5 U.S.C. § 522 (“FOIA”), and the Commission’s rules thereunder (17 CFR 200.80(b</w:t>
      </w:r>
      <w:proofErr w:type="gramStart"/>
      <w:r w:rsidR="00EF4D9F" w:rsidRPr="00285756">
        <w:rPr>
          <w:rFonts w:ascii="Times New Roman" w:hAnsi="Times New Roman" w:cs="Times New Roman"/>
          <w:spacing w:val="-3"/>
        </w:rPr>
        <w:t>)(</w:t>
      </w:r>
      <w:proofErr w:type="gramEnd"/>
      <w:r w:rsidR="00EF4D9F" w:rsidRPr="00285756">
        <w:rPr>
          <w:rFonts w:ascii="Times New Roman" w:hAnsi="Times New Roman" w:cs="Times New Roman"/>
          <w:spacing w:val="-3"/>
        </w:rPr>
        <w:t>4)(iii)), the Commission does not generally publish or make available information contained in any reports, summaries, analyses, letters, or memoranda arising out of, in anticipation of, or in connection with an examination or inspection of the books and records of any person or any other investigation.</w:t>
      </w:r>
      <w:r w:rsidR="00B83F8A" w:rsidRPr="00285756">
        <w:rPr>
          <w:rFonts w:ascii="Times New Roman" w:hAnsi="Times New Roman" w:cs="Times New Roman"/>
          <w:spacing w:val="-3"/>
        </w:rPr>
        <w:t xml:space="preserve">  The removal of significant-volume </w:t>
      </w:r>
      <w:r w:rsidR="008334A2" w:rsidRPr="00285756">
        <w:rPr>
          <w:rFonts w:ascii="Times New Roman" w:hAnsi="Times New Roman" w:cs="Times New Roman"/>
        </w:rPr>
        <w:t>alternative trading systems</w:t>
      </w:r>
      <w:r w:rsidR="008334A2" w:rsidRPr="00285756">
        <w:rPr>
          <w:rFonts w:ascii="Times New Roman" w:hAnsi="Times New Roman" w:cs="Times New Roman"/>
          <w:spacing w:val="-3"/>
        </w:rPr>
        <w:t xml:space="preserve"> </w:t>
      </w:r>
      <w:r w:rsidR="00B83F8A" w:rsidRPr="00285756">
        <w:rPr>
          <w:rFonts w:ascii="Times New Roman" w:hAnsi="Times New Roman" w:cs="Times New Roman"/>
          <w:spacing w:val="-3"/>
        </w:rPr>
        <w:t xml:space="preserve">that trade NMS stocks and non-NMS stocks from the requirements </w:t>
      </w:r>
      <w:r w:rsidR="00DC40DA" w:rsidRPr="00285756">
        <w:rPr>
          <w:rFonts w:ascii="Times New Roman" w:hAnsi="Times New Roman" w:cs="Times New Roman"/>
          <w:spacing w:val="-3"/>
        </w:rPr>
        <w:t>of Rule 301(b</w:t>
      </w:r>
      <w:proofErr w:type="gramStart"/>
      <w:r w:rsidR="00DC40DA" w:rsidRPr="00285756">
        <w:rPr>
          <w:rFonts w:ascii="Times New Roman" w:hAnsi="Times New Roman" w:cs="Times New Roman"/>
          <w:spacing w:val="-3"/>
        </w:rPr>
        <w:t>)(</w:t>
      </w:r>
      <w:proofErr w:type="gramEnd"/>
      <w:r w:rsidR="00DC40DA" w:rsidRPr="00285756">
        <w:rPr>
          <w:rFonts w:ascii="Times New Roman" w:hAnsi="Times New Roman" w:cs="Times New Roman"/>
          <w:spacing w:val="-3"/>
        </w:rPr>
        <w:t>6)</w:t>
      </w:r>
      <w:r w:rsidR="00B83F8A" w:rsidRPr="00285756">
        <w:rPr>
          <w:rFonts w:ascii="Times New Roman" w:hAnsi="Times New Roman" w:cs="Times New Roman"/>
          <w:spacing w:val="-3"/>
        </w:rPr>
        <w:t xml:space="preserve"> does not </w:t>
      </w:r>
      <w:r w:rsidR="007030FC" w:rsidRPr="00285756">
        <w:rPr>
          <w:rFonts w:ascii="Times New Roman" w:hAnsi="Times New Roman" w:cs="Times New Roman"/>
          <w:spacing w:val="-3"/>
        </w:rPr>
        <w:t>affect</w:t>
      </w:r>
      <w:r w:rsidR="00B83F8A" w:rsidRPr="00285756">
        <w:rPr>
          <w:rFonts w:ascii="Times New Roman" w:hAnsi="Times New Roman" w:cs="Times New Roman"/>
          <w:spacing w:val="-3"/>
        </w:rPr>
        <w:t xml:space="preserve"> these confidentiality provisions.</w:t>
      </w:r>
    </w:p>
    <w:p w14:paraId="4322AF6A" w14:textId="77777777" w:rsidR="00497D86" w:rsidRPr="00285756" w:rsidRDefault="00497D86" w:rsidP="005C1590">
      <w:pPr>
        <w:widowControl/>
        <w:tabs>
          <w:tab w:val="left" w:pos="0"/>
        </w:tabs>
        <w:suppressAutoHyphens/>
        <w:rPr>
          <w:rFonts w:ascii="Times New Roman" w:hAnsi="Times New Roman" w:cs="Times New Roman"/>
          <w:spacing w:val="-3"/>
        </w:rPr>
      </w:pPr>
    </w:p>
    <w:p w14:paraId="190FEE65" w14:textId="7A4136B5" w:rsidR="00696C7A" w:rsidRPr="004357A7" w:rsidRDefault="00D57EB9" w:rsidP="00696C7A">
      <w:pPr>
        <w:ind w:firstLine="720"/>
        <w:rPr>
          <w:rFonts w:ascii="Times New Roman" w:hAnsi="Times New Roman" w:cs="Times New Roman"/>
        </w:rPr>
      </w:pPr>
      <w:r w:rsidRPr="004357A7">
        <w:rPr>
          <w:rFonts w:ascii="Times New Roman" w:hAnsi="Times New Roman" w:cs="Times New Roman"/>
        </w:rPr>
        <w:t xml:space="preserve">The Commission is proposing to make public Form ATS-N reports filed by NMS Stock ATSs.  </w:t>
      </w:r>
      <w:r w:rsidR="00696C7A" w:rsidRPr="004357A7">
        <w:rPr>
          <w:rFonts w:ascii="Times New Roman" w:hAnsi="Times New Roman" w:cs="Times New Roman"/>
        </w:rPr>
        <w:t xml:space="preserve">The following </w:t>
      </w:r>
      <w:r w:rsidRPr="004357A7">
        <w:rPr>
          <w:rFonts w:ascii="Times New Roman" w:hAnsi="Times New Roman" w:cs="Times New Roman"/>
        </w:rPr>
        <w:t>will also be publicly posted on the Commission’s website</w:t>
      </w:r>
      <w:r w:rsidR="00696C7A" w:rsidRPr="004357A7">
        <w:rPr>
          <w:rFonts w:ascii="Times New Roman" w:hAnsi="Times New Roman" w:cs="Times New Roman"/>
        </w:rPr>
        <w:t xml:space="preserve">: (i) Order of effectiveness of a Form ATS-N; (ii) Order of ineffectiveness of a Form ATS-N; (iii) Effective Form ATS-N; (iv) Filed Form ATS-N Amendment; (v) Order of ineffectiveness of a Form ATS-N Amendment; </w:t>
      </w:r>
      <w:r w:rsidR="00B95DEB" w:rsidRPr="004357A7">
        <w:rPr>
          <w:rFonts w:ascii="Times New Roman" w:hAnsi="Times New Roman" w:cs="Times New Roman"/>
        </w:rPr>
        <w:t>(</w:t>
      </w:r>
      <w:r w:rsidR="00696C7A" w:rsidRPr="004357A7">
        <w:rPr>
          <w:rFonts w:ascii="Times New Roman" w:hAnsi="Times New Roman" w:cs="Times New Roman"/>
        </w:rPr>
        <w:t>vi) Notice of cessation; and</w:t>
      </w:r>
      <w:r w:rsidR="00B95DEB" w:rsidRPr="004357A7">
        <w:rPr>
          <w:rFonts w:ascii="Times New Roman" w:hAnsi="Times New Roman" w:cs="Times New Roman"/>
        </w:rPr>
        <w:t xml:space="preserve"> (</w:t>
      </w:r>
      <w:r w:rsidR="00696C7A" w:rsidRPr="004357A7">
        <w:rPr>
          <w:rFonts w:ascii="Times New Roman" w:hAnsi="Times New Roman" w:cs="Times New Roman"/>
        </w:rPr>
        <w:t>vii) Order suspending, limiting, or revoking the exemption from the definition of an “exchange” pursuant to § 240.3a1-1(a)(2) of this chapter.</w:t>
      </w:r>
    </w:p>
    <w:p w14:paraId="14CF6432" w14:textId="77777777" w:rsidR="00B95DEB" w:rsidRPr="004357A7" w:rsidRDefault="00B95DEB" w:rsidP="00696C7A">
      <w:pPr>
        <w:ind w:firstLine="720"/>
        <w:rPr>
          <w:rFonts w:ascii="Times New Roman" w:hAnsi="Times New Roman" w:cs="Times New Roman"/>
        </w:rPr>
      </w:pPr>
    </w:p>
    <w:p w14:paraId="721FA815" w14:textId="1E3ED694" w:rsidR="00D57EB9" w:rsidRPr="004357A7" w:rsidRDefault="00D57EB9" w:rsidP="00D57EB9">
      <w:pPr>
        <w:ind w:firstLine="720"/>
        <w:rPr>
          <w:rFonts w:ascii="Times New Roman" w:hAnsi="Times New Roman" w:cs="Times New Roman"/>
        </w:rPr>
      </w:pPr>
      <w:r w:rsidRPr="004357A7">
        <w:rPr>
          <w:rFonts w:ascii="Times New Roman" w:hAnsi="Times New Roman" w:cs="Times New Roman"/>
        </w:rPr>
        <w:t xml:space="preserve">As discussed above, there currently is limited information available to the public about the operations of ATSs that trade NMS stocks and the activities of their broker-dealer operators and the broker-dealer operators’ affiliates.  Furthermore, as discussed further below, </w:t>
      </w:r>
      <w:r w:rsidRPr="004357A7" w:rsidDel="007106B5">
        <w:rPr>
          <w:rFonts w:ascii="Times New Roman" w:hAnsi="Times New Roman" w:cs="Times New Roman"/>
        </w:rPr>
        <w:t xml:space="preserve">market participants may not be informed about potential conflicts of interest that arise as a result of the other business activities of the broker-dealer operator of the NMS Stock ATS, or its affiliates, such as trading NMS stocks on the NMS Stock ATS or operating multiple trading centers, </w:t>
      </w:r>
      <w:r w:rsidRPr="004357A7" w:rsidDel="007106B5">
        <w:rPr>
          <w:rFonts w:ascii="Times New Roman" w:hAnsi="Times New Roman" w:cs="Times New Roman"/>
        </w:rPr>
        <w:lastRenderedPageBreak/>
        <w:t>including multiple ATSs.</w:t>
      </w:r>
      <w:r w:rsidRPr="004357A7">
        <w:rPr>
          <w:rFonts w:ascii="Times New Roman" w:hAnsi="Times New Roman" w:cs="Times New Roman"/>
        </w:rPr>
        <w:t xml:space="preserve">  The only information the Commission currently makes publicly available regarding ATSs is a list, which is updated monthly, of ATSs with a Form ATS on file with the Commission.</w:t>
      </w:r>
      <w:r w:rsidRPr="004357A7">
        <w:rPr>
          <w:rStyle w:val="FootnoteReference"/>
          <w:rFonts w:ascii="Times New Roman" w:hAnsi="Times New Roman" w:cs="Times New Roman"/>
        </w:rPr>
        <w:footnoteReference w:id="29"/>
      </w:r>
      <w:r w:rsidRPr="004357A7">
        <w:rPr>
          <w:rFonts w:ascii="Times New Roman" w:hAnsi="Times New Roman" w:cs="Times New Roman"/>
        </w:rPr>
        <w:t xml:space="preserve">  Therefore, the Commission is proposing Rule 304(b) to mandate greater public disclosure of NMS Stock ATS operations through the publication of Form ATS-N and provide for the posting of Commission orders on the Commission’s website related to the effectiveness of Form ATS-N.  </w:t>
      </w:r>
    </w:p>
    <w:p w14:paraId="22BF997C" w14:textId="77777777" w:rsidR="00212B5D" w:rsidRPr="00285756" w:rsidRDefault="00212B5D" w:rsidP="005C1590">
      <w:pPr>
        <w:widowControl/>
        <w:tabs>
          <w:tab w:val="left" w:pos="0"/>
        </w:tabs>
        <w:suppressAutoHyphens/>
        <w:rPr>
          <w:rFonts w:ascii="Times New Roman" w:hAnsi="Times New Roman" w:cs="Times New Roman"/>
          <w:spacing w:val="-3"/>
        </w:rPr>
      </w:pPr>
    </w:p>
    <w:p w14:paraId="24B05A4A" w14:textId="77777777" w:rsidR="00497D86" w:rsidRPr="00285756" w:rsidRDefault="00DD3AA7" w:rsidP="005C1590">
      <w:pPr>
        <w:widowControl/>
        <w:tabs>
          <w:tab w:val="left" w:pos="0"/>
        </w:tabs>
        <w:suppressAutoHyphens/>
        <w:rPr>
          <w:rFonts w:ascii="Times New Roman" w:hAnsi="Times New Roman" w:cs="Times New Roman"/>
          <w:b/>
          <w:spacing w:val="-3"/>
        </w:rPr>
      </w:pPr>
      <w:r w:rsidRPr="001D4B88">
        <w:rPr>
          <w:rFonts w:ascii="Times New Roman" w:hAnsi="Times New Roman" w:cs="Times New Roman"/>
          <w:b/>
          <w:spacing w:val="-3"/>
        </w:rPr>
        <w:tab/>
        <w:t>11.</w:t>
      </w:r>
      <w:r w:rsidRPr="001D4B88">
        <w:rPr>
          <w:rFonts w:ascii="Times New Roman" w:hAnsi="Times New Roman" w:cs="Times New Roman"/>
          <w:b/>
          <w:spacing w:val="-3"/>
        </w:rPr>
        <w:tab/>
        <w:t>Sensitive Questions</w:t>
      </w:r>
    </w:p>
    <w:p w14:paraId="1C848820" w14:textId="77777777" w:rsidR="00497D86" w:rsidRPr="00285756" w:rsidRDefault="00497D86" w:rsidP="005C1590">
      <w:pPr>
        <w:widowControl/>
        <w:tabs>
          <w:tab w:val="left" w:pos="0"/>
        </w:tabs>
        <w:suppressAutoHyphens/>
        <w:rPr>
          <w:rFonts w:ascii="Times New Roman" w:hAnsi="Times New Roman" w:cs="Times New Roman"/>
          <w:spacing w:val="-3"/>
        </w:rPr>
      </w:pPr>
    </w:p>
    <w:p w14:paraId="2366F2CB" w14:textId="40397590" w:rsidR="00497D86" w:rsidRPr="00285756" w:rsidRDefault="00DD3AA7" w:rsidP="000C05F3">
      <w:pPr>
        <w:tabs>
          <w:tab w:val="left" w:pos="-720"/>
        </w:tabs>
        <w:suppressAutoHyphens/>
        <w:rPr>
          <w:rFonts w:ascii="Times New Roman" w:hAnsi="Times New Roman" w:cs="Times New Roman"/>
          <w:spacing w:val="-3"/>
        </w:rPr>
      </w:pPr>
      <w:r w:rsidRPr="00285756">
        <w:rPr>
          <w:rFonts w:ascii="Times New Roman" w:hAnsi="Times New Roman" w:cs="Times New Roman"/>
          <w:spacing w:val="-3"/>
        </w:rPr>
        <w:tab/>
        <w:t xml:space="preserve">Not applicable.  </w:t>
      </w:r>
      <w:r w:rsidR="005A525C" w:rsidRPr="00285756">
        <w:rPr>
          <w:rFonts w:ascii="Times New Roman" w:hAnsi="Times New Roman" w:cs="Times New Roman"/>
          <w:spacing w:val="-3"/>
        </w:rPr>
        <w:t xml:space="preserve">No information of a sensitive nature is required under </w:t>
      </w:r>
      <w:r w:rsidR="005A525C" w:rsidRPr="00285756">
        <w:rPr>
          <w:rFonts w:ascii="Times New Roman" w:hAnsi="Times New Roman" w:cs="Times New Roman"/>
        </w:rPr>
        <w:t>Rule</w:t>
      </w:r>
      <w:r w:rsidR="00212B5D" w:rsidRPr="00285756">
        <w:rPr>
          <w:rFonts w:ascii="Times New Roman" w:hAnsi="Times New Roman" w:cs="Times New Roman"/>
        </w:rPr>
        <w:t>s</w:t>
      </w:r>
      <w:r w:rsidR="005A525C" w:rsidRPr="00285756">
        <w:rPr>
          <w:rFonts w:ascii="Times New Roman" w:hAnsi="Times New Roman" w:cs="Times New Roman"/>
        </w:rPr>
        <w:t xml:space="preserve"> 301</w:t>
      </w:r>
      <w:r w:rsidR="00212B5D" w:rsidRPr="00285756">
        <w:rPr>
          <w:rFonts w:ascii="Times New Roman" w:hAnsi="Times New Roman" w:cs="Times New Roman"/>
        </w:rPr>
        <w:t xml:space="preserve"> and 304</w:t>
      </w:r>
      <w:r w:rsidR="005A525C" w:rsidRPr="00285756">
        <w:rPr>
          <w:rFonts w:ascii="Times New Roman" w:hAnsi="Times New Roman" w:cs="Times New Roman"/>
          <w:spacing w:val="-3"/>
        </w:rPr>
        <w:t>.  The form does not collect any Personally Identifiable Information (PII)</w:t>
      </w:r>
      <w:r w:rsidR="005A525C" w:rsidRPr="004357A7">
        <w:rPr>
          <w:rFonts w:ascii="Times New Roman" w:hAnsi="Times New Roman" w:cs="Times New Roman"/>
          <w:spacing w:val="-3"/>
        </w:rPr>
        <w:t>.</w:t>
      </w:r>
      <w:r w:rsidR="004357A7" w:rsidRPr="005A7C66">
        <w:rPr>
          <w:rStyle w:val="FootnoteReference"/>
          <w:rFonts w:ascii="Times New Roman" w:hAnsi="Times New Roman" w:cs="Times New Roman"/>
          <w:spacing w:val="-3"/>
        </w:rPr>
        <w:footnoteReference w:id="30"/>
      </w:r>
    </w:p>
    <w:p w14:paraId="3F7D0DF1" w14:textId="77777777" w:rsidR="00497D86" w:rsidRPr="00285756" w:rsidRDefault="00497D86" w:rsidP="005C1590">
      <w:pPr>
        <w:widowControl/>
        <w:tabs>
          <w:tab w:val="left" w:pos="0"/>
        </w:tabs>
        <w:suppressAutoHyphens/>
        <w:rPr>
          <w:rFonts w:ascii="Times New Roman" w:hAnsi="Times New Roman" w:cs="Times New Roman"/>
          <w:spacing w:val="-3"/>
          <w:highlight w:val="yellow"/>
        </w:rPr>
      </w:pPr>
    </w:p>
    <w:p w14:paraId="3B8CB93B" w14:textId="77777777" w:rsidR="006107C2" w:rsidRPr="00285756" w:rsidRDefault="00DD3AA7" w:rsidP="005C1590">
      <w:pPr>
        <w:widowControl/>
        <w:tabs>
          <w:tab w:val="left" w:pos="0"/>
        </w:tabs>
        <w:suppressAutoHyphens/>
        <w:rPr>
          <w:rFonts w:ascii="Times New Roman" w:hAnsi="Times New Roman" w:cs="Times New Roman"/>
          <w:b/>
          <w:spacing w:val="-3"/>
        </w:rPr>
      </w:pPr>
      <w:r w:rsidRPr="00285756">
        <w:rPr>
          <w:rFonts w:ascii="Times New Roman" w:hAnsi="Times New Roman" w:cs="Times New Roman"/>
          <w:b/>
          <w:spacing w:val="-3"/>
        </w:rPr>
        <w:tab/>
        <w:t>12.</w:t>
      </w:r>
      <w:r w:rsidRPr="00285756">
        <w:rPr>
          <w:rFonts w:ascii="Times New Roman" w:hAnsi="Times New Roman" w:cs="Times New Roman"/>
          <w:b/>
          <w:spacing w:val="-3"/>
        </w:rPr>
        <w:tab/>
      </w:r>
      <w:r w:rsidR="009F5BBA" w:rsidRPr="00285756">
        <w:rPr>
          <w:rFonts w:ascii="Times New Roman" w:hAnsi="Times New Roman" w:cs="Times New Roman"/>
          <w:b/>
          <w:spacing w:val="-3"/>
        </w:rPr>
        <w:t>Burden of Information Collection</w:t>
      </w:r>
    </w:p>
    <w:p w14:paraId="20AAEEBE" w14:textId="77777777" w:rsidR="00BD7DD8" w:rsidRPr="00285756" w:rsidRDefault="00BD7DD8" w:rsidP="00BD7DD8">
      <w:pPr>
        <w:keepNext/>
        <w:widowControl/>
        <w:tabs>
          <w:tab w:val="left" w:pos="-720"/>
        </w:tabs>
        <w:suppressAutoHyphens/>
        <w:rPr>
          <w:rFonts w:ascii="Times New Roman" w:hAnsi="Times New Roman" w:cs="Times New Roman"/>
          <w:spacing w:val="-3"/>
        </w:rPr>
      </w:pPr>
    </w:p>
    <w:p w14:paraId="5895AE7D" w14:textId="77777777" w:rsidR="00BD7DD8" w:rsidRPr="00285756" w:rsidRDefault="00BD7DD8" w:rsidP="00BD7DD8">
      <w:pPr>
        <w:keepNext/>
        <w:widowControl/>
        <w:tabs>
          <w:tab w:val="left" w:pos="-720"/>
        </w:tabs>
        <w:suppressAutoHyphens/>
        <w:rPr>
          <w:rFonts w:ascii="Times New Roman" w:hAnsi="Times New Roman" w:cs="Times New Roman"/>
          <w:spacing w:val="-3"/>
        </w:rPr>
      </w:pPr>
      <w:r w:rsidRPr="00285756">
        <w:rPr>
          <w:rFonts w:ascii="Times New Roman" w:hAnsi="Times New Roman" w:cs="Times New Roman"/>
          <w:spacing w:val="-3"/>
        </w:rPr>
        <w:tab/>
      </w:r>
      <w:r w:rsidRPr="00285756">
        <w:rPr>
          <w:rFonts w:ascii="Times New Roman" w:hAnsi="Times New Roman" w:cs="Times New Roman"/>
          <w:spacing w:val="-3"/>
        </w:rPr>
        <w:tab/>
        <w:t>a.</w:t>
      </w:r>
      <w:r w:rsidRPr="00285756">
        <w:rPr>
          <w:rFonts w:ascii="Times New Roman" w:hAnsi="Times New Roman" w:cs="Times New Roman"/>
          <w:spacing w:val="-3"/>
        </w:rPr>
        <w:tab/>
      </w:r>
      <w:r w:rsidRPr="00285756">
        <w:rPr>
          <w:rFonts w:ascii="Times New Roman" w:hAnsi="Times New Roman" w:cs="Times New Roman"/>
          <w:spacing w:val="-3"/>
          <w:u w:val="single"/>
        </w:rPr>
        <w:t>Form ATS - Initial Operation Report</w:t>
      </w:r>
    </w:p>
    <w:p w14:paraId="0153C57C" w14:textId="77777777" w:rsidR="00BD7DD8" w:rsidRPr="00285756" w:rsidRDefault="00BD7DD8" w:rsidP="00BD7DD8">
      <w:pPr>
        <w:tabs>
          <w:tab w:val="left" w:pos="-720"/>
        </w:tabs>
        <w:suppressAutoHyphens/>
        <w:rPr>
          <w:rFonts w:ascii="Times New Roman" w:hAnsi="Times New Roman" w:cs="Times New Roman"/>
          <w:spacing w:val="-3"/>
        </w:rPr>
      </w:pPr>
    </w:p>
    <w:p w14:paraId="05CBD1E2" w14:textId="72EA1F77" w:rsidR="00BD7DD8" w:rsidRPr="00285756" w:rsidRDefault="00BD7DD8" w:rsidP="00BD7DD8">
      <w:pPr>
        <w:tabs>
          <w:tab w:val="left" w:pos="-720"/>
        </w:tabs>
        <w:suppressAutoHyphens/>
        <w:rPr>
          <w:rFonts w:ascii="Times New Roman" w:hAnsi="Times New Roman" w:cs="Times New Roman"/>
          <w:spacing w:val="-3"/>
        </w:rPr>
      </w:pPr>
      <w:r w:rsidRPr="00285756">
        <w:rPr>
          <w:rFonts w:ascii="Times New Roman" w:hAnsi="Times New Roman" w:cs="Times New Roman"/>
          <w:spacing w:val="-3"/>
        </w:rPr>
        <w:tab/>
        <w:t xml:space="preserve">Alternative trading systems that choose to register as broker-dealers and comply with Regulation ATS are required to file a Form ATS prior to commencing operations.  The Commission estimates that approximately 7 respondents will file an Initial Operation Report on Form ATS each year, and that the average compliance burden for each respondent would be 20 hours, comprising 13 hours of in-house professional work and 7 hours of clerical work.  Thus, the total compliance </w:t>
      </w:r>
      <w:r w:rsidR="00EA321E" w:rsidRPr="00285756">
        <w:rPr>
          <w:rFonts w:ascii="Times New Roman" w:hAnsi="Times New Roman" w:cs="Times New Roman"/>
          <w:spacing w:val="-3"/>
        </w:rPr>
        <w:t xml:space="preserve">reporting </w:t>
      </w:r>
      <w:r w:rsidRPr="00285756">
        <w:rPr>
          <w:rFonts w:ascii="Times New Roman" w:hAnsi="Times New Roman" w:cs="Times New Roman"/>
          <w:spacing w:val="-3"/>
        </w:rPr>
        <w:t xml:space="preserve">burden per year is 140 hours (7 responses x 20 hours = 140 hours).  </w:t>
      </w:r>
    </w:p>
    <w:p w14:paraId="773F888A" w14:textId="77777777" w:rsidR="00BD7DD8" w:rsidRPr="00285756" w:rsidRDefault="00BD7DD8" w:rsidP="00BD7DD8">
      <w:pPr>
        <w:tabs>
          <w:tab w:val="left" w:pos="-720"/>
        </w:tabs>
        <w:suppressAutoHyphens/>
        <w:rPr>
          <w:rFonts w:ascii="Times New Roman" w:hAnsi="Times New Roman" w:cs="Times New Roman"/>
          <w:spacing w:val="-3"/>
        </w:rPr>
      </w:pPr>
    </w:p>
    <w:p w14:paraId="5B661FBC" w14:textId="77777777" w:rsidR="00BD7DD8" w:rsidRPr="00285756" w:rsidRDefault="00BD7DD8" w:rsidP="00BD7DD8">
      <w:pPr>
        <w:tabs>
          <w:tab w:val="left" w:pos="-720"/>
        </w:tabs>
        <w:suppressAutoHyphens/>
        <w:rPr>
          <w:rFonts w:ascii="Times New Roman" w:hAnsi="Times New Roman" w:cs="Times New Roman"/>
          <w:spacing w:val="-3"/>
        </w:rPr>
      </w:pPr>
      <w:r w:rsidRPr="00285756">
        <w:rPr>
          <w:rFonts w:ascii="Times New Roman" w:hAnsi="Times New Roman" w:cs="Times New Roman"/>
          <w:spacing w:val="-3"/>
        </w:rPr>
        <w:tab/>
      </w:r>
      <w:r w:rsidRPr="00285756">
        <w:rPr>
          <w:rFonts w:ascii="Times New Roman" w:hAnsi="Times New Roman" w:cs="Times New Roman"/>
          <w:spacing w:val="-3"/>
        </w:rPr>
        <w:tab/>
        <w:t>b.</w:t>
      </w:r>
      <w:r w:rsidRPr="00285756">
        <w:rPr>
          <w:rFonts w:ascii="Times New Roman" w:hAnsi="Times New Roman" w:cs="Times New Roman"/>
          <w:spacing w:val="-3"/>
        </w:rPr>
        <w:tab/>
      </w:r>
      <w:r w:rsidRPr="00285756">
        <w:rPr>
          <w:rFonts w:ascii="Times New Roman" w:hAnsi="Times New Roman" w:cs="Times New Roman"/>
          <w:spacing w:val="-3"/>
          <w:u w:val="single"/>
        </w:rPr>
        <w:t>Form ATS - Periodic Amendments to Update Information</w:t>
      </w:r>
      <w:r w:rsidRPr="00285756">
        <w:rPr>
          <w:rFonts w:ascii="Times New Roman" w:hAnsi="Times New Roman" w:cs="Times New Roman"/>
          <w:spacing w:val="-3"/>
        </w:rPr>
        <w:t xml:space="preserve"> </w:t>
      </w:r>
    </w:p>
    <w:p w14:paraId="77DC44C9" w14:textId="77777777" w:rsidR="00BD7DD8" w:rsidRPr="00285756" w:rsidRDefault="00BD7DD8" w:rsidP="00BD7DD8">
      <w:pPr>
        <w:tabs>
          <w:tab w:val="left" w:pos="-720"/>
        </w:tabs>
        <w:suppressAutoHyphens/>
        <w:rPr>
          <w:rFonts w:ascii="Times New Roman" w:hAnsi="Times New Roman" w:cs="Times New Roman"/>
          <w:spacing w:val="-3"/>
        </w:rPr>
      </w:pPr>
    </w:p>
    <w:p w14:paraId="5847DCE3" w14:textId="6D10EE7C" w:rsidR="00BD7DD8" w:rsidRPr="00285756" w:rsidRDefault="00BD7DD8" w:rsidP="00BD7DD8">
      <w:pPr>
        <w:tabs>
          <w:tab w:val="left" w:pos="-720"/>
        </w:tabs>
        <w:suppressAutoHyphens/>
        <w:rPr>
          <w:rFonts w:ascii="Times New Roman" w:hAnsi="Times New Roman" w:cs="Times New Roman"/>
          <w:spacing w:val="-3"/>
        </w:rPr>
      </w:pPr>
      <w:r w:rsidRPr="00285756">
        <w:rPr>
          <w:rFonts w:ascii="Times New Roman" w:hAnsi="Times New Roman" w:cs="Times New Roman"/>
          <w:spacing w:val="-3"/>
        </w:rPr>
        <w:tab/>
        <w:t>Alternative trading systems that choose to register as broker-dealers and comply with Regulation ATS are required to file periodic amendments to the initial operations report on Form ATS to provide notice of material systems changes and reflect other changes.  The Commission estimates that each of the approximately 95 alternative trading systems will file 2 amendments per year for 190 responses, and that the average compliance burden for each response would be 6 hours, comprising 4.5 hours of in-house professional work and 1.5 hours of clerical work.  Thus, the total compliance</w:t>
      </w:r>
      <w:r w:rsidR="00EA321E" w:rsidRPr="00285756">
        <w:rPr>
          <w:rFonts w:ascii="Times New Roman" w:hAnsi="Times New Roman" w:cs="Times New Roman"/>
          <w:spacing w:val="-3"/>
        </w:rPr>
        <w:t xml:space="preserve"> reporting</w:t>
      </w:r>
      <w:r w:rsidRPr="00285756">
        <w:rPr>
          <w:rFonts w:ascii="Times New Roman" w:hAnsi="Times New Roman" w:cs="Times New Roman"/>
          <w:spacing w:val="-3"/>
        </w:rPr>
        <w:t xml:space="preserve"> burden per year is 1,140 hours (190 responses x 6 hours = 1,140 hours).  </w:t>
      </w:r>
    </w:p>
    <w:p w14:paraId="57F1D2B2" w14:textId="77777777" w:rsidR="00BD7DD8" w:rsidRPr="00285756" w:rsidRDefault="00BD7DD8" w:rsidP="00BD7DD8">
      <w:pPr>
        <w:tabs>
          <w:tab w:val="left" w:pos="-720"/>
        </w:tabs>
        <w:suppressAutoHyphens/>
        <w:rPr>
          <w:rFonts w:ascii="Times New Roman" w:hAnsi="Times New Roman" w:cs="Times New Roman"/>
          <w:spacing w:val="-3"/>
        </w:rPr>
      </w:pPr>
    </w:p>
    <w:p w14:paraId="732CD585" w14:textId="77777777" w:rsidR="00BD7DD8" w:rsidRPr="00285756" w:rsidRDefault="00BD7DD8" w:rsidP="00BD7DD8">
      <w:pPr>
        <w:tabs>
          <w:tab w:val="left" w:pos="-720"/>
        </w:tabs>
        <w:suppressAutoHyphens/>
        <w:rPr>
          <w:rFonts w:ascii="Times New Roman" w:hAnsi="Times New Roman" w:cs="Times New Roman"/>
          <w:spacing w:val="-3"/>
        </w:rPr>
      </w:pPr>
      <w:r w:rsidRPr="00285756">
        <w:rPr>
          <w:rFonts w:ascii="Times New Roman" w:hAnsi="Times New Roman" w:cs="Times New Roman"/>
          <w:spacing w:val="-3"/>
        </w:rPr>
        <w:tab/>
      </w:r>
      <w:r w:rsidRPr="00285756">
        <w:rPr>
          <w:rFonts w:ascii="Times New Roman" w:hAnsi="Times New Roman" w:cs="Times New Roman"/>
          <w:spacing w:val="-3"/>
        </w:rPr>
        <w:tab/>
        <w:t>c.</w:t>
      </w:r>
      <w:r w:rsidRPr="00285756">
        <w:rPr>
          <w:rFonts w:ascii="Times New Roman" w:hAnsi="Times New Roman" w:cs="Times New Roman"/>
          <w:spacing w:val="-3"/>
        </w:rPr>
        <w:tab/>
      </w:r>
      <w:r w:rsidRPr="00285756">
        <w:rPr>
          <w:rFonts w:ascii="Times New Roman" w:hAnsi="Times New Roman" w:cs="Times New Roman"/>
          <w:spacing w:val="-3"/>
          <w:u w:val="single"/>
        </w:rPr>
        <w:t>Form ATS-R - Quarterly Reports</w:t>
      </w:r>
    </w:p>
    <w:p w14:paraId="1A084DDF" w14:textId="77777777" w:rsidR="00BD7DD8" w:rsidRPr="00285756" w:rsidRDefault="00BD7DD8" w:rsidP="00BD7DD8">
      <w:pPr>
        <w:tabs>
          <w:tab w:val="left" w:pos="-720"/>
        </w:tabs>
        <w:suppressAutoHyphens/>
        <w:rPr>
          <w:rFonts w:ascii="Times New Roman" w:hAnsi="Times New Roman" w:cs="Times New Roman"/>
          <w:spacing w:val="-3"/>
        </w:rPr>
      </w:pPr>
    </w:p>
    <w:p w14:paraId="4BA035E8" w14:textId="5E5ABF9E" w:rsidR="00BD7DD8" w:rsidRPr="00285756" w:rsidRDefault="00BD7DD8" w:rsidP="00BD7DD8">
      <w:pPr>
        <w:tabs>
          <w:tab w:val="left" w:pos="-720"/>
        </w:tabs>
        <w:suppressAutoHyphens/>
        <w:rPr>
          <w:rFonts w:ascii="Times New Roman" w:hAnsi="Times New Roman" w:cs="Times New Roman"/>
          <w:spacing w:val="-3"/>
        </w:rPr>
      </w:pPr>
      <w:r w:rsidRPr="00285756">
        <w:rPr>
          <w:rFonts w:ascii="Times New Roman" w:hAnsi="Times New Roman" w:cs="Times New Roman"/>
          <w:spacing w:val="-3"/>
        </w:rPr>
        <w:lastRenderedPageBreak/>
        <w:tab/>
        <w:t xml:space="preserve">Alternative trading systems that choose to register as broker-dealers and comply with Regulation ATS are required to file quarterly reports on Form ATS-R.  Each of the approximately 95 alternative trading systems will file 4 quarterly reports per year for 380 responses.  The Commission estimates that that the average compliance burden for each response would be 4 hours, comprising 3 hours of in-house professional work and 1 hour of clerical work.  Thus, the total compliance </w:t>
      </w:r>
      <w:r w:rsidR="00EA321E" w:rsidRPr="00285756">
        <w:rPr>
          <w:rFonts w:ascii="Times New Roman" w:hAnsi="Times New Roman" w:cs="Times New Roman"/>
          <w:spacing w:val="-3"/>
        </w:rPr>
        <w:t xml:space="preserve">reporting </w:t>
      </w:r>
      <w:r w:rsidRPr="00285756">
        <w:rPr>
          <w:rFonts w:ascii="Times New Roman" w:hAnsi="Times New Roman" w:cs="Times New Roman"/>
          <w:spacing w:val="-3"/>
        </w:rPr>
        <w:t xml:space="preserve">burden per year is 1,520 hours (380 responses x 4 hours = 1,520 hours).  </w:t>
      </w:r>
    </w:p>
    <w:p w14:paraId="5C40F393" w14:textId="77777777" w:rsidR="00BD7DD8" w:rsidRPr="00285756" w:rsidRDefault="00BD7DD8" w:rsidP="00BD7DD8">
      <w:pPr>
        <w:tabs>
          <w:tab w:val="left" w:pos="-720"/>
        </w:tabs>
        <w:suppressAutoHyphens/>
        <w:rPr>
          <w:rFonts w:ascii="Times New Roman" w:hAnsi="Times New Roman" w:cs="Times New Roman"/>
          <w:spacing w:val="-3"/>
        </w:rPr>
      </w:pPr>
    </w:p>
    <w:p w14:paraId="42CD36A1" w14:textId="77777777" w:rsidR="00BD7DD8" w:rsidRPr="00285756" w:rsidRDefault="00BD7DD8" w:rsidP="00BD7DD8">
      <w:pPr>
        <w:tabs>
          <w:tab w:val="left" w:pos="-720"/>
        </w:tabs>
        <w:suppressAutoHyphens/>
        <w:rPr>
          <w:rFonts w:ascii="Times New Roman" w:hAnsi="Times New Roman" w:cs="Times New Roman"/>
          <w:spacing w:val="-3"/>
        </w:rPr>
      </w:pPr>
      <w:r w:rsidRPr="00285756">
        <w:rPr>
          <w:rFonts w:ascii="Times New Roman" w:hAnsi="Times New Roman" w:cs="Times New Roman"/>
          <w:spacing w:val="-3"/>
        </w:rPr>
        <w:tab/>
      </w:r>
      <w:r w:rsidRPr="00285756">
        <w:rPr>
          <w:rFonts w:ascii="Times New Roman" w:hAnsi="Times New Roman" w:cs="Times New Roman"/>
          <w:spacing w:val="-3"/>
        </w:rPr>
        <w:tab/>
        <w:t>d.</w:t>
      </w:r>
      <w:r w:rsidRPr="00285756">
        <w:rPr>
          <w:rFonts w:ascii="Times New Roman" w:hAnsi="Times New Roman" w:cs="Times New Roman"/>
          <w:spacing w:val="-3"/>
        </w:rPr>
        <w:tab/>
      </w:r>
      <w:r w:rsidRPr="00285756">
        <w:rPr>
          <w:rFonts w:ascii="Times New Roman" w:hAnsi="Times New Roman" w:cs="Times New Roman"/>
          <w:spacing w:val="-3"/>
          <w:u w:val="single"/>
        </w:rPr>
        <w:t>Form ATS - Cessation of Operations Report</w:t>
      </w:r>
    </w:p>
    <w:p w14:paraId="55B58B5D" w14:textId="77777777" w:rsidR="00BD7DD8" w:rsidRPr="00285756" w:rsidRDefault="00BD7DD8" w:rsidP="00BD7DD8">
      <w:pPr>
        <w:tabs>
          <w:tab w:val="left" w:pos="-720"/>
        </w:tabs>
        <w:suppressAutoHyphens/>
        <w:rPr>
          <w:rFonts w:ascii="Times New Roman" w:hAnsi="Times New Roman" w:cs="Times New Roman"/>
          <w:spacing w:val="-3"/>
        </w:rPr>
      </w:pPr>
    </w:p>
    <w:p w14:paraId="30B05690" w14:textId="5A75FA32" w:rsidR="00BD7DD8" w:rsidRPr="00285756" w:rsidRDefault="00BD7DD8" w:rsidP="00BD7DD8">
      <w:pPr>
        <w:widowControl/>
        <w:tabs>
          <w:tab w:val="left" w:pos="-720"/>
        </w:tabs>
        <w:suppressAutoHyphens/>
        <w:rPr>
          <w:rFonts w:ascii="Times New Roman" w:hAnsi="Times New Roman" w:cs="Times New Roman"/>
          <w:spacing w:val="-3"/>
        </w:rPr>
      </w:pPr>
      <w:r w:rsidRPr="00285756">
        <w:rPr>
          <w:rFonts w:ascii="Times New Roman" w:hAnsi="Times New Roman" w:cs="Times New Roman"/>
          <w:spacing w:val="-3"/>
        </w:rPr>
        <w:tab/>
        <w:t xml:space="preserve">Alternative trading systems that choose to register as broker-dealers and comply with Regulation ATS are required to </w:t>
      </w:r>
      <w:r w:rsidR="004A7033" w:rsidRPr="00285756">
        <w:rPr>
          <w:rFonts w:ascii="Times New Roman" w:hAnsi="Times New Roman" w:cs="Times New Roman"/>
          <w:spacing w:val="-3"/>
        </w:rPr>
        <w:t xml:space="preserve">file </w:t>
      </w:r>
      <w:r w:rsidRPr="00285756">
        <w:rPr>
          <w:rFonts w:ascii="Times New Roman" w:hAnsi="Times New Roman" w:cs="Times New Roman"/>
          <w:spacing w:val="-3"/>
        </w:rPr>
        <w:t xml:space="preserve">a notice on Form ATS </w:t>
      </w:r>
      <w:r w:rsidR="004A7033" w:rsidRPr="00285756">
        <w:rPr>
          <w:rFonts w:ascii="Times New Roman" w:hAnsi="Times New Roman" w:cs="Times New Roman"/>
          <w:spacing w:val="-3"/>
        </w:rPr>
        <w:t xml:space="preserve">cessation of operations report </w:t>
      </w:r>
      <w:r w:rsidRPr="00285756">
        <w:rPr>
          <w:rFonts w:ascii="Times New Roman" w:hAnsi="Times New Roman" w:cs="Times New Roman"/>
          <w:spacing w:val="-3"/>
        </w:rPr>
        <w:t>when they</w:t>
      </w:r>
      <w:r w:rsidR="004A7033" w:rsidRPr="00285756">
        <w:rPr>
          <w:rFonts w:ascii="Times New Roman" w:hAnsi="Times New Roman" w:cs="Times New Roman"/>
          <w:spacing w:val="-3"/>
        </w:rPr>
        <w:t xml:space="preserve"> have ceased </w:t>
      </w:r>
      <w:r w:rsidRPr="00285756">
        <w:rPr>
          <w:rFonts w:ascii="Times New Roman" w:hAnsi="Times New Roman" w:cs="Times New Roman"/>
          <w:spacing w:val="-3"/>
        </w:rPr>
        <w:t xml:space="preserve">operations.  The Commission estimates that 5 alternative trading systems will be required to file a cessation of operations report each year, and that the average compliance burden for each response would be 2 hours, comprising 1.5 hours of in-house professional work and 0.5 hours of clerical work.  Thus, the total compliance </w:t>
      </w:r>
      <w:r w:rsidR="00EA321E" w:rsidRPr="00285756">
        <w:rPr>
          <w:rFonts w:ascii="Times New Roman" w:hAnsi="Times New Roman" w:cs="Times New Roman"/>
          <w:spacing w:val="-3"/>
        </w:rPr>
        <w:t xml:space="preserve">reporting </w:t>
      </w:r>
      <w:r w:rsidRPr="00285756">
        <w:rPr>
          <w:rFonts w:ascii="Times New Roman" w:hAnsi="Times New Roman" w:cs="Times New Roman"/>
          <w:spacing w:val="-3"/>
        </w:rPr>
        <w:t xml:space="preserve">burden per year is 10 hours (5 responses x 2 hours = 10 hours).  </w:t>
      </w:r>
    </w:p>
    <w:p w14:paraId="3B45A5D9" w14:textId="77777777" w:rsidR="006E0A63" w:rsidRPr="00285756" w:rsidRDefault="006E0A63" w:rsidP="00BD7DD8">
      <w:pPr>
        <w:widowControl/>
        <w:tabs>
          <w:tab w:val="left" w:pos="-720"/>
        </w:tabs>
        <w:suppressAutoHyphens/>
        <w:rPr>
          <w:rFonts w:ascii="Times New Roman" w:hAnsi="Times New Roman" w:cs="Times New Roman"/>
          <w:spacing w:val="-3"/>
        </w:rPr>
      </w:pPr>
    </w:p>
    <w:p w14:paraId="2DDA4DC2" w14:textId="05AB83B3" w:rsidR="006E0A63" w:rsidRPr="00285756" w:rsidRDefault="006E0A63" w:rsidP="00BD7DD8">
      <w:pPr>
        <w:widowControl/>
        <w:tabs>
          <w:tab w:val="left" w:pos="-720"/>
        </w:tabs>
        <w:suppressAutoHyphens/>
        <w:rPr>
          <w:rFonts w:ascii="Times New Roman" w:hAnsi="Times New Roman" w:cs="Times New Roman"/>
          <w:spacing w:val="-3"/>
        </w:rPr>
      </w:pPr>
      <w:r w:rsidRPr="00285756">
        <w:rPr>
          <w:rFonts w:ascii="Times New Roman" w:hAnsi="Times New Roman" w:cs="Times New Roman"/>
          <w:spacing w:val="-3"/>
        </w:rPr>
        <w:tab/>
      </w:r>
      <w:r w:rsidRPr="00285756">
        <w:rPr>
          <w:rFonts w:ascii="Times New Roman" w:hAnsi="Times New Roman" w:cs="Times New Roman"/>
          <w:spacing w:val="-3"/>
        </w:rPr>
        <w:tab/>
        <w:t>e.</w:t>
      </w:r>
      <w:r w:rsidRPr="00285756">
        <w:rPr>
          <w:rFonts w:ascii="Times New Roman" w:hAnsi="Times New Roman" w:cs="Times New Roman"/>
          <w:spacing w:val="-3"/>
        </w:rPr>
        <w:tab/>
      </w:r>
      <w:r w:rsidRPr="004357A7">
        <w:rPr>
          <w:rFonts w:ascii="Times New Roman" w:hAnsi="Times New Roman" w:cs="Times New Roman"/>
          <w:spacing w:val="-3"/>
          <w:u w:val="single"/>
        </w:rPr>
        <w:t>Form ATS-N</w:t>
      </w:r>
    </w:p>
    <w:p w14:paraId="6BBA9DAA" w14:textId="77777777" w:rsidR="00B95DEB" w:rsidRPr="00285756" w:rsidRDefault="00B95DEB" w:rsidP="00BD7DD8">
      <w:pPr>
        <w:widowControl/>
        <w:tabs>
          <w:tab w:val="left" w:pos="-720"/>
        </w:tabs>
        <w:suppressAutoHyphens/>
        <w:rPr>
          <w:rFonts w:ascii="Times New Roman" w:hAnsi="Times New Roman" w:cs="Times New Roman"/>
          <w:spacing w:val="-3"/>
        </w:rPr>
      </w:pPr>
    </w:p>
    <w:p w14:paraId="324632E9" w14:textId="53C4FAE7" w:rsidR="006E0A63" w:rsidRPr="004357A7" w:rsidRDefault="006E0A63" w:rsidP="004357A7">
      <w:pPr>
        <w:ind w:firstLine="720"/>
        <w:rPr>
          <w:rFonts w:ascii="Times New Roman" w:hAnsi="Times New Roman" w:cs="Times New Roman"/>
        </w:rPr>
      </w:pPr>
      <w:r w:rsidRPr="004357A7">
        <w:rPr>
          <w:rFonts w:ascii="Times New Roman" w:hAnsi="Times New Roman" w:cs="Times New Roman"/>
        </w:rPr>
        <w:t>The Commission recognizes that proposed Rules 301(b</w:t>
      </w:r>
      <w:proofErr w:type="gramStart"/>
      <w:r w:rsidRPr="004357A7">
        <w:rPr>
          <w:rFonts w:ascii="Times New Roman" w:hAnsi="Times New Roman" w:cs="Times New Roman"/>
        </w:rPr>
        <w:t>)(</w:t>
      </w:r>
      <w:proofErr w:type="gramEnd"/>
      <w:r w:rsidRPr="004357A7">
        <w:rPr>
          <w:rFonts w:ascii="Times New Roman" w:hAnsi="Times New Roman" w:cs="Times New Roman"/>
        </w:rPr>
        <w:t>2)(viii) and 304 of Regulation ATS, including proposed Form ATS-N, would impose certain burdens on respondents. Although the Commission preliminarily believes that many of the disclosures required by proposed Form ATS-N are currently required by Form ATS, proposed Form ATS-N would require an NMS Stock ATS to provide significantly more detail in those disclosures than currently is required by Form ATS.  Proposed Form ATS-N would also require additional disclosures not currently mandated by current Form ATS such as those contained in Part III of proposed Form ATS-N.  Under the proposed amendments to Regulation ATS, NMS Stock ATSs would be required to complete and file the enhanced and additional disclosures on proposed Form ATS-N.</w:t>
      </w:r>
      <w:r w:rsidRPr="004357A7">
        <w:rPr>
          <w:rFonts w:ascii="Times New Roman" w:hAnsi="Times New Roman" w:cs="Times New Roman"/>
          <w:vertAlign w:val="superscript"/>
        </w:rPr>
        <w:footnoteReference w:id="31"/>
      </w:r>
      <w:r w:rsidRPr="004357A7">
        <w:rPr>
          <w:rFonts w:ascii="Times New Roman" w:hAnsi="Times New Roman" w:cs="Times New Roman"/>
        </w:rPr>
        <w:t xml:space="preserve">  The discussion below provides the estimated burden above the current Form ATS baseline of each item of proposed Form ATS-N.  The Commission notes that many of the proposed disclosure items on proposed Form ATS-N are already required disclosures by respondents in whole or in part on current Form ATS, while other disclosure items on proposed Form ATS-N are novel (</w:t>
      </w:r>
      <w:r w:rsidRPr="004357A7">
        <w:rPr>
          <w:rFonts w:ascii="Times New Roman" w:hAnsi="Times New Roman" w:cs="Times New Roman"/>
          <w:u w:val="single"/>
        </w:rPr>
        <w:t>i.e.</w:t>
      </w:r>
      <w:r w:rsidRPr="004357A7">
        <w:rPr>
          <w:rFonts w:ascii="Times New Roman" w:hAnsi="Times New Roman" w:cs="Times New Roman"/>
        </w:rPr>
        <w:t xml:space="preserve">, current Form ATS does not require some form of the proposed disclosure).  The discussion below aggregates </w:t>
      </w:r>
      <w:r w:rsidR="008857FB">
        <w:rPr>
          <w:rFonts w:ascii="Times New Roman" w:hAnsi="Times New Roman" w:cs="Times New Roman"/>
        </w:rPr>
        <w:t xml:space="preserve">both </w:t>
      </w:r>
      <w:r w:rsidRPr="004357A7">
        <w:rPr>
          <w:rFonts w:ascii="Times New Roman" w:hAnsi="Times New Roman" w:cs="Times New Roman"/>
        </w:rPr>
        <w:t>these new burdens and the additional burdens above the current Form ATS baseline that will be imposed by proposed Form ATS-N</w:t>
      </w:r>
      <w:r w:rsidR="008857FB">
        <w:rPr>
          <w:rFonts w:ascii="Times New Roman" w:hAnsi="Times New Roman" w:cs="Times New Roman"/>
        </w:rPr>
        <w:t xml:space="preserve"> with the current Form ATS baseline</w:t>
      </w:r>
      <w:r w:rsidRPr="004357A7">
        <w:rPr>
          <w:rFonts w:ascii="Times New Roman" w:hAnsi="Times New Roman" w:cs="Times New Roman"/>
        </w:rPr>
        <w:t xml:space="preserve">. </w:t>
      </w:r>
    </w:p>
    <w:p w14:paraId="4C4E37A1" w14:textId="77777777" w:rsidR="006E0A63" w:rsidRPr="001D4B88" w:rsidRDefault="006E0A63" w:rsidP="00BD7DD8">
      <w:pPr>
        <w:widowControl/>
        <w:tabs>
          <w:tab w:val="left" w:pos="-720"/>
        </w:tabs>
        <w:suppressAutoHyphens/>
        <w:rPr>
          <w:rFonts w:ascii="Times New Roman" w:hAnsi="Times New Roman" w:cs="Times New Roman"/>
          <w:spacing w:val="-3"/>
        </w:rPr>
      </w:pPr>
    </w:p>
    <w:p w14:paraId="79F85789" w14:textId="7325F3FB" w:rsidR="006E0A63" w:rsidRPr="00285756" w:rsidRDefault="006E0A63" w:rsidP="00BD7DD8">
      <w:pPr>
        <w:widowControl/>
        <w:tabs>
          <w:tab w:val="left" w:pos="-720"/>
        </w:tabs>
        <w:suppressAutoHyphens/>
        <w:rPr>
          <w:rFonts w:ascii="Times New Roman" w:hAnsi="Times New Roman" w:cs="Times New Roman"/>
          <w:spacing w:val="-3"/>
        </w:rPr>
      </w:pPr>
      <w:r w:rsidRPr="00285756">
        <w:rPr>
          <w:rFonts w:ascii="Times New Roman" w:hAnsi="Times New Roman" w:cs="Times New Roman"/>
          <w:spacing w:val="-3"/>
        </w:rPr>
        <w:tab/>
      </w:r>
      <w:r w:rsidRPr="00285756">
        <w:rPr>
          <w:rFonts w:ascii="Times New Roman" w:hAnsi="Times New Roman" w:cs="Times New Roman"/>
          <w:spacing w:val="-3"/>
        </w:rPr>
        <w:tab/>
      </w:r>
      <w:r w:rsidRPr="00285756">
        <w:rPr>
          <w:rFonts w:ascii="Times New Roman" w:hAnsi="Times New Roman" w:cs="Times New Roman"/>
          <w:spacing w:val="-3"/>
        </w:rPr>
        <w:tab/>
        <w:t>1.</w:t>
      </w:r>
      <w:r w:rsidRPr="00285756">
        <w:rPr>
          <w:rFonts w:ascii="Times New Roman" w:hAnsi="Times New Roman" w:cs="Times New Roman"/>
          <w:spacing w:val="-3"/>
        </w:rPr>
        <w:tab/>
      </w:r>
      <w:r w:rsidR="004B34EE" w:rsidRPr="004357A7">
        <w:rPr>
          <w:rFonts w:ascii="Times New Roman" w:hAnsi="Times New Roman" w:cs="Times New Roman"/>
          <w:spacing w:val="-3"/>
          <w:u w:val="single"/>
        </w:rPr>
        <w:t xml:space="preserve">Initial </w:t>
      </w:r>
      <w:r w:rsidRPr="004357A7">
        <w:rPr>
          <w:rFonts w:ascii="Times New Roman" w:hAnsi="Times New Roman" w:cs="Times New Roman"/>
          <w:spacing w:val="-3"/>
          <w:u w:val="single"/>
        </w:rPr>
        <w:t>Form ATS-N</w:t>
      </w:r>
      <w:r w:rsidRPr="00285756">
        <w:rPr>
          <w:rFonts w:ascii="Times New Roman" w:hAnsi="Times New Roman" w:cs="Times New Roman"/>
          <w:spacing w:val="-3"/>
        </w:rPr>
        <w:t xml:space="preserve"> </w:t>
      </w:r>
    </w:p>
    <w:p w14:paraId="6C258657" w14:textId="77777777" w:rsidR="006E0A63" w:rsidRPr="00285756" w:rsidRDefault="006E0A63" w:rsidP="00BD7DD8">
      <w:pPr>
        <w:widowControl/>
        <w:tabs>
          <w:tab w:val="left" w:pos="-720"/>
        </w:tabs>
        <w:suppressAutoHyphens/>
        <w:rPr>
          <w:rFonts w:ascii="Times New Roman" w:hAnsi="Times New Roman" w:cs="Times New Roman"/>
          <w:spacing w:val="-3"/>
        </w:rPr>
      </w:pPr>
    </w:p>
    <w:p w14:paraId="1AA3C472" w14:textId="703CAC81" w:rsidR="006E0A63" w:rsidRPr="004357A7" w:rsidRDefault="006E0A63" w:rsidP="004357A7">
      <w:pPr>
        <w:ind w:firstLine="720"/>
        <w:rPr>
          <w:rFonts w:ascii="Times New Roman" w:hAnsi="Times New Roman" w:cs="Times New Roman"/>
        </w:rPr>
      </w:pPr>
      <w:r w:rsidRPr="004357A7">
        <w:rPr>
          <w:rFonts w:ascii="Times New Roman" w:hAnsi="Times New Roman" w:cs="Times New Roman"/>
        </w:rPr>
        <w:t xml:space="preserve">The Commission preliminarily estimates that a proposed </w:t>
      </w:r>
      <w:r w:rsidRPr="004357A7">
        <w:rPr>
          <w:rFonts w:ascii="Times New Roman" w:hAnsi="Times New Roman" w:cs="Times New Roman"/>
          <w:spacing w:val="-3"/>
        </w:rPr>
        <w:t xml:space="preserve">Form ATS-N will, on average, require an estimated 121.3 burden hours above the current baseline for an initial operation report on </w:t>
      </w:r>
      <w:r w:rsidRPr="004357A7">
        <w:rPr>
          <w:rFonts w:ascii="Times New Roman" w:hAnsi="Times New Roman" w:cs="Times New Roman"/>
          <w:spacing w:val="-3"/>
        </w:rPr>
        <w:lastRenderedPageBreak/>
        <w:t xml:space="preserve">current Form ATS.  This </w:t>
      </w:r>
      <w:r w:rsidR="00773E21">
        <w:rPr>
          <w:rFonts w:ascii="Times New Roman" w:hAnsi="Times New Roman" w:cs="Times New Roman"/>
          <w:spacing w:val="-3"/>
        </w:rPr>
        <w:t xml:space="preserve">would </w:t>
      </w:r>
      <w:r w:rsidRPr="004357A7">
        <w:rPr>
          <w:rFonts w:ascii="Times New Roman" w:hAnsi="Times New Roman" w:cs="Times New Roman"/>
          <w:spacing w:val="-3"/>
        </w:rPr>
        <w:t>result in an estimated 141.3 hours in total, including the current baseline.</w:t>
      </w:r>
      <w:bookmarkStart w:id="18" w:name="_Ref423536430"/>
      <w:r w:rsidRPr="004357A7">
        <w:rPr>
          <w:rFonts w:ascii="Times New Roman" w:hAnsi="Times New Roman" w:cs="Times New Roman"/>
          <w:spacing w:val="-3"/>
          <w:vertAlign w:val="superscript"/>
        </w:rPr>
        <w:footnoteReference w:id="32"/>
      </w:r>
      <w:bookmarkEnd w:id="18"/>
      <w:r w:rsidRPr="004357A7">
        <w:rPr>
          <w:rFonts w:ascii="Times New Roman" w:hAnsi="Times New Roman" w:cs="Times New Roman"/>
          <w:spacing w:val="-3"/>
        </w:rPr>
        <w:t xml:space="preserve">  </w:t>
      </w:r>
      <w:r w:rsidR="00CB5438" w:rsidRPr="00E858AC">
        <w:rPr>
          <w:rFonts w:ascii="Times New Roman" w:hAnsi="Times New Roman" w:cs="Times New Roman"/>
          <w:spacing w:val="-3"/>
        </w:rPr>
        <w:t>This would result in an aggregate annual burde</w:t>
      </w:r>
      <w:r w:rsidR="00CB5438">
        <w:rPr>
          <w:rFonts w:ascii="Times New Roman" w:hAnsi="Times New Roman" w:cs="Times New Roman"/>
          <w:spacing w:val="-3"/>
        </w:rPr>
        <w:t>n on all NMS Stock ATSs of 4,945.5 (35 filings x 141.3 hours).</w:t>
      </w:r>
      <w:r w:rsidR="00CB5438">
        <w:rPr>
          <w:rStyle w:val="FootnoteReference"/>
          <w:rFonts w:ascii="Times New Roman" w:hAnsi="Times New Roman" w:cs="Times New Roman"/>
          <w:spacing w:val="-3"/>
        </w:rPr>
        <w:footnoteReference w:id="33"/>
      </w:r>
      <w:r w:rsidR="00CB5438">
        <w:rPr>
          <w:rFonts w:ascii="Times New Roman" w:hAnsi="Times New Roman" w:cs="Times New Roman"/>
          <w:spacing w:val="-3"/>
        </w:rPr>
        <w:t xml:space="preserve">  </w:t>
      </w:r>
    </w:p>
    <w:p w14:paraId="6E8150C7" w14:textId="77777777" w:rsidR="006E0A63" w:rsidRPr="00285756" w:rsidRDefault="006E0A63" w:rsidP="00BD7DD8">
      <w:pPr>
        <w:widowControl/>
        <w:tabs>
          <w:tab w:val="left" w:pos="-720"/>
        </w:tabs>
        <w:suppressAutoHyphens/>
        <w:rPr>
          <w:rFonts w:ascii="Times New Roman" w:hAnsi="Times New Roman" w:cs="Times New Roman"/>
          <w:spacing w:val="-3"/>
        </w:rPr>
      </w:pPr>
    </w:p>
    <w:p w14:paraId="42A402F9" w14:textId="2B44DA14" w:rsidR="006E0A63" w:rsidRPr="001D4B88" w:rsidRDefault="006E0A63" w:rsidP="00BD7DD8">
      <w:pPr>
        <w:widowControl/>
        <w:tabs>
          <w:tab w:val="left" w:pos="-720"/>
        </w:tabs>
        <w:suppressAutoHyphens/>
        <w:rPr>
          <w:rFonts w:ascii="Times New Roman" w:hAnsi="Times New Roman" w:cs="Times New Roman"/>
          <w:spacing w:val="-3"/>
        </w:rPr>
      </w:pPr>
      <w:r w:rsidRPr="001D4B88">
        <w:rPr>
          <w:rFonts w:ascii="Times New Roman" w:hAnsi="Times New Roman" w:cs="Times New Roman"/>
          <w:spacing w:val="-3"/>
        </w:rPr>
        <w:tab/>
      </w:r>
      <w:r w:rsidRPr="001D4B88">
        <w:rPr>
          <w:rFonts w:ascii="Times New Roman" w:hAnsi="Times New Roman" w:cs="Times New Roman"/>
          <w:spacing w:val="-3"/>
        </w:rPr>
        <w:tab/>
      </w:r>
      <w:r w:rsidRPr="001D4B88">
        <w:rPr>
          <w:rFonts w:ascii="Times New Roman" w:hAnsi="Times New Roman" w:cs="Times New Roman"/>
          <w:spacing w:val="-3"/>
        </w:rPr>
        <w:tab/>
        <w:t>2.</w:t>
      </w:r>
      <w:r w:rsidRPr="001D4B88">
        <w:rPr>
          <w:rFonts w:ascii="Times New Roman" w:hAnsi="Times New Roman" w:cs="Times New Roman"/>
          <w:spacing w:val="-3"/>
        </w:rPr>
        <w:tab/>
      </w:r>
      <w:r w:rsidRPr="004357A7">
        <w:rPr>
          <w:rFonts w:ascii="Times New Roman" w:hAnsi="Times New Roman" w:cs="Times New Roman"/>
          <w:spacing w:val="-3"/>
          <w:u w:val="single"/>
        </w:rPr>
        <w:t>Form ATS-N Amendments</w:t>
      </w:r>
    </w:p>
    <w:p w14:paraId="647302F2" w14:textId="77777777" w:rsidR="006E0A63" w:rsidRPr="00285756" w:rsidRDefault="006E0A63" w:rsidP="00BD7DD8">
      <w:pPr>
        <w:widowControl/>
        <w:tabs>
          <w:tab w:val="left" w:pos="-720"/>
        </w:tabs>
        <w:suppressAutoHyphens/>
        <w:rPr>
          <w:rFonts w:ascii="Times New Roman" w:hAnsi="Times New Roman" w:cs="Times New Roman"/>
          <w:spacing w:val="-3"/>
        </w:rPr>
      </w:pPr>
    </w:p>
    <w:p w14:paraId="2C67AAED" w14:textId="77777777" w:rsidR="00B95DEB" w:rsidRPr="004357A7" w:rsidRDefault="006E0A63" w:rsidP="006E0A63">
      <w:pPr>
        <w:tabs>
          <w:tab w:val="left" w:pos="-720"/>
        </w:tabs>
        <w:suppressAutoHyphens/>
        <w:rPr>
          <w:rFonts w:ascii="Times New Roman" w:hAnsi="Times New Roman" w:cs="Times New Roman"/>
          <w:spacing w:val="-3"/>
        </w:rPr>
      </w:pPr>
      <w:r w:rsidRPr="004357A7">
        <w:rPr>
          <w:rFonts w:ascii="Times New Roman" w:hAnsi="Times New Roman" w:cs="Times New Roman"/>
          <w:spacing w:val="-3"/>
        </w:rPr>
        <w:tab/>
        <w:t>As previously noted, the Commission currently estimates that ATSs that trade NMS stocks submit 2 amendments, on average, each year.  The Commission preliminarily estimates that the 46 respondents will file 3 Form ATS-N Amendments each year, for an estimated total of 138 Form ATS-N Amendments.  The Commission notes that proposed Rule 304(a)(2) of Regulation ATS will contain the same three general categories of required amendments for proposed Form ATS-N as Rule 301(b)(2) of Regulation ATS currently requires for current Form ATS.</w:t>
      </w:r>
      <w:r w:rsidRPr="004357A7">
        <w:rPr>
          <w:rFonts w:ascii="Times New Roman" w:hAnsi="Times New Roman" w:cs="Times New Roman"/>
          <w:spacing w:val="-3"/>
          <w:vertAlign w:val="superscript"/>
        </w:rPr>
        <w:footnoteReference w:id="34"/>
      </w:r>
      <w:r w:rsidRPr="004357A7">
        <w:rPr>
          <w:rFonts w:ascii="Times New Roman" w:hAnsi="Times New Roman" w:cs="Times New Roman"/>
          <w:spacing w:val="-3"/>
        </w:rPr>
        <w:t xml:space="preserve">  However, due to the greater detail and number of disclosures required by proposed Form ATS-N, the Commission preliminarily believes that respondents may find it necessary to file a greater number of amendments to proposed Form ATS-N than ATSs that trade NMS stocks currently do on Form ATS. </w:t>
      </w:r>
    </w:p>
    <w:p w14:paraId="77AE4A2F" w14:textId="20151380" w:rsidR="006E0A63" w:rsidRPr="004357A7" w:rsidRDefault="006E0A63" w:rsidP="006E0A63">
      <w:pPr>
        <w:tabs>
          <w:tab w:val="left" w:pos="-720"/>
        </w:tabs>
        <w:suppressAutoHyphens/>
        <w:rPr>
          <w:rFonts w:ascii="Times New Roman" w:hAnsi="Times New Roman" w:cs="Times New Roman"/>
          <w:spacing w:val="-3"/>
        </w:rPr>
      </w:pPr>
      <w:r w:rsidRPr="004357A7">
        <w:rPr>
          <w:rFonts w:ascii="Times New Roman" w:hAnsi="Times New Roman" w:cs="Times New Roman"/>
          <w:spacing w:val="-3"/>
        </w:rPr>
        <w:t xml:space="preserve"> </w:t>
      </w:r>
    </w:p>
    <w:p w14:paraId="7460D2D3" w14:textId="70BD51F7" w:rsidR="006E0A63" w:rsidRPr="004357A7" w:rsidRDefault="006E0A63" w:rsidP="006E0A63">
      <w:pPr>
        <w:rPr>
          <w:rFonts w:ascii="Times New Roman" w:hAnsi="Times New Roman" w:cs="Times New Roman"/>
          <w:spacing w:val="-3"/>
        </w:rPr>
      </w:pPr>
      <w:r w:rsidRPr="004357A7">
        <w:rPr>
          <w:rFonts w:ascii="Times New Roman" w:hAnsi="Times New Roman" w:cs="Times New Roman"/>
          <w:spacing w:val="-3"/>
        </w:rPr>
        <w:tab/>
        <w:t>As noted above, the Commission currently estimates that the hourly burden related to an amendment to Form ATS is 6 hours. The Commission preliminarily estimates that the average hourly burden above this current baseline of 6 hours for each Form ATS-N Amendment would be 3 hours to accommodate the more voluminous and detailed disclosures required by Form ATS-N as compared to Form ATS.</w:t>
      </w:r>
      <w:bookmarkStart w:id="19" w:name="_Ref423537033"/>
      <w:r w:rsidRPr="004357A7">
        <w:rPr>
          <w:rFonts w:ascii="Times New Roman" w:hAnsi="Times New Roman" w:cs="Times New Roman"/>
          <w:spacing w:val="-3"/>
          <w:vertAlign w:val="superscript"/>
        </w:rPr>
        <w:footnoteReference w:id="35"/>
      </w:r>
      <w:bookmarkEnd w:id="19"/>
      <w:r w:rsidRPr="004357A7">
        <w:rPr>
          <w:rFonts w:ascii="Times New Roman" w:hAnsi="Times New Roman" w:cs="Times New Roman"/>
          <w:spacing w:val="-3"/>
        </w:rPr>
        <w:t xml:space="preserve">  An NMS Stock ATS would also be required to provide a </w:t>
      </w:r>
      <w:r w:rsidRPr="004357A7">
        <w:rPr>
          <w:rFonts w:ascii="Times New Roman" w:hAnsi="Times New Roman" w:cs="Times New Roman"/>
        </w:rPr>
        <w:t xml:space="preserve">brief narrative </w:t>
      </w:r>
      <w:r w:rsidRPr="004357A7">
        <w:rPr>
          <w:rFonts w:ascii="Times New Roman" w:hAnsi="Times New Roman" w:cs="Times New Roman"/>
        </w:rPr>
        <w:lastRenderedPageBreak/>
        <w:t xml:space="preserve">description of the amendment at the top of Form ATS-N and </w:t>
      </w:r>
      <w:proofErr w:type="gramStart"/>
      <w:r w:rsidRPr="004357A7">
        <w:rPr>
          <w:rFonts w:ascii="Times New Roman" w:hAnsi="Times New Roman" w:cs="Times New Roman"/>
        </w:rPr>
        <w:t>a</w:t>
      </w:r>
      <w:r w:rsidRPr="004357A7">
        <w:rPr>
          <w:rFonts w:ascii="Times New Roman" w:hAnsi="Times New Roman" w:cs="Times New Roman"/>
          <w:spacing w:val="-3"/>
        </w:rPr>
        <w:t xml:space="preserve"> redline</w:t>
      </w:r>
      <w:proofErr w:type="gramEnd"/>
      <w:r w:rsidRPr="004357A7">
        <w:rPr>
          <w:rFonts w:ascii="Times New Roman" w:hAnsi="Times New Roman" w:cs="Times New Roman"/>
          <w:spacing w:val="-3"/>
        </w:rPr>
        <w:t>(s) showing changes to Part III and/or Part IV of proposed Form ATS-N.  The Commission preliminarily estimates that this requirement would add an additional burden of 0.5 hours to draft the summary and prepare the redline version(s) showing the amendments the NMS Stock ATS is making.</w:t>
      </w:r>
      <w:r w:rsidRPr="004357A7">
        <w:rPr>
          <w:rStyle w:val="FootnoteReference"/>
          <w:rFonts w:ascii="Times New Roman" w:hAnsi="Times New Roman" w:cs="Times New Roman"/>
          <w:spacing w:val="-3"/>
        </w:rPr>
        <w:footnoteReference w:id="36"/>
      </w:r>
      <w:r w:rsidRPr="004357A7">
        <w:rPr>
          <w:rFonts w:ascii="Times New Roman" w:hAnsi="Times New Roman" w:cs="Times New Roman"/>
          <w:spacing w:val="-3"/>
        </w:rPr>
        <w:t xml:space="preserve">  This would result in a total estimated hourly burden, including the baseline, of 9.5 hours for a Form ATS-N Amendment,</w:t>
      </w:r>
      <w:bookmarkStart w:id="20" w:name="_Ref432513749"/>
      <w:r w:rsidRPr="004357A7">
        <w:rPr>
          <w:rFonts w:ascii="Times New Roman" w:hAnsi="Times New Roman" w:cs="Times New Roman"/>
          <w:spacing w:val="-3"/>
          <w:vertAlign w:val="superscript"/>
        </w:rPr>
        <w:footnoteReference w:id="37"/>
      </w:r>
      <w:bookmarkEnd w:id="20"/>
      <w:r w:rsidRPr="004357A7">
        <w:rPr>
          <w:rFonts w:ascii="Times New Roman" w:hAnsi="Times New Roman" w:cs="Times New Roman"/>
          <w:spacing w:val="-3"/>
        </w:rPr>
        <w:t xml:space="preserve"> and an aggregate annual burden on all NMS Stock ATSs of 1,311 hours.</w:t>
      </w:r>
      <w:bookmarkStart w:id="21" w:name="_Ref432516049"/>
      <w:r w:rsidRPr="004357A7">
        <w:rPr>
          <w:rFonts w:ascii="Times New Roman" w:hAnsi="Times New Roman" w:cs="Times New Roman"/>
          <w:spacing w:val="-3"/>
          <w:vertAlign w:val="superscript"/>
        </w:rPr>
        <w:footnoteReference w:id="38"/>
      </w:r>
      <w:bookmarkEnd w:id="21"/>
      <w:r w:rsidRPr="004357A7">
        <w:rPr>
          <w:rFonts w:ascii="Times New Roman" w:hAnsi="Times New Roman" w:cs="Times New Roman"/>
          <w:spacing w:val="-3"/>
        </w:rPr>
        <w:t xml:space="preserve">  </w:t>
      </w:r>
    </w:p>
    <w:p w14:paraId="29FE5356" w14:textId="77777777" w:rsidR="006E0A63" w:rsidRPr="004357A7" w:rsidRDefault="006E0A63" w:rsidP="006E0A63">
      <w:pPr>
        <w:rPr>
          <w:rFonts w:ascii="Times New Roman" w:hAnsi="Times New Roman" w:cs="Times New Roman"/>
          <w:spacing w:val="-3"/>
        </w:rPr>
      </w:pPr>
    </w:p>
    <w:p w14:paraId="1CCFE595" w14:textId="67D0DF08" w:rsidR="006E0A63" w:rsidRPr="004357A7" w:rsidRDefault="006E0A63" w:rsidP="006E0A63">
      <w:pPr>
        <w:rPr>
          <w:rFonts w:ascii="Times New Roman" w:hAnsi="Times New Roman" w:cs="Times New Roman"/>
          <w:spacing w:val="-3"/>
        </w:rPr>
      </w:pPr>
      <w:r w:rsidRPr="004357A7">
        <w:rPr>
          <w:rFonts w:ascii="Times New Roman" w:hAnsi="Times New Roman" w:cs="Times New Roman"/>
          <w:spacing w:val="-3"/>
        </w:rPr>
        <w:tab/>
      </w:r>
      <w:r w:rsidRPr="004357A7">
        <w:rPr>
          <w:rFonts w:ascii="Times New Roman" w:hAnsi="Times New Roman" w:cs="Times New Roman"/>
          <w:spacing w:val="-3"/>
        </w:rPr>
        <w:tab/>
      </w:r>
      <w:r w:rsidRPr="004357A7">
        <w:rPr>
          <w:rFonts w:ascii="Times New Roman" w:hAnsi="Times New Roman" w:cs="Times New Roman"/>
          <w:spacing w:val="-3"/>
        </w:rPr>
        <w:tab/>
      </w:r>
      <w:r w:rsidR="00CB67BF" w:rsidRPr="004357A7">
        <w:rPr>
          <w:rFonts w:ascii="Times New Roman" w:hAnsi="Times New Roman" w:cs="Times New Roman"/>
          <w:spacing w:val="-3"/>
        </w:rPr>
        <w:t>3.</w:t>
      </w:r>
      <w:r w:rsidR="00CB67BF" w:rsidRPr="004357A7">
        <w:rPr>
          <w:rFonts w:ascii="Times New Roman" w:hAnsi="Times New Roman" w:cs="Times New Roman"/>
          <w:spacing w:val="-3"/>
        </w:rPr>
        <w:tab/>
      </w:r>
      <w:r w:rsidR="00CB67BF" w:rsidRPr="004357A7">
        <w:rPr>
          <w:rFonts w:ascii="Times New Roman" w:hAnsi="Times New Roman" w:cs="Times New Roman"/>
          <w:spacing w:val="-3"/>
          <w:u w:val="single"/>
        </w:rPr>
        <w:t>Notice of Cessation on Proposed Form ATS-N</w:t>
      </w:r>
    </w:p>
    <w:p w14:paraId="53091E21" w14:textId="77777777" w:rsidR="00CB67BF" w:rsidRPr="004357A7" w:rsidRDefault="00CB67BF" w:rsidP="006E0A63">
      <w:pPr>
        <w:rPr>
          <w:rFonts w:ascii="Times New Roman" w:hAnsi="Times New Roman" w:cs="Times New Roman"/>
          <w:spacing w:val="-3"/>
        </w:rPr>
      </w:pPr>
    </w:p>
    <w:p w14:paraId="27046948" w14:textId="2D546544" w:rsidR="00CB67BF" w:rsidRPr="004357A7" w:rsidRDefault="00CB67BF" w:rsidP="004357A7">
      <w:pPr>
        <w:ind w:firstLine="720"/>
        <w:rPr>
          <w:rFonts w:ascii="Times New Roman" w:hAnsi="Times New Roman" w:cs="Times New Roman"/>
        </w:rPr>
      </w:pPr>
      <w:r w:rsidRPr="004357A7">
        <w:rPr>
          <w:rFonts w:ascii="Times New Roman" w:hAnsi="Times New Roman" w:cs="Times New Roman"/>
          <w:spacing w:val="-3"/>
        </w:rPr>
        <w:t xml:space="preserve">From 2012 through the first half of 2015, there have been </w:t>
      </w:r>
      <w:proofErr w:type="gramStart"/>
      <w:r w:rsidRPr="004357A7">
        <w:rPr>
          <w:rFonts w:ascii="Times New Roman" w:hAnsi="Times New Roman" w:cs="Times New Roman"/>
          <w:spacing w:val="-3"/>
        </w:rPr>
        <w:t>an average</w:t>
      </w:r>
      <w:proofErr w:type="gramEnd"/>
      <w:r w:rsidRPr="004357A7">
        <w:rPr>
          <w:rFonts w:ascii="Times New Roman" w:hAnsi="Times New Roman" w:cs="Times New Roman"/>
          <w:spacing w:val="-3"/>
        </w:rPr>
        <w:t xml:space="preserve"> of 6 ATSs that trade NMS stocks that cease operations each year.  Although it is unclear how many NMS Stock ATSs might cease operations each year going forward, for purposes of making a PRA burden estimate, the Commission is estimating that this average would generally remain the same for NMS Stock ATSs using Form ATS-N as economic conditions, business reasons, and other factors may cause some NMS Stock ATSs to cease operations.  Accordingly, the Commission preliminarily estimates that 6 respondents may to file a cessation of operation report on proposed Form ATS-N each year.  The Commission preliminarily believes that the burden for filing a cessation of operation report on proposed Form ATS-N will not be significantly greater than that for filing a cessation of operation report on current Form ATS because proposed Form ATS-N does not contain any additional requirements for a cessation of operation report.  For both Form ATS and proposed Form ATS-N, the primary requirement is to check the appropriate box indicating that the ATS is ceasing operations.  Accordingly, the Commission preliminarily estimates that the average compliance burden for each response would be 2 hours.</w:t>
      </w:r>
      <w:r w:rsidRPr="004357A7">
        <w:rPr>
          <w:rFonts w:ascii="Times New Roman" w:hAnsi="Times New Roman" w:cs="Times New Roman"/>
          <w:spacing w:val="-3"/>
          <w:vertAlign w:val="superscript"/>
        </w:rPr>
        <w:footnoteReference w:id="39"/>
      </w:r>
      <w:r w:rsidRPr="004357A7">
        <w:rPr>
          <w:rFonts w:ascii="Times New Roman" w:hAnsi="Times New Roman" w:cs="Times New Roman"/>
          <w:spacing w:val="-3"/>
        </w:rPr>
        <w:t xml:space="preserve">  This would result in an aggregate annual burden of 12 hours for NMS Stock ATSs that choose to cease operations and submit a cessation of operation report on Form ATS-N.</w:t>
      </w:r>
      <w:r w:rsidRPr="004357A7">
        <w:rPr>
          <w:rStyle w:val="FootnoteReference"/>
          <w:rFonts w:ascii="Times New Roman" w:hAnsi="Times New Roman" w:cs="Times New Roman"/>
          <w:spacing w:val="-3"/>
        </w:rPr>
        <w:footnoteReference w:id="40"/>
      </w:r>
      <w:r w:rsidRPr="004357A7">
        <w:rPr>
          <w:rFonts w:ascii="Times New Roman" w:hAnsi="Times New Roman" w:cs="Times New Roman"/>
        </w:rPr>
        <w:t xml:space="preserve"> </w:t>
      </w:r>
    </w:p>
    <w:p w14:paraId="0B6EF4C8" w14:textId="77777777" w:rsidR="006E0A63" w:rsidRPr="00285756" w:rsidRDefault="006E0A63" w:rsidP="00BD7DD8">
      <w:pPr>
        <w:widowControl/>
        <w:tabs>
          <w:tab w:val="left" w:pos="-720"/>
        </w:tabs>
        <w:suppressAutoHyphens/>
        <w:rPr>
          <w:rFonts w:ascii="Times New Roman" w:hAnsi="Times New Roman" w:cs="Times New Roman"/>
          <w:spacing w:val="-3"/>
        </w:rPr>
      </w:pPr>
    </w:p>
    <w:p w14:paraId="2FC2877B" w14:textId="29319166" w:rsidR="006E0A63" w:rsidRPr="00285756" w:rsidRDefault="00CB67BF" w:rsidP="00BD7DD8">
      <w:pPr>
        <w:widowControl/>
        <w:tabs>
          <w:tab w:val="left" w:pos="-720"/>
        </w:tabs>
        <w:suppressAutoHyphens/>
        <w:rPr>
          <w:rFonts w:ascii="Times New Roman" w:hAnsi="Times New Roman" w:cs="Times New Roman"/>
          <w:spacing w:val="-3"/>
        </w:rPr>
      </w:pPr>
      <w:r w:rsidRPr="001D4B88">
        <w:rPr>
          <w:rFonts w:ascii="Times New Roman" w:hAnsi="Times New Roman" w:cs="Times New Roman"/>
          <w:spacing w:val="-3"/>
        </w:rPr>
        <w:tab/>
      </w:r>
      <w:r w:rsidRPr="001D4B88">
        <w:rPr>
          <w:rFonts w:ascii="Times New Roman" w:hAnsi="Times New Roman" w:cs="Times New Roman"/>
          <w:spacing w:val="-3"/>
        </w:rPr>
        <w:tab/>
      </w:r>
      <w:r w:rsidR="008169AE">
        <w:rPr>
          <w:rFonts w:ascii="Times New Roman" w:hAnsi="Times New Roman" w:cs="Times New Roman"/>
          <w:spacing w:val="-3"/>
        </w:rPr>
        <w:tab/>
      </w:r>
      <w:r w:rsidRPr="001D4B88">
        <w:rPr>
          <w:rFonts w:ascii="Times New Roman" w:hAnsi="Times New Roman" w:cs="Times New Roman"/>
          <w:spacing w:val="-3"/>
        </w:rPr>
        <w:t>4.</w:t>
      </w:r>
      <w:r w:rsidRPr="001D4B88">
        <w:rPr>
          <w:rFonts w:ascii="Times New Roman" w:hAnsi="Times New Roman" w:cs="Times New Roman"/>
          <w:spacing w:val="-3"/>
        </w:rPr>
        <w:tab/>
      </w:r>
      <w:r w:rsidRPr="004357A7">
        <w:rPr>
          <w:rFonts w:ascii="Times New Roman" w:hAnsi="Times New Roman" w:cs="Times New Roman"/>
          <w:spacing w:val="-3"/>
          <w:u w:val="single"/>
        </w:rPr>
        <w:t>ATSs that Transact in Both NMS Stocks and non-NMS Stocks</w:t>
      </w:r>
    </w:p>
    <w:p w14:paraId="1537D479" w14:textId="77777777" w:rsidR="00CB67BF" w:rsidRPr="00285756" w:rsidRDefault="00CB67BF" w:rsidP="00BD7DD8">
      <w:pPr>
        <w:widowControl/>
        <w:tabs>
          <w:tab w:val="left" w:pos="-720"/>
        </w:tabs>
        <w:suppressAutoHyphens/>
        <w:rPr>
          <w:rFonts w:ascii="Times New Roman" w:hAnsi="Times New Roman" w:cs="Times New Roman"/>
          <w:spacing w:val="-3"/>
        </w:rPr>
      </w:pPr>
    </w:p>
    <w:p w14:paraId="376E1C02" w14:textId="400A46D2" w:rsidR="00CB67BF" w:rsidRPr="004357A7" w:rsidRDefault="00CB67BF" w:rsidP="00CB67BF">
      <w:pPr>
        <w:ind w:firstLine="720"/>
        <w:rPr>
          <w:rFonts w:ascii="Times New Roman" w:hAnsi="Times New Roman" w:cs="Times New Roman"/>
        </w:rPr>
      </w:pPr>
      <w:r w:rsidRPr="004357A7">
        <w:rPr>
          <w:rFonts w:ascii="Times New Roman" w:hAnsi="Times New Roman" w:cs="Times New Roman"/>
        </w:rPr>
        <w:t xml:space="preserve">Under proposed Rule 301(b)(2)(viii) of Regulation ATS, an ATS that effects trades in </w:t>
      </w:r>
      <w:r w:rsidRPr="004357A7">
        <w:rPr>
          <w:rFonts w:ascii="Times New Roman" w:hAnsi="Times New Roman" w:cs="Times New Roman"/>
        </w:rPr>
        <w:lastRenderedPageBreak/>
        <w:t xml:space="preserve">both NMS stocks and non-NMS stocks would have to submit a Form ATS-N with respect to its trading of NMS stocks and a revised Form ATS that removes discussion of those aspects of the ATS related to the trading of NMS stocks.  Under the proposed amendments to Rule 301(b)(9), an ATS that effects trades in both NMS stocks and non-NMS stocks would also be required to file separate Forms ATS-R – one disclosing trading volume in NMS stocks and one disclosing trading volume in non-NMS stocks.  Therefore, ATSs that are subject to these proposed requirements would incur:  (1) the above baseline burdens related to filing a Form ATS-N and Form ATS-N Amendments; (2) the additional burden of filing a new Form ATS to only disclose information related to non-NMS stock trading activity on the ATS; and (3) the burden of completing and filing two Forms ATS-R. </w:t>
      </w:r>
    </w:p>
    <w:p w14:paraId="6399E153" w14:textId="77777777" w:rsidR="00B95DEB" w:rsidRPr="004357A7" w:rsidRDefault="00B95DEB" w:rsidP="00CB67BF">
      <w:pPr>
        <w:ind w:firstLine="720"/>
        <w:rPr>
          <w:rFonts w:ascii="Times New Roman" w:hAnsi="Times New Roman" w:cs="Times New Roman"/>
        </w:rPr>
      </w:pPr>
    </w:p>
    <w:p w14:paraId="16353B57" w14:textId="271CA367" w:rsidR="00CB67BF" w:rsidRPr="004357A7" w:rsidRDefault="00CB67BF" w:rsidP="00CB67BF">
      <w:pPr>
        <w:ind w:firstLine="720"/>
        <w:rPr>
          <w:rFonts w:ascii="Times New Roman" w:hAnsi="Times New Roman" w:cs="Times New Roman"/>
        </w:rPr>
      </w:pPr>
      <w:r w:rsidRPr="004357A7">
        <w:rPr>
          <w:rFonts w:ascii="Times New Roman" w:hAnsi="Times New Roman" w:cs="Times New Roman"/>
        </w:rPr>
        <w:t>Accordingly, the Commission estimates that the total hourly burden for an ATS to separately file a Form ATS for its non-NMS stock trading activity and Form ATS-N for its NMS stock trading activity would be 20 burden hours for the initial operation report on Form ATS for its non-NMS stock trading activity and 141.3 burden hours for its Form ATS-N.  The Commission notes that the estimated hour burden related to the initial operation report submission on Form ATS for non-NMS stock trading activity might be less than the estimated 20 burden hours, as, to the extent the NMS Stock ATS in question is currently operating, the description of its non-NMS stock trading activity should already be contained in its existing Form ATS.</w:t>
      </w:r>
      <w:bookmarkStart w:id="22" w:name="_Ref430938081"/>
      <w:r w:rsidRPr="004357A7">
        <w:rPr>
          <w:rFonts w:ascii="Times New Roman" w:hAnsi="Times New Roman" w:cs="Times New Roman"/>
          <w:vertAlign w:val="superscript"/>
        </w:rPr>
        <w:footnoteReference w:id="41"/>
      </w:r>
      <w:bookmarkEnd w:id="22"/>
      <w:r w:rsidRPr="004357A7">
        <w:rPr>
          <w:rFonts w:ascii="Times New Roman" w:hAnsi="Times New Roman" w:cs="Times New Roman"/>
        </w:rPr>
        <w:t xml:space="preserve">  </w:t>
      </w:r>
      <w:r w:rsidR="00CA0477">
        <w:rPr>
          <w:rFonts w:ascii="Times New Roman" w:hAnsi="Times New Roman" w:cs="Times New Roman"/>
        </w:rPr>
        <w:t>T</w:t>
      </w:r>
      <w:r w:rsidRPr="004357A7">
        <w:rPr>
          <w:rFonts w:ascii="Times New Roman" w:hAnsi="Times New Roman" w:cs="Times New Roman"/>
        </w:rPr>
        <w:t xml:space="preserve">here are currently 11 ATSs that trade, or have indicated that they expect to trade in Exhibit B to their Form ATS, both NMS stocks and non-NMS stocks on the ATS.  Consequently, the Commission preliminarily estimates that the aggregate initial burden on ATSs to file these separate forms would be 1,774.3 hours, and the </w:t>
      </w:r>
      <w:r w:rsidRPr="004357A7">
        <w:rPr>
          <w:rFonts w:ascii="Times New Roman" w:hAnsi="Times New Roman" w:cs="Times New Roman"/>
          <w:spacing w:val="-3"/>
        </w:rPr>
        <w:t>aggregate annual burden for filing amendments to both forms would be 445.5 hours</w:t>
      </w:r>
      <w:r w:rsidRPr="004357A7">
        <w:rPr>
          <w:rFonts w:ascii="Times New Roman" w:hAnsi="Times New Roman" w:cs="Times New Roman"/>
        </w:rPr>
        <w:t>.</w:t>
      </w:r>
      <w:bookmarkStart w:id="23" w:name="_Ref430938088"/>
      <w:r w:rsidRPr="004357A7">
        <w:rPr>
          <w:rFonts w:ascii="Times New Roman" w:hAnsi="Times New Roman" w:cs="Times New Roman"/>
          <w:vertAlign w:val="superscript"/>
        </w:rPr>
        <w:footnoteReference w:id="42"/>
      </w:r>
      <w:bookmarkEnd w:id="23"/>
    </w:p>
    <w:p w14:paraId="6EC0EB67" w14:textId="77777777" w:rsidR="00CB67BF" w:rsidRPr="004357A7" w:rsidRDefault="00CB67BF" w:rsidP="00CB67BF">
      <w:pPr>
        <w:ind w:firstLine="720"/>
        <w:rPr>
          <w:rFonts w:ascii="Times New Roman" w:hAnsi="Times New Roman" w:cs="Times New Roman"/>
        </w:rPr>
      </w:pPr>
    </w:p>
    <w:p w14:paraId="13323E71" w14:textId="7ACF493A" w:rsidR="00CB67BF" w:rsidRPr="004357A7" w:rsidRDefault="00CB67BF" w:rsidP="004357A7">
      <w:pPr>
        <w:ind w:firstLine="720"/>
        <w:rPr>
          <w:rFonts w:ascii="Times New Roman" w:eastAsiaTheme="minorEastAsia" w:hAnsi="Times New Roman" w:cs="Times New Roman"/>
        </w:rPr>
      </w:pPr>
      <w:r w:rsidRPr="004357A7">
        <w:rPr>
          <w:rFonts w:ascii="Times New Roman" w:hAnsi="Times New Roman" w:cs="Times New Roman"/>
        </w:rPr>
        <w:t xml:space="preserve">The Commission estimates that the total burden for completing and filing </w:t>
      </w:r>
      <w:proofErr w:type="gramStart"/>
      <w:r w:rsidRPr="004357A7">
        <w:rPr>
          <w:rFonts w:ascii="Times New Roman" w:hAnsi="Times New Roman" w:cs="Times New Roman"/>
        </w:rPr>
        <w:t>two Form ATS-R</w:t>
      </w:r>
      <w:proofErr w:type="gramEnd"/>
      <w:r w:rsidRPr="004357A7">
        <w:rPr>
          <w:rFonts w:ascii="Times New Roman" w:hAnsi="Times New Roman" w:cs="Times New Roman"/>
        </w:rPr>
        <w:t xml:space="preserve"> would be 4.5 hours, which is 0.5 hours</w:t>
      </w:r>
      <w:r w:rsidRPr="004357A7">
        <w:rPr>
          <w:rStyle w:val="FootnoteReference"/>
          <w:rFonts w:ascii="Times New Roman" w:hAnsi="Times New Roman" w:cs="Times New Roman"/>
        </w:rPr>
        <w:footnoteReference w:id="43"/>
      </w:r>
      <w:r w:rsidRPr="004357A7">
        <w:rPr>
          <w:rFonts w:ascii="Times New Roman" w:hAnsi="Times New Roman" w:cs="Times New Roman"/>
        </w:rPr>
        <w:t xml:space="preserve"> above the current baseline burden of 4 hours for filing a Form ATS-R.  The Commission preliminarily believes that ATSs required to file </w:t>
      </w:r>
      <w:proofErr w:type="gramStart"/>
      <w:r w:rsidRPr="004357A7">
        <w:rPr>
          <w:rFonts w:ascii="Times New Roman" w:hAnsi="Times New Roman" w:cs="Times New Roman"/>
        </w:rPr>
        <w:t>two Forms ATS-R</w:t>
      </w:r>
      <w:proofErr w:type="gramEnd"/>
      <w:r w:rsidRPr="004357A7">
        <w:rPr>
          <w:rFonts w:ascii="Times New Roman" w:hAnsi="Times New Roman" w:cs="Times New Roman"/>
        </w:rPr>
        <w:t xml:space="preserve"> would incur an additional burden above the baseline because they would be required to divide their trading statistics between two forms and file each form separately.  The Commission does not believe that those ATSs would incur any additional burden to collect the required information because they currently assemble that information when preparing their </w:t>
      </w:r>
      <w:r w:rsidRPr="004357A7">
        <w:rPr>
          <w:rFonts w:ascii="Times New Roman" w:hAnsi="Times New Roman" w:cs="Times New Roman"/>
        </w:rPr>
        <w:lastRenderedPageBreak/>
        <w:t xml:space="preserve">current Form ATS-R filings.  </w:t>
      </w:r>
      <w:r w:rsidR="007D2D1D">
        <w:rPr>
          <w:rFonts w:ascii="Times New Roman" w:hAnsi="Times New Roman" w:cs="Times New Roman"/>
        </w:rPr>
        <w:t>T</w:t>
      </w:r>
      <w:r w:rsidRPr="004357A7">
        <w:rPr>
          <w:rFonts w:ascii="Times New Roman" w:hAnsi="Times New Roman" w:cs="Times New Roman"/>
        </w:rPr>
        <w:t xml:space="preserve">here are currently 11 ATSs that trade, or have indicated that they expect to trade in Exhibit B to their Form ATS, both NMS stocks and non-NMS stocks on the ATS; those ATSs would be required to file a pair of Forms ATS-R four times annually.  Consequently, the Commission estimates that the aggregate annual burden of filing </w:t>
      </w:r>
      <w:proofErr w:type="gramStart"/>
      <w:r w:rsidRPr="004357A7">
        <w:rPr>
          <w:rFonts w:ascii="Times New Roman" w:hAnsi="Times New Roman" w:cs="Times New Roman"/>
        </w:rPr>
        <w:t>two Forms ATS-R</w:t>
      </w:r>
      <w:proofErr w:type="gramEnd"/>
      <w:r w:rsidRPr="004357A7">
        <w:rPr>
          <w:rFonts w:ascii="Times New Roman" w:hAnsi="Times New Roman" w:cs="Times New Roman"/>
        </w:rPr>
        <w:t xml:space="preserve"> for those ATS that effect transactions in both NMS stocks and non-NMS stocks would be 198 hours.</w:t>
      </w:r>
      <w:bookmarkStart w:id="24" w:name="_Ref430936807"/>
      <w:r w:rsidRPr="004357A7">
        <w:rPr>
          <w:rStyle w:val="FootnoteReference"/>
          <w:rFonts w:ascii="Times New Roman" w:hAnsi="Times New Roman" w:cs="Times New Roman"/>
        </w:rPr>
        <w:footnoteReference w:id="44"/>
      </w:r>
      <w:bookmarkEnd w:id="24"/>
      <w:r w:rsidRPr="004357A7">
        <w:rPr>
          <w:rFonts w:ascii="Times New Roman" w:hAnsi="Times New Roman" w:cs="Times New Roman"/>
        </w:rPr>
        <w:t xml:space="preserve"> </w:t>
      </w:r>
    </w:p>
    <w:p w14:paraId="153CC984" w14:textId="77777777" w:rsidR="00CB67BF" w:rsidRPr="00285756" w:rsidRDefault="00CB67BF" w:rsidP="00BD7DD8">
      <w:pPr>
        <w:widowControl/>
        <w:tabs>
          <w:tab w:val="left" w:pos="-720"/>
        </w:tabs>
        <w:suppressAutoHyphens/>
        <w:rPr>
          <w:rFonts w:ascii="Times New Roman" w:hAnsi="Times New Roman" w:cs="Times New Roman"/>
          <w:spacing w:val="-3"/>
        </w:rPr>
      </w:pPr>
    </w:p>
    <w:p w14:paraId="25252D6D" w14:textId="6B53D709" w:rsidR="00CB67BF" w:rsidRPr="00285756" w:rsidRDefault="00CB67BF" w:rsidP="00CB67BF">
      <w:pPr>
        <w:ind w:firstLine="720"/>
        <w:rPr>
          <w:rFonts w:ascii="Times New Roman" w:hAnsi="Times New Roman" w:cs="Times New Roman"/>
          <w:spacing w:val="-3"/>
        </w:rPr>
      </w:pPr>
      <w:r w:rsidRPr="001D4B88">
        <w:rPr>
          <w:rFonts w:ascii="Times New Roman" w:hAnsi="Times New Roman" w:cs="Times New Roman"/>
          <w:spacing w:val="-3"/>
        </w:rPr>
        <w:tab/>
      </w:r>
      <w:r w:rsidRPr="001D4B88">
        <w:rPr>
          <w:rFonts w:ascii="Times New Roman" w:hAnsi="Times New Roman" w:cs="Times New Roman"/>
          <w:spacing w:val="-3"/>
        </w:rPr>
        <w:tab/>
      </w:r>
      <w:r w:rsidRPr="001D4B88">
        <w:rPr>
          <w:rFonts w:ascii="Times New Roman" w:hAnsi="Times New Roman" w:cs="Times New Roman"/>
          <w:spacing w:val="-3"/>
        </w:rPr>
        <w:tab/>
        <w:t>5.</w:t>
      </w:r>
      <w:r w:rsidRPr="001D4B88">
        <w:rPr>
          <w:rFonts w:ascii="Times New Roman" w:hAnsi="Times New Roman" w:cs="Times New Roman"/>
          <w:spacing w:val="-3"/>
        </w:rPr>
        <w:tab/>
      </w:r>
      <w:r w:rsidRPr="004357A7">
        <w:rPr>
          <w:rFonts w:ascii="Times New Roman" w:hAnsi="Times New Roman" w:cs="Times New Roman"/>
          <w:spacing w:val="-3"/>
          <w:u w:val="single"/>
        </w:rPr>
        <w:t>Access to EFFS</w:t>
      </w:r>
    </w:p>
    <w:p w14:paraId="77073A48" w14:textId="77777777" w:rsidR="00CB67BF" w:rsidRPr="00285756" w:rsidRDefault="00CB67BF" w:rsidP="00CB67BF">
      <w:pPr>
        <w:ind w:firstLine="720"/>
        <w:rPr>
          <w:rFonts w:ascii="Times New Roman" w:hAnsi="Times New Roman" w:cs="Times New Roman"/>
          <w:spacing w:val="-3"/>
        </w:rPr>
      </w:pPr>
    </w:p>
    <w:p w14:paraId="0C00220C" w14:textId="4165E500" w:rsidR="00CB67BF" w:rsidRPr="004357A7" w:rsidRDefault="00CB67BF" w:rsidP="00CB67BF">
      <w:pPr>
        <w:ind w:firstLine="720"/>
        <w:rPr>
          <w:rFonts w:ascii="Times New Roman" w:hAnsi="Times New Roman" w:cs="Times New Roman"/>
        </w:rPr>
      </w:pPr>
      <w:r w:rsidRPr="004357A7">
        <w:rPr>
          <w:rFonts w:ascii="Times New Roman" w:hAnsi="Times New Roman" w:cs="Times New Roman"/>
        </w:rPr>
        <w:t xml:space="preserve">The Commission proposes that Form ATS-N would be submitted electronically in a structured format and </w:t>
      </w:r>
      <w:proofErr w:type="gramStart"/>
      <w:r w:rsidRPr="004357A7">
        <w:rPr>
          <w:rFonts w:ascii="Times New Roman" w:hAnsi="Times New Roman" w:cs="Times New Roman"/>
        </w:rPr>
        <w:t>require</w:t>
      </w:r>
      <w:proofErr w:type="gramEnd"/>
      <w:r w:rsidRPr="004357A7">
        <w:rPr>
          <w:rFonts w:ascii="Times New Roman" w:hAnsi="Times New Roman" w:cs="Times New Roman"/>
        </w:rPr>
        <w:t xml:space="preserve"> an electronic signature. </w:t>
      </w:r>
      <w:r w:rsidR="007D2D1D">
        <w:rPr>
          <w:rFonts w:ascii="Times New Roman" w:hAnsi="Times New Roman" w:cs="Times New Roman"/>
        </w:rPr>
        <w:t xml:space="preserve"> </w:t>
      </w:r>
      <w:r w:rsidRPr="004357A7">
        <w:rPr>
          <w:rFonts w:ascii="Times New Roman" w:hAnsi="Times New Roman" w:cs="Times New Roman"/>
        </w:rPr>
        <w:t xml:space="preserve">Currently, ATSs that transact in NMS stock do not have the ability to access and submit an electronic form.  The proposed amendments to Regulation ATS would require that every NMS Stock ATS have the ability to submit forms electronically with an electronic signature.  The Commission’s proposal contemplates the use of an online filing system, the EFFS.  Based on the widespread use and availability of the Internet, the Commission preliminarily believes that filing Form ATS-N in an electronic format would be less burdensome and a more efficient filing process for NMS Stock ATSs and the Commission, as it is likely to be less expensive and cumbersome than mailing and filing paper forms to the Commission.  </w:t>
      </w:r>
    </w:p>
    <w:p w14:paraId="21662677" w14:textId="77777777" w:rsidR="00B95DEB" w:rsidRPr="004357A7" w:rsidRDefault="00B95DEB" w:rsidP="00CB67BF">
      <w:pPr>
        <w:ind w:firstLine="720"/>
        <w:rPr>
          <w:rFonts w:ascii="Times New Roman" w:hAnsi="Times New Roman" w:cs="Times New Roman"/>
        </w:rPr>
      </w:pPr>
    </w:p>
    <w:p w14:paraId="7C26D2F0" w14:textId="77777777" w:rsidR="00CB67BF" w:rsidRPr="004357A7" w:rsidRDefault="00CB67BF" w:rsidP="00CB67BF">
      <w:pPr>
        <w:ind w:firstLine="720"/>
        <w:rPr>
          <w:rFonts w:ascii="Times New Roman" w:hAnsi="Times New Roman" w:cs="Times New Roman"/>
        </w:rPr>
      </w:pPr>
      <w:r w:rsidRPr="004357A7">
        <w:rPr>
          <w:rFonts w:ascii="Times New Roman" w:hAnsi="Times New Roman" w:cs="Times New Roman"/>
        </w:rPr>
        <w:t>To access EFFS, an NMS Stock ATS would have to submit to the Commission an External Account User Application (“EAUA”) to register each individual at the NMS Stock ATS who would access the EFFS system on behalf of the NMS Stock ATS.  The Commission is including in its burden estimates the burden for completing the EAUA for each individual at an NMS Stock ATS who would request access to EFFS.  The Commission estimates that initially, on average, two individuals at each NMS Stock ATS would request access to EFFS through the EAUA, and each EAUA would take 0.15 hours to complete and submit.  Therefore, each NMS Stock ATS would require a total of 0.3 hours to complete the requisite EAUAs,</w:t>
      </w:r>
      <w:bookmarkStart w:id="25" w:name="_Ref432602117"/>
      <w:r w:rsidRPr="004357A7">
        <w:rPr>
          <w:rStyle w:val="FootnoteReference"/>
          <w:rFonts w:ascii="Times New Roman" w:hAnsi="Times New Roman" w:cs="Times New Roman"/>
        </w:rPr>
        <w:footnoteReference w:id="45"/>
      </w:r>
      <w:bookmarkEnd w:id="25"/>
      <w:r w:rsidRPr="004357A7">
        <w:rPr>
          <w:rFonts w:ascii="Times New Roman" w:hAnsi="Times New Roman" w:cs="Times New Roman"/>
        </w:rPr>
        <w:t xml:space="preserve"> or approximately 13.8 hours for all NMS Stock ATSs.</w:t>
      </w:r>
      <w:r w:rsidRPr="004357A7">
        <w:rPr>
          <w:rStyle w:val="FootnoteReference"/>
          <w:rFonts w:ascii="Times New Roman" w:hAnsi="Times New Roman" w:cs="Times New Roman"/>
        </w:rPr>
        <w:footnoteReference w:id="46"/>
      </w:r>
      <w:r w:rsidRPr="004357A7">
        <w:rPr>
          <w:rFonts w:ascii="Times New Roman" w:hAnsi="Times New Roman" w:cs="Times New Roman"/>
        </w:rPr>
        <w:t xml:space="preserve">  The Commission also preliminarily estimates that annually, on average, one individual at each NMS Stock ATS will request access to EFFS through the EAUA.</w:t>
      </w:r>
      <w:r w:rsidRPr="004357A7">
        <w:rPr>
          <w:rStyle w:val="FootnoteReference"/>
          <w:rFonts w:ascii="Times New Roman" w:hAnsi="Times New Roman" w:cs="Times New Roman"/>
        </w:rPr>
        <w:footnoteReference w:id="47"/>
      </w:r>
      <w:r w:rsidRPr="004357A7">
        <w:rPr>
          <w:rFonts w:ascii="Times New Roman" w:hAnsi="Times New Roman" w:cs="Times New Roman"/>
        </w:rPr>
        <w:t xml:space="preserve">  Therefore, the ongoing burden to complete the EAUA would be </w:t>
      </w:r>
      <w:r w:rsidRPr="004357A7">
        <w:rPr>
          <w:rFonts w:ascii="Times New Roman" w:hAnsi="Times New Roman" w:cs="Times New Roman"/>
        </w:rPr>
        <w:lastRenderedPageBreak/>
        <w:t>0.15 hours annually for each NMS Stock ATS,</w:t>
      </w:r>
      <w:r w:rsidRPr="004357A7">
        <w:rPr>
          <w:rStyle w:val="FootnoteReference"/>
          <w:rFonts w:ascii="Times New Roman" w:hAnsi="Times New Roman" w:cs="Times New Roman"/>
        </w:rPr>
        <w:footnoteReference w:id="48"/>
      </w:r>
      <w:r w:rsidRPr="004357A7">
        <w:rPr>
          <w:rFonts w:ascii="Times New Roman" w:hAnsi="Times New Roman" w:cs="Times New Roman"/>
        </w:rPr>
        <w:t xml:space="preserve"> or approximately 6.9 hours annually for all NMS Stock ATSs.</w:t>
      </w:r>
      <w:r w:rsidRPr="004357A7">
        <w:rPr>
          <w:rStyle w:val="FootnoteReference"/>
          <w:rFonts w:ascii="Times New Roman" w:hAnsi="Times New Roman" w:cs="Times New Roman"/>
        </w:rPr>
        <w:footnoteReference w:id="49"/>
      </w:r>
    </w:p>
    <w:p w14:paraId="66DE59A0" w14:textId="77777777" w:rsidR="00B95DEB" w:rsidRPr="004357A7" w:rsidRDefault="00B95DEB" w:rsidP="00CB67BF">
      <w:pPr>
        <w:ind w:firstLine="720"/>
        <w:rPr>
          <w:rFonts w:ascii="Times New Roman" w:hAnsi="Times New Roman" w:cs="Times New Roman"/>
        </w:rPr>
      </w:pPr>
    </w:p>
    <w:p w14:paraId="6E9EE87F" w14:textId="7B3C312A" w:rsidR="00CB67BF" w:rsidRPr="004357A7" w:rsidRDefault="00CB67BF" w:rsidP="00CB67BF">
      <w:pPr>
        <w:rPr>
          <w:rFonts w:ascii="Times New Roman" w:hAnsi="Times New Roman" w:cs="Times New Roman"/>
        </w:rPr>
      </w:pPr>
      <w:r w:rsidRPr="004357A7">
        <w:rPr>
          <w:rFonts w:ascii="Times New Roman" w:hAnsi="Times New Roman" w:cs="Times New Roman"/>
        </w:rPr>
        <w:tab/>
      </w:r>
      <w:r w:rsidRPr="004357A7">
        <w:rPr>
          <w:rFonts w:ascii="Times New Roman" w:hAnsi="Times New Roman" w:cs="Times New Roman"/>
        </w:rPr>
        <w:tab/>
      </w:r>
      <w:r w:rsidRPr="004357A7">
        <w:rPr>
          <w:rFonts w:ascii="Times New Roman" w:hAnsi="Times New Roman" w:cs="Times New Roman"/>
        </w:rPr>
        <w:tab/>
        <w:t>6.</w:t>
      </w:r>
      <w:r w:rsidRPr="004357A7">
        <w:rPr>
          <w:rFonts w:ascii="Times New Roman" w:hAnsi="Times New Roman" w:cs="Times New Roman"/>
        </w:rPr>
        <w:tab/>
      </w:r>
      <w:r w:rsidRPr="004357A7">
        <w:rPr>
          <w:rFonts w:ascii="Times New Roman" w:hAnsi="Times New Roman" w:cs="Times New Roman"/>
          <w:u w:val="single"/>
        </w:rPr>
        <w:t>Public Posting on NMS Stock ATS’s website</w:t>
      </w:r>
    </w:p>
    <w:p w14:paraId="1A95B8E3" w14:textId="77777777" w:rsidR="00CB67BF" w:rsidRPr="004357A7" w:rsidRDefault="00CB67BF" w:rsidP="00CB67BF">
      <w:pPr>
        <w:rPr>
          <w:rFonts w:ascii="Times New Roman" w:hAnsi="Times New Roman" w:cs="Times New Roman"/>
        </w:rPr>
      </w:pPr>
    </w:p>
    <w:p w14:paraId="2E82AF38" w14:textId="0D512C1D" w:rsidR="00CB67BF" w:rsidRPr="004357A7" w:rsidRDefault="00CB67BF" w:rsidP="008D0B49">
      <w:pPr>
        <w:rPr>
          <w:rFonts w:ascii="Times New Roman" w:hAnsi="Times New Roman" w:cs="Times New Roman"/>
          <w:spacing w:val="-3"/>
        </w:rPr>
      </w:pPr>
      <w:r w:rsidRPr="004357A7">
        <w:rPr>
          <w:rFonts w:ascii="Times New Roman" w:hAnsi="Times New Roman" w:cs="Times New Roman"/>
        </w:rPr>
        <w:tab/>
        <w:t>Proposed Rule 304(b)(3) would require each NMS Stock ATS to make public via posting on the NMS Stock ATS’s website a direct URL hyperlink to the Commission’s website that contains the documents enumerated in proposed Rule 304(b)(2).  The Commission preliminarily estimates that each NMS Stock ATS would incur an initial, one-time burden to program and configure its website in order to post the required direct URL hyperlink pursuant to proposed Rule 304(b)(3).  The Commission preliminarily estimates that this initial, one-time burden would be approximately 2 hours.</w:t>
      </w:r>
      <w:r w:rsidRPr="004357A7">
        <w:rPr>
          <w:rFonts w:ascii="Times New Roman" w:hAnsi="Times New Roman" w:cs="Times New Roman"/>
          <w:vertAlign w:val="superscript"/>
        </w:rPr>
        <w:footnoteReference w:id="50"/>
      </w:r>
      <w:r w:rsidRPr="004357A7">
        <w:rPr>
          <w:rFonts w:ascii="Times New Roman" w:hAnsi="Times New Roman" w:cs="Times New Roman"/>
        </w:rPr>
        <w:t xml:space="preserve">  Because the Commission preliminarily believes that many broker-dealer operators currently maintain a website for their NMS Stock ATSs</w:t>
      </w:r>
      <w:r w:rsidRPr="004357A7">
        <w:rPr>
          <w:rFonts w:ascii="Times New Roman" w:hAnsi="Times New Roman" w:cs="Times New Roman"/>
          <w:spacing w:val="-3"/>
        </w:rPr>
        <w:t>, the Commission preliminarily estimates that the aggregate initial, one-time burden would be approximately 92 hours.</w:t>
      </w:r>
      <w:r w:rsidRPr="004357A7">
        <w:rPr>
          <w:rFonts w:ascii="Times New Roman" w:hAnsi="Times New Roman" w:cs="Times New Roman"/>
          <w:spacing w:val="-3"/>
          <w:vertAlign w:val="superscript"/>
        </w:rPr>
        <w:footnoteReference w:id="51"/>
      </w:r>
      <w:r w:rsidRPr="004357A7">
        <w:rPr>
          <w:rFonts w:ascii="Times New Roman" w:hAnsi="Times New Roman" w:cs="Times New Roman"/>
          <w:spacing w:val="-3"/>
        </w:rPr>
        <w:t xml:space="preserve"> </w:t>
      </w:r>
      <w:r w:rsidRPr="004357A7">
        <w:rPr>
          <w:rFonts w:ascii="Times New Roman" w:hAnsi="Times New Roman" w:cs="Times New Roman"/>
        </w:rPr>
        <w:t xml:space="preserve"> </w:t>
      </w:r>
    </w:p>
    <w:p w14:paraId="6AD800DE" w14:textId="77777777" w:rsidR="00CB67BF" w:rsidRPr="004357A7" w:rsidRDefault="00CB67BF" w:rsidP="00CB67BF">
      <w:pPr>
        <w:rPr>
          <w:rFonts w:ascii="Times New Roman" w:hAnsi="Times New Roman" w:cs="Times New Roman"/>
        </w:rPr>
      </w:pPr>
    </w:p>
    <w:p w14:paraId="1EFA5136" w14:textId="555C6D8E" w:rsidR="00CB67BF" w:rsidRPr="004357A7" w:rsidRDefault="00EA670C" w:rsidP="00CB67BF">
      <w:pPr>
        <w:rPr>
          <w:rFonts w:ascii="Times New Roman" w:hAnsi="Times New Roman" w:cs="Times New Roman"/>
        </w:rPr>
      </w:pPr>
      <w:r w:rsidRPr="004357A7">
        <w:rPr>
          <w:rFonts w:ascii="Times New Roman" w:hAnsi="Times New Roman" w:cs="Times New Roman"/>
        </w:rPr>
        <w:tab/>
        <w:t>f.</w:t>
      </w:r>
      <w:r w:rsidRPr="004357A7">
        <w:rPr>
          <w:rFonts w:ascii="Times New Roman" w:hAnsi="Times New Roman" w:cs="Times New Roman"/>
        </w:rPr>
        <w:tab/>
      </w:r>
      <w:r w:rsidRPr="004357A7">
        <w:rPr>
          <w:rFonts w:ascii="Times New Roman" w:hAnsi="Times New Roman" w:cs="Times New Roman"/>
          <w:u w:val="single"/>
        </w:rPr>
        <w:t>Proposed Rule 301(b</w:t>
      </w:r>
      <w:proofErr w:type="gramStart"/>
      <w:r w:rsidRPr="004357A7">
        <w:rPr>
          <w:rFonts w:ascii="Times New Roman" w:hAnsi="Times New Roman" w:cs="Times New Roman"/>
          <w:u w:val="single"/>
        </w:rPr>
        <w:t>)(</w:t>
      </w:r>
      <w:proofErr w:type="gramEnd"/>
      <w:r w:rsidRPr="004357A7">
        <w:rPr>
          <w:rFonts w:ascii="Times New Roman" w:hAnsi="Times New Roman" w:cs="Times New Roman"/>
          <w:u w:val="single"/>
        </w:rPr>
        <w:t>10)</w:t>
      </w:r>
    </w:p>
    <w:p w14:paraId="7C47D8FF" w14:textId="6B5CA4A5" w:rsidR="00EA670C" w:rsidRPr="004357A7" w:rsidRDefault="00EA670C" w:rsidP="00CB67BF">
      <w:pPr>
        <w:rPr>
          <w:rFonts w:ascii="Times New Roman" w:hAnsi="Times New Roman" w:cs="Times New Roman"/>
        </w:rPr>
      </w:pPr>
      <w:r w:rsidRPr="004357A7">
        <w:rPr>
          <w:rFonts w:ascii="Times New Roman" w:hAnsi="Times New Roman" w:cs="Times New Roman"/>
        </w:rPr>
        <w:tab/>
      </w:r>
    </w:p>
    <w:p w14:paraId="1B3239B7" w14:textId="53D31037" w:rsidR="00EA670C" w:rsidRPr="004357A7" w:rsidRDefault="00EA670C" w:rsidP="00EA670C">
      <w:pPr>
        <w:ind w:firstLine="720"/>
        <w:rPr>
          <w:rFonts w:ascii="Times New Roman" w:hAnsi="Times New Roman" w:cs="Times New Roman"/>
        </w:rPr>
      </w:pPr>
      <w:r w:rsidRPr="004357A7">
        <w:rPr>
          <w:rFonts w:ascii="Times New Roman" w:hAnsi="Times New Roman" w:cs="Times New Roman"/>
        </w:rPr>
        <w:t>The Commissio</w:t>
      </w:r>
      <w:r w:rsidR="008D0B49" w:rsidRPr="008D0B49">
        <w:rPr>
          <w:rFonts w:ascii="Times New Roman" w:hAnsi="Times New Roman" w:cs="Times New Roman"/>
        </w:rPr>
        <w:t>n recognizes that proposed Rule</w:t>
      </w:r>
      <w:r w:rsidRPr="004357A7">
        <w:rPr>
          <w:rFonts w:ascii="Times New Roman" w:hAnsi="Times New Roman" w:cs="Times New Roman"/>
        </w:rPr>
        <w:t xml:space="preserve"> 301(b</w:t>
      </w:r>
      <w:proofErr w:type="gramStart"/>
      <w:r w:rsidRPr="004357A7">
        <w:rPr>
          <w:rFonts w:ascii="Times New Roman" w:hAnsi="Times New Roman" w:cs="Times New Roman"/>
        </w:rPr>
        <w:t>)(</w:t>
      </w:r>
      <w:proofErr w:type="gramEnd"/>
      <w:r w:rsidRPr="004357A7">
        <w:rPr>
          <w:rFonts w:ascii="Times New Roman" w:hAnsi="Times New Roman" w:cs="Times New Roman"/>
        </w:rPr>
        <w:t xml:space="preserve">10) of Regulation ATS would impose certain burdens on respondents.  For ATSs that currently have and preserve in written format the safeguards and procedures to protect subscribers’ confidential trading information and written oversight procedures to ensure such safeguards and procedures are followed, the Commission preliminarily believes that there will be no increased burden under </w:t>
      </w:r>
      <w:r w:rsidR="008D0B49" w:rsidRPr="008D0B49">
        <w:rPr>
          <w:rFonts w:ascii="Times New Roman" w:hAnsi="Times New Roman" w:cs="Times New Roman"/>
        </w:rPr>
        <w:t>the proposed amendments to Rule</w:t>
      </w:r>
      <w:r w:rsidRPr="004357A7">
        <w:rPr>
          <w:rFonts w:ascii="Times New Roman" w:hAnsi="Times New Roman" w:cs="Times New Roman"/>
        </w:rPr>
        <w:t xml:space="preserve"> 301(b</w:t>
      </w:r>
      <w:proofErr w:type="gramStart"/>
      <w:r w:rsidRPr="004357A7">
        <w:rPr>
          <w:rFonts w:ascii="Times New Roman" w:hAnsi="Times New Roman" w:cs="Times New Roman"/>
        </w:rPr>
        <w:t>)(</w:t>
      </w:r>
      <w:proofErr w:type="gramEnd"/>
      <w:r w:rsidRPr="004357A7">
        <w:rPr>
          <w:rFonts w:ascii="Times New Roman" w:hAnsi="Times New Roman" w:cs="Times New Roman"/>
        </w:rPr>
        <w:t>10) of Regulation ATS.  The Commission preliminarily believes that the current practices of those ATSs would already be in compliance with the proposed rules.  Therefore, the proposed amendments should not require those ATSs to take any measures or actions in addition to those currently undertaken.</w:t>
      </w:r>
    </w:p>
    <w:p w14:paraId="652B4E78" w14:textId="77777777" w:rsidR="00B95DEB" w:rsidRPr="004357A7" w:rsidRDefault="00B95DEB" w:rsidP="00EA670C">
      <w:pPr>
        <w:ind w:firstLine="720"/>
        <w:rPr>
          <w:rFonts w:ascii="Times New Roman" w:hAnsi="Times New Roman" w:cs="Times New Roman"/>
        </w:rPr>
      </w:pPr>
    </w:p>
    <w:p w14:paraId="63B0136D" w14:textId="54363C69" w:rsidR="00EA670C" w:rsidRDefault="00EA670C" w:rsidP="004357A7">
      <w:pPr>
        <w:ind w:firstLine="720"/>
        <w:rPr>
          <w:rFonts w:ascii="Times New Roman" w:hAnsi="Times New Roman" w:cs="Times New Roman"/>
          <w:spacing w:val="-3"/>
        </w:rPr>
      </w:pPr>
      <w:r w:rsidRPr="004357A7">
        <w:rPr>
          <w:rFonts w:ascii="Times New Roman" w:hAnsi="Times New Roman" w:cs="Times New Roman"/>
        </w:rPr>
        <w:t xml:space="preserve">For ATSs that have not recorded in writing their safeguards and procedures to protect subscribers’ confidential trading information and oversight procedures to ensure such safeguards and procedures are followed, there will be an initial, one-time burden to memorialize them in a written document(s).  The Commission preliminarily estimates that an ATS’s initial, one-time burden to put in writing its safeguards and procedures to protect subscribers’ confidential trading information and the oversight procedures to ensure such safeguards and procedures are followed would be approximately </w:t>
      </w:r>
      <w:r w:rsidR="00B36304">
        <w:rPr>
          <w:rFonts w:ascii="Times New Roman" w:hAnsi="Times New Roman" w:cs="Times New Roman"/>
        </w:rPr>
        <w:t>9</w:t>
      </w:r>
      <w:r w:rsidR="00B36304" w:rsidRPr="004357A7">
        <w:rPr>
          <w:rFonts w:ascii="Times New Roman" w:hAnsi="Times New Roman" w:cs="Times New Roman"/>
        </w:rPr>
        <w:t xml:space="preserve"> </w:t>
      </w:r>
      <w:r w:rsidRPr="004357A7">
        <w:rPr>
          <w:rFonts w:ascii="Times New Roman" w:hAnsi="Times New Roman" w:cs="Times New Roman"/>
        </w:rPr>
        <w:t>hours,</w:t>
      </w:r>
      <w:r w:rsidRPr="004357A7">
        <w:rPr>
          <w:rFonts w:ascii="Times New Roman" w:hAnsi="Times New Roman" w:cs="Times New Roman"/>
          <w:vertAlign w:val="superscript"/>
        </w:rPr>
        <w:footnoteReference w:id="52"/>
      </w:r>
      <w:r w:rsidRPr="004357A7">
        <w:rPr>
          <w:rFonts w:ascii="Times New Roman" w:hAnsi="Times New Roman" w:cs="Times New Roman"/>
        </w:rPr>
        <w:t xml:space="preserve"> but the Commission preliminarily estimates that the burden </w:t>
      </w:r>
      <w:r w:rsidRPr="004357A7">
        <w:rPr>
          <w:rFonts w:ascii="Times New Roman" w:hAnsi="Times New Roman" w:cs="Times New Roman"/>
        </w:rPr>
        <w:lastRenderedPageBreak/>
        <w:t xml:space="preserve">could range between </w:t>
      </w:r>
      <w:r w:rsidR="00160124">
        <w:rPr>
          <w:rFonts w:ascii="Times New Roman" w:hAnsi="Times New Roman" w:cs="Times New Roman"/>
        </w:rPr>
        <w:t>4</w:t>
      </w:r>
      <w:r w:rsidRPr="004357A7">
        <w:rPr>
          <w:rFonts w:ascii="Times New Roman" w:hAnsi="Times New Roman" w:cs="Times New Roman"/>
        </w:rPr>
        <w:t xml:space="preserve"> and </w:t>
      </w:r>
      <w:r w:rsidR="00160124">
        <w:rPr>
          <w:rFonts w:ascii="Times New Roman" w:hAnsi="Times New Roman" w:cs="Times New Roman"/>
        </w:rPr>
        <w:t>9</w:t>
      </w:r>
      <w:r w:rsidRPr="004357A7">
        <w:rPr>
          <w:rFonts w:ascii="Times New Roman" w:hAnsi="Times New Roman" w:cs="Times New Roman"/>
        </w:rPr>
        <w:t xml:space="preserve"> hours.</w:t>
      </w:r>
      <w:bookmarkStart w:id="26" w:name="_Ref431480425"/>
      <w:r w:rsidRPr="004357A7">
        <w:rPr>
          <w:rFonts w:ascii="Times New Roman" w:hAnsi="Times New Roman" w:cs="Times New Roman"/>
          <w:vertAlign w:val="superscript"/>
        </w:rPr>
        <w:footnoteReference w:id="53"/>
      </w:r>
      <w:bookmarkEnd w:id="26"/>
      <w:r w:rsidRPr="004357A7">
        <w:rPr>
          <w:rFonts w:ascii="Times New Roman" w:hAnsi="Times New Roman" w:cs="Times New Roman"/>
        </w:rPr>
        <w:t xml:space="preserve">  Because ATSs are already required to have safeguards and procedures to protect subscribers’ confidential trading information and to have oversight procedures to ensure such safeguards and procedures are followed, the Commission preliminarily believes that recording these items in a written format would not impose a substantial burden on ATSs.  Consequently, </w:t>
      </w:r>
      <w:r w:rsidRPr="004357A7">
        <w:rPr>
          <w:rFonts w:ascii="Times New Roman" w:hAnsi="Times New Roman" w:cs="Times New Roman"/>
          <w:spacing w:val="-3"/>
        </w:rPr>
        <w:t xml:space="preserve">the Commission preliminarily believes that </w:t>
      </w:r>
      <w:r w:rsidRPr="004357A7">
        <w:rPr>
          <w:rFonts w:ascii="Times New Roman" w:hAnsi="Times New Roman" w:cs="Times New Roman"/>
        </w:rPr>
        <w:t>ATSs would rely on internal staff to record the ATS’s Rule 301(b</w:t>
      </w:r>
      <w:proofErr w:type="gramStart"/>
      <w:r w:rsidRPr="004357A7">
        <w:rPr>
          <w:rFonts w:ascii="Times New Roman" w:hAnsi="Times New Roman" w:cs="Times New Roman"/>
        </w:rPr>
        <w:t>)(</w:t>
      </w:r>
      <w:proofErr w:type="gramEnd"/>
      <w:r w:rsidRPr="004357A7">
        <w:rPr>
          <w:rFonts w:ascii="Times New Roman" w:hAnsi="Times New Roman" w:cs="Times New Roman"/>
        </w:rPr>
        <w:t>10) procedures in writing</w:t>
      </w:r>
      <w:r w:rsidRPr="004357A7">
        <w:rPr>
          <w:rFonts w:ascii="Times New Roman" w:hAnsi="Times New Roman" w:cs="Times New Roman"/>
          <w:spacing w:val="-3"/>
        </w:rPr>
        <w:t>.  The Commission preliminarily estimates that, of the 84 current ATSs, 15 ATSs might not have their safeguards and procedures to protect subscribers’ confidential trading information or oversight procedures to ensure such safeguards and procedures are followed in writing, and would therefore be subject to this one-time initial burden.  Accordingly, the Commission preliminarily estimates that the aggregate initial, one-time</w:t>
      </w:r>
      <w:r w:rsidR="00160124" w:rsidRPr="00160124">
        <w:rPr>
          <w:rFonts w:ascii="Times New Roman" w:hAnsi="Times New Roman" w:cs="Times New Roman"/>
          <w:spacing w:val="-3"/>
        </w:rPr>
        <w:t xml:space="preserve"> </w:t>
      </w:r>
      <w:r w:rsidR="00B36304">
        <w:rPr>
          <w:rFonts w:ascii="Times New Roman" w:hAnsi="Times New Roman" w:cs="Times New Roman"/>
          <w:spacing w:val="-3"/>
        </w:rPr>
        <w:t xml:space="preserve">recordkeeping </w:t>
      </w:r>
      <w:r w:rsidR="00160124" w:rsidRPr="00160124">
        <w:rPr>
          <w:rFonts w:ascii="Times New Roman" w:hAnsi="Times New Roman" w:cs="Times New Roman"/>
          <w:spacing w:val="-3"/>
        </w:rPr>
        <w:t>burden on all ATSs would be 1</w:t>
      </w:r>
      <w:r w:rsidR="00160124">
        <w:rPr>
          <w:rFonts w:ascii="Times New Roman" w:hAnsi="Times New Roman" w:cs="Times New Roman"/>
          <w:spacing w:val="-3"/>
        </w:rPr>
        <w:t>35</w:t>
      </w:r>
      <w:r w:rsidRPr="004357A7">
        <w:rPr>
          <w:rFonts w:ascii="Times New Roman" w:hAnsi="Times New Roman" w:cs="Times New Roman"/>
          <w:spacing w:val="-3"/>
        </w:rPr>
        <w:t xml:space="preserve"> hours based on the Commission’s highest approximation of the additional burden per ATS.</w:t>
      </w:r>
      <w:bookmarkStart w:id="27" w:name="_Ref432515556"/>
      <w:r w:rsidRPr="004357A7">
        <w:rPr>
          <w:rFonts w:ascii="Times New Roman" w:hAnsi="Times New Roman" w:cs="Times New Roman"/>
          <w:spacing w:val="-3"/>
          <w:vertAlign w:val="superscript"/>
        </w:rPr>
        <w:footnoteReference w:id="54"/>
      </w:r>
      <w:bookmarkEnd w:id="27"/>
    </w:p>
    <w:p w14:paraId="0EEFB7F1" w14:textId="77777777" w:rsidR="002D4195" w:rsidRDefault="002D4195" w:rsidP="004357A7">
      <w:pPr>
        <w:ind w:firstLine="720"/>
        <w:rPr>
          <w:rFonts w:ascii="Times New Roman" w:hAnsi="Times New Roman" w:cs="Times New Roman"/>
          <w:spacing w:val="-3"/>
        </w:rPr>
      </w:pPr>
    </w:p>
    <w:p w14:paraId="6B6825D8" w14:textId="4FCC952B" w:rsidR="002D4195" w:rsidRDefault="002D4195" w:rsidP="004357A7">
      <w:pPr>
        <w:ind w:firstLine="720"/>
        <w:rPr>
          <w:rFonts w:ascii="Times New Roman" w:hAnsi="Times New Roman" w:cs="Times New Roman"/>
        </w:rPr>
      </w:pPr>
      <w:r w:rsidRPr="004357A7">
        <w:rPr>
          <w:rFonts w:ascii="Times New Roman" w:hAnsi="Times New Roman" w:cs="Times New Roman"/>
        </w:rPr>
        <w:t>The Commission preliminarily estimates that for ATSs that currently maintain written safeguards and written procedures to protect subscribers’ confidential trading information, the average annual, ongoing</w:t>
      </w:r>
      <w:r w:rsidR="00B36304">
        <w:rPr>
          <w:rFonts w:ascii="Times New Roman" w:hAnsi="Times New Roman" w:cs="Times New Roman"/>
        </w:rPr>
        <w:t xml:space="preserve"> recordkeeping</w:t>
      </w:r>
      <w:r w:rsidRPr="004357A7">
        <w:rPr>
          <w:rFonts w:ascii="Times New Roman" w:hAnsi="Times New Roman" w:cs="Times New Roman"/>
        </w:rPr>
        <w:t xml:space="preserve"> burden per ATS to update those standards would be </w:t>
      </w:r>
      <w:r w:rsidR="00160124">
        <w:rPr>
          <w:rFonts w:ascii="Times New Roman" w:hAnsi="Times New Roman" w:cs="Times New Roman"/>
        </w:rPr>
        <w:t>1.5</w:t>
      </w:r>
      <w:r w:rsidRPr="004357A7">
        <w:rPr>
          <w:rFonts w:ascii="Times New Roman" w:hAnsi="Times New Roman" w:cs="Times New Roman"/>
        </w:rPr>
        <w:t xml:space="preserve"> hours.</w:t>
      </w:r>
      <w:r w:rsidRPr="004357A7">
        <w:rPr>
          <w:rStyle w:val="FootnoteReference"/>
          <w:rFonts w:ascii="Times New Roman" w:hAnsi="Times New Roman" w:cs="Times New Roman"/>
        </w:rPr>
        <w:footnoteReference w:id="55"/>
      </w:r>
      <w:r w:rsidRPr="004357A7">
        <w:rPr>
          <w:rFonts w:ascii="Times New Roman" w:hAnsi="Times New Roman" w:cs="Times New Roman"/>
        </w:rPr>
        <w:t xml:space="preserve">  As a result, the Commission preliminarily estimates that the aggregate, ongoing burden per year for all ATSs to update their written standards would be </w:t>
      </w:r>
      <w:r w:rsidR="00160124">
        <w:rPr>
          <w:rFonts w:ascii="Times New Roman" w:hAnsi="Times New Roman" w:cs="Times New Roman"/>
        </w:rPr>
        <w:t>126</w:t>
      </w:r>
      <w:r w:rsidRPr="004357A7">
        <w:rPr>
          <w:rFonts w:ascii="Times New Roman" w:hAnsi="Times New Roman" w:cs="Times New Roman"/>
        </w:rPr>
        <w:t xml:space="preserve"> hours.</w:t>
      </w:r>
      <w:r w:rsidRPr="004357A7">
        <w:rPr>
          <w:rStyle w:val="FootnoteReference"/>
          <w:rFonts w:ascii="Times New Roman" w:hAnsi="Times New Roman" w:cs="Times New Roman"/>
        </w:rPr>
        <w:footnoteReference w:id="56"/>
      </w:r>
    </w:p>
    <w:p w14:paraId="26B49103" w14:textId="77777777" w:rsidR="00210AAC" w:rsidRPr="004357A7" w:rsidRDefault="00210AAC" w:rsidP="004357A7">
      <w:pPr>
        <w:ind w:firstLine="720"/>
        <w:rPr>
          <w:rFonts w:ascii="Times New Roman" w:hAnsi="Times New Roman" w:cs="Times New Roman"/>
          <w:spacing w:val="-3"/>
        </w:rPr>
      </w:pPr>
    </w:p>
    <w:p w14:paraId="2464A22A" w14:textId="45BDF55E" w:rsidR="00BD7DD8" w:rsidRPr="00F15124" w:rsidRDefault="00BD7DD8" w:rsidP="00BD7DD8">
      <w:pPr>
        <w:tabs>
          <w:tab w:val="left" w:pos="-720"/>
        </w:tabs>
        <w:suppressAutoHyphens/>
        <w:rPr>
          <w:rFonts w:ascii="Times New Roman" w:hAnsi="Times New Roman" w:cs="Times New Roman"/>
          <w:spacing w:val="-3"/>
        </w:rPr>
      </w:pPr>
      <w:r w:rsidRPr="00F15124">
        <w:rPr>
          <w:rFonts w:ascii="Times New Roman" w:hAnsi="Times New Roman" w:cs="Times New Roman"/>
          <w:spacing w:val="-3"/>
        </w:rPr>
        <w:tab/>
      </w:r>
      <w:r w:rsidRPr="00F15124">
        <w:rPr>
          <w:rFonts w:ascii="Times New Roman" w:hAnsi="Times New Roman" w:cs="Times New Roman"/>
          <w:spacing w:val="-3"/>
        </w:rPr>
        <w:tab/>
      </w:r>
      <w:r w:rsidR="00045BCE">
        <w:rPr>
          <w:rFonts w:ascii="Times New Roman" w:hAnsi="Times New Roman" w:cs="Times New Roman"/>
          <w:spacing w:val="-3"/>
        </w:rPr>
        <w:t>g</w:t>
      </w:r>
      <w:r w:rsidRPr="00F15124">
        <w:rPr>
          <w:rFonts w:ascii="Times New Roman" w:hAnsi="Times New Roman" w:cs="Times New Roman"/>
          <w:spacing w:val="-3"/>
        </w:rPr>
        <w:t>.</w:t>
      </w:r>
      <w:r w:rsidRPr="00F15124">
        <w:rPr>
          <w:rFonts w:ascii="Times New Roman" w:hAnsi="Times New Roman" w:cs="Times New Roman"/>
          <w:spacing w:val="-3"/>
        </w:rPr>
        <w:tab/>
      </w:r>
      <w:r w:rsidRPr="00F15124">
        <w:rPr>
          <w:rFonts w:ascii="Times New Roman" w:hAnsi="Times New Roman" w:cs="Times New Roman"/>
          <w:spacing w:val="-3"/>
          <w:u w:val="single"/>
        </w:rPr>
        <w:t xml:space="preserve">Establishment of Written Fair Access Standards </w:t>
      </w:r>
    </w:p>
    <w:p w14:paraId="43ADEC84" w14:textId="77777777" w:rsidR="00BD7DD8" w:rsidRPr="001D4B88" w:rsidRDefault="00BD7DD8" w:rsidP="00BD7DD8">
      <w:pPr>
        <w:tabs>
          <w:tab w:val="left" w:pos="-720"/>
        </w:tabs>
        <w:suppressAutoHyphens/>
        <w:rPr>
          <w:rFonts w:ascii="Times New Roman" w:hAnsi="Times New Roman" w:cs="Times New Roman"/>
          <w:spacing w:val="-3"/>
        </w:rPr>
      </w:pPr>
    </w:p>
    <w:p w14:paraId="025753D5" w14:textId="7B0C3C48" w:rsidR="00BD7DD8" w:rsidRPr="00285756" w:rsidRDefault="00BD7DD8" w:rsidP="00BD7DD8">
      <w:pPr>
        <w:tabs>
          <w:tab w:val="left" w:pos="-720"/>
        </w:tabs>
        <w:suppressAutoHyphens/>
        <w:rPr>
          <w:rFonts w:ascii="Times New Roman" w:hAnsi="Times New Roman" w:cs="Times New Roman"/>
          <w:spacing w:val="-3"/>
        </w:rPr>
      </w:pPr>
      <w:r w:rsidRPr="00285756">
        <w:rPr>
          <w:rFonts w:ascii="Times New Roman" w:hAnsi="Times New Roman" w:cs="Times New Roman"/>
          <w:spacing w:val="-3"/>
        </w:rPr>
        <w:tab/>
        <w:t xml:space="preserve">Alternative trading systems that choose to register as broker-dealers, comply with Regulation ATS, and meet certain volume thresholds are required to establish written standards for granting access to their systems.  The Commission estimates that 2 alternative trading systems that register as broker-dealers and comply with Regulation ATS would meet the volume thresholds that trigger fair access obligations, and that the average compliance burden of establishing written fair access standards for each entity would be 10 hours.  Thus, the total compliance </w:t>
      </w:r>
      <w:r w:rsidR="00EA321E" w:rsidRPr="00285756">
        <w:rPr>
          <w:rFonts w:ascii="Times New Roman" w:hAnsi="Times New Roman" w:cs="Times New Roman"/>
          <w:spacing w:val="-3"/>
        </w:rPr>
        <w:t xml:space="preserve">recordkeeping </w:t>
      </w:r>
      <w:r w:rsidRPr="00285756">
        <w:rPr>
          <w:rFonts w:ascii="Times New Roman" w:hAnsi="Times New Roman" w:cs="Times New Roman"/>
          <w:spacing w:val="-3"/>
        </w:rPr>
        <w:t xml:space="preserve">burden per year is 20 hours (2 responses x 10 hours = 20 hours).  </w:t>
      </w:r>
    </w:p>
    <w:p w14:paraId="538C0CCE" w14:textId="237AFBC7" w:rsidR="00BD7DD8" w:rsidRPr="00285756" w:rsidRDefault="00BD7DD8" w:rsidP="00BD7DD8">
      <w:pPr>
        <w:tabs>
          <w:tab w:val="left" w:pos="-720"/>
        </w:tabs>
        <w:suppressAutoHyphens/>
        <w:rPr>
          <w:rFonts w:ascii="Times New Roman" w:hAnsi="Times New Roman" w:cs="Times New Roman"/>
          <w:spacing w:val="-3"/>
        </w:rPr>
      </w:pPr>
      <w:r w:rsidRPr="00285756">
        <w:rPr>
          <w:rFonts w:ascii="Times New Roman" w:hAnsi="Times New Roman" w:cs="Times New Roman"/>
          <w:spacing w:val="-3"/>
        </w:rPr>
        <w:tab/>
      </w:r>
      <w:r w:rsidRPr="00285756">
        <w:rPr>
          <w:rFonts w:ascii="Times New Roman" w:hAnsi="Times New Roman" w:cs="Times New Roman"/>
          <w:spacing w:val="-3"/>
        </w:rPr>
        <w:tab/>
      </w:r>
      <w:r w:rsidR="00045BCE">
        <w:rPr>
          <w:rFonts w:ascii="Times New Roman" w:hAnsi="Times New Roman" w:cs="Times New Roman"/>
          <w:spacing w:val="-3"/>
        </w:rPr>
        <w:t>h</w:t>
      </w:r>
      <w:r w:rsidRPr="00285756">
        <w:rPr>
          <w:rFonts w:ascii="Times New Roman" w:hAnsi="Times New Roman" w:cs="Times New Roman"/>
          <w:spacing w:val="-3"/>
        </w:rPr>
        <w:t>.</w:t>
      </w:r>
      <w:r w:rsidRPr="00285756">
        <w:rPr>
          <w:rFonts w:ascii="Times New Roman" w:hAnsi="Times New Roman" w:cs="Times New Roman"/>
          <w:spacing w:val="-3"/>
        </w:rPr>
        <w:tab/>
      </w:r>
      <w:r w:rsidRPr="00285756">
        <w:rPr>
          <w:rFonts w:ascii="Times New Roman" w:hAnsi="Times New Roman" w:cs="Times New Roman"/>
          <w:spacing w:val="-3"/>
          <w:u w:val="single"/>
        </w:rPr>
        <w:t>Making and Keeping Records in Connection with Fair Access</w:t>
      </w:r>
    </w:p>
    <w:p w14:paraId="3ED414AD" w14:textId="77777777" w:rsidR="00BD7DD8" w:rsidRPr="00285756" w:rsidRDefault="00BD7DD8" w:rsidP="00BD7DD8">
      <w:pPr>
        <w:tabs>
          <w:tab w:val="left" w:pos="-720"/>
        </w:tabs>
        <w:suppressAutoHyphens/>
        <w:rPr>
          <w:rFonts w:ascii="Times New Roman" w:hAnsi="Times New Roman" w:cs="Times New Roman"/>
          <w:spacing w:val="-3"/>
        </w:rPr>
      </w:pPr>
    </w:p>
    <w:p w14:paraId="692A0284" w14:textId="1F719A7B" w:rsidR="00BD7DD8" w:rsidRPr="001D4B88" w:rsidRDefault="00BD7DD8" w:rsidP="00BD7DD8">
      <w:pPr>
        <w:tabs>
          <w:tab w:val="left" w:pos="-720"/>
        </w:tabs>
        <w:suppressAutoHyphens/>
        <w:rPr>
          <w:rFonts w:ascii="Times New Roman" w:hAnsi="Times New Roman" w:cs="Times New Roman"/>
          <w:spacing w:val="-3"/>
        </w:rPr>
      </w:pPr>
      <w:r w:rsidRPr="00285756">
        <w:rPr>
          <w:rFonts w:ascii="Times New Roman" w:hAnsi="Times New Roman" w:cs="Times New Roman"/>
          <w:spacing w:val="-3"/>
        </w:rPr>
        <w:tab/>
        <w:t>Alternative trading systems that choose to register as broker-dealers, comply with Regulation ATS, and meet certain volume thresholds are required to make and keep records of (1) all grants of access including, for all subscribers, the reasons for granting such access; and (2) all denials or limitations of access and reasons, for each applicant, for denying or limiting access.</w:t>
      </w:r>
      <w:r w:rsidRPr="00285756">
        <w:rPr>
          <w:rStyle w:val="FootnoteReference"/>
          <w:rFonts w:ascii="Times New Roman" w:hAnsi="Times New Roman" w:cs="Times New Roman"/>
          <w:spacing w:val="-3"/>
        </w:rPr>
        <w:footnoteReference w:id="57"/>
      </w:r>
      <w:r w:rsidRPr="00285756">
        <w:rPr>
          <w:rFonts w:ascii="Times New Roman" w:hAnsi="Times New Roman" w:cs="Times New Roman"/>
          <w:spacing w:val="-3"/>
        </w:rPr>
        <w:t xml:space="preserve">  In </w:t>
      </w:r>
      <w:r w:rsidRPr="00285756">
        <w:rPr>
          <w:rFonts w:ascii="Times New Roman" w:hAnsi="Times New Roman" w:cs="Times New Roman"/>
          <w:spacing w:val="-3"/>
        </w:rPr>
        <w:lastRenderedPageBreak/>
        <w:t>addition, the alternative trading systems that meet such volume thresholds must disclose on Exhibit C to Form ATS-R a list of all persons granted, denied, or limited access to the system during the relevant period.</w:t>
      </w:r>
      <w:r w:rsidRPr="00285756">
        <w:rPr>
          <w:rStyle w:val="FootnoteReference"/>
          <w:rFonts w:ascii="Times New Roman" w:hAnsi="Times New Roman" w:cs="Times New Roman"/>
          <w:spacing w:val="-3"/>
        </w:rPr>
        <w:footnoteReference w:id="58"/>
      </w:r>
      <w:r w:rsidRPr="00285756">
        <w:rPr>
          <w:rFonts w:ascii="Times New Roman" w:hAnsi="Times New Roman" w:cs="Times New Roman"/>
          <w:spacing w:val="-3"/>
        </w:rPr>
        <w:t xml:space="preserve">  The Commission estimates that 2 alternative trading systems that register as broker-dealers and comply with Regulation ATS</w:t>
      </w:r>
      <w:r w:rsidR="00126457" w:rsidRPr="00F15124">
        <w:rPr>
          <w:rFonts w:ascii="Times New Roman" w:hAnsi="Times New Roman" w:cs="Times New Roman"/>
          <w:spacing w:val="-3"/>
        </w:rPr>
        <w:t xml:space="preserve"> would</w:t>
      </w:r>
      <w:r w:rsidRPr="00F15124">
        <w:rPr>
          <w:rFonts w:ascii="Times New Roman" w:hAnsi="Times New Roman" w:cs="Times New Roman"/>
          <w:spacing w:val="-3"/>
        </w:rPr>
        <w:t xml:space="preserve"> be subject to these requirements, and that the average compliance </w:t>
      </w:r>
      <w:r w:rsidR="00EA321E" w:rsidRPr="001D4B88">
        <w:rPr>
          <w:rFonts w:ascii="Times New Roman" w:hAnsi="Times New Roman" w:cs="Times New Roman"/>
          <w:spacing w:val="-3"/>
        </w:rPr>
        <w:t xml:space="preserve">reporting </w:t>
      </w:r>
      <w:r w:rsidRPr="001D4B88">
        <w:rPr>
          <w:rFonts w:ascii="Times New Roman" w:hAnsi="Times New Roman" w:cs="Times New Roman"/>
          <w:spacing w:val="-3"/>
        </w:rPr>
        <w:t xml:space="preserve">burden for each entity would be 10 hours.  Thus, the total compliance burden per year is 20 hours (2 responses x 10 hours = 20 hours).  </w:t>
      </w:r>
    </w:p>
    <w:p w14:paraId="0BAF81B6" w14:textId="77777777" w:rsidR="00BD7DD8" w:rsidRPr="00285756" w:rsidRDefault="00BD7DD8" w:rsidP="00BD7DD8">
      <w:pPr>
        <w:tabs>
          <w:tab w:val="left" w:pos="-720"/>
        </w:tabs>
        <w:suppressAutoHyphens/>
        <w:rPr>
          <w:rFonts w:ascii="Times New Roman" w:hAnsi="Times New Roman" w:cs="Times New Roman"/>
          <w:spacing w:val="-3"/>
        </w:rPr>
      </w:pPr>
    </w:p>
    <w:p w14:paraId="670FCAFA" w14:textId="4019D8F6" w:rsidR="00BD7DD8" w:rsidRPr="00285756" w:rsidRDefault="00BD7DD8" w:rsidP="00BD7DD8">
      <w:pPr>
        <w:keepNext/>
        <w:widowControl/>
        <w:tabs>
          <w:tab w:val="left" w:pos="-720"/>
        </w:tabs>
        <w:suppressAutoHyphens/>
        <w:rPr>
          <w:rFonts w:ascii="Times New Roman" w:hAnsi="Times New Roman" w:cs="Times New Roman"/>
          <w:spacing w:val="-3"/>
        </w:rPr>
      </w:pPr>
      <w:r w:rsidRPr="00285756">
        <w:rPr>
          <w:rFonts w:ascii="Times New Roman" w:hAnsi="Times New Roman" w:cs="Times New Roman"/>
          <w:spacing w:val="-3"/>
        </w:rPr>
        <w:tab/>
      </w:r>
      <w:r w:rsidRPr="00285756">
        <w:rPr>
          <w:rFonts w:ascii="Times New Roman" w:hAnsi="Times New Roman" w:cs="Times New Roman"/>
          <w:spacing w:val="-3"/>
        </w:rPr>
        <w:tab/>
      </w:r>
      <w:r w:rsidR="00045BCE">
        <w:rPr>
          <w:rFonts w:ascii="Times New Roman" w:hAnsi="Times New Roman" w:cs="Times New Roman"/>
          <w:spacing w:val="-3"/>
        </w:rPr>
        <w:t>i</w:t>
      </w:r>
      <w:r w:rsidRPr="00285756">
        <w:rPr>
          <w:rFonts w:ascii="Times New Roman" w:hAnsi="Times New Roman" w:cs="Times New Roman"/>
          <w:spacing w:val="-3"/>
        </w:rPr>
        <w:t>.</w:t>
      </w:r>
      <w:r w:rsidRPr="00285756">
        <w:rPr>
          <w:rFonts w:ascii="Times New Roman" w:hAnsi="Times New Roman" w:cs="Times New Roman"/>
          <w:spacing w:val="-3"/>
        </w:rPr>
        <w:tab/>
      </w:r>
      <w:r w:rsidRPr="00285756">
        <w:rPr>
          <w:rFonts w:ascii="Times New Roman" w:hAnsi="Times New Roman" w:cs="Times New Roman"/>
          <w:spacing w:val="-3"/>
          <w:u w:val="single"/>
        </w:rPr>
        <w:t>Systems Capacity, Integrity, and Security Recordkeeping</w:t>
      </w:r>
    </w:p>
    <w:p w14:paraId="63EACAEF" w14:textId="77777777" w:rsidR="00BD7DD8" w:rsidRPr="00285756" w:rsidRDefault="00BD7DD8" w:rsidP="00BD7DD8">
      <w:pPr>
        <w:keepNext/>
        <w:widowControl/>
        <w:tabs>
          <w:tab w:val="left" w:pos="-720"/>
        </w:tabs>
        <w:suppressAutoHyphens/>
        <w:rPr>
          <w:rFonts w:ascii="Times New Roman" w:hAnsi="Times New Roman" w:cs="Times New Roman"/>
          <w:spacing w:val="-3"/>
        </w:rPr>
      </w:pPr>
    </w:p>
    <w:p w14:paraId="4178252A" w14:textId="608900B9" w:rsidR="006F4FB9" w:rsidRPr="00285756" w:rsidRDefault="00BD7DD8" w:rsidP="00BD7DD8">
      <w:pPr>
        <w:tabs>
          <w:tab w:val="left" w:pos="-720"/>
        </w:tabs>
        <w:suppressAutoHyphens/>
        <w:rPr>
          <w:rFonts w:ascii="Times New Roman" w:hAnsi="Times New Roman" w:cs="Times New Roman"/>
          <w:spacing w:val="-3"/>
        </w:rPr>
      </w:pPr>
      <w:r w:rsidRPr="00285756">
        <w:rPr>
          <w:rFonts w:ascii="Times New Roman" w:hAnsi="Times New Roman" w:cs="Times New Roman"/>
          <w:spacing w:val="-3"/>
        </w:rPr>
        <w:tab/>
      </w:r>
      <w:r w:rsidR="00D62A5B" w:rsidRPr="00285756">
        <w:rPr>
          <w:rFonts w:ascii="Times New Roman" w:hAnsi="Times New Roman" w:cs="Times New Roman"/>
          <w:spacing w:val="-3"/>
        </w:rPr>
        <w:t>Prior to Regulation SCI, a</w:t>
      </w:r>
      <w:r w:rsidR="003B19D0" w:rsidRPr="00285756">
        <w:rPr>
          <w:rFonts w:ascii="Times New Roman" w:hAnsi="Times New Roman" w:cs="Times New Roman"/>
          <w:spacing w:val="-3"/>
        </w:rPr>
        <w:t xml:space="preserve">lternative trading systems that choose to register as broker-dealers, comply with Regulation ATS, and meet certain volume thresholds </w:t>
      </w:r>
      <w:r w:rsidR="000F34EB" w:rsidRPr="00285756">
        <w:rPr>
          <w:rFonts w:ascii="Times New Roman" w:hAnsi="Times New Roman" w:cs="Times New Roman"/>
          <w:spacing w:val="-3"/>
        </w:rPr>
        <w:t>were</w:t>
      </w:r>
      <w:r w:rsidR="003B19D0" w:rsidRPr="00285756">
        <w:rPr>
          <w:rFonts w:ascii="Times New Roman" w:hAnsi="Times New Roman" w:cs="Times New Roman"/>
          <w:spacing w:val="-3"/>
        </w:rPr>
        <w:t xml:space="preserve"> required to make records relating to any steps taken to comply with systems capacity, integrity, and security requirements under Rule 301(b)(6).  </w:t>
      </w:r>
      <w:r w:rsidR="000F34EB" w:rsidRPr="00285756">
        <w:rPr>
          <w:rFonts w:ascii="Times New Roman" w:hAnsi="Times New Roman" w:cs="Times New Roman"/>
          <w:spacing w:val="-3"/>
        </w:rPr>
        <w:t>T</w:t>
      </w:r>
      <w:r w:rsidRPr="00285756">
        <w:rPr>
          <w:rFonts w:ascii="Times New Roman" w:hAnsi="Times New Roman" w:cs="Times New Roman"/>
          <w:spacing w:val="-3"/>
        </w:rPr>
        <w:t xml:space="preserve">he Commission </w:t>
      </w:r>
      <w:r w:rsidR="006F4FB9" w:rsidRPr="00285756">
        <w:rPr>
          <w:rFonts w:ascii="Times New Roman" w:hAnsi="Times New Roman" w:cs="Times New Roman"/>
          <w:spacing w:val="-3"/>
        </w:rPr>
        <w:t xml:space="preserve">had estimated that </w:t>
      </w:r>
      <w:r w:rsidR="003B19D0" w:rsidRPr="00285756">
        <w:rPr>
          <w:rFonts w:ascii="Times New Roman" w:hAnsi="Times New Roman" w:cs="Times New Roman"/>
          <w:spacing w:val="-3"/>
        </w:rPr>
        <w:t>2</w:t>
      </w:r>
      <w:r w:rsidRPr="00285756">
        <w:rPr>
          <w:rFonts w:ascii="Times New Roman" w:hAnsi="Times New Roman" w:cs="Times New Roman"/>
          <w:spacing w:val="-3"/>
        </w:rPr>
        <w:t xml:space="preserve"> alternative trading systems that register as broker-dealers and comply with R</w:t>
      </w:r>
      <w:r w:rsidR="00652BC2" w:rsidRPr="00285756">
        <w:rPr>
          <w:rFonts w:ascii="Times New Roman" w:hAnsi="Times New Roman" w:cs="Times New Roman"/>
          <w:spacing w:val="-3"/>
        </w:rPr>
        <w:t xml:space="preserve">egulation ATS would trigger </w:t>
      </w:r>
      <w:r w:rsidR="003B19D0" w:rsidRPr="00285756">
        <w:rPr>
          <w:rFonts w:ascii="Times New Roman" w:hAnsi="Times New Roman" w:cs="Times New Roman"/>
          <w:spacing w:val="-3"/>
        </w:rPr>
        <w:t>this requirement</w:t>
      </w:r>
      <w:r w:rsidRPr="00285756">
        <w:rPr>
          <w:rFonts w:ascii="Times New Roman" w:hAnsi="Times New Roman" w:cs="Times New Roman"/>
          <w:spacing w:val="-3"/>
        </w:rPr>
        <w:t>, and that the average compliance burden for each response would be 10 hours</w:t>
      </w:r>
      <w:r w:rsidR="00503FA0" w:rsidRPr="00285756">
        <w:rPr>
          <w:rFonts w:ascii="Times New Roman" w:hAnsi="Times New Roman" w:cs="Times New Roman"/>
          <w:spacing w:val="-3"/>
        </w:rPr>
        <w:t>.</w:t>
      </w:r>
      <w:r w:rsidRPr="00285756">
        <w:rPr>
          <w:rFonts w:ascii="Times New Roman" w:hAnsi="Times New Roman" w:cs="Times New Roman"/>
          <w:spacing w:val="-3"/>
        </w:rPr>
        <w:t xml:space="preserve"> </w:t>
      </w:r>
      <w:r w:rsidR="006F4FB9" w:rsidRPr="00285756">
        <w:rPr>
          <w:rFonts w:ascii="Times New Roman" w:hAnsi="Times New Roman" w:cs="Times New Roman"/>
          <w:spacing w:val="-3"/>
        </w:rPr>
        <w:t xml:space="preserve"> </w:t>
      </w:r>
      <w:r w:rsidR="00652BC2" w:rsidRPr="00285756">
        <w:rPr>
          <w:rFonts w:ascii="Times New Roman" w:hAnsi="Times New Roman" w:cs="Times New Roman"/>
          <w:spacing w:val="-3"/>
        </w:rPr>
        <w:t xml:space="preserve">Thus, the total </w:t>
      </w:r>
      <w:r w:rsidR="003B19D0" w:rsidRPr="00285756">
        <w:rPr>
          <w:rFonts w:ascii="Times New Roman" w:hAnsi="Times New Roman" w:cs="Times New Roman"/>
          <w:spacing w:val="-3"/>
        </w:rPr>
        <w:t xml:space="preserve">compliance </w:t>
      </w:r>
      <w:r w:rsidR="00652BC2" w:rsidRPr="00285756">
        <w:rPr>
          <w:rFonts w:ascii="Times New Roman" w:hAnsi="Times New Roman" w:cs="Times New Roman"/>
          <w:spacing w:val="-3"/>
        </w:rPr>
        <w:t xml:space="preserve">burden per year was estimated to be 20 hours (2 </w:t>
      </w:r>
      <w:r w:rsidR="00681F57" w:rsidRPr="00285756">
        <w:rPr>
          <w:rFonts w:ascii="Times New Roman" w:hAnsi="Times New Roman" w:cs="Times New Roman"/>
          <w:spacing w:val="-3"/>
        </w:rPr>
        <w:t>responses</w:t>
      </w:r>
      <w:r w:rsidR="008129DB" w:rsidRPr="00285756">
        <w:rPr>
          <w:rFonts w:ascii="Times New Roman" w:hAnsi="Times New Roman" w:cs="Times New Roman"/>
          <w:spacing w:val="-3"/>
        </w:rPr>
        <w:t xml:space="preserve"> x 10 hours = 20 hours</w:t>
      </w:r>
      <w:r w:rsidR="00652BC2" w:rsidRPr="00285756">
        <w:rPr>
          <w:rFonts w:ascii="Times New Roman" w:hAnsi="Times New Roman" w:cs="Times New Roman"/>
          <w:spacing w:val="-3"/>
        </w:rPr>
        <w:t>)</w:t>
      </w:r>
      <w:r w:rsidR="008129DB" w:rsidRPr="00285756">
        <w:rPr>
          <w:rFonts w:ascii="Times New Roman" w:hAnsi="Times New Roman" w:cs="Times New Roman"/>
          <w:spacing w:val="-3"/>
        </w:rPr>
        <w:t>.</w:t>
      </w:r>
      <w:r w:rsidR="00652BC2" w:rsidRPr="00285756">
        <w:rPr>
          <w:rFonts w:ascii="Times New Roman" w:hAnsi="Times New Roman" w:cs="Times New Roman"/>
          <w:spacing w:val="-3"/>
        </w:rPr>
        <w:t xml:space="preserve">  </w:t>
      </w:r>
      <w:r w:rsidR="00BA1ACE" w:rsidRPr="00285756">
        <w:rPr>
          <w:rFonts w:ascii="Times New Roman" w:hAnsi="Times New Roman" w:cs="Times New Roman"/>
          <w:spacing w:val="-3"/>
        </w:rPr>
        <w:t xml:space="preserve">In connection with Regulation SCI, the Commission removed significant-volume </w:t>
      </w:r>
      <w:r w:rsidR="008334A2" w:rsidRPr="00285756">
        <w:rPr>
          <w:rFonts w:ascii="Times New Roman" w:hAnsi="Times New Roman" w:cs="Times New Roman"/>
        </w:rPr>
        <w:t>alternative trading systems</w:t>
      </w:r>
      <w:r w:rsidR="008334A2" w:rsidRPr="00285756">
        <w:rPr>
          <w:rFonts w:ascii="Times New Roman" w:hAnsi="Times New Roman" w:cs="Times New Roman"/>
          <w:spacing w:val="-3"/>
        </w:rPr>
        <w:t xml:space="preserve"> </w:t>
      </w:r>
      <w:r w:rsidR="00BA1ACE" w:rsidRPr="00285756">
        <w:rPr>
          <w:rFonts w:ascii="Times New Roman" w:hAnsi="Times New Roman" w:cs="Times New Roman"/>
          <w:spacing w:val="-3"/>
        </w:rPr>
        <w:t xml:space="preserve">that trade NMS stocks and non-NMS stocks from the requirements </w:t>
      </w:r>
      <w:r w:rsidR="007920CA" w:rsidRPr="00285756">
        <w:rPr>
          <w:rFonts w:ascii="Times New Roman" w:hAnsi="Times New Roman" w:cs="Times New Roman"/>
          <w:spacing w:val="-3"/>
        </w:rPr>
        <w:t>of Rule 301(b)(6)</w:t>
      </w:r>
      <w:r w:rsidR="00BA1ACE" w:rsidRPr="00285756">
        <w:rPr>
          <w:rFonts w:ascii="Times New Roman" w:hAnsi="Times New Roman" w:cs="Times New Roman"/>
          <w:spacing w:val="-3"/>
        </w:rPr>
        <w:t xml:space="preserve">.  </w:t>
      </w:r>
      <w:r w:rsidR="00A67F65" w:rsidRPr="00285756">
        <w:rPr>
          <w:rFonts w:ascii="Times New Roman" w:hAnsi="Times New Roman" w:cs="Times New Roman"/>
          <w:spacing w:val="-3"/>
        </w:rPr>
        <w:t xml:space="preserve">The Commission now estimates </w:t>
      </w:r>
      <w:r w:rsidR="00652BC2" w:rsidRPr="00285756">
        <w:rPr>
          <w:rFonts w:ascii="Times New Roman" w:hAnsi="Times New Roman" w:cs="Times New Roman"/>
          <w:spacing w:val="-3"/>
        </w:rPr>
        <w:t xml:space="preserve">that </w:t>
      </w:r>
      <w:r w:rsidR="00A67F65" w:rsidRPr="00285756">
        <w:rPr>
          <w:rFonts w:ascii="Times New Roman" w:hAnsi="Times New Roman" w:cs="Times New Roman"/>
          <w:spacing w:val="-3"/>
        </w:rPr>
        <w:t xml:space="preserve">no </w:t>
      </w:r>
      <w:r w:rsidR="008334A2" w:rsidRPr="00285756">
        <w:rPr>
          <w:rFonts w:ascii="Times New Roman" w:hAnsi="Times New Roman" w:cs="Times New Roman"/>
        </w:rPr>
        <w:t>alternative trading systems</w:t>
      </w:r>
      <w:r w:rsidR="008334A2" w:rsidRPr="00285756">
        <w:rPr>
          <w:rFonts w:ascii="Times New Roman" w:hAnsi="Times New Roman" w:cs="Times New Roman"/>
          <w:spacing w:val="-3"/>
        </w:rPr>
        <w:t xml:space="preserve"> </w:t>
      </w:r>
      <w:r w:rsidR="00A67F65" w:rsidRPr="00285756">
        <w:rPr>
          <w:rFonts w:ascii="Times New Roman" w:hAnsi="Times New Roman" w:cs="Times New Roman"/>
          <w:spacing w:val="-3"/>
        </w:rPr>
        <w:t xml:space="preserve">will trigger </w:t>
      </w:r>
      <w:r w:rsidR="0001179E" w:rsidRPr="00285756">
        <w:rPr>
          <w:rFonts w:ascii="Times New Roman" w:hAnsi="Times New Roman" w:cs="Times New Roman"/>
          <w:spacing w:val="-3"/>
        </w:rPr>
        <w:t>this recordkeeping</w:t>
      </w:r>
      <w:r w:rsidR="00A67F65" w:rsidRPr="00285756">
        <w:rPr>
          <w:rFonts w:ascii="Times New Roman" w:hAnsi="Times New Roman" w:cs="Times New Roman"/>
          <w:spacing w:val="-3"/>
        </w:rPr>
        <w:t xml:space="preserve"> </w:t>
      </w:r>
      <w:r w:rsidR="0001179E" w:rsidRPr="00285756">
        <w:rPr>
          <w:rFonts w:ascii="Times New Roman" w:hAnsi="Times New Roman" w:cs="Times New Roman"/>
          <w:spacing w:val="-3"/>
        </w:rPr>
        <w:t>requirement</w:t>
      </w:r>
      <w:r w:rsidR="00A67F65" w:rsidRPr="00285756">
        <w:rPr>
          <w:rFonts w:ascii="Times New Roman" w:hAnsi="Times New Roman" w:cs="Times New Roman"/>
          <w:spacing w:val="-3"/>
        </w:rPr>
        <w:t>.</w:t>
      </w:r>
      <w:r w:rsidR="00652BC2" w:rsidRPr="00285756">
        <w:rPr>
          <w:rFonts w:ascii="Times New Roman" w:hAnsi="Times New Roman" w:cs="Times New Roman"/>
          <w:spacing w:val="-3"/>
        </w:rPr>
        <w:t xml:space="preserve">  Thus, these burdens </w:t>
      </w:r>
      <w:r w:rsidR="0001179E" w:rsidRPr="00285756">
        <w:rPr>
          <w:rFonts w:ascii="Times New Roman" w:hAnsi="Times New Roman" w:cs="Times New Roman"/>
          <w:spacing w:val="-3"/>
        </w:rPr>
        <w:t>are</w:t>
      </w:r>
      <w:r w:rsidR="00652BC2" w:rsidRPr="00285756">
        <w:rPr>
          <w:rFonts w:ascii="Times New Roman" w:hAnsi="Times New Roman" w:cs="Times New Roman"/>
          <w:spacing w:val="-3"/>
        </w:rPr>
        <w:t xml:space="preserve"> eliminated.</w:t>
      </w:r>
      <w:r w:rsidR="006F4FB9" w:rsidRPr="00285756">
        <w:rPr>
          <w:rFonts w:ascii="Times New Roman" w:hAnsi="Times New Roman" w:cs="Times New Roman"/>
          <w:spacing w:val="-3"/>
        </w:rPr>
        <w:t xml:space="preserve"> </w:t>
      </w:r>
    </w:p>
    <w:p w14:paraId="39369D24" w14:textId="77777777" w:rsidR="006F4FB9" w:rsidRPr="00285756" w:rsidRDefault="006F4FB9" w:rsidP="00BD7DD8">
      <w:pPr>
        <w:tabs>
          <w:tab w:val="left" w:pos="-720"/>
        </w:tabs>
        <w:suppressAutoHyphens/>
        <w:rPr>
          <w:rFonts w:ascii="Times New Roman" w:hAnsi="Times New Roman" w:cs="Times New Roman"/>
          <w:spacing w:val="-3"/>
        </w:rPr>
      </w:pPr>
    </w:p>
    <w:p w14:paraId="7F374298" w14:textId="3AA51CC6" w:rsidR="00BD7DD8" w:rsidRPr="00285756" w:rsidRDefault="00BD7DD8" w:rsidP="00BD7DD8">
      <w:pPr>
        <w:keepNext/>
        <w:widowControl/>
        <w:tabs>
          <w:tab w:val="left" w:pos="-720"/>
        </w:tabs>
        <w:suppressAutoHyphens/>
        <w:rPr>
          <w:rFonts w:ascii="Times New Roman" w:hAnsi="Times New Roman" w:cs="Times New Roman"/>
          <w:spacing w:val="-3"/>
        </w:rPr>
      </w:pPr>
      <w:r w:rsidRPr="00285756">
        <w:rPr>
          <w:rFonts w:ascii="Times New Roman" w:hAnsi="Times New Roman" w:cs="Times New Roman"/>
          <w:spacing w:val="-3"/>
        </w:rPr>
        <w:tab/>
      </w:r>
      <w:r w:rsidRPr="00285756">
        <w:rPr>
          <w:rFonts w:ascii="Times New Roman" w:hAnsi="Times New Roman" w:cs="Times New Roman"/>
          <w:spacing w:val="-3"/>
        </w:rPr>
        <w:tab/>
      </w:r>
      <w:r w:rsidR="00045BCE">
        <w:rPr>
          <w:rFonts w:ascii="Times New Roman" w:hAnsi="Times New Roman" w:cs="Times New Roman"/>
          <w:spacing w:val="-3"/>
        </w:rPr>
        <w:t>j</w:t>
      </w:r>
      <w:r w:rsidRPr="00285756">
        <w:rPr>
          <w:rFonts w:ascii="Times New Roman" w:hAnsi="Times New Roman" w:cs="Times New Roman"/>
          <w:spacing w:val="-3"/>
        </w:rPr>
        <w:t>.</w:t>
      </w:r>
      <w:r w:rsidRPr="00285756">
        <w:rPr>
          <w:rFonts w:ascii="Times New Roman" w:hAnsi="Times New Roman" w:cs="Times New Roman"/>
          <w:spacing w:val="-3"/>
        </w:rPr>
        <w:tab/>
      </w:r>
      <w:r w:rsidRPr="00285756">
        <w:rPr>
          <w:rFonts w:ascii="Times New Roman" w:hAnsi="Times New Roman" w:cs="Times New Roman"/>
          <w:spacing w:val="-3"/>
          <w:u w:val="single"/>
        </w:rPr>
        <w:t>Systems Outage Notices</w:t>
      </w:r>
    </w:p>
    <w:p w14:paraId="0602BD3B" w14:textId="77777777" w:rsidR="00BD7DD8" w:rsidRPr="00285756" w:rsidRDefault="00BD7DD8" w:rsidP="00BD7DD8">
      <w:pPr>
        <w:keepNext/>
        <w:widowControl/>
        <w:tabs>
          <w:tab w:val="left" w:pos="-720"/>
        </w:tabs>
        <w:suppressAutoHyphens/>
        <w:rPr>
          <w:rFonts w:ascii="Times New Roman" w:hAnsi="Times New Roman" w:cs="Times New Roman"/>
          <w:spacing w:val="-3"/>
        </w:rPr>
      </w:pPr>
    </w:p>
    <w:p w14:paraId="32222539" w14:textId="2140EEC1" w:rsidR="00A67F65" w:rsidRPr="00285756" w:rsidRDefault="00BD7DD8" w:rsidP="00BD7DD8">
      <w:pPr>
        <w:tabs>
          <w:tab w:val="left" w:pos="-720"/>
        </w:tabs>
        <w:suppressAutoHyphens/>
        <w:rPr>
          <w:rFonts w:ascii="Times New Roman" w:hAnsi="Times New Roman" w:cs="Times New Roman"/>
          <w:spacing w:val="-3"/>
        </w:rPr>
      </w:pPr>
      <w:r w:rsidRPr="00285756">
        <w:rPr>
          <w:rFonts w:ascii="Times New Roman" w:hAnsi="Times New Roman" w:cs="Times New Roman"/>
          <w:spacing w:val="-3"/>
        </w:rPr>
        <w:tab/>
      </w:r>
      <w:r w:rsidR="000F34EB" w:rsidRPr="00285756">
        <w:rPr>
          <w:rFonts w:ascii="Times New Roman" w:hAnsi="Times New Roman" w:cs="Times New Roman"/>
          <w:spacing w:val="-3"/>
        </w:rPr>
        <w:t>Prior to Regulation SCI, a</w:t>
      </w:r>
      <w:r w:rsidRPr="00285756">
        <w:rPr>
          <w:rFonts w:ascii="Times New Roman" w:hAnsi="Times New Roman" w:cs="Times New Roman"/>
          <w:spacing w:val="-3"/>
        </w:rPr>
        <w:t xml:space="preserve">lternative trading systems that choose to register as broker-dealers, comply with Regulation ATS, and meet certain volume thresholds are required to provide a notice to the Commission to report any systems outages.  </w:t>
      </w:r>
      <w:r w:rsidR="000F34EB" w:rsidRPr="00285756">
        <w:rPr>
          <w:rFonts w:ascii="Times New Roman" w:hAnsi="Times New Roman" w:cs="Times New Roman"/>
          <w:spacing w:val="-3"/>
        </w:rPr>
        <w:t>T</w:t>
      </w:r>
      <w:r w:rsidRPr="00285756">
        <w:rPr>
          <w:rFonts w:ascii="Times New Roman" w:hAnsi="Times New Roman" w:cs="Times New Roman"/>
          <w:spacing w:val="-3"/>
        </w:rPr>
        <w:t xml:space="preserve">he Commission </w:t>
      </w:r>
      <w:r w:rsidR="00A67F65" w:rsidRPr="00285756">
        <w:rPr>
          <w:rFonts w:ascii="Times New Roman" w:hAnsi="Times New Roman" w:cs="Times New Roman"/>
          <w:spacing w:val="-3"/>
        </w:rPr>
        <w:t>had estimated</w:t>
      </w:r>
      <w:r w:rsidRPr="00285756">
        <w:rPr>
          <w:rFonts w:ascii="Times New Roman" w:hAnsi="Times New Roman" w:cs="Times New Roman"/>
          <w:spacing w:val="-3"/>
        </w:rPr>
        <w:t xml:space="preserve"> that 2 alternative trading systems that register as broker-dealers and comply with Regulation ATS would meet the volume thresholds that trigger systems outage notice obligations approximately 5 times a year, and that the average compliance burden for each response would be 0.25 hours.  </w:t>
      </w:r>
      <w:r w:rsidR="00652BC2" w:rsidRPr="00285756">
        <w:rPr>
          <w:rFonts w:ascii="Times New Roman" w:hAnsi="Times New Roman" w:cs="Times New Roman"/>
          <w:spacing w:val="-3"/>
        </w:rPr>
        <w:t xml:space="preserve">Thus, the total </w:t>
      </w:r>
      <w:r w:rsidR="001117BE" w:rsidRPr="00285756">
        <w:rPr>
          <w:rFonts w:ascii="Times New Roman" w:hAnsi="Times New Roman" w:cs="Times New Roman"/>
          <w:spacing w:val="-3"/>
        </w:rPr>
        <w:t>compliance</w:t>
      </w:r>
      <w:r w:rsidR="00652BC2" w:rsidRPr="00285756">
        <w:rPr>
          <w:rFonts w:ascii="Times New Roman" w:hAnsi="Times New Roman" w:cs="Times New Roman"/>
          <w:spacing w:val="-3"/>
        </w:rPr>
        <w:t xml:space="preserve"> burden per year was estimated to be 2.5 hours (2 respondents x 5 responses </w:t>
      </w:r>
      <w:r w:rsidR="00924E04" w:rsidRPr="00285756">
        <w:rPr>
          <w:rFonts w:ascii="Times New Roman" w:hAnsi="Times New Roman" w:cs="Times New Roman"/>
          <w:spacing w:val="-3"/>
        </w:rPr>
        <w:t>each</w:t>
      </w:r>
      <w:r w:rsidR="00652BC2" w:rsidRPr="00285756">
        <w:rPr>
          <w:rFonts w:ascii="Times New Roman" w:hAnsi="Times New Roman" w:cs="Times New Roman"/>
          <w:spacing w:val="-3"/>
        </w:rPr>
        <w:t xml:space="preserve"> x 0.25 hours = 2.5 hours).  </w:t>
      </w:r>
      <w:r w:rsidR="001117BE" w:rsidRPr="00285756">
        <w:rPr>
          <w:rFonts w:ascii="Times New Roman" w:hAnsi="Times New Roman" w:cs="Times New Roman"/>
          <w:spacing w:val="-3"/>
        </w:rPr>
        <w:t xml:space="preserve">In connection with Regulation SCI, the Commission removed significant-volume </w:t>
      </w:r>
      <w:r w:rsidR="008334A2" w:rsidRPr="00285756">
        <w:rPr>
          <w:rFonts w:ascii="Times New Roman" w:hAnsi="Times New Roman" w:cs="Times New Roman"/>
        </w:rPr>
        <w:t>alternative trading systems</w:t>
      </w:r>
      <w:r w:rsidR="008334A2" w:rsidRPr="00285756">
        <w:rPr>
          <w:rFonts w:ascii="Times New Roman" w:hAnsi="Times New Roman" w:cs="Times New Roman"/>
          <w:spacing w:val="-3"/>
        </w:rPr>
        <w:t xml:space="preserve"> </w:t>
      </w:r>
      <w:r w:rsidR="001117BE" w:rsidRPr="00285756">
        <w:rPr>
          <w:rFonts w:ascii="Times New Roman" w:hAnsi="Times New Roman" w:cs="Times New Roman"/>
          <w:spacing w:val="-3"/>
        </w:rPr>
        <w:t xml:space="preserve">that trade NMS stocks and non-NMS stocks from the requirements of Rule 301(b)(6).  </w:t>
      </w:r>
      <w:r w:rsidR="00652BC2" w:rsidRPr="00285756">
        <w:rPr>
          <w:rFonts w:ascii="Times New Roman" w:hAnsi="Times New Roman" w:cs="Times New Roman"/>
          <w:spacing w:val="-3"/>
        </w:rPr>
        <w:t xml:space="preserve">The Commission now estimates that no </w:t>
      </w:r>
      <w:r w:rsidR="008334A2" w:rsidRPr="00285756">
        <w:rPr>
          <w:rFonts w:ascii="Times New Roman" w:hAnsi="Times New Roman" w:cs="Times New Roman"/>
        </w:rPr>
        <w:t>alternative trading systems</w:t>
      </w:r>
      <w:r w:rsidR="008334A2" w:rsidRPr="00285756">
        <w:rPr>
          <w:rFonts w:ascii="Times New Roman" w:hAnsi="Times New Roman" w:cs="Times New Roman"/>
          <w:spacing w:val="-3"/>
        </w:rPr>
        <w:t xml:space="preserve"> </w:t>
      </w:r>
      <w:r w:rsidR="00652BC2" w:rsidRPr="00285756">
        <w:rPr>
          <w:rFonts w:ascii="Times New Roman" w:hAnsi="Times New Roman" w:cs="Times New Roman"/>
          <w:spacing w:val="-3"/>
        </w:rPr>
        <w:t xml:space="preserve">will trigger the system outage notification requirements.  Thus, these burdens </w:t>
      </w:r>
      <w:r w:rsidR="00CD411C" w:rsidRPr="00285756">
        <w:rPr>
          <w:rFonts w:ascii="Times New Roman" w:hAnsi="Times New Roman" w:cs="Times New Roman"/>
          <w:spacing w:val="-3"/>
        </w:rPr>
        <w:t>are</w:t>
      </w:r>
      <w:r w:rsidR="00652BC2" w:rsidRPr="00285756">
        <w:rPr>
          <w:rFonts w:ascii="Times New Roman" w:hAnsi="Times New Roman" w:cs="Times New Roman"/>
          <w:spacing w:val="-3"/>
        </w:rPr>
        <w:t xml:space="preserve"> eliminated. </w:t>
      </w:r>
    </w:p>
    <w:p w14:paraId="62FADCAA" w14:textId="77777777" w:rsidR="00BD7DD8" w:rsidRPr="00285756" w:rsidRDefault="00BD7DD8" w:rsidP="00BD7DD8">
      <w:pPr>
        <w:tabs>
          <w:tab w:val="left" w:pos="-720"/>
        </w:tabs>
        <w:suppressAutoHyphens/>
        <w:rPr>
          <w:rFonts w:ascii="Times New Roman" w:hAnsi="Times New Roman" w:cs="Times New Roman"/>
          <w:spacing w:val="-3"/>
        </w:rPr>
      </w:pPr>
    </w:p>
    <w:p w14:paraId="4CF0413F" w14:textId="63ECEACD" w:rsidR="00BD7DD8" w:rsidRPr="00285756" w:rsidRDefault="00240072" w:rsidP="00BD7DD8">
      <w:pPr>
        <w:tabs>
          <w:tab w:val="left" w:pos="-720"/>
        </w:tabs>
        <w:suppressAutoHyphens/>
        <w:rPr>
          <w:rFonts w:ascii="Times New Roman" w:hAnsi="Times New Roman" w:cs="Times New Roman"/>
          <w:spacing w:val="-3"/>
        </w:rPr>
      </w:pPr>
      <w:r>
        <w:rPr>
          <w:rFonts w:ascii="Times New Roman" w:hAnsi="Times New Roman" w:cs="Times New Roman"/>
          <w:spacing w:val="-3"/>
        </w:rPr>
        <w:tab/>
      </w:r>
      <w:r w:rsidR="00BD7DD8" w:rsidRPr="00285756">
        <w:rPr>
          <w:rFonts w:ascii="Times New Roman" w:hAnsi="Times New Roman" w:cs="Times New Roman"/>
          <w:spacing w:val="-3"/>
        </w:rPr>
        <w:t>i.</w:t>
      </w:r>
      <w:r w:rsidR="00BD7DD8" w:rsidRPr="00285756">
        <w:rPr>
          <w:rFonts w:ascii="Times New Roman" w:hAnsi="Times New Roman" w:cs="Times New Roman"/>
          <w:spacing w:val="-3"/>
        </w:rPr>
        <w:tab/>
      </w:r>
      <w:r w:rsidR="00BD7DD8" w:rsidRPr="00285756">
        <w:rPr>
          <w:rFonts w:ascii="Times New Roman" w:hAnsi="Times New Roman" w:cs="Times New Roman"/>
          <w:spacing w:val="-3"/>
          <w:u w:val="single"/>
        </w:rPr>
        <w:t>Aggregate Respondent Reporting Burdens</w:t>
      </w:r>
    </w:p>
    <w:p w14:paraId="3803DF69" w14:textId="77777777" w:rsidR="00BD7DD8" w:rsidRPr="00285756" w:rsidRDefault="00BD7DD8" w:rsidP="00BD7DD8">
      <w:pPr>
        <w:tabs>
          <w:tab w:val="left" w:pos="-720"/>
        </w:tabs>
        <w:suppressAutoHyphens/>
        <w:rPr>
          <w:rFonts w:ascii="Times New Roman" w:hAnsi="Times New Roman" w:cs="Times New Roman"/>
          <w:spacing w:val="-3"/>
        </w:rPr>
      </w:pPr>
    </w:p>
    <w:p w14:paraId="079E8A9A" w14:textId="207CB622" w:rsidR="00BD7DD8" w:rsidRPr="00F15124" w:rsidRDefault="00BD7DD8" w:rsidP="00BD7DD8">
      <w:pPr>
        <w:tabs>
          <w:tab w:val="left" w:pos="-720"/>
        </w:tabs>
        <w:suppressAutoHyphens/>
        <w:rPr>
          <w:rFonts w:ascii="Times New Roman" w:hAnsi="Times New Roman" w:cs="Times New Roman"/>
          <w:spacing w:val="-3"/>
        </w:rPr>
      </w:pPr>
      <w:r w:rsidRPr="00285756">
        <w:rPr>
          <w:rFonts w:ascii="Times New Roman" w:hAnsi="Times New Roman" w:cs="Times New Roman"/>
          <w:spacing w:val="-3"/>
        </w:rPr>
        <w:tab/>
        <w:t>The estimated average annual aggregate burden for alternative trading systems to comply with Rule 301</w:t>
      </w:r>
      <w:r w:rsidR="0005399A">
        <w:rPr>
          <w:rFonts w:ascii="Times New Roman" w:hAnsi="Times New Roman" w:cs="Times New Roman"/>
          <w:spacing w:val="-3"/>
        </w:rPr>
        <w:t xml:space="preserve"> </w:t>
      </w:r>
      <w:r w:rsidR="00F15124">
        <w:rPr>
          <w:rFonts w:ascii="Times New Roman" w:hAnsi="Times New Roman" w:cs="Times New Roman"/>
          <w:spacing w:val="-3"/>
        </w:rPr>
        <w:t xml:space="preserve">and Rule 304 </w:t>
      </w:r>
      <w:r w:rsidRPr="00F15124">
        <w:rPr>
          <w:rFonts w:ascii="Times New Roman" w:hAnsi="Times New Roman" w:cs="Times New Roman"/>
          <w:spacing w:val="-3"/>
        </w:rPr>
        <w:t xml:space="preserve">would be </w:t>
      </w:r>
      <w:r w:rsidR="00CB5438">
        <w:rPr>
          <w:rFonts w:ascii="Times New Roman" w:hAnsi="Times New Roman" w:cs="Times New Roman"/>
          <w:spacing w:val="-3"/>
        </w:rPr>
        <w:t>11,</w:t>
      </w:r>
      <w:r w:rsidR="002D4322">
        <w:rPr>
          <w:rFonts w:ascii="Times New Roman" w:hAnsi="Times New Roman" w:cs="Times New Roman"/>
          <w:spacing w:val="-3"/>
        </w:rPr>
        <w:t>749.47</w:t>
      </w:r>
      <w:r w:rsidR="002D4322" w:rsidRPr="00F15124">
        <w:rPr>
          <w:rFonts w:ascii="Times New Roman" w:hAnsi="Times New Roman" w:cs="Times New Roman"/>
          <w:spacing w:val="-3"/>
        </w:rPr>
        <w:t xml:space="preserve"> </w:t>
      </w:r>
      <w:r w:rsidRPr="00F15124">
        <w:rPr>
          <w:rFonts w:ascii="Times New Roman" w:hAnsi="Times New Roman" w:cs="Times New Roman"/>
          <w:spacing w:val="-3"/>
        </w:rPr>
        <w:t>hours.  This estimate is broken down as follows:</w:t>
      </w:r>
    </w:p>
    <w:p w14:paraId="6837E60C" w14:textId="77777777" w:rsidR="00BD7DD8" w:rsidRDefault="00BD7DD8" w:rsidP="00213D71">
      <w:pPr>
        <w:tabs>
          <w:tab w:val="left" w:pos="-720"/>
        </w:tabs>
        <w:suppressAutoHyphens/>
        <w:autoSpaceDE/>
        <w:autoSpaceDN/>
        <w:adjustRightInd/>
        <w:rPr>
          <w:rFonts w:ascii="Times New Roman" w:hAnsi="Times New Roman" w:cs="Times New Roman"/>
          <w:spacing w:val="-3"/>
        </w:rPr>
      </w:pPr>
    </w:p>
    <w:tbl>
      <w:tblPr>
        <w:tblW w:w="11140" w:type="dxa"/>
        <w:jc w:val="center"/>
        <w:tblLook w:val="04A0" w:firstRow="1" w:lastRow="0" w:firstColumn="1" w:lastColumn="0" w:noHBand="0" w:noVBand="1"/>
      </w:tblPr>
      <w:tblGrid>
        <w:gridCol w:w="1937"/>
        <w:gridCol w:w="1000"/>
        <w:gridCol w:w="703"/>
        <w:gridCol w:w="880"/>
        <w:gridCol w:w="760"/>
        <w:gridCol w:w="960"/>
        <w:gridCol w:w="700"/>
        <w:gridCol w:w="760"/>
        <w:gridCol w:w="700"/>
        <w:gridCol w:w="840"/>
        <w:gridCol w:w="920"/>
        <w:gridCol w:w="980"/>
      </w:tblGrid>
      <w:tr w:rsidR="00213D71" w:rsidRPr="00213D71" w14:paraId="295F53BA" w14:textId="77777777" w:rsidTr="00213D71">
        <w:trPr>
          <w:trHeight w:val="150"/>
          <w:jc w:val="center"/>
        </w:trPr>
        <w:tc>
          <w:tcPr>
            <w:tcW w:w="11140" w:type="dxa"/>
            <w:gridSpan w:val="12"/>
            <w:tcBorders>
              <w:top w:val="nil"/>
              <w:left w:val="nil"/>
              <w:bottom w:val="single" w:sz="8" w:space="0" w:color="auto"/>
              <w:right w:val="nil"/>
            </w:tcBorders>
            <w:shd w:val="clear" w:color="auto" w:fill="auto"/>
            <w:noWrap/>
            <w:vAlign w:val="center"/>
            <w:hideMark/>
          </w:tcPr>
          <w:p w14:paraId="7BB3520A" w14:textId="77777777" w:rsidR="00213D71" w:rsidRPr="00213D71" w:rsidRDefault="00213D71" w:rsidP="00213D71">
            <w:pPr>
              <w:widowControl/>
              <w:autoSpaceDE/>
              <w:autoSpaceDN/>
              <w:adjustRightInd/>
              <w:jc w:val="center"/>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Summary of Hourly Burdens </w:t>
            </w:r>
          </w:p>
        </w:tc>
      </w:tr>
      <w:tr w:rsidR="00213D71" w:rsidRPr="00213D71" w14:paraId="08E2A9F2" w14:textId="77777777" w:rsidTr="00213D71">
        <w:trPr>
          <w:trHeight w:val="510"/>
          <w:jc w:val="center"/>
        </w:trPr>
        <w:tc>
          <w:tcPr>
            <w:tcW w:w="1960" w:type="dxa"/>
            <w:tcBorders>
              <w:top w:val="nil"/>
              <w:left w:val="single" w:sz="8" w:space="0" w:color="auto"/>
              <w:bottom w:val="single" w:sz="8" w:space="0" w:color="auto"/>
              <w:right w:val="single" w:sz="4" w:space="0" w:color="auto"/>
            </w:tcBorders>
            <w:shd w:val="clear" w:color="auto" w:fill="auto"/>
            <w:vAlign w:val="center"/>
            <w:hideMark/>
          </w:tcPr>
          <w:p w14:paraId="491BD76B" w14:textId="77777777" w:rsidR="00213D71" w:rsidRPr="00213D71" w:rsidRDefault="00213D71" w:rsidP="00213D71">
            <w:pPr>
              <w:widowControl/>
              <w:autoSpaceDE/>
              <w:autoSpaceDN/>
              <w:adjustRightInd/>
              <w:jc w:val="center"/>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Name of Information Collection</w:t>
            </w:r>
          </w:p>
        </w:tc>
        <w:tc>
          <w:tcPr>
            <w:tcW w:w="1000" w:type="dxa"/>
            <w:tcBorders>
              <w:top w:val="nil"/>
              <w:left w:val="nil"/>
              <w:bottom w:val="single" w:sz="8" w:space="0" w:color="auto"/>
              <w:right w:val="single" w:sz="4" w:space="0" w:color="auto"/>
            </w:tcBorders>
            <w:shd w:val="clear" w:color="auto" w:fill="auto"/>
            <w:vAlign w:val="center"/>
            <w:hideMark/>
          </w:tcPr>
          <w:p w14:paraId="4C23FD56" w14:textId="77777777" w:rsidR="00213D71" w:rsidRPr="00213D71" w:rsidRDefault="00213D71" w:rsidP="00213D71">
            <w:pPr>
              <w:widowControl/>
              <w:autoSpaceDE/>
              <w:autoSpaceDN/>
              <w:adjustRightInd/>
              <w:jc w:val="center"/>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Type of Burden</w:t>
            </w:r>
          </w:p>
        </w:tc>
        <w:tc>
          <w:tcPr>
            <w:tcW w:w="680" w:type="dxa"/>
            <w:tcBorders>
              <w:top w:val="nil"/>
              <w:left w:val="nil"/>
              <w:bottom w:val="single" w:sz="8" w:space="0" w:color="auto"/>
              <w:right w:val="single" w:sz="4" w:space="0" w:color="auto"/>
            </w:tcBorders>
            <w:shd w:val="clear" w:color="auto" w:fill="auto"/>
            <w:vAlign w:val="center"/>
            <w:hideMark/>
          </w:tcPr>
          <w:p w14:paraId="1BBAA170" w14:textId="77777777" w:rsidR="00213D71" w:rsidRPr="00213D71" w:rsidRDefault="00213D71" w:rsidP="00213D71">
            <w:pPr>
              <w:widowControl/>
              <w:autoSpaceDE/>
              <w:autoSpaceDN/>
              <w:adjustRightInd/>
              <w:jc w:val="center"/>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 Entities Impacted</w:t>
            </w:r>
          </w:p>
        </w:tc>
        <w:tc>
          <w:tcPr>
            <w:tcW w:w="880" w:type="dxa"/>
            <w:tcBorders>
              <w:top w:val="nil"/>
              <w:left w:val="nil"/>
              <w:bottom w:val="single" w:sz="8" w:space="0" w:color="auto"/>
              <w:right w:val="single" w:sz="4" w:space="0" w:color="auto"/>
            </w:tcBorders>
            <w:shd w:val="clear" w:color="auto" w:fill="auto"/>
            <w:vAlign w:val="center"/>
            <w:hideMark/>
          </w:tcPr>
          <w:p w14:paraId="61D00D51" w14:textId="77777777" w:rsidR="00213D71" w:rsidRPr="00213D71" w:rsidRDefault="00213D71" w:rsidP="00213D71">
            <w:pPr>
              <w:widowControl/>
              <w:autoSpaceDE/>
              <w:autoSpaceDN/>
              <w:adjustRightInd/>
              <w:jc w:val="center"/>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Annual Responses per Entity</w:t>
            </w:r>
          </w:p>
        </w:tc>
        <w:tc>
          <w:tcPr>
            <w:tcW w:w="760" w:type="dxa"/>
            <w:tcBorders>
              <w:top w:val="nil"/>
              <w:left w:val="nil"/>
              <w:bottom w:val="single" w:sz="8" w:space="0" w:color="auto"/>
              <w:right w:val="single" w:sz="4" w:space="0" w:color="auto"/>
            </w:tcBorders>
            <w:shd w:val="clear" w:color="auto" w:fill="auto"/>
            <w:vAlign w:val="center"/>
            <w:hideMark/>
          </w:tcPr>
          <w:p w14:paraId="059BCF25" w14:textId="77777777" w:rsidR="00213D71" w:rsidRPr="00213D71" w:rsidRDefault="00213D71" w:rsidP="00213D71">
            <w:pPr>
              <w:widowControl/>
              <w:autoSpaceDE/>
              <w:autoSpaceDN/>
              <w:adjustRightInd/>
              <w:jc w:val="center"/>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Initial Burden per Entity</w:t>
            </w:r>
          </w:p>
        </w:tc>
        <w:tc>
          <w:tcPr>
            <w:tcW w:w="960" w:type="dxa"/>
            <w:tcBorders>
              <w:top w:val="nil"/>
              <w:left w:val="nil"/>
              <w:bottom w:val="single" w:sz="8" w:space="0" w:color="auto"/>
              <w:right w:val="single" w:sz="4" w:space="0" w:color="auto"/>
            </w:tcBorders>
            <w:shd w:val="clear" w:color="auto" w:fill="auto"/>
            <w:vAlign w:val="center"/>
            <w:hideMark/>
          </w:tcPr>
          <w:p w14:paraId="45667570" w14:textId="77777777" w:rsidR="00213D71" w:rsidRPr="00213D71" w:rsidRDefault="00213D71" w:rsidP="00213D71">
            <w:pPr>
              <w:widowControl/>
              <w:autoSpaceDE/>
              <w:autoSpaceDN/>
              <w:adjustRightInd/>
              <w:jc w:val="center"/>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Initial Burden Annualized per Entity</w:t>
            </w:r>
          </w:p>
        </w:tc>
        <w:tc>
          <w:tcPr>
            <w:tcW w:w="700" w:type="dxa"/>
            <w:tcBorders>
              <w:top w:val="nil"/>
              <w:left w:val="nil"/>
              <w:bottom w:val="single" w:sz="8" w:space="0" w:color="auto"/>
              <w:right w:val="single" w:sz="4" w:space="0" w:color="auto"/>
            </w:tcBorders>
            <w:shd w:val="clear" w:color="auto" w:fill="auto"/>
            <w:vAlign w:val="center"/>
            <w:hideMark/>
          </w:tcPr>
          <w:p w14:paraId="06B42FF8" w14:textId="77777777" w:rsidR="00213D71" w:rsidRPr="00213D71" w:rsidRDefault="00213D71" w:rsidP="00213D71">
            <w:pPr>
              <w:widowControl/>
              <w:autoSpaceDE/>
              <w:autoSpaceDN/>
              <w:adjustRightInd/>
              <w:jc w:val="center"/>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Ongoing Burden per Entity</w:t>
            </w:r>
          </w:p>
        </w:tc>
        <w:tc>
          <w:tcPr>
            <w:tcW w:w="760" w:type="dxa"/>
            <w:tcBorders>
              <w:top w:val="nil"/>
              <w:left w:val="nil"/>
              <w:bottom w:val="single" w:sz="8" w:space="0" w:color="auto"/>
              <w:right w:val="single" w:sz="4" w:space="0" w:color="auto"/>
            </w:tcBorders>
            <w:shd w:val="clear" w:color="auto" w:fill="auto"/>
            <w:vAlign w:val="center"/>
            <w:hideMark/>
          </w:tcPr>
          <w:p w14:paraId="49A0EE3F" w14:textId="77777777" w:rsidR="00213D71" w:rsidRPr="00213D71" w:rsidRDefault="00213D71" w:rsidP="00213D71">
            <w:pPr>
              <w:widowControl/>
              <w:autoSpaceDE/>
              <w:autoSpaceDN/>
              <w:adjustRightInd/>
              <w:jc w:val="center"/>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Annual Burden Per Entity per Response</w:t>
            </w:r>
          </w:p>
        </w:tc>
        <w:tc>
          <w:tcPr>
            <w:tcW w:w="700" w:type="dxa"/>
            <w:tcBorders>
              <w:top w:val="nil"/>
              <w:left w:val="nil"/>
              <w:bottom w:val="single" w:sz="8" w:space="0" w:color="auto"/>
              <w:right w:val="single" w:sz="4" w:space="0" w:color="auto"/>
            </w:tcBorders>
            <w:shd w:val="clear" w:color="auto" w:fill="auto"/>
            <w:vAlign w:val="center"/>
            <w:hideMark/>
          </w:tcPr>
          <w:p w14:paraId="3DE0C6B8" w14:textId="77777777" w:rsidR="00213D71" w:rsidRPr="00213D71" w:rsidRDefault="00213D71" w:rsidP="00213D71">
            <w:pPr>
              <w:widowControl/>
              <w:autoSpaceDE/>
              <w:autoSpaceDN/>
              <w:adjustRightInd/>
              <w:jc w:val="center"/>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Total Annual Burden Per Entity</w:t>
            </w:r>
          </w:p>
        </w:tc>
        <w:tc>
          <w:tcPr>
            <w:tcW w:w="840" w:type="dxa"/>
            <w:tcBorders>
              <w:top w:val="nil"/>
              <w:left w:val="nil"/>
              <w:bottom w:val="single" w:sz="8" w:space="0" w:color="auto"/>
              <w:right w:val="single" w:sz="4" w:space="0" w:color="auto"/>
            </w:tcBorders>
            <w:shd w:val="clear" w:color="auto" w:fill="auto"/>
            <w:vAlign w:val="center"/>
            <w:hideMark/>
          </w:tcPr>
          <w:p w14:paraId="733466E5" w14:textId="77777777" w:rsidR="00213D71" w:rsidRPr="00213D71" w:rsidRDefault="00213D71" w:rsidP="00213D71">
            <w:pPr>
              <w:widowControl/>
              <w:autoSpaceDE/>
              <w:autoSpaceDN/>
              <w:adjustRightInd/>
              <w:jc w:val="center"/>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Total Burden</w:t>
            </w:r>
          </w:p>
        </w:tc>
        <w:tc>
          <w:tcPr>
            <w:tcW w:w="920" w:type="dxa"/>
            <w:tcBorders>
              <w:top w:val="nil"/>
              <w:left w:val="nil"/>
              <w:bottom w:val="single" w:sz="8" w:space="0" w:color="auto"/>
              <w:right w:val="single" w:sz="4" w:space="0" w:color="auto"/>
            </w:tcBorders>
            <w:shd w:val="clear" w:color="auto" w:fill="auto"/>
            <w:vAlign w:val="center"/>
            <w:hideMark/>
          </w:tcPr>
          <w:p w14:paraId="3C5C482B" w14:textId="77777777" w:rsidR="00213D71" w:rsidRPr="00213D71" w:rsidRDefault="00213D71" w:rsidP="00213D71">
            <w:pPr>
              <w:widowControl/>
              <w:autoSpaceDE/>
              <w:autoSpaceDN/>
              <w:adjustRightInd/>
              <w:jc w:val="center"/>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Total Initial Burden For All Respondents</w:t>
            </w:r>
          </w:p>
        </w:tc>
        <w:tc>
          <w:tcPr>
            <w:tcW w:w="980" w:type="dxa"/>
            <w:tcBorders>
              <w:top w:val="nil"/>
              <w:left w:val="nil"/>
              <w:bottom w:val="single" w:sz="8" w:space="0" w:color="auto"/>
              <w:right w:val="single" w:sz="8" w:space="0" w:color="auto"/>
            </w:tcBorders>
            <w:shd w:val="clear" w:color="auto" w:fill="auto"/>
            <w:vAlign w:val="center"/>
            <w:hideMark/>
          </w:tcPr>
          <w:p w14:paraId="3B495F88" w14:textId="77777777" w:rsidR="00213D71" w:rsidRPr="00213D71" w:rsidRDefault="00213D71" w:rsidP="00213D71">
            <w:pPr>
              <w:widowControl/>
              <w:autoSpaceDE/>
              <w:autoSpaceDN/>
              <w:adjustRightInd/>
              <w:jc w:val="center"/>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Total Ongoing Burden For All Respondents</w:t>
            </w:r>
          </w:p>
        </w:tc>
      </w:tr>
      <w:tr w:rsidR="00213D71" w:rsidRPr="00213D71" w14:paraId="3FD33D06" w14:textId="77777777" w:rsidTr="00213D71">
        <w:trPr>
          <w:trHeight w:val="330"/>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7A9E4B9A"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Form ATS Initial Operating Report (Rule 301)</w:t>
            </w:r>
          </w:p>
        </w:tc>
        <w:tc>
          <w:tcPr>
            <w:tcW w:w="1000" w:type="dxa"/>
            <w:tcBorders>
              <w:top w:val="nil"/>
              <w:left w:val="nil"/>
              <w:bottom w:val="single" w:sz="4" w:space="0" w:color="auto"/>
              <w:right w:val="single" w:sz="4" w:space="0" w:color="auto"/>
            </w:tcBorders>
            <w:shd w:val="clear" w:color="auto" w:fill="auto"/>
            <w:vAlign w:val="center"/>
            <w:hideMark/>
          </w:tcPr>
          <w:p w14:paraId="25C756F9"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Reporting</w:t>
            </w:r>
          </w:p>
        </w:tc>
        <w:tc>
          <w:tcPr>
            <w:tcW w:w="680" w:type="dxa"/>
            <w:tcBorders>
              <w:top w:val="nil"/>
              <w:left w:val="nil"/>
              <w:bottom w:val="single" w:sz="4" w:space="0" w:color="auto"/>
              <w:right w:val="single" w:sz="4" w:space="0" w:color="auto"/>
            </w:tcBorders>
            <w:shd w:val="clear" w:color="auto" w:fill="auto"/>
            <w:vAlign w:val="center"/>
            <w:hideMark/>
          </w:tcPr>
          <w:p w14:paraId="6B6043E1"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7</w:t>
            </w:r>
          </w:p>
        </w:tc>
        <w:tc>
          <w:tcPr>
            <w:tcW w:w="880" w:type="dxa"/>
            <w:tcBorders>
              <w:top w:val="nil"/>
              <w:left w:val="nil"/>
              <w:bottom w:val="single" w:sz="4" w:space="0" w:color="auto"/>
              <w:right w:val="single" w:sz="4" w:space="0" w:color="auto"/>
            </w:tcBorders>
            <w:shd w:val="clear" w:color="auto" w:fill="auto"/>
            <w:vAlign w:val="center"/>
            <w:hideMark/>
          </w:tcPr>
          <w:p w14:paraId="6718FC22"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1</w:t>
            </w:r>
          </w:p>
        </w:tc>
        <w:tc>
          <w:tcPr>
            <w:tcW w:w="760" w:type="dxa"/>
            <w:tcBorders>
              <w:top w:val="nil"/>
              <w:left w:val="nil"/>
              <w:bottom w:val="single" w:sz="4" w:space="0" w:color="auto"/>
              <w:right w:val="single" w:sz="4" w:space="0" w:color="auto"/>
            </w:tcBorders>
            <w:shd w:val="clear" w:color="auto" w:fill="auto"/>
            <w:vAlign w:val="center"/>
            <w:hideMark/>
          </w:tcPr>
          <w:p w14:paraId="448D85AF"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60" w:type="dxa"/>
            <w:tcBorders>
              <w:top w:val="nil"/>
              <w:left w:val="nil"/>
              <w:bottom w:val="single" w:sz="4" w:space="0" w:color="auto"/>
              <w:right w:val="single" w:sz="4" w:space="0" w:color="auto"/>
            </w:tcBorders>
            <w:shd w:val="clear" w:color="auto" w:fill="auto"/>
            <w:vAlign w:val="center"/>
            <w:hideMark/>
          </w:tcPr>
          <w:p w14:paraId="044E628B"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700" w:type="dxa"/>
            <w:tcBorders>
              <w:top w:val="nil"/>
              <w:left w:val="nil"/>
              <w:bottom w:val="single" w:sz="4" w:space="0" w:color="auto"/>
              <w:right w:val="single" w:sz="4" w:space="0" w:color="auto"/>
            </w:tcBorders>
            <w:shd w:val="clear" w:color="auto" w:fill="auto"/>
            <w:vAlign w:val="center"/>
            <w:hideMark/>
          </w:tcPr>
          <w:p w14:paraId="4E272B6A"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20.00</w:t>
            </w:r>
          </w:p>
        </w:tc>
        <w:tc>
          <w:tcPr>
            <w:tcW w:w="760" w:type="dxa"/>
            <w:tcBorders>
              <w:top w:val="nil"/>
              <w:left w:val="nil"/>
              <w:bottom w:val="single" w:sz="4" w:space="0" w:color="auto"/>
              <w:right w:val="single" w:sz="4" w:space="0" w:color="auto"/>
            </w:tcBorders>
            <w:shd w:val="clear" w:color="auto" w:fill="auto"/>
            <w:vAlign w:val="center"/>
            <w:hideMark/>
          </w:tcPr>
          <w:p w14:paraId="4FB94ED5"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20.00</w:t>
            </w:r>
          </w:p>
        </w:tc>
        <w:tc>
          <w:tcPr>
            <w:tcW w:w="700" w:type="dxa"/>
            <w:tcBorders>
              <w:top w:val="nil"/>
              <w:left w:val="nil"/>
              <w:bottom w:val="single" w:sz="4" w:space="0" w:color="auto"/>
              <w:right w:val="single" w:sz="4" w:space="0" w:color="auto"/>
            </w:tcBorders>
            <w:shd w:val="clear" w:color="auto" w:fill="auto"/>
            <w:vAlign w:val="center"/>
            <w:hideMark/>
          </w:tcPr>
          <w:p w14:paraId="13122C9B"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20.00</w:t>
            </w:r>
          </w:p>
        </w:tc>
        <w:tc>
          <w:tcPr>
            <w:tcW w:w="840" w:type="dxa"/>
            <w:tcBorders>
              <w:top w:val="nil"/>
              <w:left w:val="nil"/>
              <w:bottom w:val="single" w:sz="4" w:space="0" w:color="auto"/>
              <w:right w:val="single" w:sz="4" w:space="0" w:color="auto"/>
            </w:tcBorders>
            <w:shd w:val="clear" w:color="auto" w:fill="auto"/>
            <w:vAlign w:val="center"/>
            <w:hideMark/>
          </w:tcPr>
          <w:p w14:paraId="3B45E703"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140.00</w:t>
            </w:r>
          </w:p>
        </w:tc>
        <w:tc>
          <w:tcPr>
            <w:tcW w:w="920" w:type="dxa"/>
            <w:tcBorders>
              <w:top w:val="nil"/>
              <w:left w:val="nil"/>
              <w:bottom w:val="single" w:sz="4" w:space="0" w:color="auto"/>
              <w:right w:val="single" w:sz="4" w:space="0" w:color="auto"/>
            </w:tcBorders>
            <w:shd w:val="clear" w:color="auto" w:fill="auto"/>
            <w:noWrap/>
            <w:vAlign w:val="center"/>
            <w:hideMark/>
          </w:tcPr>
          <w:p w14:paraId="03BC3A7B"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80" w:type="dxa"/>
            <w:tcBorders>
              <w:top w:val="nil"/>
              <w:left w:val="nil"/>
              <w:bottom w:val="single" w:sz="4" w:space="0" w:color="auto"/>
              <w:right w:val="single" w:sz="8" w:space="0" w:color="auto"/>
            </w:tcBorders>
            <w:shd w:val="clear" w:color="auto" w:fill="auto"/>
            <w:noWrap/>
            <w:vAlign w:val="center"/>
            <w:hideMark/>
          </w:tcPr>
          <w:p w14:paraId="671C32BC"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140.00</w:t>
            </w:r>
          </w:p>
        </w:tc>
      </w:tr>
      <w:tr w:rsidR="00213D71" w:rsidRPr="00213D71" w14:paraId="18D6AF72" w14:textId="77777777" w:rsidTr="00213D71">
        <w:trPr>
          <w:trHeight w:val="165"/>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25D8EA25"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Form ATS Amendments (Rule 301)</w:t>
            </w:r>
          </w:p>
        </w:tc>
        <w:tc>
          <w:tcPr>
            <w:tcW w:w="1000" w:type="dxa"/>
            <w:tcBorders>
              <w:top w:val="nil"/>
              <w:left w:val="nil"/>
              <w:bottom w:val="single" w:sz="4" w:space="0" w:color="auto"/>
              <w:right w:val="single" w:sz="4" w:space="0" w:color="auto"/>
            </w:tcBorders>
            <w:shd w:val="clear" w:color="auto" w:fill="auto"/>
            <w:vAlign w:val="center"/>
            <w:hideMark/>
          </w:tcPr>
          <w:p w14:paraId="0D9B548D"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Reporting</w:t>
            </w:r>
          </w:p>
        </w:tc>
        <w:tc>
          <w:tcPr>
            <w:tcW w:w="680" w:type="dxa"/>
            <w:tcBorders>
              <w:top w:val="nil"/>
              <w:left w:val="nil"/>
              <w:bottom w:val="single" w:sz="4" w:space="0" w:color="auto"/>
              <w:right w:val="single" w:sz="4" w:space="0" w:color="auto"/>
            </w:tcBorders>
            <w:shd w:val="clear" w:color="auto" w:fill="auto"/>
            <w:vAlign w:val="center"/>
            <w:hideMark/>
          </w:tcPr>
          <w:p w14:paraId="1B07672A"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95</w:t>
            </w:r>
          </w:p>
        </w:tc>
        <w:tc>
          <w:tcPr>
            <w:tcW w:w="880" w:type="dxa"/>
            <w:tcBorders>
              <w:top w:val="nil"/>
              <w:left w:val="nil"/>
              <w:bottom w:val="single" w:sz="4" w:space="0" w:color="auto"/>
              <w:right w:val="single" w:sz="4" w:space="0" w:color="auto"/>
            </w:tcBorders>
            <w:shd w:val="clear" w:color="auto" w:fill="auto"/>
            <w:vAlign w:val="center"/>
            <w:hideMark/>
          </w:tcPr>
          <w:p w14:paraId="060D63BE"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2</w:t>
            </w:r>
          </w:p>
        </w:tc>
        <w:tc>
          <w:tcPr>
            <w:tcW w:w="760" w:type="dxa"/>
            <w:tcBorders>
              <w:top w:val="nil"/>
              <w:left w:val="nil"/>
              <w:bottom w:val="single" w:sz="4" w:space="0" w:color="auto"/>
              <w:right w:val="single" w:sz="4" w:space="0" w:color="auto"/>
            </w:tcBorders>
            <w:shd w:val="clear" w:color="auto" w:fill="auto"/>
            <w:vAlign w:val="center"/>
            <w:hideMark/>
          </w:tcPr>
          <w:p w14:paraId="4AB82D51"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60" w:type="dxa"/>
            <w:tcBorders>
              <w:top w:val="nil"/>
              <w:left w:val="nil"/>
              <w:bottom w:val="single" w:sz="4" w:space="0" w:color="auto"/>
              <w:right w:val="single" w:sz="4" w:space="0" w:color="auto"/>
            </w:tcBorders>
            <w:shd w:val="clear" w:color="auto" w:fill="auto"/>
            <w:vAlign w:val="center"/>
            <w:hideMark/>
          </w:tcPr>
          <w:p w14:paraId="16AF463C"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700" w:type="dxa"/>
            <w:tcBorders>
              <w:top w:val="nil"/>
              <w:left w:val="nil"/>
              <w:bottom w:val="single" w:sz="4" w:space="0" w:color="auto"/>
              <w:right w:val="single" w:sz="4" w:space="0" w:color="auto"/>
            </w:tcBorders>
            <w:shd w:val="clear" w:color="auto" w:fill="auto"/>
            <w:vAlign w:val="center"/>
            <w:hideMark/>
          </w:tcPr>
          <w:p w14:paraId="5D261C0D"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12.00</w:t>
            </w:r>
          </w:p>
        </w:tc>
        <w:tc>
          <w:tcPr>
            <w:tcW w:w="760" w:type="dxa"/>
            <w:tcBorders>
              <w:top w:val="nil"/>
              <w:left w:val="nil"/>
              <w:bottom w:val="single" w:sz="4" w:space="0" w:color="auto"/>
              <w:right w:val="single" w:sz="4" w:space="0" w:color="auto"/>
            </w:tcBorders>
            <w:shd w:val="clear" w:color="auto" w:fill="auto"/>
            <w:vAlign w:val="center"/>
            <w:hideMark/>
          </w:tcPr>
          <w:p w14:paraId="1A0EF7AA"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6.00</w:t>
            </w:r>
          </w:p>
        </w:tc>
        <w:tc>
          <w:tcPr>
            <w:tcW w:w="700" w:type="dxa"/>
            <w:tcBorders>
              <w:top w:val="nil"/>
              <w:left w:val="nil"/>
              <w:bottom w:val="single" w:sz="4" w:space="0" w:color="auto"/>
              <w:right w:val="single" w:sz="4" w:space="0" w:color="auto"/>
            </w:tcBorders>
            <w:shd w:val="clear" w:color="auto" w:fill="auto"/>
            <w:vAlign w:val="center"/>
            <w:hideMark/>
          </w:tcPr>
          <w:p w14:paraId="4B3FFF89"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12.00</w:t>
            </w:r>
          </w:p>
        </w:tc>
        <w:tc>
          <w:tcPr>
            <w:tcW w:w="840" w:type="dxa"/>
            <w:tcBorders>
              <w:top w:val="nil"/>
              <w:left w:val="nil"/>
              <w:bottom w:val="single" w:sz="4" w:space="0" w:color="auto"/>
              <w:right w:val="single" w:sz="4" w:space="0" w:color="auto"/>
            </w:tcBorders>
            <w:shd w:val="clear" w:color="auto" w:fill="auto"/>
            <w:vAlign w:val="center"/>
            <w:hideMark/>
          </w:tcPr>
          <w:p w14:paraId="713B0F3F"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1,140.00</w:t>
            </w:r>
          </w:p>
        </w:tc>
        <w:tc>
          <w:tcPr>
            <w:tcW w:w="920" w:type="dxa"/>
            <w:tcBorders>
              <w:top w:val="nil"/>
              <w:left w:val="nil"/>
              <w:bottom w:val="single" w:sz="4" w:space="0" w:color="auto"/>
              <w:right w:val="single" w:sz="4" w:space="0" w:color="auto"/>
            </w:tcBorders>
            <w:shd w:val="clear" w:color="auto" w:fill="auto"/>
            <w:noWrap/>
            <w:vAlign w:val="center"/>
            <w:hideMark/>
          </w:tcPr>
          <w:p w14:paraId="01C4D3FC"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80" w:type="dxa"/>
            <w:tcBorders>
              <w:top w:val="nil"/>
              <w:left w:val="nil"/>
              <w:bottom w:val="single" w:sz="4" w:space="0" w:color="auto"/>
              <w:right w:val="single" w:sz="8" w:space="0" w:color="auto"/>
            </w:tcBorders>
            <w:shd w:val="clear" w:color="auto" w:fill="auto"/>
            <w:noWrap/>
            <w:vAlign w:val="center"/>
            <w:hideMark/>
          </w:tcPr>
          <w:p w14:paraId="770513D4"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1,140.00</w:t>
            </w:r>
          </w:p>
        </w:tc>
      </w:tr>
      <w:tr w:rsidR="00213D71" w:rsidRPr="00213D71" w14:paraId="45503806" w14:textId="77777777" w:rsidTr="00213D71">
        <w:trPr>
          <w:trHeight w:val="330"/>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7F156361"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Form ATS-R - Quarterly Reports (Rule 301)</w:t>
            </w:r>
          </w:p>
        </w:tc>
        <w:tc>
          <w:tcPr>
            <w:tcW w:w="1000" w:type="dxa"/>
            <w:tcBorders>
              <w:top w:val="nil"/>
              <w:left w:val="nil"/>
              <w:bottom w:val="single" w:sz="4" w:space="0" w:color="auto"/>
              <w:right w:val="single" w:sz="4" w:space="0" w:color="auto"/>
            </w:tcBorders>
            <w:shd w:val="clear" w:color="auto" w:fill="auto"/>
            <w:vAlign w:val="center"/>
            <w:hideMark/>
          </w:tcPr>
          <w:p w14:paraId="72927E91"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Reporting</w:t>
            </w:r>
          </w:p>
        </w:tc>
        <w:tc>
          <w:tcPr>
            <w:tcW w:w="680" w:type="dxa"/>
            <w:tcBorders>
              <w:top w:val="nil"/>
              <w:left w:val="nil"/>
              <w:bottom w:val="single" w:sz="4" w:space="0" w:color="auto"/>
              <w:right w:val="single" w:sz="4" w:space="0" w:color="auto"/>
            </w:tcBorders>
            <w:shd w:val="clear" w:color="auto" w:fill="auto"/>
            <w:vAlign w:val="center"/>
            <w:hideMark/>
          </w:tcPr>
          <w:p w14:paraId="790E63F4"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95</w:t>
            </w:r>
          </w:p>
        </w:tc>
        <w:tc>
          <w:tcPr>
            <w:tcW w:w="880" w:type="dxa"/>
            <w:tcBorders>
              <w:top w:val="nil"/>
              <w:left w:val="nil"/>
              <w:bottom w:val="single" w:sz="4" w:space="0" w:color="auto"/>
              <w:right w:val="single" w:sz="4" w:space="0" w:color="auto"/>
            </w:tcBorders>
            <w:shd w:val="clear" w:color="auto" w:fill="auto"/>
            <w:vAlign w:val="center"/>
            <w:hideMark/>
          </w:tcPr>
          <w:p w14:paraId="381D7B68"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4</w:t>
            </w:r>
          </w:p>
        </w:tc>
        <w:tc>
          <w:tcPr>
            <w:tcW w:w="760" w:type="dxa"/>
            <w:tcBorders>
              <w:top w:val="nil"/>
              <w:left w:val="nil"/>
              <w:bottom w:val="single" w:sz="4" w:space="0" w:color="auto"/>
              <w:right w:val="single" w:sz="4" w:space="0" w:color="auto"/>
            </w:tcBorders>
            <w:shd w:val="clear" w:color="auto" w:fill="auto"/>
            <w:vAlign w:val="center"/>
            <w:hideMark/>
          </w:tcPr>
          <w:p w14:paraId="5E1410AF"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60" w:type="dxa"/>
            <w:tcBorders>
              <w:top w:val="nil"/>
              <w:left w:val="nil"/>
              <w:bottom w:val="single" w:sz="4" w:space="0" w:color="auto"/>
              <w:right w:val="single" w:sz="4" w:space="0" w:color="auto"/>
            </w:tcBorders>
            <w:shd w:val="clear" w:color="auto" w:fill="auto"/>
            <w:vAlign w:val="center"/>
            <w:hideMark/>
          </w:tcPr>
          <w:p w14:paraId="42D0E37D"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700" w:type="dxa"/>
            <w:tcBorders>
              <w:top w:val="nil"/>
              <w:left w:val="nil"/>
              <w:bottom w:val="single" w:sz="4" w:space="0" w:color="auto"/>
              <w:right w:val="single" w:sz="4" w:space="0" w:color="auto"/>
            </w:tcBorders>
            <w:shd w:val="clear" w:color="auto" w:fill="auto"/>
            <w:vAlign w:val="center"/>
            <w:hideMark/>
          </w:tcPr>
          <w:p w14:paraId="62B40B0C"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16.00</w:t>
            </w:r>
          </w:p>
        </w:tc>
        <w:tc>
          <w:tcPr>
            <w:tcW w:w="760" w:type="dxa"/>
            <w:tcBorders>
              <w:top w:val="nil"/>
              <w:left w:val="nil"/>
              <w:bottom w:val="single" w:sz="4" w:space="0" w:color="auto"/>
              <w:right w:val="single" w:sz="4" w:space="0" w:color="auto"/>
            </w:tcBorders>
            <w:shd w:val="clear" w:color="auto" w:fill="auto"/>
            <w:vAlign w:val="center"/>
            <w:hideMark/>
          </w:tcPr>
          <w:p w14:paraId="3018C6FE"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4.00</w:t>
            </w:r>
          </w:p>
        </w:tc>
        <w:tc>
          <w:tcPr>
            <w:tcW w:w="700" w:type="dxa"/>
            <w:tcBorders>
              <w:top w:val="nil"/>
              <w:left w:val="nil"/>
              <w:bottom w:val="single" w:sz="4" w:space="0" w:color="auto"/>
              <w:right w:val="single" w:sz="4" w:space="0" w:color="auto"/>
            </w:tcBorders>
            <w:shd w:val="clear" w:color="auto" w:fill="auto"/>
            <w:vAlign w:val="center"/>
            <w:hideMark/>
          </w:tcPr>
          <w:p w14:paraId="4196CCE0"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16.00</w:t>
            </w:r>
          </w:p>
        </w:tc>
        <w:tc>
          <w:tcPr>
            <w:tcW w:w="840" w:type="dxa"/>
            <w:tcBorders>
              <w:top w:val="nil"/>
              <w:left w:val="nil"/>
              <w:bottom w:val="single" w:sz="4" w:space="0" w:color="auto"/>
              <w:right w:val="single" w:sz="4" w:space="0" w:color="auto"/>
            </w:tcBorders>
            <w:shd w:val="clear" w:color="auto" w:fill="auto"/>
            <w:vAlign w:val="center"/>
            <w:hideMark/>
          </w:tcPr>
          <w:p w14:paraId="513E759B"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1,520.00</w:t>
            </w:r>
          </w:p>
        </w:tc>
        <w:tc>
          <w:tcPr>
            <w:tcW w:w="920" w:type="dxa"/>
            <w:tcBorders>
              <w:top w:val="nil"/>
              <w:left w:val="nil"/>
              <w:bottom w:val="single" w:sz="4" w:space="0" w:color="auto"/>
              <w:right w:val="single" w:sz="4" w:space="0" w:color="auto"/>
            </w:tcBorders>
            <w:shd w:val="clear" w:color="auto" w:fill="auto"/>
            <w:noWrap/>
            <w:vAlign w:val="center"/>
            <w:hideMark/>
          </w:tcPr>
          <w:p w14:paraId="6432990B"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80" w:type="dxa"/>
            <w:tcBorders>
              <w:top w:val="nil"/>
              <w:left w:val="nil"/>
              <w:bottom w:val="single" w:sz="4" w:space="0" w:color="auto"/>
              <w:right w:val="single" w:sz="8" w:space="0" w:color="auto"/>
            </w:tcBorders>
            <w:shd w:val="clear" w:color="auto" w:fill="auto"/>
            <w:noWrap/>
            <w:vAlign w:val="center"/>
            <w:hideMark/>
          </w:tcPr>
          <w:p w14:paraId="04261DC1"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1,520.00</w:t>
            </w:r>
          </w:p>
        </w:tc>
      </w:tr>
      <w:tr w:rsidR="00213D71" w:rsidRPr="00213D71" w14:paraId="1D966005" w14:textId="77777777" w:rsidTr="00213D71">
        <w:trPr>
          <w:trHeight w:val="330"/>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31821FE3"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Form ATS Cessation of Operations Report (Rule 301)</w:t>
            </w:r>
          </w:p>
        </w:tc>
        <w:tc>
          <w:tcPr>
            <w:tcW w:w="1000" w:type="dxa"/>
            <w:tcBorders>
              <w:top w:val="nil"/>
              <w:left w:val="nil"/>
              <w:bottom w:val="single" w:sz="4" w:space="0" w:color="auto"/>
              <w:right w:val="single" w:sz="4" w:space="0" w:color="auto"/>
            </w:tcBorders>
            <w:shd w:val="clear" w:color="auto" w:fill="auto"/>
            <w:vAlign w:val="center"/>
            <w:hideMark/>
          </w:tcPr>
          <w:p w14:paraId="680E1BE8"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Reporting</w:t>
            </w:r>
          </w:p>
        </w:tc>
        <w:tc>
          <w:tcPr>
            <w:tcW w:w="680" w:type="dxa"/>
            <w:tcBorders>
              <w:top w:val="nil"/>
              <w:left w:val="nil"/>
              <w:bottom w:val="single" w:sz="4" w:space="0" w:color="auto"/>
              <w:right w:val="single" w:sz="4" w:space="0" w:color="auto"/>
            </w:tcBorders>
            <w:shd w:val="clear" w:color="auto" w:fill="auto"/>
            <w:vAlign w:val="center"/>
            <w:hideMark/>
          </w:tcPr>
          <w:p w14:paraId="00518853"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5</w:t>
            </w:r>
          </w:p>
        </w:tc>
        <w:tc>
          <w:tcPr>
            <w:tcW w:w="880" w:type="dxa"/>
            <w:tcBorders>
              <w:top w:val="nil"/>
              <w:left w:val="nil"/>
              <w:bottom w:val="single" w:sz="4" w:space="0" w:color="auto"/>
              <w:right w:val="single" w:sz="4" w:space="0" w:color="auto"/>
            </w:tcBorders>
            <w:shd w:val="clear" w:color="auto" w:fill="auto"/>
            <w:vAlign w:val="center"/>
            <w:hideMark/>
          </w:tcPr>
          <w:p w14:paraId="52E780FD"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1</w:t>
            </w:r>
          </w:p>
        </w:tc>
        <w:tc>
          <w:tcPr>
            <w:tcW w:w="760" w:type="dxa"/>
            <w:tcBorders>
              <w:top w:val="nil"/>
              <w:left w:val="nil"/>
              <w:bottom w:val="single" w:sz="4" w:space="0" w:color="auto"/>
              <w:right w:val="single" w:sz="4" w:space="0" w:color="auto"/>
            </w:tcBorders>
            <w:shd w:val="clear" w:color="auto" w:fill="auto"/>
            <w:vAlign w:val="center"/>
            <w:hideMark/>
          </w:tcPr>
          <w:p w14:paraId="164C4387"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60" w:type="dxa"/>
            <w:tcBorders>
              <w:top w:val="nil"/>
              <w:left w:val="nil"/>
              <w:bottom w:val="single" w:sz="4" w:space="0" w:color="auto"/>
              <w:right w:val="single" w:sz="4" w:space="0" w:color="auto"/>
            </w:tcBorders>
            <w:shd w:val="clear" w:color="auto" w:fill="auto"/>
            <w:vAlign w:val="center"/>
            <w:hideMark/>
          </w:tcPr>
          <w:p w14:paraId="06C75D33"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700" w:type="dxa"/>
            <w:tcBorders>
              <w:top w:val="nil"/>
              <w:left w:val="nil"/>
              <w:bottom w:val="single" w:sz="4" w:space="0" w:color="auto"/>
              <w:right w:val="single" w:sz="4" w:space="0" w:color="auto"/>
            </w:tcBorders>
            <w:shd w:val="clear" w:color="auto" w:fill="auto"/>
            <w:vAlign w:val="center"/>
            <w:hideMark/>
          </w:tcPr>
          <w:p w14:paraId="294F281F"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2.00</w:t>
            </w:r>
          </w:p>
        </w:tc>
        <w:tc>
          <w:tcPr>
            <w:tcW w:w="760" w:type="dxa"/>
            <w:tcBorders>
              <w:top w:val="nil"/>
              <w:left w:val="nil"/>
              <w:bottom w:val="single" w:sz="4" w:space="0" w:color="auto"/>
              <w:right w:val="single" w:sz="4" w:space="0" w:color="auto"/>
            </w:tcBorders>
            <w:shd w:val="clear" w:color="auto" w:fill="auto"/>
            <w:vAlign w:val="center"/>
            <w:hideMark/>
          </w:tcPr>
          <w:p w14:paraId="5CC308BF"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2.00</w:t>
            </w:r>
          </w:p>
        </w:tc>
        <w:tc>
          <w:tcPr>
            <w:tcW w:w="700" w:type="dxa"/>
            <w:tcBorders>
              <w:top w:val="nil"/>
              <w:left w:val="nil"/>
              <w:bottom w:val="single" w:sz="4" w:space="0" w:color="auto"/>
              <w:right w:val="single" w:sz="4" w:space="0" w:color="auto"/>
            </w:tcBorders>
            <w:shd w:val="clear" w:color="auto" w:fill="auto"/>
            <w:vAlign w:val="center"/>
            <w:hideMark/>
          </w:tcPr>
          <w:p w14:paraId="41337F46"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2.00</w:t>
            </w:r>
          </w:p>
        </w:tc>
        <w:tc>
          <w:tcPr>
            <w:tcW w:w="840" w:type="dxa"/>
            <w:tcBorders>
              <w:top w:val="nil"/>
              <w:left w:val="nil"/>
              <w:bottom w:val="single" w:sz="4" w:space="0" w:color="auto"/>
              <w:right w:val="single" w:sz="4" w:space="0" w:color="auto"/>
            </w:tcBorders>
            <w:shd w:val="clear" w:color="auto" w:fill="auto"/>
            <w:vAlign w:val="center"/>
            <w:hideMark/>
          </w:tcPr>
          <w:p w14:paraId="6FA66BE1"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10.00</w:t>
            </w:r>
          </w:p>
        </w:tc>
        <w:tc>
          <w:tcPr>
            <w:tcW w:w="920" w:type="dxa"/>
            <w:tcBorders>
              <w:top w:val="nil"/>
              <w:left w:val="nil"/>
              <w:bottom w:val="single" w:sz="4" w:space="0" w:color="auto"/>
              <w:right w:val="single" w:sz="4" w:space="0" w:color="auto"/>
            </w:tcBorders>
            <w:shd w:val="clear" w:color="auto" w:fill="auto"/>
            <w:noWrap/>
            <w:vAlign w:val="center"/>
            <w:hideMark/>
          </w:tcPr>
          <w:p w14:paraId="5E859391"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80" w:type="dxa"/>
            <w:tcBorders>
              <w:top w:val="nil"/>
              <w:left w:val="nil"/>
              <w:bottom w:val="single" w:sz="4" w:space="0" w:color="auto"/>
              <w:right w:val="single" w:sz="8" w:space="0" w:color="auto"/>
            </w:tcBorders>
            <w:shd w:val="clear" w:color="auto" w:fill="auto"/>
            <w:noWrap/>
            <w:vAlign w:val="center"/>
            <w:hideMark/>
          </w:tcPr>
          <w:p w14:paraId="457B130B"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10.00</w:t>
            </w:r>
          </w:p>
        </w:tc>
      </w:tr>
      <w:tr w:rsidR="00213D71" w:rsidRPr="00213D71" w14:paraId="757B47AF" w14:textId="77777777" w:rsidTr="00213D71">
        <w:trPr>
          <w:trHeight w:val="330"/>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2CEE5D2F"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Form ATS-N Initial Operation Report (Rule 304)</w:t>
            </w:r>
          </w:p>
        </w:tc>
        <w:tc>
          <w:tcPr>
            <w:tcW w:w="1000" w:type="dxa"/>
            <w:tcBorders>
              <w:top w:val="nil"/>
              <w:left w:val="nil"/>
              <w:bottom w:val="single" w:sz="4" w:space="0" w:color="auto"/>
              <w:right w:val="single" w:sz="4" w:space="0" w:color="auto"/>
            </w:tcBorders>
            <w:shd w:val="clear" w:color="auto" w:fill="auto"/>
            <w:vAlign w:val="center"/>
            <w:hideMark/>
          </w:tcPr>
          <w:p w14:paraId="4F79A4D9"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Reporting</w:t>
            </w:r>
          </w:p>
        </w:tc>
        <w:tc>
          <w:tcPr>
            <w:tcW w:w="680" w:type="dxa"/>
            <w:tcBorders>
              <w:top w:val="nil"/>
              <w:left w:val="nil"/>
              <w:bottom w:val="single" w:sz="4" w:space="0" w:color="auto"/>
              <w:right w:val="single" w:sz="4" w:space="0" w:color="auto"/>
            </w:tcBorders>
            <w:shd w:val="clear" w:color="auto" w:fill="auto"/>
            <w:vAlign w:val="center"/>
            <w:hideMark/>
          </w:tcPr>
          <w:p w14:paraId="08B5EB55"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35</w:t>
            </w:r>
          </w:p>
        </w:tc>
        <w:tc>
          <w:tcPr>
            <w:tcW w:w="880" w:type="dxa"/>
            <w:tcBorders>
              <w:top w:val="nil"/>
              <w:left w:val="nil"/>
              <w:bottom w:val="single" w:sz="4" w:space="0" w:color="auto"/>
              <w:right w:val="single" w:sz="4" w:space="0" w:color="auto"/>
            </w:tcBorders>
            <w:shd w:val="clear" w:color="auto" w:fill="auto"/>
            <w:vAlign w:val="center"/>
            <w:hideMark/>
          </w:tcPr>
          <w:p w14:paraId="4611CED5"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1</w:t>
            </w:r>
          </w:p>
        </w:tc>
        <w:tc>
          <w:tcPr>
            <w:tcW w:w="760" w:type="dxa"/>
            <w:tcBorders>
              <w:top w:val="nil"/>
              <w:left w:val="nil"/>
              <w:bottom w:val="single" w:sz="4" w:space="0" w:color="auto"/>
              <w:right w:val="single" w:sz="4" w:space="0" w:color="auto"/>
            </w:tcBorders>
            <w:shd w:val="clear" w:color="auto" w:fill="auto"/>
            <w:vAlign w:val="center"/>
            <w:hideMark/>
          </w:tcPr>
          <w:p w14:paraId="343888A3"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60" w:type="dxa"/>
            <w:tcBorders>
              <w:top w:val="nil"/>
              <w:left w:val="nil"/>
              <w:bottom w:val="single" w:sz="4" w:space="0" w:color="auto"/>
              <w:right w:val="single" w:sz="4" w:space="0" w:color="auto"/>
            </w:tcBorders>
            <w:shd w:val="clear" w:color="auto" w:fill="auto"/>
            <w:vAlign w:val="center"/>
            <w:hideMark/>
          </w:tcPr>
          <w:p w14:paraId="77DEA516"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700" w:type="dxa"/>
            <w:tcBorders>
              <w:top w:val="nil"/>
              <w:left w:val="nil"/>
              <w:bottom w:val="single" w:sz="4" w:space="0" w:color="auto"/>
              <w:right w:val="single" w:sz="4" w:space="0" w:color="auto"/>
            </w:tcBorders>
            <w:shd w:val="clear" w:color="auto" w:fill="auto"/>
            <w:vAlign w:val="center"/>
            <w:hideMark/>
          </w:tcPr>
          <w:p w14:paraId="33702EF6"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141.30</w:t>
            </w:r>
          </w:p>
        </w:tc>
        <w:tc>
          <w:tcPr>
            <w:tcW w:w="760" w:type="dxa"/>
            <w:tcBorders>
              <w:top w:val="nil"/>
              <w:left w:val="nil"/>
              <w:bottom w:val="single" w:sz="4" w:space="0" w:color="auto"/>
              <w:right w:val="single" w:sz="4" w:space="0" w:color="auto"/>
            </w:tcBorders>
            <w:shd w:val="clear" w:color="auto" w:fill="auto"/>
            <w:vAlign w:val="center"/>
            <w:hideMark/>
          </w:tcPr>
          <w:p w14:paraId="71C6517B"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141.30</w:t>
            </w:r>
          </w:p>
        </w:tc>
        <w:tc>
          <w:tcPr>
            <w:tcW w:w="700" w:type="dxa"/>
            <w:tcBorders>
              <w:top w:val="nil"/>
              <w:left w:val="nil"/>
              <w:bottom w:val="single" w:sz="4" w:space="0" w:color="auto"/>
              <w:right w:val="single" w:sz="4" w:space="0" w:color="auto"/>
            </w:tcBorders>
            <w:shd w:val="clear" w:color="auto" w:fill="auto"/>
            <w:vAlign w:val="center"/>
            <w:hideMark/>
          </w:tcPr>
          <w:p w14:paraId="6030CBC6"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141.30</w:t>
            </w:r>
          </w:p>
        </w:tc>
        <w:tc>
          <w:tcPr>
            <w:tcW w:w="840" w:type="dxa"/>
            <w:tcBorders>
              <w:top w:val="nil"/>
              <w:left w:val="nil"/>
              <w:bottom w:val="single" w:sz="4" w:space="0" w:color="auto"/>
              <w:right w:val="single" w:sz="4" w:space="0" w:color="auto"/>
            </w:tcBorders>
            <w:shd w:val="clear" w:color="auto" w:fill="auto"/>
            <w:vAlign w:val="center"/>
            <w:hideMark/>
          </w:tcPr>
          <w:p w14:paraId="4B0660F1"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4,945.50</w:t>
            </w:r>
          </w:p>
        </w:tc>
        <w:tc>
          <w:tcPr>
            <w:tcW w:w="920" w:type="dxa"/>
            <w:tcBorders>
              <w:top w:val="nil"/>
              <w:left w:val="nil"/>
              <w:bottom w:val="single" w:sz="4" w:space="0" w:color="auto"/>
              <w:right w:val="single" w:sz="4" w:space="0" w:color="auto"/>
            </w:tcBorders>
            <w:shd w:val="clear" w:color="auto" w:fill="auto"/>
            <w:noWrap/>
            <w:vAlign w:val="center"/>
            <w:hideMark/>
          </w:tcPr>
          <w:p w14:paraId="4EC1DA9C"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80" w:type="dxa"/>
            <w:tcBorders>
              <w:top w:val="nil"/>
              <w:left w:val="nil"/>
              <w:bottom w:val="single" w:sz="4" w:space="0" w:color="auto"/>
              <w:right w:val="single" w:sz="8" w:space="0" w:color="auto"/>
            </w:tcBorders>
            <w:shd w:val="clear" w:color="auto" w:fill="auto"/>
            <w:noWrap/>
            <w:vAlign w:val="center"/>
            <w:hideMark/>
          </w:tcPr>
          <w:p w14:paraId="7DEC836F"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4,945.50</w:t>
            </w:r>
          </w:p>
        </w:tc>
      </w:tr>
      <w:tr w:rsidR="00213D71" w:rsidRPr="00213D71" w14:paraId="330425B7" w14:textId="77777777" w:rsidTr="00213D71">
        <w:trPr>
          <w:trHeight w:val="330"/>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157A0946"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Form ATS-N Amendments (Rule 304)</w:t>
            </w:r>
          </w:p>
        </w:tc>
        <w:tc>
          <w:tcPr>
            <w:tcW w:w="1000" w:type="dxa"/>
            <w:tcBorders>
              <w:top w:val="nil"/>
              <w:left w:val="nil"/>
              <w:bottom w:val="single" w:sz="4" w:space="0" w:color="auto"/>
              <w:right w:val="single" w:sz="4" w:space="0" w:color="auto"/>
            </w:tcBorders>
            <w:shd w:val="clear" w:color="auto" w:fill="auto"/>
            <w:vAlign w:val="center"/>
            <w:hideMark/>
          </w:tcPr>
          <w:p w14:paraId="05C29049"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Reporting</w:t>
            </w:r>
          </w:p>
        </w:tc>
        <w:tc>
          <w:tcPr>
            <w:tcW w:w="680" w:type="dxa"/>
            <w:tcBorders>
              <w:top w:val="nil"/>
              <w:left w:val="nil"/>
              <w:bottom w:val="single" w:sz="4" w:space="0" w:color="auto"/>
              <w:right w:val="single" w:sz="4" w:space="0" w:color="auto"/>
            </w:tcBorders>
            <w:shd w:val="clear" w:color="auto" w:fill="auto"/>
            <w:vAlign w:val="center"/>
            <w:hideMark/>
          </w:tcPr>
          <w:p w14:paraId="1425E96F"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46</w:t>
            </w:r>
          </w:p>
        </w:tc>
        <w:tc>
          <w:tcPr>
            <w:tcW w:w="880" w:type="dxa"/>
            <w:tcBorders>
              <w:top w:val="nil"/>
              <w:left w:val="nil"/>
              <w:bottom w:val="single" w:sz="4" w:space="0" w:color="auto"/>
              <w:right w:val="single" w:sz="4" w:space="0" w:color="auto"/>
            </w:tcBorders>
            <w:shd w:val="clear" w:color="auto" w:fill="auto"/>
            <w:vAlign w:val="center"/>
            <w:hideMark/>
          </w:tcPr>
          <w:p w14:paraId="0D79018C"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3</w:t>
            </w:r>
          </w:p>
        </w:tc>
        <w:tc>
          <w:tcPr>
            <w:tcW w:w="760" w:type="dxa"/>
            <w:tcBorders>
              <w:top w:val="nil"/>
              <w:left w:val="nil"/>
              <w:bottom w:val="single" w:sz="4" w:space="0" w:color="auto"/>
              <w:right w:val="single" w:sz="4" w:space="0" w:color="auto"/>
            </w:tcBorders>
            <w:shd w:val="clear" w:color="auto" w:fill="auto"/>
            <w:vAlign w:val="center"/>
            <w:hideMark/>
          </w:tcPr>
          <w:p w14:paraId="763D1081"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60" w:type="dxa"/>
            <w:tcBorders>
              <w:top w:val="nil"/>
              <w:left w:val="nil"/>
              <w:bottom w:val="single" w:sz="4" w:space="0" w:color="auto"/>
              <w:right w:val="single" w:sz="4" w:space="0" w:color="auto"/>
            </w:tcBorders>
            <w:shd w:val="clear" w:color="auto" w:fill="auto"/>
            <w:vAlign w:val="center"/>
            <w:hideMark/>
          </w:tcPr>
          <w:p w14:paraId="1FAF0AFE"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700" w:type="dxa"/>
            <w:tcBorders>
              <w:top w:val="nil"/>
              <w:left w:val="nil"/>
              <w:bottom w:val="single" w:sz="4" w:space="0" w:color="auto"/>
              <w:right w:val="single" w:sz="4" w:space="0" w:color="auto"/>
            </w:tcBorders>
            <w:shd w:val="clear" w:color="auto" w:fill="auto"/>
            <w:vAlign w:val="center"/>
            <w:hideMark/>
          </w:tcPr>
          <w:p w14:paraId="19457BEE"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28.50</w:t>
            </w:r>
          </w:p>
        </w:tc>
        <w:tc>
          <w:tcPr>
            <w:tcW w:w="760" w:type="dxa"/>
            <w:tcBorders>
              <w:top w:val="nil"/>
              <w:left w:val="nil"/>
              <w:bottom w:val="single" w:sz="4" w:space="0" w:color="auto"/>
              <w:right w:val="single" w:sz="4" w:space="0" w:color="auto"/>
            </w:tcBorders>
            <w:shd w:val="clear" w:color="auto" w:fill="auto"/>
            <w:vAlign w:val="center"/>
            <w:hideMark/>
          </w:tcPr>
          <w:p w14:paraId="19B02225"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9.50</w:t>
            </w:r>
          </w:p>
        </w:tc>
        <w:tc>
          <w:tcPr>
            <w:tcW w:w="700" w:type="dxa"/>
            <w:tcBorders>
              <w:top w:val="nil"/>
              <w:left w:val="nil"/>
              <w:bottom w:val="single" w:sz="4" w:space="0" w:color="auto"/>
              <w:right w:val="single" w:sz="4" w:space="0" w:color="auto"/>
            </w:tcBorders>
            <w:shd w:val="clear" w:color="auto" w:fill="auto"/>
            <w:vAlign w:val="center"/>
            <w:hideMark/>
          </w:tcPr>
          <w:p w14:paraId="151AA043"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28.50</w:t>
            </w:r>
          </w:p>
        </w:tc>
        <w:tc>
          <w:tcPr>
            <w:tcW w:w="840" w:type="dxa"/>
            <w:tcBorders>
              <w:top w:val="nil"/>
              <w:left w:val="nil"/>
              <w:bottom w:val="single" w:sz="4" w:space="0" w:color="auto"/>
              <w:right w:val="single" w:sz="4" w:space="0" w:color="auto"/>
            </w:tcBorders>
            <w:shd w:val="clear" w:color="auto" w:fill="auto"/>
            <w:vAlign w:val="center"/>
            <w:hideMark/>
          </w:tcPr>
          <w:p w14:paraId="3982F45F"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1,311.00</w:t>
            </w:r>
          </w:p>
        </w:tc>
        <w:tc>
          <w:tcPr>
            <w:tcW w:w="920" w:type="dxa"/>
            <w:tcBorders>
              <w:top w:val="nil"/>
              <w:left w:val="nil"/>
              <w:bottom w:val="single" w:sz="4" w:space="0" w:color="auto"/>
              <w:right w:val="single" w:sz="4" w:space="0" w:color="auto"/>
            </w:tcBorders>
            <w:shd w:val="clear" w:color="auto" w:fill="auto"/>
            <w:noWrap/>
            <w:vAlign w:val="center"/>
            <w:hideMark/>
          </w:tcPr>
          <w:p w14:paraId="6FE5A5AB"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80" w:type="dxa"/>
            <w:tcBorders>
              <w:top w:val="nil"/>
              <w:left w:val="nil"/>
              <w:bottom w:val="single" w:sz="4" w:space="0" w:color="auto"/>
              <w:right w:val="single" w:sz="8" w:space="0" w:color="auto"/>
            </w:tcBorders>
            <w:shd w:val="clear" w:color="auto" w:fill="auto"/>
            <w:noWrap/>
            <w:vAlign w:val="center"/>
            <w:hideMark/>
          </w:tcPr>
          <w:p w14:paraId="5811840F"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1,311.00</w:t>
            </w:r>
          </w:p>
        </w:tc>
      </w:tr>
      <w:tr w:rsidR="00213D71" w:rsidRPr="00213D71" w14:paraId="69889CEE" w14:textId="77777777" w:rsidTr="00213D71">
        <w:trPr>
          <w:trHeight w:val="330"/>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4127B765"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Form ATS-N Cessation of Operations Report (Rule 304)</w:t>
            </w:r>
          </w:p>
        </w:tc>
        <w:tc>
          <w:tcPr>
            <w:tcW w:w="1000" w:type="dxa"/>
            <w:tcBorders>
              <w:top w:val="nil"/>
              <w:left w:val="nil"/>
              <w:bottom w:val="single" w:sz="4" w:space="0" w:color="auto"/>
              <w:right w:val="single" w:sz="4" w:space="0" w:color="auto"/>
            </w:tcBorders>
            <w:shd w:val="clear" w:color="auto" w:fill="auto"/>
            <w:vAlign w:val="center"/>
            <w:hideMark/>
          </w:tcPr>
          <w:p w14:paraId="2BB37655"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Reporting</w:t>
            </w:r>
          </w:p>
        </w:tc>
        <w:tc>
          <w:tcPr>
            <w:tcW w:w="680" w:type="dxa"/>
            <w:tcBorders>
              <w:top w:val="nil"/>
              <w:left w:val="nil"/>
              <w:bottom w:val="single" w:sz="4" w:space="0" w:color="auto"/>
              <w:right w:val="single" w:sz="4" w:space="0" w:color="auto"/>
            </w:tcBorders>
            <w:shd w:val="clear" w:color="auto" w:fill="auto"/>
            <w:vAlign w:val="center"/>
            <w:hideMark/>
          </w:tcPr>
          <w:p w14:paraId="1ECF7026"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6</w:t>
            </w:r>
          </w:p>
        </w:tc>
        <w:tc>
          <w:tcPr>
            <w:tcW w:w="880" w:type="dxa"/>
            <w:tcBorders>
              <w:top w:val="nil"/>
              <w:left w:val="nil"/>
              <w:bottom w:val="single" w:sz="4" w:space="0" w:color="auto"/>
              <w:right w:val="single" w:sz="4" w:space="0" w:color="auto"/>
            </w:tcBorders>
            <w:shd w:val="clear" w:color="auto" w:fill="auto"/>
            <w:vAlign w:val="center"/>
            <w:hideMark/>
          </w:tcPr>
          <w:p w14:paraId="170E3068"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1</w:t>
            </w:r>
          </w:p>
        </w:tc>
        <w:tc>
          <w:tcPr>
            <w:tcW w:w="760" w:type="dxa"/>
            <w:tcBorders>
              <w:top w:val="nil"/>
              <w:left w:val="nil"/>
              <w:bottom w:val="single" w:sz="4" w:space="0" w:color="auto"/>
              <w:right w:val="single" w:sz="4" w:space="0" w:color="auto"/>
            </w:tcBorders>
            <w:shd w:val="clear" w:color="auto" w:fill="auto"/>
            <w:vAlign w:val="center"/>
            <w:hideMark/>
          </w:tcPr>
          <w:p w14:paraId="1663CE04"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60" w:type="dxa"/>
            <w:tcBorders>
              <w:top w:val="nil"/>
              <w:left w:val="nil"/>
              <w:bottom w:val="single" w:sz="4" w:space="0" w:color="auto"/>
              <w:right w:val="single" w:sz="4" w:space="0" w:color="auto"/>
            </w:tcBorders>
            <w:shd w:val="clear" w:color="auto" w:fill="auto"/>
            <w:vAlign w:val="center"/>
            <w:hideMark/>
          </w:tcPr>
          <w:p w14:paraId="0DE326D4"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700" w:type="dxa"/>
            <w:tcBorders>
              <w:top w:val="nil"/>
              <w:left w:val="nil"/>
              <w:bottom w:val="single" w:sz="4" w:space="0" w:color="auto"/>
              <w:right w:val="single" w:sz="4" w:space="0" w:color="auto"/>
            </w:tcBorders>
            <w:shd w:val="clear" w:color="auto" w:fill="auto"/>
            <w:vAlign w:val="center"/>
            <w:hideMark/>
          </w:tcPr>
          <w:p w14:paraId="5E554F68"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2.00</w:t>
            </w:r>
          </w:p>
        </w:tc>
        <w:tc>
          <w:tcPr>
            <w:tcW w:w="760" w:type="dxa"/>
            <w:tcBorders>
              <w:top w:val="nil"/>
              <w:left w:val="nil"/>
              <w:bottom w:val="single" w:sz="4" w:space="0" w:color="auto"/>
              <w:right w:val="single" w:sz="4" w:space="0" w:color="auto"/>
            </w:tcBorders>
            <w:shd w:val="clear" w:color="auto" w:fill="auto"/>
            <w:vAlign w:val="center"/>
            <w:hideMark/>
          </w:tcPr>
          <w:p w14:paraId="09D4320F"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2.00</w:t>
            </w:r>
          </w:p>
        </w:tc>
        <w:tc>
          <w:tcPr>
            <w:tcW w:w="700" w:type="dxa"/>
            <w:tcBorders>
              <w:top w:val="nil"/>
              <w:left w:val="nil"/>
              <w:bottom w:val="single" w:sz="4" w:space="0" w:color="auto"/>
              <w:right w:val="single" w:sz="4" w:space="0" w:color="auto"/>
            </w:tcBorders>
            <w:shd w:val="clear" w:color="auto" w:fill="auto"/>
            <w:vAlign w:val="center"/>
            <w:hideMark/>
          </w:tcPr>
          <w:p w14:paraId="2C9124CB"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2.00</w:t>
            </w:r>
          </w:p>
        </w:tc>
        <w:tc>
          <w:tcPr>
            <w:tcW w:w="840" w:type="dxa"/>
            <w:tcBorders>
              <w:top w:val="nil"/>
              <w:left w:val="nil"/>
              <w:bottom w:val="single" w:sz="4" w:space="0" w:color="auto"/>
              <w:right w:val="single" w:sz="4" w:space="0" w:color="auto"/>
            </w:tcBorders>
            <w:shd w:val="clear" w:color="auto" w:fill="auto"/>
            <w:vAlign w:val="center"/>
            <w:hideMark/>
          </w:tcPr>
          <w:p w14:paraId="573D5430"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12.00</w:t>
            </w:r>
          </w:p>
        </w:tc>
        <w:tc>
          <w:tcPr>
            <w:tcW w:w="920" w:type="dxa"/>
            <w:tcBorders>
              <w:top w:val="nil"/>
              <w:left w:val="nil"/>
              <w:bottom w:val="single" w:sz="4" w:space="0" w:color="auto"/>
              <w:right w:val="single" w:sz="4" w:space="0" w:color="auto"/>
            </w:tcBorders>
            <w:shd w:val="clear" w:color="auto" w:fill="auto"/>
            <w:noWrap/>
            <w:vAlign w:val="center"/>
            <w:hideMark/>
          </w:tcPr>
          <w:p w14:paraId="66D3AA79"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80" w:type="dxa"/>
            <w:tcBorders>
              <w:top w:val="nil"/>
              <w:left w:val="nil"/>
              <w:bottom w:val="single" w:sz="4" w:space="0" w:color="auto"/>
              <w:right w:val="single" w:sz="8" w:space="0" w:color="auto"/>
            </w:tcBorders>
            <w:shd w:val="clear" w:color="auto" w:fill="auto"/>
            <w:noWrap/>
            <w:vAlign w:val="center"/>
            <w:hideMark/>
          </w:tcPr>
          <w:p w14:paraId="613FD985"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12.00</w:t>
            </w:r>
          </w:p>
        </w:tc>
      </w:tr>
      <w:tr w:rsidR="00213D71" w:rsidRPr="00213D71" w14:paraId="2D810F86" w14:textId="77777777" w:rsidTr="00213D71">
        <w:trPr>
          <w:trHeight w:val="660"/>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38F93998"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ATSs that Transact in NMS Stocks and Non-NMS Stocks - Initial Form ATS and Form ATS-N (Rules 301 and 304)</w:t>
            </w:r>
          </w:p>
        </w:tc>
        <w:tc>
          <w:tcPr>
            <w:tcW w:w="1000" w:type="dxa"/>
            <w:tcBorders>
              <w:top w:val="nil"/>
              <w:left w:val="nil"/>
              <w:bottom w:val="single" w:sz="4" w:space="0" w:color="auto"/>
              <w:right w:val="single" w:sz="4" w:space="0" w:color="auto"/>
            </w:tcBorders>
            <w:shd w:val="clear" w:color="auto" w:fill="auto"/>
            <w:vAlign w:val="center"/>
            <w:hideMark/>
          </w:tcPr>
          <w:p w14:paraId="4C233B9C"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Reporting</w:t>
            </w:r>
          </w:p>
        </w:tc>
        <w:tc>
          <w:tcPr>
            <w:tcW w:w="680" w:type="dxa"/>
            <w:tcBorders>
              <w:top w:val="nil"/>
              <w:left w:val="nil"/>
              <w:bottom w:val="single" w:sz="4" w:space="0" w:color="auto"/>
              <w:right w:val="single" w:sz="4" w:space="0" w:color="auto"/>
            </w:tcBorders>
            <w:shd w:val="clear" w:color="auto" w:fill="auto"/>
            <w:vAlign w:val="center"/>
            <w:hideMark/>
          </w:tcPr>
          <w:p w14:paraId="7EB29CC5"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11</w:t>
            </w:r>
          </w:p>
        </w:tc>
        <w:tc>
          <w:tcPr>
            <w:tcW w:w="880" w:type="dxa"/>
            <w:tcBorders>
              <w:top w:val="nil"/>
              <w:left w:val="nil"/>
              <w:bottom w:val="single" w:sz="4" w:space="0" w:color="auto"/>
              <w:right w:val="single" w:sz="4" w:space="0" w:color="auto"/>
            </w:tcBorders>
            <w:shd w:val="clear" w:color="auto" w:fill="auto"/>
            <w:vAlign w:val="center"/>
            <w:hideMark/>
          </w:tcPr>
          <w:p w14:paraId="25352E40"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1</w:t>
            </w:r>
          </w:p>
        </w:tc>
        <w:tc>
          <w:tcPr>
            <w:tcW w:w="760" w:type="dxa"/>
            <w:tcBorders>
              <w:top w:val="nil"/>
              <w:left w:val="nil"/>
              <w:bottom w:val="single" w:sz="4" w:space="0" w:color="auto"/>
              <w:right w:val="single" w:sz="4" w:space="0" w:color="auto"/>
            </w:tcBorders>
            <w:shd w:val="clear" w:color="auto" w:fill="auto"/>
            <w:vAlign w:val="center"/>
            <w:hideMark/>
          </w:tcPr>
          <w:p w14:paraId="043C0A52"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60" w:type="dxa"/>
            <w:tcBorders>
              <w:top w:val="nil"/>
              <w:left w:val="nil"/>
              <w:bottom w:val="single" w:sz="4" w:space="0" w:color="auto"/>
              <w:right w:val="single" w:sz="4" w:space="0" w:color="auto"/>
            </w:tcBorders>
            <w:shd w:val="clear" w:color="auto" w:fill="auto"/>
            <w:vAlign w:val="center"/>
            <w:hideMark/>
          </w:tcPr>
          <w:p w14:paraId="0E64A0B1"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700" w:type="dxa"/>
            <w:tcBorders>
              <w:top w:val="nil"/>
              <w:left w:val="nil"/>
              <w:bottom w:val="single" w:sz="4" w:space="0" w:color="auto"/>
              <w:right w:val="single" w:sz="4" w:space="0" w:color="auto"/>
            </w:tcBorders>
            <w:shd w:val="clear" w:color="auto" w:fill="auto"/>
            <w:vAlign w:val="center"/>
            <w:hideMark/>
          </w:tcPr>
          <w:p w14:paraId="457562EB"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161.30</w:t>
            </w:r>
          </w:p>
        </w:tc>
        <w:tc>
          <w:tcPr>
            <w:tcW w:w="760" w:type="dxa"/>
            <w:tcBorders>
              <w:top w:val="nil"/>
              <w:left w:val="nil"/>
              <w:bottom w:val="single" w:sz="4" w:space="0" w:color="auto"/>
              <w:right w:val="single" w:sz="4" w:space="0" w:color="auto"/>
            </w:tcBorders>
            <w:shd w:val="clear" w:color="auto" w:fill="auto"/>
            <w:vAlign w:val="center"/>
            <w:hideMark/>
          </w:tcPr>
          <w:p w14:paraId="4360A930"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161.30</w:t>
            </w:r>
          </w:p>
        </w:tc>
        <w:tc>
          <w:tcPr>
            <w:tcW w:w="700" w:type="dxa"/>
            <w:tcBorders>
              <w:top w:val="nil"/>
              <w:left w:val="nil"/>
              <w:bottom w:val="single" w:sz="4" w:space="0" w:color="auto"/>
              <w:right w:val="single" w:sz="4" w:space="0" w:color="auto"/>
            </w:tcBorders>
            <w:shd w:val="clear" w:color="auto" w:fill="auto"/>
            <w:vAlign w:val="center"/>
            <w:hideMark/>
          </w:tcPr>
          <w:p w14:paraId="6E476BC7"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161.30</w:t>
            </w:r>
          </w:p>
        </w:tc>
        <w:tc>
          <w:tcPr>
            <w:tcW w:w="840" w:type="dxa"/>
            <w:tcBorders>
              <w:top w:val="nil"/>
              <w:left w:val="nil"/>
              <w:bottom w:val="single" w:sz="4" w:space="0" w:color="auto"/>
              <w:right w:val="single" w:sz="4" w:space="0" w:color="auto"/>
            </w:tcBorders>
            <w:shd w:val="clear" w:color="auto" w:fill="auto"/>
            <w:vAlign w:val="center"/>
            <w:hideMark/>
          </w:tcPr>
          <w:p w14:paraId="44FEAD39"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1,774.30</w:t>
            </w:r>
          </w:p>
        </w:tc>
        <w:tc>
          <w:tcPr>
            <w:tcW w:w="920" w:type="dxa"/>
            <w:tcBorders>
              <w:top w:val="nil"/>
              <w:left w:val="nil"/>
              <w:bottom w:val="single" w:sz="4" w:space="0" w:color="auto"/>
              <w:right w:val="single" w:sz="4" w:space="0" w:color="auto"/>
            </w:tcBorders>
            <w:shd w:val="clear" w:color="auto" w:fill="auto"/>
            <w:noWrap/>
            <w:vAlign w:val="center"/>
            <w:hideMark/>
          </w:tcPr>
          <w:p w14:paraId="79484E2D"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80" w:type="dxa"/>
            <w:tcBorders>
              <w:top w:val="nil"/>
              <w:left w:val="nil"/>
              <w:bottom w:val="single" w:sz="4" w:space="0" w:color="auto"/>
              <w:right w:val="single" w:sz="8" w:space="0" w:color="auto"/>
            </w:tcBorders>
            <w:shd w:val="clear" w:color="auto" w:fill="auto"/>
            <w:noWrap/>
            <w:vAlign w:val="center"/>
            <w:hideMark/>
          </w:tcPr>
          <w:p w14:paraId="65EC18D2"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1,774.30</w:t>
            </w:r>
          </w:p>
        </w:tc>
      </w:tr>
      <w:tr w:rsidR="00213D71" w:rsidRPr="00213D71" w14:paraId="18841ED9" w14:textId="77777777" w:rsidTr="00213D71">
        <w:trPr>
          <w:trHeight w:val="495"/>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4B3D5C59"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ATSs that Transact in NMS Stocks and Non-NMS Stocks - Form ATS Amendments (Rules 301 and 304)</w:t>
            </w:r>
          </w:p>
        </w:tc>
        <w:tc>
          <w:tcPr>
            <w:tcW w:w="1000" w:type="dxa"/>
            <w:tcBorders>
              <w:top w:val="nil"/>
              <w:left w:val="nil"/>
              <w:bottom w:val="single" w:sz="4" w:space="0" w:color="auto"/>
              <w:right w:val="single" w:sz="4" w:space="0" w:color="auto"/>
            </w:tcBorders>
            <w:shd w:val="clear" w:color="auto" w:fill="auto"/>
            <w:vAlign w:val="center"/>
            <w:hideMark/>
          </w:tcPr>
          <w:p w14:paraId="0C0CA5EA"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Reporting</w:t>
            </w:r>
          </w:p>
        </w:tc>
        <w:tc>
          <w:tcPr>
            <w:tcW w:w="680" w:type="dxa"/>
            <w:tcBorders>
              <w:top w:val="nil"/>
              <w:left w:val="nil"/>
              <w:bottom w:val="single" w:sz="4" w:space="0" w:color="auto"/>
              <w:right w:val="single" w:sz="4" w:space="0" w:color="auto"/>
            </w:tcBorders>
            <w:shd w:val="clear" w:color="auto" w:fill="auto"/>
            <w:vAlign w:val="center"/>
            <w:hideMark/>
          </w:tcPr>
          <w:p w14:paraId="5C45C4D8"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11</w:t>
            </w:r>
          </w:p>
        </w:tc>
        <w:tc>
          <w:tcPr>
            <w:tcW w:w="880" w:type="dxa"/>
            <w:tcBorders>
              <w:top w:val="nil"/>
              <w:left w:val="nil"/>
              <w:bottom w:val="single" w:sz="4" w:space="0" w:color="auto"/>
              <w:right w:val="single" w:sz="4" w:space="0" w:color="auto"/>
            </w:tcBorders>
            <w:shd w:val="clear" w:color="auto" w:fill="auto"/>
            <w:vAlign w:val="center"/>
            <w:hideMark/>
          </w:tcPr>
          <w:p w14:paraId="7B9D6D34"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2</w:t>
            </w:r>
          </w:p>
        </w:tc>
        <w:tc>
          <w:tcPr>
            <w:tcW w:w="760" w:type="dxa"/>
            <w:tcBorders>
              <w:top w:val="nil"/>
              <w:left w:val="nil"/>
              <w:bottom w:val="single" w:sz="4" w:space="0" w:color="auto"/>
              <w:right w:val="single" w:sz="4" w:space="0" w:color="auto"/>
            </w:tcBorders>
            <w:shd w:val="clear" w:color="auto" w:fill="auto"/>
            <w:vAlign w:val="center"/>
            <w:hideMark/>
          </w:tcPr>
          <w:p w14:paraId="617362D1"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60" w:type="dxa"/>
            <w:tcBorders>
              <w:top w:val="nil"/>
              <w:left w:val="nil"/>
              <w:bottom w:val="single" w:sz="4" w:space="0" w:color="auto"/>
              <w:right w:val="single" w:sz="4" w:space="0" w:color="auto"/>
            </w:tcBorders>
            <w:shd w:val="clear" w:color="auto" w:fill="auto"/>
            <w:vAlign w:val="center"/>
            <w:hideMark/>
          </w:tcPr>
          <w:p w14:paraId="22A2E097"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700" w:type="dxa"/>
            <w:tcBorders>
              <w:top w:val="nil"/>
              <w:left w:val="nil"/>
              <w:bottom w:val="single" w:sz="4" w:space="0" w:color="auto"/>
              <w:right w:val="single" w:sz="4" w:space="0" w:color="auto"/>
            </w:tcBorders>
            <w:shd w:val="clear" w:color="auto" w:fill="auto"/>
            <w:vAlign w:val="center"/>
            <w:hideMark/>
          </w:tcPr>
          <w:p w14:paraId="5D8ED393"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12.00</w:t>
            </w:r>
          </w:p>
        </w:tc>
        <w:tc>
          <w:tcPr>
            <w:tcW w:w="760" w:type="dxa"/>
            <w:tcBorders>
              <w:top w:val="nil"/>
              <w:left w:val="nil"/>
              <w:bottom w:val="single" w:sz="4" w:space="0" w:color="auto"/>
              <w:right w:val="single" w:sz="4" w:space="0" w:color="auto"/>
            </w:tcBorders>
            <w:shd w:val="clear" w:color="auto" w:fill="auto"/>
            <w:vAlign w:val="center"/>
            <w:hideMark/>
          </w:tcPr>
          <w:p w14:paraId="4B579C9F"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6.00</w:t>
            </w:r>
          </w:p>
        </w:tc>
        <w:tc>
          <w:tcPr>
            <w:tcW w:w="700" w:type="dxa"/>
            <w:tcBorders>
              <w:top w:val="nil"/>
              <w:left w:val="nil"/>
              <w:bottom w:val="single" w:sz="4" w:space="0" w:color="auto"/>
              <w:right w:val="single" w:sz="4" w:space="0" w:color="auto"/>
            </w:tcBorders>
            <w:shd w:val="clear" w:color="auto" w:fill="auto"/>
            <w:vAlign w:val="center"/>
            <w:hideMark/>
          </w:tcPr>
          <w:p w14:paraId="7B206104"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12.00</w:t>
            </w:r>
          </w:p>
        </w:tc>
        <w:tc>
          <w:tcPr>
            <w:tcW w:w="840" w:type="dxa"/>
            <w:tcBorders>
              <w:top w:val="nil"/>
              <w:left w:val="nil"/>
              <w:bottom w:val="single" w:sz="4" w:space="0" w:color="auto"/>
              <w:right w:val="single" w:sz="4" w:space="0" w:color="auto"/>
            </w:tcBorders>
            <w:shd w:val="clear" w:color="auto" w:fill="auto"/>
            <w:vAlign w:val="center"/>
            <w:hideMark/>
          </w:tcPr>
          <w:p w14:paraId="2436CDD1"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132.00</w:t>
            </w:r>
          </w:p>
        </w:tc>
        <w:tc>
          <w:tcPr>
            <w:tcW w:w="920" w:type="dxa"/>
            <w:tcBorders>
              <w:top w:val="nil"/>
              <w:left w:val="nil"/>
              <w:bottom w:val="single" w:sz="4" w:space="0" w:color="auto"/>
              <w:right w:val="single" w:sz="4" w:space="0" w:color="auto"/>
            </w:tcBorders>
            <w:shd w:val="clear" w:color="auto" w:fill="auto"/>
            <w:noWrap/>
            <w:vAlign w:val="center"/>
            <w:hideMark/>
          </w:tcPr>
          <w:p w14:paraId="65828C09"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80" w:type="dxa"/>
            <w:tcBorders>
              <w:top w:val="nil"/>
              <w:left w:val="nil"/>
              <w:bottom w:val="single" w:sz="4" w:space="0" w:color="auto"/>
              <w:right w:val="single" w:sz="8" w:space="0" w:color="auto"/>
            </w:tcBorders>
            <w:shd w:val="clear" w:color="auto" w:fill="auto"/>
            <w:noWrap/>
            <w:vAlign w:val="center"/>
            <w:hideMark/>
          </w:tcPr>
          <w:p w14:paraId="5C432F8D"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132.00</w:t>
            </w:r>
          </w:p>
        </w:tc>
      </w:tr>
      <w:tr w:rsidR="00213D71" w:rsidRPr="00213D71" w14:paraId="6C1170E9" w14:textId="77777777" w:rsidTr="00213D71">
        <w:trPr>
          <w:trHeight w:val="495"/>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1FA03085"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ATSs that Transact in NMS Stocks and Non-NMS Stocks - Form ATS-N Amendments (Rules 301 and 304)</w:t>
            </w:r>
          </w:p>
        </w:tc>
        <w:tc>
          <w:tcPr>
            <w:tcW w:w="1000" w:type="dxa"/>
            <w:tcBorders>
              <w:top w:val="nil"/>
              <w:left w:val="nil"/>
              <w:bottom w:val="single" w:sz="4" w:space="0" w:color="auto"/>
              <w:right w:val="single" w:sz="4" w:space="0" w:color="auto"/>
            </w:tcBorders>
            <w:shd w:val="clear" w:color="auto" w:fill="auto"/>
            <w:vAlign w:val="center"/>
            <w:hideMark/>
          </w:tcPr>
          <w:p w14:paraId="5F720EF1"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Reporting</w:t>
            </w:r>
          </w:p>
        </w:tc>
        <w:tc>
          <w:tcPr>
            <w:tcW w:w="680" w:type="dxa"/>
            <w:tcBorders>
              <w:top w:val="nil"/>
              <w:left w:val="nil"/>
              <w:bottom w:val="single" w:sz="4" w:space="0" w:color="auto"/>
              <w:right w:val="single" w:sz="4" w:space="0" w:color="auto"/>
            </w:tcBorders>
            <w:shd w:val="clear" w:color="auto" w:fill="auto"/>
            <w:vAlign w:val="center"/>
            <w:hideMark/>
          </w:tcPr>
          <w:p w14:paraId="35B42F55"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11</w:t>
            </w:r>
          </w:p>
        </w:tc>
        <w:tc>
          <w:tcPr>
            <w:tcW w:w="880" w:type="dxa"/>
            <w:tcBorders>
              <w:top w:val="nil"/>
              <w:left w:val="nil"/>
              <w:bottom w:val="single" w:sz="4" w:space="0" w:color="auto"/>
              <w:right w:val="single" w:sz="4" w:space="0" w:color="auto"/>
            </w:tcBorders>
            <w:shd w:val="clear" w:color="auto" w:fill="auto"/>
            <w:vAlign w:val="center"/>
            <w:hideMark/>
          </w:tcPr>
          <w:p w14:paraId="5C88AC6A"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3</w:t>
            </w:r>
          </w:p>
        </w:tc>
        <w:tc>
          <w:tcPr>
            <w:tcW w:w="760" w:type="dxa"/>
            <w:tcBorders>
              <w:top w:val="nil"/>
              <w:left w:val="nil"/>
              <w:bottom w:val="single" w:sz="4" w:space="0" w:color="auto"/>
              <w:right w:val="single" w:sz="4" w:space="0" w:color="auto"/>
            </w:tcBorders>
            <w:shd w:val="clear" w:color="auto" w:fill="auto"/>
            <w:vAlign w:val="center"/>
            <w:hideMark/>
          </w:tcPr>
          <w:p w14:paraId="024B44DD"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60" w:type="dxa"/>
            <w:tcBorders>
              <w:top w:val="nil"/>
              <w:left w:val="nil"/>
              <w:bottom w:val="single" w:sz="4" w:space="0" w:color="auto"/>
              <w:right w:val="single" w:sz="4" w:space="0" w:color="auto"/>
            </w:tcBorders>
            <w:shd w:val="clear" w:color="auto" w:fill="auto"/>
            <w:vAlign w:val="center"/>
            <w:hideMark/>
          </w:tcPr>
          <w:p w14:paraId="1C9D8A69"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700" w:type="dxa"/>
            <w:tcBorders>
              <w:top w:val="nil"/>
              <w:left w:val="nil"/>
              <w:bottom w:val="single" w:sz="4" w:space="0" w:color="auto"/>
              <w:right w:val="single" w:sz="4" w:space="0" w:color="auto"/>
            </w:tcBorders>
            <w:shd w:val="clear" w:color="auto" w:fill="auto"/>
            <w:vAlign w:val="center"/>
            <w:hideMark/>
          </w:tcPr>
          <w:p w14:paraId="62D3937E"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28.50</w:t>
            </w:r>
          </w:p>
        </w:tc>
        <w:tc>
          <w:tcPr>
            <w:tcW w:w="760" w:type="dxa"/>
            <w:tcBorders>
              <w:top w:val="nil"/>
              <w:left w:val="nil"/>
              <w:bottom w:val="single" w:sz="4" w:space="0" w:color="auto"/>
              <w:right w:val="single" w:sz="4" w:space="0" w:color="auto"/>
            </w:tcBorders>
            <w:shd w:val="clear" w:color="auto" w:fill="auto"/>
            <w:vAlign w:val="center"/>
            <w:hideMark/>
          </w:tcPr>
          <w:p w14:paraId="69CE4633"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9.50</w:t>
            </w:r>
          </w:p>
        </w:tc>
        <w:tc>
          <w:tcPr>
            <w:tcW w:w="700" w:type="dxa"/>
            <w:tcBorders>
              <w:top w:val="nil"/>
              <w:left w:val="nil"/>
              <w:bottom w:val="single" w:sz="4" w:space="0" w:color="auto"/>
              <w:right w:val="single" w:sz="4" w:space="0" w:color="auto"/>
            </w:tcBorders>
            <w:shd w:val="clear" w:color="auto" w:fill="auto"/>
            <w:vAlign w:val="center"/>
            <w:hideMark/>
          </w:tcPr>
          <w:p w14:paraId="29681547"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28.50</w:t>
            </w:r>
          </w:p>
        </w:tc>
        <w:tc>
          <w:tcPr>
            <w:tcW w:w="840" w:type="dxa"/>
            <w:tcBorders>
              <w:top w:val="nil"/>
              <w:left w:val="nil"/>
              <w:bottom w:val="single" w:sz="4" w:space="0" w:color="auto"/>
              <w:right w:val="single" w:sz="4" w:space="0" w:color="auto"/>
            </w:tcBorders>
            <w:shd w:val="clear" w:color="auto" w:fill="auto"/>
            <w:vAlign w:val="center"/>
            <w:hideMark/>
          </w:tcPr>
          <w:p w14:paraId="19051D36"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313.50</w:t>
            </w:r>
          </w:p>
        </w:tc>
        <w:tc>
          <w:tcPr>
            <w:tcW w:w="920" w:type="dxa"/>
            <w:tcBorders>
              <w:top w:val="nil"/>
              <w:left w:val="nil"/>
              <w:bottom w:val="single" w:sz="4" w:space="0" w:color="auto"/>
              <w:right w:val="single" w:sz="4" w:space="0" w:color="auto"/>
            </w:tcBorders>
            <w:shd w:val="clear" w:color="auto" w:fill="auto"/>
            <w:noWrap/>
            <w:vAlign w:val="center"/>
            <w:hideMark/>
          </w:tcPr>
          <w:p w14:paraId="743E60FA"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80" w:type="dxa"/>
            <w:tcBorders>
              <w:top w:val="nil"/>
              <w:left w:val="nil"/>
              <w:bottom w:val="single" w:sz="4" w:space="0" w:color="auto"/>
              <w:right w:val="single" w:sz="8" w:space="0" w:color="auto"/>
            </w:tcBorders>
            <w:shd w:val="clear" w:color="auto" w:fill="auto"/>
            <w:noWrap/>
            <w:vAlign w:val="center"/>
            <w:hideMark/>
          </w:tcPr>
          <w:p w14:paraId="181B5826"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313.50</w:t>
            </w:r>
          </w:p>
        </w:tc>
      </w:tr>
      <w:tr w:rsidR="00213D71" w:rsidRPr="00213D71" w14:paraId="7DEA94BD" w14:textId="77777777" w:rsidTr="00213D71">
        <w:trPr>
          <w:trHeight w:val="495"/>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742582F1"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ATSs that Transact in NMS Stocks and Non-NMS Stocks (Filing Two Forms) - Form ATS-R (Rules 301 and 304)</w:t>
            </w:r>
          </w:p>
        </w:tc>
        <w:tc>
          <w:tcPr>
            <w:tcW w:w="1000" w:type="dxa"/>
            <w:tcBorders>
              <w:top w:val="nil"/>
              <w:left w:val="nil"/>
              <w:bottom w:val="single" w:sz="4" w:space="0" w:color="auto"/>
              <w:right w:val="single" w:sz="4" w:space="0" w:color="auto"/>
            </w:tcBorders>
            <w:shd w:val="clear" w:color="auto" w:fill="auto"/>
            <w:vAlign w:val="center"/>
            <w:hideMark/>
          </w:tcPr>
          <w:p w14:paraId="5E1D51C2"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Reporting</w:t>
            </w:r>
          </w:p>
        </w:tc>
        <w:tc>
          <w:tcPr>
            <w:tcW w:w="680" w:type="dxa"/>
            <w:tcBorders>
              <w:top w:val="nil"/>
              <w:left w:val="nil"/>
              <w:bottom w:val="single" w:sz="4" w:space="0" w:color="auto"/>
              <w:right w:val="single" w:sz="4" w:space="0" w:color="auto"/>
            </w:tcBorders>
            <w:shd w:val="clear" w:color="auto" w:fill="auto"/>
            <w:vAlign w:val="center"/>
            <w:hideMark/>
          </w:tcPr>
          <w:p w14:paraId="25D66335"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11</w:t>
            </w:r>
          </w:p>
        </w:tc>
        <w:tc>
          <w:tcPr>
            <w:tcW w:w="880" w:type="dxa"/>
            <w:tcBorders>
              <w:top w:val="nil"/>
              <w:left w:val="nil"/>
              <w:bottom w:val="single" w:sz="4" w:space="0" w:color="auto"/>
              <w:right w:val="single" w:sz="4" w:space="0" w:color="auto"/>
            </w:tcBorders>
            <w:shd w:val="clear" w:color="auto" w:fill="auto"/>
            <w:vAlign w:val="center"/>
            <w:hideMark/>
          </w:tcPr>
          <w:p w14:paraId="2CA8B907"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4</w:t>
            </w:r>
          </w:p>
        </w:tc>
        <w:tc>
          <w:tcPr>
            <w:tcW w:w="760" w:type="dxa"/>
            <w:tcBorders>
              <w:top w:val="nil"/>
              <w:left w:val="nil"/>
              <w:bottom w:val="single" w:sz="4" w:space="0" w:color="auto"/>
              <w:right w:val="single" w:sz="4" w:space="0" w:color="auto"/>
            </w:tcBorders>
            <w:shd w:val="clear" w:color="auto" w:fill="auto"/>
            <w:vAlign w:val="center"/>
            <w:hideMark/>
          </w:tcPr>
          <w:p w14:paraId="5FCF140A"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60" w:type="dxa"/>
            <w:tcBorders>
              <w:top w:val="nil"/>
              <w:left w:val="nil"/>
              <w:bottom w:val="single" w:sz="4" w:space="0" w:color="auto"/>
              <w:right w:val="single" w:sz="4" w:space="0" w:color="auto"/>
            </w:tcBorders>
            <w:shd w:val="clear" w:color="auto" w:fill="auto"/>
            <w:vAlign w:val="center"/>
            <w:hideMark/>
          </w:tcPr>
          <w:p w14:paraId="26409CF3"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700" w:type="dxa"/>
            <w:tcBorders>
              <w:top w:val="nil"/>
              <w:left w:val="nil"/>
              <w:bottom w:val="single" w:sz="4" w:space="0" w:color="auto"/>
              <w:right w:val="single" w:sz="4" w:space="0" w:color="auto"/>
            </w:tcBorders>
            <w:shd w:val="clear" w:color="auto" w:fill="auto"/>
            <w:vAlign w:val="center"/>
            <w:hideMark/>
          </w:tcPr>
          <w:p w14:paraId="17D1DD89"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18.00</w:t>
            </w:r>
          </w:p>
        </w:tc>
        <w:tc>
          <w:tcPr>
            <w:tcW w:w="760" w:type="dxa"/>
            <w:tcBorders>
              <w:top w:val="nil"/>
              <w:left w:val="nil"/>
              <w:bottom w:val="single" w:sz="4" w:space="0" w:color="auto"/>
              <w:right w:val="single" w:sz="4" w:space="0" w:color="auto"/>
            </w:tcBorders>
            <w:shd w:val="clear" w:color="auto" w:fill="auto"/>
            <w:vAlign w:val="center"/>
            <w:hideMark/>
          </w:tcPr>
          <w:p w14:paraId="692CA0A4"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4.50</w:t>
            </w:r>
          </w:p>
        </w:tc>
        <w:tc>
          <w:tcPr>
            <w:tcW w:w="700" w:type="dxa"/>
            <w:tcBorders>
              <w:top w:val="nil"/>
              <w:left w:val="nil"/>
              <w:bottom w:val="single" w:sz="4" w:space="0" w:color="auto"/>
              <w:right w:val="single" w:sz="4" w:space="0" w:color="auto"/>
            </w:tcBorders>
            <w:shd w:val="clear" w:color="auto" w:fill="auto"/>
            <w:vAlign w:val="center"/>
            <w:hideMark/>
          </w:tcPr>
          <w:p w14:paraId="701BA58B"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18.00</w:t>
            </w:r>
          </w:p>
        </w:tc>
        <w:tc>
          <w:tcPr>
            <w:tcW w:w="840" w:type="dxa"/>
            <w:tcBorders>
              <w:top w:val="nil"/>
              <w:left w:val="nil"/>
              <w:bottom w:val="single" w:sz="4" w:space="0" w:color="auto"/>
              <w:right w:val="single" w:sz="4" w:space="0" w:color="auto"/>
            </w:tcBorders>
            <w:shd w:val="clear" w:color="auto" w:fill="auto"/>
            <w:vAlign w:val="center"/>
            <w:hideMark/>
          </w:tcPr>
          <w:p w14:paraId="6FAAA9E6"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198.00</w:t>
            </w:r>
          </w:p>
        </w:tc>
        <w:tc>
          <w:tcPr>
            <w:tcW w:w="920" w:type="dxa"/>
            <w:tcBorders>
              <w:top w:val="nil"/>
              <w:left w:val="nil"/>
              <w:bottom w:val="single" w:sz="4" w:space="0" w:color="auto"/>
              <w:right w:val="single" w:sz="4" w:space="0" w:color="auto"/>
            </w:tcBorders>
            <w:shd w:val="clear" w:color="auto" w:fill="auto"/>
            <w:noWrap/>
            <w:vAlign w:val="center"/>
            <w:hideMark/>
          </w:tcPr>
          <w:p w14:paraId="0144C5AF"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80" w:type="dxa"/>
            <w:tcBorders>
              <w:top w:val="nil"/>
              <w:left w:val="nil"/>
              <w:bottom w:val="single" w:sz="4" w:space="0" w:color="auto"/>
              <w:right w:val="single" w:sz="8" w:space="0" w:color="auto"/>
            </w:tcBorders>
            <w:shd w:val="clear" w:color="auto" w:fill="auto"/>
            <w:noWrap/>
            <w:vAlign w:val="center"/>
            <w:hideMark/>
          </w:tcPr>
          <w:p w14:paraId="4660780E"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198.00</w:t>
            </w:r>
          </w:p>
        </w:tc>
      </w:tr>
      <w:tr w:rsidR="00213D71" w:rsidRPr="00213D71" w14:paraId="040A0F50" w14:textId="77777777" w:rsidTr="00213D71">
        <w:trPr>
          <w:trHeight w:val="330"/>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2B59124B"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Access to EFFS (Rules 301 and 304)</w:t>
            </w:r>
          </w:p>
        </w:tc>
        <w:tc>
          <w:tcPr>
            <w:tcW w:w="1000" w:type="dxa"/>
            <w:tcBorders>
              <w:top w:val="nil"/>
              <w:left w:val="nil"/>
              <w:bottom w:val="single" w:sz="4" w:space="0" w:color="auto"/>
              <w:right w:val="single" w:sz="4" w:space="0" w:color="auto"/>
            </w:tcBorders>
            <w:shd w:val="clear" w:color="auto" w:fill="auto"/>
            <w:vAlign w:val="center"/>
            <w:hideMark/>
          </w:tcPr>
          <w:p w14:paraId="131F95D9"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Reporting</w:t>
            </w:r>
          </w:p>
        </w:tc>
        <w:tc>
          <w:tcPr>
            <w:tcW w:w="680" w:type="dxa"/>
            <w:tcBorders>
              <w:top w:val="nil"/>
              <w:left w:val="nil"/>
              <w:bottom w:val="single" w:sz="4" w:space="0" w:color="auto"/>
              <w:right w:val="single" w:sz="4" w:space="0" w:color="auto"/>
            </w:tcBorders>
            <w:shd w:val="clear" w:color="auto" w:fill="auto"/>
            <w:vAlign w:val="center"/>
            <w:hideMark/>
          </w:tcPr>
          <w:p w14:paraId="3DC46E10"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46</w:t>
            </w:r>
          </w:p>
        </w:tc>
        <w:tc>
          <w:tcPr>
            <w:tcW w:w="880" w:type="dxa"/>
            <w:tcBorders>
              <w:top w:val="nil"/>
              <w:left w:val="nil"/>
              <w:bottom w:val="single" w:sz="4" w:space="0" w:color="auto"/>
              <w:right w:val="single" w:sz="4" w:space="0" w:color="auto"/>
            </w:tcBorders>
            <w:shd w:val="clear" w:color="auto" w:fill="auto"/>
            <w:vAlign w:val="center"/>
            <w:hideMark/>
          </w:tcPr>
          <w:p w14:paraId="33BF398D"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2</w:t>
            </w:r>
          </w:p>
        </w:tc>
        <w:tc>
          <w:tcPr>
            <w:tcW w:w="760" w:type="dxa"/>
            <w:tcBorders>
              <w:top w:val="nil"/>
              <w:left w:val="nil"/>
              <w:bottom w:val="single" w:sz="4" w:space="0" w:color="auto"/>
              <w:right w:val="single" w:sz="4" w:space="0" w:color="auto"/>
            </w:tcBorders>
            <w:shd w:val="clear" w:color="auto" w:fill="auto"/>
            <w:vAlign w:val="center"/>
            <w:hideMark/>
          </w:tcPr>
          <w:p w14:paraId="4A0F929D"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0.30</w:t>
            </w:r>
          </w:p>
        </w:tc>
        <w:tc>
          <w:tcPr>
            <w:tcW w:w="960" w:type="dxa"/>
            <w:tcBorders>
              <w:top w:val="nil"/>
              <w:left w:val="nil"/>
              <w:bottom w:val="single" w:sz="4" w:space="0" w:color="auto"/>
              <w:right w:val="single" w:sz="4" w:space="0" w:color="auto"/>
            </w:tcBorders>
            <w:shd w:val="clear" w:color="auto" w:fill="auto"/>
            <w:vAlign w:val="center"/>
            <w:hideMark/>
          </w:tcPr>
          <w:p w14:paraId="52787A4F"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0.10</w:t>
            </w:r>
          </w:p>
        </w:tc>
        <w:tc>
          <w:tcPr>
            <w:tcW w:w="700" w:type="dxa"/>
            <w:tcBorders>
              <w:top w:val="nil"/>
              <w:left w:val="nil"/>
              <w:bottom w:val="single" w:sz="4" w:space="0" w:color="auto"/>
              <w:right w:val="single" w:sz="4" w:space="0" w:color="auto"/>
            </w:tcBorders>
            <w:shd w:val="clear" w:color="auto" w:fill="auto"/>
            <w:noWrap/>
            <w:vAlign w:val="center"/>
            <w:hideMark/>
          </w:tcPr>
          <w:p w14:paraId="72F90A67"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bookmarkStart w:id="28" w:name="RANGE!G14"/>
            <w:r w:rsidRPr="00213D71">
              <w:rPr>
                <w:rFonts w:ascii="Times New Roman" w:hAnsi="Times New Roman" w:cs="Times New Roman"/>
                <w:color w:val="000000"/>
                <w:sz w:val="12"/>
                <w:szCs w:val="12"/>
              </w:rPr>
              <w:t>0.15</w:t>
            </w:r>
            <w:bookmarkEnd w:id="28"/>
          </w:p>
        </w:tc>
        <w:tc>
          <w:tcPr>
            <w:tcW w:w="760" w:type="dxa"/>
            <w:tcBorders>
              <w:top w:val="nil"/>
              <w:left w:val="nil"/>
              <w:bottom w:val="single" w:sz="4" w:space="0" w:color="auto"/>
              <w:right w:val="single" w:sz="4" w:space="0" w:color="auto"/>
            </w:tcBorders>
            <w:shd w:val="clear" w:color="auto" w:fill="auto"/>
            <w:vAlign w:val="center"/>
            <w:hideMark/>
          </w:tcPr>
          <w:p w14:paraId="57110C39"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0.13</w:t>
            </w:r>
          </w:p>
        </w:tc>
        <w:tc>
          <w:tcPr>
            <w:tcW w:w="700" w:type="dxa"/>
            <w:tcBorders>
              <w:top w:val="nil"/>
              <w:left w:val="nil"/>
              <w:bottom w:val="single" w:sz="4" w:space="0" w:color="auto"/>
              <w:right w:val="single" w:sz="4" w:space="0" w:color="auto"/>
            </w:tcBorders>
            <w:shd w:val="clear" w:color="auto" w:fill="auto"/>
            <w:vAlign w:val="center"/>
            <w:hideMark/>
          </w:tcPr>
          <w:p w14:paraId="440EDBD2"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0.25</w:t>
            </w:r>
          </w:p>
        </w:tc>
        <w:tc>
          <w:tcPr>
            <w:tcW w:w="840" w:type="dxa"/>
            <w:tcBorders>
              <w:top w:val="nil"/>
              <w:left w:val="nil"/>
              <w:bottom w:val="single" w:sz="4" w:space="0" w:color="auto"/>
              <w:right w:val="single" w:sz="4" w:space="0" w:color="auto"/>
            </w:tcBorders>
            <w:shd w:val="clear" w:color="auto" w:fill="auto"/>
            <w:vAlign w:val="center"/>
            <w:hideMark/>
          </w:tcPr>
          <w:p w14:paraId="0913DD76"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11.50</w:t>
            </w:r>
          </w:p>
        </w:tc>
        <w:tc>
          <w:tcPr>
            <w:tcW w:w="920" w:type="dxa"/>
            <w:tcBorders>
              <w:top w:val="nil"/>
              <w:left w:val="nil"/>
              <w:bottom w:val="single" w:sz="4" w:space="0" w:color="auto"/>
              <w:right w:val="single" w:sz="4" w:space="0" w:color="auto"/>
            </w:tcBorders>
            <w:shd w:val="clear" w:color="auto" w:fill="auto"/>
            <w:noWrap/>
            <w:vAlign w:val="center"/>
            <w:hideMark/>
          </w:tcPr>
          <w:p w14:paraId="5A23A6FF"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13.80</w:t>
            </w:r>
          </w:p>
        </w:tc>
        <w:tc>
          <w:tcPr>
            <w:tcW w:w="980" w:type="dxa"/>
            <w:tcBorders>
              <w:top w:val="nil"/>
              <w:left w:val="nil"/>
              <w:bottom w:val="single" w:sz="4" w:space="0" w:color="auto"/>
              <w:right w:val="single" w:sz="8" w:space="0" w:color="auto"/>
            </w:tcBorders>
            <w:shd w:val="clear" w:color="auto" w:fill="auto"/>
            <w:noWrap/>
            <w:vAlign w:val="center"/>
            <w:hideMark/>
          </w:tcPr>
          <w:p w14:paraId="24CA6825"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6.90</w:t>
            </w:r>
          </w:p>
        </w:tc>
      </w:tr>
      <w:tr w:rsidR="00213D71" w:rsidRPr="00213D71" w14:paraId="63A7B5EF" w14:textId="77777777" w:rsidTr="00213D71">
        <w:trPr>
          <w:trHeight w:val="330"/>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10FA2890"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Public Posting on NMS Stock ATS's website (Rule 304)</w:t>
            </w:r>
          </w:p>
        </w:tc>
        <w:tc>
          <w:tcPr>
            <w:tcW w:w="1000" w:type="dxa"/>
            <w:tcBorders>
              <w:top w:val="nil"/>
              <w:left w:val="nil"/>
              <w:bottom w:val="single" w:sz="4" w:space="0" w:color="auto"/>
              <w:right w:val="single" w:sz="4" w:space="0" w:color="auto"/>
            </w:tcBorders>
            <w:shd w:val="clear" w:color="auto" w:fill="auto"/>
            <w:vAlign w:val="center"/>
            <w:hideMark/>
          </w:tcPr>
          <w:p w14:paraId="67F2CE23"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Reporting</w:t>
            </w:r>
          </w:p>
        </w:tc>
        <w:tc>
          <w:tcPr>
            <w:tcW w:w="680" w:type="dxa"/>
            <w:tcBorders>
              <w:top w:val="nil"/>
              <w:left w:val="nil"/>
              <w:bottom w:val="single" w:sz="4" w:space="0" w:color="auto"/>
              <w:right w:val="single" w:sz="4" w:space="0" w:color="auto"/>
            </w:tcBorders>
            <w:shd w:val="clear" w:color="auto" w:fill="auto"/>
            <w:vAlign w:val="center"/>
            <w:hideMark/>
          </w:tcPr>
          <w:p w14:paraId="68DB0CE6"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46</w:t>
            </w:r>
          </w:p>
        </w:tc>
        <w:tc>
          <w:tcPr>
            <w:tcW w:w="880" w:type="dxa"/>
            <w:tcBorders>
              <w:top w:val="nil"/>
              <w:left w:val="nil"/>
              <w:bottom w:val="single" w:sz="4" w:space="0" w:color="auto"/>
              <w:right w:val="single" w:sz="4" w:space="0" w:color="auto"/>
            </w:tcBorders>
            <w:shd w:val="clear" w:color="auto" w:fill="auto"/>
            <w:vAlign w:val="center"/>
            <w:hideMark/>
          </w:tcPr>
          <w:p w14:paraId="368ABAE2"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1</w:t>
            </w:r>
          </w:p>
        </w:tc>
        <w:tc>
          <w:tcPr>
            <w:tcW w:w="760" w:type="dxa"/>
            <w:tcBorders>
              <w:top w:val="nil"/>
              <w:left w:val="nil"/>
              <w:bottom w:val="single" w:sz="4" w:space="0" w:color="auto"/>
              <w:right w:val="single" w:sz="4" w:space="0" w:color="auto"/>
            </w:tcBorders>
            <w:shd w:val="clear" w:color="auto" w:fill="auto"/>
            <w:vAlign w:val="center"/>
            <w:hideMark/>
          </w:tcPr>
          <w:p w14:paraId="03303617"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2.00</w:t>
            </w:r>
          </w:p>
        </w:tc>
        <w:tc>
          <w:tcPr>
            <w:tcW w:w="960" w:type="dxa"/>
            <w:tcBorders>
              <w:top w:val="nil"/>
              <w:left w:val="nil"/>
              <w:bottom w:val="single" w:sz="4" w:space="0" w:color="auto"/>
              <w:right w:val="single" w:sz="4" w:space="0" w:color="auto"/>
            </w:tcBorders>
            <w:shd w:val="clear" w:color="auto" w:fill="auto"/>
            <w:vAlign w:val="center"/>
            <w:hideMark/>
          </w:tcPr>
          <w:p w14:paraId="6B97B67E"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0.67</w:t>
            </w:r>
          </w:p>
        </w:tc>
        <w:tc>
          <w:tcPr>
            <w:tcW w:w="700" w:type="dxa"/>
            <w:tcBorders>
              <w:top w:val="nil"/>
              <w:left w:val="nil"/>
              <w:bottom w:val="single" w:sz="4" w:space="0" w:color="auto"/>
              <w:right w:val="single" w:sz="4" w:space="0" w:color="auto"/>
            </w:tcBorders>
            <w:shd w:val="clear" w:color="auto" w:fill="auto"/>
            <w:vAlign w:val="center"/>
            <w:hideMark/>
          </w:tcPr>
          <w:p w14:paraId="3640EB13"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760" w:type="dxa"/>
            <w:tcBorders>
              <w:top w:val="nil"/>
              <w:left w:val="nil"/>
              <w:bottom w:val="single" w:sz="4" w:space="0" w:color="auto"/>
              <w:right w:val="single" w:sz="4" w:space="0" w:color="auto"/>
            </w:tcBorders>
            <w:shd w:val="clear" w:color="auto" w:fill="auto"/>
            <w:vAlign w:val="center"/>
            <w:hideMark/>
          </w:tcPr>
          <w:p w14:paraId="73870680"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0.67</w:t>
            </w:r>
          </w:p>
        </w:tc>
        <w:tc>
          <w:tcPr>
            <w:tcW w:w="700" w:type="dxa"/>
            <w:tcBorders>
              <w:top w:val="nil"/>
              <w:left w:val="nil"/>
              <w:bottom w:val="single" w:sz="4" w:space="0" w:color="auto"/>
              <w:right w:val="single" w:sz="4" w:space="0" w:color="auto"/>
            </w:tcBorders>
            <w:shd w:val="clear" w:color="auto" w:fill="auto"/>
            <w:vAlign w:val="center"/>
            <w:hideMark/>
          </w:tcPr>
          <w:p w14:paraId="1E114B19"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0.67</w:t>
            </w:r>
          </w:p>
        </w:tc>
        <w:tc>
          <w:tcPr>
            <w:tcW w:w="840" w:type="dxa"/>
            <w:tcBorders>
              <w:top w:val="nil"/>
              <w:left w:val="nil"/>
              <w:bottom w:val="single" w:sz="4" w:space="0" w:color="auto"/>
              <w:right w:val="single" w:sz="4" w:space="0" w:color="auto"/>
            </w:tcBorders>
            <w:shd w:val="clear" w:color="auto" w:fill="auto"/>
            <w:vAlign w:val="center"/>
            <w:hideMark/>
          </w:tcPr>
          <w:p w14:paraId="187AB575"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30.67</w:t>
            </w:r>
          </w:p>
        </w:tc>
        <w:tc>
          <w:tcPr>
            <w:tcW w:w="920" w:type="dxa"/>
            <w:tcBorders>
              <w:top w:val="nil"/>
              <w:left w:val="nil"/>
              <w:bottom w:val="single" w:sz="4" w:space="0" w:color="auto"/>
              <w:right w:val="single" w:sz="4" w:space="0" w:color="auto"/>
            </w:tcBorders>
            <w:shd w:val="clear" w:color="auto" w:fill="auto"/>
            <w:noWrap/>
            <w:vAlign w:val="center"/>
            <w:hideMark/>
          </w:tcPr>
          <w:p w14:paraId="369005E6"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92.00</w:t>
            </w:r>
          </w:p>
        </w:tc>
        <w:tc>
          <w:tcPr>
            <w:tcW w:w="980" w:type="dxa"/>
            <w:tcBorders>
              <w:top w:val="nil"/>
              <w:left w:val="nil"/>
              <w:bottom w:val="single" w:sz="4" w:space="0" w:color="auto"/>
              <w:right w:val="single" w:sz="8" w:space="0" w:color="auto"/>
            </w:tcBorders>
            <w:shd w:val="clear" w:color="auto" w:fill="auto"/>
            <w:noWrap/>
            <w:vAlign w:val="center"/>
            <w:hideMark/>
          </w:tcPr>
          <w:p w14:paraId="4E3F0B77"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r>
      <w:tr w:rsidR="00213D71" w:rsidRPr="00213D71" w14:paraId="47F7D7A9" w14:textId="77777777" w:rsidTr="00213D71">
        <w:trPr>
          <w:trHeight w:val="660"/>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33FB8CA2"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Written Confidentiality Procedures - ATSs w/o Procedures (Proposed Rule 301(b)(10))</w:t>
            </w:r>
          </w:p>
        </w:tc>
        <w:tc>
          <w:tcPr>
            <w:tcW w:w="1000" w:type="dxa"/>
            <w:tcBorders>
              <w:top w:val="nil"/>
              <w:left w:val="nil"/>
              <w:bottom w:val="single" w:sz="4" w:space="0" w:color="auto"/>
              <w:right w:val="single" w:sz="4" w:space="0" w:color="auto"/>
            </w:tcBorders>
            <w:shd w:val="clear" w:color="auto" w:fill="auto"/>
            <w:vAlign w:val="center"/>
            <w:hideMark/>
          </w:tcPr>
          <w:p w14:paraId="544EF186"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Recordkeeping</w:t>
            </w:r>
          </w:p>
        </w:tc>
        <w:tc>
          <w:tcPr>
            <w:tcW w:w="680" w:type="dxa"/>
            <w:tcBorders>
              <w:top w:val="nil"/>
              <w:left w:val="nil"/>
              <w:bottom w:val="single" w:sz="4" w:space="0" w:color="auto"/>
              <w:right w:val="single" w:sz="4" w:space="0" w:color="auto"/>
            </w:tcBorders>
            <w:shd w:val="clear" w:color="auto" w:fill="auto"/>
            <w:vAlign w:val="center"/>
            <w:hideMark/>
          </w:tcPr>
          <w:p w14:paraId="7394973D"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15</w:t>
            </w:r>
          </w:p>
        </w:tc>
        <w:tc>
          <w:tcPr>
            <w:tcW w:w="880" w:type="dxa"/>
            <w:tcBorders>
              <w:top w:val="nil"/>
              <w:left w:val="nil"/>
              <w:bottom w:val="single" w:sz="4" w:space="0" w:color="auto"/>
              <w:right w:val="single" w:sz="4" w:space="0" w:color="auto"/>
            </w:tcBorders>
            <w:shd w:val="clear" w:color="auto" w:fill="auto"/>
            <w:vAlign w:val="center"/>
            <w:hideMark/>
          </w:tcPr>
          <w:p w14:paraId="267AFF24"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1</w:t>
            </w:r>
          </w:p>
        </w:tc>
        <w:tc>
          <w:tcPr>
            <w:tcW w:w="760" w:type="dxa"/>
            <w:tcBorders>
              <w:top w:val="nil"/>
              <w:left w:val="nil"/>
              <w:bottom w:val="single" w:sz="4" w:space="0" w:color="auto"/>
              <w:right w:val="single" w:sz="4" w:space="0" w:color="auto"/>
            </w:tcBorders>
            <w:shd w:val="clear" w:color="auto" w:fill="auto"/>
            <w:vAlign w:val="center"/>
            <w:hideMark/>
          </w:tcPr>
          <w:p w14:paraId="579AC4D8"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9.00</w:t>
            </w:r>
          </w:p>
        </w:tc>
        <w:tc>
          <w:tcPr>
            <w:tcW w:w="960" w:type="dxa"/>
            <w:tcBorders>
              <w:top w:val="nil"/>
              <w:left w:val="nil"/>
              <w:bottom w:val="single" w:sz="4" w:space="0" w:color="auto"/>
              <w:right w:val="single" w:sz="4" w:space="0" w:color="auto"/>
            </w:tcBorders>
            <w:shd w:val="clear" w:color="auto" w:fill="auto"/>
            <w:vAlign w:val="center"/>
            <w:hideMark/>
          </w:tcPr>
          <w:p w14:paraId="677E7838"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3.00</w:t>
            </w:r>
          </w:p>
        </w:tc>
        <w:tc>
          <w:tcPr>
            <w:tcW w:w="700" w:type="dxa"/>
            <w:tcBorders>
              <w:top w:val="nil"/>
              <w:left w:val="nil"/>
              <w:bottom w:val="single" w:sz="4" w:space="0" w:color="auto"/>
              <w:right w:val="single" w:sz="4" w:space="0" w:color="auto"/>
            </w:tcBorders>
            <w:shd w:val="clear" w:color="auto" w:fill="auto"/>
            <w:vAlign w:val="center"/>
            <w:hideMark/>
          </w:tcPr>
          <w:p w14:paraId="79D6EFCE"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760" w:type="dxa"/>
            <w:tcBorders>
              <w:top w:val="nil"/>
              <w:left w:val="nil"/>
              <w:bottom w:val="single" w:sz="4" w:space="0" w:color="auto"/>
              <w:right w:val="single" w:sz="4" w:space="0" w:color="auto"/>
            </w:tcBorders>
            <w:shd w:val="clear" w:color="auto" w:fill="auto"/>
            <w:vAlign w:val="center"/>
            <w:hideMark/>
          </w:tcPr>
          <w:p w14:paraId="45BAAE84"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3.00</w:t>
            </w:r>
          </w:p>
        </w:tc>
        <w:tc>
          <w:tcPr>
            <w:tcW w:w="700" w:type="dxa"/>
            <w:tcBorders>
              <w:top w:val="nil"/>
              <w:left w:val="nil"/>
              <w:bottom w:val="single" w:sz="4" w:space="0" w:color="auto"/>
              <w:right w:val="single" w:sz="4" w:space="0" w:color="auto"/>
            </w:tcBorders>
            <w:shd w:val="clear" w:color="auto" w:fill="auto"/>
            <w:vAlign w:val="center"/>
            <w:hideMark/>
          </w:tcPr>
          <w:p w14:paraId="25C5E163"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3.00</w:t>
            </w:r>
          </w:p>
        </w:tc>
        <w:tc>
          <w:tcPr>
            <w:tcW w:w="840" w:type="dxa"/>
            <w:tcBorders>
              <w:top w:val="nil"/>
              <w:left w:val="nil"/>
              <w:bottom w:val="single" w:sz="4" w:space="0" w:color="auto"/>
              <w:right w:val="single" w:sz="4" w:space="0" w:color="auto"/>
            </w:tcBorders>
            <w:shd w:val="clear" w:color="auto" w:fill="auto"/>
            <w:vAlign w:val="center"/>
            <w:hideMark/>
          </w:tcPr>
          <w:p w14:paraId="336447DE"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45.00</w:t>
            </w:r>
          </w:p>
        </w:tc>
        <w:tc>
          <w:tcPr>
            <w:tcW w:w="920" w:type="dxa"/>
            <w:tcBorders>
              <w:top w:val="nil"/>
              <w:left w:val="nil"/>
              <w:bottom w:val="single" w:sz="4" w:space="0" w:color="auto"/>
              <w:right w:val="single" w:sz="4" w:space="0" w:color="auto"/>
            </w:tcBorders>
            <w:shd w:val="clear" w:color="auto" w:fill="auto"/>
            <w:noWrap/>
            <w:vAlign w:val="center"/>
            <w:hideMark/>
          </w:tcPr>
          <w:p w14:paraId="2925CC44"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135.00</w:t>
            </w:r>
          </w:p>
        </w:tc>
        <w:tc>
          <w:tcPr>
            <w:tcW w:w="980" w:type="dxa"/>
            <w:tcBorders>
              <w:top w:val="nil"/>
              <w:left w:val="nil"/>
              <w:bottom w:val="single" w:sz="4" w:space="0" w:color="auto"/>
              <w:right w:val="single" w:sz="8" w:space="0" w:color="auto"/>
            </w:tcBorders>
            <w:shd w:val="clear" w:color="auto" w:fill="auto"/>
            <w:noWrap/>
            <w:vAlign w:val="center"/>
            <w:hideMark/>
          </w:tcPr>
          <w:p w14:paraId="2A1A2485"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r>
      <w:tr w:rsidR="00213D71" w:rsidRPr="00213D71" w14:paraId="02918975" w14:textId="77777777" w:rsidTr="00213D71">
        <w:trPr>
          <w:trHeight w:val="660"/>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0A1943F7"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Written Confidentiality Procedures - ATSs to Update Procedures (Proposed Rule 301(b)(10))</w:t>
            </w:r>
          </w:p>
        </w:tc>
        <w:tc>
          <w:tcPr>
            <w:tcW w:w="1000" w:type="dxa"/>
            <w:tcBorders>
              <w:top w:val="nil"/>
              <w:left w:val="nil"/>
              <w:bottom w:val="single" w:sz="4" w:space="0" w:color="auto"/>
              <w:right w:val="single" w:sz="4" w:space="0" w:color="auto"/>
            </w:tcBorders>
            <w:shd w:val="clear" w:color="auto" w:fill="auto"/>
            <w:vAlign w:val="center"/>
            <w:hideMark/>
          </w:tcPr>
          <w:p w14:paraId="06511ED8"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Recordkeeping</w:t>
            </w:r>
          </w:p>
        </w:tc>
        <w:tc>
          <w:tcPr>
            <w:tcW w:w="680" w:type="dxa"/>
            <w:tcBorders>
              <w:top w:val="nil"/>
              <w:left w:val="nil"/>
              <w:bottom w:val="single" w:sz="4" w:space="0" w:color="auto"/>
              <w:right w:val="single" w:sz="4" w:space="0" w:color="auto"/>
            </w:tcBorders>
            <w:shd w:val="clear" w:color="auto" w:fill="auto"/>
            <w:vAlign w:val="center"/>
            <w:hideMark/>
          </w:tcPr>
          <w:p w14:paraId="7118FC36"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84</w:t>
            </w:r>
          </w:p>
        </w:tc>
        <w:tc>
          <w:tcPr>
            <w:tcW w:w="880" w:type="dxa"/>
            <w:tcBorders>
              <w:top w:val="nil"/>
              <w:left w:val="nil"/>
              <w:bottom w:val="single" w:sz="4" w:space="0" w:color="auto"/>
              <w:right w:val="single" w:sz="4" w:space="0" w:color="auto"/>
            </w:tcBorders>
            <w:shd w:val="clear" w:color="auto" w:fill="auto"/>
            <w:vAlign w:val="center"/>
            <w:hideMark/>
          </w:tcPr>
          <w:p w14:paraId="6690A936"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1</w:t>
            </w:r>
          </w:p>
        </w:tc>
        <w:tc>
          <w:tcPr>
            <w:tcW w:w="760" w:type="dxa"/>
            <w:tcBorders>
              <w:top w:val="nil"/>
              <w:left w:val="nil"/>
              <w:bottom w:val="single" w:sz="4" w:space="0" w:color="auto"/>
              <w:right w:val="single" w:sz="4" w:space="0" w:color="auto"/>
            </w:tcBorders>
            <w:shd w:val="clear" w:color="auto" w:fill="auto"/>
            <w:vAlign w:val="center"/>
            <w:hideMark/>
          </w:tcPr>
          <w:p w14:paraId="56B877B9"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60" w:type="dxa"/>
            <w:tcBorders>
              <w:top w:val="nil"/>
              <w:left w:val="nil"/>
              <w:bottom w:val="single" w:sz="4" w:space="0" w:color="auto"/>
              <w:right w:val="single" w:sz="4" w:space="0" w:color="auto"/>
            </w:tcBorders>
            <w:shd w:val="clear" w:color="auto" w:fill="auto"/>
            <w:vAlign w:val="center"/>
            <w:hideMark/>
          </w:tcPr>
          <w:p w14:paraId="7DD5DEC0"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700" w:type="dxa"/>
            <w:tcBorders>
              <w:top w:val="nil"/>
              <w:left w:val="nil"/>
              <w:bottom w:val="single" w:sz="4" w:space="0" w:color="auto"/>
              <w:right w:val="single" w:sz="4" w:space="0" w:color="auto"/>
            </w:tcBorders>
            <w:shd w:val="clear" w:color="auto" w:fill="auto"/>
            <w:vAlign w:val="center"/>
            <w:hideMark/>
          </w:tcPr>
          <w:p w14:paraId="10CF7732"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1.50</w:t>
            </w:r>
          </w:p>
        </w:tc>
        <w:tc>
          <w:tcPr>
            <w:tcW w:w="760" w:type="dxa"/>
            <w:tcBorders>
              <w:top w:val="nil"/>
              <w:left w:val="nil"/>
              <w:bottom w:val="single" w:sz="4" w:space="0" w:color="auto"/>
              <w:right w:val="single" w:sz="4" w:space="0" w:color="auto"/>
            </w:tcBorders>
            <w:shd w:val="clear" w:color="auto" w:fill="auto"/>
            <w:vAlign w:val="center"/>
            <w:hideMark/>
          </w:tcPr>
          <w:p w14:paraId="021C6DFE"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1.50</w:t>
            </w:r>
          </w:p>
        </w:tc>
        <w:tc>
          <w:tcPr>
            <w:tcW w:w="700" w:type="dxa"/>
            <w:tcBorders>
              <w:top w:val="nil"/>
              <w:left w:val="nil"/>
              <w:bottom w:val="single" w:sz="4" w:space="0" w:color="auto"/>
              <w:right w:val="single" w:sz="4" w:space="0" w:color="auto"/>
            </w:tcBorders>
            <w:shd w:val="clear" w:color="auto" w:fill="auto"/>
            <w:vAlign w:val="center"/>
            <w:hideMark/>
          </w:tcPr>
          <w:p w14:paraId="17B45EED"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1.50</w:t>
            </w:r>
          </w:p>
        </w:tc>
        <w:tc>
          <w:tcPr>
            <w:tcW w:w="840" w:type="dxa"/>
            <w:tcBorders>
              <w:top w:val="nil"/>
              <w:left w:val="nil"/>
              <w:bottom w:val="single" w:sz="4" w:space="0" w:color="auto"/>
              <w:right w:val="single" w:sz="4" w:space="0" w:color="auto"/>
            </w:tcBorders>
            <w:shd w:val="clear" w:color="auto" w:fill="auto"/>
            <w:vAlign w:val="center"/>
            <w:hideMark/>
          </w:tcPr>
          <w:p w14:paraId="7DAA5FAC"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126.00</w:t>
            </w:r>
          </w:p>
        </w:tc>
        <w:tc>
          <w:tcPr>
            <w:tcW w:w="920" w:type="dxa"/>
            <w:tcBorders>
              <w:top w:val="nil"/>
              <w:left w:val="nil"/>
              <w:bottom w:val="single" w:sz="4" w:space="0" w:color="auto"/>
              <w:right w:val="single" w:sz="4" w:space="0" w:color="auto"/>
            </w:tcBorders>
            <w:shd w:val="clear" w:color="auto" w:fill="auto"/>
            <w:noWrap/>
            <w:vAlign w:val="center"/>
            <w:hideMark/>
          </w:tcPr>
          <w:p w14:paraId="0C253576"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80" w:type="dxa"/>
            <w:tcBorders>
              <w:top w:val="nil"/>
              <w:left w:val="nil"/>
              <w:bottom w:val="single" w:sz="4" w:space="0" w:color="auto"/>
              <w:right w:val="single" w:sz="8" w:space="0" w:color="auto"/>
            </w:tcBorders>
            <w:shd w:val="clear" w:color="auto" w:fill="auto"/>
            <w:noWrap/>
            <w:vAlign w:val="center"/>
            <w:hideMark/>
          </w:tcPr>
          <w:p w14:paraId="0A80999B"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126.00</w:t>
            </w:r>
          </w:p>
        </w:tc>
      </w:tr>
      <w:tr w:rsidR="00213D71" w:rsidRPr="00213D71" w14:paraId="4C63D719" w14:textId="77777777" w:rsidTr="00213D71">
        <w:trPr>
          <w:trHeight w:val="330"/>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2452FF2F"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Establishment of Written Fair Access Standards (Rule 301)</w:t>
            </w:r>
          </w:p>
        </w:tc>
        <w:tc>
          <w:tcPr>
            <w:tcW w:w="1000" w:type="dxa"/>
            <w:tcBorders>
              <w:top w:val="nil"/>
              <w:left w:val="nil"/>
              <w:bottom w:val="single" w:sz="4" w:space="0" w:color="auto"/>
              <w:right w:val="single" w:sz="4" w:space="0" w:color="auto"/>
            </w:tcBorders>
            <w:shd w:val="clear" w:color="auto" w:fill="auto"/>
            <w:vAlign w:val="center"/>
            <w:hideMark/>
          </w:tcPr>
          <w:p w14:paraId="1F1471F7"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Recordkeeping</w:t>
            </w:r>
          </w:p>
        </w:tc>
        <w:tc>
          <w:tcPr>
            <w:tcW w:w="680" w:type="dxa"/>
            <w:tcBorders>
              <w:top w:val="nil"/>
              <w:left w:val="nil"/>
              <w:bottom w:val="single" w:sz="4" w:space="0" w:color="auto"/>
              <w:right w:val="single" w:sz="4" w:space="0" w:color="auto"/>
            </w:tcBorders>
            <w:shd w:val="clear" w:color="auto" w:fill="auto"/>
            <w:vAlign w:val="center"/>
            <w:hideMark/>
          </w:tcPr>
          <w:p w14:paraId="6E64CA93"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2</w:t>
            </w:r>
          </w:p>
        </w:tc>
        <w:tc>
          <w:tcPr>
            <w:tcW w:w="880" w:type="dxa"/>
            <w:tcBorders>
              <w:top w:val="nil"/>
              <w:left w:val="nil"/>
              <w:bottom w:val="single" w:sz="4" w:space="0" w:color="auto"/>
              <w:right w:val="single" w:sz="4" w:space="0" w:color="auto"/>
            </w:tcBorders>
            <w:shd w:val="clear" w:color="auto" w:fill="auto"/>
            <w:vAlign w:val="center"/>
            <w:hideMark/>
          </w:tcPr>
          <w:p w14:paraId="2BBC4BEF"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1</w:t>
            </w:r>
          </w:p>
        </w:tc>
        <w:tc>
          <w:tcPr>
            <w:tcW w:w="760" w:type="dxa"/>
            <w:tcBorders>
              <w:top w:val="nil"/>
              <w:left w:val="nil"/>
              <w:bottom w:val="single" w:sz="4" w:space="0" w:color="auto"/>
              <w:right w:val="single" w:sz="4" w:space="0" w:color="auto"/>
            </w:tcBorders>
            <w:shd w:val="clear" w:color="auto" w:fill="auto"/>
            <w:vAlign w:val="center"/>
            <w:hideMark/>
          </w:tcPr>
          <w:p w14:paraId="71B9E444"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60" w:type="dxa"/>
            <w:tcBorders>
              <w:top w:val="nil"/>
              <w:left w:val="nil"/>
              <w:bottom w:val="single" w:sz="4" w:space="0" w:color="auto"/>
              <w:right w:val="single" w:sz="4" w:space="0" w:color="auto"/>
            </w:tcBorders>
            <w:shd w:val="clear" w:color="auto" w:fill="auto"/>
            <w:vAlign w:val="center"/>
            <w:hideMark/>
          </w:tcPr>
          <w:p w14:paraId="0376F9BF"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700" w:type="dxa"/>
            <w:tcBorders>
              <w:top w:val="nil"/>
              <w:left w:val="nil"/>
              <w:bottom w:val="single" w:sz="4" w:space="0" w:color="auto"/>
              <w:right w:val="single" w:sz="4" w:space="0" w:color="auto"/>
            </w:tcBorders>
            <w:shd w:val="clear" w:color="auto" w:fill="auto"/>
            <w:vAlign w:val="center"/>
            <w:hideMark/>
          </w:tcPr>
          <w:p w14:paraId="0657BD3A"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10.00</w:t>
            </w:r>
          </w:p>
        </w:tc>
        <w:tc>
          <w:tcPr>
            <w:tcW w:w="760" w:type="dxa"/>
            <w:tcBorders>
              <w:top w:val="nil"/>
              <w:left w:val="nil"/>
              <w:bottom w:val="single" w:sz="4" w:space="0" w:color="auto"/>
              <w:right w:val="single" w:sz="4" w:space="0" w:color="auto"/>
            </w:tcBorders>
            <w:shd w:val="clear" w:color="auto" w:fill="auto"/>
            <w:vAlign w:val="center"/>
            <w:hideMark/>
          </w:tcPr>
          <w:p w14:paraId="6F030D52"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10.00</w:t>
            </w:r>
          </w:p>
        </w:tc>
        <w:tc>
          <w:tcPr>
            <w:tcW w:w="700" w:type="dxa"/>
            <w:tcBorders>
              <w:top w:val="nil"/>
              <w:left w:val="nil"/>
              <w:bottom w:val="single" w:sz="4" w:space="0" w:color="auto"/>
              <w:right w:val="single" w:sz="4" w:space="0" w:color="auto"/>
            </w:tcBorders>
            <w:shd w:val="clear" w:color="auto" w:fill="auto"/>
            <w:vAlign w:val="center"/>
            <w:hideMark/>
          </w:tcPr>
          <w:p w14:paraId="6322E5EB"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10.00</w:t>
            </w:r>
          </w:p>
        </w:tc>
        <w:tc>
          <w:tcPr>
            <w:tcW w:w="840" w:type="dxa"/>
            <w:tcBorders>
              <w:top w:val="nil"/>
              <w:left w:val="nil"/>
              <w:bottom w:val="single" w:sz="4" w:space="0" w:color="auto"/>
              <w:right w:val="single" w:sz="4" w:space="0" w:color="auto"/>
            </w:tcBorders>
            <w:shd w:val="clear" w:color="auto" w:fill="auto"/>
            <w:vAlign w:val="center"/>
            <w:hideMark/>
          </w:tcPr>
          <w:p w14:paraId="4CDB4E33"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20.00</w:t>
            </w:r>
          </w:p>
        </w:tc>
        <w:tc>
          <w:tcPr>
            <w:tcW w:w="920" w:type="dxa"/>
            <w:tcBorders>
              <w:top w:val="nil"/>
              <w:left w:val="nil"/>
              <w:bottom w:val="single" w:sz="4" w:space="0" w:color="auto"/>
              <w:right w:val="single" w:sz="4" w:space="0" w:color="auto"/>
            </w:tcBorders>
            <w:shd w:val="clear" w:color="auto" w:fill="auto"/>
            <w:noWrap/>
            <w:vAlign w:val="center"/>
            <w:hideMark/>
          </w:tcPr>
          <w:p w14:paraId="1453CE9A"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80" w:type="dxa"/>
            <w:tcBorders>
              <w:top w:val="nil"/>
              <w:left w:val="nil"/>
              <w:bottom w:val="single" w:sz="4" w:space="0" w:color="auto"/>
              <w:right w:val="single" w:sz="8" w:space="0" w:color="auto"/>
            </w:tcBorders>
            <w:shd w:val="clear" w:color="auto" w:fill="auto"/>
            <w:noWrap/>
            <w:vAlign w:val="center"/>
            <w:hideMark/>
          </w:tcPr>
          <w:p w14:paraId="6E2995C7"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20.00</w:t>
            </w:r>
          </w:p>
        </w:tc>
      </w:tr>
      <w:tr w:rsidR="00213D71" w:rsidRPr="00213D71" w14:paraId="611DA2DD" w14:textId="77777777" w:rsidTr="00213D71">
        <w:trPr>
          <w:trHeight w:val="495"/>
          <w:jc w:val="center"/>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2D3FB1D3"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Making and Keeping Records in Connection with Fair Access (Rule 301)</w:t>
            </w:r>
          </w:p>
        </w:tc>
        <w:tc>
          <w:tcPr>
            <w:tcW w:w="1000" w:type="dxa"/>
            <w:tcBorders>
              <w:top w:val="nil"/>
              <w:left w:val="nil"/>
              <w:bottom w:val="single" w:sz="4" w:space="0" w:color="auto"/>
              <w:right w:val="single" w:sz="4" w:space="0" w:color="auto"/>
            </w:tcBorders>
            <w:shd w:val="clear" w:color="auto" w:fill="auto"/>
            <w:vAlign w:val="center"/>
            <w:hideMark/>
          </w:tcPr>
          <w:p w14:paraId="7F95BA06"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Recordkeeping</w:t>
            </w:r>
          </w:p>
        </w:tc>
        <w:tc>
          <w:tcPr>
            <w:tcW w:w="680" w:type="dxa"/>
            <w:tcBorders>
              <w:top w:val="nil"/>
              <w:left w:val="nil"/>
              <w:bottom w:val="single" w:sz="4" w:space="0" w:color="auto"/>
              <w:right w:val="single" w:sz="4" w:space="0" w:color="auto"/>
            </w:tcBorders>
            <w:shd w:val="clear" w:color="auto" w:fill="auto"/>
            <w:vAlign w:val="center"/>
            <w:hideMark/>
          </w:tcPr>
          <w:p w14:paraId="2E0E783C"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2</w:t>
            </w:r>
          </w:p>
        </w:tc>
        <w:tc>
          <w:tcPr>
            <w:tcW w:w="880" w:type="dxa"/>
            <w:tcBorders>
              <w:top w:val="nil"/>
              <w:left w:val="nil"/>
              <w:bottom w:val="single" w:sz="4" w:space="0" w:color="auto"/>
              <w:right w:val="single" w:sz="4" w:space="0" w:color="auto"/>
            </w:tcBorders>
            <w:shd w:val="clear" w:color="auto" w:fill="auto"/>
            <w:vAlign w:val="center"/>
            <w:hideMark/>
          </w:tcPr>
          <w:p w14:paraId="7C27599B" w14:textId="77777777" w:rsidR="00213D71" w:rsidRPr="00213D71" w:rsidRDefault="00213D71" w:rsidP="00213D71">
            <w:pPr>
              <w:widowControl/>
              <w:autoSpaceDE/>
              <w:autoSpaceDN/>
              <w:adjustRightInd/>
              <w:jc w:val="center"/>
              <w:rPr>
                <w:rFonts w:ascii="Times New Roman" w:hAnsi="Times New Roman" w:cs="Times New Roman"/>
                <w:color w:val="000000"/>
                <w:sz w:val="12"/>
                <w:szCs w:val="12"/>
              </w:rPr>
            </w:pPr>
            <w:r w:rsidRPr="00213D71">
              <w:rPr>
                <w:rFonts w:ascii="Times New Roman" w:hAnsi="Times New Roman" w:cs="Times New Roman"/>
                <w:color w:val="000000"/>
                <w:sz w:val="12"/>
                <w:szCs w:val="12"/>
              </w:rPr>
              <w:t>1</w:t>
            </w:r>
          </w:p>
        </w:tc>
        <w:tc>
          <w:tcPr>
            <w:tcW w:w="760" w:type="dxa"/>
            <w:tcBorders>
              <w:top w:val="nil"/>
              <w:left w:val="nil"/>
              <w:bottom w:val="single" w:sz="4" w:space="0" w:color="auto"/>
              <w:right w:val="single" w:sz="4" w:space="0" w:color="auto"/>
            </w:tcBorders>
            <w:shd w:val="clear" w:color="auto" w:fill="auto"/>
            <w:vAlign w:val="center"/>
            <w:hideMark/>
          </w:tcPr>
          <w:p w14:paraId="0CA577E9"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60" w:type="dxa"/>
            <w:tcBorders>
              <w:top w:val="nil"/>
              <w:left w:val="nil"/>
              <w:bottom w:val="single" w:sz="4" w:space="0" w:color="auto"/>
              <w:right w:val="single" w:sz="4" w:space="0" w:color="auto"/>
            </w:tcBorders>
            <w:shd w:val="clear" w:color="auto" w:fill="auto"/>
            <w:vAlign w:val="center"/>
            <w:hideMark/>
          </w:tcPr>
          <w:p w14:paraId="42F5EF00"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700" w:type="dxa"/>
            <w:tcBorders>
              <w:top w:val="nil"/>
              <w:left w:val="nil"/>
              <w:bottom w:val="single" w:sz="4" w:space="0" w:color="auto"/>
              <w:right w:val="single" w:sz="4" w:space="0" w:color="auto"/>
            </w:tcBorders>
            <w:shd w:val="clear" w:color="auto" w:fill="auto"/>
            <w:vAlign w:val="center"/>
            <w:hideMark/>
          </w:tcPr>
          <w:p w14:paraId="6FDEA62B"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10.00</w:t>
            </w:r>
          </w:p>
        </w:tc>
        <w:tc>
          <w:tcPr>
            <w:tcW w:w="760" w:type="dxa"/>
            <w:tcBorders>
              <w:top w:val="nil"/>
              <w:left w:val="nil"/>
              <w:bottom w:val="single" w:sz="4" w:space="0" w:color="auto"/>
              <w:right w:val="single" w:sz="4" w:space="0" w:color="auto"/>
            </w:tcBorders>
            <w:shd w:val="clear" w:color="auto" w:fill="auto"/>
            <w:vAlign w:val="center"/>
            <w:hideMark/>
          </w:tcPr>
          <w:p w14:paraId="4B99B149"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10.00</w:t>
            </w:r>
          </w:p>
        </w:tc>
        <w:tc>
          <w:tcPr>
            <w:tcW w:w="700" w:type="dxa"/>
            <w:tcBorders>
              <w:top w:val="nil"/>
              <w:left w:val="nil"/>
              <w:bottom w:val="single" w:sz="4" w:space="0" w:color="auto"/>
              <w:right w:val="single" w:sz="4" w:space="0" w:color="auto"/>
            </w:tcBorders>
            <w:shd w:val="clear" w:color="auto" w:fill="auto"/>
            <w:vAlign w:val="center"/>
            <w:hideMark/>
          </w:tcPr>
          <w:p w14:paraId="62332C7D"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10.00</w:t>
            </w:r>
          </w:p>
        </w:tc>
        <w:tc>
          <w:tcPr>
            <w:tcW w:w="840" w:type="dxa"/>
            <w:tcBorders>
              <w:top w:val="nil"/>
              <w:left w:val="nil"/>
              <w:bottom w:val="single" w:sz="4" w:space="0" w:color="auto"/>
              <w:right w:val="single" w:sz="4" w:space="0" w:color="auto"/>
            </w:tcBorders>
            <w:shd w:val="clear" w:color="auto" w:fill="auto"/>
            <w:vAlign w:val="center"/>
            <w:hideMark/>
          </w:tcPr>
          <w:p w14:paraId="603E919F"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20.00</w:t>
            </w:r>
          </w:p>
        </w:tc>
        <w:tc>
          <w:tcPr>
            <w:tcW w:w="920" w:type="dxa"/>
            <w:tcBorders>
              <w:top w:val="nil"/>
              <w:left w:val="nil"/>
              <w:bottom w:val="single" w:sz="4" w:space="0" w:color="auto"/>
              <w:right w:val="single" w:sz="4" w:space="0" w:color="auto"/>
            </w:tcBorders>
            <w:shd w:val="clear" w:color="auto" w:fill="auto"/>
            <w:noWrap/>
            <w:vAlign w:val="center"/>
            <w:hideMark/>
          </w:tcPr>
          <w:p w14:paraId="5B657546"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0.00</w:t>
            </w:r>
          </w:p>
        </w:tc>
        <w:tc>
          <w:tcPr>
            <w:tcW w:w="980" w:type="dxa"/>
            <w:tcBorders>
              <w:top w:val="nil"/>
              <w:left w:val="nil"/>
              <w:bottom w:val="single" w:sz="4" w:space="0" w:color="auto"/>
              <w:right w:val="single" w:sz="8" w:space="0" w:color="auto"/>
            </w:tcBorders>
            <w:shd w:val="clear" w:color="auto" w:fill="auto"/>
            <w:noWrap/>
            <w:vAlign w:val="center"/>
            <w:hideMark/>
          </w:tcPr>
          <w:p w14:paraId="5E50E993" w14:textId="77777777" w:rsidR="00213D71" w:rsidRPr="00213D71" w:rsidRDefault="00213D71" w:rsidP="00213D71">
            <w:pPr>
              <w:widowControl/>
              <w:autoSpaceDE/>
              <w:autoSpaceDN/>
              <w:adjustRightInd/>
              <w:jc w:val="right"/>
              <w:rPr>
                <w:rFonts w:ascii="Times New Roman" w:hAnsi="Times New Roman" w:cs="Times New Roman"/>
                <w:color w:val="000000"/>
                <w:sz w:val="12"/>
                <w:szCs w:val="12"/>
              </w:rPr>
            </w:pPr>
            <w:r w:rsidRPr="00213D71">
              <w:rPr>
                <w:rFonts w:ascii="Times New Roman" w:hAnsi="Times New Roman" w:cs="Times New Roman"/>
                <w:color w:val="000000"/>
                <w:sz w:val="12"/>
                <w:szCs w:val="12"/>
              </w:rPr>
              <w:t>20.00</w:t>
            </w:r>
          </w:p>
        </w:tc>
      </w:tr>
      <w:tr w:rsidR="00213D71" w:rsidRPr="00213D71" w14:paraId="73F43F4D" w14:textId="77777777" w:rsidTr="00213D71">
        <w:trPr>
          <w:trHeight w:val="180"/>
          <w:jc w:val="center"/>
        </w:trPr>
        <w:tc>
          <w:tcPr>
            <w:tcW w:w="7700" w:type="dxa"/>
            <w:gridSpan w:val="8"/>
            <w:tcBorders>
              <w:top w:val="single" w:sz="4" w:space="0" w:color="auto"/>
              <w:left w:val="single" w:sz="8" w:space="0" w:color="auto"/>
              <w:bottom w:val="single" w:sz="8" w:space="0" w:color="auto"/>
              <w:right w:val="single" w:sz="4" w:space="0" w:color="000000"/>
            </w:tcBorders>
            <w:shd w:val="clear" w:color="auto" w:fill="auto"/>
            <w:vAlign w:val="center"/>
            <w:hideMark/>
          </w:tcPr>
          <w:p w14:paraId="48FDD8CB" w14:textId="77777777" w:rsidR="00213D71" w:rsidRPr="00213D71" w:rsidRDefault="00213D71" w:rsidP="00213D71">
            <w:pPr>
              <w:widowControl/>
              <w:autoSpaceDE/>
              <w:autoSpaceDN/>
              <w:adjustRightInd/>
              <w:jc w:val="right"/>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 xml:space="preserve">TOTAL HOURLY BURDEN FOR ALL RESPONDENTS </w:t>
            </w:r>
          </w:p>
        </w:tc>
        <w:tc>
          <w:tcPr>
            <w:tcW w:w="700" w:type="dxa"/>
            <w:tcBorders>
              <w:top w:val="nil"/>
              <w:left w:val="nil"/>
              <w:bottom w:val="single" w:sz="8" w:space="0" w:color="auto"/>
              <w:right w:val="single" w:sz="4" w:space="0" w:color="auto"/>
            </w:tcBorders>
            <w:shd w:val="clear" w:color="auto" w:fill="auto"/>
            <w:vAlign w:val="center"/>
            <w:hideMark/>
          </w:tcPr>
          <w:p w14:paraId="4D72BBC9" w14:textId="77777777" w:rsidR="00213D71" w:rsidRPr="00213D71" w:rsidRDefault="00213D71" w:rsidP="00213D71">
            <w:pPr>
              <w:widowControl/>
              <w:autoSpaceDE/>
              <w:autoSpaceDN/>
              <w:adjustRightInd/>
              <w:jc w:val="right"/>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467.02</w:t>
            </w:r>
          </w:p>
        </w:tc>
        <w:tc>
          <w:tcPr>
            <w:tcW w:w="840" w:type="dxa"/>
            <w:tcBorders>
              <w:top w:val="nil"/>
              <w:left w:val="nil"/>
              <w:bottom w:val="single" w:sz="8" w:space="0" w:color="auto"/>
              <w:right w:val="single" w:sz="4" w:space="0" w:color="auto"/>
            </w:tcBorders>
            <w:shd w:val="clear" w:color="auto" w:fill="auto"/>
            <w:vAlign w:val="center"/>
            <w:hideMark/>
          </w:tcPr>
          <w:p w14:paraId="459AF845" w14:textId="77777777" w:rsidR="00213D71" w:rsidRPr="00213D71" w:rsidRDefault="00213D71" w:rsidP="00213D71">
            <w:pPr>
              <w:widowControl/>
              <w:autoSpaceDE/>
              <w:autoSpaceDN/>
              <w:adjustRightInd/>
              <w:jc w:val="right"/>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11,749.47</w:t>
            </w:r>
          </w:p>
        </w:tc>
        <w:tc>
          <w:tcPr>
            <w:tcW w:w="920" w:type="dxa"/>
            <w:tcBorders>
              <w:top w:val="nil"/>
              <w:left w:val="nil"/>
              <w:bottom w:val="single" w:sz="8" w:space="0" w:color="auto"/>
              <w:right w:val="single" w:sz="4" w:space="0" w:color="auto"/>
            </w:tcBorders>
            <w:shd w:val="clear" w:color="auto" w:fill="auto"/>
            <w:vAlign w:val="center"/>
            <w:hideMark/>
          </w:tcPr>
          <w:p w14:paraId="65333845" w14:textId="77777777" w:rsidR="00213D71" w:rsidRPr="00213D71" w:rsidRDefault="00213D71" w:rsidP="00213D71">
            <w:pPr>
              <w:widowControl/>
              <w:autoSpaceDE/>
              <w:autoSpaceDN/>
              <w:adjustRightInd/>
              <w:jc w:val="right"/>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240.80</w:t>
            </w:r>
          </w:p>
        </w:tc>
        <w:tc>
          <w:tcPr>
            <w:tcW w:w="980" w:type="dxa"/>
            <w:tcBorders>
              <w:top w:val="nil"/>
              <w:left w:val="nil"/>
              <w:bottom w:val="single" w:sz="8" w:space="0" w:color="auto"/>
              <w:right w:val="single" w:sz="4" w:space="0" w:color="auto"/>
            </w:tcBorders>
            <w:shd w:val="clear" w:color="auto" w:fill="auto"/>
            <w:vAlign w:val="center"/>
            <w:hideMark/>
          </w:tcPr>
          <w:p w14:paraId="79029AA9" w14:textId="77777777" w:rsidR="00213D71" w:rsidRPr="00213D71" w:rsidRDefault="00213D71" w:rsidP="00213D71">
            <w:pPr>
              <w:widowControl/>
              <w:autoSpaceDE/>
              <w:autoSpaceDN/>
              <w:adjustRightInd/>
              <w:jc w:val="right"/>
              <w:rPr>
                <w:rFonts w:ascii="Times New Roman" w:hAnsi="Times New Roman" w:cs="Times New Roman"/>
                <w:b/>
                <w:bCs/>
                <w:color w:val="000000"/>
                <w:sz w:val="12"/>
                <w:szCs w:val="12"/>
              </w:rPr>
            </w:pPr>
            <w:r w:rsidRPr="00213D71">
              <w:rPr>
                <w:rFonts w:ascii="Times New Roman" w:hAnsi="Times New Roman" w:cs="Times New Roman"/>
                <w:b/>
                <w:bCs/>
                <w:color w:val="000000"/>
                <w:sz w:val="12"/>
                <w:szCs w:val="12"/>
              </w:rPr>
              <w:t>11,669.20</w:t>
            </w:r>
          </w:p>
        </w:tc>
      </w:tr>
    </w:tbl>
    <w:p w14:paraId="572CE343" w14:textId="55A59465" w:rsidR="00273E38" w:rsidRPr="00285756" w:rsidRDefault="00BD7DD8" w:rsidP="00975A27">
      <w:pPr>
        <w:widowControl/>
        <w:tabs>
          <w:tab w:val="left" w:pos="-720"/>
        </w:tabs>
        <w:suppressAutoHyphens/>
        <w:rPr>
          <w:rFonts w:ascii="Times New Roman" w:hAnsi="Times New Roman" w:cs="Times New Roman"/>
          <w:b/>
        </w:rPr>
      </w:pPr>
      <w:r w:rsidRPr="00285756">
        <w:rPr>
          <w:rFonts w:ascii="Times New Roman" w:hAnsi="Times New Roman" w:cs="Times New Roman"/>
          <w:spacing w:val="-3"/>
        </w:rPr>
        <w:tab/>
      </w:r>
      <w:r w:rsidR="002D4322">
        <w:rPr>
          <w:rFonts w:ascii="Times New Roman" w:hAnsi="Times New Roman" w:cs="Times New Roman"/>
        </w:rPr>
        <w:br w:type="page"/>
      </w:r>
      <w:r w:rsidR="008855EE" w:rsidRPr="00285756">
        <w:rPr>
          <w:rFonts w:ascii="Times New Roman" w:hAnsi="Times New Roman" w:cs="Times New Roman"/>
          <w:b/>
        </w:rPr>
        <w:lastRenderedPageBreak/>
        <w:tab/>
      </w:r>
      <w:r w:rsidR="00947EC3" w:rsidRPr="00285756">
        <w:rPr>
          <w:rFonts w:ascii="Times New Roman" w:hAnsi="Times New Roman" w:cs="Times New Roman"/>
          <w:b/>
          <w:spacing w:val="-3"/>
        </w:rPr>
        <w:t>13.</w:t>
      </w:r>
      <w:r w:rsidR="00947EC3" w:rsidRPr="00285756">
        <w:rPr>
          <w:rFonts w:ascii="Times New Roman" w:hAnsi="Times New Roman" w:cs="Times New Roman"/>
          <w:b/>
          <w:spacing w:val="-3"/>
        </w:rPr>
        <w:tab/>
      </w:r>
      <w:r w:rsidR="009F5BBA" w:rsidRPr="00285756">
        <w:rPr>
          <w:rFonts w:ascii="Times New Roman" w:hAnsi="Times New Roman" w:cs="Times New Roman"/>
          <w:b/>
          <w:spacing w:val="-3"/>
        </w:rPr>
        <w:t>Costs to Respondents</w:t>
      </w:r>
      <w:r w:rsidR="00614C44" w:rsidRPr="00285756">
        <w:rPr>
          <w:rFonts w:ascii="Times New Roman" w:hAnsi="Times New Roman" w:cs="Times New Roman"/>
          <w:b/>
        </w:rPr>
        <w:t xml:space="preserve"> </w:t>
      </w:r>
    </w:p>
    <w:p w14:paraId="701766F1" w14:textId="77777777" w:rsidR="00CC7987" w:rsidRPr="00285756" w:rsidRDefault="00CC7987" w:rsidP="00975A27">
      <w:pPr>
        <w:pStyle w:val="BodyText"/>
        <w:widowControl/>
        <w:rPr>
          <w:rFonts w:cs="Times New Roman"/>
        </w:rPr>
      </w:pPr>
      <w:r w:rsidRPr="00285756">
        <w:rPr>
          <w:rFonts w:cs="Times New Roman"/>
        </w:rPr>
        <w:tab/>
      </w:r>
    </w:p>
    <w:p w14:paraId="4CD51114" w14:textId="75D26375" w:rsidR="00B87CBD" w:rsidRDefault="00B87CBD" w:rsidP="00975A27">
      <w:pPr>
        <w:pStyle w:val="BodyText"/>
        <w:widowControl/>
        <w:rPr>
          <w:rFonts w:cs="Times New Roman"/>
        </w:rPr>
      </w:pPr>
      <w:r w:rsidRPr="00285756">
        <w:rPr>
          <w:rFonts w:cs="Times New Roman"/>
        </w:rPr>
        <w:tab/>
      </w:r>
      <w:r w:rsidR="001D4B88">
        <w:rPr>
          <w:rFonts w:cs="Times New Roman"/>
        </w:rPr>
        <w:t>T</w:t>
      </w:r>
      <w:r w:rsidR="001D4B88" w:rsidRPr="00E87DE9">
        <w:rPr>
          <w:rFonts w:cs="Times New Roman"/>
        </w:rPr>
        <w:t>he Commission estimates that each NMS Stock ATS will designate 2 individuals to sign Form ATS-N each year.  An individual signing a Form ATS-N must obtain a digital ID, at the cost of approximately $25 each year.  Therefore, each NMS Stock ATS would pay approximately $50 annually to obtain digital IDs for the individuals with access to EFFS for purposes of signing Form ATS-N,</w:t>
      </w:r>
      <w:r w:rsidR="001D4B88" w:rsidRPr="00E87DE9">
        <w:rPr>
          <w:rFonts w:cs="Times New Roman"/>
          <w:vertAlign w:val="superscript"/>
        </w:rPr>
        <w:footnoteReference w:id="59"/>
      </w:r>
      <w:r w:rsidR="001D4B88" w:rsidRPr="00E87DE9">
        <w:rPr>
          <w:rFonts w:cs="Times New Roman"/>
        </w:rPr>
        <w:t xml:space="preserve"> or approximately $2,300 for all NMS Stock ATSs.</w:t>
      </w:r>
      <w:r w:rsidR="001D4B88" w:rsidRPr="00E87DE9">
        <w:rPr>
          <w:rFonts w:cs="Times New Roman"/>
          <w:vertAlign w:val="superscript"/>
        </w:rPr>
        <w:footnoteReference w:id="60"/>
      </w:r>
      <w:r w:rsidRPr="001D4B88">
        <w:rPr>
          <w:rFonts w:cs="Times New Roman"/>
        </w:rPr>
        <w:t xml:space="preserve">.  </w:t>
      </w:r>
    </w:p>
    <w:p w14:paraId="1769E7FB" w14:textId="77777777" w:rsidR="002D4322" w:rsidRDefault="002D4322" w:rsidP="00975A27">
      <w:pPr>
        <w:pStyle w:val="BodyText"/>
        <w:widowControl/>
        <w:rPr>
          <w:rFonts w:cs="Times New Roman"/>
        </w:rPr>
      </w:pPr>
    </w:p>
    <w:tbl>
      <w:tblPr>
        <w:tblW w:w="11140" w:type="dxa"/>
        <w:jc w:val="center"/>
        <w:tblInd w:w="93" w:type="dxa"/>
        <w:tblLook w:val="04A0" w:firstRow="1" w:lastRow="0" w:firstColumn="1" w:lastColumn="0" w:noHBand="0" w:noVBand="1"/>
      </w:tblPr>
      <w:tblGrid>
        <w:gridCol w:w="1937"/>
        <w:gridCol w:w="1000"/>
        <w:gridCol w:w="703"/>
        <w:gridCol w:w="880"/>
        <w:gridCol w:w="760"/>
        <w:gridCol w:w="960"/>
        <w:gridCol w:w="700"/>
        <w:gridCol w:w="760"/>
        <w:gridCol w:w="700"/>
        <w:gridCol w:w="840"/>
        <w:gridCol w:w="920"/>
        <w:gridCol w:w="980"/>
      </w:tblGrid>
      <w:tr w:rsidR="002D4322" w:rsidRPr="002D4322" w14:paraId="3FD21B68" w14:textId="77777777" w:rsidTr="005A7C66">
        <w:trPr>
          <w:trHeight w:val="150"/>
          <w:jc w:val="center"/>
        </w:trPr>
        <w:tc>
          <w:tcPr>
            <w:tcW w:w="11140" w:type="dxa"/>
            <w:gridSpan w:val="12"/>
            <w:tcBorders>
              <w:top w:val="nil"/>
              <w:left w:val="nil"/>
              <w:bottom w:val="single" w:sz="8" w:space="0" w:color="auto"/>
              <w:right w:val="nil"/>
            </w:tcBorders>
            <w:shd w:val="clear" w:color="auto" w:fill="auto"/>
            <w:noWrap/>
            <w:vAlign w:val="center"/>
            <w:hideMark/>
          </w:tcPr>
          <w:p w14:paraId="5B9009BA" w14:textId="77777777" w:rsidR="002D4322" w:rsidRPr="002D4322" w:rsidRDefault="002D4322" w:rsidP="002D4322">
            <w:pPr>
              <w:widowControl/>
              <w:autoSpaceDE/>
              <w:autoSpaceDN/>
              <w:adjustRightInd/>
              <w:jc w:val="center"/>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Summary of Dollar Costs</w:t>
            </w:r>
          </w:p>
        </w:tc>
      </w:tr>
      <w:tr w:rsidR="002D4322" w:rsidRPr="002D4322" w14:paraId="7F370F6C" w14:textId="77777777" w:rsidTr="005A7C66">
        <w:trPr>
          <w:trHeight w:val="1005"/>
          <w:jc w:val="center"/>
        </w:trPr>
        <w:tc>
          <w:tcPr>
            <w:tcW w:w="1960" w:type="dxa"/>
            <w:tcBorders>
              <w:top w:val="nil"/>
              <w:left w:val="single" w:sz="8" w:space="0" w:color="auto"/>
              <w:bottom w:val="single" w:sz="8" w:space="0" w:color="auto"/>
              <w:right w:val="single" w:sz="4" w:space="0" w:color="auto"/>
            </w:tcBorders>
            <w:shd w:val="clear" w:color="auto" w:fill="auto"/>
            <w:vAlign w:val="center"/>
            <w:hideMark/>
          </w:tcPr>
          <w:p w14:paraId="7A7241C4" w14:textId="77777777" w:rsidR="002D4322" w:rsidRPr="002D4322" w:rsidRDefault="002D4322" w:rsidP="002D4322">
            <w:pPr>
              <w:widowControl/>
              <w:autoSpaceDE/>
              <w:autoSpaceDN/>
              <w:adjustRightInd/>
              <w:jc w:val="center"/>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Rule</w:t>
            </w:r>
          </w:p>
        </w:tc>
        <w:tc>
          <w:tcPr>
            <w:tcW w:w="1000" w:type="dxa"/>
            <w:tcBorders>
              <w:top w:val="nil"/>
              <w:left w:val="nil"/>
              <w:bottom w:val="single" w:sz="8" w:space="0" w:color="auto"/>
              <w:right w:val="single" w:sz="4" w:space="0" w:color="auto"/>
            </w:tcBorders>
            <w:shd w:val="clear" w:color="auto" w:fill="auto"/>
            <w:vAlign w:val="center"/>
            <w:hideMark/>
          </w:tcPr>
          <w:p w14:paraId="0C51E601" w14:textId="77777777" w:rsidR="002D4322" w:rsidRPr="002D4322" w:rsidRDefault="002D4322" w:rsidP="002D4322">
            <w:pPr>
              <w:widowControl/>
              <w:autoSpaceDE/>
              <w:autoSpaceDN/>
              <w:adjustRightInd/>
              <w:jc w:val="center"/>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Type of Burden</w:t>
            </w:r>
          </w:p>
        </w:tc>
        <w:tc>
          <w:tcPr>
            <w:tcW w:w="680" w:type="dxa"/>
            <w:tcBorders>
              <w:top w:val="nil"/>
              <w:left w:val="nil"/>
              <w:bottom w:val="single" w:sz="8" w:space="0" w:color="auto"/>
              <w:right w:val="single" w:sz="4" w:space="0" w:color="auto"/>
            </w:tcBorders>
            <w:shd w:val="clear" w:color="auto" w:fill="auto"/>
            <w:vAlign w:val="center"/>
            <w:hideMark/>
          </w:tcPr>
          <w:p w14:paraId="3CF17A1F" w14:textId="77777777" w:rsidR="002D4322" w:rsidRPr="002D4322" w:rsidRDefault="002D4322" w:rsidP="002D4322">
            <w:pPr>
              <w:widowControl/>
              <w:autoSpaceDE/>
              <w:autoSpaceDN/>
              <w:adjustRightInd/>
              <w:jc w:val="center"/>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 Entities Impacted</w:t>
            </w:r>
          </w:p>
        </w:tc>
        <w:tc>
          <w:tcPr>
            <w:tcW w:w="880" w:type="dxa"/>
            <w:tcBorders>
              <w:top w:val="nil"/>
              <w:left w:val="nil"/>
              <w:bottom w:val="single" w:sz="8" w:space="0" w:color="auto"/>
              <w:right w:val="single" w:sz="4" w:space="0" w:color="auto"/>
            </w:tcBorders>
            <w:shd w:val="clear" w:color="auto" w:fill="auto"/>
            <w:vAlign w:val="center"/>
            <w:hideMark/>
          </w:tcPr>
          <w:p w14:paraId="16E6D53A" w14:textId="77777777" w:rsidR="002D4322" w:rsidRPr="002D4322" w:rsidRDefault="002D4322" w:rsidP="002D4322">
            <w:pPr>
              <w:widowControl/>
              <w:autoSpaceDE/>
              <w:autoSpaceDN/>
              <w:adjustRightInd/>
              <w:jc w:val="center"/>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Annual Responses per Entity</w:t>
            </w:r>
          </w:p>
        </w:tc>
        <w:tc>
          <w:tcPr>
            <w:tcW w:w="760" w:type="dxa"/>
            <w:tcBorders>
              <w:top w:val="nil"/>
              <w:left w:val="nil"/>
              <w:bottom w:val="single" w:sz="8" w:space="0" w:color="auto"/>
              <w:right w:val="single" w:sz="4" w:space="0" w:color="auto"/>
            </w:tcBorders>
            <w:shd w:val="clear" w:color="auto" w:fill="auto"/>
            <w:vAlign w:val="center"/>
            <w:hideMark/>
          </w:tcPr>
          <w:p w14:paraId="308EBD01" w14:textId="77777777" w:rsidR="002D4322" w:rsidRPr="002D4322" w:rsidRDefault="002D4322" w:rsidP="002D4322">
            <w:pPr>
              <w:widowControl/>
              <w:autoSpaceDE/>
              <w:autoSpaceDN/>
              <w:adjustRightInd/>
              <w:jc w:val="center"/>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Initial Cost per Entity</w:t>
            </w:r>
          </w:p>
        </w:tc>
        <w:tc>
          <w:tcPr>
            <w:tcW w:w="960" w:type="dxa"/>
            <w:tcBorders>
              <w:top w:val="nil"/>
              <w:left w:val="nil"/>
              <w:bottom w:val="single" w:sz="8" w:space="0" w:color="auto"/>
              <w:right w:val="single" w:sz="4" w:space="0" w:color="auto"/>
            </w:tcBorders>
            <w:shd w:val="clear" w:color="auto" w:fill="auto"/>
            <w:vAlign w:val="center"/>
            <w:hideMark/>
          </w:tcPr>
          <w:p w14:paraId="6EF5AC46" w14:textId="77777777" w:rsidR="002D4322" w:rsidRPr="002D4322" w:rsidRDefault="002D4322" w:rsidP="002D4322">
            <w:pPr>
              <w:widowControl/>
              <w:autoSpaceDE/>
              <w:autoSpaceDN/>
              <w:adjustRightInd/>
              <w:jc w:val="center"/>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Initial Cost Annualized per Entity</w:t>
            </w:r>
          </w:p>
        </w:tc>
        <w:tc>
          <w:tcPr>
            <w:tcW w:w="700" w:type="dxa"/>
            <w:tcBorders>
              <w:top w:val="nil"/>
              <w:left w:val="nil"/>
              <w:bottom w:val="single" w:sz="8" w:space="0" w:color="auto"/>
              <w:right w:val="single" w:sz="4" w:space="0" w:color="auto"/>
            </w:tcBorders>
            <w:shd w:val="clear" w:color="auto" w:fill="auto"/>
            <w:vAlign w:val="center"/>
            <w:hideMark/>
          </w:tcPr>
          <w:p w14:paraId="61DEDC42" w14:textId="77777777" w:rsidR="002D4322" w:rsidRPr="002D4322" w:rsidRDefault="002D4322" w:rsidP="002D4322">
            <w:pPr>
              <w:widowControl/>
              <w:autoSpaceDE/>
              <w:autoSpaceDN/>
              <w:adjustRightInd/>
              <w:jc w:val="center"/>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Annual Ongoing Cost per Entity</w:t>
            </w:r>
          </w:p>
        </w:tc>
        <w:tc>
          <w:tcPr>
            <w:tcW w:w="760" w:type="dxa"/>
            <w:tcBorders>
              <w:top w:val="nil"/>
              <w:left w:val="nil"/>
              <w:bottom w:val="single" w:sz="8" w:space="0" w:color="auto"/>
              <w:right w:val="single" w:sz="4" w:space="0" w:color="auto"/>
            </w:tcBorders>
            <w:shd w:val="clear" w:color="auto" w:fill="auto"/>
            <w:vAlign w:val="center"/>
            <w:hideMark/>
          </w:tcPr>
          <w:p w14:paraId="3DB4C04B" w14:textId="77777777" w:rsidR="002D4322" w:rsidRPr="002D4322" w:rsidRDefault="002D4322" w:rsidP="002D4322">
            <w:pPr>
              <w:widowControl/>
              <w:autoSpaceDE/>
              <w:autoSpaceDN/>
              <w:adjustRightInd/>
              <w:jc w:val="center"/>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Annual Cost Per Entity per Response</w:t>
            </w:r>
          </w:p>
        </w:tc>
        <w:tc>
          <w:tcPr>
            <w:tcW w:w="700" w:type="dxa"/>
            <w:tcBorders>
              <w:top w:val="nil"/>
              <w:left w:val="nil"/>
              <w:bottom w:val="single" w:sz="8" w:space="0" w:color="auto"/>
              <w:right w:val="single" w:sz="4" w:space="0" w:color="auto"/>
            </w:tcBorders>
            <w:shd w:val="clear" w:color="auto" w:fill="auto"/>
            <w:vAlign w:val="center"/>
            <w:hideMark/>
          </w:tcPr>
          <w:p w14:paraId="5A41E1CC" w14:textId="77777777" w:rsidR="002D4322" w:rsidRPr="002D4322" w:rsidRDefault="002D4322" w:rsidP="002D4322">
            <w:pPr>
              <w:widowControl/>
              <w:autoSpaceDE/>
              <w:autoSpaceDN/>
              <w:adjustRightInd/>
              <w:jc w:val="center"/>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Total Annual Cost Per Entity</w:t>
            </w:r>
          </w:p>
        </w:tc>
        <w:tc>
          <w:tcPr>
            <w:tcW w:w="840" w:type="dxa"/>
            <w:tcBorders>
              <w:top w:val="nil"/>
              <w:left w:val="nil"/>
              <w:bottom w:val="single" w:sz="8" w:space="0" w:color="auto"/>
              <w:right w:val="single" w:sz="4" w:space="0" w:color="auto"/>
            </w:tcBorders>
            <w:shd w:val="clear" w:color="auto" w:fill="auto"/>
            <w:vAlign w:val="center"/>
            <w:hideMark/>
          </w:tcPr>
          <w:p w14:paraId="2C80462C" w14:textId="77777777" w:rsidR="002D4322" w:rsidRPr="002D4322" w:rsidRDefault="002D4322" w:rsidP="002D4322">
            <w:pPr>
              <w:widowControl/>
              <w:autoSpaceDE/>
              <w:autoSpaceDN/>
              <w:adjustRightInd/>
              <w:jc w:val="center"/>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Total Cost</w:t>
            </w:r>
          </w:p>
        </w:tc>
        <w:tc>
          <w:tcPr>
            <w:tcW w:w="920" w:type="dxa"/>
            <w:tcBorders>
              <w:top w:val="nil"/>
              <w:left w:val="nil"/>
              <w:bottom w:val="single" w:sz="8" w:space="0" w:color="auto"/>
              <w:right w:val="single" w:sz="4" w:space="0" w:color="auto"/>
            </w:tcBorders>
            <w:shd w:val="clear" w:color="auto" w:fill="auto"/>
            <w:vAlign w:val="center"/>
            <w:hideMark/>
          </w:tcPr>
          <w:p w14:paraId="5010D183" w14:textId="77777777" w:rsidR="002D4322" w:rsidRPr="002D4322" w:rsidRDefault="002D4322" w:rsidP="002D4322">
            <w:pPr>
              <w:widowControl/>
              <w:autoSpaceDE/>
              <w:autoSpaceDN/>
              <w:adjustRightInd/>
              <w:jc w:val="center"/>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Total Initial Cost For All Respondents</w:t>
            </w:r>
          </w:p>
        </w:tc>
        <w:tc>
          <w:tcPr>
            <w:tcW w:w="980" w:type="dxa"/>
            <w:tcBorders>
              <w:top w:val="nil"/>
              <w:left w:val="nil"/>
              <w:bottom w:val="single" w:sz="8" w:space="0" w:color="auto"/>
              <w:right w:val="single" w:sz="8" w:space="0" w:color="auto"/>
            </w:tcBorders>
            <w:shd w:val="clear" w:color="auto" w:fill="auto"/>
            <w:vAlign w:val="center"/>
            <w:hideMark/>
          </w:tcPr>
          <w:p w14:paraId="30426C07" w14:textId="77777777" w:rsidR="002D4322" w:rsidRPr="002D4322" w:rsidRDefault="002D4322" w:rsidP="002D4322">
            <w:pPr>
              <w:widowControl/>
              <w:autoSpaceDE/>
              <w:autoSpaceDN/>
              <w:adjustRightInd/>
              <w:jc w:val="center"/>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Total Ongoing Cost For All Respondents</w:t>
            </w:r>
          </w:p>
        </w:tc>
      </w:tr>
      <w:tr w:rsidR="002D4322" w:rsidRPr="002D4322" w14:paraId="388A29C4" w14:textId="77777777" w:rsidTr="005A7C66">
        <w:trPr>
          <w:trHeight w:val="330"/>
          <w:jc w:val="center"/>
        </w:trPr>
        <w:tc>
          <w:tcPr>
            <w:tcW w:w="1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579BFD" w14:textId="77777777" w:rsidR="002D4322" w:rsidRPr="002D4322" w:rsidRDefault="002D4322" w:rsidP="002D4322">
            <w:pPr>
              <w:widowControl/>
              <w:autoSpaceDE/>
              <w:autoSpaceDN/>
              <w:adjustRightInd/>
              <w:jc w:val="center"/>
              <w:rPr>
                <w:rFonts w:ascii="Times New Roman" w:hAnsi="Times New Roman" w:cs="Times New Roman"/>
                <w:color w:val="000000"/>
                <w:sz w:val="12"/>
                <w:szCs w:val="12"/>
              </w:rPr>
            </w:pPr>
            <w:r w:rsidRPr="002D4322">
              <w:rPr>
                <w:rFonts w:ascii="Times New Roman" w:hAnsi="Times New Roman" w:cs="Times New Roman"/>
                <w:color w:val="000000"/>
                <w:sz w:val="12"/>
                <w:szCs w:val="12"/>
              </w:rPr>
              <w:t>Access to EFFS (Rules 301 and 304)</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2083F8F" w14:textId="77777777" w:rsidR="002D4322" w:rsidRPr="002D4322" w:rsidRDefault="002D4322" w:rsidP="002D4322">
            <w:pPr>
              <w:widowControl/>
              <w:autoSpaceDE/>
              <w:autoSpaceDN/>
              <w:adjustRightInd/>
              <w:jc w:val="center"/>
              <w:rPr>
                <w:rFonts w:ascii="Times New Roman" w:hAnsi="Times New Roman" w:cs="Times New Roman"/>
                <w:color w:val="000000"/>
                <w:sz w:val="12"/>
                <w:szCs w:val="12"/>
              </w:rPr>
            </w:pPr>
            <w:r w:rsidRPr="002D4322">
              <w:rPr>
                <w:rFonts w:ascii="Times New Roman" w:hAnsi="Times New Roman" w:cs="Times New Roman"/>
                <w:color w:val="000000"/>
                <w:sz w:val="12"/>
                <w:szCs w:val="12"/>
              </w:rPr>
              <w:t>Reporting</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17B142A" w14:textId="77777777" w:rsidR="002D4322" w:rsidRPr="002D4322" w:rsidRDefault="002D4322" w:rsidP="002D4322">
            <w:pPr>
              <w:widowControl/>
              <w:autoSpaceDE/>
              <w:autoSpaceDN/>
              <w:adjustRightInd/>
              <w:jc w:val="center"/>
              <w:rPr>
                <w:rFonts w:ascii="Times New Roman" w:hAnsi="Times New Roman" w:cs="Times New Roman"/>
                <w:color w:val="000000"/>
                <w:sz w:val="12"/>
                <w:szCs w:val="12"/>
              </w:rPr>
            </w:pPr>
            <w:r w:rsidRPr="002D4322">
              <w:rPr>
                <w:rFonts w:ascii="Times New Roman" w:hAnsi="Times New Roman" w:cs="Times New Roman"/>
                <w:color w:val="000000"/>
                <w:sz w:val="12"/>
                <w:szCs w:val="12"/>
              </w:rPr>
              <w:t>46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1401D" w14:textId="77777777" w:rsidR="002D4322" w:rsidRPr="002D4322" w:rsidRDefault="002D4322" w:rsidP="002D4322">
            <w:pPr>
              <w:widowControl/>
              <w:autoSpaceDE/>
              <w:autoSpaceDN/>
              <w:adjustRightInd/>
              <w:jc w:val="center"/>
              <w:rPr>
                <w:rFonts w:ascii="Times New Roman" w:hAnsi="Times New Roman" w:cs="Times New Roman"/>
                <w:color w:val="000000"/>
                <w:sz w:val="12"/>
                <w:szCs w:val="12"/>
              </w:rPr>
            </w:pPr>
            <w:r w:rsidRPr="002D4322">
              <w:rPr>
                <w:rFonts w:ascii="Times New Roman" w:hAnsi="Times New Roman" w:cs="Times New Roman"/>
                <w:color w:val="000000"/>
                <w:sz w:val="12"/>
                <w:szCs w:val="12"/>
              </w:rPr>
              <w:t>2</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45C57380" w14:textId="77777777" w:rsidR="002D4322" w:rsidRPr="002D4322" w:rsidRDefault="002D4322" w:rsidP="002D4322">
            <w:pPr>
              <w:widowControl/>
              <w:autoSpaceDE/>
              <w:autoSpaceDN/>
              <w:adjustRightInd/>
              <w:jc w:val="right"/>
              <w:rPr>
                <w:rFonts w:ascii="Times New Roman" w:hAnsi="Times New Roman" w:cs="Times New Roman"/>
                <w:color w:val="000000"/>
                <w:sz w:val="12"/>
                <w:szCs w:val="12"/>
              </w:rPr>
            </w:pPr>
            <w:r w:rsidRPr="002D4322">
              <w:rPr>
                <w:rFonts w:ascii="Times New Roman" w:hAnsi="Times New Roman" w:cs="Times New Roman"/>
                <w:color w:val="000000"/>
                <w:sz w:val="12"/>
                <w:szCs w:val="12"/>
              </w:rPr>
              <w:t>0.00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2ECBC9B" w14:textId="77777777" w:rsidR="002D4322" w:rsidRPr="002D4322" w:rsidRDefault="002D4322" w:rsidP="002D4322">
            <w:pPr>
              <w:widowControl/>
              <w:autoSpaceDE/>
              <w:autoSpaceDN/>
              <w:adjustRightInd/>
              <w:jc w:val="right"/>
              <w:rPr>
                <w:rFonts w:ascii="Times New Roman" w:hAnsi="Times New Roman" w:cs="Times New Roman"/>
                <w:color w:val="000000"/>
                <w:sz w:val="12"/>
                <w:szCs w:val="12"/>
              </w:rPr>
            </w:pPr>
            <w:r w:rsidRPr="002D4322">
              <w:rPr>
                <w:rFonts w:ascii="Times New Roman" w:hAnsi="Times New Roman" w:cs="Times New Roman"/>
                <w:color w:val="000000"/>
                <w:sz w:val="12"/>
                <w:szCs w:val="12"/>
              </w:rPr>
              <w:t>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F0C6E9D" w14:textId="77777777" w:rsidR="002D4322" w:rsidRPr="002D4322" w:rsidRDefault="002D4322" w:rsidP="002D4322">
            <w:pPr>
              <w:widowControl/>
              <w:autoSpaceDE/>
              <w:autoSpaceDN/>
              <w:adjustRightInd/>
              <w:jc w:val="right"/>
              <w:rPr>
                <w:rFonts w:ascii="Times New Roman" w:hAnsi="Times New Roman" w:cs="Times New Roman"/>
                <w:color w:val="000000"/>
                <w:sz w:val="12"/>
                <w:szCs w:val="12"/>
              </w:rPr>
            </w:pPr>
            <w:r w:rsidRPr="002D4322">
              <w:rPr>
                <w:rFonts w:ascii="Times New Roman" w:hAnsi="Times New Roman" w:cs="Times New Roman"/>
                <w:color w:val="000000"/>
                <w:sz w:val="12"/>
                <w:szCs w:val="12"/>
              </w:rPr>
              <w:t>50.00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6AFC2A84" w14:textId="77777777" w:rsidR="002D4322" w:rsidRPr="002D4322" w:rsidRDefault="002D4322" w:rsidP="002D4322">
            <w:pPr>
              <w:widowControl/>
              <w:autoSpaceDE/>
              <w:autoSpaceDN/>
              <w:adjustRightInd/>
              <w:jc w:val="right"/>
              <w:rPr>
                <w:rFonts w:ascii="Times New Roman" w:hAnsi="Times New Roman" w:cs="Times New Roman"/>
                <w:color w:val="000000"/>
                <w:sz w:val="12"/>
                <w:szCs w:val="12"/>
              </w:rPr>
            </w:pPr>
            <w:r w:rsidRPr="002D4322">
              <w:rPr>
                <w:rFonts w:ascii="Times New Roman" w:hAnsi="Times New Roman" w:cs="Times New Roman"/>
                <w:color w:val="000000"/>
                <w:sz w:val="12"/>
                <w:szCs w:val="12"/>
              </w:rPr>
              <w:t>25.00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6F7ED9B" w14:textId="77777777" w:rsidR="002D4322" w:rsidRPr="002D4322" w:rsidRDefault="002D4322" w:rsidP="002D4322">
            <w:pPr>
              <w:widowControl/>
              <w:autoSpaceDE/>
              <w:autoSpaceDN/>
              <w:adjustRightInd/>
              <w:jc w:val="right"/>
              <w:rPr>
                <w:rFonts w:ascii="Times New Roman" w:hAnsi="Times New Roman" w:cs="Times New Roman"/>
                <w:color w:val="000000"/>
                <w:sz w:val="12"/>
                <w:szCs w:val="12"/>
              </w:rPr>
            </w:pPr>
            <w:r w:rsidRPr="002D4322">
              <w:rPr>
                <w:rFonts w:ascii="Times New Roman" w:hAnsi="Times New Roman" w:cs="Times New Roman"/>
                <w:color w:val="000000"/>
                <w:sz w:val="12"/>
                <w:szCs w:val="12"/>
              </w:rPr>
              <w:t>50.00</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063437A" w14:textId="77777777" w:rsidR="002D4322" w:rsidRPr="002D4322" w:rsidRDefault="002D4322" w:rsidP="002D4322">
            <w:pPr>
              <w:widowControl/>
              <w:autoSpaceDE/>
              <w:autoSpaceDN/>
              <w:adjustRightInd/>
              <w:jc w:val="right"/>
              <w:rPr>
                <w:rFonts w:ascii="Times New Roman" w:hAnsi="Times New Roman" w:cs="Times New Roman"/>
                <w:color w:val="000000"/>
                <w:sz w:val="12"/>
                <w:szCs w:val="12"/>
              </w:rPr>
            </w:pPr>
            <w:r w:rsidRPr="002D4322">
              <w:rPr>
                <w:rFonts w:ascii="Times New Roman" w:hAnsi="Times New Roman" w:cs="Times New Roman"/>
                <w:color w:val="000000"/>
                <w:sz w:val="12"/>
                <w:szCs w:val="12"/>
              </w:rPr>
              <w:t>2,300.00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0B2075F1" w14:textId="77777777" w:rsidR="002D4322" w:rsidRPr="002D4322" w:rsidRDefault="002D4322" w:rsidP="002D4322">
            <w:pPr>
              <w:widowControl/>
              <w:autoSpaceDE/>
              <w:autoSpaceDN/>
              <w:adjustRightInd/>
              <w:jc w:val="right"/>
              <w:rPr>
                <w:rFonts w:ascii="Times New Roman" w:hAnsi="Times New Roman" w:cs="Times New Roman"/>
                <w:color w:val="000000"/>
                <w:sz w:val="12"/>
                <w:szCs w:val="12"/>
              </w:rPr>
            </w:pPr>
            <w:r w:rsidRPr="002D4322">
              <w:rPr>
                <w:rFonts w:ascii="Times New Roman" w:hAnsi="Times New Roman" w:cs="Times New Roman"/>
                <w:color w:val="000000"/>
                <w:sz w:val="12"/>
                <w:szCs w:val="12"/>
              </w:rPr>
              <w:t>0.00</w:t>
            </w:r>
          </w:p>
        </w:tc>
        <w:tc>
          <w:tcPr>
            <w:tcW w:w="980" w:type="dxa"/>
            <w:tcBorders>
              <w:top w:val="single" w:sz="4" w:space="0" w:color="auto"/>
              <w:left w:val="nil"/>
              <w:bottom w:val="single" w:sz="4" w:space="0" w:color="auto"/>
              <w:right w:val="single" w:sz="8" w:space="0" w:color="auto"/>
            </w:tcBorders>
            <w:shd w:val="clear" w:color="auto" w:fill="auto"/>
            <w:noWrap/>
            <w:vAlign w:val="center"/>
            <w:hideMark/>
          </w:tcPr>
          <w:p w14:paraId="77595120" w14:textId="77777777" w:rsidR="002D4322" w:rsidRPr="002D4322" w:rsidRDefault="002D4322" w:rsidP="002D4322">
            <w:pPr>
              <w:widowControl/>
              <w:autoSpaceDE/>
              <w:autoSpaceDN/>
              <w:adjustRightInd/>
              <w:jc w:val="right"/>
              <w:rPr>
                <w:rFonts w:ascii="Times New Roman" w:hAnsi="Times New Roman" w:cs="Times New Roman"/>
                <w:color w:val="000000"/>
                <w:sz w:val="12"/>
                <w:szCs w:val="12"/>
              </w:rPr>
            </w:pPr>
            <w:r w:rsidRPr="002D4322">
              <w:rPr>
                <w:rFonts w:ascii="Times New Roman" w:hAnsi="Times New Roman" w:cs="Times New Roman"/>
                <w:color w:val="000000"/>
                <w:sz w:val="12"/>
                <w:szCs w:val="12"/>
              </w:rPr>
              <w:t>2,300.00</w:t>
            </w:r>
          </w:p>
        </w:tc>
      </w:tr>
      <w:tr w:rsidR="002D4322" w:rsidRPr="002D4322" w14:paraId="5257F5E7" w14:textId="77777777" w:rsidTr="005A7C66">
        <w:trPr>
          <w:trHeight w:val="180"/>
          <w:jc w:val="center"/>
        </w:trPr>
        <w:tc>
          <w:tcPr>
            <w:tcW w:w="7700" w:type="dxa"/>
            <w:gridSpan w:val="8"/>
            <w:tcBorders>
              <w:top w:val="single" w:sz="4" w:space="0" w:color="auto"/>
              <w:left w:val="single" w:sz="8" w:space="0" w:color="auto"/>
              <w:bottom w:val="single" w:sz="8" w:space="0" w:color="auto"/>
              <w:right w:val="single" w:sz="4" w:space="0" w:color="000000"/>
            </w:tcBorders>
            <w:shd w:val="clear" w:color="auto" w:fill="auto"/>
            <w:vAlign w:val="center"/>
            <w:hideMark/>
          </w:tcPr>
          <w:p w14:paraId="277128AF" w14:textId="77777777" w:rsidR="002D4322" w:rsidRPr="002D4322" w:rsidRDefault="002D4322" w:rsidP="002D4322">
            <w:pPr>
              <w:widowControl/>
              <w:autoSpaceDE/>
              <w:autoSpaceDN/>
              <w:adjustRightInd/>
              <w:jc w:val="right"/>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 xml:space="preserve">TOTAL COST FOR ALL RESPONDENTS </w:t>
            </w:r>
          </w:p>
        </w:tc>
        <w:tc>
          <w:tcPr>
            <w:tcW w:w="700" w:type="dxa"/>
            <w:tcBorders>
              <w:top w:val="nil"/>
              <w:left w:val="nil"/>
              <w:bottom w:val="single" w:sz="8" w:space="0" w:color="auto"/>
              <w:right w:val="single" w:sz="4" w:space="0" w:color="auto"/>
            </w:tcBorders>
            <w:shd w:val="clear" w:color="auto" w:fill="auto"/>
            <w:vAlign w:val="center"/>
            <w:hideMark/>
          </w:tcPr>
          <w:p w14:paraId="3B328B4E" w14:textId="77777777" w:rsidR="002D4322" w:rsidRPr="002D4322" w:rsidRDefault="002D4322" w:rsidP="002D4322">
            <w:pPr>
              <w:widowControl/>
              <w:autoSpaceDE/>
              <w:autoSpaceDN/>
              <w:adjustRightInd/>
              <w:jc w:val="right"/>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50.00</w:t>
            </w:r>
          </w:p>
        </w:tc>
        <w:tc>
          <w:tcPr>
            <w:tcW w:w="840" w:type="dxa"/>
            <w:tcBorders>
              <w:top w:val="nil"/>
              <w:left w:val="nil"/>
              <w:bottom w:val="single" w:sz="8" w:space="0" w:color="auto"/>
              <w:right w:val="single" w:sz="4" w:space="0" w:color="auto"/>
            </w:tcBorders>
            <w:shd w:val="clear" w:color="auto" w:fill="auto"/>
            <w:vAlign w:val="center"/>
            <w:hideMark/>
          </w:tcPr>
          <w:p w14:paraId="1D16FEFD" w14:textId="77777777" w:rsidR="002D4322" w:rsidRPr="002D4322" w:rsidRDefault="002D4322" w:rsidP="002D4322">
            <w:pPr>
              <w:widowControl/>
              <w:autoSpaceDE/>
              <w:autoSpaceDN/>
              <w:adjustRightInd/>
              <w:jc w:val="right"/>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2,300.00</w:t>
            </w:r>
          </w:p>
        </w:tc>
        <w:tc>
          <w:tcPr>
            <w:tcW w:w="920" w:type="dxa"/>
            <w:tcBorders>
              <w:top w:val="nil"/>
              <w:left w:val="nil"/>
              <w:bottom w:val="single" w:sz="8" w:space="0" w:color="auto"/>
              <w:right w:val="single" w:sz="4" w:space="0" w:color="auto"/>
            </w:tcBorders>
            <w:shd w:val="clear" w:color="auto" w:fill="auto"/>
            <w:vAlign w:val="center"/>
            <w:hideMark/>
          </w:tcPr>
          <w:p w14:paraId="1640E69C" w14:textId="77777777" w:rsidR="002D4322" w:rsidRPr="002D4322" w:rsidRDefault="002D4322" w:rsidP="002D4322">
            <w:pPr>
              <w:widowControl/>
              <w:autoSpaceDE/>
              <w:autoSpaceDN/>
              <w:adjustRightInd/>
              <w:jc w:val="right"/>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0.00</w:t>
            </w:r>
          </w:p>
        </w:tc>
        <w:tc>
          <w:tcPr>
            <w:tcW w:w="980" w:type="dxa"/>
            <w:tcBorders>
              <w:top w:val="nil"/>
              <w:left w:val="nil"/>
              <w:bottom w:val="single" w:sz="8" w:space="0" w:color="auto"/>
              <w:right w:val="single" w:sz="4" w:space="0" w:color="auto"/>
            </w:tcBorders>
            <w:shd w:val="clear" w:color="auto" w:fill="auto"/>
            <w:vAlign w:val="center"/>
            <w:hideMark/>
          </w:tcPr>
          <w:p w14:paraId="52DBB913" w14:textId="77777777" w:rsidR="002D4322" w:rsidRPr="002D4322" w:rsidRDefault="002D4322" w:rsidP="002D4322">
            <w:pPr>
              <w:widowControl/>
              <w:autoSpaceDE/>
              <w:autoSpaceDN/>
              <w:adjustRightInd/>
              <w:jc w:val="right"/>
              <w:rPr>
                <w:rFonts w:ascii="Times New Roman" w:hAnsi="Times New Roman" w:cs="Times New Roman"/>
                <w:b/>
                <w:bCs/>
                <w:color w:val="000000"/>
                <w:sz w:val="12"/>
                <w:szCs w:val="12"/>
              </w:rPr>
            </w:pPr>
            <w:r w:rsidRPr="002D4322">
              <w:rPr>
                <w:rFonts w:ascii="Times New Roman" w:hAnsi="Times New Roman" w:cs="Times New Roman"/>
                <w:b/>
                <w:bCs/>
                <w:color w:val="000000"/>
                <w:sz w:val="12"/>
                <w:szCs w:val="12"/>
              </w:rPr>
              <w:t>2,300.00</w:t>
            </w:r>
          </w:p>
        </w:tc>
      </w:tr>
    </w:tbl>
    <w:p w14:paraId="05250035" w14:textId="77777777" w:rsidR="002D4322" w:rsidRPr="001D4B88" w:rsidRDefault="002D4322" w:rsidP="00975A27">
      <w:pPr>
        <w:pStyle w:val="BodyText"/>
        <w:widowControl/>
        <w:rPr>
          <w:rFonts w:cs="Times New Roman"/>
        </w:rPr>
      </w:pPr>
    </w:p>
    <w:p w14:paraId="24FD0AE7" w14:textId="77777777" w:rsidR="00791A57" w:rsidRPr="001D4B88" w:rsidRDefault="00791A57" w:rsidP="005C1590">
      <w:pPr>
        <w:widowControl/>
        <w:rPr>
          <w:rFonts w:ascii="Times New Roman" w:hAnsi="Times New Roman" w:cs="Times New Roman"/>
        </w:rPr>
      </w:pPr>
    </w:p>
    <w:p w14:paraId="1A980335" w14:textId="77777777" w:rsidR="00497D86" w:rsidRPr="00285756" w:rsidRDefault="00D42ABE" w:rsidP="005C1590">
      <w:pPr>
        <w:widowControl/>
        <w:tabs>
          <w:tab w:val="left" w:pos="0"/>
        </w:tabs>
        <w:suppressAutoHyphens/>
        <w:rPr>
          <w:rFonts w:ascii="Times New Roman" w:hAnsi="Times New Roman" w:cs="Times New Roman"/>
          <w:b/>
          <w:spacing w:val="-3"/>
        </w:rPr>
      </w:pPr>
      <w:r w:rsidRPr="00285756">
        <w:rPr>
          <w:rFonts w:ascii="Times New Roman" w:hAnsi="Times New Roman" w:cs="Times New Roman"/>
          <w:b/>
          <w:spacing w:val="-3"/>
        </w:rPr>
        <w:tab/>
        <w:t>14.</w:t>
      </w:r>
      <w:r w:rsidRPr="00285756">
        <w:rPr>
          <w:rFonts w:ascii="Times New Roman" w:hAnsi="Times New Roman" w:cs="Times New Roman"/>
          <w:b/>
          <w:spacing w:val="-3"/>
        </w:rPr>
        <w:tab/>
        <w:t>Cost to Federal Government</w:t>
      </w:r>
    </w:p>
    <w:p w14:paraId="54BFC013" w14:textId="77777777" w:rsidR="00666AD3" w:rsidRPr="00285756" w:rsidRDefault="00666AD3" w:rsidP="005C1590">
      <w:pPr>
        <w:pStyle w:val="BodyText"/>
        <w:widowControl/>
        <w:spacing w:line="240" w:lineRule="auto"/>
        <w:jc w:val="left"/>
        <w:rPr>
          <w:rFonts w:cs="Times New Roman"/>
        </w:rPr>
      </w:pPr>
    </w:p>
    <w:p w14:paraId="5B387F1A" w14:textId="093B58E1" w:rsidR="00F46126" w:rsidRPr="00285756" w:rsidRDefault="00947EC3" w:rsidP="005C1590">
      <w:pPr>
        <w:widowControl/>
        <w:rPr>
          <w:rFonts w:ascii="Times New Roman" w:hAnsi="Times New Roman" w:cs="Times New Roman"/>
          <w:spacing w:val="-3"/>
        </w:rPr>
      </w:pPr>
      <w:r w:rsidRPr="00285756">
        <w:rPr>
          <w:rFonts w:ascii="Times New Roman" w:hAnsi="Times New Roman" w:cs="Times New Roman"/>
          <w:spacing w:val="-3"/>
        </w:rPr>
        <w:tab/>
      </w:r>
      <w:r w:rsidR="00F116FA" w:rsidRPr="00204681">
        <w:rPr>
          <w:rFonts w:ascii="Times New Roman" w:hAnsi="Times New Roman" w:cs="Times New Roman"/>
        </w:rPr>
        <w:t>Not applicable.  Rule</w:t>
      </w:r>
      <w:r w:rsidR="00212B5D" w:rsidRPr="00204681">
        <w:rPr>
          <w:rFonts w:ascii="Times New Roman" w:hAnsi="Times New Roman" w:cs="Times New Roman"/>
        </w:rPr>
        <w:t>s</w:t>
      </w:r>
      <w:r w:rsidR="00F116FA" w:rsidRPr="00204681">
        <w:rPr>
          <w:rFonts w:ascii="Times New Roman" w:hAnsi="Times New Roman" w:cs="Times New Roman"/>
        </w:rPr>
        <w:t xml:space="preserve"> 301</w:t>
      </w:r>
      <w:r w:rsidR="00212B5D" w:rsidRPr="00204681">
        <w:rPr>
          <w:rFonts w:ascii="Times New Roman" w:hAnsi="Times New Roman" w:cs="Times New Roman"/>
        </w:rPr>
        <w:t xml:space="preserve"> and 304</w:t>
      </w:r>
      <w:r w:rsidR="00F116FA" w:rsidRPr="001B3953">
        <w:rPr>
          <w:rFonts w:ascii="Times New Roman" w:hAnsi="Times New Roman" w:cs="Times New Roman"/>
        </w:rPr>
        <w:t xml:space="preserve"> (both before and after the amendments made pursuant to Regulation SCI) would not result in any costs to the federal government beyond normal full-time employee labor costs, nor does the rule require the Commission to hire any new employees or reallocate existing employees to ensure compliance with the rule.  </w:t>
      </w:r>
    </w:p>
    <w:p w14:paraId="2170FF5C" w14:textId="77777777" w:rsidR="00155BF8" w:rsidRPr="00285756" w:rsidRDefault="00155BF8" w:rsidP="005C1590">
      <w:pPr>
        <w:widowControl/>
        <w:tabs>
          <w:tab w:val="left" w:pos="0"/>
        </w:tabs>
        <w:suppressAutoHyphens/>
        <w:rPr>
          <w:rFonts w:ascii="Times New Roman" w:hAnsi="Times New Roman" w:cs="Times New Roman"/>
          <w:spacing w:val="-3"/>
        </w:rPr>
      </w:pPr>
    </w:p>
    <w:p w14:paraId="07012A04" w14:textId="77777777" w:rsidR="00497D86" w:rsidRPr="00BC0544" w:rsidRDefault="00947EC3" w:rsidP="005C1590">
      <w:pPr>
        <w:widowControl/>
        <w:tabs>
          <w:tab w:val="left" w:pos="0"/>
        </w:tabs>
        <w:suppressAutoHyphens/>
        <w:rPr>
          <w:rFonts w:ascii="Times New Roman" w:hAnsi="Times New Roman" w:cs="Times New Roman"/>
          <w:b/>
          <w:spacing w:val="-3"/>
        </w:rPr>
      </w:pPr>
      <w:r w:rsidRPr="00285756">
        <w:rPr>
          <w:rFonts w:ascii="Times New Roman" w:hAnsi="Times New Roman" w:cs="Times New Roman"/>
          <w:b/>
          <w:spacing w:val="-3"/>
        </w:rPr>
        <w:tab/>
        <w:t>15.</w:t>
      </w:r>
      <w:r w:rsidRPr="00285756">
        <w:rPr>
          <w:rFonts w:ascii="Times New Roman" w:hAnsi="Times New Roman" w:cs="Times New Roman"/>
          <w:b/>
          <w:spacing w:val="-3"/>
        </w:rPr>
        <w:tab/>
      </w:r>
      <w:r w:rsidRPr="007D1E93">
        <w:rPr>
          <w:rFonts w:ascii="Times New Roman" w:hAnsi="Times New Roman" w:cs="Times New Roman"/>
          <w:b/>
          <w:spacing w:val="-3"/>
        </w:rPr>
        <w:t>Changes in Burden</w:t>
      </w:r>
    </w:p>
    <w:p w14:paraId="52B59AC4" w14:textId="77777777" w:rsidR="00497D86" w:rsidRPr="007D1E93" w:rsidRDefault="00497D86" w:rsidP="005C1590">
      <w:pPr>
        <w:widowControl/>
        <w:tabs>
          <w:tab w:val="left" w:pos="0"/>
        </w:tabs>
        <w:suppressAutoHyphens/>
        <w:rPr>
          <w:rFonts w:ascii="Times New Roman" w:hAnsi="Times New Roman" w:cs="Times New Roman"/>
          <w:spacing w:val="-3"/>
        </w:rPr>
      </w:pPr>
    </w:p>
    <w:p w14:paraId="720DD2FA" w14:textId="119AAFDF" w:rsidR="006D27F7" w:rsidRPr="004357A7" w:rsidRDefault="00947EC3" w:rsidP="005C1590">
      <w:pPr>
        <w:pStyle w:val="BodyText"/>
        <w:widowControl/>
        <w:spacing w:line="240" w:lineRule="auto"/>
        <w:jc w:val="left"/>
        <w:rPr>
          <w:rFonts w:cs="Times New Roman"/>
        </w:rPr>
      </w:pPr>
      <w:r w:rsidRPr="007D1E93">
        <w:rPr>
          <w:rFonts w:cs="Times New Roman"/>
        </w:rPr>
        <w:tab/>
      </w:r>
      <w:r w:rsidR="006D27F7" w:rsidRPr="004357A7">
        <w:rPr>
          <w:rFonts w:cs="Times New Roman"/>
        </w:rPr>
        <w:t>As noted in Section 12 above, the addition of the new require</w:t>
      </w:r>
      <w:r w:rsidR="008D0B49" w:rsidRPr="008D0B49">
        <w:rPr>
          <w:rFonts w:cs="Times New Roman"/>
        </w:rPr>
        <w:t>ments under Rule 304</w:t>
      </w:r>
      <w:r w:rsidR="008D0B49">
        <w:rPr>
          <w:rFonts w:cs="Times New Roman"/>
        </w:rPr>
        <w:t xml:space="preserve"> </w:t>
      </w:r>
      <w:r w:rsidR="006D27F7" w:rsidRPr="004357A7">
        <w:rPr>
          <w:rFonts w:cs="Times New Roman"/>
        </w:rPr>
        <w:t>and Rule 301(b</w:t>
      </w:r>
      <w:proofErr w:type="gramStart"/>
      <w:r w:rsidR="006D27F7" w:rsidRPr="004357A7">
        <w:rPr>
          <w:rFonts w:cs="Times New Roman"/>
        </w:rPr>
        <w:t>)(</w:t>
      </w:r>
      <w:proofErr w:type="gramEnd"/>
      <w:r w:rsidR="006D27F7" w:rsidRPr="004357A7">
        <w:rPr>
          <w:rFonts w:cs="Times New Roman"/>
        </w:rPr>
        <w:t>10), increases</w:t>
      </w:r>
      <w:r w:rsidR="008169AE">
        <w:rPr>
          <w:rFonts w:cs="Times New Roman"/>
        </w:rPr>
        <w:t xml:space="preserve"> </w:t>
      </w:r>
      <w:r w:rsidR="003D1306">
        <w:rPr>
          <w:rFonts w:cs="Times New Roman"/>
        </w:rPr>
        <w:t xml:space="preserve">the burden by </w:t>
      </w:r>
      <w:r w:rsidR="002F5C69">
        <w:rPr>
          <w:rFonts w:cs="Times New Roman"/>
        </w:rPr>
        <w:t xml:space="preserve">roughly 8,900 </w:t>
      </w:r>
      <w:r w:rsidR="006D27F7" w:rsidRPr="004357A7">
        <w:rPr>
          <w:rFonts w:cs="Times New Roman"/>
        </w:rPr>
        <w:t xml:space="preserve">hours </w:t>
      </w:r>
      <w:r w:rsidR="003D1306">
        <w:rPr>
          <w:rFonts w:cs="Times New Roman"/>
        </w:rPr>
        <w:t>and $2,300</w:t>
      </w:r>
      <w:r w:rsidR="00F373DD">
        <w:rPr>
          <w:rFonts w:cs="Times New Roman"/>
        </w:rPr>
        <w:t xml:space="preserve"> </w:t>
      </w:r>
      <w:r w:rsidR="006D27F7" w:rsidRPr="004357A7">
        <w:rPr>
          <w:rFonts w:cs="Times New Roman"/>
        </w:rPr>
        <w:t>for respondents.</w:t>
      </w:r>
    </w:p>
    <w:p w14:paraId="652260B1" w14:textId="77777777" w:rsidR="006D27F7" w:rsidRPr="004357A7" w:rsidRDefault="006D27F7" w:rsidP="005C1590">
      <w:pPr>
        <w:pStyle w:val="BodyText"/>
        <w:widowControl/>
        <w:spacing w:line="240" w:lineRule="auto"/>
        <w:jc w:val="left"/>
        <w:rPr>
          <w:rFonts w:cs="Times New Roman"/>
        </w:rPr>
      </w:pPr>
    </w:p>
    <w:p w14:paraId="4AA67649" w14:textId="77777777" w:rsidR="00497D86" w:rsidRPr="001D4B88" w:rsidRDefault="00DD3AA7" w:rsidP="005C1590">
      <w:pPr>
        <w:widowControl/>
        <w:tabs>
          <w:tab w:val="left" w:pos="0"/>
        </w:tabs>
        <w:suppressAutoHyphens/>
        <w:rPr>
          <w:rFonts w:ascii="Times New Roman" w:hAnsi="Times New Roman" w:cs="Times New Roman"/>
          <w:b/>
          <w:spacing w:val="-3"/>
        </w:rPr>
      </w:pPr>
      <w:r w:rsidRPr="001D4B88">
        <w:rPr>
          <w:rFonts w:ascii="Times New Roman" w:hAnsi="Times New Roman" w:cs="Times New Roman"/>
          <w:b/>
          <w:spacing w:val="-3"/>
        </w:rPr>
        <w:tab/>
        <w:t>16.</w:t>
      </w:r>
      <w:r w:rsidRPr="001D4B88">
        <w:rPr>
          <w:rFonts w:ascii="Times New Roman" w:hAnsi="Times New Roman" w:cs="Times New Roman"/>
          <w:b/>
          <w:spacing w:val="-3"/>
        </w:rPr>
        <w:tab/>
      </w:r>
      <w:r w:rsidR="00607DB0" w:rsidRPr="001D4B88">
        <w:rPr>
          <w:rFonts w:ascii="Times New Roman" w:hAnsi="Times New Roman" w:cs="Times New Roman"/>
          <w:b/>
          <w:spacing w:val="-3"/>
        </w:rPr>
        <w:t>Information Collection</w:t>
      </w:r>
      <w:r w:rsidRPr="001D4B88">
        <w:rPr>
          <w:rFonts w:ascii="Times New Roman" w:hAnsi="Times New Roman" w:cs="Times New Roman"/>
          <w:b/>
          <w:spacing w:val="-3"/>
        </w:rPr>
        <w:t xml:space="preserve"> Planned for Statistical Purposes</w:t>
      </w:r>
    </w:p>
    <w:p w14:paraId="6F14AD4D" w14:textId="77777777" w:rsidR="00497D86" w:rsidRPr="00285756" w:rsidRDefault="00497D86" w:rsidP="005C1590">
      <w:pPr>
        <w:widowControl/>
        <w:tabs>
          <w:tab w:val="left" w:pos="0"/>
        </w:tabs>
        <w:suppressAutoHyphens/>
        <w:rPr>
          <w:rFonts w:ascii="Times New Roman" w:hAnsi="Times New Roman" w:cs="Times New Roman"/>
          <w:spacing w:val="-3"/>
        </w:rPr>
      </w:pPr>
    </w:p>
    <w:p w14:paraId="07495A90" w14:textId="77777777" w:rsidR="00CB70D6" w:rsidRPr="00285756" w:rsidRDefault="00DD3AA7" w:rsidP="005C1590">
      <w:pPr>
        <w:widowControl/>
        <w:tabs>
          <w:tab w:val="left" w:pos="0"/>
        </w:tabs>
        <w:suppressAutoHyphens/>
        <w:rPr>
          <w:rFonts w:ascii="Times New Roman" w:hAnsi="Times New Roman" w:cs="Times New Roman"/>
          <w:spacing w:val="-3"/>
        </w:rPr>
      </w:pPr>
      <w:r w:rsidRPr="00285756">
        <w:rPr>
          <w:rFonts w:ascii="Times New Roman" w:hAnsi="Times New Roman" w:cs="Times New Roman"/>
          <w:spacing w:val="-3"/>
        </w:rPr>
        <w:tab/>
        <w:t xml:space="preserve">Not applicable. </w:t>
      </w:r>
      <w:r w:rsidR="00075A78" w:rsidRPr="00285756">
        <w:rPr>
          <w:rFonts w:ascii="Times New Roman" w:hAnsi="Times New Roman" w:cs="Times New Roman"/>
          <w:spacing w:val="-3"/>
        </w:rPr>
        <w:t xml:space="preserve"> The information collections abov</w:t>
      </w:r>
      <w:bookmarkStart w:id="29" w:name="_GoBack"/>
      <w:bookmarkEnd w:id="29"/>
      <w:r w:rsidR="00075A78" w:rsidRPr="00285756">
        <w:rPr>
          <w:rFonts w:ascii="Times New Roman" w:hAnsi="Times New Roman" w:cs="Times New Roman"/>
          <w:spacing w:val="-3"/>
        </w:rPr>
        <w:t>e are not planned for statistical purposes.</w:t>
      </w:r>
    </w:p>
    <w:p w14:paraId="2423F5E5" w14:textId="77777777" w:rsidR="00CB70D6" w:rsidRPr="00285756" w:rsidRDefault="00CB70D6" w:rsidP="005C1590">
      <w:pPr>
        <w:widowControl/>
        <w:tabs>
          <w:tab w:val="left" w:pos="0"/>
        </w:tabs>
        <w:suppressAutoHyphens/>
        <w:rPr>
          <w:rFonts w:ascii="Times New Roman" w:hAnsi="Times New Roman" w:cs="Times New Roman"/>
          <w:spacing w:val="-3"/>
        </w:rPr>
      </w:pPr>
    </w:p>
    <w:p w14:paraId="129D12C8" w14:textId="77777777" w:rsidR="00497D86" w:rsidRPr="00285756" w:rsidRDefault="0057598B" w:rsidP="005C1590">
      <w:pPr>
        <w:widowControl/>
        <w:tabs>
          <w:tab w:val="left" w:pos="0"/>
        </w:tabs>
        <w:suppressAutoHyphens/>
        <w:rPr>
          <w:rFonts w:ascii="Times New Roman" w:hAnsi="Times New Roman" w:cs="Times New Roman"/>
          <w:b/>
          <w:spacing w:val="-3"/>
        </w:rPr>
      </w:pPr>
      <w:r w:rsidRPr="00285756">
        <w:rPr>
          <w:rFonts w:ascii="Times New Roman" w:hAnsi="Times New Roman" w:cs="Times New Roman"/>
          <w:b/>
          <w:spacing w:val="-3"/>
        </w:rPr>
        <w:tab/>
      </w:r>
      <w:r w:rsidR="00DD3AA7" w:rsidRPr="00285756">
        <w:rPr>
          <w:rFonts w:ascii="Times New Roman" w:hAnsi="Times New Roman" w:cs="Times New Roman"/>
          <w:b/>
          <w:spacing w:val="-3"/>
        </w:rPr>
        <w:t>17.</w:t>
      </w:r>
      <w:r w:rsidR="00DD3AA7" w:rsidRPr="00285756">
        <w:rPr>
          <w:rFonts w:ascii="Times New Roman" w:hAnsi="Times New Roman" w:cs="Times New Roman"/>
          <w:b/>
          <w:spacing w:val="-3"/>
        </w:rPr>
        <w:tab/>
      </w:r>
      <w:r w:rsidR="00A61D2A" w:rsidRPr="00285756">
        <w:rPr>
          <w:rFonts w:ascii="Times New Roman" w:hAnsi="Times New Roman" w:cs="Times New Roman"/>
          <w:b/>
          <w:spacing w:val="-3"/>
        </w:rPr>
        <w:t>OMB Expiration Date Display Approval</w:t>
      </w:r>
    </w:p>
    <w:p w14:paraId="2EE64C2A" w14:textId="77777777" w:rsidR="00DB119A" w:rsidRPr="00285756" w:rsidRDefault="00DB119A" w:rsidP="005C1590">
      <w:pPr>
        <w:widowControl/>
        <w:tabs>
          <w:tab w:val="left" w:pos="0"/>
        </w:tabs>
        <w:suppressAutoHyphens/>
        <w:rPr>
          <w:rFonts w:ascii="Times New Roman" w:hAnsi="Times New Roman" w:cs="Times New Roman"/>
          <w:spacing w:val="-3"/>
        </w:rPr>
      </w:pPr>
    </w:p>
    <w:p w14:paraId="5404A200" w14:textId="77777777" w:rsidR="00497D86" w:rsidRPr="00285756" w:rsidRDefault="00DD3AA7" w:rsidP="005C1590">
      <w:pPr>
        <w:widowControl/>
        <w:tabs>
          <w:tab w:val="left" w:pos="0"/>
        </w:tabs>
        <w:suppressAutoHyphens/>
        <w:rPr>
          <w:rFonts w:ascii="Times New Roman" w:hAnsi="Times New Roman" w:cs="Times New Roman"/>
          <w:spacing w:val="-3"/>
        </w:rPr>
      </w:pPr>
      <w:r w:rsidRPr="00285756">
        <w:rPr>
          <w:rFonts w:ascii="Times New Roman" w:hAnsi="Times New Roman" w:cs="Times New Roman"/>
          <w:spacing w:val="-3"/>
        </w:rPr>
        <w:tab/>
      </w:r>
      <w:r w:rsidR="006D129A" w:rsidRPr="00285756">
        <w:rPr>
          <w:rFonts w:ascii="Times New Roman" w:hAnsi="Times New Roman" w:cs="Times New Roman"/>
        </w:rPr>
        <w:t xml:space="preserve">The Commission is not seeking approval to </w:t>
      </w:r>
      <w:r w:rsidR="004E1BBC" w:rsidRPr="00285756">
        <w:rPr>
          <w:rFonts w:ascii="Times New Roman" w:hAnsi="Times New Roman" w:cs="Times New Roman"/>
        </w:rPr>
        <w:t>not display</w:t>
      </w:r>
      <w:r w:rsidR="001301E2" w:rsidRPr="00285756">
        <w:rPr>
          <w:rFonts w:ascii="Times New Roman" w:hAnsi="Times New Roman" w:cs="Times New Roman"/>
        </w:rPr>
        <w:t xml:space="preserve"> </w:t>
      </w:r>
      <w:r w:rsidR="006D129A" w:rsidRPr="00285756">
        <w:rPr>
          <w:rFonts w:ascii="Times New Roman" w:hAnsi="Times New Roman" w:cs="Times New Roman"/>
        </w:rPr>
        <w:t xml:space="preserve">the OMB approval expiration date.  </w:t>
      </w:r>
    </w:p>
    <w:p w14:paraId="50C7C36C" w14:textId="77777777" w:rsidR="00EE5B40" w:rsidRPr="00285756" w:rsidRDefault="00DD3AA7" w:rsidP="005C1590">
      <w:pPr>
        <w:widowControl/>
        <w:tabs>
          <w:tab w:val="left" w:pos="0"/>
        </w:tabs>
        <w:suppressAutoHyphens/>
        <w:rPr>
          <w:rFonts w:ascii="Times New Roman" w:hAnsi="Times New Roman" w:cs="Times New Roman"/>
          <w:spacing w:val="-3"/>
        </w:rPr>
      </w:pPr>
      <w:r w:rsidRPr="00285756">
        <w:rPr>
          <w:rFonts w:ascii="Times New Roman" w:hAnsi="Times New Roman" w:cs="Times New Roman"/>
          <w:spacing w:val="-3"/>
        </w:rPr>
        <w:tab/>
      </w:r>
    </w:p>
    <w:p w14:paraId="1AA0F5E1" w14:textId="77777777" w:rsidR="00497D86" w:rsidRPr="00285756" w:rsidRDefault="00EE5B40" w:rsidP="005D0037">
      <w:pPr>
        <w:keepNext/>
        <w:widowControl/>
        <w:tabs>
          <w:tab w:val="left" w:pos="0"/>
        </w:tabs>
        <w:suppressAutoHyphens/>
        <w:rPr>
          <w:rFonts w:ascii="Times New Roman" w:hAnsi="Times New Roman" w:cs="Times New Roman"/>
          <w:b/>
          <w:spacing w:val="-3"/>
        </w:rPr>
      </w:pPr>
      <w:r w:rsidRPr="00285756">
        <w:rPr>
          <w:rFonts w:ascii="Times New Roman" w:hAnsi="Times New Roman" w:cs="Times New Roman"/>
          <w:b/>
          <w:spacing w:val="-3"/>
        </w:rPr>
        <w:lastRenderedPageBreak/>
        <w:tab/>
      </w:r>
      <w:r w:rsidR="00DD3AA7" w:rsidRPr="00285756">
        <w:rPr>
          <w:rFonts w:ascii="Times New Roman" w:hAnsi="Times New Roman" w:cs="Times New Roman"/>
          <w:b/>
          <w:spacing w:val="-3"/>
        </w:rPr>
        <w:t>18.</w:t>
      </w:r>
      <w:r w:rsidR="00DD3AA7" w:rsidRPr="00285756">
        <w:rPr>
          <w:rFonts w:ascii="Times New Roman" w:hAnsi="Times New Roman" w:cs="Times New Roman"/>
          <w:b/>
          <w:spacing w:val="-3"/>
        </w:rPr>
        <w:tab/>
        <w:t>Exceptions to Certification</w:t>
      </w:r>
      <w:r w:rsidR="0033104E" w:rsidRPr="00285756">
        <w:rPr>
          <w:rFonts w:ascii="Times New Roman" w:hAnsi="Times New Roman" w:cs="Times New Roman"/>
          <w:b/>
          <w:spacing w:val="-3"/>
        </w:rPr>
        <w:t xml:space="preserve"> </w:t>
      </w:r>
      <w:r w:rsidR="0033104E" w:rsidRPr="00285756">
        <w:rPr>
          <w:rFonts w:ascii="Times New Roman" w:hAnsi="Times New Roman" w:cs="Times New Roman"/>
          <w:b/>
        </w:rPr>
        <w:t>for Paperwork Reduction Act Submissions</w:t>
      </w:r>
    </w:p>
    <w:p w14:paraId="2C0584F1" w14:textId="77777777" w:rsidR="00497D86" w:rsidRPr="00285756" w:rsidRDefault="00497D86" w:rsidP="005D0037">
      <w:pPr>
        <w:keepNext/>
        <w:widowControl/>
        <w:tabs>
          <w:tab w:val="left" w:pos="0"/>
        </w:tabs>
        <w:suppressAutoHyphens/>
        <w:rPr>
          <w:rFonts w:ascii="Times New Roman" w:hAnsi="Times New Roman" w:cs="Times New Roman"/>
          <w:spacing w:val="-3"/>
        </w:rPr>
      </w:pPr>
    </w:p>
    <w:p w14:paraId="6AC9E0F9" w14:textId="77777777" w:rsidR="0033104E" w:rsidRPr="00285756" w:rsidRDefault="00DD3AA7" w:rsidP="005D0037">
      <w:pPr>
        <w:keepNext/>
        <w:widowControl/>
        <w:rPr>
          <w:rFonts w:ascii="Times New Roman" w:eastAsia="Calibri" w:hAnsi="Times New Roman" w:cs="Times New Roman"/>
        </w:rPr>
      </w:pPr>
      <w:r w:rsidRPr="00285756">
        <w:rPr>
          <w:rFonts w:ascii="Times New Roman" w:hAnsi="Times New Roman" w:cs="Times New Roman"/>
          <w:spacing w:val="-3"/>
        </w:rPr>
        <w:tab/>
      </w:r>
      <w:r w:rsidR="0033104E" w:rsidRPr="00285756">
        <w:rPr>
          <w:rFonts w:ascii="Times New Roman" w:eastAsia="Calibri" w:hAnsi="Times New Roman" w:cs="Times New Roman"/>
        </w:rPr>
        <w:t>This collection complies with the requirements in 5 CFR 1320.9.</w:t>
      </w:r>
    </w:p>
    <w:p w14:paraId="5DC89EFA" w14:textId="77777777" w:rsidR="00497D86" w:rsidRPr="00285756" w:rsidRDefault="00497D86" w:rsidP="005C1590">
      <w:pPr>
        <w:widowControl/>
        <w:tabs>
          <w:tab w:val="left" w:pos="0"/>
        </w:tabs>
        <w:suppressAutoHyphens/>
        <w:rPr>
          <w:rFonts w:ascii="Times New Roman" w:hAnsi="Times New Roman" w:cs="Times New Roman"/>
          <w:spacing w:val="-3"/>
        </w:rPr>
      </w:pPr>
    </w:p>
    <w:p w14:paraId="7487B3A9" w14:textId="77777777" w:rsidR="00497D86" w:rsidRPr="00285756" w:rsidRDefault="00E4468D" w:rsidP="005C1590">
      <w:pPr>
        <w:pStyle w:val="Heading1"/>
        <w:keepNext w:val="0"/>
        <w:widowControl/>
        <w:spacing w:line="240" w:lineRule="auto"/>
        <w:jc w:val="left"/>
      </w:pPr>
      <w:r w:rsidRPr="00285756">
        <w:t>B.</w:t>
      </w:r>
      <w:r w:rsidRPr="00285756">
        <w:tab/>
        <w:t>COLLECTION</w:t>
      </w:r>
      <w:r w:rsidR="004E1BBC" w:rsidRPr="00285756">
        <w:t>S</w:t>
      </w:r>
      <w:r w:rsidRPr="00285756">
        <w:t xml:space="preserve"> OF INFORMATION EMPLOYING STATISTICAL METHODS</w:t>
      </w:r>
    </w:p>
    <w:p w14:paraId="1504483E" w14:textId="77777777" w:rsidR="00497D86" w:rsidRPr="00285756" w:rsidRDefault="00497D86" w:rsidP="005C1590">
      <w:pPr>
        <w:widowControl/>
        <w:tabs>
          <w:tab w:val="left" w:pos="0"/>
        </w:tabs>
        <w:suppressAutoHyphens/>
        <w:rPr>
          <w:rFonts w:ascii="Times New Roman" w:hAnsi="Times New Roman" w:cs="Times New Roman"/>
          <w:spacing w:val="-3"/>
        </w:rPr>
      </w:pPr>
    </w:p>
    <w:p w14:paraId="60543116" w14:textId="77777777" w:rsidR="00497D86" w:rsidRPr="00285756" w:rsidRDefault="00DD3AA7" w:rsidP="005C1590">
      <w:pPr>
        <w:widowControl/>
        <w:tabs>
          <w:tab w:val="left" w:pos="0"/>
        </w:tabs>
        <w:suppressAutoHyphens/>
        <w:rPr>
          <w:rFonts w:ascii="Times New Roman" w:hAnsi="Times New Roman" w:cs="Times New Roman"/>
          <w:spacing w:val="-3"/>
        </w:rPr>
      </w:pPr>
      <w:r w:rsidRPr="00285756">
        <w:rPr>
          <w:rFonts w:ascii="Times New Roman" w:hAnsi="Times New Roman" w:cs="Times New Roman"/>
          <w:spacing w:val="-3"/>
        </w:rPr>
        <w:tab/>
      </w:r>
      <w:r w:rsidR="00873433" w:rsidRPr="00285756">
        <w:rPr>
          <w:rFonts w:ascii="Times New Roman" w:hAnsi="Times New Roman" w:cs="Times New Roman"/>
          <w:spacing w:val="-3"/>
        </w:rPr>
        <w:t>This</w:t>
      </w:r>
      <w:r w:rsidRPr="00285756">
        <w:rPr>
          <w:rFonts w:ascii="Times New Roman" w:hAnsi="Times New Roman" w:cs="Times New Roman"/>
          <w:spacing w:val="-3"/>
        </w:rPr>
        <w:t xml:space="preserve"> collection does not </w:t>
      </w:r>
      <w:r w:rsidR="006904F0" w:rsidRPr="00285756">
        <w:rPr>
          <w:rFonts w:ascii="Times New Roman" w:hAnsi="Times New Roman" w:cs="Times New Roman"/>
          <w:spacing w:val="-3"/>
        </w:rPr>
        <w:t>involve</w:t>
      </w:r>
      <w:r w:rsidRPr="00285756">
        <w:rPr>
          <w:rFonts w:ascii="Times New Roman" w:hAnsi="Times New Roman" w:cs="Times New Roman"/>
          <w:spacing w:val="-3"/>
        </w:rPr>
        <w:t xml:space="preserve"> statistical methods.</w:t>
      </w:r>
    </w:p>
    <w:sectPr w:rsidR="00497D86" w:rsidRPr="00285756" w:rsidSect="008D2483">
      <w:headerReference w:type="default" r:id="rId10"/>
      <w:headerReference w:type="first" r:id="rId11"/>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DB79F" w14:textId="77777777" w:rsidR="00056690" w:rsidRDefault="00056690">
      <w:pPr>
        <w:spacing w:line="20" w:lineRule="exact"/>
        <w:rPr>
          <w:rFonts w:cs="Times New Roman"/>
        </w:rPr>
      </w:pPr>
    </w:p>
  </w:endnote>
  <w:endnote w:type="continuationSeparator" w:id="0">
    <w:p w14:paraId="29CBD428" w14:textId="77777777" w:rsidR="00056690" w:rsidRDefault="00056690">
      <w:r>
        <w:rPr>
          <w:rFonts w:cs="Times New Roman"/>
        </w:rPr>
        <w:t xml:space="preserve"> </w:t>
      </w:r>
    </w:p>
  </w:endnote>
  <w:endnote w:type="continuationNotice" w:id="1">
    <w:p w14:paraId="3590FA2F" w14:textId="77777777" w:rsidR="00056690" w:rsidRDefault="00056690">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A0417" w14:textId="77777777" w:rsidR="00056690" w:rsidRDefault="00056690">
      <w:r>
        <w:rPr>
          <w:rFonts w:cs="Times New Roman"/>
        </w:rPr>
        <w:separator/>
      </w:r>
    </w:p>
  </w:footnote>
  <w:footnote w:type="continuationSeparator" w:id="0">
    <w:p w14:paraId="76F3B5C4" w14:textId="77777777" w:rsidR="00056690" w:rsidRDefault="00056690">
      <w:r>
        <w:continuationSeparator/>
      </w:r>
    </w:p>
  </w:footnote>
  <w:footnote w:id="1">
    <w:p w14:paraId="5F0D7F05" w14:textId="77777777" w:rsidR="00056690" w:rsidRPr="00285756" w:rsidRDefault="00056690" w:rsidP="00726C09">
      <w:pPr>
        <w:pStyle w:val="FootnoteText"/>
        <w:spacing w:after="120"/>
        <w:ind w:left="720" w:hanging="720"/>
        <w:rPr>
          <w:rFonts w:ascii="Times New Roman" w:hAnsi="Times New Roman"/>
        </w:rPr>
      </w:pPr>
      <w:r w:rsidRPr="00285756">
        <w:rPr>
          <w:rStyle w:val="FootnoteReference"/>
          <w:rFonts w:ascii="Times New Roman" w:hAnsi="Times New Roman"/>
        </w:rPr>
        <w:footnoteRef/>
      </w:r>
      <w:r w:rsidRPr="00285756">
        <w:rPr>
          <w:rFonts w:ascii="Times New Roman" w:hAnsi="Times New Roman"/>
        </w:rPr>
        <w:t xml:space="preserve"> </w:t>
      </w:r>
      <w:r w:rsidRPr="00285756">
        <w:rPr>
          <w:rFonts w:ascii="Times New Roman" w:hAnsi="Times New Roman"/>
        </w:rPr>
        <w:tab/>
      </w:r>
      <w:proofErr w:type="gramStart"/>
      <w:r w:rsidRPr="00285756">
        <w:rPr>
          <w:rFonts w:ascii="Times New Roman" w:hAnsi="Times New Roman"/>
        </w:rPr>
        <w:t xml:space="preserve">15 U.S.C. 78a </w:t>
      </w:r>
      <w:r w:rsidRPr="00285756">
        <w:rPr>
          <w:rFonts w:ascii="Times New Roman" w:hAnsi="Times New Roman"/>
          <w:u w:val="single"/>
        </w:rPr>
        <w:t>et seq</w:t>
      </w:r>
      <w:r w:rsidRPr="00285756">
        <w:rPr>
          <w:rFonts w:ascii="Times New Roman" w:hAnsi="Times New Roman"/>
        </w:rPr>
        <w:t>.</w:t>
      </w:r>
      <w:proofErr w:type="gramEnd"/>
    </w:p>
  </w:footnote>
  <w:footnote w:id="2">
    <w:p w14:paraId="23CED156" w14:textId="77777777" w:rsidR="00056690" w:rsidRPr="00285756" w:rsidRDefault="00056690" w:rsidP="00726C09">
      <w:pPr>
        <w:pStyle w:val="FootnoteText"/>
        <w:spacing w:after="120"/>
        <w:ind w:left="720" w:hanging="720"/>
        <w:rPr>
          <w:rFonts w:ascii="Times New Roman" w:hAnsi="Times New Roman"/>
        </w:rPr>
      </w:pPr>
      <w:r w:rsidRPr="00285756">
        <w:rPr>
          <w:rStyle w:val="FootnoteReference"/>
          <w:rFonts w:ascii="Times New Roman" w:hAnsi="Times New Roman"/>
        </w:rPr>
        <w:footnoteRef/>
      </w:r>
      <w:r w:rsidRPr="00285756">
        <w:rPr>
          <w:rFonts w:ascii="Times New Roman" w:hAnsi="Times New Roman"/>
        </w:rPr>
        <w:t xml:space="preserve"> </w:t>
      </w:r>
      <w:r w:rsidRPr="00285756">
        <w:rPr>
          <w:rFonts w:ascii="Times New Roman" w:hAnsi="Times New Roman"/>
        </w:rPr>
        <w:tab/>
      </w:r>
      <w:proofErr w:type="gramStart"/>
      <w:r w:rsidRPr="00285756">
        <w:rPr>
          <w:rFonts w:ascii="Times New Roman" w:hAnsi="Times New Roman"/>
        </w:rPr>
        <w:t>Pub.</w:t>
      </w:r>
      <w:proofErr w:type="gramEnd"/>
      <w:r w:rsidRPr="00285756">
        <w:rPr>
          <w:rFonts w:ascii="Times New Roman" w:hAnsi="Times New Roman"/>
        </w:rPr>
        <w:t xml:space="preserve"> </w:t>
      </w:r>
      <w:proofErr w:type="gramStart"/>
      <w:r w:rsidRPr="00285756">
        <w:rPr>
          <w:rFonts w:ascii="Times New Roman" w:hAnsi="Times New Roman"/>
        </w:rPr>
        <w:t>L. No. 29, 89 Stat. 97 (1975).</w:t>
      </w:r>
      <w:proofErr w:type="gramEnd"/>
    </w:p>
  </w:footnote>
  <w:footnote w:id="3">
    <w:p w14:paraId="054FAFB3" w14:textId="550691E3" w:rsidR="00056690" w:rsidRPr="00285756" w:rsidRDefault="00056690" w:rsidP="005A7C66">
      <w:pPr>
        <w:pStyle w:val="FootnoteText"/>
        <w:spacing w:after="120"/>
        <w:ind w:left="720" w:hanging="720"/>
        <w:rPr>
          <w:rFonts w:ascii="Times New Roman" w:hAnsi="Times New Roman"/>
        </w:rPr>
      </w:pPr>
      <w:r w:rsidRPr="00285756">
        <w:rPr>
          <w:rStyle w:val="FootnoteReference"/>
          <w:rFonts w:ascii="Times New Roman" w:hAnsi="Times New Roman"/>
        </w:rPr>
        <w:footnoteRef/>
      </w:r>
      <w:r w:rsidRPr="00285756">
        <w:rPr>
          <w:rFonts w:ascii="Times New Roman" w:hAnsi="Times New Roman"/>
        </w:rPr>
        <w:t xml:space="preserve"> </w:t>
      </w:r>
      <w:r w:rsidRPr="00285756">
        <w:rPr>
          <w:rFonts w:ascii="Times New Roman" w:hAnsi="Times New Roman"/>
        </w:rPr>
        <w:tab/>
        <w:t>See Exchange Act Rule 3a1-1(a</w:t>
      </w:r>
      <w:proofErr w:type="gramStart"/>
      <w:r w:rsidRPr="00285756">
        <w:rPr>
          <w:rFonts w:ascii="Times New Roman" w:hAnsi="Times New Roman"/>
        </w:rPr>
        <w:t>)(</w:t>
      </w:r>
      <w:proofErr w:type="gramEnd"/>
      <w:r w:rsidRPr="00285756">
        <w:rPr>
          <w:rFonts w:ascii="Times New Roman" w:hAnsi="Times New Roman"/>
        </w:rPr>
        <w:t xml:space="preserve">2). </w:t>
      </w:r>
    </w:p>
  </w:footnote>
  <w:footnote w:id="4">
    <w:p w14:paraId="13AC81C3" w14:textId="77777777" w:rsidR="00056690" w:rsidRPr="00285756" w:rsidRDefault="00056690" w:rsidP="00E76816">
      <w:pPr>
        <w:pStyle w:val="FootnoteText"/>
        <w:spacing w:after="120"/>
        <w:ind w:left="720" w:hanging="720"/>
        <w:rPr>
          <w:rFonts w:ascii="Times New Roman" w:hAnsi="Times New Roman"/>
        </w:rPr>
      </w:pPr>
      <w:r w:rsidRPr="00285756">
        <w:rPr>
          <w:rStyle w:val="FootnoteReference"/>
          <w:rFonts w:ascii="Times New Roman" w:hAnsi="Times New Roman"/>
        </w:rPr>
        <w:footnoteRef/>
      </w:r>
      <w:r w:rsidRPr="00285756">
        <w:rPr>
          <w:rFonts w:ascii="Times New Roman" w:hAnsi="Times New Roman"/>
        </w:rPr>
        <w:t xml:space="preserve"> </w:t>
      </w:r>
      <w:r w:rsidRPr="00285756">
        <w:rPr>
          <w:rFonts w:ascii="Times New Roman" w:hAnsi="Times New Roman"/>
        </w:rPr>
        <w:tab/>
      </w:r>
      <w:r w:rsidRPr="004357A7">
        <w:rPr>
          <w:rFonts w:ascii="Times New Roman" w:hAnsi="Times New Roman"/>
          <w:u w:val="single"/>
        </w:rPr>
        <w:t>See</w:t>
      </w:r>
      <w:r w:rsidRPr="00285756">
        <w:rPr>
          <w:rFonts w:ascii="Times New Roman" w:hAnsi="Times New Roman"/>
        </w:rPr>
        <w:t xml:space="preserve"> 17 CFR 242.300-303.</w:t>
      </w:r>
    </w:p>
  </w:footnote>
  <w:footnote w:id="5">
    <w:p w14:paraId="18E792FF" w14:textId="77777777" w:rsidR="00056690" w:rsidRPr="004357A7" w:rsidRDefault="00056690" w:rsidP="004357A7">
      <w:pPr>
        <w:pStyle w:val="FootnoteText"/>
        <w:spacing w:after="120"/>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r>
      <w:r w:rsidRPr="004357A7">
        <w:rPr>
          <w:rFonts w:ascii="Times New Roman" w:hAnsi="Times New Roman"/>
          <w:u w:val="single"/>
        </w:rPr>
        <w:t>See</w:t>
      </w:r>
      <w:r w:rsidRPr="004357A7">
        <w:rPr>
          <w:rFonts w:ascii="Times New Roman" w:hAnsi="Times New Roman"/>
        </w:rPr>
        <w:t xml:space="preserve"> Securities Exchange Act Release No. 73639 (November 19, 2014), 79 FR 72251, 72262 (December 5, 2014) (adopting final rules for systems compliance and integrity) (“SCI Adopting Release”) at 72262 n.105 and n.106 and accompanying text (discussing the increased significance of NMS Stock ATSs).</w:t>
      </w:r>
    </w:p>
  </w:footnote>
  <w:footnote w:id="6">
    <w:p w14:paraId="4FD5AA42" w14:textId="77777777" w:rsidR="00056690" w:rsidRPr="004357A7" w:rsidRDefault="00056690" w:rsidP="00687FD8">
      <w:pPr>
        <w:pStyle w:val="FootnoteText"/>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t xml:space="preserve">Market participants may include many different types of persons seeking to transact in NMS stocks, including broker-dealers and institutional or retail investors.  </w:t>
      </w:r>
    </w:p>
  </w:footnote>
  <w:footnote w:id="7">
    <w:p w14:paraId="15FDA3E2" w14:textId="28AE48C4" w:rsidR="00056690" w:rsidRPr="004357A7" w:rsidRDefault="00056690" w:rsidP="004357A7">
      <w:pPr>
        <w:pStyle w:val="FootnoteText"/>
        <w:spacing w:after="120"/>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r>
      <w:r w:rsidRPr="00285756">
        <w:rPr>
          <w:rFonts w:ascii="Times New Roman" w:hAnsi="Times New Roman"/>
        </w:rPr>
        <w:t>B</w:t>
      </w:r>
      <w:r w:rsidRPr="004357A7">
        <w:rPr>
          <w:rFonts w:ascii="Times New Roman" w:hAnsi="Times New Roman"/>
        </w:rPr>
        <w:t>roker-dealer operators of NMS Stock ATSs that also provide brokerage or dealing services in addition to operating an NMS Stock ATS are referred to as “multi-service broker-dealers”.</w:t>
      </w:r>
    </w:p>
  </w:footnote>
  <w:footnote w:id="8">
    <w:p w14:paraId="56F0C6BD" w14:textId="77777777" w:rsidR="00056690" w:rsidRPr="001D4B88" w:rsidRDefault="00056690" w:rsidP="004357A7">
      <w:pPr>
        <w:pStyle w:val="FootnoteText"/>
        <w:spacing w:after="120"/>
        <w:rPr>
          <w:rFonts w:ascii="Times New Roman" w:hAnsi="Times New Roman"/>
        </w:rPr>
      </w:pPr>
      <w:r w:rsidRPr="00285756">
        <w:rPr>
          <w:rStyle w:val="FootnoteReference"/>
          <w:rFonts w:ascii="Times New Roman" w:hAnsi="Times New Roman"/>
        </w:rPr>
        <w:footnoteRef/>
      </w:r>
      <w:r w:rsidRPr="00285756">
        <w:rPr>
          <w:rFonts w:ascii="Times New Roman" w:hAnsi="Times New Roman"/>
        </w:rPr>
        <w:t xml:space="preserve"> </w:t>
      </w:r>
      <w:r w:rsidRPr="00285756">
        <w:rPr>
          <w:rFonts w:ascii="Times New Roman" w:hAnsi="Times New Roman"/>
        </w:rPr>
        <w:tab/>
      </w:r>
      <w:r w:rsidRPr="00285756">
        <w:rPr>
          <w:rFonts w:ascii="Times New Roman" w:hAnsi="Times New Roman"/>
          <w:u w:val="single"/>
        </w:rPr>
        <w:t>See</w:t>
      </w:r>
      <w:r w:rsidRPr="00285756">
        <w:rPr>
          <w:rFonts w:ascii="Times New Roman" w:hAnsi="Times New Roman"/>
        </w:rPr>
        <w:t xml:space="preserve"> 17 CFR 242.301(b</w:t>
      </w:r>
      <w:proofErr w:type="gramStart"/>
      <w:r w:rsidRPr="00285756">
        <w:rPr>
          <w:rFonts w:ascii="Times New Roman" w:hAnsi="Times New Roman"/>
        </w:rPr>
        <w:t>)(</w:t>
      </w:r>
      <w:proofErr w:type="gramEnd"/>
      <w:r w:rsidRPr="00285756">
        <w:rPr>
          <w:rFonts w:ascii="Times New Roman" w:hAnsi="Times New Roman"/>
        </w:rPr>
        <w:t>10).</w:t>
      </w:r>
    </w:p>
  </w:footnote>
  <w:footnote w:id="9">
    <w:p w14:paraId="11822CD8" w14:textId="1072E5FD" w:rsidR="00056690" w:rsidRPr="004357A7" w:rsidRDefault="00056690" w:rsidP="00056690">
      <w:pPr>
        <w:pStyle w:val="FootnoteText"/>
        <w:spacing w:after="120"/>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r>
      <w:r w:rsidRPr="004357A7">
        <w:rPr>
          <w:rFonts w:ascii="Times New Roman" w:hAnsi="Times New Roman"/>
          <w:u w:val="single"/>
        </w:rPr>
        <w:t>See</w:t>
      </w:r>
      <w:r w:rsidRPr="004357A7">
        <w:rPr>
          <w:rFonts w:ascii="Times New Roman" w:hAnsi="Times New Roman"/>
        </w:rPr>
        <w:t xml:space="preserve"> Securities Exchange Act Release No. 40760 (December 8, 1998), 63 FR 70844</w:t>
      </w:r>
      <w:r>
        <w:rPr>
          <w:rFonts w:ascii="Times New Roman" w:hAnsi="Times New Roman"/>
        </w:rPr>
        <w:t xml:space="preserve"> </w:t>
      </w:r>
      <w:r w:rsidRPr="004357A7">
        <w:rPr>
          <w:rFonts w:ascii="Times New Roman" w:hAnsi="Times New Roman"/>
        </w:rPr>
        <w:t>(December 22, 1998) (Regulation of Exchanges and Alternative Trading Systems, hereinafter “Regulation ATS Adopting Release”)</w:t>
      </w:r>
      <w:r>
        <w:rPr>
          <w:rFonts w:ascii="Times New Roman" w:hAnsi="Times New Roman"/>
        </w:rPr>
        <w:t>.</w:t>
      </w:r>
    </w:p>
  </w:footnote>
  <w:footnote w:id="10">
    <w:p w14:paraId="1EFE155C" w14:textId="2D63B6F6" w:rsidR="00056690" w:rsidRPr="004357A7" w:rsidRDefault="00056690" w:rsidP="00056690">
      <w:pPr>
        <w:pStyle w:val="FootnoteText"/>
        <w:spacing w:after="120"/>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r>
      <w:r w:rsidRPr="004357A7">
        <w:rPr>
          <w:rFonts w:ascii="Times New Roman" w:hAnsi="Times New Roman"/>
          <w:u w:val="single"/>
        </w:rPr>
        <w:t>See</w:t>
      </w:r>
      <w:r w:rsidRPr="004357A7">
        <w:rPr>
          <w:rFonts w:ascii="Times New Roman" w:hAnsi="Times New Roman"/>
        </w:rPr>
        <w:t xml:space="preserve"> Securities Exchange Act Release No. </w:t>
      </w:r>
      <w:r>
        <w:rPr>
          <w:rFonts w:ascii="Times New Roman" w:hAnsi="Times New Roman"/>
        </w:rPr>
        <w:t>76474</w:t>
      </w:r>
      <w:r w:rsidRPr="004357A7">
        <w:rPr>
          <w:rFonts w:ascii="Times New Roman" w:hAnsi="Times New Roman"/>
        </w:rPr>
        <w:t xml:space="preserve"> (</w:t>
      </w:r>
      <w:r>
        <w:rPr>
          <w:rFonts w:ascii="Times New Roman" w:hAnsi="Times New Roman"/>
        </w:rPr>
        <w:t>November 18</w:t>
      </w:r>
      <w:r w:rsidRPr="004357A7">
        <w:rPr>
          <w:rFonts w:ascii="Times New Roman" w:hAnsi="Times New Roman"/>
        </w:rPr>
        <w:t xml:space="preserve">, </w:t>
      </w:r>
      <w:r>
        <w:rPr>
          <w:rFonts w:ascii="Times New Roman" w:hAnsi="Times New Roman"/>
        </w:rPr>
        <w:t>2015</w:t>
      </w:r>
      <w:r w:rsidRPr="004357A7">
        <w:rPr>
          <w:rFonts w:ascii="Times New Roman" w:hAnsi="Times New Roman"/>
        </w:rPr>
        <w:t xml:space="preserve">), </w:t>
      </w:r>
      <w:r>
        <w:rPr>
          <w:rFonts w:ascii="Times New Roman" w:hAnsi="Times New Roman"/>
        </w:rPr>
        <w:t>80</w:t>
      </w:r>
      <w:r w:rsidRPr="004357A7">
        <w:rPr>
          <w:rFonts w:ascii="Times New Roman" w:hAnsi="Times New Roman"/>
        </w:rPr>
        <w:t xml:space="preserve"> FR </w:t>
      </w:r>
      <w:r w:rsidR="00240072">
        <w:rPr>
          <w:rFonts w:ascii="Times New Roman" w:hAnsi="Times New Roman"/>
        </w:rPr>
        <w:t>80997</w:t>
      </w:r>
      <w:r>
        <w:rPr>
          <w:rFonts w:ascii="Times New Roman" w:hAnsi="Times New Roman"/>
        </w:rPr>
        <w:t xml:space="preserve"> </w:t>
      </w:r>
      <w:r w:rsidRPr="004357A7">
        <w:rPr>
          <w:rFonts w:ascii="Times New Roman" w:hAnsi="Times New Roman"/>
        </w:rPr>
        <w:t xml:space="preserve">(December </w:t>
      </w:r>
      <w:r w:rsidR="00240072">
        <w:rPr>
          <w:rFonts w:ascii="Times New Roman" w:hAnsi="Times New Roman"/>
        </w:rPr>
        <w:t>28, 2015</w:t>
      </w:r>
      <w:r w:rsidRPr="004357A7">
        <w:rPr>
          <w:rFonts w:ascii="Times New Roman" w:hAnsi="Times New Roman"/>
        </w:rPr>
        <w:t xml:space="preserve"> (Regulation of </w:t>
      </w:r>
      <w:r w:rsidR="00240072">
        <w:rPr>
          <w:rFonts w:ascii="Times New Roman" w:hAnsi="Times New Roman"/>
        </w:rPr>
        <w:t>NMS Stock Alternative Trading Systems</w:t>
      </w:r>
      <w:r w:rsidRPr="004357A7">
        <w:rPr>
          <w:rFonts w:ascii="Times New Roman" w:hAnsi="Times New Roman"/>
        </w:rPr>
        <w:t>)</w:t>
      </w:r>
      <w:r>
        <w:rPr>
          <w:rFonts w:ascii="Times New Roman" w:hAnsi="Times New Roman"/>
        </w:rPr>
        <w:t>.</w:t>
      </w:r>
    </w:p>
  </w:footnote>
  <w:footnote w:id="11">
    <w:p w14:paraId="5041A702" w14:textId="77777777" w:rsidR="00056690" w:rsidRPr="00285756" w:rsidRDefault="00056690" w:rsidP="00F31B02">
      <w:pPr>
        <w:pStyle w:val="FootnoteText"/>
        <w:spacing w:after="120"/>
        <w:ind w:left="720" w:hanging="720"/>
        <w:rPr>
          <w:rFonts w:ascii="Times New Roman" w:hAnsi="Times New Roman"/>
        </w:rPr>
      </w:pPr>
      <w:r w:rsidRPr="00285756">
        <w:rPr>
          <w:rStyle w:val="FootnoteReference"/>
          <w:rFonts w:ascii="Times New Roman" w:hAnsi="Times New Roman"/>
        </w:rPr>
        <w:footnoteRef/>
      </w:r>
      <w:r w:rsidRPr="00285756">
        <w:rPr>
          <w:rFonts w:ascii="Times New Roman" w:hAnsi="Times New Roman"/>
        </w:rPr>
        <w:t xml:space="preserve"> </w:t>
      </w:r>
      <w:r w:rsidRPr="00285756">
        <w:rPr>
          <w:rFonts w:ascii="Times New Roman" w:hAnsi="Times New Roman"/>
        </w:rPr>
        <w:tab/>
        <w:t>15 U.S.C. 78k-1(a</w:t>
      </w:r>
      <w:proofErr w:type="gramStart"/>
      <w:r w:rsidRPr="00285756">
        <w:rPr>
          <w:rFonts w:ascii="Times New Roman" w:hAnsi="Times New Roman"/>
        </w:rPr>
        <w:t>)(</w:t>
      </w:r>
      <w:proofErr w:type="gramEnd"/>
      <w:r w:rsidRPr="00285756">
        <w:rPr>
          <w:rFonts w:ascii="Times New Roman" w:hAnsi="Times New Roman"/>
        </w:rPr>
        <w:t>2).</w:t>
      </w:r>
    </w:p>
  </w:footnote>
  <w:footnote w:id="12">
    <w:p w14:paraId="01B0DE9B" w14:textId="77777777" w:rsidR="00056690" w:rsidRPr="001D4B88" w:rsidRDefault="00056690" w:rsidP="00F31B02">
      <w:pPr>
        <w:pStyle w:val="FootnoteText"/>
        <w:spacing w:after="120"/>
        <w:ind w:left="720" w:hanging="720"/>
        <w:rPr>
          <w:rFonts w:ascii="Times New Roman" w:hAnsi="Times New Roman"/>
        </w:rPr>
      </w:pPr>
      <w:r w:rsidRPr="001D4B88">
        <w:rPr>
          <w:rStyle w:val="FootnoteReference"/>
          <w:rFonts w:ascii="Times New Roman" w:hAnsi="Times New Roman"/>
        </w:rPr>
        <w:footnoteRef/>
      </w:r>
      <w:r w:rsidRPr="001D4B88">
        <w:rPr>
          <w:rFonts w:ascii="Times New Roman" w:hAnsi="Times New Roman"/>
        </w:rPr>
        <w:t xml:space="preserve"> </w:t>
      </w:r>
      <w:r w:rsidRPr="001D4B88">
        <w:rPr>
          <w:rFonts w:ascii="Times New Roman" w:hAnsi="Times New Roman"/>
        </w:rPr>
        <w:tab/>
      </w:r>
      <w:proofErr w:type="gramStart"/>
      <w:r w:rsidRPr="001D4B88">
        <w:rPr>
          <w:rFonts w:ascii="Times New Roman" w:hAnsi="Times New Roman"/>
        </w:rPr>
        <w:t>Pub.</w:t>
      </w:r>
      <w:proofErr w:type="gramEnd"/>
      <w:r w:rsidRPr="001D4B88">
        <w:rPr>
          <w:rFonts w:ascii="Times New Roman" w:hAnsi="Times New Roman"/>
        </w:rPr>
        <w:t xml:space="preserve"> L. 94-29, 89 Stat. 97 (1975).</w:t>
      </w:r>
    </w:p>
  </w:footnote>
  <w:footnote w:id="13">
    <w:p w14:paraId="7958A2D7" w14:textId="77777777" w:rsidR="00056690" w:rsidRPr="00285756" w:rsidRDefault="00056690" w:rsidP="00F31B02">
      <w:pPr>
        <w:pStyle w:val="FootnoteText"/>
        <w:spacing w:after="120"/>
        <w:ind w:left="720" w:hanging="720"/>
        <w:rPr>
          <w:rFonts w:ascii="Times New Roman" w:hAnsi="Times New Roman"/>
        </w:rPr>
      </w:pPr>
      <w:r w:rsidRPr="00285756">
        <w:rPr>
          <w:rStyle w:val="FootnoteReference"/>
          <w:rFonts w:ascii="Times New Roman" w:hAnsi="Times New Roman"/>
        </w:rPr>
        <w:footnoteRef/>
      </w:r>
      <w:r w:rsidRPr="00285756">
        <w:rPr>
          <w:rFonts w:ascii="Times New Roman" w:hAnsi="Times New Roman"/>
        </w:rPr>
        <w:t xml:space="preserve"> </w:t>
      </w:r>
      <w:r w:rsidRPr="00285756">
        <w:rPr>
          <w:rFonts w:ascii="Times New Roman" w:hAnsi="Times New Roman"/>
        </w:rPr>
        <w:tab/>
        <w:t>15 U.S.C. 78k-1(a</w:t>
      </w:r>
      <w:proofErr w:type="gramStart"/>
      <w:r w:rsidRPr="00285756">
        <w:rPr>
          <w:rFonts w:ascii="Times New Roman" w:hAnsi="Times New Roman"/>
        </w:rPr>
        <w:t>)(</w:t>
      </w:r>
      <w:proofErr w:type="gramEnd"/>
      <w:r w:rsidRPr="00285756">
        <w:rPr>
          <w:rFonts w:ascii="Times New Roman" w:hAnsi="Times New Roman"/>
        </w:rPr>
        <w:t>1).</w:t>
      </w:r>
    </w:p>
  </w:footnote>
  <w:footnote w:id="14">
    <w:p w14:paraId="586C1DB3" w14:textId="77777777" w:rsidR="00056690" w:rsidRPr="00285756" w:rsidRDefault="00056690" w:rsidP="00F31B02">
      <w:pPr>
        <w:pStyle w:val="FootnoteText"/>
        <w:spacing w:after="120"/>
        <w:ind w:left="720" w:hanging="720"/>
        <w:rPr>
          <w:rFonts w:ascii="Times New Roman" w:hAnsi="Times New Roman"/>
        </w:rPr>
      </w:pPr>
      <w:r w:rsidRPr="00285756">
        <w:rPr>
          <w:rStyle w:val="FootnoteReference"/>
          <w:rFonts w:ascii="Times New Roman" w:hAnsi="Times New Roman"/>
        </w:rPr>
        <w:footnoteRef/>
      </w:r>
      <w:r w:rsidRPr="00285756">
        <w:rPr>
          <w:rFonts w:ascii="Times New Roman" w:hAnsi="Times New Roman"/>
        </w:rPr>
        <w:t xml:space="preserve"> </w:t>
      </w:r>
      <w:r w:rsidRPr="00285756">
        <w:rPr>
          <w:rFonts w:ascii="Times New Roman" w:hAnsi="Times New Roman"/>
        </w:rPr>
        <w:tab/>
        <w:t>15 U.S.C. 78k-1(a</w:t>
      </w:r>
      <w:proofErr w:type="gramStart"/>
      <w:r w:rsidRPr="00285756">
        <w:rPr>
          <w:rFonts w:ascii="Times New Roman" w:hAnsi="Times New Roman"/>
        </w:rPr>
        <w:t>)(</w:t>
      </w:r>
      <w:proofErr w:type="gramEnd"/>
      <w:r w:rsidRPr="00285756">
        <w:rPr>
          <w:rFonts w:ascii="Times New Roman" w:hAnsi="Times New Roman"/>
        </w:rPr>
        <w:t>1)(B).</w:t>
      </w:r>
    </w:p>
  </w:footnote>
  <w:footnote w:id="15">
    <w:p w14:paraId="46BC35B7" w14:textId="77777777" w:rsidR="00056690" w:rsidRPr="001D4B88" w:rsidRDefault="00056690" w:rsidP="00F31B02">
      <w:pPr>
        <w:spacing w:after="120"/>
        <w:ind w:left="720" w:hanging="720"/>
        <w:rPr>
          <w:rFonts w:ascii="Times New Roman" w:hAnsi="Times New Roman" w:cs="Times New Roman"/>
        </w:rPr>
      </w:pPr>
      <w:r w:rsidRPr="001D4B88">
        <w:rPr>
          <w:rStyle w:val="FootnoteReference"/>
          <w:rFonts w:ascii="Times New Roman" w:hAnsi="Times New Roman" w:cs="Times New Roman"/>
        </w:rPr>
        <w:footnoteRef/>
      </w:r>
      <w:r w:rsidRPr="001D4B88">
        <w:rPr>
          <w:rFonts w:ascii="Times New Roman" w:hAnsi="Times New Roman" w:cs="Times New Roman"/>
        </w:rPr>
        <w:t xml:space="preserve"> </w:t>
      </w:r>
      <w:r w:rsidRPr="001D4B88">
        <w:rPr>
          <w:rFonts w:ascii="Times New Roman" w:hAnsi="Times New Roman" w:cs="Times New Roman"/>
        </w:rPr>
        <w:tab/>
        <w:t>15 U.S.C. 78k-1(a</w:t>
      </w:r>
      <w:proofErr w:type="gramStart"/>
      <w:r w:rsidRPr="001D4B88">
        <w:rPr>
          <w:rFonts w:ascii="Times New Roman" w:hAnsi="Times New Roman" w:cs="Times New Roman"/>
        </w:rPr>
        <w:t>)(</w:t>
      </w:r>
      <w:proofErr w:type="gramEnd"/>
      <w:r w:rsidRPr="001D4B88">
        <w:rPr>
          <w:rFonts w:ascii="Times New Roman" w:hAnsi="Times New Roman" w:cs="Times New Roman"/>
        </w:rPr>
        <w:t xml:space="preserve">1)(C)(i).  </w:t>
      </w:r>
    </w:p>
  </w:footnote>
  <w:footnote w:id="16">
    <w:p w14:paraId="3D659794" w14:textId="77777777" w:rsidR="00056690" w:rsidRPr="001D4B88" w:rsidRDefault="00056690" w:rsidP="00F31B02">
      <w:pPr>
        <w:pStyle w:val="FootnoteText"/>
        <w:spacing w:after="120"/>
        <w:ind w:left="720" w:hanging="720"/>
        <w:rPr>
          <w:rFonts w:ascii="Times New Roman" w:hAnsi="Times New Roman"/>
        </w:rPr>
      </w:pPr>
      <w:r w:rsidRPr="00285756">
        <w:rPr>
          <w:rStyle w:val="FootnoteReference"/>
          <w:rFonts w:ascii="Times New Roman" w:hAnsi="Times New Roman"/>
        </w:rPr>
        <w:footnoteRef/>
      </w:r>
      <w:r w:rsidRPr="00285756">
        <w:rPr>
          <w:rFonts w:ascii="Times New Roman" w:hAnsi="Times New Roman"/>
        </w:rPr>
        <w:tab/>
      </w:r>
      <w:r w:rsidRPr="00285756">
        <w:rPr>
          <w:rFonts w:ascii="Times New Roman" w:hAnsi="Times New Roman"/>
          <w:u w:val="single"/>
        </w:rPr>
        <w:t>See</w:t>
      </w:r>
      <w:r w:rsidRPr="00285756">
        <w:rPr>
          <w:rFonts w:ascii="Times New Roman" w:hAnsi="Times New Roman"/>
        </w:rPr>
        <w:t xml:space="preserve"> 15 U.S.C. </w:t>
      </w:r>
      <w:proofErr w:type="gramStart"/>
      <w:r w:rsidRPr="00285756">
        <w:rPr>
          <w:rFonts w:ascii="Times New Roman" w:hAnsi="Times New Roman"/>
        </w:rPr>
        <w:t>78f(</w:t>
      </w:r>
      <w:proofErr w:type="gramEnd"/>
      <w:r w:rsidRPr="00285756">
        <w:rPr>
          <w:rFonts w:ascii="Times New Roman" w:hAnsi="Times New Roman"/>
        </w:rPr>
        <w:t xml:space="preserve">b)(1), 78o-3(b)(2), 78q-1(b)(3), respectively.  </w:t>
      </w:r>
      <w:r w:rsidRPr="00F15124">
        <w:rPr>
          <w:rFonts w:ascii="Times New Roman" w:hAnsi="Times New Roman"/>
          <w:u w:val="single"/>
        </w:rPr>
        <w:t>See</w:t>
      </w:r>
      <w:r w:rsidRPr="00F15124">
        <w:rPr>
          <w:rFonts w:ascii="Times New Roman" w:hAnsi="Times New Roman"/>
        </w:rPr>
        <w:t xml:space="preserve"> </w:t>
      </w:r>
      <w:r w:rsidRPr="00F15124">
        <w:rPr>
          <w:rFonts w:ascii="Times New Roman" w:hAnsi="Times New Roman"/>
          <w:u w:val="single"/>
        </w:rPr>
        <w:t>also</w:t>
      </w:r>
      <w:r w:rsidRPr="001D4B88">
        <w:rPr>
          <w:rFonts w:ascii="Times New Roman" w:hAnsi="Times New Roman"/>
        </w:rPr>
        <w:t xml:space="preserve"> 15 U.S.C. 78b, and 15 U.S.C. 78s.  </w:t>
      </w:r>
    </w:p>
  </w:footnote>
  <w:footnote w:id="17">
    <w:p w14:paraId="7D74EA65" w14:textId="77777777" w:rsidR="00056690" w:rsidRPr="001D4B88" w:rsidRDefault="00056690" w:rsidP="00F31B02">
      <w:pPr>
        <w:pStyle w:val="FootnoteText"/>
        <w:spacing w:after="120"/>
        <w:ind w:left="720" w:hanging="720"/>
        <w:rPr>
          <w:rFonts w:ascii="Times New Roman" w:hAnsi="Times New Roman"/>
        </w:rPr>
      </w:pPr>
      <w:r w:rsidRPr="00285756">
        <w:rPr>
          <w:rStyle w:val="FootnoteReference"/>
          <w:rFonts w:ascii="Times New Roman" w:hAnsi="Times New Roman"/>
        </w:rPr>
        <w:footnoteRef/>
      </w:r>
      <w:r w:rsidRPr="00285756">
        <w:rPr>
          <w:rFonts w:ascii="Times New Roman" w:hAnsi="Times New Roman"/>
        </w:rPr>
        <w:t xml:space="preserve"> </w:t>
      </w:r>
      <w:r w:rsidRPr="00285756">
        <w:rPr>
          <w:rFonts w:ascii="Times New Roman" w:hAnsi="Times New Roman"/>
        </w:rPr>
        <w:tab/>
      </w:r>
      <w:r w:rsidRPr="00285756">
        <w:rPr>
          <w:rFonts w:ascii="Times New Roman" w:hAnsi="Times New Roman"/>
          <w:u w:val="single"/>
        </w:rPr>
        <w:t>See</w:t>
      </w:r>
      <w:r w:rsidRPr="00285756">
        <w:rPr>
          <w:rFonts w:ascii="Times New Roman" w:hAnsi="Times New Roman"/>
        </w:rPr>
        <w:t xml:space="preserve"> Securities Exchange Act Release Nos. 27445 (November 16, 1989), 54 FR 48703 (November 24, 1989) (“ARP I”)</w:t>
      </w:r>
      <w:r w:rsidRPr="001D4B88">
        <w:rPr>
          <w:rFonts w:ascii="Times New Roman" w:hAnsi="Times New Roman"/>
        </w:rPr>
        <w:t xml:space="preserve"> and 29185 (May 9, 1991), 56 FR 22490 (May 15, 1991) (“ARP II” and, together with ARP I, the “ARP Policy Statements”).</w:t>
      </w:r>
    </w:p>
  </w:footnote>
  <w:footnote w:id="18">
    <w:p w14:paraId="09511889" w14:textId="77777777" w:rsidR="00056690" w:rsidRPr="001D4B88" w:rsidRDefault="00056690" w:rsidP="00F31B02">
      <w:pPr>
        <w:pStyle w:val="FootnoteText"/>
        <w:spacing w:after="120"/>
        <w:ind w:left="720" w:hanging="720"/>
        <w:rPr>
          <w:rFonts w:ascii="Times New Roman" w:hAnsi="Times New Roman"/>
        </w:rPr>
      </w:pPr>
      <w:r w:rsidRPr="00285756">
        <w:rPr>
          <w:rStyle w:val="FootnoteReference"/>
          <w:rFonts w:ascii="Times New Roman" w:hAnsi="Times New Roman"/>
        </w:rPr>
        <w:footnoteRef/>
      </w:r>
      <w:r w:rsidRPr="00285756">
        <w:rPr>
          <w:rFonts w:ascii="Times New Roman" w:hAnsi="Times New Roman"/>
        </w:rPr>
        <w:t xml:space="preserve"> </w:t>
      </w:r>
      <w:r w:rsidRPr="00285756">
        <w:rPr>
          <w:rFonts w:ascii="Times New Roman" w:hAnsi="Times New Roman"/>
        </w:rPr>
        <w:tab/>
        <w:t>In February 2014, the ARP Inspection Program was renamed the Technology Controls Program.</w:t>
      </w:r>
    </w:p>
  </w:footnote>
  <w:footnote w:id="19">
    <w:p w14:paraId="0726EC5B" w14:textId="77777777" w:rsidR="00056690" w:rsidRPr="00F15124" w:rsidRDefault="00056690" w:rsidP="00F31B02">
      <w:pPr>
        <w:pStyle w:val="FootnoteText"/>
        <w:spacing w:after="120"/>
        <w:ind w:left="720" w:hanging="720"/>
        <w:rPr>
          <w:rFonts w:ascii="Times New Roman" w:hAnsi="Times New Roman"/>
        </w:rPr>
      </w:pPr>
      <w:r w:rsidRPr="00285756">
        <w:rPr>
          <w:rStyle w:val="FootnoteReference"/>
          <w:rFonts w:ascii="Times New Roman" w:hAnsi="Times New Roman"/>
        </w:rPr>
        <w:footnoteRef/>
      </w:r>
      <w:r w:rsidRPr="00285756">
        <w:rPr>
          <w:rFonts w:ascii="Times New Roman" w:hAnsi="Times New Roman"/>
        </w:rPr>
        <w:t xml:space="preserve"> </w:t>
      </w:r>
      <w:r w:rsidRPr="00285756">
        <w:rPr>
          <w:rFonts w:ascii="Times New Roman" w:hAnsi="Times New Roman"/>
        </w:rPr>
        <w:tab/>
      </w:r>
      <w:r w:rsidRPr="00285756">
        <w:rPr>
          <w:rFonts w:ascii="Times New Roman" w:hAnsi="Times New Roman"/>
          <w:u w:val="single"/>
        </w:rPr>
        <w:t>See</w:t>
      </w:r>
      <w:r w:rsidRPr="00285756">
        <w:rPr>
          <w:rFonts w:ascii="Times New Roman" w:hAnsi="Times New Roman"/>
        </w:rPr>
        <w:t xml:space="preserve"> 17 CFR 242.301(b</w:t>
      </w:r>
      <w:proofErr w:type="gramStart"/>
      <w:r w:rsidRPr="00285756">
        <w:rPr>
          <w:rFonts w:ascii="Times New Roman" w:hAnsi="Times New Roman"/>
        </w:rPr>
        <w:t>)(</w:t>
      </w:r>
      <w:proofErr w:type="gramEnd"/>
      <w:r w:rsidRPr="00285756">
        <w:rPr>
          <w:rFonts w:ascii="Times New Roman" w:hAnsi="Times New Roman"/>
        </w:rPr>
        <w:t>6).</w:t>
      </w:r>
    </w:p>
  </w:footnote>
  <w:footnote w:id="20">
    <w:p w14:paraId="7B461574" w14:textId="1C8B49D7" w:rsidR="00056690" w:rsidRPr="001D4B88" w:rsidRDefault="00056690" w:rsidP="00F31B02">
      <w:pPr>
        <w:pStyle w:val="FootnoteText"/>
        <w:spacing w:after="120"/>
        <w:ind w:left="720" w:hanging="720"/>
        <w:rPr>
          <w:rFonts w:ascii="Times New Roman" w:hAnsi="Times New Roman"/>
        </w:rPr>
      </w:pPr>
      <w:r w:rsidRPr="00285756">
        <w:rPr>
          <w:rStyle w:val="FootnoteReference"/>
          <w:rFonts w:ascii="Times New Roman" w:hAnsi="Times New Roman"/>
        </w:rPr>
        <w:footnoteRef/>
      </w:r>
      <w:r w:rsidRPr="00285756">
        <w:rPr>
          <w:rFonts w:ascii="Times New Roman" w:hAnsi="Times New Roman"/>
        </w:rPr>
        <w:t xml:space="preserve"> </w:t>
      </w:r>
      <w:r w:rsidRPr="00285756">
        <w:rPr>
          <w:rFonts w:ascii="Times New Roman" w:hAnsi="Times New Roman"/>
        </w:rPr>
        <w:tab/>
        <w:t>Securities and Exchange Act Release No. 34-73639 (November 19, 2014), 79 FR 72251 (December 5, 2014).</w:t>
      </w:r>
    </w:p>
  </w:footnote>
  <w:footnote w:id="21">
    <w:p w14:paraId="4AB1FE66" w14:textId="510F61BD" w:rsidR="00056690" w:rsidRPr="00F15124" w:rsidRDefault="00056690" w:rsidP="00F31B02">
      <w:pPr>
        <w:pStyle w:val="FootnoteText"/>
        <w:spacing w:after="120"/>
        <w:ind w:left="720" w:hanging="720"/>
        <w:rPr>
          <w:rFonts w:ascii="Times New Roman" w:hAnsi="Times New Roman"/>
        </w:rPr>
      </w:pPr>
      <w:r w:rsidRPr="00285756">
        <w:rPr>
          <w:rStyle w:val="FootnoteReference"/>
          <w:rFonts w:ascii="Times New Roman" w:hAnsi="Times New Roman"/>
        </w:rPr>
        <w:footnoteRef/>
      </w:r>
      <w:r w:rsidRPr="00285756">
        <w:rPr>
          <w:rFonts w:ascii="Times New Roman" w:hAnsi="Times New Roman"/>
        </w:rPr>
        <w:t xml:space="preserve"> </w:t>
      </w:r>
      <w:r w:rsidRPr="00285756">
        <w:rPr>
          <w:rFonts w:ascii="Times New Roman" w:hAnsi="Times New Roman"/>
        </w:rPr>
        <w:tab/>
      </w:r>
      <w:r w:rsidRPr="00285756">
        <w:rPr>
          <w:rFonts w:ascii="Times New Roman" w:hAnsi="Times New Roman"/>
          <w:u w:val="single"/>
        </w:rPr>
        <w:t>See</w:t>
      </w:r>
      <w:r w:rsidRPr="00285756">
        <w:rPr>
          <w:rFonts w:ascii="Times New Roman" w:hAnsi="Times New Roman"/>
        </w:rPr>
        <w:t xml:space="preserve"> 17 CFR 242.301(b</w:t>
      </w:r>
      <w:proofErr w:type="gramStart"/>
      <w:r w:rsidRPr="00285756">
        <w:rPr>
          <w:rFonts w:ascii="Times New Roman" w:hAnsi="Times New Roman"/>
        </w:rPr>
        <w:t>)(</w:t>
      </w:r>
      <w:proofErr w:type="gramEnd"/>
      <w:r w:rsidRPr="00285756">
        <w:rPr>
          <w:rFonts w:ascii="Times New Roman" w:hAnsi="Times New Roman"/>
        </w:rPr>
        <w:t>6)</w:t>
      </w:r>
      <w:r w:rsidRPr="00F15124">
        <w:rPr>
          <w:rFonts w:ascii="Times New Roman" w:hAnsi="Times New Roman"/>
        </w:rPr>
        <w:t>(i)(A) and 17 CFR 242.301(b)(6)(i)(B).</w:t>
      </w:r>
    </w:p>
  </w:footnote>
  <w:footnote w:id="22">
    <w:p w14:paraId="3A7E4B1D" w14:textId="571A4440" w:rsidR="00056690" w:rsidRPr="004357A7" w:rsidRDefault="00056690" w:rsidP="00F7592F">
      <w:pPr>
        <w:pStyle w:val="FootnoteText"/>
        <w:spacing w:after="120"/>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r>
      <w:r w:rsidRPr="00285756">
        <w:rPr>
          <w:rFonts w:ascii="Times New Roman" w:hAnsi="Times New Roman"/>
        </w:rPr>
        <w:t>Securities Exchange Act Release No. 69077 (March 8, 2013), 78 FR 18083 (March 25, 2013) (“SCI Proposal”).</w:t>
      </w:r>
    </w:p>
  </w:footnote>
  <w:footnote w:id="23">
    <w:p w14:paraId="29796141" w14:textId="77777777" w:rsidR="00056690" w:rsidRPr="001D4B88" w:rsidRDefault="00056690" w:rsidP="001120EB">
      <w:pPr>
        <w:pStyle w:val="FootnoteText"/>
        <w:spacing w:after="120"/>
        <w:ind w:left="720" w:hanging="720"/>
        <w:rPr>
          <w:rFonts w:ascii="Times New Roman" w:hAnsi="Times New Roman"/>
        </w:rPr>
      </w:pPr>
      <w:r w:rsidRPr="00285756">
        <w:rPr>
          <w:rStyle w:val="FootnoteReference"/>
          <w:rFonts w:ascii="Times New Roman" w:hAnsi="Times New Roman"/>
        </w:rPr>
        <w:footnoteRef/>
      </w:r>
      <w:r w:rsidRPr="00285756">
        <w:rPr>
          <w:rFonts w:ascii="Times New Roman" w:hAnsi="Times New Roman"/>
        </w:rPr>
        <w:t xml:space="preserve"> </w:t>
      </w:r>
      <w:r w:rsidRPr="00285756">
        <w:rPr>
          <w:rFonts w:ascii="Times New Roman" w:hAnsi="Times New Roman"/>
        </w:rPr>
        <w:tab/>
        <w:t>The Commission is separately submitting a PRA package for Regulation SCI.  The OMB Control No. for Regulation SCI is 3235-0703.</w:t>
      </w:r>
    </w:p>
  </w:footnote>
  <w:footnote w:id="24">
    <w:p w14:paraId="3094B80E" w14:textId="77777777" w:rsidR="00056690" w:rsidRPr="00285756" w:rsidRDefault="00056690" w:rsidP="004A7614">
      <w:pPr>
        <w:pStyle w:val="FootnoteText"/>
        <w:spacing w:after="120"/>
        <w:ind w:left="720" w:hanging="720"/>
        <w:rPr>
          <w:rFonts w:ascii="Times New Roman" w:hAnsi="Times New Roman"/>
        </w:rPr>
      </w:pPr>
      <w:r w:rsidRPr="00285756">
        <w:rPr>
          <w:rStyle w:val="FootnoteReference"/>
          <w:rFonts w:ascii="Times New Roman" w:hAnsi="Times New Roman"/>
        </w:rPr>
        <w:footnoteRef/>
      </w:r>
      <w:r w:rsidRPr="00285756">
        <w:rPr>
          <w:rFonts w:ascii="Times New Roman" w:hAnsi="Times New Roman"/>
        </w:rPr>
        <w:t xml:space="preserve"> </w:t>
      </w:r>
      <w:r w:rsidRPr="00285756">
        <w:rPr>
          <w:rFonts w:ascii="Times New Roman" w:hAnsi="Times New Roman"/>
        </w:rPr>
        <w:tab/>
        <w:t>In particular, the Commission amended Rule 301(b)(6) to remove paragraphs (i)(A) and (i)(B) so that Rule 301(b</w:t>
      </w:r>
      <w:r w:rsidRPr="001D4B88">
        <w:rPr>
          <w:rFonts w:ascii="Times New Roman" w:hAnsi="Times New Roman"/>
        </w:rPr>
        <w:t xml:space="preserve">)(6) will no longer apply to alternative trading systems that trade NMS stocks or non-NMS stocks.  The Commission also </w:t>
      </w:r>
      <w:proofErr w:type="spellStart"/>
      <w:r w:rsidRPr="001D4B88">
        <w:rPr>
          <w:rFonts w:ascii="Times New Roman" w:hAnsi="Times New Roman"/>
        </w:rPr>
        <w:t>redesignated</w:t>
      </w:r>
      <w:proofErr w:type="spellEnd"/>
      <w:r w:rsidRPr="001D4B88">
        <w:rPr>
          <w:rFonts w:ascii="Times New Roman" w:hAnsi="Times New Roman"/>
        </w:rPr>
        <w:t xml:space="preserve"> paragraph (i</w:t>
      </w:r>
      <w:proofErr w:type="gramStart"/>
      <w:r w:rsidRPr="001D4B88">
        <w:rPr>
          <w:rFonts w:ascii="Times New Roman" w:hAnsi="Times New Roman"/>
        </w:rPr>
        <w:t>)(</w:t>
      </w:r>
      <w:proofErr w:type="gramEnd"/>
      <w:r w:rsidRPr="001D4B88">
        <w:rPr>
          <w:rFonts w:ascii="Times New Roman" w:hAnsi="Times New Roman"/>
        </w:rPr>
        <w:t xml:space="preserve">C) as (i)(A), and </w:t>
      </w:r>
      <w:proofErr w:type="spellStart"/>
      <w:r w:rsidRPr="001D4B88">
        <w:rPr>
          <w:rFonts w:ascii="Times New Roman" w:hAnsi="Times New Roman"/>
        </w:rPr>
        <w:t>redesignated</w:t>
      </w:r>
      <w:proofErr w:type="spellEnd"/>
      <w:r w:rsidRPr="001D4B88">
        <w:rPr>
          <w:rFonts w:ascii="Times New Roman" w:hAnsi="Times New Roman"/>
        </w:rPr>
        <w:t xml:space="preserve"> paragraph (i)(D) as (i)(B).</w:t>
      </w:r>
      <w:r w:rsidRPr="00285756">
        <w:rPr>
          <w:rFonts w:ascii="Times New Roman" w:hAnsi="Times New Roman"/>
          <w:spacing w:val="-3"/>
        </w:rPr>
        <w:t xml:space="preserve">  </w:t>
      </w:r>
      <w:r w:rsidRPr="00285756">
        <w:rPr>
          <w:rFonts w:ascii="Times New Roman" w:hAnsi="Times New Roman"/>
        </w:rPr>
        <w:t xml:space="preserve">    </w:t>
      </w:r>
    </w:p>
  </w:footnote>
  <w:footnote w:id="25">
    <w:p w14:paraId="6B46171A" w14:textId="2021C5DE" w:rsidR="00056690" w:rsidRPr="00F15124" w:rsidRDefault="00056690" w:rsidP="004A7614">
      <w:pPr>
        <w:ind w:left="720" w:hanging="720"/>
        <w:rPr>
          <w:rFonts w:ascii="Times New Roman" w:hAnsi="Times New Roman" w:cs="Times New Roman"/>
          <w:lang w:val="en"/>
        </w:rPr>
      </w:pPr>
      <w:r w:rsidRPr="004357A7">
        <w:rPr>
          <w:rStyle w:val="FootnoteReference"/>
          <w:rFonts w:ascii="Times New Roman" w:hAnsi="Times New Roman" w:cs="Times New Roman"/>
        </w:rPr>
        <w:footnoteRef/>
      </w:r>
      <w:r w:rsidRPr="004357A7">
        <w:rPr>
          <w:rFonts w:ascii="Times New Roman" w:hAnsi="Times New Roman" w:cs="Times New Roman"/>
        </w:rPr>
        <w:t xml:space="preserve"> </w:t>
      </w:r>
      <w:r w:rsidRPr="004357A7">
        <w:rPr>
          <w:rFonts w:ascii="Times New Roman" w:hAnsi="Times New Roman" w:cs="Times New Roman"/>
        </w:rPr>
        <w:tab/>
      </w:r>
      <w:r w:rsidRPr="00285756">
        <w:rPr>
          <w:rStyle w:val="ptext-25"/>
          <w:rFonts w:ascii="Times New Roman" w:hAnsi="Times New Roman" w:cs="Times New Roman"/>
          <w:lang w:val="en"/>
        </w:rPr>
        <w:t xml:space="preserve">An </w:t>
      </w:r>
      <w:hyperlink r:id="rId1" w:tooltip="alternative trading system" w:history="1">
        <w:r w:rsidRPr="00285756">
          <w:rPr>
            <w:rStyle w:val="Hyperlink"/>
            <w:rFonts w:ascii="Times New Roman" w:hAnsi="Times New Roman"/>
            <w:color w:val="auto"/>
            <w:u w:val="none"/>
            <w:lang w:val="en"/>
          </w:rPr>
          <w:t>alternative trading system</w:t>
        </w:r>
      </w:hyperlink>
      <w:r w:rsidRPr="00285756">
        <w:rPr>
          <w:rStyle w:val="ptext-25"/>
          <w:rFonts w:ascii="Times New Roman" w:hAnsi="Times New Roman" w:cs="Times New Roman"/>
          <w:lang w:val="en"/>
        </w:rPr>
        <w:t xml:space="preserve"> must comply with the requirements for fair access in paragraph (b)(5)(ii) of Rule 301, if during at least 4 of the preceding 6 calendar months, such </w:t>
      </w:r>
      <w:hyperlink r:id="rId2" w:tooltip="alternative trading system" w:history="1">
        <w:r w:rsidRPr="00285756">
          <w:rPr>
            <w:rStyle w:val="Hyperlink"/>
            <w:rFonts w:ascii="Times New Roman" w:hAnsi="Times New Roman"/>
            <w:color w:val="auto"/>
            <w:u w:val="none"/>
            <w:lang w:val="en"/>
          </w:rPr>
          <w:t>alternative trading system</w:t>
        </w:r>
      </w:hyperlink>
      <w:r w:rsidRPr="00285756">
        <w:rPr>
          <w:rStyle w:val="ptext-25"/>
          <w:rFonts w:ascii="Times New Roman" w:hAnsi="Times New Roman" w:cs="Times New Roman"/>
          <w:lang w:val="en"/>
        </w:rPr>
        <w:t xml:space="preserve"> had:</w:t>
      </w:r>
      <w:r w:rsidRPr="00285756">
        <w:rPr>
          <w:rFonts w:ascii="Times New Roman" w:hAnsi="Times New Roman" w:cs="Times New Roman"/>
          <w:lang w:val="en"/>
        </w:rPr>
        <w:t xml:space="preserve"> </w:t>
      </w:r>
    </w:p>
    <w:p w14:paraId="7AF12359" w14:textId="77777777" w:rsidR="00056690" w:rsidRPr="00285756" w:rsidRDefault="00056690" w:rsidP="004A7614">
      <w:pPr>
        <w:ind w:left="720"/>
        <w:rPr>
          <w:rFonts w:ascii="Times New Roman" w:hAnsi="Times New Roman" w:cs="Times New Roman"/>
          <w:lang w:val="en"/>
        </w:rPr>
      </w:pPr>
      <w:bookmarkStart w:id="9" w:name="b_5_A"/>
      <w:bookmarkEnd w:id="9"/>
      <w:r w:rsidRPr="001D4B88">
        <w:rPr>
          <w:rStyle w:val="enumxml1"/>
          <w:rFonts w:ascii="Times New Roman" w:hAnsi="Times New Roman" w:cs="Times New Roman"/>
          <w:b w:val="0"/>
          <w:lang w:val="en"/>
        </w:rPr>
        <w:t>(A)</w:t>
      </w:r>
      <w:r w:rsidRPr="008D67DF">
        <w:rPr>
          <w:rFonts w:ascii="Times New Roman" w:hAnsi="Times New Roman" w:cs="Times New Roman"/>
          <w:lang w:val="en"/>
        </w:rPr>
        <w:t xml:space="preserve"> </w:t>
      </w:r>
      <w:r w:rsidRPr="00285756">
        <w:rPr>
          <w:rStyle w:val="ptext-41"/>
          <w:rFonts w:ascii="Times New Roman" w:hAnsi="Times New Roman" w:cs="Times New Roman"/>
          <w:lang w:val="en"/>
        </w:rPr>
        <w:t xml:space="preserve">With respect to any NMS stock, 5 percent or more of the average daily volume in that security reported by an effective transaction reporting </w:t>
      </w:r>
      <w:hyperlink r:id="rId3" w:tooltip="plan" w:history="1">
        <w:r w:rsidRPr="00285756">
          <w:rPr>
            <w:rStyle w:val="Hyperlink"/>
            <w:rFonts w:ascii="Times New Roman" w:hAnsi="Times New Roman"/>
            <w:color w:val="auto"/>
            <w:u w:val="none"/>
            <w:lang w:val="en"/>
          </w:rPr>
          <w:t>plan</w:t>
        </w:r>
      </w:hyperlink>
      <w:r w:rsidRPr="00285756">
        <w:rPr>
          <w:rStyle w:val="ptext-41"/>
          <w:rFonts w:ascii="Times New Roman" w:hAnsi="Times New Roman" w:cs="Times New Roman"/>
          <w:lang w:val="en"/>
        </w:rPr>
        <w:t>;</w:t>
      </w:r>
      <w:r w:rsidRPr="00285756">
        <w:rPr>
          <w:rFonts w:ascii="Times New Roman" w:hAnsi="Times New Roman" w:cs="Times New Roman"/>
          <w:lang w:val="en"/>
        </w:rPr>
        <w:t xml:space="preserve"> </w:t>
      </w:r>
    </w:p>
    <w:p w14:paraId="0FE6048C" w14:textId="77777777" w:rsidR="00056690" w:rsidRPr="00285756" w:rsidRDefault="00056690" w:rsidP="004A7614">
      <w:pPr>
        <w:ind w:left="720"/>
        <w:rPr>
          <w:rFonts w:ascii="Times New Roman" w:hAnsi="Times New Roman" w:cs="Times New Roman"/>
          <w:lang w:val="en"/>
        </w:rPr>
      </w:pPr>
      <w:bookmarkStart w:id="10" w:name="b_5_B"/>
      <w:bookmarkEnd w:id="10"/>
      <w:r w:rsidRPr="001D4B88">
        <w:rPr>
          <w:rStyle w:val="enumxml1"/>
          <w:rFonts w:ascii="Times New Roman" w:hAnsi="Times New Roman" w:cs="Times New Roman"/>
          <w:b w:val="0"/>
          <w:lang w:val="en"/>
        </w:rPr>
        <w:t>(B)</w:t>
      </w:r>
      <w:r w:rsidRPr="008D67DF">
        <w:rPr>
          <w:rFonts w:ascii="Times New Roman" w:hAnsi="Times New Roman" w:cs="Times New Roman"/>
          <w:lang w:val="en"/>
        </w:rPr>
        <w:t xml:space="preserve"> </w:t>
      </w:r>
      <w:r w:rsidRPr="00285756">
        <w:rPr>
          <w:rStyle w:val="ptext-41"/>
          <w:rFonts w:ascii="Times New Roman" w:hAnsi="Times New Roman" w:cs="Times New Roman"/>
          <w:lang w:val="en"/>
        </w:rPr>
        <w:t>With respect to an equity security that is not an NMS stock and for which transactions are reported to a self-regulatory organization, 5 percent or more of the average daily trading volume in that security as calculated by the self-regulatory organization to which such transactions are reported;</w:t>
      </w:r>
      <w:r w:rsidRPr="00285756">
        <w:rPr>
          <w:rFonts w:ascii="Times New Roman" w:hAnsi="Times New Roman" w:cs="Times New Roman"/>
          <w:lang w:val="en"/>
        </w:rPr>
        <w:t xml:space="preserve"> </w:t>
      </w:r>
    </w:p>
    <w:p w14:paraId="0649220A" w14:textId="77777777" w:rsidR="00056690" w:rsidRPr="00285756" w:rsidRDefault="00056690" w:rsidP="004A7614">
      <w:pPr>
        <w:ind w:left="720"/>
        <w:rPr>
          <w:rFonts w:ascii="Times New Roman" w:hAnsi="Times New Roman" w:cs="Times New Roman"/>
          <w:lang w:val="en"/>
        </w:rPr>
      </w:pPr>
      <w:bookmarkStart w:id="11" w:name="b_5_C"/>
      <w:bookmarkEnd w:id="11"/>
      <w:r w:rsidRPr="00285756">
        <w:rPr>
          <w:rStyle w:val="enumxml1"/>
          <w:rFonts w:ascii="Times New Roman" w:hAnsi="Times New Roman" w:cs="Times New Roman"/>
          <w:b w:val="0"/>
          <w:lang w:val="en"/>
        </w:rPr>
        <w:t>(C)</w:t>
      </w:r>
      <w:r w:rsidRPr="00285756">
        <w:rPr>
          <w:rFonts w:ascii="Times New Roman" w:hAnsi="Times New Roman" w:cs="Times New Roman"/>
          <w:lang w:val="en"/>
        </w:rPr>
        <w:t xml:space="preserve"> </w:t>
      </w:r>
      <w:r w:rsidRPr="00285756">
        <w:rPr>
          <w:rStyle w:val="ptext-41"/>
          <w:rFonts w:ascii="Times New Roman" w:hAnsi="Times New Roman" w:cs="Times New Roman"/>
          <w:lang w:val="en"/>
        </w:rPr>
        <w:t>With respect to municipal securities, 5 percent or more of the average daily volume traded in the United States; or</w:t>
      </w:r>
      <w:r w:rsidRPr="00285756">
        <w:rPr>
          <w:rFonts w:ascii="Times New Roman" w:hAnsi="Times New Roman" w:cs="Times New Roman"/>
          <w:lang w:val="en"/>
        </w:rPr>
        <w:t xml:space="preserve"> </w:t>
      </w:r>
    </w:p>
    <w:p w14:paraId="3EAB8F6F" w14:textId="1EA3FCA8" w:rsidR="00056690" w:rsidRPr="00285756" w:rsidRDefault="00056690" w:rsidP="004A7614">
      <w:pPr>
        <w:ind w:left="720"/>
        <w:rPr>
          <w:rFonts w:ascii="Times New Roman" w:hAnsi="Times New Roman" w:cs="Times New Roman"/>
          <w:lang w:val="en"/>
        </w:rPr>
      </w:pPr>
      <w:bookmarkStart w:id="12" w:name="b_5_D"/>
      <w:bookmarkEnd w:id="12"/>
      <w:r w:rsidRPr="00285756">
        <w:rPr>
          <w:rStyle w:val="enumxml1"/>
          <w:rFonts w:ascii="Times New Roman" w:hAnsi="Times New Roman" w:cs="Times New Roman"/>
          <w:b w:val="0"/>
          <w:lang w:val="en"/>
        </w:rPr>
        <w:t>(D)</w:t>
      </w:r>
      <w:r w:rsidRPr="00285756">
        <w:rPr>
          <w:rFonts w:ascii="Times New Roman" w:hAnsi="Times New Roman" w:cs="Times New Roman"/>
          <w:lang w:val="en"/>
        </w:rPr>
        <w:t xml:space="preserve"> </w:t>
      </w:r>
      <w:r w:rsidRPr="00285756">
        <w:rPr>
          <w:rStyle w:val="ptext-41"/>
          <w:rFonts w:ascii="Times New Roman" w:hAnsi="Times New Roman" w:cs="Times New Roman"/>
          <w:lang w:val="en"/>
        </w:rPr>
        <w:t>With respect to corporate debt securities, 5 percent or more of the average daily volume traded in the United States.</w:t>
      </w:r>
    </w:p>
    <w:p w14:paraId="4A7FEE3D" w14:textId="593BEED4" w:rsidR="00056690" w:rsidRPr="004357A7" w:rsidRDefault="00056690">
      <w:pPr>
        <w:pStyle w:val="FootnoteText"/>
        <w:rPr>
          <w:rFonts w:ascii="Times New Roman" w:hAnsi="Times New Roman"/>
        </w:rPr>
      </w:pPr>
    </w:p>
  </w:footnote>
  <w:footnote w:id="26">
    <w:p w14:paraId="1CAB1F2C" w14:textId="16637BF0" w:rsidR="00056690" w:rsidRPr="00285756" w:rsidRDefault="00056690" w:rsidP="00CB6C4B">
      <w:pPr>
        <w:ind w:left="720" w:hanging="720"/>
        <w:rPr>
          <w:rFonts w:ascii="Times New Roman" w:hAnsi="Times New Roman" w:cs="Times New Roman"/>
          <w:lang w:val="en"/>
        </w:rPr>
      </w:pPr>
      <w:r w:rsidRPr="004357A7">
        <w:rPr>
          <w:rStyle w:val="FootnoteReference"/>
          <w:rFonts w:ascii="Times New Roman" w:hAnsi="Times New Roman" w:cs="Times New Roman"/>
        </w:rPr>
        <w:footnoteRef/>
      </w:r>
      <w:r w:rsidRPr="004357A7">
        <w:rPr>
          <w:rFonts w:ascii="Times New Roman" w:hAnsi="Times New Roman" w:cs="Times New Roman"/>
        </w:rPr>
        <w:t xml:space="preserve"> </w:t>
      </w:r>
      <w:r w:rsidRPr="004357A7">
        <w:rPr>
          <w:rFonts w:ascii="Times New Roman" w:hAnsi="Times New Roman" w:cs="Times New Roman"/>
        </w:rPr>
        <w:tab/>
      </w:r>
      <w:r w:rsidRPr="00285756">
        <w:rPr>
          <w:rStyle w:val="ptext-25"/>
          <w:rFonts w:ascii="Times New Roman" w:hAnsi="Times New Roman" w:cs="Times New Roman"/>
          <w:lang w:val="en"/>
        </w:rPr>
        <w:t xml:space="preserve">The </w:t>
      </w:r>
      <w:hyperlink r:id="rId4" w:tooltip="alternative trading system" w:history="1">
        <w:r w:rsidRPr="00285756">
          <w:rPr>
            <w:rStyle w:val="Hyperlink"/>
            <w:rFonts w:ascii="Times New Roman" w:hAnsi="Times New Roman"/>
            <w:color w:val="auto"/>
            <w:u w:val="none"/>
            <w:lang w:val="en"/>
          </w:rPr>
          <w:t>alternative trading system</w:t>
        </w:r>
      </w:hyperlink>
      <w:r w:rsidRPr="00285756">
        <w:rPr>
          <w:rStyle w:val="ptext-25"/>
          <w:rFonts w:ascii="Times New Roman" w:hAnsi="Times New Roman" w:cs="Times New Roman"/>
          <w:lang w:val="en"/>
        </w:rPr>
        <w:t xml:space="preserve"> shall comply with the systems requirements in paragraph (b)(6)(ii) of Rule 301, if during at least 4 of the preceding 6 calendar months, such </w:t>
      </w:r>
      <w:hyperlink r:id="rId5" w:tooltip="alternative trading system" w:history="1">
        <w:r w:rsidRPr="00285756">
          <w:rPr>
            <w:rStyle w:val="Hyperlink"/>
            <w:rFonts w:ascii="Times New Roman" w:hAnsi="Times New Roman"/>
            <w:color w:val="auto"/>
            <w:u w:val="none"/>
            <w:lang w:val="en"/>
          </w:rPr>
          <w:t>alternative trading system</w:t>
        </w:r>
      </w:hyperlink>
      <w:r w:rsidRPr="00285756">
        <w:rPr>
          <w:rStyle w:val="ptext-25"/>
          <w:rFonts w:ascii="Times New Roman" w:hAnsi="Times New Roman" w:cs="Times New Roman"/>
          <w:lang w:val="en"/>
        </w:rPr>
        <w:t xml:space="preserve"> had:</w:t>
      </w:r>
      <w:r w:rsidRPr="00285756">
        <w:rPr>
          <w:rFonts w:ascii="Times New Roman" w:hAnsi="Times New Roman" w:cs="Times New Roman"/>
          <w:lang w:val="en"/>
        </w:rPr>
        <w:t xml:space="preserve"> </w:t>
      </w:r>
    </w:p>
    <w:p w14:paraId="6BD79C05" w14:textId="77777777" w:rsidR="00056690" w:rsidRPr="00285756" w:rsidRDefault="00056690" w:rsidP="00F7592F">
      <w:pPr>
        <w:ind w:left="720"/>
        <w:rPr>
          <w:rFonts w:ascii="Times New Roman" w:hAnsi="Times New Roman" w:cs="Times New Roman"/>
          <w:lang w:val="en"/>
        </w:rPr>
      </w:pPr>
      <w:bookmarkStart w:id="13" w:name="b_6_A"/>
      <w:bookmarkEnd w:id="13"/>
      <w:r w:rsidRPr="001D4B88">
        <w:rPr>
          <w:rStyle w:val="enumxml1"/>
          <w:rFonts w:ascii="Times New Roman" w:hAnsi="Times New Roman" w:cs="Times New Roman"/>
          <w:b w:val="0"/>
          <w:lang w:val="en"/>
        </w:rPr>
        <w:t>(A)</w:t>
      </w:r>
      <w:r w:rsidRPr="008D67DF">
        <w:rPr>
          <w:rFonts w:ascii="Times New Roman" w:hAnsi="Times New Roman" w:cs="Times New Roman"/>
          <w:lang w:val="en"/>
        </w:rPr>
        <w:t xml:space="preserve"> </w:t>
      </w:r>
      <w:r w:rsidRPr="00285756">
        <w:rPr>
          <w:rStyle w:val="ptext-41"/>
          <w:rFonts w:ascii="Times New Roman" w:hAnsi="Times New Roman" w:cs="Times New Roman"/>
          <w:lang w:val="en"/>
        </w:rPr>
        <w:t xml:space="preserve">With respect to any NMS stock, 20 percent or more of the average daily volume reported by an effective transaction reporting </w:t>
      </w:r>
      <w:hyperlink r:id="rId6" w:tooltip="plan" w:history="1">
        <w:r w:rsidRPr="00285756">
          <w:rPr>
            <w:rStyle w:val="Hyperlink"/>
            <w:rFonts w:ascii="Times New Roman" w:hAnsi="Times New Roman"/>
            <w:color w:val="auto"/>
            <w:u w:val="none"/>
            <w:lang w:val="en"/>
          </w:rPr>
          <w:t>plan</w:t>
        </w:r>
      </w:hyperlink>
      <w:r w:rsidRPr="00285756">
        <w:rPr>
          <w:rStyle w:val="ptext-41"/>
          <w:rFonts w:ascii="Times New Roman" w:hAnsi="Times New Roman" w:cs="Times New Roman"/>
          <w:lang w:val="en"/>
        </w:rPr>
        <w:t>;</w:t>
      </w:r>
      <w:r w:rsidRPr="00285756">
        <w:rPr>
          <w:rFonts w:ascii="Times New Roman" w:hAnsi="Times New Roman" w:cs="Times New Roman"/>
          <w:lang w:val="en"/>
        </w:rPr>
        <w:t xml:space="preserve"> </w:t>
      </w:r>
    </w:p>
    <w:p w14:paraId="49895F21" w14:textId="77777777" w:rsidR="00056690" w:rsidRPr="00285756" w:rsidRDefault="00056690" w:rsidP="00F7592F">
      <w:pPr>
        <w:ind w:left="720"/>
        <w:rPr>
          <w:rFonts w:ascii="Times New Roman" w:hAnsi="Times New Roman" w:cs="Times New Roman"/>
          <w:lang w:val="en"/>
        </w:rPr>
      </w:pPr>
      <w:bookmarkStart w:id="14" w:name="b_6_B"/>
      <w:bookmarkEnd w:id="14"/>
      <w:r w:rsidRPr="001D4B88">
        <w:rPr>
          <w:rStyle w:val="enumxml1"/>
          <w:rFonts w:ascii="Times New Roman" w:hAnsi="Times New Roman" w:cs="Times New Roman"/>
          <w:b w:val="0"/>
          <w:lang w:val="en"/>
        </w:rPr>
        <w:t>(B)</w:t>
      </w:r>
      <w:r w:rsidRPr="008D67DF">
        <w:rPr>
          <w:rFonts w:ascii="Times New Roman" w:hAnsi="Times New Roman" w:cs="Times New Roman"/>
          <w:lang w:val="en"/>
        </w:rPr>
        <w:t xml:space="preserve"> </w:t>
      </w:r>
      <w:r w:rsidRPr="00285756">
        <w:rPr>
          <w:rStyle w:val="ptext-41"/>
          <w:rFonts w:ascii="Times New Roman" w:hAnsi="Times New Roman" w:cs="Times New Roman"/>
          <w:lang w:val="en"/>
        </w:rPr>
        <w:t>With respect to equity securities that are not NMS stocks and for which transactions are reported to a self-regulatory organization, 20 percent or more of the average daily volume as calculated by the self-regulatory organization to which such transactions are reported;</w:t>
      </w:r>
      <w:r w:rsidRPr="00285756">
        <w:rPr>
          <w:rFonts w:ascii="Times New Roman" w:hAnsi="Times New Roman" w:cs="Times New Roman"/>
          <w:lang w:val="en"/>
        </w:rPr>
        <w:t xml:space="preserve"> </w:t>
      </w:r>
    </w:p>
    <w:p w14:paraId="361363CF" w14:textId="77777777" w:rsidR="00056690" w:rsidRPr="00285756" w:rsidRDefault="00056690" w:rsidP="00F7592F">
      <w:pPr>
        <w:ind w:left="720"/>
        <w:rPr>
          <w:rFonts w:ascii="Times New Roman" w:hAnsi="Times New Roman" w:cs="Times New Roman"/>
          <w:lang w:val="en"/>
        </w:rPr>
      </w:pPr>
      <w:bookmarkStart w:id="15" w:name="b_6_C"/>
      <w:bookmarkEnd w:id="15"/>
      <w:r w:rsidRPr="00285756">
        <w:rPr>
          <w:rStyle w:val="enumxml1"/>
          <w:rFonts w:ascii="Times New Roman" w:hAnsi="Times New Roman" w:cs="Times New Roman"/>
          <w:b w:val="0"/>
          <w:lang w:val="en"/>
        </w:rPr>
        <w:t>(C)</w:t>
      </w:r>
      <w:r w:rsidRPr="00285756">
        <w:rPr>
          <w:rFonts w:ascii="Times New Roman" w:hAnsi="Times New Roman" w:cs="Times New Roman"/>
          <w:lang w:val="en"/>
        </w:rPr>
        <w:t xml:space="preserve"> </w:t>
      </w:r>
      <w:r w:rsidRPr="00285756">
        <w:rPr>
          <w:rStyle w:val="ptext-41"/>
          <w:rFonts w:ascii="Times New Roman" w:hAnsi="Times New Roman" w:cs="Times New Roman"/>
          <w:lang w:val="en"/>
        </w:rPr>
        <w:t>With respect to municipal securities, 20 percent or more of the average daily volume traded in the United States; or</w:t>
      </w:r>
      <w:r w:rsidRPr="00285756">
        <w:rPr>
          <w:rFonts w:ascii="Times New Roman" w:hAnsi="Times New Roman" w:cs="Times New Roman"/>
          <w:lang w:val="en"/>
        </w:rPr>
        <w:t xml:space="preserve"> </w:t>
      </w:r>
    </w:p>
    <w:p w14:paraId="20E8C87A" w14:textId="77777777" w:rsidR="00056690" w:rsidRPr="00285756" w:rsidRDefault="00056690" w:rsidP="00F7592F">
      <w:pPr>
        <w:ind w:left="720"/>
        <w:rPr>
          <w:rStyle w:val="ptext-41"/>
          <w:rFonts w:ascii="Times New Roman" w:hAnsi="Times New Roman" w:cs="Times New Roman"/>
          <w:lang w:val="en"/>
        </w:rPr>
      </w:pPr>
      <w:bookmarkStart w:id="16" w:name="b_6_D"/>
      <w:bookmarkEnd w:id="16"/>
      <w:r w:rsidRPr="00285756">
        <w:rPr>
          <w:rStyle w:val="enumxml1"/>
          <w:rFonts w:ascii="Times New Roman" w:hAnsi="Times New Roman" w:cs="Times New Roman"/>
          <w:b w:val="0"/>
          <w:lang w:val="en"/>
        </w:rPr>
        <w:t>(D)</w:t>
      </w:r>
      <w:r w:rsidRPr="00285756">
        <w:rPr>
          <w:rFonts w:ascii="Times New Roman" w:hAnsi="Times New Roman" w:cs="Times New Roman"/>
          <w:lang w:val="en"/>
        </w:rPr>
        <w:t xml:space="preserve"> </w:t>
      </w:r>
      <w:r w:rsidRPr="00285756">
        <w:rPr>
          <w:rStyle w:val="ptext-41"/>
          <w:rFonts w:ascii="Times New Roman" w:hAnsi="Times New Roman" w:cs="Times New Roman"/>
          <w:lang w:val="en"/>
        </w:rPr>
        <w:t>With respect to corporate debt securities, 20 percent or more of the average daily volume traded in the United States.</w:t>
      </w:r>
    </w:p>
    <w:p w14:paraId="08E2B7AF" w14:textId="77777777" w:rsidR="00056690" w:rsidRPr="00285756" w:rsidRDefault="00056690" w:rsidP="00F7592F">
      <w:pPr>
        <w:ind w:left="720"/>
        <w:rPr>
          <w:rStyle w:val="ptext-41"/>
          <w:rFonts w:ascii="Times New Roman" w:hAnsi="Times New Roman" w:cs="Times New Roman"/>
          <w:lang w:val="en"/>
        </w:rPr>
      </w:pPr>
    </w:p>
    <w:p w14:paraId="7CAD6D97" w14:textId="0D2BEB30" w:rsidR="00056690" w:rsidRPr="00285756" w:rsidRDefault="00056690" w:rsidP="00F7592F">
      <w:pPr>
        <w:ind w:left="720"/>
        <w:rPr>
          <w:rFonts w:ascii="Times New Roman" w:hAnsi="Times New Roman" w:cs="Times New Roman"/>
          <w:lang w:val="en"/>
        </w:rPr>
      </w:pPr>
      <w:r w:rsidRPr="00285756">
        <w:rPr>
          <w:rStyle w:val="ptext-41"/>
          <w:rFonts w:ascii="Times New Roman" w:hAnsi="Times New Roman" w:cs="Times New Roman"/>
          <w:lang w:val="en"/>
        </w:rPr>
        <w:t>As discussed above, Regulation SCI amended Rule 301(b</w:t>
      </w:r>
      <w:proofErr w:type="gramStart"/>
      <w:r w:rsidRPr="00285756">
        <w:rPr>
          <w:rStyle w:val="ptext-41"/>
          <w:rFonts w:ascii="Times New Roman" w:hAnsi="Times New Roman" w:cs="Times New Roman"/>
          <w:lang w:val="en"/>
        </w:rPr>
        <w:t>)(</w:t>
      </w:r>
      <w:proofErr w:type="gramEnd"/>
      <w:r w:rsidRPr="00285756">
        <w:rPr>
          <w:rStyle w:val="ptext-41"/>
          <w:rFonts w:ascii="Times New Roman" w:hAnsi="Times New Roman" w:cs="Times New Roman"/>
          <w:lang w:val="en"/>
        </w:rPr>
        <w:t xml:space="preserve">6) </w:t>
      </w:r>
      <w:r w:rsidRPr="00285756">
        <w:rPr>
          <w:rFonts w:ascii="Times New Roman" w:hAnsi="Times New Roman" w:cs="Times New Roman"/>
        </w:rPr>
        <w:t>so that it will no longer apply to alternative trading systems that trade NMS stocks and non-NMS stocks once Regulation SCI becomes effective.</w:t>
      </w:r>
    </w:p>
    <w:p w14:paraId="1D52E3D6" w14:textId="6721F4F8" w:rsidR="00056690" w:rsidRPr="004357A7" w:rsidRDefault="00056690" w:rsidP="00CB6C4B">
      <w:pPr>
        <w:pStyle w:val="FootnoteText"/>
        <w:ind w:left="720" w:hanging="720"/>
        <w:rPr>
          <w:rFonts w:ascii="Times New Roman" w:hAnsi="Times New Roman"/>
        </w:rPr>
      </w:pPr>
    </w:p>
  </w:footnote>
  <w:footnote w:id="27">
    <w:p w14:paraId="714BE4F4" w14:textId="77777777" w:rsidR="00056690" w:rsidRPr="004357A7" w:rsidRDefault="00056690" w:rsidP="004357A7">
      <w:pPr>
        <w:pStyle w:val="FootnoteText"/>
        <w:spacing w:after="1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r>
      <w:r w:rsidRPr="004357A7">
        <w:rPr>
          <w:rFonts w:ascii="Times New Roman" w:hAnsi="Times New Roman"/>
          <w:u w:val="single"/>
        </w:rPr>
        <w:t>See</w:t>
      </w:r>
      <w:r w:rsidRPr="004357A7">
        <w:rPr>
          <w:rFonts w:ascii="Times New Roman" w:hAnsi="Times New Roman"/>
        </w:rPr>
        <w:t xml:space="preserve"> 17 CFR 242.301(b</w:t>
      </w:r>
      <w:proofErr w:type="gramStart"/>
      <w:r w:rsidRPr="004357A7">
        <w:rPr>
          <w:rFonts w:ascii="Times New Roman" w:hAnsi="Times New Roman"/>
        </w:rPr>
        <w:t>)(</w:t>
      </w:r>
      <w:proofErr w:type="gramEnd"/>
      <w:r w:rsidRPr="004357A7">
        <w:rPr>
          <w:rFonts w:ascii="Times New Roman" w:hAnsi="Times New Roman"/>
        </w:rPr>
        <w:t>2).</w:t>
      </w:r>
    </w:p>
  </w:footnote>
  <w:footnote w:id="28">
    <w:p w14:paraId="2DE2A025" w14:textId="77777777" w:rsidR="00056690" w:rsidRPr="004357A7" w:rsidRDefault="00056690" w:rsidP="00A4097E">
      <w:pPr>
        <w:spacing w:after="120"/>
        <w:ind w:left="720" w:hanging="720"/>
        <w:rPr>
          <w:rFonts w:ascii="Times New Roman" w:hAnsi="Times New Roman" w:cs="Times New Roman"/>
        </w:rPr>
      </w:pPr>
      <w:r w:rsidRPr="004357A7">
        <w:rPr>
          <w:rStyle w:val="FootnoteReference"/>
          <w:rFonts w:ascii="Times New Roman" w:hAnsi="Times New Roman" w:cs="Times New Roman"/>
        </w:rPr>
        <w:footnoteRef/>
      </w:r>
      <w:r w:rsidRPr="004357A7">
        <w:rPr>
          <w:rFonts w:ascii="Times New Roman" w:hAnsi="Times New Roman" w:cs="Times New Roman"/>
        </w:rPr>
        <w:t xml:space="preserve"> </w:t>
      </w:r>
      <w:r w:rsidRPr="004357A7">
        <w:rPr>
          <w:rFonts w:ascii="Times New Roman" w:hAnsi="Times New Roman" w:cs="Times New Roman"/>
        </w:rPr>
        <w:tab/>
        <w:t xml:space="preserve">The Commission notes </w:t>
      </w:r>
      <w:proofErr w:type="gramStart"/>
      <w:r w:rsidRPr="004357A7">
        <w:rPr>
          <w:rFonts w:ascii="Times New Roman" w:hAnsi="Times New Roman" w:cs="Times New Roman"/>
        </w:rPr>
        <w:t>that  some</w:t>
      </w:r>
      <w:proofErr w:type="gramEnd"/>
      <w:r w:rsidRPr="004357A7">
        <w:rPr>
          <w:rFonts w:ascii="Times New Roman" w:hAnsi="Times New Roman" w:cs="Times New Roman"/>
        </w:rPr>
        <w:t xml:space="preserve"> ATSs have chosen to make Form ATS filings publicly available.  </w:t>
      </w:r>
      <w:r w:rsidRPr="004357A7">
        <w:rPr>
          <w:rFonts w:ascii="Times New Roman" w:hAnsi="Times New Roman" w:cs="Times New Roman"/>
          <w:u w:val="single"/>
        </w:rPr>
        <w:t>See</w:t>
      </w:r>
      <w:r w:rsidRPr="004357A7">
        <w:rPr>
          <w:rFonts w:ascii="Times New Roman" w:hAnsi="Times New Roman" w:cs="Times New Roman"/>
        </w:rPr>
        <w:t xml:space="preserve">, </w:t>
      </w:r>
      <w:r w:rsidRPr="004357A7">
        <w:rPr>
          <w:rFonts w:ascii="Times New Roman" w:hAnsi="Times New Roman" w:cs="Times New Roman"/>
          <w:u w:val="single"/>
        </w:rPr>
        <w:t>e.g.</w:t>
      </w:r>
      <w:r w:rsidRPr="004357A7">
        <w:rPr>
          <w:rFonts w:ascii="Times New Roman" w:hAnsi="Times New Roman" w:cs="Times New Roman"/>
        </w:rPr>
        <w:t xml:space="preserve">, IEX ATS Form ATS Amendment, dated July 29, 2015, </w:t>
      </w:r>
      <w:r w:rsidRPr="004357A7">
        <w:rPr>
          <w:rFonts w:ascii="Times New Roman" w:hAnsi="Times New Roman" w:cs="Times New Roman"/>
          <w:u w:val="single"/>
        </w:rPr>
        <w:t>available</w:t>
      </w:r>
      <w:r w:rsidRPr="004357A7">
        <w:rPr>
          <w:rFonts w:ascii="Times New Roman" w:hAnsi="Times New Roman" w:cs="Times New Roman"/>
        </w:rPr>
        <w:t xml:space="preserve"> </w:t>
      </w:r>
      <w:r w:rsidRPr="004357A7">
        <w:rPr>
          <w:rFonts w:ascii="Times New Roman" w:hAnsi="Times New Roman" w:cs="Times New Roman"/>
          <w:u w:val="single"/>
        </w:rPr>
        <w:t>at</w:t>
      </w:r>
      <w:r w:rsidRPr="004357A7">
        <w:rPr>
          <w:rFonts w:ascii="Times New Roman" w:hAnsi="Times New Roman" w:cs="Times New Roman"/>
        </w:rPr>
        <w:t xml:space="preserve"> </w:t>
      </w:r>
      <w:hyperlink r:id="rId7" w:history="1">
        <w:r w:rsidRPr="004357A7">
          <w:rPr>
            <w:rStyle w:val="Hyperlink"/>
            <w:rFonts w:ascii="Times New Roman" w:hAnsi="Times New Roman"/>
          </w:rPr>
          <w:t>http://www.iextrading.com/policy/ats/</w:t>
        </w:r>
      </w:hyperlink>
      <w:r w:rsidRPr="004357A7">
        <w:rPr>
          <w:rFonts w:ascii="Times New Roman" w:hAnsi="Times New Roman" w:cs="Times New Roman"/>
        </w:rPr>
        <w:t xml:space="preserve">; PDQ ATS </w:t>
      </w:r>
      <w:proofErr w:type="spellStart"/>
      <w:r w:rsidRPr="004357A7">
        <w:rPr>
          <w:rFonts w:ascii="Times New Roman" w:hAnsi="Times New Roman" w:cs="Times New Roman"/>
        </w:rPr>
        <w:t>Inc’s</w:t>
      </w:r>
      <w:proofErr w:type="spellEnd"/>
      <w:r w:rsidRPr="004357A7">
        <w:rPr>
          <w:rFonts w:ascii="Times New Roman" w:hAnsi="Times New Roman" w:cs="Times New Roman"/>
        </w:rPr>
        <w:t xml:space="preserve"> Form ATS Amendment, dated January 30, 2015, </w:t>
      </w:r>
      <w:r w:rsidRPr="004357A7">
        <w:rPr>
          <w:rFonts w:ascii="Times New Roman" w:hAnsi="Times New Roman" w:cs="Times New Roman"/>
          <w:u w:val="single"/>
        </w:rPr>
        <w:t>available</w:t>
      </w:r>
      <w:r w:rsidRPr="004357A7">
        <w:rPr>
          <w:rFonts w:ascii="Times New Roman" w:hAnsi="Times New Roman" w:cs="Times New Roman"/>
        </w:rPr>
        <w:t xml:space="preserve"> </w:t>
      </w:r>
      <w:r w:rsidRPr="004357A7">
        <w:rPr>
          <w:rFonts w:ascii="Times New Roman" w:hAnsi="Times New Roman" w:cs="Times New Roman"/>
          <w:u w:val="single"/>
        </w:rPr>
        <w:t>at</w:t>
      </w:r>
      <w:r w:rsidRPr="004357A7">
        <w:rPr>
          <w:rFonts w:ascii="Times New Roman" w:hAnsi="Times New Roman" w:cs="Times New Roman"/>
        </w:rPr>
        <w:t xml:space="preserve"> </w:t>
      </w:r>
      <w:hyperlink r:id="rId8" w:history="1">
        <w:r w:rsidRPr="004357A7">
          <w:rPr>
            <w:rStyle w:val="Hyperlink"/>
            <w:rFonts w:ascii="Times New Roman" w:hAnsi="Times New Roman"/>
          </w:rPr>
          <w:t>http://www.pdqats.com/wp-content/uploads/2013/10/PDQ-FORM-ATS-FILING_01_30_15-website.pdf</w:t>
        </w:r>
      </w:hyperlink>
      <w:r w:rsidRPr="004357A7">
        <w:rPr>
          <w:rFonts w:ascii="Times New Roman" w:hAnsi="Times New Roman" w:cs="Times New Roman"/>
        </w:rPr>
        <w:t xml:space="preserve">; </w:t>
      </w:r>
      <w:proofErr w:type="spellStart"/>
      <w:r w:rsidRPr="004357A7">
        <w:rPr>
          <w:rFonts w:ascii="Times New Roman" w:hAnsi="Times New Roman" w:cs="Times New Roman"/>
        </w:rPr>
        <w:t>Liquidnet</w:t>
      </w:r>
      <w:proofErr w:type="spellEnd"/>
      <w:r w:rsidRPr="004357A7">
        <w:rPr>
          <w:rFonts w:ascii="Times New Roman" w:hAnsi="Times New Roman" w:cs="Times New Roman"/>
        </w:rPr>
        <w:t xml:space="preserve"> H20 ATS Form ATS Amendment, dated February 4, 2015, </w:t>
      </w:r>
      <w:r w:rsidRPr="004357A7">
        <w:rPr>
          <w:rFonts w:ascii="Times New Roman" w:hAnsi="Times New Roman" w:cs="Times New Roman"/>
          <w:u w:val="single"/>
        </w:rPr>
        <w:t>available</w:t>
      </w:r>
      <w:r w:rsidRPr="004357A7">
        <w:rPr>
          <w:rFonts w:ascii="Times New Roman" w:hAnsi="Times New Roman" w:cs="Times New Roman"/>
        </w:rPr>
        <w:t xml:space="preserve"> </w:t>
      </w:r>
      <w:r w:rsidRPr="004357A7">
        <w:rPr>
          <w:rFonts w:ascii="Times New Roman" w:hAnsi="Times New Roman" w:cs="Times New Roman"/>
          <w:u w:val="single"/>
        </w:rPr>
        <w:t>at</w:t>
      </w:r>
      <w:r w:rsidRPr="004357A7">
        <w:rPr>
          <w:rFonts w:ascii="Times New Roman" w:hAnsi="Times New Roman" w:cs="Times New Roman"/>
        </w:rPr>
        <w:t xml:space="preserve"> </w:t>
      </w:r>
      <w:hyperlink r:id="rId9" w:history="1">
        <w:r w:rsidRPr="004357A7">
          <w:rPr>
            <w:rStyle w:val="Hyperlink"/>
            <w:rFonts w:ascii="Times New Roman" w:hAnsi="Times New Roman"/>
          </w:rPr>
          <w:t>http://www.liquidnet.com/uploads/ATS_(H2O)_Form-Exhibits_CLEAN_4feb2015.pdf</w:t>
        </w:r>
      </w:hyperlink>
      <w:r w:rsidRPr="004357A7">
        <w:rPr>
          <w:rStyle w:val="Hyperlink"/>
          <w:rFonts w:ascii="Times New Roman" w:hAnsi="Times New Roman"/>
        </w:rPr>
        <w:t xml:space="preserve">; SIGMA X Form ATS Amendment, dated May 21, 2014, available at </w:t>
      </w:r>
      <w:hyperlink r:id="rId10" w:history="1">
        <w:r w:rsidRPr="004357A7">
          <w:rPr>
            <w:rStyle w:val="Hyperlink"/>
            <w:rFonts w:ascii="Times New Roman" w:hAnsi="Times New Roman"/>
          </w:rPr>
          <w:t>http://www.goldmansachs.com/media-relations/in-the-news/current/pdf-media/gs-form-ats-amendment.pdf</w:t>
        </w:r>
      </w:hyperlink>
      <w:r w:rsidRPr="004357A7">
        <w:rPr>
          <w:rStyle w:val="Hyperlink"/>
          <w:rFonts w:ascii="Times New Roman" w:hAnsi="Times New Roman"/>
        </w:rPr>
        <w:t xml:space="preserve">; POSIT Form ATS Amendment, dated January 26, 2015, available at </w:t>
      </w:r>
      <w:hyperlink r:id="rId11" w:history="1">
        <w:r w:rsidRPr="004357A7">
          <w:rPr>
            <w:rStyle w:val="Hyperlink"/>
            <w:rFonts w:ascii="Times New Roman" w:hAnsi="Times New Roman"/>
          </w:rPr>
          <w:t>http://www.itg.com/marketing/ITG_Form_ATS_for_POSIT_02112015.pdf</w:t>
        </w:r>
      </w:hyperlink>
      <w:r w:rsidRPr="004357A7">
        <w:rPr>
          <w:rStyle w:val="Hyperlink"/>
          <w:rFonts w:ascii="Times New Roman" w:hAnsi="Times New Roman"/>
        </w:rPr>
        <w:t>.</w:t>
      </w:r>
      <w:r w:rsidRPr="004357A7">
        <w:rPr>
          <w:rFonts w:ascii="Times New Roman" w:hAnsi="Times New Roman" w:cs="Times New Roman"/>
        </w:rPr>
        <w:t xml:space="preserve">  </w:t>
      </w:r>
    </w:p>
  </w:footnote>
  <w:footnote w:id="29">
    <w:p w14:paraId="6A2480D7" w14:textId="0032D545" w:rsidR="00056690" w:rsidRDefault="00056690" w:rsidP="00D57EB9">
      <w:pPr>
        <w:pStyle w:val="FootnoteText"/>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r>
      <w:r w:rsidRPr="004357A7">
        <w:rPr>
          <w:rFonts w:ascii="Times New Roman" w:hAnsi="Times New Roman"/>
          <w:u w:val="single"/>
        </w:rPr>
        <w:t>See</w:t>
      </w:r>
      <w:r w:rsidRPr="004357A7">
        <w:rPr>
          <w:rFonts w:ascii="Times New Roman" w:hAnsi="Times New Roman"/>
        </w:rPr>
        <w:t xml:space="preserve"> Alternative Trading System (“ATS”) List, </w:t>
      </w:r>
      <w:r w:rsidRPr="004357A7">
        <w:rPr>
          <w:rFonts w:ascii="Times New Roman" w:hAnsi="Times New Roman"/>
          <w:u w:val="single"/>
        </w:rPr>
        <w:t>available</w:t>
      </w:r>
      <w:r w:rsidRPr="004357A7">
        <w:rPr>
          <w:rFonts w:ascii="Times New Roman" w:hAnsi="Times New Roman"/>
        </w:rPr>
        <w:t xml:space="preserve"> </w:t>
      </w:r>
      <w:r w:rsidRPr="004357A7">
        <w:rPr>
          <w:rFonts w:ascii="Times New Roman" w:hAnsi="Times New Roman"/>
          <w:u w:val="single"/>
        </w:rPr>
        <w:t>at</w:t>
      </w:r>
      <w:r w:rsidRPr="004357A7">
        <w:rPr>
          <w:rFonts w:ascii="Times New Roman" w:hAnsi="Times New Roman"/>
        </w:rPr>
        <w:t xml:space="preserve"> </w:t>
      </w:r>
      <w:hyperlink r:id="rId12" w:history="1">
        <w:r w:rsidRPr="00370713">
          <w:rPr>
            <w:rStyle w:val="Hyperlink"/>
            <w:rFonts w:ascii="Times New Roman" w:hAnsi="Times New Roman"/>
          </w:rPr>
          <w:t>http://www.sec.gov/foia/docs/atslist.htm</w:t>
        </w:r>
      </w:hyperlink>
      <w:r w:rsidRPr="004357A7">
        <w:rPr>
          <w:rFonts w:ascii="Times New Roman" w:hAnsi="Times New Roman"/>
        </w:rPr>
        <w:t>.</w:t>
      </w:r>
    </w:p>
    <w:p w14:paraId="34B3BBCD" w14:textId="77777777" w:rsidR="00056690" w:rsidRPr="004357A7" w:rsidRDefault="00056690" w:rsidP="00D57EB9">
      <w:pPr>
        <w:pStyle w:val="FootnoteText"/>
        <w:ind w:left="720" w:hanging="720"/>
        <w:rPr>
          <w:rFonts w:ascii="Times New Roman" w:hAnsi="Times New Roman"/>
        </w:rPr>
      </w:pPr>
    </w:p>
  </w:footnote>
  <w:footnote w:id="30">
    <w:p w14:paraId="1706278F" w14:textId="77777777" w:rsidR="00056690" w:rsidRPr="005A7C66" w:rsidRDefault="00056690" w:rsidP="004357A7">
      <w:pPr>
        <w:pStyle w:val="FootnoteText"/>
        <w:spacing w:after="120"/>
        <w:ind w:left="720" w:hanging="720"/>
        <w:rPr>
          <w:rFonts w:ascii="Times New Roman" w:hAnsi="Times New Roman"/>
        </w:rPr>
      </w:pPr>
      <w:r w:rsidRPr="005A7C66">
        <w:rPr>
          <w:rStyle w:val="FootnoteReference"/>
          <w:rFonts w:ascii="Times New Roman" w:hAnsi="Times New Roman"/>
        </w:rPr>
        <w:footnoteRef/>
      </w:r>
      <w:r w:rsidRPr="005A7C66">
        <w:rPr>
          <w:rFonts w:ascii="Times New Roman" w:hAnsi="Times New Roman"/>
        </w:rPr>
        <w:t xml:space="preserve"> </w:t>
      </w:r>
      <w:r w:rsidRPr="005A7C66">
        <w:rPr>
          <w:rFonts w:ascii="Times New Roman" w:hAnsi="Times New Roman"/>
        </w:rPr>
        <w:tab/>
        <w:t xml:space="preserve">The term “Personally Identifiable Information” refers to information which can be used to distinguish or trace an individual’s identity, such as their name, social security number, biometric records, etc. alone, or when combined with other personal or identifying information which is linked or linkable to a specific individual, such as date and place of birth, mother’s maiden name, etc.      </w:t>
      </w:r>
    </w:p>
  </w:footnote>
  <w:footnote w:id="31">
    <w:p w14:paraId="2D7BF281" w14:textId="77777777" w:rsidR="00056690" w:rsidRPr="004357A7" w:rsidRDefault="00056690" w:rsidP="004357A7">
      <w:pPr>
        <w:pStyle w:val="FootnoteText"/>
        <w:spacing w:after="120"/>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ab/>
        <w:t>These disclosures would be provided on proposed Form ATS-N and may have to be amended periodically as provided in proposed Rule 304.</w:t>
      </w:r>
    </w:p>
  </w:footnote>
  <w:footnote w:id="32">
    <w:p w14:paraId="17B3FB78" w14:textId="0A566E81" w:rsidR="00056690" w:rsidRPr="004357A7" w:rsidRDefault="00056690" w:rsidP="006E0A63">
      <w:pPr>
        <w:pStyle w:val="FootnoteText"/>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t>(Current Baseline for Form ATS at 20 hours) + (Parts I and II at 0.5 hours) + (Part III at an average of 47 hours) + (Part IV at an average of 73.5 hours)</w:t>
      </w:r>
      <w:r w:rsidRPr="008722F1">
        <w:rPr>
          <w:rFonts w:ascii="Times New Roman" w:hAnsi="Times New Roman"/>
        </w:rPr>
        <w:t xml:space="preserve"> + (Access to EFFS at 0.3 hours</w:t>
      </w:r>
      <w:r w:rsidRPr="004357A7">
        <w:rPr>
          <w:rFonts w:ascii="Times New Roman" w:hAnsi="Times New Roman"/>
        </w:rPr>
        <w:t xml:space="preserve">) = 141.3 burden hours.  The aggregate totals by professional, including the baseline, are estimated to be approximately 54.8 hours for an Attorney, 43.5 hours for a Compliance Manager, 34.5 hours for a Sr. Systems Analyst, 1 hour for a Sr. Marketing Manager, and 7.5 hours for a Compliance Clerk.   </w:t>
      </w:r>
    </w:p>
    <w:p w14:paraId="6EC2EAF4" w14:textId="77777777" w:rsidR="00056690" w:rsidRPr="004357A7" w:rsidRDefault="00056690" w:rsidP="006E0A63">
      <w:pPr>
        <w:pStyle w:val="FootnoteText"/>
        <w:ind w:left="720" w:hanging="720"/>
        <w:rPr>
          <w:rFonts w:ascii="Times New Roman" w:hAnsi="Times New Roman"/>
        </w:rPr>
      </w:pPr>
    </w:p>
    <w:p w14:paraId="46BC93F7" w14:textId="0820AB39" w:rsidR="00056690" w:rsidRPr="004357A7" w:rsidRDefault="00056690" w:rsidP="004357A7">
      <w:pPr>
        <w:pStyle w:val="FootnoteText"/>
        <w:spacing w:after="120"/>
        <w:ind w:left="720"/>
        <w:rPr>
          <w:rFonts w:ascii="Times New Roman" w:hAnsi="Times New Roman"/>
        </w:rPr>
      </w:pPr>
      <w:r w:rsidRPr="004357A7">
        <w:rPr>
          <w:rFonts w:ascii="Times New Roman" w:hAnsi="Times New Roman"/>
        </w:rPr>
        <w:t>This preliminary estimated burden for a Form ATS-N includes the hour burden associated with completing Part III, Item 2 and Part IV, Items 14 and 15 of proposed Form ATS-N.  The Commission preliminarily believes, however, that the majority of NMS Stock ATSs would not be required to complete those items of the proposed form</w:t>
      </w:r>
      <w:r>
        <w:rPr>
          <w:rFonts w:ascii="Times New Roman" w:hAnsi="Times New Roman"/>
        </w:rPr>
        <w:t xml:space="preserve"> because the majority of NMS Stock ATSs do not current cross the trading volume thresholds that would require a disclosure under Item 14 or 15. </w:t>
      </w:r>
      <w:r w:rsidRPr="004357A7">
        <w:rPr>
          <w:rFonts w:ascii="Times New Roman" w:hAnsi="Times New Roman"/>
        </w:rPr>
        <w:t xml:space="preserve">  </w:t>
      </w:r>
    </w:p>
  </w:footnote>
  <w:footnote w:id="33">
    <w:p w14:paraId="0BAC6769" w14:textId="78D7CA99" w:rsidR="00056690" w:rsidRDefault="00056690" w:rsidP="004357A7">
      <w:pPr>
        <w:pStyle w:val="FootnoteText"/>
        <w:spacing w:after="120"/>
        <w:ind w:left="720" w:hanging="720"/>
      </w:pPr>
      <w:r w:rsidRPr="005A7C66">
        <w:rPr>
          <w:rStyle w:val="FootnoteReference"/>
          <w:rFonts w:ascii="Times New Roman" w:hAnsi="Times New Roman"/>
        </w:rPr>
        <w:footnoteRef/>
      </w:r>
      <w:r>
        <w:t xml:space="preserve"> </w:t>
      </w:r>
      <w:r>
        <w:tab/>
      </w:r>
      <w:r w:rsidRPr="004357A7">
        <w:rPr>
          <w:rFonts w:ascii="Times New Roman" w:hAnsi="Times New Roman"/>
        </w:rPr>
        <w:t>Currently, there are 84 ATSs that have filed Form ATS with the Commission.  Of these 84 ATSs, 46 would meet the definition of an NMS Stock ATS.  Accordingly, the Commission estimates that 46 entities would be required to complete Form ATS-N.</w:t>
      </w:r>
      <w:r>
        <w:rPr>
          <w:rFonts w:ascii="Times New Roman" w:hAnsi="Times New Roman"/>
        </w:rPr>
        <w:t xml:space="preserve">  11 ATSs would trade both NMS Stocks and non-NMS Stocks and are accounted for below.  (46 NMS Stock ATSs – 11 NMS and non-NMS Stock ATSs = 35 Form ATS-N filings).  </w:t>
      </w:r>
    </w:p>
  </w:footnote>
  <w:footnote w:id="34">
    <w:p w14:paraId="20FD414B" w14:textId="77777777" w:rsidR="00056690" w:rsidRPr="004357A7" w:rsidRDefault="00056690" w:rsidP="004357A7">
      <w:pPr>
        <w:pStyle w:val="FootnoteText"/>
        <w:spacing w:after="1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r>
      <w:r w:rsidRPr="004357A7">
        <w:rPr>
          <w:rFonts w:ascii="Times New Roman" w:hAnsi="Times New Roman"/>
          <w:u w:val="single"/>
        </w:rPr>
        <w:t>See</w:t>
      </w:r>
      <w:r w:rsidRPr="004357A7">
        <w:rPr>
          <w:rFonts w:ascii="Times New Roman" w:hAnsi="Times New Roman"/>
        </w:rPr>
        <w:t xml:space="preserve"> 17 CFR 242.301(b</w:t>
      </w:r>
      <w:proofErr w:type="gramStart"/>
      <w:r w:rsidRPr="004357A7">
        <w:rPr>
          <w:rFonts w:ascii="Times New Roman" w:hAnsi="Times New Roman"/>
        </w:rPr>
        <w:t>)(</w:t>
      </w:r>
      <w:proofErr w:type="gramEnd"/>
      <w:r w:rsidRPr="004357A7">
        <w:rPr>
          <w:rFonts w:ascii="Times New Roman" w:hAnsi="Times New Roman"/>
        </w:rPr>
        <w:t>2).</w:t>
      </w:r>
    </w:p>
  </w:footnote>
  <w:footnote w:id="35">
    <w:p w14:paraId="61CB074C" w14:textId="77777777" w:rsidR="00056690" w:rsidRPr="004357A7" w:rsidRDefault="00056690" w:rsidP="004357A7">
      <w:pPr>
        <w:pStyle w:val="FootnoteText"/>
        <w:spacing w:after="120"/>
        <w:ind w:left="720" w:hanging="720"/>
        <w:rPr>
          <w:rFonts w:ascii="Times New Roman" w:hAnsi="Times New Roman"/>
          <w:i/>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r>
      <w:proofErr w:type="gramStart"/>
      <w:r w:rsidRPr="004357A7">
        <w:rPr>
          <w:rFonts w:ascii="Times New Roman" w:hAnsi="Times New Roman"/>
        </w:rPr>
        <w:t>Attorney at 1 hour + Compliance Manager at 2 hours = 3 burden hours above the baseline.</w:t>
      </w:r>
      <w:proofErr w:type="gramEnd"/>
      <w:r w:rsidRPr="004357A7">
        <w:rPr>
          <w:rFonts w:ascii="Times New Roman" w:hAnsi="Times New Roman"/>
          <w:i/>
        </w:rPr>
        <w:t xml:space="preserve"> </w:t>
      </w:r>
    </w:p>
  </w:footnote>
  <w:footnote w:id="36">
    <w:p w14:paraId="72FAC506" w14:textId="77777777" w:rsidR="00056690" w:rsidRPr="004357A7" w:rsidRDefault="00056690" w:rsidP="004357A7">
      <w:pPr>
        <w:pStyle w:val="FootnoteText"/>
        <w:spacing w:after="120"/>
        <w:ind w:left="720" w:hanging="720"/>
        <w:rPr>
          <w:rFonts w:ascii="Times New Roman" w:hAnsi="Times New Roman"/>
        </w:rPr>
      </w:pPr>
      <w:r w:rsidRPr="004357A7">
        <w:rPr>
          <w:rStyle w:val="FootnoteReference"/>
          <w:rFonts w:ascii="Times New Roman" w:hAnsi="Times New Roman"/>
          <w:i/>
        </w:rPr>
        <w:footnoteRef/>
      </w:r>
      <w:r w:rsidRPr="004357A7">
        <w:rPr>
          <w:rFonts w:ascii="Times New Roman" w:hAnsi="Times New Roman"/>
          <w:i/>
        </w:rPr>
        <w:t xml:space="preserve"> </w:t>
      </w:r>
      <w:r w:rsidRPr="004357A7">
        <w:rPr>
          <w:rFonts w:ascii="Times New Roman" w:hAnsi="Times New Roman"/>
          <w:i/>
        </w:rPr>
        <w:tab/>
      </w:r>
      <w:proofErr w:type="gramStart"/>
      <w:r w:rsidRPr="004357A7">
        <w:rPr>
          <w:rFonts w:ascii="Times New Roman" w:hAnsi="Times New Roman"/>
          <w:i/>
        </w:rPr>
        <w:t>Compliance Clerk at 0.5 hours.</w:t>
      </w:r>
      <w:proofErr w:type="gramEnd"/>
      <w:r w:rsidRPr="004357A7">
        <w:rPr>
          <w:rFonts w:ascii="Times New Roman" w:hAnsi="Times New Roman"/>
          <w:i/>
        </w:rPr>
        <w:t xml:space="preserve">  </w:t>
      </w:r>
      <w:r w:rsidRPr="004357A7">
        <w:rPr>
          <w:rFonts w:ascii="Times New Roman" w:hAnsi="Times New Roman"/>
        </w:rPr>
        <w:t xml:space="preserve">The Commission notes that most word processing software provides for this functionality. </w:t>
      </w:r>
    </w:p>
  </w:footnote>
  <w:footnote w:id="37">
    <w:p w14:paraId="19655E49" w14:textId="77777777" w:rsidR="00056690" w:rsidRPr="004357A7" w:rsidRDefault="00056690" w:rsidP="004357A7">
      <w:pPr>
        <w:pStyle w:val="FootnoteText"/>
        <w:spacing w:after="120"/>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r>
      <w:proofErr w:type="gramStart"/>
      <w:r w:rsidRPr="004357A7">
        <w:rPr>
          <w:rFonts w:ascii="Times New Roman" w:hAnsi="Times New Roman"/>
        </w:rPr>
        <w:t>Attorney at 5.5 hours + Compliance Manager at 2 hours + Compliance Clerk at 2 hours = 9.5 burden hours.</w:t>
      </w:r>
      <w:proofErr w:type="gramEnd"/>
      <w:r w:rsidRPr="004357A7">
        <w:rPr>
          <w:rFonts w:ascii="Times New Roman" w:hAnsi="Times New Roman"/>
        </w:rPr>
        <w:t xml:space="preserve"> </w:t>
      </w:r>
    </w:p>
  </w:footnote>
  <w:footnote w:id="38">
    <w:p w14:paraId="60DEC799" w14:textId="77777777" w:rsidR="00056690" w:rsidRPr="004357A7" w:rsidRDefault="00056690" w:rsidP="004357A7">
      <w:pPr>
        <w:pStyle w:val="FootnoteText"/>
        <w:spacing w:after="120"/>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r>
      <w:proofErr w:type="gramStart"/>
      <w:r w:rsidRPr="004357A7">
        <w:rPr>
          <w:rFonts w:ascii="Times New Roman" w:hAnsi="Times New Roman"/>
        </w:rPr>
        <w:t>138 amendments per year x 9.5 hours = 1,311 aggregate burden hours.</w:t>
      </w:r>
      <w:proofErr w:type="gramEnd"/>
      <w:r w:rsidRPr="004357A7">
        <w:rPr>
          <w:rFonts w:ascii="Times New Roman" w:hAnsi="Times New Roman"/>
        </w:rPr>
        <w:t xml:space="preserve">  The Commission further estimates that gaining access to EFFS for one additional person on an annual basis would require 0.15 burden hours for each NMS Stock ATS, or 7 hours annually for all NMS Stock ATSs (46 x 0.15 hours = 6.9 hours).  Therefore, the aggregate burden hours equals 1,317.9 hours (1,311 hours + 6.9 hours).  </w:t>
      </w:r>
    </w:p>
  </w:footnote>
  <w:footnote w:id="39">
    <w:p w14:paraId="2C19DCCC" w14:textId="68556D37" w:rsidR="00056690" w:rsidRPr="004357A7" w:rsidRDefault="00056690" w:rsidP="004357A7">
      <w:pPr>
        <w:pStyle w:val="FootnoteText"/>
        <w:spacing w:after="120"/>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r>
      <w:proofErr w:type="gramStart"/>
      <w:r w:rsidRPr="004357A7">
        <w:rPr>
          <w:rFonts w:ascii="Times New Roman" w:hAnsi="Times New Roman"/>
        </w:rPr>
        <w:t xml:space="preserve">Attorney at 1.5 hours + Compliance Clerk at 0.5 hours = </w:t>
      </w:r>
      <w:r>
        <w:rPr>
          <w:rFonts w:ascii="Times New Roman" w:hAnsi="Times New Roman"/>
        </w:rPr>
        <w:t>2</w:t>
      </w:r>
      <w:r w:rsidRPr="004357A7">
        <w:rPr>
          <w:rFonts w:ascii="Times New Roman" w:hAnsi="Times New Roman"/>
        </w:rPr>
        <w:t xml:space="preserve"> burden hours.</w:t>
      </w:r>
      <w:proofErr w:type="gramEnd"/>
      <w:r w:rsidRPr="004357A7">
        <w:rPr>
          <w:rFonts w:ascii="Times New Roman" w:hAnsi="Times New Roman"/>
        </w:rPr>
        <w:t xml:space="preserve">   </w:t>
      </w:r>
    </w:p>
  </w:footnote>
  <w:footnote w:id="40">
    <w:p w14:paraId="773855B3" w14:textId="77777777" w:rsidR="00056690" w:rsidRPr="004357A7" w:rsidRDefault="00056690" w:rsidP="004357A7">
      <w:pPr>
        <w:pStyle w:val="FootnoteText"/>
        <w:spacing w:after="1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t>2 burden hours x 6 NMS Stock ATSs = 12 aggregate annual burden hours.</w:t>
      </w:r>
    </w:p>
  </w:footnote>
  <w:footnote w:id="41">
    <w:p w14:paraId="5914DC3F" w14:textId="714E9542" w:rsidR="00056690" w:rsidRPr="004357A7" w:rsidRDefault="00056690" w:rsidP="004357A7">
      <w:pPr>
        <w:pStyle w:val="FootnoteText"/>
        <w:spacing w:after="120"/>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t xml:space="preserve">The hourly burden related to amendments to its Form ATS and Form ATS-N would remain unchanged: 6 estimated burden hours for amendments to Form ATS, and 9.5 estimated burden hours for Form ATS-N Amendments.    </w:t>
      </w:r>
    </w:p>
  </w:footnote>
  <w:footnote w:id="42">
    <w:p w14:paraId="10523887" w14:textId="2CD86488" w:rsidR="00056690" w:rsidRPr="004357A7" w:rsidRDefault="00056690" w:rsidP="004357A7">
      <w:pPr>
        <w:pStyle w:val="FootnoteText"/>
        <w:spacing w:after="120"/>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t xml:space="preserve">(Form ATS initial operation report at 20 </w:t>
      </w:r>
      <w:r w:rsidRPr="0011669D">
        <w:rPr>
          <w:rFonts w:ascii="Times New Roman" w:hAnsi="Times New Roman"/>
        </w:rPr>
        <w:t>hours + Form ATS-N at 1</w:t>
      </w:r>
      <w:r>
        <w:rPr>
          <w:rFonts w:ascii="Times New Roman" w:hAnsi="Times New Roman"/>
        </w:rPr>
        <w:t>4</w:t>
      </w:r>
      <w:r w:rsidRPr="004357A7">
        <w:rPr>
          <w:rFonts w:ascii="Times New Roman" w:hAnsi="Times New Roman"/>
        </w:rPr>
        <w:t>1.3 hours) x 11 ATSs = 1,774.3 aggregate burden hours.  Using the estimates of 2 amendments each year to Form ATS, and 3 amendments each year to Form ATS-N</w:t>
      </w:r>
      <w:r>
        <w:rPr>
          <w:rFonts w:ascii="Times New Roman" w:hAnsi="Times New Roman"/>
        </w:rPr>
        <w:t xml:space="preserve"> above</w:t>
      </w:r>
      <w:r w:rsidRPr="004357A7">
        <w:rPr>
          <w:rFonts w:ascii="Times New Roman" w:hAnsi="Times New Roman"/>
        </w:rPr>
        <w:t>, the ongoing aggregate burden for these bifurcated ATSs would be ((2 Form ATS Amendments per year x 6 hours) + (3 Form ATS-N Amendments per year x 9.5 hours)) x 11 respondents = 445.5 aggregate ongoing burden hours per year relating to amendments.</w:t>
      </w:r>
    </w:p>
  </w:footnote>
  <w:footnote w:id="43">
    <w:p w14:paraId="3D4F4C24" w14:textId="77777777" w:rsidR="00056690" w:rsidRPr="004357A7" w:rsidRDefault="00056690" w:rsidP="004357A7">
      <w:pPr>
        <w:pStyle w:val="FootnoteText"/>
        <w:spacing w:after="1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r>
      <w:proofErr w:type="gramStart"/>
      <w:r w:rsidRPr="004357A7">
        <w:rPr>
          <w:rFonts w:ascii="Times New Roman" w:hAnsi="Times New Roman"/>
        </w:rPr>
        <w:t>Attorney at .5 hours = .5 burden hours.</w:t>
      </w:r>
      <w:proofErr w:type="gramEnd"/>
    </w:p>
  </w:footnote>
  <w:footnote w:id="44">
    <w:p w14:paraId="04FF221A" w14:textId="77777777" w:rsidR="00056690" w:rsidRPr="004357A7" w:rsidRDefault="00056690" w:rsidP="004357A7">
      <w:pPr>
        <w:pStyle w:val="FootnoteText"/>
        <w:spacing w:after="120"/>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t>((Attorney at 3.5 hours + Compliance Clerk at 1 hour) x (4 filings annually)) x 11 ATSs = 198 aggregate burden hours.</w:t>
      </w:r>
    </w:p>
  </w:footnote>
  <w:footnote w:id="45">
    <w:p w14:paraId="0113DA34" w14:textId="77777777" w:rsidR="00056690" w:rsidRPr="004357A7" w:rsidRDefault="00056690" w:rsidP="004357A7">
      <w:pPr>
        <w:pStyle w:val="FootnoteText"/>
        <w:spacing w:after="120"/>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t xml:space="preserve">0.15 hours per EAUA x 2 individuals = 0.3 burden hours per NMS Stock ATS.  These estimates are based on the Commission and its staff’s experience with EFFS and EAUAs pursuant to Rule 19b-4 under the Exchange Act.  The 0.3 hours represents the time spent by two attorneys.  The Commission believes it is appropriate to estimate that, on average, each NMS Stock ATS will submit two EAUAs initially.  </w:t>
      </w:r>
    </w:p>
  </w:footnote>
  <w:footnote w:id="46">
    <w:p w14:paraId="71A6BA54" w14:textId="77777777" w:rsidR="00056690" w:rsidRPr="004357A7" w:rsidRDefault="00056690" w:rsidP="004357A7">
      <w:pPr>
        <w:pStyle w:val="FootnoteText"/>
        <w:spacing w:after="1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t>0.30 hours x 46 NMS Stock ATSs = 13.8 burden hours.</w:t>
      </w:r>
    </w:p>
  </w:footnote>
  <w:footnote w:id="47">
    <w:p w14:paraId="244726A0" w14:textId="77777777" w:rsidR="00056690" w:rsidRPr="004357A7" w:rsidRDefault="00056690" w:rsidP="004357A7">
      <w:pPr>
        <w:pStyle w:val="FootnoteText"/>
        <w:spacing w:after="120"/>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t xml:space="preserve">The Commission estimates that annually, on average, one individual at each NMS Stock ATS will request access to EFFS through EAUA to account for the possibility that an individual who previously had access to EFFS may no longer be designated as needing such access.  </w:t>
      </w:r>
    </w:p>
  </w:footnote>
  <w:footnote w:id="48">
    <w:p w14:paraId="58A17B99" w14:textId="77777777" w:rsidR="00056690" w:rsidRPr="004357A7" w:rsidRDefault="00056690" w:rsidP="004357A7">
      <w:pPr>
        <w:pStyle w:val="FootnoteText"/>
        <w:spacing w:after="1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t>0.15 hours per EAUA x 1 individual = 0.15 burden hours.</w:t>
      </w:r>
    </w:p>
  </w:footnote>
  <w:footnote w:id="49">
    <w:p w14:paraId="460F949E" w14:textId="77777777" w:rsidR="00056690" w:rsidRPr="004357A7" w:rsidRDefault="00056690" w:rsidP="004357A7">
      <w:pPr>
        <w:pStyle w:val="FootnoteText"/>
        <w:spacing w:after="1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t>0.15 hours x 46 NMS Stock ATSs = 6.9 burden hours.</w:t>
      </w:r>
    </w:p>
  </w:footnote>
  <w:footnote w:id="50">
    <w:p w14:paraId="6CCEA264" w14:textId="77777777" w:rsidR="00056690" w:rsidRPr="004357A7" w:rsidRDefault="00056690" w:rsidP="004357A7">
      <w:pPr>
        <w:pStyle w:val="FootnoteText"/>
        <w:spacing w:after="1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t xml:space="preserve">Senior Systems Analyst at 2 burden hours. </w:t>
      </w:r>
    </w:p>
  </w:footnote>
  <w:footnote w:id="51">
    <w:p w14:paraId="4E38B782" w14:textId="77777777" w:rsidR="00056690" w:rsidRPr="004357A7" w:rsidRDefault="00056690" w:rsidP="004357A7">
      <w:pPr>
        <w:pStyle w:val="FootnoteText"/>
        <w:spacing w:after="120"/>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t>Senior Systems Analyst at 2 hours x 46 NMS Stock ATSs = 92 burden hours.</w:t>
      </w:r>
    </w:p>
  </w:footnote>
  <w:footnote w:id="52">
    <w:p w14:paraId="74E63574" w14:textId="6F784EF2" w:rsidR="00056690" w:rsidRPr="004357A7" w:rsidRDefault="00056690" w:rsidP="004357A7">
      <w:pPr>
        <w:pStyle w:val="FootnoteText"/>
        <w:spacing w:after="120"/>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r>
      <w:proofErr w:type="gramStart"/>
      <w:r w:rsidRPr="004357A7">
        <w:rPr>
          <w:rFonts w:ascii="Times New Roman" w:hAnsi="Times New Roman"/>
        </w:rPr>
        <w:t>Attorney at 7 hours.</w:t>
      </w:r>
      <w:proofErr w:type="gramEnd"/>
      <w:r w:rsidRPr="004357A7">
        <w:rPr>
          <w:rFonts w:ascii="Times New Roman" w:hAnsi="Times New Roman"/>
        </w:rPr>
        <w:t xml:space="preserve"> </w:t>
      </w:r>
      <w:r>
        <w:rPr>
          <w:rFonts w:ascii="Times New Roman" w:hAnsi="Times New Roman"/>
        </w:rPr>
        <w:t xml:space="preserve"> ATSs will also be required to preserve the written Rule 301(b</w:t>
      </w:r>
      <w:proofErr w:type="gramStart"/>
      <w:r>
        <w:rPr>
          <w:rFonts w:ascii="Times New Roman" w:hAnsi="Times New Roman"/>
        </w:rPr>
        <w:t>)(</w:t>
      </w:r>
      <w:proofErr w:type="gramEnd"/>
      <w:r>
        <w:rPr>
          <w:rFonts w:ascii="Times New Roman" w:hAnsi="Times New Roman"/>
        </w:rPr>
        <w:t xml:space="preserve">10) procedures pursuant to proposed Rule 303 of Regulation ATS.  The burden associated with such recordkeeping is discussed in the PRA Supporting Statement for Rule 303.  </w:t>
      </w:r>
    </w:p>
  </w:footnote>
  <w:footnote w:id="53">
    <w:p w14:paraId="3E9DA2D2" w14:textId="060ECC52" w:rsidR="00056690" w:rsidRPr="004357A7" w:rsidRDefault="00056690" w:rsidP="004357A7">
      <w:pPr>
        <w:pStyle w:val="FootnoteText"/>
        <w:spacing w:after="120"/>
        <w:rPr>
          <w:rFonts w:ascii="Times New Roman" w:hAnsi="Times New Roman"/>
        </w:rPr>
      </w:pPr>
      <w:r w:rsidRPr="004357A7">
        <w:rPr>
          <w:rStyle w:val="FootnoteReference"/>
          <w:rFonts w:ascii="Times New Roman" w:hAnsi="Times New Roman"/>
        </w:rPr>
        <w:footnoteRef/>
      </w:r>
      <w:r w:rsidRPr="00160124">
        <w:rPr>
          <w:rFonts w:ascii="Times New Roman" w:hAnsi="Times New Roman"/>
        </w:rPr>
        <w:t xml:space="preserve"> </w:t>
      </w:r>
      <w:r w:rsidRPr="00160124">
        <w:rPr>
          <w:rFonts w:ascii="Times New Roman" w:hAnsi="Times New Roman"/>
        </w:rPr>
        <w:tab/>
      </w:r>
      <w:proofErr w:type="gramStart"/>
      <w:r w:rsidRPr="00160124">
        <w:rPr>
          <w:rFonts w:ascii="Times New Roman" w:hAnsi="Times New Roman"/>
        </w:rPr>
        <w:t>Attorney at 4-9 hours</w:t>
      </w:r>
      <w:r w:rsidRPr="004357A7">
        <w:rPr>
          <w:rFonts w:ascii="Times New Roman" w:hAnsi="Times New Roman"/>
        </w:rPr>
        <w:t>.</w:t>
      </w:r>
      <w:proofErr w:type="gramEnd"/>
      <w:r w:rsidRPr="004357A7">
        <w:rPr>
          <w:rFonts w:ascii="Times New Roman" w:hAnsi="Times New Roman"/>
        </w:rPr>
        <w:t xml:space="preserve"> </w:t>
      </w:r>
    </w:p>
  </w:footnote>
  <w:footnote w:id="54">
    <w:p w14:paraId="73ECDFBB" w14:textId="7B877F9B" w:rsidR="00056690" w:rsidRPr="004357A7" w:rsidRDefault="00056690" w:rsidP="004357A7">
      <w:pPr>
        <w:pStyle w:val="FootnoteText"/>
        <w:spacing w:after="120"/>
        <w:ind w:left="720" w:hanging="720"/>
        <w:rPr>
          <w:rFonts w:ascii="Times New Roman" w:hAnsi="Times New Roman"/>
        </w:rPr>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t>(Attorney at 9 hours</w:t>
      </w:r>
      <w:r>
        <w:rPr>
          <w:rFonts w:ascii="Times New Roman" w:hAnsi="Times New Roman"/>
        </w:rPr>
        <w:t>)</w:t>
      </w:r>
      <w:r w:rsidRPr="004357A7">
        <w:rPr>
          <w:rFonts w:ascii="Times New Roman" w:hAnsi="Times New Roman"/>
        </w:rPr>
        <w:t xml:space="preserve"> x (15 ATSs) = 1</w:t>
      </w:r>
      <w:r>
        <w:rPr>
          <w:rFonts w:ascii="Times New Roman" w:hAnsi="Times New Roman"/>
        </w:rPr>
        <w:t>35</w:t>
      </w:r>
      <w:r w:rsidRPr="004357A7">
        <w:rPr>
          <w:rFonts w:ascii="Times New Roman" w:hAnsi="Times New Roman"/>
        </w:rPr>
        <w:t xml:space="preserve"> burden hours.  </w:t>
      </w:r>
    </w:p>
  </w:footnote>
  <w:footnote w:id="55">
    <w:p w14:paraId="07FC9EA2" w14:textId="6693EE60" w:rsidR="00056690" w:rsidRPr="004357A7" w:rsidRDefault="00056690" w:rsidP="004357A7">
      <w:pPr>
        <w:pStyle w:val="FootnoteText"/>
        <w:spacing w:after="120"/>
        <w:rPr>
          <w:rFonts w:ascii="Times New Roman" w:hAnsi="Times New Roman"/>
        </w:rPr>
      </w:pPr>
      <w:r>
        <w:rPr>
          <w:rStyle w:val="FootnoteReference"/>
        </w:rPr>
        <w:footnoteRef/>
      </w:r>
      <w:r>
        <w:t xml:space="preserve"> </w:t>
      </w:r>
      <w:r>
        <w:tab/>
      </w:r>
      <w:proofErr w:type="gramStart"/>
      <w:r w:rsidRPr="004357A7">
        <w:rPr>
          <w:rFonts w:ascii="Times New Roman" w:hAnsi="Times New Roman"/>
        </w:rPr>
        <w:t>Attorney at 2 hours.</w:t>
      </w:r>
      <w:proofErr w:type="gramEnd"/>
      <w:r w:rsidRPr="004357A7">
        <w:rPr>
          <w:rFonts w:ascii="Times New Roman" w:hAnsi="Times New Roman"/>
        </w:rPr>
        <w:t xml:space="preserve"> </w:t>
      </w:r>
    </w:p>
  </w:footnote>
  <w:footnote w:id="56">
    <w:p w14:paraId="015E6B32" w14:textId="56575408" w:rsidR="00056690" w:rsidRDefault="00056690" w:rsidP="004357A7">
      <w:pPr>
        <w:pStyle w:val="FootnoteText"/>
        <w:spacing w:after="120"/>
      </w:pPr>
      <w:r w:rsidRPr="004357A7">
        <w:rPr>
          <w:rStyle w:val="FootnoteReference"/>
          <w:rFonts w:ascii="Times New Roman" w:hAnsi="Times New Roman"/>
        </w:rPr>
        <w:footnoteRef/>
      </w:r>
      <w:r w:rsidRPr="004357A7">
        <w:rPr>
          <w:rFonts w:ascii="Times New Roman" w:hAnsi="Times New Roman"/>
        </w:rPr>
        <w:t xml:space="preserve"> </w:t>
      </w:r>
      <w:r w:rsidRPr="004357A7">
        <w:rPr>
          <w:rFonts w:ascii="Times New Roman" w:hAnsi="Times New Roman"/>
        </w:rPr>
        <w:tab/>
        <w:t xml:space="preserve">Attorney at </w:t>
      </w:r>
      <w:r>
        <w:rPr>
          <w:rFonts w:ascii="Times New Roman" w:hAnsi="Times New Roman"/>
        </w:rPr>
        <w:t>1.5</w:t>
      </w:r>
      <w:r w:rsidRPr="004357A7">
        <w:rPr>
          <w:rFonts w:ascii="Times New Roman" w:hAnsi="Times New Roman"/>
        </w:rPr>
        <w:t xml:space="preserve"> hours x 84 ATSs = </w:t>
      </w:r>
      <w:r>
        <w:rPr>
          <w:rFonts w:ascii="Times New Roman" w:hAnsi="Times New Roman"/>
        </w:rPr>
        <w:t>126</w:t>
      </w:r>
      <w:r w:rsidRPr="004357A7">
        <w:rPr>
          <w:rFonts w:ascii="Times New Roman" w:hAnsi="Times New Roman"/>
        </w:rPr>
        <w:t xml:space="preserve"> burden hours.</w:t>
      </w:r>
      <w:r>
        <w:t xml:space="preserve">  </w:t>
      </w:r>
    </w:p>
  </w:footnote>
  <w:footnote w:id="57">
    <w:p w14:paraId="5FD63B64" w14:textId="77777777" w:rsidR="00056690" w:rsidRPr="001D4B88" w:rsidRDefault="00056690" w:rsidP="00BD7DD8">
      <w:pPr>
        <w:pStyle w:val="FootnoteText"/>
        <w:spacing w:after="120"/>
        <w:ind w:left="720" w:hanging="720"/>
        <w:rPr>
          <w:rFonts w:ascii="Times New Roman" w:hAnsi="Times New Roman"/>
        </w:rPr>
      </w:pPr>
      <w:r w:rsidRPr="00285756">
        <w:rPr>
          <w:rStyle w:val="FootnoteReference"/>
          <w:rFonts w:ascii="Times New Roman" w:hAnsi="Times New Roman"/>
        </w:rPr>
        <w:footnoteRef/>
      </w:r>
      <w:r w:rsidRPr="00285756">
        <w:rPr>
          <w:rFonts w:ascii="Times New Roman" w:hAnsi="Times New Roman"/>
        </w:rPr>
        <w:t xml:space="preserve"> </w:t>
      </w:r>
      <w:r w:rsidRPr="00285756">
        <w:rPr>
          <w:rFonts w:ascii="Times New Roman" w:hAnsi="Times New Roman"/>
        </w:rPr>
        <w:tab/>
        <w:t xml:space="preserve">While fair access obligations are triggered when volume thresholds are crossed on a </w:t>
      </w:r>
      <w:r w:rsidRPr="00F15124">
        <w:rPr>
          <w:rFonts w:ascii="Times New Roman" w:hAnsi="Times New Roman"/>
        </w:rPr>
        <w:t>security-by-security basis with respect to specific equity securities, and on a percentage of market basis with respect to fixed income securities, it would be difficult, if not impossible, to estimate the exact number of securities with respect to which a</w:t>
      </w:r>
      <w:r w:rsidRPr="001D4B88">
        <w:rPr>
          <w:rFonts w:ascii="Times New Roman" w:hAnsi="Times New Roman"/>
        </w:rPr>
        <w:t xml:space="preserve">n ATS would cross a volume threshold.  In practice, however, if an ATS crosses a volume threshold for any securities, it would typically offer fair access to its entire system. </w:t>
      </w:r>
    </w:p>
  </w:footnote>
  <w:footnote w:id="58">
    <w:p w14:paraId="38B14505" w14:textId="77777777" w:rsidR="00056690" w:rsidRPr="00EA321E" w:rsidRDefault="00056690" w:rsidP="00BD7DD8">
      <w:pPr>
        <w:pStyle w:val="FootnoteText"/>
        <w:spacing w:after="120"/>
        <w:ind w:left="720" w:hanging="720"/>
        <w:rPr>
          <w:rFonts w:ascii="Times New Roman" w:hAnsi="Times New Roman"/>
        </w:rPr>
      </w:pPr>
      <w:r w:rsidRPr="001D4B88">
        <w:rPr>
          <w:rStyle w:val="FootnoteReference"/>
          <w:rFonts w:ascii="Times New Roman" w:hAnsi="Times New Roman"/>
        </w:rPr>
        <w:footnoteRef/>
      </w:r>
      <w:r w:rsidRPr="00285756">
        <w:rPr>
          <w:rFonts w:ascii="Times New Roman" w:hAnsi="Times New Roman"/>
        </w:rPr>
        <w:t xml:space="preserve"> </w:t>
      </w:r>
      <w:r w:rsidRPr="00285756">
        <w:rPr>
          <w:rFonts w:ascii="Times New Roman" w:hAnsi="Times New Roman"/>
        </w:rPr>
        <w:tab/>
        <w:t>The burdens associated with filing Form A</w:t>
      </w:r>
      <w:r w:rsidRPr="00EA321E">
        <w:rPr>
          <w:rFonts w:ascii="Times New Roman" w:hAnsi="Times New Roman"/>
        </w:rPr>
        <w:t>TS-R are discussed in subsection (c) above.</w:t>
      </w:r>
    </w:p>
  </w:footnote>
  <w:footnote w:id="59">
    <w:p w14:paraId="479780BA" w14:textId="77777777" w:rsidR="00056690" w:rsidRPr="00E87DE9" w:rsidRDefault="00056690" w:rsidP="001D4B88">
      <w:pPr>
        <w:pStyle w:val="FootnoteText"/>
        <w:spacing w:after="120"/>
        <w:rPr>
          <w:rFonts w:ascii="Times New Roman" w:hAnsi="Times New Roman"/>
        </w:rPr>
      </w:pPr>
      <w:r w:rsidRPr="00E87DE9">
        <w:rPr>
          <w:rStyle w:val="FootnoteReference"/>
          <w:rFonts w:ascii="Times New Roman" w:hAnsi="Times New Roman"/>
        </w:rPr>
        <w:footnoteRef/>
      </w:r>
      <w:r w:rsidRPr="00E87DE9">
        <w:rPr>
          <w:rFonts w:ascii="Times New Roman" w:hAnsi="Times New Roman"/>
        </w:rPr>
        <w:t xml:space="preserve"> </w:t>
      </w:r>
      <w:r w:rsidRPr="00E87DE9">
        <w:rPr>
          <w:rFonts w:ascii="Times New Roman" w:hAnsi="Times New Roman"/>
        </w:rPr>
        <w:tab/>
        <w:t>$25 per digital ID x 2 individuals = $50 per NMS Stock ATS.</w:t>
      </w:r>
    </w:p>
  </w:footnote>
  <w:footnote w:id="60">
    <w:p w14:paraId="1A323E5B" w14:textId="77777777" w:rsidR="00056690" w:rsidRPr="00E87DE9" w:rsidRDefault="00056690" w:rsidP="001D4B88">
      <w:pPr>
        <w:pStyle w:val="FootnoteText"/>
        <w:spacing w:after="120"/>
        <w:rPr>
          <w:rFonts w:ascii="Times New Roman" w:hAnsi="Times New Roman"/>
        </w:rPr>
      </w:pPr>
      <w:r w:rsidRPr="00E87DE9">
        <w:rPr>
          <w:rStyle w:val="FootnoteReference"/>
          <w:rFonts w:ascii="Times New Roman" w:hAnsi="Times New Roman"/>
        </w:rPr>
        <w:footnoteRef/>
      </w:r>
      <w:r w:rsidRPr="00E87DE9">
        <w:rPr>
          <w:rFonts w:ascii="Times New Roman" w:hAnsi="Times New Roman"/>
        </w:rPr>
        <w:t xml:space="preserve"> </w:t>
      </w:r>
      <w:r w:rsidRPr="00E87DE9">
        <w:rPr>
          <w:rFonts w:ascii="Times New Roman" w:hAnsi="Times New Roman"/>
        </w:rPr>
        <w:tab/>
        <w:t>$50 per NMS Stock ATS x 46 NMS Stock ATSs = $2,300.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37F78" w14:textId="77777777" w:rsidR="00056690" w:rsidRDefault="00056690">
    <w:pPr>
      <w:tabs>
        <w:tab w:val="left" w:pos="-720"/>
      </w:tabs>
      <w:suppressAutoHyphens/>
      <w:spacing w:line="240" w:lineRule="atLeast"/>
      <w:jc w:val="both"/>
      <w:rPr>
        <w:spacing w:val="-2"/>
      </w:rPr>
    </w:pPr>
    <w:r>
      <w:rPr>
        <w:noProof/>
      </w:rPr>
      <mc:AlternateContent>
        <mc:Choice Requires="wps">
          <w:drawing>
            <wp:anchor distT="0" distB="0" distL="114300" distR="114300" simplePos="0" relativeHeight="251657728" behindDoc="1" locked="0" layoutInCell="0" allowOverlap="1" wp14:anchorId="4581B98D" wp14:editId="1CB8226D">
              <wp:simplePos x="0" y="0"/>
              <wp:positionH relativeFrom="margin">
                <wp:posOffset>19050</wp:posOffset>
              </wp:positionH>
              <wp:positionV relativeFrom="paragraph">
                <wp:posOffset>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E9CC6DB" w14:textId="77777777" w:rsidR="00056690" w:rsidRPr="007816B0" w:rsidRDefault="00056690">
                          <w:pPr>
                            <w:tabs>
                              <w:tab w:val="center" w:pos="4650"/>
                            </w:tabs>
                            <w:suppressAutoHyphens/>
                            <w:spacing w:line="240" w:lineRule="atLeast"/>
                            <w:rPr>
                              <w:rFonts w:ascii="Times New Roman" w:hAnsi="Times New Roman" w:cs="Times New Roman"/>
                            </w:rPr>
                          </w:pPr>
                          <w:r>
                            <w:tab/>
                          </w:r>
                          <w:r w:rsidRPr="007816B0">
                            <w:rPr>
                              <w:rFonts w:ascii="Times New Roman" w:hAnsi="Times New Roman" w:cs="Times New Roman"/>
                            </w:rPr>
                            <w:fldChar w:fldCharType="begin"/>
                          </w:r>
                          <w:r w:rsidRPr="007816B0">
                            <w:rPr>
                              <w:rFonts w:ascii="Times New Roman" w:hAnsi="Times New Roman" w:cs="Times New Roman"/>
                            </w:rPr>
                            <w:instrText>page \* arabic</w:instrText>
                          </w:r>
                          <w:r w:rsidRPr="007816B0">
                            <w:rPr>
                              <w:rFonts w:ascii="Times New Roman" w:hAnsi="Times New Roman" w:cs="Times New Roman"/>
                            </w:rPr>
                            <w:fldChar w:fldCharType="separate"/>
                          </w:r>
                          <w:r w:rsidR="003D1306">
                            <w:rPr>
                              <w:rFonts w:ascii="Times New Roman" w:hAnsi="Times New Roman" w:cs="Times New Roman"/>
                              <w:noProof/>
                            </w:rPr>
                            <w:t>25</w:t>
                          </w:r>
                          <w:r w:rsidRPr="007816B0">
                            <w:rPr>
                              <w:rFonts w:ascii="Times New Roman" w:hAnsi="Times New Roman" w:cs="Times New Roman"/>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5pt;margin-top:0;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" o:allowincell="f" filled="f" stroked="f" strokeweight="0">
              <v:textbox inset="0,0,0,0">
                <w:txbxContent>
                  <w:p w14:paraId="4E9CC6DB" w14:textId="77777777" w:rsidR="00056690" w:rsidRPr="007816B0" w:rsidRDefault="00056690">
                    <w:pPr>
                      <w:tabs>
                        <w:tab w:val="center" w:pos="4650"/>
                      </w:tabs>
                      <w:suppressAutoHyphens/>
                      <w:spacing w:line="240" w:lineRule="atLeast"/>
                      <w:rPr>
                        <w:rFonts w:ascii="Times New Roman" w:hAnsi="Times New Roman" w:cs="Times New Roman"/>
                      </w:rPr>
                    </w:pPr>
                    <w:r>
                      <w:tab/>
                    </w:r>
                    <w:r w:rsidRPr="007816B0">
                      <w:rPr>
                        <w:rFonts w:ascii="Times New Roman" w:hAnsi="Times New Roman" w:cs="Times New Roman"/>
                      </w:rPr>
                      <w:fldChar w:fldCharType="begin"/>
                    </w:r>
                    <w:r w:rsidRPr="007816B0">
                      <w:rPr>
                        <w:rFonts w:ascii="Times New Roman" w:hAnsi="Times New Roman" w:cs="Times New Roman"/>
                      </w:rPr>
                      <w:instrText>page \* arabic</w:instrText>
                    </w:r>
                    <w:r w:rsidRPr="007816B0">
                      <w:rPr>
                        <w:rFonts w:ascii="Times New Roman" w:hAnsi="Times New Roman" w:cs="Times New Roman"/>
                      </w:rPr>
                      <w:fldChar w:fldCharType="separate"/>
                    </w:r>
                    <w:r w:rsidR="003D1306">
                      <w:rPr>
                        <w:rFonts w:ascii="Times New Roman" w:hAnsi="Times New Roman" w:cs="Times New Roman"/>
                        <w:noProof/>
                      </w:rPr>
                      <w:t>25</w:t>
                    </w:r>
                    <w:r w:rsidRPr="007816B0">
                      <w:rPr>
                        <w:rFonts w:ascii="Times New Roman" w:hAnsi="Times New Roman" w:cs="Times New Roman"/>
                        <w:noProof/>
                      </w:rPr>
                      <w:fldChar w:fldCharType="end"/>
                    </w:r>
                  </w:p>
                </w:txbxContent>
              </v:textbox>
              <w10:wrap anchorx="margin"/>
            </v:rect>
          </w:pict>
        </mc:Fallback>
      </mc:AlternateContent>
    </w:r>
  </w:p>
  <w:p w14:paraId="2B1DFDAE" w14:textId="77777777" w:rsidR="00056690" w:rsidRDefault="00056690">
    <w:pPr>
      <w:spacing w:after="140" w:line="100" w:lineRule="exact"/>
      <w:rPr>
        <w:rFonts w:cs="Times New Roman"/>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4BBF5" w14:textId="1412291D" w:rsidR="00056690" w:rsidRPr="00601648" w:rsidRDefault="00056690" w:rsidP="00601648">
    <w:pPr>
      <w:pStyle w:val="Header"/>
      <w:jc w:val="right"/>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60CC"/>
    <w:multiLevelType w:val="hybridMultilevel"/>
    <w:tmpl w:val="A09ADB5A"/>
    <w:lvl w:ilvl="0" w:tplc="778A58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C1A5E"/>
    <w:multiLevelType w:val="hybridMultilevel"/>
    <w:tmpl w:val="7A9AE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212F24"/>
    <w:multiLevelType w:val="hybridMultilevel"/>
    <w:tmpl w:val="3102994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8378E8"/>
    <w:multiLevelType w:val="hybridMultilevel"/>
    <w:tmpl w:val="9D286D52"/>
    <w:lvl w:ilvl="0" w:tplc="F8440C3C">
      <w:start w:val="1"/>
      <w:numFmt w:val="upperLetter"/>
      <w:lvlText w:val="%1."/>
      <w:lvlJc w:val="left"/>
      <w:pPr>
        <w:ind w:left="1080" w:hanging="360"/>
      </w:pPr>
      <w:rPr>
        <w:rFonts w:hint="default"/>
        <w:u w:val="none"/>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nsid w:val="153421B1"/>
    <w:multiLevelType w:val="hybridMultilevel"/>
    <w:tmpl w:val="03C629A8"/>
    <w:lvl w:ilvl="0" w:tplc="1938FBE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FA40E8D"/>
    <w:multiLevelType w:val="hybridMultilevel"/>
    <w:tmpl w:val="2AB010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B1AA1"/>
    <w:multiLevelType w:val="hybridMultilevel"/>
    <w:tmpl w:val="671E537C"/>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8363B7"/>
    <w:multiLevelType w:val="hybridMultilevel"/>
    <w:tmpl w:val="3102994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C4B118A"/>
    <w:multiLevelType w:val="hybridMultilevel"/>
    <w:tmpl w:val="55DA02E8"/>
    <w:lvl w:ilvl="0" w:tplc="FF8E7C04">
      <w:start w:val="1"/>
      <w:numFmt w:val="upperLetter"/>
      <w:lvlText w:val="%1."/>
      <w:lvlJc w:val="left"/>
      <w:pPr>
        <w:ind w:left="180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5976D5"/>
    <w:multiLevelType w:val="hybridMultilevel"/>
    <w:tmpl w:val="6E08819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943133"/>
    <w:multiLevelType w:val="hybridMultilevel"/>
    <w:tmpl w:val="CCBE1CE8"/>
    <w:lvl w:ilvl="0" w:tplc="FE1C394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10"/>
  </w:num>
  <w:num w:numId="5">
    <w:abstractNumId w:val="9"/>
  </w:num>
  <w:num w:numId="6">
    <w:abstractNumId w:val="6"/>
  </w:num>
  <w:num w:numId="7">
    <w:abstractNumId w:val="2"/>
  </w:num>
  <w:num w:numId="8">
    <w:abstractNumId w:val="4"/>
  </w:num>
  <w:num w:numId="9">
    <w:abstractNumId w:val="7"/>
  </w:num>
  <w:num w:numId="10">
    <w:abstractNumId w:val="0"/>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8C4"/>
    <w:rsid w:val="00000845"/>
    <w:rsid w:val="00001975"/>
    <w:rsid w:val="00002B46"/>
    <w:rsid w:val="00004D05"/>
    <w:rsid w:val="00006617"/>
    <w:rsid w:val="00006DC7"/>
    <w:rsid w:val="0001049F"/>
    <w:rsid w:val="000106DD"/>
    <w:rsid w:val="0001179E"/>
    <w:rsid w:val="00011AF6"/>
    <w:rsid w:val="00011E1C"/>
    <w:rsid w:val="00012669"/>
    <w:rsid w:val="000137AB"/>
    <w:rsid w:val="00013905"/>
    <w:rsid w:val="00014E2B"/>
    <w:rsid w:val="00020829"/>
    <w:rsid w:val="00021F17"/>
    <w:rsid w:val="00022B70"/>
    <w:rsid w:val="00023565"/>
    <w:rsid w:val="00023753"/>
    <w:rsid w:val="00023E55"/>
    <w:rsid w:val="00026AAB"/>
    <w:rsid w:val="000310F2"/>
    <w:rsid w:val="00034289"/>
    <w:rsid w:val="00036E57"/>
    <w:rsid w:val="00042B18"/>
    <w:rsid w:val="00045BCE"/>
    <w:rsid w:val="00045D2E"/>
    <w:rsid w:val="00051097"/>
    <w:rsid w:val="00051601"/>
    <w:rsid w:val="00051C29"/>
    <w:rsid w:val="0005399A"/>
    <w:rsid w:val="000545E4"/>
    <w:rsid w:val="00054BBB"/>
    <w:rsid w:val="0005535E"/>
    <w:rsid w:val="00056690"/>
    <w:rsid w:val="00062DD4"/>
    <w:rsid w:val="00063BDB"/>
    <w:rsid w:val="00066159"/>
    <w:rsid w:val="00066936"/>
    <w:rsid w:val="00070FE7"/>
    <w:rsid w:val="00071045"/>
    <w:rsid w:val="00071221"/>
    <w:rsid w:val="000740BD"/>
    <w:rsid w:val="00075A78"/>
    <w:rsid w:val="00075BF0"/>
    <w:rsid w:val="00075C24"/>
    <w:rsid w:val="00076287"/>
    <w:rsid w:val="000765A0"/>
    <w:rsid w:val="00076667"/>
    <w:rsid w:val="00080AD5"/>
    <w:rsid w:val="00084282"/>
    <w:rsid w:val="0008594A"/>
    <w:rsid w:val="0009003E"/>
    <w:rsid w:val="000904F3"/>
    <w:rsid w:val="00091474"/>
    <w:rsid w:val="00091ED1"/>
    <w:rsid w:val="00093650"/>
    <w:rsid w:val="0009452B"/>
    <w:rsid w:val="000952F8"/>
    <w:rsid w:val="000A4C5B"/>
    <w:rsid w:val="000A66BE"/>
    <w:rsid w:val="000A6E41"/>
    <w:rsid w:val="000B0A84"/>
    <w:rsid w:val="000B77B5"/>
    <w:rsid w:val="000C05F3"/>
    <w:rsid w:val="000C3CD9"/>
    <w:rsid w:val="000C3DF2"/>
    <w:rsid w:val="000C411E"/>
    <w:rsid w:val="000C7104"/>
    <w:rsid w:val="000D60FB"/>
    <w:rsid w:val="000D65B5"/>
    <w:rsid w:val="000D7F96"/>
    <w:rsid w:val="000E022C"/>
    <w:rsid w:val="000F1C88"/>
    <w:rsid w:val="000F2E34"/>
    <w:rsid w:val="000F34EB"/>
    <w:rsid w:val="000F3725"/>
    <w:rsid w:val="000F5979"/>
    <w:rsid w:val="000F67E5"/>
    <w:rsid w:val="00101D45"/>
    <w:rsid w:val="00102027"/>
    <w:rsid w:val="00106B77"/>
    <w:rsid w:val="00107152"/>
    <w:rsid w:val="001117BE"/>
    <w:rsid w:val="001120EB"/>
    <w:rsid w:val="0011348A"/>
    <w:rsid w:val="00114885"/>
    <w:rsid w:val="00114DBE"/>
    <w:rsid w:val="00114FA5"/>
    <w:rsid w:val="0011669D"/>
    <w:rsid w:val="00116827"/>
    <w:rsid w:val="001213B4"/>
    <w:rsid w:val="00121510"/>
    <w:rsid w:val="00121EFA"/>
    <w:rsid w:val="00126457"/>
    <w:rsid w:val="00126797"/>
    <w:rsid w:val="00126A79"/>
    <w:rsid w:val="00130167"/>
    <w:rsid w:val="001301E2"/>
    <w:rsid w:val="00130C8B"/>
    <w:rsid w:val="00130CFC"/>
    <w:rsid w:val="00136C9C"/>
    <w:rsid w:val="00136E44"/>
    <w:rsid w:val="0014042C"/>
    <w:rsid w:val="001419F5"/>
    <w:rsid w:val="00142991"/>
    <w:rsid w:val="00142E7D"/>
    <w:rsid w:val="00142FA0"/>
    <w:rsid w:val="0014334B"/>
    <w:rsid w:val="0015039B"/>
    <w:rsid w:val="001526DD"/>
    <w:rsid w:val="001545C1"/>
    <w:rsid w:val="00155BF8"/>
    <w:rsid w:val="00160124"/>
    <w:rsid w:val="00160D6D"/>
    <w:rsid w:val="00161241"/>
    <w:rsid w:val="00162262"/>
    <w:rsid w:val="00162533"/>
    <w:rsid w:val="001669EF"/>
    <w:rsid w:val="00170C16"/>
    <w:rsid w:val="00171BB4"/>
    <w:rsid w:val="0017208D"/>
    <w:rsid w:val="00173FB7"/>
    <w:rsid w:val="0017404C"/>
    <w:rsid w:val="00175978"/>
    <w:rsid w:val="001862E0"/>
    <w:rsid w:val="001863BB"/>
    <w:rsid w:val="00186858"/>
    <w:rsid w:val="001868DD"/>
    <w:rsid w:val="00187B27"/>
    <w:rsid w:val="00193E75"/>
    <w:rsid w:val="00194EEE"/>
    <w:rsid w:val="00196393"/>
    <w:rsid w:val="001964CB"/>
    <w:rsid w:val="001A26FE"/>
    <w:rsid w:val="001A3F94"/>
    <w:rsid w:val="001A4ADB"/>
    <w:rsid w:val="001A4B32"/>
    <w:rsid w:val="001A5595"/>
    <w:rsid w:val="001A6BB4"/>
    <w:rsid w:val="001A709F"/>
    <w:rsid w:val="001A781D"/>
    <w:rsid w:val="001A794D"/>
    <w:rsid w:val="001B21D1"/>
    <w:rsid w:val="001B35F1"/>
    <w:rsid w:val="001B3953"/>
    <w:rsid w:val="001B4061"/>
    <w:rsid w:val="001B4C7C"/>
    <w:rsid w:val="001B5268"/>
    <w:rsid w:val="001B634D"/>
    <w:rsid w:val="001C03F1"/>
    <w:rsid w:val="001C0A4A"/>
    <w:rsid w:val="001C0AFF"/>
    <w:rsid w:val="001C2167"/>
    <w:rsid w:val="001C5D99"/>
    <w:rsid w:val="001D39E9"/>
    <w:rsid w:val="001D4B88"/>
    <w:rsid w:val="001D5248"/>
    <w:rsid w:val="001D6B31"/>
    <w:rsid w:val="001E153D"/>
    <w:rsid w:val="001E31E0"/>
    <w:rsid w:val="001E41C7"/>
    <w:rsid w:val="001F1CED"/>
    <w:rsid w:val="001F48A3"/>
    <w:rsid w:val="001F65C4"/>
    <w:rsid w:val="00204681"/>
    <w:rsid w:val="002079B4"/>
    <w:rsid w:val="00210AAC"/>
    <w:rsid w:val="00210EA2"/>
    <w:rsid w:val="002124CB"/>
    <w:rsid w:val="0021286A"/>
    <w:rsid w:val="00212B5D"/>
    <w:rsid w:val="00213667"/>
    <w:rsid w:val="00213B10"/>
    <w:rsid w:val="00213D71"/>
    <w:rsid w:val="002148E3"/>
    <w:rsid w:val="0022164D"/>
    <w:rsid w:val="00223EB1"/>
    <w:rsid w:val="00225691"/>
    <w:rsid w:val="002266B8"/>
    <w:rsid w:val="00235480"/>
    <w:rsid w:val="00240072"/>
    <w:rsid w:val="0024306C"/>
    <w:rsid w:val="00252269"/>
    <w:rsid w:val="002658F7"/>
    <w:rsid w:val="0027044E"/>
    <w:rsid w:val="002738EC"/>
    <w:rsid w:val="00273E38"/>
    <w:rsid w:val="002749AC"/>
    <w:rsid w:val="00274CD5"/>
    <w:rsid w:val="00280E9C"/>
    <w:rsid w:val="002833FF"/>
    <w:rsid w:val="00285756"/>
    <w:rsid w:val="00290B7F"/>
    <w:rsid w:val="00294D57"/>
    <w:rsid w:val="00296FB7"/>
    <w:rsid w:val="002975CA"/>
    <w:rsid w:val="002A20C3"/>
    <w:rsid w:val="002A214F"/>
    <w:rsid w:val="002A4349"/>
    <w:rsid w:val="002A57DE"/>
    <w:rsid w:val="002A57F9"/>
    <w:rsid w:val="002A775B"/>
    <w:rsid w:val="002B3408"/>
    <w:rsid w:val="002B36B5"/>
    <w:rsid w:val="002B6533"/>
    <w:rsid w:val="002B66A5"/>
    <w:rsid w:val="002B7388"/>
    <w:rsid w:val="002C093C"/>
    <w:rsid w:val="002C0943"/>
    <w:rsid w:val="002C1B1B"/>
    <w:rsid w:val="002C2F20"/>
    <w:rsid w:val="002C37DD"/>
    <w:rsid w:val="002C3862"/>
    <w:rsid w:val="002C38F5"/>
    <w:rsid w:val="002C4F28"/>
    <w:rsid w:val="002C6A7E"/>
    <w:rsid w:val="002D2731"/>
    <w:rsid w:val="002D4195"/>
    <w:rsid w:val="002D4322"/>
    <w:rsid w:val="002D65FF"/>
    <w:rsid w:val="002D6905"/>
    <w:rsid w:val="002E0150"/>
    <w:rsid w:val="002E2A28"/>
    <w:rsid w:val="002E35B6"/>
    <w:rsid w:val="002E3773"/>
    <w:rsid w:val="002E5EF0"/>
    <w:rsid w:val="002F0EDE"/>
    <w:rsid w:val="002F0F86"/>
    <w:rsid w:val="002F3CD3"/>
    <w:rsid w:val="002F475B"/>
    <w:rsid w:val="002F4AD6"/>
    <w:rsid w:val="002F5C69"/>
    <w:rsid w:val="003006D7"/>
    <w:rsid w:val="003026E9"/>
    <w:rsid w:val="00303219"/>
    <w:rsid w:val="00305D45"/>
    <w:rsid w:val="0030623A"/>
    <w:rsid w:val="0030650A"/>
    <w:rsid w:val="00306F20"/>
    <w:rsid w:val="003109C8"/>
    <w:rsid w:val="00314DD3"/>
    <w:rsid w:val="003154B1"/>
    <w:rsid w:val="00315759"/>
    <w:rsid w:val="00317663"/>
    <w:rsid w:val="00317C38"/>
    <w:rsid w:val="00321994"/>
    <w:rsid w:val="00321A77"/>
    <w:rsid w:val="0032387F"/>
    <w:rsid w:val="00324CF4"/>
    <w:rsid w:val="00324D82"/>
    <w:rsid w:val="003252A7"/>
    <w:rsid w:val="00326F27"/>
    <w:rsid w:val="0033104E"/>
    <w:rsid w:val="003341E3"/>
    <w:rsid w:val="003351FF"/>
    <w:rsid w:val="0033599F"/>
    <w:rsid w:val="00336AC4"/>
    <w:rsid w:val="00340183"/>
    <w:rsid w:val="00340AF3"/>
    <w:rsid w:val="00341879"/>
    <w:rsid w:val="00341F4D"/>
    <w:rsid w:val="00342B65"/>
    <w:rsid w:val="003435E4"/>
    <w:rsid w:val="003448D8"/>
    <w:rsid w:val="00344A21"/>
    <w:rsid w:val="0034702B"/>
    <w:rsid w:val="00351580"/>
    <w:rsid w:val="003524B6"/>
    <w:rsid w:val="003566EC"/>
    <w:rsid w:val="0036063D"/>
    <w:rsid w:val="0036376E"/>
    <w:rsid w:val="0036509A"/>
    <w:rsid w:val="00365133"/>
    <w:rsid w:val="0037152E"/>
    <w:rsid w:val="00373448"/>
    <w:rsid w:val="0037499D"/>
    <w:rsid w:val="00380836"/>
    <w:rsid w:val="00380E66"/>
    <w:rsid w:val="00381A2D"/>
    <w:rsid w:val="00382062"/>
    <w:rsid w:val="00383385"/>
    <w:rsid w:val="003848C4"/>
    <w:rsid w:val="00391EF6"/>
    <w:rsid w:val="0039212B"/>
    <w:rsid w:val="00393A2A"/>
    <w:rsid w:val="00395BA7"/>
    <w:rsid w:val="00396D1F"/>
    <w:rsid w:val="003A358B"/>
    <w:rsid w:val="003B19D0"/>
    <w:rsid w:val="003B2AB3"/>
    <w:rsid w:val="003B68CC"/>
    <w:rsid w:val="003C290B"/>
    <w:rsid w:val="003C405A"/>
    <w:rsid w:val="003C6283"/>
    <w:rsid w:val="003C6885"/>
    <w:rsid w:val="003C6A39"/>
    <w:rsid w:val="003D041C"/>
    <w:rsid w:val="003D1306"/>
    <w:rsid w:val="003D19DC"/>
    <w:rsid w:val="003D2EBE"/>
    <w:rsid w:val="003D5AE5"/>
    <w:rsid w:val="003E0AB2"/>
    <w:rsid w:val="003E648F"/>
    <w:rsid w:val="003E6820"/>
    <w:rsid w:val="003E6898"/>
    <w:rsid w:val="003E78AC"/>
    <w:rsid w:val="003F0018"/>
    <w:rsid w:val="003F0959"/>
    <w:rsid w:val="003F4F6B"/>
    <w:rsid w:val="003F55EB"/>
    <w:rsid w:val="003F7794"/>
    <w:rsid w:val="00404D88"/>
    <w:rsid w:val="004057D3"/>
    <w:rsid w:val="004079A7"/>
    <w:rsid w:val="00410427"/>
    <w:rsid w:val="004121D8"/>
    <w:rsid w:val="004131FF"/>
    <w:rsid w:val="00413B8D"/>
    <w:rsid w:val="004163E5"/>
    <w:rsid w:val="004167A8"/>
    <w:rsid w:val="00420EE3"/>
    <w:rsid w:val="004217FC"/>
    <w:rsid w:val="00424847"/>
    <w:rsid w:val="004248FB"/>
    <w:rsid w:val="0042736A"/>
    <w:rsid w:val="00435539"/>
    <w:rsid w:val="004357A7"/>
    <w:rsid w:val="004378D1"/>
    <w:rsid w:val="00441A6A"/>
    <w:rsid w:val="00445921"/>
    <w:rsid w:val="00455FA6"/>
    <w:rsid w:val="00463740"/>
    <w:rsid w:val="00466019"/>
    <w:rsid w:val="004673A5"/>
    <w:rsid w:val="00467838"/>
    <w:rsid w:val="00471307"/>
    <w:rsid w:val="00474484"/>
    <w:rsid w:val="004761AF"/>
    <w:rsid w:val="004776F6"/>
    <w:rsid w:val="0048125F"/>
    <w:rsid w:val="004833BC"/>
    <w:rsid w:val="00483C6C"/>
    <w:rsid w:val="00484A8D"/>
    <w:rsid w:val="004864F2"/>
    <w:rsid w:val="004866BF"/>
    <w:rsid w:val="004874BD"/>
    <w:rsid w:val="00490440"/>
    <w:rsid w:val="00490F7E"/>
    <w:rsid w:val="004927D9"/>
    <w:rsid w:val="004928E5"/>
    <w:rsid w:val="00492C98"/>
    <w:rsid w:val="00492EB3"/>
    <w:rsid w:val="004931D2"/>
    <w:rsid w:val="00495A90"/>
    <w:rsid w:val="00495E3E"/>
    <w:rsid w:val="00497D86"/>
    <w:rsid w:val="004A20DC"/>
    <w:rsid w:val="004A3B37"/>
    <w:rsid w:val="004A5B23"/>
    <w:rsid w:val="004A6FDC"/>
    <w:rsid w:val="004A7033"/>
    <w:rsid w:val="004A7614"/>
    <w:rsid w:val="004B0489"/>
    <w:rsid w:val="004B0B4C"/>
    <w:rsid w:val="004B21BC"/>
    <w:rsid w:val="004B34EE"/>
    <w:rsid w:val="004B6BE0"/>
    <w:rsid w:val="004B7F14"/>
    <w:rsid w:val="004C2C74"/>
    <w:rsid w:val="004C3927"/>
    <w:rsid w:val="004C4E3B"/>
    <w:rsid w:val="004C5DAB"/>
    <w:rsid w:val="004D311D"/>
    <w:rsid w:val="004D32AE"/>
    <w:rsid w:val="004D495D"/>
    <w:rsid w:val="004D6334"/>
    <w:rsid w:val="004E1BBC"/>
    <w:rsid w:val="004E3457"/>
    <w:rsid w:val="004E4D32"/>
    <w:rsid w:val="004E6EA8"/>
    <w:rsid w:val="004F430E"/>
    <w:rsid w:val="004F46E5"/>
    <w:rsid w:val="004F60EC"/>
    <w:rsid w:val="004F6679"/>
    <w:rsid w:val="004F6D7B"/>
    <w:rsid w:val="005039A7"/>
    <w:rsid w:val="00503FA0"/>
    <w:rsid w:val="00504E1A"/>
    <w:rsid w:val="00506790"/>
    <w:rsid w:val="00511A1C"/>
    <w:rsid w:val="00516C97"/>
    <w:rsid w:val="00517B89"/>
    <w:rsid w:val="00521449"/>
    <w:rsid w:val="00525992"/>
    <w:rsid w:val="00527263"/>
    <w:rsid w:val="0052785F"/>
    <w:rsid w:val="00531333"/>
    <w:rsid w:val="00532030"/>
    <w:rsid w:val="0053561E"/>
    <w:rsid w:val="005361E3"/>
    <w:rsid w:val="00542F36"/>
    <w:rsid w:val="00546D03"/>
    <w:rsid w:val="00550FB7"/>
    <w:rsid w:val="005518EE"/>
    <w:rsid w:val="00554B14"/>
    <w:rsid w:val="00554F45"/>
    <w:rsid w:val="005552C8"/>
    <w:rsid w:val="00556508"/>
    <w:rsid w:val="005605E9"/>
    <w:rsid w:val="00564C37"/>
    <w:rsid w:val="005650FD"/>
    <w:rsid w:val="00565F46"/>
    <w:rsid w:val="0056676A"/>
    <w:rsid w:val="00571CA8"/>
    <w:rsid w:val="00572091"/>
    <w:rsid w:val="0057598B"/>
    <w:rsid w:val="00575BA5"/>
    <w:rsid w:val="005762BE"/>
    <w:rsid w:val="00576C00"/>
    <w:rsid w:val="005775BF"/>
    <w:rsid w:val="005809A3"/>
    <w:rsid w:val="00580C97"/>
    <w:rsid w:val="00582116"/>
    <w:rsid w:val="00583893"/>
    <w:rsid w:val="00583FB3"/>
    <w:rsid w:val="00583FBA"/>
    <w:rsid w:val="00585043"/>
    <w:rsid w:val="00586688"/>
    <w:rsid w:val="00593899"/>
    <w:rsid w:val="00594A39"/>
    <w:rsid w:val="00595D6F"/>
    <w:rsid w:val="005964B2"/>
    <w:rsid w:val="005975A2"/>
    <w:rsid w:val="00597C92"/>
    <w:rsid w:val="005A03DC"/>
    <w:rsid w:val="005A444D"/>
    <w:rsid w:val="005A4E80"/>
    <w:rsid w:val="005A525C"/>
    <w:rsid w:val="005A6037"/>
    <w:rsid w:val="005A64B8"/>
    <w:rsid w:val="005A6E79"/>
    <w:rsid w:val="005A7C66"/>
    <w:rsid w:val="005A7FEE"/>
    <w:rsid w:val="005B2F64"/>
    <w:rsid w:val="005B35C3"/>
    <w:rsid w:val="005B50BA"/>
    <w:rsid w:val="005B6DEA"/>
    <w:rsid w:val="005C085D"/>
    <w:rsid w:val="005C13EE"/>
    <w:rsid w:val="005C1590"/>
    <w:rsid w:val="005C5EDC"/>
    <w:rsid w:val="005D0037"/>
    <w:rsid w:val="005D1F82"/>
    <w:rsid w:val="005D282C"/>
    <w:rsid w:val="005D2CDE"/>
    <w:rsid w:val="005D3C69"/>
    <w:rsid w:val="005D517C"/>
    <w:rsid w:val="005D65FD"/>
    <w:rsid w:val="005E52E6"/>
    <w:rsid w:val="005E540C"/>
    <w:rsid w:val="005F084B"/>
    <w:rsid w:val="005F286C"/>
    <w:rsid w:val="005F2E78"/>
    <w:rsid w:val="005F2F6B"/>
    <w:rsid w:val="005F3331"/>
    <w:rsid w:val="005F3822"/>
    <w:rsid w:val="005F525A"/>
    <w:rsid w:val="005F6E71"/>
    <w:rsid w:val="00601648"/>
    <w:rsid w:val="00602460"/>
    <w:rsid w:val="00603EB6"/>
    <w:rsid w:val="006067DC"/>
    <w:rsid w:val="00607DB0"/>
    <w:rsid w:val="006107C2"/>
    <w:rsid w:val="00613719"/>
    <w:rsid w:val="00614C44"/>
    <w:rsid w:val="00616E68"/>
    <w:rsid w:val="006245D0"/>
    <w:rsid w:val="00626795"/>
    <w:rsid w:val="00631018"/>
    <w:rsid w:val="006333B3"/>
    <w:rsid w:val="00633708"/>
    <w:rsid w:val="0063603A"/>
    <w:rsid w:val="00637375"/>
    <w:rsid w:val="00637AB8"/>
    <w:rsid w:val="00641729"/>
    <w:rsid w:val="00641C3E"/>
    <w:rsid w:val="0064341A"/>
    <w:rsid w:val="006476BE"/>
    <w:rsid w:val="00650B9F"/>
    <w:rsid w:val="0065105C"/>
    <w:rsid w:val="006512C9"/>
    <w:rsid w:val="00651B2E"/>
    <w:rsid w:val="00652BC2"/>
    <w:rsid w:val="00653F06"/>
    <w:rsid w:val="00657F0F"/>
    <w:rsid w:val="006635C8"/>
    <w:rsid w:val="00664495"/>
    <w:rsid w:val="006651DD"/>
    <w:rsid w:val="00666385"/>
    <w:rsid w:val="00666A2C"/>
    <w:rsid w:val="00666AD3"/>
    <w:rsid w:val="00672E75"/>
    <w:rsid w:val="00674212"/>
    <w:rsid w:val="006753AB"/>
    <w:rsid w:val="006755F7"/>
    <w:rsid w:val="00675621"/>
    <w:rsid w:val="0067708A"/>
    <w:rsid w:val="00677E60"/>
    <w:rsid w:val="00681914"/>
    <w:rsid w:val="00681F57"/>
    <w:rsid w:val="006831D1"/>
    <w:rsid w:val="00684CA2"/>
    <w:rsid w:val="006863D1"/>
    <w:rsid w:val="00687FD8"/>
    <w:rsid w:val="006904F0"/>
    <w:rsid w:val="00691969"/>
    <w:rsid w:val="00693219"/>
    <w:rsid w:val="006958B8"/>
    <w:rsid w:val="00696C7A"/>
    <w:rsid w:val="00697446"/>
    <w:rsid w:val="006A2C73"/>
    <w:rsid w:val="006A3BE8"/>
    <w:rsid w:val="006A46E4"/>
    <w:rsid w:val="006B0C74"/>
    <w:rsid w:val="006B3BCA"/>
    <w:rsid w:val="006C1BAB"/>
    <w:rsid w:val="006C2949"/>
    <w:rsid w:val="006C309E"/>
    <w:rsid w:val="006C44AB"/>
    <w:rsid w:val="006C5458"/>
    <w:rsid w:val="006C6825"/>
    <w:rsid w:val="006D129A"/>
    <w:rsid w:val="006D27B1"/>
    <w:rsid w:val="006D27F7"/>
    <w:rsid w:val="006D546E"/>
    <w:rsid w:val="006D620E"/>
    <w:rsid w:val="006D62B5"/>
    <w:rsid w:val="006D7440"/>
    <w:rsid w:val="006E0A63"/>
    <w:rsid w:val="006E0E8C"/>
    <w:rsid w:val="006E2307"/>
    <w:rsid w:val="006E6280"/>
    <w:rsid w:val="006E6317"/>
    <w:rsid w:val="006E6BC8"/>
    <w:rsid w:val="006E76AA"/>
    <w:rsid w:val="006F1739"/>
    <w:rsid w:val="006F4FB9"/>
    <w:rsid w:val="006F60F3"/>
    <w:rsid w:val="006F6EC5"/>
    <w:rsid w:val="006F764E"/>
    <w:rsid w:val="007007AA"/>
    <w:rsid w:val="007030AC"/>
    <w:rsid w:val="007030FC"/>
    <w:rsid w:val="00703DEA"/>
    <w:rsid w:val="00705479"/>
    <w:rsid w:val="0071154B"/>
    <w:rsid w:val="007118D8"/>
    <w:rsid w:val="00711D71"/>
    <w:rsid w:val="007152D1"/>
    <w:rsid w:val="00721AAF"/>
    <w:rsid w:val="00721FC2"/>
    <w:rsid w:val="007225B6"/>
    <w:rsid w:val="00722ACA"/>
    <w:rsid w:val="0072433F"/>
    <w:rsid w:val="00724756"/>
    <w:rsid w:val="0072582B"/>
    <w:rsid w:val="00726C09"/>
    <w:rsid w:val="00732AFD"/>
    <w:rsid w:val="00732B26"/>
    <w:rsid w:val="0073343B"/>
    <w:rsid w:val="00734FBE"/>
    <w:rsid w:val="00736173"/>
    <w:rsid w:val="00736F3B"/>
    <w:rsid w:val="00740600"/>
    <w:rsid w:val="00740E6B"/>
    <w:rsid w:val="00741784"/>
    <w:rsid w:val="00741C38"/>
    <w:rsid w:val="00742CDE"/>
    <w:rsid w:val="00743A73"/>
    <w:rsid w:val="007514BC"/>
    <w:rsid w:val="007537C5"/>
    <w:rsid w:val="0075619A"/>
    <w:rsid w:val="0075799B"/>
    <w:rsid w:val="00757F48"/>
    <w:rsid w:val="00760652"/>
    <w:rsid w:val="00760B71"/>
    <w:rsid w:val="00761B79"/>
    <w:rsid w:val="007635C8"/>
    <w:rsid w:val="00764D2A"/>
    <w:rsid w:val="00767CF1"/>
    <w:rsid w:val="00770E79"/>
    <w:rsid w:val="00772059"/>
    <w:rsid w:val="00772364"/>
    <w:rsid w:val="00772D2C"/>
    <w:rsid w:val="00773E21"/>
    <w:rsid w:val="007748B0"/>
    <w:rsid w:val="00774CE1"/>
    <w:rsid w:val="00777098"/>
    <w:rsid w:val="0077776D"/>
    <w:rsid w:val="007805EE"/>
    <w:rsid w:val="007816B0"/>
    <w:rsid w:val="007847D6"/>
    <w:rsid w:val="00786514"/>
    <w:rsid w:val="00791A57"/>
    <w:rsid w:val="007920CA"/>
    <w:rsid w:val="00793787"/>
    <w:rsid w:val="007940E6"/>
    <w:rsid w:val="007947A3"/>
    <w:rsid w:val="007970A7"/>
    <w:rsid w:val="007A0076"/>
    <w:rsid w:val="007A058C"/>
    <w:rsid w:val="007A15C8"/>
    <w:rsid w:val="007A1881"/>
    <w:rsid w:val="007A2D59"/>
    <w:rsid w:val="007A386E"/>
    <w:rsid w:val="007A4CBA"/>
    <w:rsid w:val="007A5D73"/>
    <w:rsid w:val="007A7768"/>
    <w:rsid w:val="007B7D6F"/>
    <w:rsid w:val="007C1D42"/>
    <w:rsid w:val="007C6212"/>
    <w:rsid w:val="007C632C"/>
    <w:rsid w:val="007C6497"/>
    <w:rsid w:val="007C6DD4"/>
    <w:rsid w:val="007D1811"/>
    <w:rsid w:val="007D1E93"/>
    <w:rsid w:val="007D2D1D"/>
    <w:rsid w:val="007D30DF"/>
    <w:rsid w:val="007E1393"/>
    <w:rsid w:val="007E2A81"/>
    <w:rsid w:val="007E4783"/>
    <w:rsid w:val="007E6661"/>
    <w:rsid w:val="007F30C5"/>
    <w:rsid w:val="00803A3E"/>
    <w:rsid w:val="008045F5"/>
    <w:rsid w:val="008129DB"/>
    <w:rsid w:val="00813F37"/>
    <w:rsid w:val="008167E2"/>
    <w:rsid w:val="00816871"/>
    <w:rsid w:val="008168FC"/>
    <w:rsid w:val="008169AE"/>
    <w:rsid w:val="00816A61"/>
    <w:rsid w:val="008171D9"/>
    <w:rsid w:val="0082074C"/>
    <w:rsid w:val="00821126"/>
    <w:rsid w:val="0082217C"/>
    <w:rsid w:val="00824FE4"/>
    <w:rsid w:val="00826841"/>
    <w:rsid w:val="00827037"/>
    <w:rsid w:val="00827A0A"/>
    <w:rsid w:val="00831AF6"/>
    <w:rsid w:val="008334A2"/>
    <w:rsid w:val="008355B3"/>
    <w:rsid w:val="0084405A"/>
    <w:rsid w:val="00844A44"/>
    <w:rsid w:val="00844BFE"/>
    <w:rsid w:val="00845A41"/>
    <w:rsid w:val="00846A0B"/>
    <w:rsid w:val="008503AE"/>
    <w:rsid w:val="00850627"/>
    <w:rsid w:val="008518E9"/>
    <w:rsid w:val="00853724"/>
    <w:rsid w:val="00853A51"/>
    <w:rsid w:val="00855FE0"/>
    <w:rsid w:val="008614DF"/>
    <w:rsid w:val="008629A5"/>
    <w:rsid w:val="008638EA"/>
    <w:rsid w:val="00866249"/>
    <w:rsid w:val="00867567"/>
    <w:rsid w:val="00871C69"/>
    <w:rsid w:val="00872095"/>
    <w:rsid w:val="008722F1"/>
    <w:rsid w:val="00873433"/>
    <w:rsid w:val="0087368D"/>
    <w:rsid w:val="008758F8"/>
    <w:rsid w:val="00875B1B"/>
    <w:rsid w:val="008775D3"/>
    <w:rsid w:val="008801A8"/>
    <w:rsid w:val="0088023A"/>
    <w:rsid w:val="00880CC1"/>
    <w:rsid w:val="00881677"/>
    <w:rsid w:val="00883B44"/>
    <w:rsid w:val="00884802"/>
    <w:rsid w:val="008855EE"/>
    <w:rsid w:val="008857FB"/>
    <w:rsid w:val="00892C4E"/>
    <w:rsid w:val="00892DEF"/>
    <w:rsid w:val="00893FD1"/>
    <w:rsid w:val="008A61E4"/>
    <w:rsid w:val="008A7535"/>
    <w:rsid w:val="008B1DCA"/>
    <w:rsid w:val="008B780D"/>
    <w:rsid w:val="008C64D9"/>
    <w:rsid w:val="008C6578"/>
    <w:rsid w:val="008C6DE9"/>
    <w:rsid w:val="008C7E76"/>
    <w:rsid w:val="008D0878"/>
    <w:rsid w:val="008D0B49"/>
    <w:rsid w:val="008D2483"/>
    <w:rsid w:val="008D24A8"/>
    <w:rsid w:val="008D350A"/>
    <w:rsid w:val="008D407C"/>
    <w:rsid w:val="008D4FC8"/>
    <w:rsid w:val="008D64F9"/>
    <w:rsid w:val="008D67DF"/>
    <w:rsid w:val="008D6C96"/>
    <w:rsid w:val="008E044D"/>
    <w:rsid w:val="008E19F7"/>
    <w:rsid w:val="008E1DC0"/>
    <w:rsid w:val="008E206E"/>
    <w:rsid w:val="008E29D3"/>
    <w:rsid w:val="008E2E73"/>
    <w:rsid w:val="008E30D2"/>
    <w:rsid w:val="008E518E"/>
    <w:rsid w:val="008E5713"/>
    <w:rsid w:val="008E76FC"/>
    <w:rsid w:val="009114F8"/>
    <w:rsid w:val="00912B3D"/>
    <w:rsid w:val="0091411F"/>
    <w:rsid w:val="00920FB1"/>
    <w:rsid w:val="00921AC0"/>
    <w:rsid w:val="0092444F"/>
    <w:rsid w:val="00924E04"/>
    <w:rsid w:val="009250FD"/>
    <w:rsid w:val="0092781F"/>
    <w:rsid w:val="0093153E"/>
    <w:rsid w:val="00932F25"/>
    <w:rsid w:val="00936246"/>
    <w:rsid w:val="00937155"/>
    <w:rsid w:val="0094085D"/>
    <w:rsid w:val="00941081"/>
    <w:rsid w:val="009436E5"/>
    <w:rsid w:val="00944912"/>
    <w:rsid w:val="00947EC3"/>
    <w:rsid w:val="009519DE"/>
    <w:rsid w:val="009546E8"/>
    <w:rsid w:val="009552DE"/>
    <w:rsid w:val="009557F4"/>
    <w:rsid w:val="00955BFB"/>
    <w:rsid w:val="009623EE"/>
    <w:rsid w:val="00972F42"/>
    <w:rsid w:val="00973780"/>
    <w:rsid w:val="00975270"/>
    <w:rsid w:val="009752D2"/>
    <w:rsid w:val="00975A27"/>
    <w:rsid w:val="009837E1"/>
    <w:rsid w:val="00983D29"/>
    <w:rsid w:val="00983DD8"/>
    <w:rsid w:val="00984917"/>
    <w:rsid w:val="00985BBF"/>
    <w:rsid w:val="009876BB"/>
    <w:rsid w:val="00987DB9"/>
    <w:rsid w:val="009922AD"/>
    <w:rsid w:val="00993B8C"/>
    <w:rsid w:val="009957FF"/>
    <w:rsid w:val="0099587F"/>
    <w:rsid w:val="0099707E"/>
    <w:rsid w:val="009A0083"/>
    <w:rsid w:val="009A1D69"/>
    <w:rsid w:val="009A242E"/>
    <w:rsid w:val="009A45E6"/>
    <w:rsid w:val="009B1BE3"/>
    <w:rsid w:val="009B3CA4"/>
    <w:rsid w:val="009B5566"/>
    <w:rsid w:val="009B5DBE"/>
    <w:rsid w:val="009B7077"/>
    <w:rsid w:val="009C14D9"/>
    <w:rsid w:val="009C2BCA"/>
    <w:rsid w:val="009C63C9"/>
    <w:rsid w:val="009D1204"/>
    <w:rsid w:val="009D4AC0"/>
    <w:rsid w:val="009D4CF5"/>
    <w:rsid w:val="009D79F0"/>
    <w:rsid w:val="009D7BB3"/>
    <w:rsid w:val="009E2844"/>
    <w:rsid w:val="009E422D"/>
    <w:rsid w:val="009E5520"/>
    <w:rsid w:val="009E5BFA"/>
    <w:rsid w:val="009E7B87"/>
    <w:rsid w:val="009F299D"/>
    <w:rsid w:val="009F372C"/>
    <w:rsid w:val="009F5777"/>
    <w:rsid w:val="009F5BBA"/>
    <w:rsid w:val="009F6CD9"/>
    <w:rsid w:val="009F6D06"/>
    <w:rsid w:val="009F77B4"/>
    <w:rsid w:val="00A022AA"/>
    <w:rsid w:val="00A05FB9"/>
    <w:rsid w:val="00A1078F"/>
    <w:rsid w:val="00A11B31"/>
    <w:rsid w:val="00A14F71"/>
    <w:rsid w:val="00A15BED"/>
    <w:rsid w:val="00A16F06"/>
    <w:rsid w:val="00A17F32"/>
    <w:rsid w:val="00A20DA2"/>
    <w:rsid w:val="00A22229"/>
    <w:rsid w:val="00A227D6"/>
    <w:rsid w:val="00A23787"/>
    <w:rsid w:val="00A23D5A"/>
    <w:rsid w:val="00A23DC3"/>
    <w:rsid w:val="00A27434"/>
    <w:rsid w:val="00A27CA6"/>
    <w:rsid w:val="00A31B24"/>
    <w:rsid w:val="00A33B5F"/>
    <w:rsid w:val="00A4097E"/>
    <w:rsid w:val="00A41686"/>
    <w:rsid w:val="00A433DF"/>
    <w:rsid w:val="00A46995"/>
    <w:rsid w:val="00A47775"/>
    <w:rsid w:val="00A47C3D"/>
    <w:rsid w:val="00A53648"/>
    <w:rsid w:val="00A55659"/>
    <w:rsid w:val="00A56D98"/>
    <w:rsid w:val="00A612FE"/>
    <w:rsid w:val="00A61D2A"/>
    <w:rsid w:val="00A651B7"/>
    <w:rsid w:val="00A6725E"/>
    <w:rsid w:val="00A678A2"/>
    <w:rsid w:val="00A678A4"/>
    <w:rsid w:val="00A67F65"/>
    <w:rsid w:val="00A706AB"/>
    <w:rsid w:val="00A73B7A"/>
    <w:rsid w:val="00A75087"/>
    <w:rsid w:val="00A773B0"/>
    <w:rsid w:val="00A808B4"/>
    <w:rsid w:val="00A82BA2"/>
    <w:rsid w:val="00A861F2"/>
    <w:rsid w:val="00A90B28"/>
    <w:rsid w:val="00A96B7D"/>
    <w:rsid w:val="00AA03C5"/>
    <w:rsid w:val="00AA1084"/>
    <w:rsid w:val="00AA1F9D"/>
    <w:rsid w:val="00AA3ED7"/>
    <w:rsid w:val="00AA48D5"/>
    <w:rsid w:val="00AA525F"/>
    <w:rsid w:val="00AA613E"/>
    <w:rsid w:val="00AA621E"/>
    <w:rsid w:val="00AA6825"/>
    <w:rsid w:val="00AA75D0"/>
    <w:rsid w:val="00AB0A7E"/>
    <w:rsid w:val="00AB22BF"/>
    <w:rsid w:val="00AB2D50"/>
    <w:rsid w:val="00AB403E"/>
    <w:rsid w:val="00AB4FCD"/>
    <w:rsid w:val="00AB50E6"/>
    <w:rsid w:val="00AB79F8"/>
    <w:rsid w:val="00AC0D3C"/>
    <w:rsid w:val="00AC4A8A"/>
    <w:rsid w:val="00AC4DAB"/>
    <w:rsid w:val="00AC66AF"/>
    <w:rsid w:val="00AC7536"/>
    <w:rsid w:val="00AD2932"/>
    <w:rsid w:val="00AD3E4B"/>
    <w:rsid w:val="00AD3ED4"/>
    <w:rsid w:val="00AD6228"/>
    <w:rsid w:val="00AD6DA5"/>
    <w:rsid w:val="00AE1B31"/>
    <w:rsid w:val="00AE4953"/>
    <w:rsid w:val="00AE4D6C"/>
    <w:rsid w:val="00AE5C12"/>
    <w:rsid w:val="00AE6C5B"/>
    <w:rsid w:val="00AE7862"/>
    <w:rsid w:val="00AF0F1B"/>
    <w:rsid w:val="00AF15FD"/>
    <w:rsid w:val="00AF1E47"/>
    <w:rsid w:val="00AF4E6D"/>
    <w:rsid w:val="00AF631E"/>
    <w:rsid w:val="00B01357"/>
    <w:rsid w:val="00B060C0"/>
    <w:rsid w:val="00B079E7"/>
    <w:rsid w:val="00B133A1"/>
    <w:rsid w:val="00B21CCC"/>
    <w:rsid w:val="00B23029"/>
    <w:rsid w:val="00B24C29"/>
    <w:rsid w:val="00B27F72"/>
    <w:rsid w:val="00B33CBF"/>
    <w:rsid w:val="00B35FBF"/>
    <w:rsid w:val="00B3612A"/>
    <w:rsid w:val="00B36304"/>
    <w:rsid w:val="00B41F23"/>
    <w:rsid w:val="00B43DC4"/>
    <w:rsid w:val="00B50BA5"/>
    <w:rsid w:val="00B53E9C"/>
    <w:rsid w:val="00B605B2"/>
    <w:rsid w:val="00B62250"/>
    <w:rsid w:val="00B65C45"/>
    <w:rsid w:val="00B65D2D"/>
    <w:rsid w:val="00B66AF2"/>
    <w:rsid w:val="00B7442D"/>
    <w:rsid w:val="00B755B4"/>
    <w:rsid w:val="00B7748B"/>
    <w:rsid w:val="00B812DA"/>
    <w:rsid w:val="00B83F8A"/>
    <w:rsid w:val="00B8700F"/>
    <w:rsid w:val="00B87CBD"/>
    <w:rsid w:val="00B90986"/>
    <w:rsid w:val="00B90E72"/>
    <w:rsid w:val="00B92B0A"/>
    <w:rsid w:val="00B95736"/>
    <w:rsid w:val="00B95DEB"/>
    <w:rsid w:val="00B97A22"/>
    <w:rsid w:val="00BA0130"/>
    <w:rsid w:val="00BA03C6"/>
    <w:rsid w:val="00BA1ACE"/>
    <w:rsid w:val="00BA7020"/>
    <w:rsid w:val="00BB2FA4"/>
    <w:rsid w:val="00BB385E"/>
    <w:rsid w:val="00BB3AF2"/>
    <w:rsid w:val="00BB4811"/>
    <w:rsid w:val="00BB6585"/>
    <w:rsid w:val="00BB720B"/>
    <w:rsid w:val="00BC0544"/>
    <w:rsid w:val="00BC1390"/>
    <w:rsid w:val="00BC3076"/>
    <w:rsid w:val="00BC3CB2"/>
    <w:rsid w:val="00BC40D7"/>
    <w:rsid w:val="00BC58A6"/>
    <w:rsid w:val="00BC6507"/>
    <w:rsid w:val="00BD032F"/>
    <w:rsid w:val="00BD0FB0"/>
    <w:rsid w:val="00BD1216"/>
    <w:rsid w:val="00BD1BB1"/>
    <w:rsid w:val="00BD25C3"/>
    <w:rsid w:val="00BD6CF7"/>
    <w:rsid w:val="00BD6F4D"/>
    <w:rsid w:val="00BD7DD8"/>
    <w:rsid w:val="00BF072D"/>
    <w:rsid w:val="00BF40BB"/>
    <w:rsid w:val="00BF62FB"/>
    <w:rsid w:val="00BF6878"/>
    <w:rsid w:val="00C01582"/>
    <w:rsid w:val="00C01FE4"/>
    <w:rsid w:val="00C02A18"/>
    <w:rsid w:val="00C043F0"/>
    <w:rsid w:val="00C05B7C"/>
    <w:rsid w:val="00C10A3C"/>
    <w:rsid w:val="00C14CDC"/>
    <w:rsid w:val="00C15A05"/>
    <w:rsid w:val="00C168FA"/>
    <w:rsid w:val="00C1697B"/>
    <w:rsid w:val="00C1762B"/>
    <w:rsid w:val="00C21F29"/>
    <w:rsid w:val="00C265AB"/>
    <w:rsid w:val="00C31399"/>
    <w:rsid w:val="00C32201"/>
    <w:rsid w:val="00C327AB"/>
    <w:rsid w:val="00C37962"/>
    <w:rsid w:val="00C37DAB"/>
    <w:rsid w:val="00C40C61"/>
    <w:rsid w:val="00C42966"/>
    <w:rsid w:val="00C460A4"/>
    <w:rsid w:val="00C46ED9"/>
    <w:rsid w:val="00C5047B"/>
    <w:rsid w:val="00C51CBD"/>
    <w:rsid w:val="00C52359"/>
    <w:rsid w:val="00C5376B"/>
    <w:rsid w:val="00C5489F"/>
    <w:rsid w:val="00C5578B"/>
    <w:rsid w:val="00C5738B"/>
    <w:rsid w:val="00C60951"/>
    <w:rsid w:val="00C64744"/>
    <w:rsid w:val="00C64CA2"/>
    <w:rsid w:val="00C64CE4"/>
    <w:rsid w:val="00C64E39"/>
    <w:rsid w:val="00C664FE"/>
    <w:rsid w:val="00C70CE5"/>
    <w:rsid w:val="00C71028"/>
    <w:rsid w:val="00C728AF"/>
    <w:rsid w:val="00C73B63"/>
    <w:rsid w:val="00C7511D"/>
    <w:rsid w:val="00C75A3E"/>
    <w:rsid w:val="00C80E43"/>
    <w:rsid w:val="00C82B34"/>
    <w:rsid w:val="00CA0477"/>
    <w:rsid w:val="00CA1062"/>
    <w:rsid w:val="00CA14F8"/>
    <w:rsid w:val="00CA20EB"/>
    <w:rsid w:val="00CB0D0C"/>
    <w:rsid w:val="00CB4088"/>
    <w:rsid w:val="00CB5438"/>
    <w:rsid w:val="00CB67BF"/>
    <w:rsid w:val="00CB6A6E"/>
    <w:rsid w:val="00CB6C4B"/>
    <w:rsid w:val="00CB70D6"/>
    <w:rsid w:val="00CC1596"/>
    <w:rsid w:val="00CC580D"/>
    <w:rsid w:val="00CC7202"/>
    <w:rsid w:val="00CC7987"/>
    <w:rsid w:val="00CD2618"/>
    <w:rsid w:val="00CD285D"/>
    <w:rsid w:val="00CD411C"/>
    <w:rsid w:val="00CD50D2"/>
    <w:rsid w:val="00CD52BC"/>
    <w:rsid w:val="00CD6327"/>
    <w:rsid w:val="00CE2FC9"/>
    <w:rsid w:val="00CE417B"/>
    <w:rsid w:val="00CE5DD2"/>
    <w:rsid w:val="00CE760E"/>
    <w:rsid w:val="00CF2258"/>
    <w:rsid w:val="00CF30C7"/>
    <w:rsid w:val="00CF3CFF"/>
    <w:rsid w:val="00CF4FD9"/>
    <w:rsid w:val="00CF526C"/>
    <w:rsid w:val="00CF53FD"/>
    <w:rsid w:val="00CF572C"/>
    <w:rsid w:val="00D02354"/>
    <w:rsid w:val="00D02B1F"/>
    <w:rsid w:val="00D157B9"/>
    <w:rsid w:val="00D215BB"/>
    <w:rsid w:val="00D250E5"/>
    <w:rsid w:val="00D3116B"/>
    <w:rsid w:val="00D31CB5"/>
    <w:rsid w:val="00D35512"/>
    <w:rsid w:val="00D35A02"/>
    <w:rsid w:val="00D416C4"/>
    <w:rsid w:val="00D42027"/>
    <w:rsid w:val="00D42ABE"/>
    <w:rsid w:val="00D464EB"/>
    <w:rsid w:val="00D46806"/>
    <w:rsid w:val="00D46847"/>
    <w:rsid w:val="00D51471"/>
    <w:rsid w:val="00D51B23"/>
    <w:rsid w:val="00D52639"/>
    <w:rsid w:val="00D57EB9"/>
    <w:rsid w:val="00D57FF8"/>
    <w:rsid w:val="00D601A9"/>
    <w:rsid w:val="00D6066A"/>
    <w:rsid w:val="00D62A5B"/>
    <w:rsid w:val="00D633F1"/>
    <w:rsid w:val="00D65EBF"/>
    <w:rsid w:val="00D73F81"/>
    <w:rsid w:val="00D813C6"/>
    <w:rsid w:val="00D87C82"/>
    <w:rsid w:val="00D90D8C"/>
    <w:rsid w:val="00D915E7"/>
    <w:rsid w:val="00D93D9C"/>
    <w:rsid w:val="00D9445C"/>
    <w:rsid w:val="00D94B60"/>
    <w:rsid w:val="00D976A4"/>
    <w:rsid w:val="00DA166F"/>
    <w:rsid w:val="00DA46CA"/>
    <w:rsid w:val="00DA6CB9"/>
    <w:rsid w:val="00DB119A"/>
    <w:rsid w:val="00DB1DE0"/>
    <w:rsid w:val="00DB2239"/>
    <w:rsid w:val="00DB334D"/>
    <w:rsid w:val="00DB33BA"/>
    <w:rsid w:val="00DB3E2B"/>
    <w:rsid w:val="00DB4771"/>
    <w:rsid w:val="00DB4888"/>
    <w:rsid w:val="00DC1951"/>
    <w:rsid w:val="00DC4056"/>
    <w:rsid w:val="00DC40DA"/>
    <w:rsid w:val="00DC4C59"/>
    <w:rsid w:val="00DC5F4E"/>
    <w:rsid w:val="00DC6086"/>
    <w:rsid w:val="00DC7C53"/>
    <w:rsid w:val="00DD11E8"/>
    <w:rsid w:val="00DD3AA7"/>
    <w:rsid w:val="00DD7492"/>
    <w:rsid w:val="00DE4CDA"/>
    <w:rsid w:val="00DF09F5"/>
    <w:rsid w:val="00DF0B86"/>
    <w:rsid w:val="00DF0EEB"/>
    <w:rsid w:val="00DF0F2D"/>
    <w:rsid w:val="00DF5A12"/>
    <w:rsid w:val="00DF6AF3"/>
    <w:rsid w:val="00DF798D"/>
    <w:rsid w:val="00E047C5"/>
    <w:rsid w:val="00E058EA"/>
    <w:rsid w:val="00E0643B"/>
    <w:rsid w:val="00E06AAF"/>
    <w:rsid w:val="00E10AEE"/>
    <w:rsid w:val="00E13152"/>
    <w:rsid w:val="00E15951"/>
    <w:rsid w:val="00E16D17"/>
    <w:rsid w:val="00E25AFC"/>
    <w:rsid w:val="00E25B64"/>
    <w:rsid w:val="00E25EFD"/>
    <w:rsid w:val="00E26B3A"/>
    <w:rsid w:val="00E27A6F"/>
    <w:rsid w:val="00E304F5"/>
    <w:rsid w:val="00E337F3"/>
    <w:rsid w:val="00E34CDB"/>
    <w:rsid w:val="00E3540F"/>
    <w:rsid w:val="00E35533"/>
    <w:rsid w:val="00E43503"/>
    <w:rsid w:val="00E4468D"/>
    <w:rsid w:val="00E466D9"/>
    <w:rsid w:val="00E549AC"/>
    <w:rsid w:val="00E56479"/>
    <w:rsid w:val="00E57632"/>
    <w:rsid w:val="00E6116B"/>
    <w:rsid w:val="00E62453"/>
    <w:rsid w:val="00E62B2C"/>
    <w:rsid w:val="00E64819"/>
    <w:rsid w:val="00E6698A"/>
    <w:rsid w:val="00E66D8A"/>
    <w:rsid w:val="00E717FD"/>
    <w:rsid w:val="00E72D8A"/>
    <w:rsid w:val="00E76816"/>
    <w:rsid w:val="00E80344"/>
    <w:rsid w:val="00E82FF4"/>
    <w:rsid w:val="00E8493B"/>
    <w:rsid w:val="00E85C85"/>
    <w:rsid w:val="00E90624"/>
    <w:rsid w:val="00E91BAF"/>
    <w:rsid w:val="00E9306E"/>
    <w:rsid w:val="00E93A20"/>
    <w:rsid w:val="00E9551A"/>
    <w:rsid w:val="00E955DA"/>
    <w:rsid w:val="00E959B6"/>
    <w:rsid w:val="00E97F10"/>
    <w:rsid w:val="00EA0994"/>
    <w:rsid w:val="00EA13FF"/>
    <w:rsid w:val="00EA321E"/>
    <w:rsid w:val="00EA3D9A"/>
    <w:rsid w:val="00EA48A9"/>
    <w:rsid w:val="00EA5043"/>
    <w:rsid w:val="00EA670C"/>
    <w:rsid w:val="00EA6B2D"/>
    <w:rsid w:val="00EB1BDF"/>
    <w:rsid w:val="00EB36C1"/>
    <w:rsid w:val="00EC04F9"/>
    <w:rsid w:val="00EC0DED"/>
    <w:rsid w:val="00EC303B"/>
    <w:rsid w:val="00EC4E56"/>
    <w:rsid w:val="00EC7BF4"/>
    <w:rsid w:val="00ED31B2"/>
    <w:rsid w:val="00ED5F31"/>
    <w:rsid w:val="00EE4A16"/>
    <w:rsid w:val="00EE5B40"/>
    <w:rsid w:val="00EF449A"/>
    <w:rsid w:val="00EF4D9F"/>
    <w:rsid w:val="00F03AAE"/>
    <w:rsid w:val="00F047A0"/>
    <w:rsid w:val="00F10A6D"/>
    <w:rsid w:val="00F116FA"/>
    <w:rsid w:val="00F12CD3"/>
    <w:rsid w:val="00F15124"/>
    <w:rsid w:val="00F156F1"/>
    <w:rsid w:val="00F15DFA"/>
    <w:rsid w:val="00F2067C"/>
    <w:rsid w:val="00F20EF2"/>
    <w:rsid w:val="00F2371C"/>
    <w:rsid w:val="00F24F85"/>
    <w:rsid w:val="00F251EE"/>
    <w:rsid w:val="00F27D13"/>
    <w:rsid w:val="00F30259"/>
    <w:rsid w:val="00F31B02"/>
    <w:rsid w:val="00F3366B"/>
    <w:rsid w:val="00F3387F"/>
    <w:rsid w:val="00F347DE"/>
    <w:rsid w:val="00F34EBD"/>
    <w:rsid w:val="00F35E34"/>
    <w:rsid w:val="00F36EAC"/>
    <w:rsid w:val="00F373DD"/>
    <w:rsid w:val="00F40C97"/>
    <w:rsid w:val="00F46126"/>
    <w:rsid w:val="00F515ED"/>
    <w:rsid w:val="00F549D3"/>
    <w:rsid w:val="00F55744"/>
    <w:rsid w:val="00F623BA"/>
    <w:rsid w:val="00F646F8"/>
    <w:rsid w:val="00F66E33"/>
    <w:rsid w:val="00F7011D"/>
    <w:rsid w:val="00F7124C"/>
    <w:rsid w:val="00F71A34"/>
    <w:rsid w:val="00F71AEE"/>
    <w:rsid w:val="00F73224"/>
    <w:rsid w:val="00F7592F"/>
    <w:rsid w:val="00F825D6"/>
    <w:rsid w:val="00F84F1D"/>
    <w:rsid w:val="00F86CB2"/>
    <w:rsid w:val="00F86F6E"/>
    <w:rsid w:val="00F90683"/>
    <w:rsid w:val="00F93CF8"/>
    <w:rsid w:val="00F94FAC"/>
    <w:rsid w:val="00FA044E"/>
    <w:rsid w:val="00FA1CB5"/>
    <w:rsid w:val="00FA430D"/>
    <w:rsid w:val="00FA537D"/>
    <w:rsid w:val="00FA54E3"/>
    <w:rsid w:val="00FA6221"/>
    <w:rsid w:val="00FA6430"/>
    <w:rsid w:val="00FA677A"/>
    <w:rsid w:val="00FB0142"/>
    <w:rsid w:val="00FB0C7E"/>
    <w:rsid w:val="00FB2902"/>
    <w:rsid w:val="00FB470E"/>
    <w:rsid w:val="00FB562E"/>
    <w:rsid w:val="00FB5A7D"/>
    <w:rsid w:val="00FB7E74"/>
    <w:rsid w:val="00FC4D3E"/>
    <w:rsid w:val="00FC54B8"/>
    <w:rsid w:val="00FC5D2D"/>
    <w:rsid w:val="00FD0FF5"/>
    <w:rsid w:val="00FD185D"/>
    <w:rsid w:val="00FD18D1"/>
    <w:rsid w:val="00FD1C57"/>
    <w:rsid w:val="00FD427F"/>
    <w:rsid w:val="00FD48A3"/>
    <w:rsid w:val="00FD4914"/>
    <w:rsid w:val="00FD4DFC"/>
    <w:rsid w:val="00FD5098"/>
    <w:rsid w:val="00FD5731"/>
    <w:rsid w:val="00FD71D9"/>
    <w:rsid w:val="00FE0258"/>
    <w:rsid w:val="00FE28CC"/>
    <w:rsid w:val="00FE2A08"/>
    <w:rsid w:val="00FE341B"/>
    <w:rsid w:val="00FF1BAB"/>
    <w:rsid w:val="00FF1DCC"/>
    <w:rsid w:val="00FF2182"/>
    <w:rsid w:val="00FF2BE4"/>
    <w:rsid w:val="00FF421D"/>
    <w:rsid w:val="00FF79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A86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footnote text" w:qFormat="1"/>
    <w:lsdException w:name="header" w:uiPriority="99"/>
    <w:lsdException w:name="footnote reference" w:uiPriority="99" w:qFormat="1"/>
    <w:lsdException w:name="Body Text" w:uiPriority="99"/>
    <w:lsdException w:name="List Paragraph" w:uiPriority="34" w:qFormat="1"/>
  </w:latentStyles>
  <w:style w:type="paragraph" w:default="1" w:styleId="Normal">
    <w:name w:val="Normal"/>
    <w:qFormat/>
    <w:rsid w:val="00D42ABE"/>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uiPriority w:val="99"/>
    <w:qFormat/>
    <w:rsid w:val="00D42ABE"/>
    <w:pPr>
      <w:keepNext/>
      <w:tabs>
        <w:tab w:val="left" w:pos="0"/>
      </w:tabs>
      <w:suppressAutoHyphens/>
      <w:spacing w:line="240" w:lineRule="atLeast"/>
      <w:jc w:val="both"/>
      <w:outlineLvl w:val="0"/>
    </w:pPr>
    <w:rPr>
      <w:rFonts w:ascii="Times New Roman" w:hAnsi="Times New Roman" w:cs="Times New Roman"/>
      <w:b/>
      <w:bCs/>
      <w:spacing w:val="-3"/>
    </w:rPr>
  </w:style>
  <w:style w:type="paragraph" w:styleId="Heading2">
    <w:name w:val="heading 2"/>
    <w:basedOn w:val="Normal"/>
    <w:link w:val="Heading2Char"/>
    <w:uiPriority w:val="99"/>
    <w:qFormat/>
    <w:rsid w:val="009F372C"/>
    <w:pPr>
      <w:widowControl/>
      <w:autoSpaceDE/>
      <w:autoSpaceDN/>
      <w:adjustRightInd/>
      <w:spacing w:before="100" w:beforeAutospacing="1" w:after="100" w:afterAutospacing="1"/>
      <w:outlineLvl w:val="1"/>
    </w:pPr>
    <w:rPr>
      <w:rFonts w:ascii="Verdana" w:hAnsi="Verdana" w:cs="Arial"/>
      <w:b/>
      <w:color w:val="5D6FC7"/>
      <w:sz w:val="20"/>
      <w:szCs w:val="20"/>
    </w:rPr>
  </w:style>
  <w:style w:type="paragraph" w:styleId="Heading3">
    <w:name w:val="heading 3"/>
    <w:basedOn w:val="Normal"/>
    <w:next w:val="Normal"/>
    <w:link w:val="Heading3Char"/>
    <w:uiPriority w:val="99"/>
    <w:qFormat/>
    <w:rsid w:val="009F372C"/>
    <w:pPr>
      <w:keepNext/>
      <w:widowControl/>
      <w:autoSpaceDE/>
      <w:autoSpaceDN/>
      <w:adjustRightInd/>
      <w:spacing w:before="240" w:after="60"/>
      <w:outlineLvl w:val="2"/>
    </w:pPr>
    <w:rPr>
      <w:rFonts w:ascii="Arial" w:hAnsi="Arial" w:cs="Arial"/>
      <w:b/>
      <w:sz w:val="26"/>
      <w:szCs w:val="26"/>
    </w:rPr>
  </w:style>
  <w:style w:type="paragraph" w:styleId="Heading4">
    <w:name w:val="heading 4"/>
    <w:basedOn w:val="Normal"/>
    <w:next w:val="Normal"/>
    <w:link w:val="Heading4Char"/>
    <w:uiPriority w:val="99"/>
    <w:qFormat/>
    <w:rsid w:val="009F372C"/>
    <w:pPr>
      <w:keepNext/>
      <w:widowControl/>
      <w:autoSpaceDE/>
      <w:autoSpaceDN/>
      <w:adjustRightInd/>
      <w:spacing w:before="240" w:after="60"/>
      <w:outlineLvl w:val="3"/>
    </w:pPr>
    <w:rPr>
      <w:rFonts w:ascii="Times New Roman" w:hAnsi="Times New Roman" w:cs="Arial"/>
      <w:b/>
      <w:sz w:val="28"/>
      <w:szCs w:val="28"/>
    </w:rPr>
  </w:style>
  <w:style w:type="paragraph" w:styleId="Heading5">
    <w:name w:val="heading 5"/>
    <w:basedOn w:val="Normal"/>
    <w:next w:val="Normal"/>
    <w:link w:val="Heading5Char"/>
    <w:uiPriority w:val="99"/>
    <w:qFormat/>
    <w:rsid w:val="009F372C"/>
    <w:pPr>
      <w:widowControl/>
      <w:autoSpaceDE/>
      <w:autoSpaceDN/>
      <w:adjustRightInd/>
      <w:spacing w:before="240" w:after="60"/>
      <w:outlineLvl w:val="4"/>
    </w:pPr>
    <w:rPr>
      <w:rFonts w:ascii="Times New Roman" w:hAnsi="Times New Roman" w:cs="Arial"/>
      <w:b/>
      <w:i/>
      <w:iCs/>
      <w:sz w:val="26"/>
      <w:szCs w:val="26"/>
    </w:rPr>
  </w:style>
  <w:style w:type="paragraph" w:styleId="Heading6">
    <w:name w:val="heading 6"/>
    <w:basedOn w:val="Normal"/>
    <w:next w:val="Normal"/>
    <w:link w:val="Heading6Char"/>
    <w:uiPriority w:val="99"/>
    <w:qFormat/>
    <w:rsid w:val="009F372C"/>
    <w:pPr>
      <w:widowControl/>
      <w:autoSpaceDE/>
      <w:autoSpaceDN/>
      <w:adjustRightInd/>
      <w:spacing w:before="240" w:after="60"/>
      <w:outlineLvl w:val="5"/>
    </w:pPr>
    <w:rPr>
      <w:rFonts w:ascii="Times New Roman" w:hAnsi="Times New Roman" w:cs="Arial"/>
      <w:b/>
      <w:sz w:val="22"/>
      <w:szCs w:val="22"/>
    </w:rPr>
  </w:style>
  <w:style w:type="paragraph" w:styleId="Heading7">
    <w:name w:val="heading 7"/>
    <w:basedOn w:val="Normal"/>
    <w:next w:val="Normal"/>
    <w:link w:val="Heading7Char"/>
    <w:uiPriority w:val="99"/>
    <w:qFormat/>
    <w:rsid w:val="009F372C"/>
    <w:pPr>
      <w:widowControl/>
      <w:autoSpaceDE/>
      <w:autoSpaceDN/>
      <w:adjustRightInd/>
      <w:spacing w:before="240" w:after="60"/>
      <w:outlineLvl w:val="6"/>
    </w:pPr>
    <w:rPr>
      <w:rFonts w:ascii="Times New Roman" w:hAnsi="Times New Roman" w:cs="Arial"/>
      <w:bCs/>
    </w:rPr>
  </w:style>
  <w:style w:type="paragraph" w:styleId="Heading8">
    <w:name w:val="heading 8"/>
    <w:basedOn w:val="Normal"/>
    <w:next w:val="Normal"/>
    <w:link w:val="Heading8Char"/>
    <w:uiPriority w:val="99"/>
    <w:qFormat/>
    <w:rsid w:val="009F372C"/>
    <w:pPr>
      <w:widowControl/>
      <w:autoSpaceDE/>
      <w:autoSpaceDN/>
      <w:adjustRightInd/>
      <w:spacing w:before="240" w:after="60"/>
      <w:outlineLvl w:val="7"/>
    </w:pPr>
    <w:rPr>
      <w:rFonts w:ascii="Times New Roman" w:hAnsi="Times New Roman" w:cs="Arial"/>
      <w:bCs/>
      <w:i/>
      <w:iCs/>
    </w:rPr>
  </w:style>
  <w:style w:type="paragraph" w:styleId="Heading9">
    <w:name w:val="heading 9"/>
    <w:basedOn w:val="Normal"/>
    <w:next w:val="Normal"/>
    <w:link w:val="Heading9Char"/>
    <w:uiPriority w:val="99"/>
    <w:qFormat/>
    <w:rsid w:val="009F372C"/>
    <w:pPr>
      <w:widowControl/>
      <w:autoSpaceDE/>
      <w:autoSpaceDN/>
      <w:adjustRightInd/>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303811"/>
    <w:rPr>
      <w:rFonts w:ascii="Tahoma" w:hAnsi="Tahoma" w:cs="Tahoma"/>
      <w:sz w:val="16"/>
      <w:szCs w:val="16"/>
    </w:rPr>
  </w:style>
  <w:style w:type="character" w:customStyle="1" w:styleId="BalloonTextChar">
    <w:name w:val="Balloon Text Char"/>
    <w:basedOn w:val="DefaultParagraphFont"/>
    <w:uiPriority w:val="99"/>
    <w:semiHidden/>
    <w:rsid w:val="00A17D48"/>
    <w:rPr>
      <w:rFonts w:ascii="Lucida Grande" w:hAnsi="Lucida Grande"/>
      <w:sz w:val="18"/>
      <w:szCs w:val="18"/>
    </w:rPr>
  </w:style>
  <w:style w:type="character" w:customStyle="1" w:styleId="BalloonTextChar2">
    <w:name w:val="Balloon Text Char2"/>
    <w:basedOn w:val="DefaultParagraphFont"/>
    <w:uiPriority w:val="99"/>
    <w:semiHidden/>
    <w:rsid w:val="00E549CC"/>
    <w:rPr>
      <w:rFonts w:ascii="Lucida Grande" w:hAnsi="Lucida Grande"/>
      <w:sz w:val="18"/>
      <w:szCs w:val="18"/>
    </w:rPr>
  </w:style>
  <w:style w:type="character" w:customStyle="1" w:styleId="Heading1Char">
    <w:name w:val="Heading 1 Char"/>
    <w:basedOn w:val="DefaultParagraphFont"/>
    <w:link w:val="Heading1"/>
    <w:uiPriority w:val="99"/>
    <w:locked/>
    <w:rsid w:val="009F372C"/>
    <w:rPr>
      <w:b/>
      <w:bCs/>
      <w:spacing w:val="-3"/>
    </w:rPr>
  </w:style>
  <w:style w:type="character" w:customStyle="1" w:styleId="Heading2Char">
    <w:name w:val="Heading 2 Char"/>
    <w:basedOn w:val="DefaultParagraphFont"/>
    <w:link w:val="Heading2"/>
    <w:uiPriority w:val="99"/>
    <w:rsid w:val="009F372C"/>
    <w:rPr>
      <w:rFonts w:ascii="Verdana" w:hAnsi="Verdana" w:cs="Arial"/>
      <w:b/>
      <w:color w:val="5D6FC7"/>
      <w:sz w:val="20"/>
      <w:szCs w:val="20"/>
    </w:rPr>
  </w:style>
  <w:style w:type="character" w:customStyle="1" w:styleId="Heading3Char">
    <w:name w:val="Heading 3 Char"/>
    <w:basedOn w:val="DefaultParagraphFont"/>
    <w:link w:val="Heading3"/>
    <w:uiPriority w:val="99"/>
    <w:rsid w:val="009F372C"/>
    <w:rPr>
      <w:rFonts w:ascii="Arial" w:hAnsi="Arial" w:cs="Arial"/>
      <w:b/>
      <w:sz w:val="26"/>
      <w:szCs w:val="26"/>
    </w:rPr>
  </w:style>
  <w:style w:type="character" w:customStyle="1" w:styleId="Heading4Char">
    <w:name w:val="Heading 4 Char"/>
    <w:basedOn w:val="DefaultParagraphFont"/>
    <w:link w:val="Heading4"/>
    <w:uiPriority w:val="99"/>
    <w:rsid w:val="009F372C"/>
    <w:rPr>
      <w:rFonts w:cs="Arial"/>
      <w:b/>
      <w:sz w:val="28"/>
      <w:szCs w:val="28"/>
    </w:rPr>
  </w:style>
  <w:style w:type="character" w:customStyle="1" w:styleId="Heading5Char">
    <w:name w:val="Heading 5 Char"/>
    <w:basedOn w:val="DefaultParagraphFont"/>
    <w:link w:val="Heading5"/>
    <w:uiPriority w:val="99"/>
    <w:rsid w:val="009F372C"/>
    <w:rPr>
      <w:rFonts w:cs="Arial"/>
      <w:b/>
      <w:i/>
      <w:iCs/>
      <w:sz w:val="26"/>
      <w:szCs w:val="26"/>
    </w:rPr>
  </w:style>
  <w:style w:type="character" w:customStyle="1" w:styleId="Heading6Char">
    <w:name w:val="Heading 6 Char"/>
    <w:basedOn w:val="DefaultParagraphFont"/>
    <w:link w:val="Heading6"/>
    <w:uiPriority w:val="99"/>
    <w:rsid w:val="009F372C"/>
    <w:rPr>
      <w:rFonts w:cs="Arial"/>
      <w:b/>
      <w:sz w:val="22"/>
      <w:szCs w:val="22"/>
    </w:rPr>
  </w:style>
  <w:style w:type="character" w:customStyle="1" w:styleId="Heading7Char">
    <w:name w:val="Heading 7 Char"/>
    <w:basedOn w:val="DefaultParagraphFont"/>
    <w:link w:val="Heading7"/>
    <w:uiPriority w:val="99"/>
    <w:rsid w:val="009F372C"/>
    <w:rPr>
      <w:rFonts w:cs="Arial"/>
      <w:bCs/>
    </w:rPr>
  </w:style>
  <w:style w:type="character" w:customStyle="1" w:styleId="Heading8Char">
    <w:name w:val="Heading 8 Char"/>
    <w:basedOn w:val="DefaultParagraphFont"/>
    <w:link w:val="Heading8"/>
    <w:uiPriority w:val="99"/>
    <w:rsid w:val="009F372C"/>
    <w:rPr>
      <w:rFonts w:cs="Arial"/>
      <w:bCs/>
      <w:i/>
      <w:iCs/>
    </w:rPr>
  </w:style>
  <w:style w:type="character" w:customStyle="1" w:styleId="Heading9Char">
    <w:name w:val="Heading 9 Char"/>
    <w:basedOn w:val="DefaultParagraphFont"/>
    <w:link w:val="Heading9"/>
    <w:uiPriority w:val="99"/>
    <w:rsid w:val="009F372C"/>
    <w:rPr>
      <w:rFonts w:ascii="Arial" w:hAnsi="Arial" w:cs="Arial"/>
      <w:bCs/>
      <w:sz w:val="22"/>
      <w:szCs w:val="22"/>
    </w:rPr>
  </w:style>
  <w:style w:type="paragraph" w:styleId="EndnoteText">
    <w:name w:val="endnote text"/>
    <w:basedOn w:val="Normal"/>
    <w:link w:val="EndnoteTextChar"/>
    <w:rsid w:val="00D42ABE"/>
    <w:rPr>
      <w:rFonts w:cs="Times New Roman"/>
    </w:rPr>
  </w:style>
  <w:style w:type="character" w:customStyle="1" w:styleId="EndnoteTextChar">
    <w:name w:val="Endnote Text Char"/>
    <w:basedOn w:val="DefaultParagraphFont"/>
    <w:link w:val="EndnoteText"/>
    <w:locked/>
    <w:rsid w:val="009F372C"/>
    <w:rPr>
      <w:rFonts w:ascii="Courier New" w:hAnsi="Courier New"/>
    </w:rPr>
  </w:style>
  <w:style w:type="character" w:styleId="EndnoteReference">
    <w:name w:val="endnote reference"/>
    <w:basedOn w:val="DefaultParagraphFont"/>
    <w:uiPriority w:val="99"/>
    <w:rsid w:val="00D42ABE"/>
    <w:rPr>
      <w:vertAlign w:val="superscript"/>
    </w:rPr>
  </w:style>
  <w:style w:type="paragraph" w:styleId="FootnoteText">
    <w:name w:val="footnote text"/>
    <w:aliases w:val="Footnote Text Char Char Char Char Char Char Char Char Char Char Char Char Char Char Char Char Char,Footnote Text Char1,Footnote Text Char Char,Footnote Text Char1 Char Char,Footnote Text Char Char Char Char,fn,ft,Footnote Text Char Char Ch"/>
    <w:basedOn w:val="Normal"/>
    <w:link w:val="FootnoteTextChar"/>
    <w:qFormat/>
    <w:rsid w:val="00D42ABE"/>
    <w:rPr>
      <w:rFonts w:cs="Times New Roman"/>
    </w:rPr>
  </w:style>
  <w:style w:type="character" w:customStyle="1" w:styleId="FootnoteTextChar">
    <w:name w:val="Footnote Text Char"/>
    <w:aliases w:val="Footnote Text Char Char Char Char Char Char Char Char Char Char Char Char Char Char Char Char Char Char,Footnote Text Char1 Char,Footnote Text Char Char Char,Footnote Text Char1 Char Char Char,Footnote Text Char Char Char Char Char"/>
    <w:basedOn w:val="DefaultParagraphFont"/>
    <w:link w:val="FootnoteText"/>
    <w:rsid w:val="00170CB2"/>
    <w:rPr>
      <w:rFonts w:ascii="Courier New" w:hAnsi="Courier New"/>
      <w:szCs w:val="24"/>
    </w:rPr>
  </w:style>
  <w:style w:type="character" w:styleId="FootnoteReference">
    <w:name w:val="footnote reference"/>
    <w:aliases w:val="Style 19,Style 16,fr,Style 39,Style 14,Style 35,12,Style 6,Footnote Reference Superscript,SUPERS,BVI fnr,Footnote symbol,Footnote,(Footnote Reference),Footnote reference number,note TESI,EN Footnote Reference,Voetnootverwijzing"/>
    <w:basedOn w:val="DefaultParagraphFont"/>
    <w:uiPriority w:val="99"/>
    <w:qFormat/>
    <w:rsid w:val="00D42ABE"/>
    <w:rPr>
      <w:vertAlign w:val="superscript"/>
    </w:rPr>
  </w:style>
  <w:style w:type="paragraph" w:styleId="TOC1">
    <w:name w:val="toc 1"/>
    <w:basedOn w:val="Normal"/>
    <w:next w:val="Normal"/>
    <w:autoRedefine/>
    <w:semiHidden/>
    <w:rsid w:val="00D42ABE"/>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D42ABE"/>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D42ABE"/>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D42ABE"/>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D42ABE"/>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D42ABE"/>
    <w:pPr>
      <w:tabs>
        <w:tab w:val="right" w:pos="9360"/>
      </w:tabs>
      <w:suppressAutoHyphens/>
      <w:spacing w:line="240" w:lineRule="atLeast"/>
      <w:ind w:left="720" w:hanging="720"/>
    </w:pPr>
  </w:style>
  <w:style w:type="paragraph" w:styleId="TOC7">
    <w:name w:val="toc 7"/>
    <w:basedOn w:val="Normal"/>
    <w:next w:val="Normal"/>
    <w:autoRedefine/>
    <w:semiHidden/>
    <w:rsid w:val="00D42ABE"/>
    <w:pPr>
      <w:suppressAutoHyphens/>
      <w:spacing w:line="240" w:lineRule="atLeast"/>
      <w:ind w:left="720" w:hanging="720"/>
    </w:pPr>
  </w:style>
  <w:style w:type="paragraph" w:styleId="TOC8">
    <w:name w:val="toc 8"/>
    <w:basedOn w:val="Normal"/>
    <w:next w:val="Normal"/>
    <w:autoRedefine/>
    <w:semiHidden/>
    <w:rsid w:val="00D42ABE"/>
    <w:pPr>
      <w:tabs>
        <w:tab w:val="right" w:pos="9360"/>
      </w:tabs>
      <w:suppressAutoHyphens/>
      <w:spacing w:line="240" w:lineRule="atLeast"/>
      <w:ind w:left="720" w:hanging="720"/>
    </w:pPr>
  </w:style>
  <w:style w:type="paragraph" w:styleId="TOC9">
    <w:name w:val="toc 9"/>
    <w:basedOn w:val="Normal"/>
    <w:next w:val="Normal"/>
    <w:autoRedefine/>
    <w:semiHidden/>
    <w:rsid w:val="00D42ABE"/>
    <w:pPr>
      <w:tabs>
        <w:tab w:val="right" w:leader="dot" w:pos="9360"/>
      </w:tabs>
      <w:suppressAutoHyphens/>
      <w:spacing w:line="240" w:lineRule="atLeast"/>
      <w:ind w:left="720" w:hanging="720"/>
    </w:pPr>
  </w:style>
  <w:style w:type="paragraph" w:styleId="Index1">
    <w:name w:val="index 1"/>
    <w:basedOn w:val="Normal"/>
    <w:next w:val="Normal"/>
    <w:autoRedefine/>
    <w:semiHidden/>
    <w:rsid w:val="00D42ABE"/>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D42ABE"/>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D42ABE"/>
    <w:pPr>
      <w:tabs>
        <w:tab w:val="right" w:pos="9360"/>
      </w:tabs>
      <w:suppressAutoHyphens/>
      <w:spacing w:line="240" w:lineRule="atLeast"/>
    </w:pPr>
  </w:style>
  <w:style w:type="paragraph" w:styleId="Caption">
    <w:name w:val="caption"/>
    <w:basedOn w:val="Normal"/>
    <w:next w:val="Normal"/>
    <w:qFormat/>
    <w:rsid w:val="00D42ABE"/>
    <w:rPr>
      <w:rFonts w:cs="Times New Roman"/>
    </w:rPr>
  </w:style>
  <w:style w:type="character" w:customStyle="1" w:styleId="EquationCaption">
    <w:name w:val="_Equation Caption"/>
    <w:rsid w:val="00D42ABE"/>
  </w:style>
  <w:style w:type="paragraph" w:styleId="BodyText">
    <w:name w:val="Body Text"/>
    <w:basedOn w:val="Normal"/>
    <w:link w:val="BodyTextChar"/>
    <w:uiPriority w:val="99"/>
    <w:rsid w:val="00D42ABE"/>
    <w:pPr>
      <w:tabs>
        <w:tab w:val="left" w:pos="0"/>
      </w:tabs>
      <w:suppressAutoHyphens/>
      <w:spacing w:line="240" w:lineRule="atLeast"/>
      <w:jc w:val="both"/>
    </w:pPr>
    <w:rPr>
      <w:rFonts w:ascii="Times New Roman" w:hAnsi="Times New Roman"/>
      <w:spacing w:val="-3"/>
    </w:rPr>
  </w:style>
  <w:style w:type="character" w:customStyle="1" w:styleId="BodyTextChar">
    <w:name w:val="Body Text Char"/>
    <w:basedOn w:val="DefaultParagraphFont"/>
    <w:link w:val="BodyText"/>
    <w:uiPriority w:val="99"/>
    <w:locked/>
    <w:rsid w:val="009F372C"/>
    <w:rPr>
      <w:rFonts w:cs="Courier New"/>
      <w:spacing w:val="-3"/>
    </w:rPr>
  </w:style>
  <w:style w:type="paragraph" w:styleId="Header">
    <w:name w:val="header"/>
    <w:basedOn w:val="Normal"/>
    <w:link w:val="HeaderChar"/>
    <w:uiPriority w:val="99"/>
    <w:rsid w:val="00D42ABE"/>
    <w:pPr>
      <w:tabs>
        <w:tab w:val="center" w:pos="4320"/>
        <w:tab w:val="right" w:pos="8640"/>
      </w:tabs>
    </w:pPr>
  </w:style>
  <w:style w:type="character" w:customStyle="1" w:styleId="HeaderChar">
    <w:name w:val="Header Char"/>
    <w:basedOn w:val="DefaultParagraphFont"/>
    <w:link w:val="Header"/>
    <w:uiPriority w:val="99"/>
    <w:locked/>
    <w:rsid w:val="009F372C"/>
    <w:rPr>
      <w:rFonts w:ascii="Courier New" w:hAnsi="Courier New" w:cs="Courier New"/>
    </w:rPr>
  </w:style>
  <w:style w:type="paragraph" w:styleId="Footer">
    <w:name w:val="footer"/>
    <w:basedOn w:val="Normal"/>
    <w:link w:val="FooterChar"/>
    <w:uiPriority w:val="99"/>
    <w:rsid w:val="00D42ABE"/>
    <w:pPr>
      <w:tabs>
        <w:tab w:val="center" w:pos="4320"/>
        <w:tab w:val="right" w:pos="8640"/>
      </w:tabs>
    </w:pPr>
  </w:style>
  <w:style w:type="character" w:customStyle="1" w:styleId="FooterChar">
    <w:name w:val="Footer Char"/>
    <w:basedOn w:val="DefaultParagraphFont"/>
    <w:link w:val="Footer"/>
    <w:uiPriority w:val="99"/>
    <w:locked/>
    <w:rsid w:val="009F372C"/>
    <w:rPr>
      <w:rFonts w:ascii="Courier New" w:hAnsi="Courier New" w:cs="Courier New"/>
    </w:rPr>
  </w:style>
  <w:style w:type="character" w:customStyle="1" w:styleId="BalloonTextChar1">
    <w:name w:val="Balloon Text Char1"/>
    <w:basedOn w:val="DefaultParagraphFont"/>
    <w:link w:val="BalloonText"/>
    <w:uiPriority w:val="99"/>
    <w:semiHidden/>
    <w:locked/>
    <w:rsid w:val="008E044D"/>
    <w:rPr>
      <w:rFonts w:ascii="Tahoma" w:hAnsi="Tahoma" w:cs="Tahoma"/>
      <w:sz w:val="16"/>
      <w:szCs w:val="16"/>
    </w:rPr>
  </w:style>
  <w:style w:type="paragraph" w:styleId="ListParagraph">
    <w:name w:val="List Paragraph"/>
    <w:basedOn w:val="Normal"/>
    <w:uiPriority w:val="34"/>
    <w:qFormat/>
    <w:rsid w:val="00E229B7"/>
    <w:pPr>
      <w:widowControl/>
      <w:autoSpaceDE/>
      <w:autoSpaceDN/>
      <w:adjustRightInd/>
      <w:spacing w:after="200" w:line="276" w:lineRule="auto"/>
      <w:ind w:left="720"/>
      <w:contextualSpacing/>
    </w:pPr>
    <w:rPr>
      <w:rFonts w:ascii="Cambria" w:eastAsia="Cambria" w:hAnsi="Cambria" w:cs="Times New Roman"/>
      <w:sz w:val="22"/>
      <w:szCs w:val="22"/>
    </w:rPr>
  </w:style>
  <w:style w:type="character" w:styleId="CommentReference">
    <w:name w:val="annotation reference"/>
    <w:basedOn w:val="DefaultParagraphFont"/>
    <w:uiPriority w:val="99"/>
    <w:rsid w:val="006D76ED"/>
    <w:rPr>
      <w:sz w:val="18"/>
      <w:szCs w:val="18"/>
    </w:rPr>
  </w:style>
  <w:style w:type="paragraph" w:styleId="CommentText">
    <w:name w:val="annotation text"/>
    <w:basedOn w:val="Normal"/>
    <w:link w:val="CommentTextChar"/>
    <w:uiPriority w:val="99"/>
    <w:rsid w:val="006D76ED"/>
  </w:style>
  <w:style w:type="character" w:customStyle="1" w:styleId="CommentTextChar">
    <w:name w:val="Comment Text Char"/>
    <w:basedOn w:val="DefaultParagraphFont"/>
    <w:link w:val="CommentText"/>
    <w:uiPriority w:val="99"/>
    <w:rsid w:val="006D76ED"/>
    <w:rPr>
      <w:rFonts w:ascii="Courier New" w:hAnsi="Courier New" w:cs="Courier New"/>
      <w:sz w:val="24"/>
      <w:szCs w:val="24"/>
    </w:rPr>
  </w:style>
  <w:style w:type="paragraph" w:styleId="CommentSubject">
    <w:name w:val="annotation subject"/>
    <w:basedOn w:val="CommentText"/>
    <w:next w:val="CommentText"/>
    <w:link w:val="CommentSubjectChar"/>
    <w:uiPriority w:val="99"/>
    <w:rsid w:val="006D76ED"/>
    <w:rPr>
      <w:b/>
      <w:bCs/>
      <w:sz w:val="20"/>
      <w:szCs w:val="20"/>
    </w:rPr>
  </w:style>
  <w:style w:type="character" w:customStyle="1" w:styleId="CommentSubjectChar">
    <w:name w:val="Comment Subject Char"/>
    <w:basedOn w:val="CommentTextChar"/>
    <w:link w:val="CommentSubject"/>
    <w:uiPriority w:val="99"/>
    <w:rsid w:val="006D76ED"/>
    <w:rPr>
      <w:rFonts w:ascii="Courier New" w:hAnsi="Courier New" w:cs="Courier New"/>
      <w:b/>
      <w:bCs/>
      <w:sz w:val="24"/>
      <w:szCs w:val="24"/>
    </w:rPr>
  </w:style>
  <w:style w:type="paragraph" w:styleId="Title">
    <w:name w:val="Title"/>
    <w:basedOn w:val="Normal"/>
    <w:link w:val="TitleChar"/>
    <w:uiPriority w:val="99"/>
    <w:qFormat/>
    <w:rsid w:val="00125A2E"/>
    <w:pPr>
      <w:widowControl/>
      <w:autoSpaceDE/>
      <w:autoSpaceDN/>
      <w:adjustRightInd/>
      <w:jc w:val="center"/>
    </w:pPr>
    <w:rPr>
      <w:rFonts w:ascii="Times New Roman" w:hAnsi="Times New Roman" w:cs="Times New Roman"/>
      <w:b/>
    </w:rPr>
  </w:style>
  <w:style w:type="character" w:customStyle="1" w:styleId="TitleChar">
    <w:name w:val="Title Char"/>
    <w:basedOn w:val="DefaultParagraphFont"/>
    <w:link w:val="Title"/>
    <w:uiPriority w:val="99"/>
    <w:rsid w:val="00125A2E"/>
    <w:rPr>
      <w:b/>
      <w:sz w:val="24"/>
    </w:rPr>
  </w:style>
  <w:style w:type="paragraph" w:customStyle="1" w:styleId="Default">
    <w:name w:val="Default"/>
    <w:rsid w:val="00A47C3D"/>
    <w:pPr>
      <w:autoSpaceDE w:val="0"/>
      <w:autoSpaceDN w:val="0"/>
      <w:adjustRightInd w:val="0"/>
    </w:pPr>
    <w:rPr>
      <w:color w:val="000000"/>
    </w:rPr>
  </w:style>
  <w:style w:type="paragraph" w:styleId="NormalWeb">
    <w:name w:val="Normal (Web)"/>
    <w:basedOn w:val="Normal"/>
    <w:uiPriority w:val="99"/>
    <w:rsid w:val="009F372C"/>
    <w:pPr>
      <w:widowControl/>
      <w:autoSpaceDE/>
      <w:autoSpaceDN/>
      <w:adjustRightInd/>
      <w:spacing w:before="100" w:beforeAutospacing="1" w:after="100" w:afterAutospacing="1"/>
    </w:pPr>
    <w:rPr>
      <w:rFonts w:ascii="Times New Roman" w:hAnsi="Times New Roman" w:cs="Arial"/>
      <w:bCs/>
    </w:rPr>
  </w:style>
  <w:style w:type="character" w:styleId="Hyperlink">
    <w:name w:val="Hyperlink"/>
    <w:basedOn w:val="DefaultParagraphFont"/>
    <w:uiPriority w:val="99"/>
    <w:rsid w:val="009F372C"/>
    <w:rPr>
      <w:rFonts w:cs="Times New Roman"/>
      <w:color w:val="0000FF"/>
      <w:u w:val="single"/>
    </w:rPr>
  </w:style>
  <w:style w:type="paragraph" w:customStyle="1" w:styleId="em2">
    <w:name w:val="em2"/>
    <w:basedOn w:val="Normal"/>
    <w:uiPriority w:val="99"/>
    <w:rsid w:val="009F372C"/>
    <w:pPr>
      <w:widowControl/>
      <w:autoSpaceDE/>
      <w:autoSpaceDN/>
      <w:adjustRightInd/>
      <w:spacing w:before="100" w:beforeAutospacing="1" w:after="100" w:afterAutospacing="1"/>
      <w:ind w:left="480"/>
    </w:pPr>
    <w:rPr>
      <w:rFonts w:ascii="Times New Roman" w:hAnsi="Times New Roman" w:cs="Times New Roman"/>
    </w:rPr>
  </w:style>
  <w:style w:type="character" w:styleId="PageNumber">
    <w:name w:val="page number"/>
    <w:basedOn w:val="DefaultParagraphFont"/>
    <w:uiPriority w:val="99"/>
    <w:rsid w:val="009F372C"/>
    <w:rPr>
      <w:rFonts w:cs="Times New Roman"/>
    </w:rPr>
  </w:style>
  <w:style w:type="paragraph" w:styleId="BodyTextIndent2">
    <w:name w:val="Body Text Indent 2"/>
    <w:basedOn w:val="Normal"/>
    <w:link w:val="BodyTextIndent2Char"/>
    <w:uiPriority w:val="99"/>
    <w:rsid w:val="009F372C"/>
    <w:pPr>
      <w:widowControl/>
      <w:overflowPunct w:val="0"/>
      <w:spacing w:line="480" w:lineRule="auto"/>
      <w:ind w:firstLine="720"/>
      <w:textAlignment w:val="baseline"/>
    </w:pPr>
    <w:rPr>
      <w:rFonts w:ascii="Times New Roman" w:hAnsi="Times New Roman" w:cs="Times New Roman"/>
      <w:spacing w:val="-3"/>
      <w:szCs w:val="20"/>
    </w:rPr>
  </w:style>
  <w:style w:type="character" w:customStyle="1" w:styleId="BodyTextIndent2Char">
    <w:name w:val="Body Text Indent 2 Char"/>
    <w:basedOn w:val="DefaultParagraphFont"/>
    <w:link w:val="BodyTextIndent2"/>
    <w:uiPriority w:val="99"/>
    <w:rsid w:val="009F372C"/>
    <w:rPr>
      <w:spacing w:val="-3"/>
      <w:szCs w:val="20"/>
    </w:rPr>
  </w:style>
  <w:style w:type="paragraph" w:styleId="HTMLPreformatted">
    <w:name w:val="HTML Preformatted"/>
    <w:basedOn w:val="Normal"/>
    <w:link w:val="HTMLPreformattedChar"/>
    <w:uiPriority w:val="99"/>
    <w:rsid w:val="009F37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0"/>
      <w:szCs w:val="20"/>
    </w:rPr>
  </w:style>
  <w:style w:type="character" w:customStyle="1" w:styleId="HTMLPreformattedChar">
    <w:name w:val="HTML Preformatted Char"/>
    <w:basedOn w:val="DefaultParagraphFont"/>
    <w:link w:val="HTMLPreformatted"/>
    <w:uiPriority w:val="99"/>
    <w:rsid w:val="009F372C"/>
    <w:rPr>
      <w:rFonts w:ascii="Courier New" w:hAnsi="Courier New" w:cs="Courier New"/>
      <w:sz w:val="20"/>
      <w:szCs w:val="20"/>
    </w:rPr>
  </w:style>
  <w:style w:type="character" w:styleId="Emphasis">
    <w:name w:val="Emphasis"/>
    <w:basedOn w:val="DefaultParagraphFont"/>
    <w:uiPriority w:val="99"/>
    <w:qFormat/>
    <w:rsid w:val="009F372C"/>
    <w:rPr>
      <w:rFonts w:cs="Times New Roman"/>
      <w:i/>
      <w:iCs/>
    </w:rPr>
  </w:style>
  <w:style w:type="paragraph" w:styleId="BodyTextIndent3">
    <w:name w:val="Body Text Indent 3"/>
    <w:basedOn w:val="Normal"/>
    <w:link w:val="BodyTextIndent3Char"/>
    <w:uiPriority w:val="99"/>
    <w:rsid w:val="009F372C"/>
    <w:pPr>
      <w:widowControl/>
      <w:autoSpaceDE/>
      <w:autoSpaceDN/>
      <w:adjustRightInd/>
      <w:spacing w:after="120"/>
      <w:ind w:left="360"/>
    </w:pPr>
    <w:rPr>
      <w:rFonts w:ascii="Times New Roman" w:hAnsi="Times New Roman" w:cs="Arial"/>
      <w:bCs/>
      <w:sz w:val="16"/>
      <w:szCs w:val="16"/>
    </w:rPr>
  </w:style>
  <w:style w:type="character" w:customStyle="1" w:styleId="BodyTextIndent3Char">
    <w:name w:val="Body Text Indent 3 Char"/>
    <w:basedOn w:val="DefaultParagraphFont"/>
    <w:link w:val="BodyTextIndent3"/>
    <w:uiPriority w:val="99"/>
    <w:rsid w:val="009F372C"/>
    <w:rPr>
      <w:rFonts w:cs="Arial"/>
      <w:bCs/>
      <w:sz w:val="16"/>
      <w:szCs w:val="16"/>
    </w:rPr>
  </w:style>
  <w:style w:type="paragraph" w:styleId="PlainText">
    <w:name w:val="Plain Text"/>
    <w:basedOn w:val="Normal"/>
    <w:link w:val="PlainTextChar"/>
    <w:uiPriority w:val="99"/>
    <w:rsid w:val="009F372C"/>
    <w:pPr>
      <w:widowControl/>
      <w:autoSpaceDE/>
      <w:autoSpaceDN/>
      <w:adjustRightInd/>
    </w:pPr>
    <w:rPr>
      <w:sz w:val="20"/>
      <w:szCs w:val="20"/>
    </w:rPr>
  </w:style>
  <w:style w:type="character" w:customStyle="1" w:styleId="PlainTextChar">
    <w:name w:val="Plain Text Char"/>
    <w:basedOn w:val="DefaultParagraphFont"/>
    <w:link w:val="PlainText"/>
    <w:uiPriority w:val="99"/>
    <w:rsid w:val="009F372C"/>
    <w:rPr>
      <w:rFonts w:ascii="Courier New" w:hAnsi="Courier New" w:cs="Courier New"/>
      <w:sz w:val="20"/>
      <w:szCs w:val="20"/>
    </w:rPr>
  </w:style>
  <w:style w:type="character" w:styleId="FollowedHyperlink">
    <w:name w:val="FollowedHyperlink"/>
    <w:basedOn w:val="DefaultParagraphFont"/>
    <w:uiPriority w:val="99"/>
    <w:rsid w:val="009F372C"/>
    <w:rPr>
      <w:rFonts w:cs="Times New Roman"/>
      <w:color w:val="800080"/>
      <w:u w:val="single"/>
    </w:rPr>
  </w:style>
  <w:style w:type="paragraph" w:customStyle="1" w:styleId="Style1">
    <w:name w:val="Style1"/>
    <w:basedOn w:val="Normal"/>
    <w:uiPriority w:val="99"/>
    <w:rsid w:val="009F372C"/>
    <w:pPr>
      <w:widowControl/>
      <w:overflowPunct w:val="0"/>
      <w:spacing w:line="480" w:lineRule="auto"/>
      <w:textAlignment w:val="baseline"/>
    </w:pPr>
    <w:rPr>
      <w:rFonts w:ascii="CG Times (W1)" w:hAnsi="CG Times (W1)" w:cs="Times New Roman"/>
      <w:szCs w:val="20"/>
    </w:rPr>
  </w:style>
  <w:style w:type="character" w:customStyle="1" w:styleId="documentbody5">
    <w:name w:val="documentbody5"/>
    <w:basedOn w:val="DefaultParagraphFont"/>
    <w:uiPriority w:val="99"/>
    <w:rsid w:val="009F372C"/>
    <w:rPr>
      <w:rFonts w:ascii="Verdana" w:hAnsi="Verdana" w:cs="Times New Roman"/>
      <w:sz w:val="19"/>
      <w:szCs w:val="19"/>
    </w:rPr>
  </w:style>
  <w:style w:type="paragraph" w:customStyle="1" w:styleId="CM20">
    <w:name w:val="CM20"/>
    <w:basedOn w:val="Default"/>
    <w:next w:val="Default"/>
    <w:uiPriority w:val="99"/>
    <w:rsid w:val="009F372C"/>
    <w:pPr>
      <w:spacing w:line="553" w:lineRule="atLeast"/>
    </w:pPr>
    <w:rPr>
      <w:color w:val="auto"/>
    </w:rPr>
  </w:style>
  <w:style w:type="character" w:customStyle="1" w:styleId="CharChar">
    <w:name w:val="Char Char"/>
    <w:basedOn w:val="DefaultParagraphFont"/>
    <w:uiPriority w:val="99"/>
    <w:rsid w:val="009F372C"/>
    <w:rPr>
      <w:rFonts w:cs="Times New Roman"/>
      <w:lang w:val="en-US" w:eastAsia="en-US" w:bidi="ar-SA"/>
    </w:rPr>
  </w:style>
  <w:style w:type="paragraph" w:customStyle="1" w:styleId="CM3">
    <w:name w:val="CM3"/>
    <w:basedOn w:val="Normal"/>
    <w:next w:val="Normal"/>
    <w:uiPriority w:val="99"/>
    <w:rsid w:val="009F372C"/>
    <w:pPr>
      <w:widowControl/>
      <w:spacing w:line="553" w:lineRule="atLeast"/>
    </w:pPr>
    <w:rPr>
      <w:rFonts w:ascii="Times New Roman" w:hAnsi="Times New Roman" w:cs="Times New Roman"/>
    </w:rPr>
  </w:style>
  <w:style w:type="character" w:customStyle="1" w:styleId="BodyChar">
    <w:name w:val="Body Char"/>
    <w:basedOn w:val="DefaultParagraphFont"/>
    <w:link w:val="Body"/>
    <w:uiPriority w:val="99"/>
    <w:locked/>
    <w:rsid w:val="009F372C"/>
    <w:rPr>
      <w:rFonts w:ascii="Calibri" w:hAnsi="Calibri"/>
    </w:rPr>
  </w:style>
  <w:style w:type="paragraph" w:customStyle="1" w:styleId="Body">
    <w:name w:val="Body"/>
    <w:basedOn w:val="Normal"/>
    <w:link w:val="BodyChar"/>
    <w:uiPriority w:val="99"/>
    <w:rsid w:val="009F372C"/>
    <w:pPr>
      <w:widowControl/>
      <w:overflowPunct w:val="0"/>
      <w:adjustRightInd/>
      <w:spacing w:after="240"/>
      <w:ind w:firstLine="720"/>
    </w:pPr>
    <w:rPr>
      <w:rFonts w:ascii="Calibri" w:hAnsi="Calibri" w:cs="Times New Roman"/>
    </w:rPr>
  </w:style>
  <w:style w:type="paragraph" w:customStyle="1" w:styleId="center">
    <w:name w:val="center"/>
    <w:basedOn w:val="Normal"/>
    <w:uiPriority w:val="99"/>
    <w:rsid w:val="009F372C"/>
    <w:pPr>
      <w:widowControl/>
      <w:autoSpaceDE/>
      <w:autoSpaceDN/>
      <w:adjustRightInd/>
      <w:spacing w:before="100" w:beforeAutospacing="1" w:after="100" w:afterAutospacing="1"/>
      <w:jc w:val="center"/>
    </w:pPr>
    <w:rPr>
      <w:rFonts w:ascii="Verdana" w:hAnsi="Verdana" w:cs="Times New Roman"/>
      <w:sz w:val="20"/>
      <w:szCs w:val="20"/>
    </w:rPr>
  </w:style>
  <w:style w:type="paragraph" w:customStyle="1" w:styleId="CM11">
    <w:name w:val="CM11"/>
    <w:basedOn w:val="Default"/>
    <w:next w:val="Default"/>
    <w:uiPriority w:val="99"/>
    <w:rsid w:val="009F372C"/>
    <w:pPr>
      <w:spacing w:line="560" w:lineRule="atLeast"/>
    </w:pPr>
    <w:rPr>
      <w:color w:val="auto"/>
    </w:rPr>
  </w:style>
  <w:style w:type="paragraph" w:styleId="NoSpacing">
    <w:name w:val="No Spacing"/>
    <w:basedOn w:val="Normal"/>
    <w:uiPriority w:val="99"/>
    <w:qFormat/>
    <w:rsid w:val="009F372C"/>
    <w:pPr>
      <w:widowControl/>
      <w:autoSpaceDE/>
      <w:autoSpaceDN/>
      <w:adjustRightInd/>
      <w:spacing w:line="480" w:lineRule="auto"/>
    </w:pPr>
    <w:rPr>
      <w:rFonts w:ascii="Times New Roman" w:hAnsi="Times New Roman" w:cs="Times New Roman"/>
    </w:rPr>
  </w:style>
  <w:style w:type="paragraph" w:customStyle="1" w:styleId="CM10">
    <w:name w:val="CM10"/>
    <w:basedOn w:val="Default"/>
    <w:next w:val="Default"/>
    <w:uiPriority w:val="99"/>
    <w:rsid w:val="009F372C"/>
    <w:pPr>
      <w:widowControl w:val="0"/>
    </w:pPr>
    <w:rPr>
      <w:color w:val="auto"/>
    </w:rPr>
  </w:style>
  <w:style w:type="paragraph" w:customStyle="1" w:styleId="CM26">
    <w:name w:val="CM26"/>
    <w:basedOn w:val="Default"/>
    <w:next w:val="Default"/>
    <w:uiPriority w:val="99"/>
    <w:rsid w:val="009F372C"/>
    <w:pPr>
      <w:widowControl w:val="0"/>
    </w:pPr>
    <w:rPr>
      <w:color w:val="auto"/>
    </w:rPr>
  </w:style>
  <w:style w:type="table" w:styleId="TableGrid">
    <w:name w:val="Table Grid"/>
    <w:basedOn w:val="TableNormal"/>
    <w:rsid w:val="005518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sChar">
    <w:name w:val="Footers Char"/>
    <w:basedOn w:val="DefaultParagraphFont"/>
    <w:link w:val="Footers"/>
    <w:uiPriority w:val="99"/>
    <w:rsid w:val="000B77B5"/>
    <w:rPr>
      <w:sz w:val="20"/>
    </w:rPr>
  </w:style>
  <w:style w:type="paragraph" w:customStyle="1" w:styleId="Footers">
    <w:name w:val="Footers"/>
    <w:basedOn w:val="Normal"/>
    <w:link w:val="FootersChar"/>
    <w:uiPriority w:val="99"/>
    <w:rsid w:val="000B77B5"/>
    <w:pPr>
      <w:widowControl/>
      <w:spacing w:after="240"/>
      <w:ind w:left="360" w:hanging="360"/>
    </w:pPr>
    <w:rPr>
      <w:rFonts w:ascii="Times New Roman" w:hAnsi="Times New Roman" w:cs="Times New Roman"/>
      <w:sz w:val="20"/>
    </w:rPr>
  </w:style>
  <w:style w:type="paragraph" w:customStyle="1" w:styleId="LightGrid-Accent31">
    <w:name w:val="Light Grid - Accent 31"/>
    <w:basedOn w:val="Normal"/>
    <w:uiPriority w:val="99"/>
    <w:qFormat/>
    <w:rsid w:val="000B77B5"/>
    <w:pPr>
      <w:widowControl/>
      <w:autoSpaceDE/>
      <w:autoSpaceDN/>
      <w:adjustRightInd/>
      <w:ind w:left="720"/>
      <w:contextualSpacing/>
    </w:pPr>
    <w:rPr>
      <w:rFonts w:ascii="Times New Roman" w:hAnsi="Times New Roman" w:cs="Times New Roman"/>
    </w:rPr>
  </w:style>
  <w:style w:type="character" w:customStyle="1" w:styleId="ptext-31">
    <w:name w:val="ptext-31"/>
    <w:basedOn w:val="DefaultParagraphFont"/>
    <w:rsid w:val="001E41C7"/>
  </w:style>
  <w:style w:type="paragraph" w:styleId="Revision">
    <w:name w:val="Revision"/>
    <w:hidden/>
    <w:rsid w:val="004A7033"/>
    <w:rPr>
      <w:rFonts w:ascii="Courier New" w:hAnsi="Courier New" w:cs="Courier New"/>
    </w:rPr>
  </w:style>
  <w:style w:type="character" w:customStyle="1" w:styleId="ptext-25">
    <w:name w:val="ptext-25"/>
    <w:basedOn w:val="DefaultParagraphFont"/>
    <w:rsid w:val="004A7614"/>
  </w:style>
  <w:style w:type="character" w:customStyle="1" w:styleId="enumxml1">
    <w:name w:val="enumxml1"/>
    <w:basedOn w:val="DefaultParagraphFont"/>
    <w:rsid w:val="004A7614"/>
    <w:rPr>
      <w:b/>
      <w:bCs/>
    </w:rPr>
  </w:style>
  <w:style w:type="character" w:customStyle="1" w:styleId="ptext-41">
    <w:name w:val="ptext-41"/>
    <w:basedOn w:val="DefaultParagraphFont"/>
    <w:rsid w:val="004A7614"/>
  </w:style>
  <w:style w:type="character" w:customStyle="1" w:styleId="apple-converted-space">
    <w:name w:val="apple-converted-space"/>
    <w:basedOn w:val="DefaultParagraphFont"/>
    <w:rsid w:val="00CB6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footnote text" w:qFormat="1"/>
    <w:lsdException w:name="header" w:uiPriority="99"/>
    <w:lsdException w:name="footnote reference" w:uiPriority="99" w:qFormat="1"/>
    <w:lsdException w:name="Body Text" w:uiPriority="99"/>
    <w:lsdException w:name="List Paragraph" w:uiPriority="34" w:qFormat="1"/>
  </w:latentStyles>
  <w:style w:type="paragraph" w:default="1" w:styleId="Normal">
    <w:name w:val="Normal"/>
    <w:qFormat/>
    <w:rsid w:val="00D42ABE"/>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uiPriority w:val="99"/>
    <w:qFormat/>
    <w:rsid w:val="00D42ABE"/>
    <w:pPr>
      <w:keepNext/>
      <w:tabs>
        <w:tab w:val="left" w:pos="0"/>
      </w:tabs>
      <w:suppressAutoHyphens/>
      <w:spacing w:line="240" w:lineRule="atLeast"/>
      <w:jc w:val="both"/>
      <w:outlineLvl w:val="0"/>
    </w:pPr>
    <w:rPr>
      <w:rFonts w:ascii="Times New Roman" w:hAnsi="Times New Roman" w:cs="Times New Roman"/>
      <w:b/>
      <w:bCs/>
      <w:spacing w:val="-3"/>
    </w:rPr>
  </w:style>
  <w:style w:type="paragraph" w:styleId="Heading2">
    <w:name w:val="heading 2"/>
    <w:basedOn w:val="Normal"/>
    <w:link w:val="Heading2Char"/>
    <w:uiPriority w:val="99"/>
    <w:qFormat/>
    <w:rsid w:val="009F372C"/>
    <w:pPr>
      <w:widowControl/>
      <w:autoSpaceDE/>
      <w:autoSpaceDN/>
      <w:adjustRightInd/>
      <w:spacing w:before="100" w:beforeAutospacing="1" w:after="100" w:afterAutospacing="1"/>
      <w:outlineLvl w:val="1"/>
    </w:pPr>
    <w:rPr>
      <w:rFonts w:ascii="Verdana" w:hAnsi="Verdana" w:cs="Arial"/>
      <w:b/>
      <w:color w:val="5D6FC7"/>
      <w:sz w:val="20"/>
      <w:szCs w:val="20"/>
    </w:rPr>
  </w:style>
  <w:style w:type="paragraph" w:styleId="Heading3">
    <w:name w:val="heading 3"/>
    <w:basedOn w:val="Normal"/>
    <w:next w:val="Normal"/>
    <w:link w:val="Heading3Char"/>
    <w:uiPriority w:val="99"/>
    <w:qFormat/>
    <w:rsid w:val="009F372C"/>
    <w:pPr>
      <w:keepNext/>
      <w:widowControl/>
      <w:autoSpaceDE/>
      <w:autoSpaceDN/>
      <w:adjustRightInd/>
      <w:spacing w:before="240" w:after="60"/>
      <w:outlineLvl w:val="2"/>
    </w:pPr>
    <w:rPr>
      <w:rFonts w:ascii="Arial" w:hAnsi="Arial" w:cs="Arial"/>
      <w:b/>
      <w:sz w:val="26"/>
      <w:szCs w:val="26"/>
    </w:rPr>
  </w:style>
  <w:style w:type="paragraph" w:styleId="Heading4">
    <w:name w:val="heading 4"/>
    <w:basedOn w:val="Normal"/>
    <w:next w:val="Normal"/>
    <w:link w:val="Heading4Char"/>
    <w:uiPriority w:val="99"/>
    <w:qFormat/>
    <w:rsid w:val="009F372C"/>
    <w:pPr>
      <w:keepNext/>
      <w:widowControl/>
      <w:autoSpaceDE/>
      <w:autoSpaceDN/>
      <w:adjustRightInd/>
      <w:spacing w:before="240" w:after="60"/>
      <w:outlineLvl w:val="3"/>
    </w:pPr>
    <w:rPr>
      <w:rFonts w:ascii="Times New Roman" w:hAnsi="Times New Roman" w:cs="Arial"/>
      <w:b/>
      <w:sz w:val="28"/>
      <w:szCs w:val="28"/>
    </w:rPr>
  </w:style>
  <w:style w:type="paragraph" w:styleId="Heading5">
    <w:name w:val="heading 5"/>
    <w:basedOn w:val="Normal"/>
    <w:next w:val="Normal"/>
    <w:link w:val="Heading5Char"/>
    <w:uiPriority w:val="99"/>
    <w:qFormat/>
    <w:rsid w:val="009F372C"/>
    <w:pPr>
      <w:widowControl/>
      <w:autoSpaceDE/>
      <w:autoSpaceDN/>
      <w:adjustRightInd/>
      <w:spacing w:before="240" w:after="60"/>
      <w:outlineLvl w:val="4"/>
    </w:pPr>
    <w:rPr>
      <w:rFonts w:ascii="Times New Roman" w:hAnsi="Times New Roman" w:cs="Arial"/>
      <w:b/>
      <w:i/>
      <w:iCs/>
      <w:sz w:val="26"/>
      <w:szCs w:val="26"/>
    </w:rPr>
  </w:style>
  <w:style w:type="paragraph" w:styleId="Heading6">
    <w:name w:val="heading 6"/>
    <w:basedOn w:val="Normal"/>
    <w:next w:val="Normal"/>
    <w:link w:val="Heading6Char"/>
    <w:uiPriority w:val="99"/>
    <w:qFormat/>
    <w:rsid w:val="009F372C"/>
    <w:pPr>
      <w:widowControl/>
      <w:autoSpaceDE/>
      <w:autoSpaceDN/>
      <w:adjustRightInd/>
      <w:spacing w:before="240" w:after="60"/>
      <w:outlineLvl w:val="5"/>
    </w:pPr>
    <w:rPr>
      <w:rFonts w:ascii="Times New Roman" w:hAnsi="Times New Roman" w:cs="Arial"/>
      <w:b/>
      <w:sz w:val="22"/>
      <w:szCs w:val="22"/>
    </w:rPr>
  </w:style>
  <w:style w:type="paragraph" w:styleId="Heading7">
    <w:name w:val="heading 7"/>
    <w:basedOn w:val="Normal"/>
    <w:next w:val="Normal"/>
    <w:link w:val="Heading7Char"/>
    <w:uiPriority w:val="99"/>
    <w:qFormat/>
    <w:rsid w:val="009F372C"/>
    <w:pPr>
      <w:widowControl/>
      <w:autoSpaceDE/>
      <w:autoSpaceDN/>
      <w:adjustRightInd/>
      <w:spacing w:before="240" w:after="60"/>
      <w:outlineLvl w:val="6"/>
    </w:pPr>
    <w:rPr>
      <w:rFonts w:ascii="Times New Roman" w:hAnsi="Times New Roman" w:cs="Arial"/>
      <w:bCs/>
    </w:rPr>
  </w:style>
  <w:style w:type="paragraph" w:styleId="Heading8">
    <w:name w:val="heading 8"/>
    <w:basedOn w:val="Normal"/>
    <w:next w:val="Normal"/>
    <w:link w:val="Heading8Char"/>
    <w:uiPriority w:val="99"/>
    <w:qFormat/>
    <w:rsid w:val="009F372C"/>
    <w:pPr>
      <w:widowControl/>
      <w:autoSpaceDE/>
      <w:autoSpaceDN/>
      <w:adjustRightInd/>
      <w:spacing w:before="240" w:after="60"/>
      <w:outlineLvl w:val="7"/>
    </w:pPr>
    <w:rPr>
      <w:rFonts w:ascii="Times New Roman" w:hAnsi="Times New Roman" w:cs="Arial"/>
      <w:bCs/>
      <w:i/>
      <w:iCs/>
    </w:rPr>
  </w:style>
  <w:style w:type="paragraph" w:styleId="Heading9">
    <w:name w:val="heading 9"/>
    <w:basedOn w:val="Normal"/>
    <w:next w:val="Normal"/>
    <w:link w:val="Heading9Char"/>
    <w:uiPriority w:val="99"/>
    <w:qFormat/>
    <w:rsid w:val="009F372C"/>
    <w:pPr>
      <w:widowControl/>
      <w:autoSpaceDE/>
      <w:autoSpaceDN/>
      <w:adjustRightInd/>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303811"/>
    <w:rPr>
      <w:rFonts w:ascii="Tahoma" w:hAnsi="Tahoma" w:cs="Tahoma"/>
      <w:sz w:val="16"/>
      <w:szCs w:val="16"/>
    </w:rPr>
  </w:style>
  <w:style w:type="character" w:customStyle="1" w:styleId="BalloonTextChar">
    <w:name w:val="Balloon Text Char"/>
    <w:basedOn w:val="DefaultParagraphFont"/>
    <w:uiPriority w:val="99"/>
    <w:semiHidden/>
    <w:rsid w:val="00A17D48"/>
    <w:rPr>
      <w:rFonts w:ascii="Lucida Grande" w:hAnsi="Lucida Grande"/>
      <w:sz w:val="18"/>
      <w:szCs w:val="18"/>
    </w:rPr>
  </w:style>
  <w:style w:type="character" w:customStyle="1" w:styleId="BalloonTextChar2">
    <w:name w:val="Balloon Text Char2"/>
    <w:basedOn w:val="DefaultParagraphFont"/>
    <w:uiPriority w:val="99"/>
    <w:semiHidden/>
    <w:rsid w:val="00E549CC"/>
    <w:rPr>
      <w:rFonts w:ascii="Lucida Grande" w:hAnsi="Lucida Grande"/>
      <w:sz w:val="18"/>
      <w:szCs w:val="18"/>
    </w:rPr>
  </w:style>
  <w:style w:type="character" w:customStyle="1" w:styleId="Heading1Char">
    <w:name w:val="Heading 1 Char"/>
    <w:basedOn w:val="DefaultParagraphFont"/>
    <w:link w:val="Heading1"/>
    <w:uiPriority w:val="99"/>
    <w:locked/>
    <w:rsid w:val="009F372C"/>
    <w:rPr>
      <w:b/>
      <w:bCs/>
      <w:spacing w:val="-3"/>
    </w:rPr>
  </w:style>
  <w:style w:type="character" w:customStyle="1" w:styleId="Heading2Char">
    <w:name w:val="Heading 2 Char"/>
    <w:basedOn w:val="DefaultParagraphFont"/>
    <w:link w:val="Heading2"/>
    <w:uiPriority w:val="99"/>
    <w:rsid w:val="009F372C"/>
    <w:rPr>
      <w:rFonts w:ascii="Verdana" w:hAnsi="Verdana" w:cs="Arial"/>
      <w:b/>
      <w:color w:val="5D6FC7"/>
      <w:sz w:val="20"/>
      <w:szCs w:val="20"/>
    </w:rPr>
  </w:style>
  <w:style w:type="character" w:customStyle="1" w:styleId="Heading3Char">
    <w:name w:val="Heading 3 Char"/>
    <w:basedOn w:val="DefaultParagraphFont"/>
    <w:link w:val="Heading3"/>
    <w:uiPriority w:val="99"/>
    <w:rsid w:val="009F372C"/>
    <w:rPr>
      <w:rFonts w:ascii="Arial" w:hAnsi="Arial" w:cs="Arial"/>
      <w:b/>
      <w:sz w:val="26"/>
      <w:szCs w:val="26"/>
    </w:rPr>
  </w:style>
  <w:style w:type="character" w:customStyle="1" w:styleId="Heading4Char">
    <w:name w:val="Heading 4 Char"/>
    <w:basedOn w:val="DefaultParagraphFont"/>
    <w:link w:val="Heading4"/>
    <w:uiPriority w:val="99"/>
    <w:rsid w:val="009F372C"/>
    <w:rPr>
      <w:rFonts w:cs="Arial"/>
      <w:b/>
      <w:sz w:val="28"/>
      <w:szCs w:val="28"/>
    </w:rPr>
  </w:style>
  <w:style w:type="character" w:customStyle="1" w:styleId="Heading5Char">
    <w:name w:val="Heading 5 Char"/>
    <w:basedOn w:val="DefaultParagraphFont"/>
    <w:link w:val="Heading5"/>
    <w:uiPriority w:val="99"/>
    <w:rsid w:val="009F372C"/>
    <w:rPr>
      <w:rFonts w:cs="Arial"/>
      <w:b/>
      <w:i/>
      <w:iCs/>
      <w:sz w:val="26"/>
      <w:szCs w:val="26"/>
    </w:rPr>
  </w:style>
  <w:style w:type="character" w:customStyle="1" w:styleId="Heading6Char">
    <w:name w:val="Heading 6 Char"/>
    <w:basedOn w:val="DefaultParagraphFont"/>
    <w:link w:val="Heading6"/>
    <w:uiPriority w:val="99"/>
    <w:rsid w:val="009F372C"/>
    <w:rPr>
      <w:rFonts w:cs="Arial"/>
      <w:b/>
      <w:sz w:val="22"/>
      <w:szCs w:val="22"/>
    </w:rPr>
  </w:style>
  <w:style w:type="character" w:customStyle="1" w:styleId="Heading7Char">
    <w:name w:val="Heading 7 Char"/>
    <w:basedOn w:val="DefaultParagraphFont"/>
    <w:link w:val="Heading7"/>
    <w:uiPriority w:val="99"/>
    <w:rsid w:val="009F372C"/>
    <w:rPr>
      <w:rFonts w:cs="Arial"/>
      <w:bCs/>
    </w:rPr>
  </w:style>
  <w:style w:type="character" w:customStyle="1" w:styleId="Heading8Char">
    <w:name w:val="Heading 8 Char"/>
    <w:basedOn w:val="DefaultParagraphFont"/>
    <w:link w:val="Heading8"/>
    <w:uiPriority w:val="99"/>
    <w:rsid w:val="009F372C"/>
    <w:rPr>
      <w:rFonts w:cs="Arial"/>
      <w:bCs/>
      <w:i/>
      <w:iCs/>
    </w:rPr>
  </w:style>
  <w:style w:type="character" w:customStyle="1" w:styleId="Heading9Char">
    <w:name w:val="Heading 9 Char"/>
    <w:basedOn w:val="DefaultParagraphFont"/>
    <w:link w:val="Heading9"/>
    <w:uiPriority w:val="99"/>
    <w:rsid w:val="009F372C"/>
    <w:rPr>
      <w:rFonts w:ascii="Arial" w:hAnsi="Arial" w:cs="Arial"/>
      <w:bCs/>
      <w:sz w:val="22"/>
      <w:szCs w:val="22"/>
    </w:rPr>
  </w:style>
  <w:style w:type="paragraph" w:styleId="EndnoteText">
    <w:name w:val="endnote text"/>
    <w:basedOn w:val="Normal"/>
    <w:link w:val="EndnoteTextChar"/>
    <w:rsid w:val="00D42ABE"/>
    <w:rPr>
      <w:rFonts w:cs="Times New Roman"/>
    </w:rPr>
  </w:style>
  <w:style w:type="character" w:customStyle="1" w:styleId="EndnoteTextChar">
    <w:name w:val="Endnote Text Char"/>
    <w:basedOn w:val="DefaultParagraphFont"/>
    <w:link w:val="EndnoteText"/>
    <w:locked/>
    <w:rsid w:val="009F372C"/>
    <w:rPr>
      <w:rFonts w:ascii="Courier New" w:hAnsi="Courier New"/>
    </w:rPr>
  </w:style>
  <w:style w:type="character" w:styleId="EndnoteReference">
    <w:name w:val="endnote reference"/>
    <w:basedOn w:val="DefaultParagraphFont"/>
    <w:uiPriority w:val="99"/>
    <w:rsid w:val="00D42ABE"/>
    <w:rPr>
      <w:vertAlign w:val="superscript"/>
    </w:rPr>
  </w:style>
  <w:style w:type="paragraph" w:styleId="FootnoteText">
    <w:name w:val="footnote text"/>
    <w:aliases w:val="Footnote Text Char Char Char Char Char Char Char Char Char Char Char Char Char Char Char Char Char,Footnote Text Char1,Footnote Text Char Char,Footnote Text Char1 Char Char,Footnote Text Char Char Char Char,fn,ft,Footnote Text Char Char Ch"/>
    <w:basedOn w:val="Normal"/>
    <w:link w:val="FootnoteTextChar"/>
    <w:qFormat/>
    <w:rsid w:val="00D42ABE"/>
    <w:rPr>
      <w:rFonts w:cs="Times New Roman"/>
    </w:rPr>
  </w:style>
  <w:style w:type="character" w:customStyle="1" w:styleId="FootnoteTextChar">
    <w:name w:val="Footnote Text Char"/>
    <w:aliases w:val="Footnote Text Char Char Char Char Char Char Char Char Char Char Char Char Char Char Char Char Char Char,Footnote Text Char1 Char,Footnote Text Char Char Char,Footnote Text Char1 Char Char Char,Footnote Text Char Char Char Char Char"/>
    <w:basedOn w:val="DefaultParagraphFont"/>
    <w:link w:val="FootnoteText"/>
    <w:rsid w:val="00170CB2"/>
    <w:rPr>
      <w:rFonts w:ascii="Courier New" w:hAnsi="Courier New"/>
      <w:szCs w:val="24"/>
    </w:rPr>
  </w:style>
  <w:style w:type="character" w:styleId="FootnoteReference">
    <w:name w:val="footnote reference"/>
    <w:aliases w:val="Style 19,Style 16,fr,Style 39,Style 14,Style 35,12,Style 6,Footnote Reference Superscript,SUPERS,BVI fnr,Footnote symbol,Footnote,(Footnote Reference),Footnote reference number,note TESI,EN Footnote Reference,Voetnootverwijzing"/>
    <w:basedOn w:val="DefaultParagraphFont"/>
    <w:uiPriority w:val="99"/>
    <w:qFormat/>
    <w:rsid w:val="00D42ABE"/>
    <w:rPr>
      <w:vertAlign w:val="superscript"/>
    </w:rPr>
  </w:style>
  <w:style w:type="paragraph" w:styleId="TOC1">
    <w:name w:val="toc 1"/>
    <w:basedOn w:val="Normal"/>
    <w:next w:val="Normal"/>
    <w:autoRedefine/>
    <w:semiHidden/>
    <w:rsid w:val="00D42ABE"/>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D42ABE"/>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D42ABE"/>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D42ABE"/>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D42ABE"/>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D42ABE"/>
    <w:pPr>
      <w:tabs>
        <w:tab w:val="right" w:pos="9360"/>
      </w:tabs>
      <w:suppressAutoHyphens/>
      <w:spacing w:line="240" w:lineRule="atLeast"/>
      <w:ind w:left="720" w:hanging="720"/>
    </w:pPr>
  </w:style>
  <w:style w:type="paragraph" w:styleId="TOC7">
    <w:name w:val="toc 7"/>
    <w:basedOn w:val="Normal"/>
    <w:next w:val="Normal"/>
    <w:autoRedefine/>
    <w:semiHidden/>
    <w:rsid w:val="00D42ABE"/>
    <w:pPr>
      <w:suppressAutoHyphens/>
      <w:spacing w:line="240" w:lineRule="atLeast"/>
      <w:ind w:left="720" w:hanging="720"/>
    </w:pPr>
  </w:style>
  <w:style w:type="paragraph" w:styleId="TOC8">
    <w:name w:val="toc 8"/>
    <w:basedOn w:val="Normal"/>
    <w:next w:val="Normal"/>
    <w:autoRedefine/>
    <w:semiHidden/>
    <w:rsid w:val="00D42ABE"/>
    <w:pPr>
      <w:tabs>
        <w:tab w:val="right" w:pos="9360"/>
      </w:tabs>
      <w:suppressAutoHyphens/>
      <w:spacing w:line="240" w:lineRule="atLeast"/>
      <w:ind w:left="720" w:hanging="720"/>
    </w:pPr>
  </w:style>
  <w:style w:type="paragraph" w:styleId="TOC9">
    <w:name w:val="toc 9"/>
    <w:basedOn w:val="Normal"/>
    <w:next w:val="Normal"/>
    <w:autoRedefine/>
    <w:semiHidden/>
    <w:rsid w:val="00D42ABE"/>
    <w:pPr>
      <w:tabs>
        <w:tab w:val="right" w:leader="dot" w:pos="9360"/>
      </w:tabs>
      <w:suppressAutoHyphens/>
      <w:spacing w:line="240" w:lineRule="atLeast"/>
      <w:ind w:left="720" w:hanging="720"/>
    </w:pPr>
  </w:style>
  <w:style w:type="paragraph" w:styleId="Index1">
    <w:name w:val="index 1"/>
    <w:basedOn w:val="Normal"/>
    <w:next w:val="Normal"/>
    <w:autoRedefine/>
    <w:semiHidden/>
    <w:rsid w:val="00D42ABE"/>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D42ABE"/>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D42ABE"/>
    <w:pPr>
      <w:tabs>
        <w:tab w:val="right" w:pos="9360"/>
      </w:tabs>
      <w:suppressAutoHyphens/>
      <w:spacing w:line="240" w:lineRule="atLeast"/>
    </w:pPr>
  </w:style>
  <w:style w:type="paragraph" w:styleId="Caption">
    <w:name w:val="caption"/>
    <w:basedOn w:val="Normal"/>
    <w:next w:val="Normal"/>
    <w:qFormat/>
    <w:rsid w:val="00D42ABE"/>
    <w:rPr>
      <w:rFonts w:cs="Times New Roman"/>
    </w:rPr>
  </w:style>
  <w:style w:type="character" w:customStyle="1" w:styleId="EquationCaption">
    <w:name w:val="_Equation Caption"/>
    <w:rsid w:val="00D42ABE"/>
  </w:style>
  <w:style w:type="paragraph" w:styleId="BodyText">
    <w:name w:val="Body Text"/>
    <w:basedOn w:val="Normal"/>
    <w:link w:val="BodyTextChar"/>
    <w:uiPriority w:val="99"/>
    <w:rsid w:val="00D42ABE"/>
    <w:pPr>
      <w:tabs>
        <w:tab w:val="left" w:pos="0"/>
      </w:tabs>
      <w:suppressAutoHyphens/>
      <w:spacing w:line="240" w:lineRule="atLeast"/>
      <w:jc w:val="both"/>
    </w:pPr>
    <w:rPr>
      <w:rFonts w:ascii="Times New Roman" w:hAnsi="Times New Roman"/>
      <w:spacing w:val="-3"/>
    </w:rPr>
  </w:style>
  <w:style w:type="character" w:customStyle="1" w:styleId="BodyTextChar">
    <w:name w:val="Body Text Char"/>
    <w:basedOn w:val="DefaultParagraphFont"/>
    <w:link w:val="BodyText"/>
    <w:uiPriority w:val="99"/>
    <w:locked/>
    <w:rsid w:val="009F372C"/>
    <w:rPr>
      <w:rFonts w:cs="Courier New"/>
      <w:spacing w:val="-3"/>
    </w:rPr>
  </w:style>
  <w:style w:type="paragraph" w:styleId="Header">
    <w:name w:val="header"/>
    <w:basedOn w:val="Normal"/>
    <w:link w:val="HeaderChar"/>
    <w:uiPriority w:val="99"/>
    <w:rsid w:val="00D42ABE"/>
    <w:pPr>
      <w:tabs>
        <w:tab w:val="center" w:pos="4320"/>
        <w:tab w:val="right" w:pos="8640"/>
      </w:tabs>
    </w:pPr>
  </w:style>
  <w:style w:type="character" w:customStyle="1" w:styleId="HeaderChar">
    <w:name w:val="Header Char"/>
    <w:basedOn w:val="DefaultParagraphFont"/>
    <w:link w:val="Header"/>
    <w:uiPriority w:val="99"/>
    <w:locked/>
    <w:rsid w:val="009F372C"/>
    <w:rPr>
      <w:rFonts w:ascii="Courier New" w:hAnsi="Courier New" w:cs="Courier New"/>
    </w:rPr>
  </w:style>
  <w:style w:type="paragraph" w:styleId="Footer">
    <w:name w:val="footer"/>
    <w:basedOn w:val="Normal"/>
    <w:link w:val="FooterChar"/>
    <w:uiPriority w:val="99"/>
    <w:rsid w:val="00D42ABE"/>
    <w:pPr>
      <w:tabs>
        <w:tab w:val="center" w:pos="4320"/>
        <w:tab w:val="right" w:pos="8640"/>
      </w:tabs>
    </w:pPr>
  </w:style>
  <w:style w:type="character" w:customStyle="1" w:styleId="FooterChar">
    <w:name w:val="Footer Char"/>
    <w:basedOn w:val="DefaultParagraphFont"/>
    <w:link w:val="Footer"/>
    <w:uiPriority w:val="99"/>
    <w:locked/>
    <w:rsid w:val="009F372C"/>
    <w:rPr>
      <w:rFonts w:ascii="Courier New" w:hAnsi="Courier New" w:cs="Courier New"/>
    </w:rPr>
  </w:style>
  <w:style w:type="character" w:customStyle="1" w:styleId="BalloonTextChar1">
    <w:name w:val="Balloon Text Char1"/>
    <w:basedOn w:val="DefaultParagraphFont"/>
    <w:link w:val="BalloonText"/>
    <w:uiPriority w:val="99"/>
    <w:semiHidden/>
    <w:locked/>
    <w:rsid w:val="008E044D"/>
    <w:rPr>
      <w:rFonts w:ascii="Tahoma" w:hAnsi="Tahoma" w:cs="Tahoma"/>
      <w:sz w:val="16"/>
      <w:szCs w:val="16"/>
    </w:rPr>
  </w:style>
  <w:style w:type="paragraph" w:styleId="ListParagraph">
    <w:name w:val="List Paragraph"/>
    <w:basedOn w:val="Normal"/>
    <w:uiPriority w:val="34"/>
    <w:qFormat/>
    <w:rsid w:val="00E229B7"/>
    <w:pPr>
      <w:widowControl/>
      <w:autoSpaceDE/>
      <w:autoSpaceDN/>
      <w:adjustRightInd/>
      <w:spacing w:after="200" w:line="276" w:lineRule="auto"/>
      <w:ind w:left="720"/>
      <w:contextualSpacing/>
    </w:pPr>
    <w:rPr>
      <w:rFonts w:ascii="Cambria" w:eastAsia="Cambria" w:hAnsi="Cambria" w:cs="Times New Roman"/>
      <w:sz w:val="22"/>
      <w:szCs w:val="22"/>
    </w:rPr>
  </w:style>
  <w:style w:type="character" w:styleId="CommentReference">
    <w:name w:val="annotation reference"/>
    <w:basedOn w:val="DefaultParagraphFont"/>
    <w:uiPriority w:val="99"/>
    <w:rsid w:val="006D76ED"/>
    <w:rPr>
      <w:sz w:val="18"/>
      <w:szCs w:val="18"/>
    </w:rPr>
  </w:style>
  <w:style w:type="paragraph" w:styleId="CommentText">
    <w:name w:val="annotation text"/>
    <w:basedOn w:val="Normal"/>
    <w:link w:val="CommentTextChar"/>
    <w:uiPriority w:val="99"/>
    <w:rsid w:val="006D76ED"/>
  </w:style>
  <w:style w:type="character" w:customStyle="1" w:styleId="CommentTextChar">
    <w:name w:val="Comment Text Char"/>
    <w:basedOn w:val="DefaultParagraphFont"/>
    <w:link w:val="CommentText"/>
    <w:uiPriority w:val="99"/>
    <w:rsid w:val="006D76ED"/>
    <w:rPr>
      <w:rFonts w:ascii="Courier New" w:hAnsi="Courier New" w:cs="Courier New"/>
      <w:sz w:val="24"/>
      <w:szCs w:val="24"/>
    </w:rPr>
  </w:style>
  <w:style w:type="paragraph" w:styleId="CommentSubject">
    <w:name w:val="annotation subject"/>
    <w:basedOn w:val="CommentText"/>
    <w:next w:val="CommentText"/>
    <w:link w:val="CommentSubjectChar"/>
    <w:uiPriority w:val="99"/>
    <w:rsid w:val="006D76ED"/>
    <w:rPr>
      <w:b/>
      <w:bCs/>
      <w:sz w:val="20"/>
      <w:szCs w:val="20"/>
    </w:rPr>
  </w:style>
  <w:style w:type="character" w:customStyle="1" w:styleId="CommentSubjectChar">
    <w:name w:val="Comment Subject Char"/>
    <w:basedOn w:val="CommentTextChar"/>
    <w:link w:val="CommentSubject"/>
    <w:uiPriority w:val="99"/>
    <w:rsid w:val="006D76ED"/>
    <w:rPr>
      <w:rFonts w:ascii="Courier New" w:hAnsi="Courier New" w:cs="Courier New"/>
      <w:b/>
      <w:bCs/>
      <w:sz w:val="24"/>
      <w:szCs w:val="24"/>
    </w:rPr>
  </w:style>
  <w:style w:type="paragraph" w:styleId="Title">
    <w:name w:val="Title"/>
    <w:basedOn w:val="Normal"/>
    <w:link w:val="TitleChar"/>
    <w:uiPriority w:val="99"/>
    <w:qFormat/>
    <w:rsid w:val="00125A2E"/>
    <w:pPr>
      <w:widowControl/>
      <w:autoSpaceDE/>
      <w:autoSpaceDN/>
      <w:adjustRightInd/>
      <w:jc w:val="center"/>
    </w:pPr>
    <w:rPr>
      <w:rFonts w:ascii="Times New Roman" w:hAnsi="Times New Roman" w:cs="Times New Roman"/>
      <w:b/>
    </w:rPr>
  </w:style>
  <w:style w:type="character" w:customStyle="1" w:styleId="TitleChar">
    <w:name w:val="Title Char"/>
    <w:basedOn w:val="DefaultParagraphFont"/>
    <w:link w:val="Title"/>
    <w:uiPriority w:val="99"/>
    <w:rsid w:val="00125A2E"/>
    <w:rPr>
      <w:b/>
      <w:sz w:val="24"/>
    </w:rPr>
  </w:style>
  <w:style w:type="paragraph" w:customStyle="1" w:styleId="Default">
    <w:name w:val="Default"/>
    <w:rsid w:val="00A47C3D"/>
    <w:pPr>
      <w:autoSpaceDE w:val="0"/>
      <w:autoSpaceDN w:val="0"/>
      <w:adjustRightInd w:val="0"/>
    </w:pPr>
    <w:rPr>
      <w:color w:val="000000"/>
    </w:rPr>
  </w:style>
  <w:style w:type="paragraph" w:styleId="NormalWeb">
    <w:name w:val="Normal (Web)"/>
    <w:basedOn w:val="Normal"/>
    <w:uiPriority w:val="99"/>
    <w:rsid w:val="009F372C"/>
    <w:pPr>
      <w:widowControl/>
      <w:autoSpaceDE/>
      <w:autoSpaceDN/>
      <w:adjustRightInd/>
      <w:spacing w:before="100" w:beforeAutospacing="1" w:after="100" w:afterAutospacing="1"/>
    </w:pPr>
    <w:rPr>
      <w:rFonts w:ascii="Times New Roman" w:hAnsi="Times New Roman" w:cs="Arial"/>
      <w:bCs/>
    </w:rPr>
  </w:style>
  <w:style w:type="character" w:styleId="Hyperlink">
    <w:name w:val="Hyperlink"/>
    <w:basedOn w:val="DefaultParagraphFont"/>
    <w:uiPriority w:val="99"/>
    <w:rsid w:val="009F372C"/>
    <w:rPr>
      <w:rFonts w:cs="Times New Roman"/>
      <w:color w:val="0000FF"/>
      <w:u w:val="single"/>
    </w:rPr>
  </w:style>
  <w:style w:type="paragraph" w:customStyle="1" w:styleId="em2">
    <w:name w:val="em2"/>
    <w:basedOn w:val="Normal"/>
    <w:uiPriority w:val="99"/>
    <w:rsid w:val="009F372C"/>
    <w:pPr>
      <w:widowControl/>
      <w:autoSpaceDE/>
      <w:autoSpaceDN/>
      <w:adjustRightInd/>
      <w:spacing w:before="100" w:beforeAutospacing="1" w:after="100" w:afterAutospacing="1"/>
      <w:ind w:left="480"/>
    </w:pPr>
    <w:rPr>
      <w:rFonts w:ascii="Times New Roman" w:hAnsi="Times New Roman" w:cs="Times New Roman"/>
    </w:rPr>
  </w:style>
  <w:style w:type="character" w:styleId="PageNumber">
    <w:name w:val="page number"/>
    <w:basedOn w:val="DefaultParagraphFont"/>
    <w:uiPriority w:val="99"/>
    <w:rsid w:val="009F372C"/>
    <w:rPr>
      <w:rFonts w:cs="Times New Roman"/>
    </w:rPr>
  </w:style>
  <w:style w:type="paragraph" w:styleId="BodyTextIndent2">
    <w:name w:val="Body Text Indent 2"/>
    <w:basedOn w:val="Normal"/>
    <w:link w:val="BodyTextIndent2Char"/>
    <w:uiPriority w:val="99"/>
    <w:rsid w:val="009F372C"/>
    <w:pPr>
      <w:widowControl/>
      <w:overflowPunct w:val="0"/>
      <w:spacing w:line="480" w:lineRule="auto"/>
      <w:ind w:firstLine="720"/>
      <w:textAlignment w:val="baseline"/>
    </w:pPr>
    <w:rPr>
      <w:rFonts w:ascii="Times New Roman" w:hAnsi="Times New Roman" w:cs="Times New Roman"/>
      <w:spacing w:val="-3"/>
      <w:szCs w:val="20"/>
    </w:rPr>
  </w:style>
  <w:style w:type="character" w:customStyle="1" w:styleId="BodyTextIndent2Char">
    <w:name w:val="Body Text Indent 2 Char"/>
    <w:basedOn w:val="DefaultParagraphFont"/>
    <w:link w:val="BodyTextIndent2"/>
    <w:uiPriority w:val="99"/>
    <w:rsid w:val="009F372C"/>
    <w:rPr>
      <w:spacing w:val="-3"/>
      <w:szCs w:val="20"/>
    </w:rPr>
  </w:style>
  <w:style w:type="paragraph" w:styleId="HTMLPreformatted">
    <w:name w:val="HTML Preformatted"/>
    <w:basedOn w:val="Normal"/>
    <w:link w:val="HTMLPreformattedChar"/>
    <w:uiPriority w:val="99"/>
    <w:rsid w:val="009F37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0"/>
      <w:szCs w:val="20"/>
    </w:rPr>
  </w:style>
  <w:style w:type="character" w:customStyle="1" w:styleId="HTMLPreformattedChar">
    <w:name w:val="HTML Preformatted Char"/>
    <w:basedOn w:val="DefaultParagraphFont"/>
    <w:link w:val="HTMLPreformatted"/>
    <w:uiPriority w:val="99"/>
    <w:rsid w:val="009F372C"/>
    <w:rPr>
      <w:rFonts w:ascii="Courier New" w:hAnsi="Courier New" w:cs="Courier New"/>
      <w:sz w:val="20"/>
      <w:szCs w:val="20"/>
    </w:rPr>
  </w:style>
  <w:style w:type="character" w:styleId="Emphasis">
    <w:name w:val="Emphasis"/>
    <w:basedOn w:val="DefaultParagraphFont"/>
    <w:uiPriority w:val="99"/>
    <w:qFormat/>
    <w:rsid w:val="009F372C"/>
    <w:rPr>
      <w:rFonts w:cs="Times New Roman"/>
      <w:i/>
      <w:iCs/>
    </w:rPr>
  </w:style>
  <w:style w:type="paragraph" w:styleId="BodyTextIndent3">
    <w:name w:val="Body Text Indent 3"/>
    <w:basedOn w:val="Normal"/>
    <w:link w:val="BodyTextIndent3Char"/>
    <w:uiPriority w:val="99"/>
    <w:rsid w:val="009F372C"/>
    <w:pPr>
      <w:widowControl/>
      <w:autoSpaceDE/>
      <w:autoSpaceDN/>
      <w:adjustRightInd/>
      <w:spacing w:after="120"/>
      <w:ind w:left="360"/>
    </w:pPr>
    <w:rPr>
      <w:rFonts w:ascii="Times New Roman" w:hAnsi="Times New Roman" w:cs="Arial"/>
      <w:bCs/>
      <w:sz w:val="16"/>
      <w:szCs w:val="16"/>
    </w:rPr>
  </w:style>
  <w:style w:type="character" w:customStyle="1" w:styleId="BodyTextIndent3Char">
    <w:name w:val="Body Text Indent 3 Char"/>
    <w:basedOn w:val="DefaultParagraphFont"/>
    <w:link w:val="BodyTextIndent3"/>
    <w:uiPriority w:val="99"/>
    <w:rsid w:val="009F372C"/>
    <w:rPr>
      <w:rFonts w:cs="Arial"/>
      <w:bCs/>
      <w:sz w:val="16"/>
      <w:szCs w:val="16"/>
    </w:rPr>
  </w:style>
  <w:style w:type="paragraph" w:styleId="PlainText">
    <w:name w:val="Plain Text"/>
    <w:basedOn w:val="Normal"/>
    <w:link w:val="PlainTextChar"/>
    <w:uiPriority w:val="99"/>
    <w:rsid w:val="009F372C"/>
    <w:pPr>
      <w:widowControl/>
      <w:autoSpaceDE/>
      <w:autoSpaceDN/>
      <w:adjustRightInd/>
    </w:pPr>
    <w:rPr>
      <w:sz w:val="20"/>
      <w:szCs w:val="20"/>
    </w:rPr>
  </w:style>
  <w:style w:type="character" w:customStyle="1" w:styleId="PlainTextChar">
    <w:name w:val="Plain Text Char"/>
    <w:basedOn w:val="DefaultParagraphFont"/>
    <w:link w:val="PlainText"/>
    <w:uiPriority w:val="99"/>
    <w:rsid w:val="009F372C"/>
    <w:rPr>
      <w:rFonts w:ascii="Courier New" w:hAnsi="Courier New" w:cs="Courier New"/>
      <w:sz w:val="20"/>
      <w:szCs w:val="20"/>
    </w:rPr>
  </w:style>
  <w:style w:type="character" w:styleId="FollowedHyperlink">
    <w:name w:val="FollowedHyperlink"/>
    <w:basedOn w:val="DefaultParagraphFont"/>
    <w:uiPriority w:val="99"/>
    <w:rsid w:val="009F372C"/>
    <w:rPr>
      <w:rFonts w:cs="Times New Roman"/>
      <w:color w:val="800080"/>
      <w:u w:val="single"/>
    </w:rPr>
  </w:style>
  <w:style w:type="paragraph" w:customStyle="1" w:styleId="Style1">
    <w:name w:val="Style1"/>
    <w:basedOn w:val="Normal"/>
    <w:uiPriority w:val="99"/>
    <w:rsid w:val="009F372C"/>
    <w:pPr>
      <w:widowControl/>
      <w:overflowPunct w:val="0"/>
      <w:spacing w:line="480" w:lineRule="auto"/>
      <w:textAlignment w:val="baseline"/>
    </w:pPr>
    <w:rPr>
      <w:rFonts w:ascii="CG Times (W1)" w:hAnsi="CG Times (W1)" w:cs="Times New Roman"/>
      <w:szCs w:val="20"/>
    </w:rPr>
  </w:style>
  <w:style w:type="character" w:customStyle="1" w:styleId="documentbody5">
    <w:name w:val="documentbody5"/>
    <w:basedOn w:val="DefaultParagraphFont"/>
    <w:uiPriority w:val="99"/>
    <w:rsid w:val="009F372C"/>
    <w:rPr>
      <w:rFonts w:ascii="Verdana" w:hAnsi="Verdana" w:cs="Times New Roman"/>
      <w:sz w:val="19"/>
      <w:szCs w:val="19"/>
    </w:rPr>
  </w:style>
  <w:style w:type="paragraph" w:customStyle="1" w:styleId="CM20">
    <w:name w:val="CM20"/>
    <w:basedOn w:val="Default"/>
    <w:next w:val="Default"/>
    <w:uiPriority w:val="99"/>
    <w:rsid w:val="009F372C"/>
    <w:pPr>
      <w:spacing w:line="553" w:lineRule="atLeast"/>
    </w:pPr>
    <w:rPr>
      <w:color w:val="auto"/>
    </w:rPr>
  </w:style>
  <w:style w:type="character" w:customStyle="1" w:styleId="CharChar">
    <w:name w:val="Char Char"/>
    <w:basedOn w:val="DefaultParagraphFont"/>
    <w:uiPriority w:val="99"/>
    <w:rsid w:val="009F372C"/>
    <w:rPr>
      <w:rFonts w:cs="Times New Roman"/>
      <w:lang w:val="en-US" w:eastAsia="en-US" w:bidi="ar-SA"/>
    </w:rPr>
  </w:style>
  <w:style w:type="paragraph" w:customStyle="1" w:styleId="CM3">
    <w:name w:val="CM3"/>
    <w:basedOn w:val="Normal"/>
    <w:next w:val="Normal"/>
    <w:uiPriority w:val="99"/>
    <w:rsid w:val="009F372C"/>
    <w:pPr>
      <w:widowControl/>
      <w:spacing w:line="553" w:lineRule="atLeast"/>
    </w:pPr>
    <w:rPr>
      <w:rFonts w:ascii="Times New Roman" w:hAnsi="Times New Roman" w:cs="Times New Roman"/>
    </w:rPr>
  </w:style>
  <w:style w:type="character" w:customStyle="1" w:styleId="BodyChar">
    <w:name w:val="Body Char"/>
    <w:basedOn w:val="DefaultParagraphFont"/>
    <w:link w:val="Body"/>
    <w:uiPriority w:val="99"/>
    <w:locked/>
    <w:rsid w:val="009F372C"/>
    <w:rPr>
      <w:rFonts w:ascii="Calibri" w:hAnsi="Calibri"/>
    </w:rPr>
  </w:style>
  <w:style w:type="paragraph" w:customStyle="1" w:styleId="Body">
    <w:name w:val="Body"/>
    <w:basedOn w:val="Normal"/>
    <w:link w:val="BodyChar"/>
    <w:uiPriority w:val="99"/>
    <w:rsid w:val="009F372C"/>
    <w:pPr>
      <w:widowControl/>
      <w:overflowPunct w:val="0"/>
      <w:adjustRightInd/>
      <w:spacing w:after="240"/>
      <w:ind w:firstLine="720"/>
    </w:pPr>
    <w:rPr>
      <w:rFonts w:ascii="Calibri" w:hAnsi="Calibri" w:cs="Times New Roman"/>
    </w:rPr>
  </w:style>
  <w:style w:type="paragraph" w:customStyle="1" w:styleId="center">
    <w:name w:val="center"/>
    <w:basedOn w:val="Normal"/>
    <w:uiPriority w:val="99"/>
    <w:rsid w:val="009F372C"/>
    <w:pPr>
      <w:widowControl/>
      <w:autoSpaceDE/>
      <w:autoSpaceDN/>
      <w:adjustRightInd/>
      <w:spacing w:before="100" w:beforeAutospacing="1" w:after="100" w:afterAutospacing="1"/>
      <w:jc w:val="center"/>
    </w:pPr>
    <w:rPr>
      <w:rFonts w:ascii="Verdana" w:hAnsi="Verdana" w:cs="Times New Roman"/>
      <w:sz w:val="20"/>
      <w:szCs w:val="20"/>
    </w:rPr>
  </w:style>
  <w:style w:type="paragraph" w:customStyle="1" w:styleId="CM11">
    <w:name w:val="CM11"/>
    <w:basedOn w:val="Default"/>
    <w:next w:val="Default"/>
    <w:uiPriority w:val="99"/>
    <w:rsid w:val="009F372C"/>
    <w:pPr>
      <w:spacing w:line="560" w:lineRule="atLeast"/>
    </w:pPr>
    <w:rPr>
      <w:color w:val="auto"/>
    </w:rPr>
  </w:style>
  <w:style w:type="paragraph" w:styleId="NoSpacing">
    <w:name w:val="No Spacing"/>
    <w:basedOn w:val="Normal"/>
    <w:uiPriority w:val="99"/>
    <w:qFormat/>
    <w:rsid w:val="009F372C"/>
    <w:pPr>
      <w:widowControl/>
      <w:autoSpaceDE/>
      <w:autoSpaceDN/>
      <w:adjustRightInd/>
      <w:spacing w:line="480" w:lineRule="auto"/>
    </w:pPr>
    <w:rPr>
      <w:rFonts w:ascii="Times New Roman" w:hAnsi="Times New Roman" w:cs="Times New Roman"/>
    </w:rPr>
  </w:style>
  <w:style w:type="paragraph" w:customStyle="1" w:styleId="CM10">
    <w:name w:val="CM10"/>
    <w:basedOn w:val="Default"/>
    <w:next w:val="Default"/>
    <w:uiPriority w:val="99"/>
    <w:rsid w:val="009F372C"/>
    <w:pPr>
      <w:widowControl w:val="0"/>
    </w:pPr>
    <w:rPr>
      <w:color w:val="auto"/>
    </w:rPr>
  </w:style>
  <w:style w:type="paragraph" w:customStyle="1" w:styleId="CM26">
    <w:name w:val="CM26"/>
    <w:basedOn w:val="Default"/>
    <w:next w:val="Default"/>
    <w:uiPriority w:val="99"/>
    <w:rsid w:val="009F372C"/>
    <w:pPr>
      <w:widowControl w:val="0"/>
    </w:pPr>
    <w:rPr>
      <w:color w:val="auto"/>
    </w:rPr>
  </w:style>
  <w:style w:type="table" w:styleId="TableGrid">
    <w:name w:val="Table Grid"/>
    <w:basedOn w:val="TableNormal"/>
    <w:rsid w:val="005518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sChar">
    <w:name w:val="Footers Char"/>
    <w:basedOn w:val="DefaultParagraphFont"/>
    <w:link w:val="Footers"/>
    <w:uiPriority w:val="99"/>
    <w:rsid w:val="000B77B5"/>
    <w:rPr>
      <w:sz w:val="20"/>
    </w:rPr>
  </w:style>
  <w:style w:type="paragraph" w:customStyle="1" w:styleId="Footers">
    <w:name w:val="Footers"/>
    <w:basedOn w:val="Normal"/>
    <w:link w:val="FootersChar"/>
    <w:uiPriority w:val="99"/>
    <w:rsid w:val="000B77B5"/>
    <w:pPr>
      <w:widowControl/>
      <w:spacing w:after="240"/>
      <w:ind w:left="360" w:hanging="360"/>
    </w:pPr>
    <w:rPr>
      <w:rFonts w:ascii="Times New Roman" w:hAnsi="Times New Roman" w:cs="Times New Roman"/>
      <w:sz w:val="20"/>
    </w:rPr>
  </w:style>
  <w:style w:type="paragraph" w:customStyle="1" w:styleId="LightGrid-Accent31">
    <w:name w:val="Light Grid - Accent 31"/>
    <w:basedOn w:val="Normal"/>
    <w:uiPriority w:val="99"/>
    <w:qFormat/>
    <w:rsid w:val="000B77B5"/>
    <w:pPr>
      <w:widowControl/>
      <w:autoSpaceDE/>
      <w:autoSpaceDN/>
      <w:adjustRightInd/>
      <w:ind w:left="720"/>
      <w:contextualSpacing/>
    </w:pPr>
    <w:rPr>
      <w:rFonts w:ascii="Times New Roman" w:hAnsi="Times New Roman" w:cs="Times New Roman"/>
    </w:rPr>
  </w:style>
  <w:style w:type="character" w:customStyle="1" w:styleId="ptext-31">
    <w:name w:val="ptext-31"/>
    <w:basedOn w:val="DefaultParagraphFont"/>
    <w:rsid w:val="001E41C7"/>
  </w:style>
  <w:style w:type="paragraph" w:styleId="Revision">
    <w:name w:val="Revision"/>
    <w:hidden/>
    <w:rsid w:val="004A7033"/>
    <w:rPr>
      <w:rFonts w:ascii="Courier New" w:hAnsi="Courier New" w:cs="Courier New"/>
    </w:rPr>
  </w:style>
  <w:style w:type="character" w:customStyle="1" w:styleId="ptext-25">
    <w:name w:val="ptext-25"/>
    <w:basedOn w:val="DefaultParagraphFont"/>
    <w:rsid w:val="004A7614"/>
  </w:style>
  <w:style w:type="character" w:customStyle="1" w:styleId="enumxml1">
    <w:name w:val="enumxml1"/>
    <w:basedOn w:val="DefaultParagraphFont"/>
    <w:rsid w:val="004A7614"/>
    <w:rPr>
      <w:b/>
      <w:bCs/>
    </w:rPr>
  </w:style>
  <w:style w:type="character" w:customStyle="1" w:styleId="ptext-41">
    <w:name w:val="ptext-41"/>
    <w:basedOn w:val="DefaultParagraphFont"/>
    <w:rsid w:val="004A7614"/>
  </w:style>
  <w:style w:type="character" w:customStyle="1" w:styleId="apple-converted-space">
    <w:name w:val="apple-converted-space"/>
    <w:basedOn w:val="DefaultParagraphFont"/>
    <w:rsid w:val="00CB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7392">
      <w:bodyDiv w:val="1"/>
      <w:marLeft w:val="0"/>
      <w:marRight w:val="0"/>
      <w:marTop w:val="0"/>
      <w:marBottom w:val="0"/>
      <w:divBdr>
        <w:top w:val="none" w:sz="0" w:space="0" w:color="auto"/>
        <w:left w:val="none" w:sz="0" w:space="0" w:color="auto"/>
        <w:bottom w:val="none" w:sz="0" w:space="0" w:color="auto"/>
        <w:right w:val="none" w:sz="0" w:space="0" w:color="auto"/>
      </w:divBdr>
    </w:div>
    <w:div w:id="112286186">
      <w:bodyDiv w:val="1"/>
      <w:marLeft w:val="0"/>
      <w:marRight w:val="0"/>
      <w:marTop w:val="0"/>
      <w:marBottom w:val="0"/>
      <w:divBdr>
        <w:top w:val="none" w:sz="0" w:space="0" w:color="auto"/>
        <w:left w:val="none" w:sz="0" w:space="0" w:color="auto"/>
        <w:bottom w:val="none" w:sz="0" w:space="0" w:color="auto"/>
        <w:right w:val="none" w:sz="0" w:space="0" w:color="auto"/>
      </w:divBdr>
    </w:div>
    <w:div w:id="123158378">
      <w:bodyDiv w:val="1"/>
      <w:marLeft w:val="0"/>
      <w:marRight w:val="0"/>
      <w:marTop w:val="0"/>
      <w:marBottom w:val="0"/>
      <w:divBdr>
        <w:top w:val="none" w:sz="0" w:space="0" w:color="auto"/>
        <w:left w:val="none" w:sz="0" w:space="0" w:color="auto"/>
        <w:bottom w:val="none" w:sz="0" w:space="0" w:color="auto"/>
        <w:right w:val="none" w:sz="0" w:space="0" w:color="auto"/>
      </w:divBdr>
    </w:div>
    <w:div w:id="188880303">
      <w:bodyDiv w:val="1"/>
      <w:marLeft w:val="0"/>
      <w:marRight w:val="0"/>
      <w:marTop w:val="0"/>
      <w:marBottom w:val="0"/>
      <w:divBdr>
        <w:top w:val="none" w:sz="0" w:space="0" w:color="auto"/>
        <w:left w:val="none" w:sz="0" w:space="0" w:color="auto"/>
        <w:bottom w:val="none" w:sz="0" w:space="0" w:color="auto"/>
        <w:right w:val="none" w:sz="0" w:space="0" w:color="auto"/>
      </w:divBdr>
    </w:div>
    <w:div w:id="247076223">
      <w:bodyDiv w:val="1"/>
      <w:marLeft w:val="0"/>
      <w:marRight w:val="0"/>
      <w:marTop w:val="0"/>
      <w:marBottom w:val="0"/>
      <w:divBdr>
        <w:top w:val="none" w:sz="0" w:space="0" w:color="auto"/>
        <w:left w:val="none" w:sz="0" w:space="0" w:color="auto"/>
        <w:bottom w:val="none" w:sz="0" w:space="0" w:color="auto"/>
        <w:right w:val="none" w:sz="0" w:space="0" w:color="auto"/>
      </w:divBdr>
    </w:div>
    <w:div w:id="282347795">
      <w:bodyDiv w:val="1"/>
      <w:marLeft w:val="0"/>
      <w:marRight w:val="0"/>
      <w:marTop w:val="0"/>
      <w:marBottom w:val="0"/>
      <w:divBdr>
        <w:top w:val="none" w:sz="0" w:space="0" w:color="auto"/>
        <w:left w:val="none" w:sz="0" w:space="0" w:color="auto"/>
        <w:bottom w:val="none" w:sz="0" w:space="0" w:color="auto"/>
        <w:right w:val="none" w:sz="0" w:space="0" w:color="auto"/>
      </w:divBdr>
    </w:div>
    <w:div w:id="363556680">
      <w:bodyDiv w:val="1"/>
      <w:marLeft w:val="0"/>
      <w:marRight w:val="0"/>
      <w:marTop w:val="0"/>
      <w:marBottom w:val="0"/>
      <w:divBdr>
        <w:top w:val="none" w:sz="0" w:space="0" w:color="auto"/>
        <w:left w:val="none" w:sz="0" w:space="0" w:color="auto"/>
        <w:bottom w:val="none" w:sz="0" w:space="0" w:color="auto"/>
        <w:right w:val="none" w:sz="0" w:space="0" w:color="auto"/>
      </w:divBdr>
      <w:divsChild>
        <w:div w:id="2007202358">
          <w:marLeft w:val="0"/>
          <w:marRight w:val="0"/>
          <w:marTop w:val="0"/>
          <w:marBottom w:val="0"/>
          <w:divBdr>
            <w:top w:val="none" w:sz="0" w:space="0" w:color="auto"/>
            <w:left w:val="none" w:sz="0" w:space="0" w:color="auto"/>
            <w:bottom w:val="none" w:sz="0" w:space="0" w:color="auto"/>
            <w:right w:val="none" w:sz="0" w:space="0" w:color="auto"/>
          </w:divBdr>
          <w:divsChild>
            <w:div w:id="118766339">
              <w:marLeft w:val="0"/>
              <w:marRight w:val="0"/>
              <w:marTop w:val="0"/>
              <w:marBottom w:val="0"/>
              <w:divBdr>
                <w:top w:val="none" w:sz="0" w:space="0" w:color="auto"/>
                <w:left w:val="none" w:sz="0" w:space="0" w:color="auto"/>
                <w:bottom w:val="none" w:sz="0" w:space="0" w:color="auto"/>
                <w:right w:val="none" w:sz="0" w:space="0" w:color="auto"/>
              </w:divBdr>
              <w:divsChild>
                <w:div w:id="1262646360">
                  <w:marLeft w:val="0"/>
                  <w:marRight w:val="0"/>
                  <w:marTop w:val="0"/>
                  <w:marBottom w:val="0"/>
                  <w:divBdr>
                    <w:top w:val="none" w:sz="0" w:space="0" w:color="auto"/>
                    <w:left w:val="none" w:sz="0" w:space="0" w:color="auto"/>
                    <w:bottom w:val="none" w:sz="0" w:space="0" w:color="auto"/>
                    <w:right w:val="none" w:sz="0" w:space="0" w:color="auto"/>
                  </w:divBdr>
                  <w:divsChild>
                    <w:div w:id="109933868">
                      <w:marLeft w:val="0"/>
                      <w:marRight w:val="0"/>
                      <w:marTop w:val="0"/>
                      <w:marBottom w:val="0"/>
                      <w:divBdr>
                        <w:top w:val="none" w:sz="0" w:space="0" w:color="auto"/>
                        <w:left w:val="none" w:sz="0" w:space="0" w:color="auto"/>
                        <w:bottom w:val="none" w:sz="0" w:space="0" w:color="auto"/>
                        <w:right w:val="none" w:sz="0" w:space="0" w:color="auto"/>
                      </w:divBdr>
                      <w:divsChild>
                        <w:div w:id="505873875">
                          <w:marLeft w:val="0"/>
                          <w:marRight w:val="0"/>
                          <w:marTop w:val="0"/>
                          <w:marBottom w:val="0"/>
                          <w:divBdr>
                            <w:top w:val="none" w:sz="0" w:space="0" w:color="auto"/>
                            <w:left w:val="none" w:sz="0" w:space="0" w:color="auto"/>
                            <w:bottom w:val="none" w:sz="0" w:space="0" w:color="auto"/>
                            <w:right w:val="none" w:sz="0" w:space="0" w:color="auto"/>
                          </w:divBdr>
                          <w:divsChild>
                            <w:div w:id="1297879052">
                              <w:marLeft w:val="0"/>
                              <w:marRight w:val="0"/>
                              <w:marTop w:val="0"/>
                              <w:marBottom w:val="0"/>
                              <w:divBdr>
                                <w:top w:val="none" w:sz="0" w:space="0" w:color="auto"/>
                                <w:left w:val="none" w:sz="0" w:space="0" w:color="auto"/>
                                <w:bottom w:val="none" w:sz="0" w:space="0" w:color="auto"/>
                                <w:right w:val="none" w:sz="0" w:space="0" w:color="auto"/>
                              </w:divBdr>
                              <w:divsChild>
                                <w:div w:id="1037895599">
                                  <w:marLeft w:val="0"/>
                                  <w:marRight w:val="0"/>
                                  <w:marTop w:val="0"/>
                                  <w:marBottom w:val="0"/>
                                  <w:divBdr>
                                    <w:top w:val="none" w:sz="0" w:space="0" w:color="auto"/>
                                    <w:left w:val="none" w:sz="0" w:space="0" w:color="auto"/>
                                    <w:bottom w:val="none" w:sz="0" w:space="0" w:color="auto"/>
                                    <w:right w:val="none" w:sz="0" w:space="0" w:color="auto"/>
                                  </w:divBdr>
                                  <w:divsChild>
                                    <w:div w:id="1205095648">
                                      <w:marLeft w:val="0"/>
                                      <w:marRight w:val="0"/>
                                      <w:marTop w:val="0"/>
                                      <w:marBottom w:val="0"/>
                                      <w:divBdr>
                                        <w:top w:val="none" w:sz="0" w:space="0" w:color="auto"/>
                                        <w:left w:val="none" w:sz="0" w:space="0" w:color="auto"/>
                                        <w:bottom w:val="none" w:sz="0" w:space="0" w:color="auto"/>
                                        <w:right w:val="none" w:sz="0" w:space="0" w:color="auto"/>
                                      </w:divBdr>
                                      <w:divsChild>
                                        <w:div w:id="1778982312">
                                          <w:marLeft w:val="0"/>
                                          <w:marRight w:val="0"/>
                                          <w:marTop w:val="0"/>
                                          <w:marBottom w:val="0"/>
                                          <w:divBdr>
                                            <w:top w:val="none" w:sz="0" w:space="0" w:color="auto"/>
                                            <w:left w:val="none" w:sz="0" w:space="0" w:color="auto"/>
                                            <w:bottom w:val="none" w:sz="0" w:space="0" w:color="auto"/>
                                            <w:right w:val="none" w:sz="0" w:space="0" w:color="auto"/>
                                          </w:divBdr>
                                          <w:divsChild>
                                            <w:div w:id="182793271">
                                              <w:marLeft w:val="0"/>
                                              <w:marRight w:val="0"/>
                                              <w:marTop w:val="0"/>
                                              <w:marBottom w:val="0"/>
                                              <w:divBdr>
                                                <w:top w:val="none" w:sz="0" w:space="0" w:color="auto"/>
                                                <w:left w:val="none" w:sz="0" w:space="0" w:color="auto"/>
                                                <w:bottom w:val="none" w:sz="0" w:space="0" w:color="auto"/>
                                                <w:right w:val="none" w:sz="0" w:space="0" w:color="auto"/>
                                              </w:divBdr>
                                            </w:div>
                                            <w:div w:id="688717987">
                                              <w:marLeft w:val="0"/>
                                              <w:marRight w:val="0"/>
                                              <w:marTop w:val="0"/>
                                              <w:marBottom w:val="0"/>
                                              <w:divBdr>
                                                <w:top w:val="none" w:sz="0" w:space="0" w:color="auto"/>
                                                <w:left w:val="none" w:sz="0" w:space="0" w:color="auto"/>
                                                <w:bottom w:val="none" w:sz="0" w:space="0" w:color="auto"/>
                                                <w:right w:val="none" w:sz="0" w:space="0" w:color="auto"/>
                                              </w:divBdr>
                                            </w:div>
                                            <w:div w:id="1166894967">
                                              <w:marLeft w:val="0"/>
                                              <w:marRight w:val="0"/>
                                              <w:marTop w:val="0"/>
                                              <w:marBottom w:val="0"/>
                                              <w:divBdr>
                                                <w:top w:val="none" w:sz="0" w:space="0" w:color="auto"/>
                                                <w:left w:val="none" w:sz="0" w:space="0" w:color="auto"/>
                                                <w:bottom w:val="none" w:sz="0" w:space="0" w:color="auto"/>
                                                <w:right w:val="none" w:sz="0" w:space="0" w:color="auto"/>
                                              </w:divBdr>
                                            </w:div>
                                            <w:div w:id="1664508298">
                                              <w:marLeft w:val="0"/>
                                              <w:marRight w:val="0"/>
                                              <w:marTop w:val="0"/>
                                              <w:marBottom w:val="0"/>
                                              <w:divBdr>
                                                <w:top w:val="none" w:sz="0" w:space="0" w:color="auto"/>
                                                <w:left w:val="none" w:sz="0" w:space="0" w:color="auto"/>
                                                <w:bottom w:val="none" w:sz="0" w:space="0" w:color="auto"/>
                                                <w:right w:val="none" w:sz="0" w:space="0" w:color="auto"/>
                                              </w:divBdr>
                                            </w:div>
                                            <w:div w:id="18550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272048">
      <w:bodyDiv w:val="1"/>
      <w:marLeft w:val="0"/>
      <w:marRight w:val="0"/>
      <w:marTop w:val="0"/>
      <w:marBottom w:val="0"/>
      <w:divBdr>
        <w:top w:val="none" w:sz="0" w:space="0" w:color="auto"/>
        <w:left w:val="none" w:sz="0" w:space="0" w:color="auto"/>
        <w:bottom w:val="none" w:sz="0" w:space="0" w:color="auto"/>
        <w:right w:val="none" w:sz="0" w:space="0" w:color="auto"/>
      </w:divBdr>
    </w:div>
    <w:div w:id="482477785">
      <w:bodyDiv w:val="1"/>
      <w:marLeft w:val="0"/>
      <w:marRight w:val="0"/>
      <w:marTop w:val="0"/>
      <w:marBottom w:val="0"/>
      <w:divBdr>
        <w:top w:val="none" w:sz="0" w:space="0" w:color="auto"/>
        <w:left w:val="none" w:sz="0" w:space="0" w:color="auto"/>
        <w:bottom w:val="none" w:sz="0" w:space="0" w:color="auto"/>
        <w:right w:val="none" w:sz="0" w:space="0" w:color="auto"/>
      </w:divBdr>
    </w:div>
    <w:div w:id="565648740">
      <w:bodyDiv w:val="1"/>
      <w:marLeft w:val="0"/>
      <w:marRight w:val="0"/>
      <w:marTop w:val="0"/>
      <w:marBottom w:val="0"/>
      <w:divBdr>
        <w:top w:val="none" w:sz="0" w:space="0" w:color="auto"/>
        <w:left w:val="none" w:sz="0" w:space="0" w:color="auto"/>
        <w:bottom w:val="none" w:sz="0" w:space="0" w:color="auto"/>
        <w:right w:val="none" w:sz="0" w:space="0" w:color="auto"/>
      </w:divBdr>
    </w:div>
    <w:div w:id="591668050">
      <w:bodyDiv w:val="1"/>
      <w:marLeft w:val="0"/>
      <w:marRight w:val="0"/>
      <w:marTop w:val="0"/>
      <w:marBottom w:val="0"/>
      <w:divBdr>
        <w:top w:val="none" w:sz="0" w:space="0" w:color="auto"/>
        <w:left w:val="none" w:sz="0" w:space="0" w:color="auto"/>
        <w:bottom w:val="none" w:sz="0" w:space="0" w:color="auto"/>
        <w:right w:val="none" w:sz="0" w:space="0" w:color="auto"/>
      </w:divBdr>
    </w:div>
    <w:div w:id="795216340">
      <w:bodyDiv w:val="1"/>
      <w:marLeft w:val="0"/>
      <w:marRight w:val="0"/>
      <w:marTop w:val="0"/>
      <w:marBottom w:val="0"/>
      <w:divBdr>
        <w:top w:val="none" w:sz="0" w:space="0" w:color="auto"/>
        <w:left w:val="none" w:sz="0" w:space="0" w:color="auto"/>
        <w:bottom w:val="none" w:sz="0" w:space="0" w:color="auto"/>
        <w:right w:val="none" w:sz="0" w:space="0" w:color="auto"/>
      </w:divBdr>
    </w:div>
    <w:div w:id="922110492">
      <w:bodyDiv w:val="1"/>
      <w:marLeft w:val="0"/>
      <w:marRight w:val="0"/>
      <w:marTop w:val="0"/>
      <w:marBottom w:val="0"/>
      <w:divBdr>
        <w:top w:val="none" w:sz="0" w:space="0" w:color="auto"/>
        <w:left w:val="none" w:sz="0" w:space="0" w:color="auto"/>
        <w:bottom w:val="none" w:sz="0" w:space="0" w:color="auto"/>
        <w:right w:val="none" w:sz="0" w:space="0" w:color="auto"/>
      </w:divBdr>
    </w:div>
    <w:div w:id="923995372">
      <w:bodyDiv w:val="1"/>
      <w:marLeft w:val="0"/>
      <w:marRight w:val="0"/>
      <w:marTop w:val="0"/>
      <w:marBottom w:val="0"/>
      <w:divBdr>
        <w:top w:val="none" w:sz="0" w:space="0" w:color="auto"/>
        <w:left w:val="none" w:sz="0" w:space="0" w:color="auto"/>
        <w:bottom w:val="none" w:sz="0" w:space="0" w:color="auto"/>
        <w:right w:val="none" w:sz="0" w:space="0" w:color="auto"/>
      </w:divBdr>
    </w:div>
    <w:div w:id="942684531">
      <w:bodyDiv w:val="1"/>
      <w:marLeft w:val="0"/>
      <w:marRight w:val="0"/>
      <w:marTop w:val="0"/>
      <w:marBottom w:val="0"/>
      <w:divBdr>
        <w:top w:val="none" w:sz="0" w:space="0" w:color="auto"/>
        <w:left w:val="none" w:sz="0" w:space="0" w:color="auto"/>
        <w:bottom w:val="none" w:sz="0" w:space="0" w:color="auto"/>
        <w:right w:val="none" w:sz="0" w:space="0" w:color="auto"/>
      </w:divBdr>
    </w:div>
    <w:div w:id="956717536">
      <w:bodyDiv w:val="1"/>
      <w:marLeft w:val="0"/>
      <w:marRight w:val="0"/>
      <w:marTop w:val="0"/>
      <w:marBottom w:val="0"/>
      <w:divBdr>
        <w:top w:val="none" w:sz="0" w:space="0" w:color="auto"/>
        <w:left w:val="none" w:sz="0" w:space="0" w:color="auto"/>
        <w:bottom w:val="none" w:sz="0" w:space="0" w:color="auto"/>
        <w:right w:val="none" w:sz="0" w:space="0" w:color="auto"/>
      </w:divBdr>
    </w:div>
    <w:div w:id="974793377">
      <w:bodyDiv w:val="1"/>
      <w:marLeft w:val="0"/>
      <w:marRight w:val="0"/>
      <w:marTop w:val="0"/>
      <w:marBottom w:val="0"/>
      <w:divBdr>
        <w:top w:val="none" w:sz="0" w:space="0" w:color="auto"/>
        <w:left w:val="none" w:sz="0" w:space="0" w:color="auto"/>
        <w:bottom w:val="none" w:sz="0" w:space="0" w:color="auto"/>
        <w:right w:val="none" w:sz="0" w:space="0" w:color="auto"/>
      </w:divBdr>
      <w:divsChild>
        <w:div w:id="145636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167177">
      <w:bodyDiv w:val="1"/>
      <w:marLeft w:val="0"/>
      <w:marRight w:val="0"/>
      <w:marTop w:val="0"/>
      <w:marBottom w:val="0"/>
      <w:divBdr>
        <w:top w:val="none" w:sz="0" w:space="0" w:color="auto"/>
        <w:left w:val="none" w:sz="0" w:space="0" w:color="auto"/>
        <w:bottom w:val="none" w:sz="0" w:space="0" w:color="auto"/>
        <w:right w:val="none" w:sz="0" w:space="0" w:color="auto"/>
      </w:divBdr>
    </w:div>
    <w:div w:id="1522471442">
      <w:bodyDiv w:val="1"/>
      <w:marLeft w:val="0"/>
      <w:marRight w:val="0"/>
      <w:marTop w:val="0"/>
      <w:marBottom w:val="0"/>
      <w:divBdr>
        <w:top w:val="none" w:sz="0" w:space="0" w:color="auto"/>
        <w:left w:val="none" w:sz="0" w:space="0" w:color="auto"/>
        <w:bottom w:val="none" w:sz="0" w:space="0" w:color="auto"/>
        <w:right w:val="none" w:sz="0" w:space="0" w:color="auto"/>
      </w:divBdr>
    </w:div>
    <w:div w:id="1543593476">
      <w:bodyDiv w:val="1"/>
      <w:marLeft w:val="0"/>
      <w:marRight w:val="0"/>
      <w:marTop w:val="0"/>
      <w:marBottom w:val="0"/>
      <w:divBdr>
        <w:top w:val="none" w:sz="0" w:space="0" w:color="auto"/>
        <w:left w:val="none" w:sz="0" w:space="0" w:color="auto"/>
        <w:bottom w:val="none" w:sz="0" w:space="0" w:color="auto"/>
        <w:right w:val="none" w:sz="0" w:space="0" w:color="auto"/>
      </w:divBdr>
    </w:div>
    <w:div w:id="1546791674">
      <w:bodyDiv w:val="1"/>
      <w:marLeft w:val="0"/>
      <w:marRight w:val="0"/>
      <w:marTop w:val="0"/>
      <w:marBottom w:val="0"/>
      <w:divBdr>
        <w:top w:val="none" w:sz="0" w:space="0" w:color="auto"/>
        <w:left w:val="none" w:sz="0" w:space="0" w:color="auto"/>
        <w:bottom w:val="none" w:sz="0" w:space="0" w:color="auto"/>
        <w:right w:val="none" w:sz="0" w:space="0" w:color="auto"/>
      </w:divBdr>
    </w:div>
    <w:div w:id="1556546479">
      <w:bodyDiv w:val="1"/>
      <w:marLeft w:val="0"/>
      <w:marRight w:val="0"/>
      <w:marTop w:val="0"/>
      <w:marBottom w:val="0"/>
      <w:divBdr>
        <w:top w:val="none" w:sz="0" w:space="0" w:color="auto"/>
        <w:left w:val="none" w:sz="0" w:space="0" w:color="auto"/>
        <w:bottom w:val="none" w:sz="0" w:space="0" w:color="auto"/>
        <w:right w:val="none" w:sz="0" w:space="0" w:color="auto"/>
      </w:divBdr>
    </w:div>
    <w:div w:id="1562134984">
      <w:bodyDiv w:val="1"/>
      <w:marLeft w:val="0"/>
      <w:marRight w:val="0"/>
      <w:marTop w:val="0"/>
      <w:marBottom w:val="0"/>
      <w:divBdr>
        <w:top w:val="none" w:sz="0" w:space="0" w:color="auto"/>
        <w:left w:val="none" w:sz="0" w:space="0" w:color="auto"/>
        <w:bottom w:val="none" w:sz="0" w:space="0" w:color="auto"/>
        <w:right w:val="none" w:sz="0" w:space="0" w:color="auto"/>
      </w:divBdr>
    </w:div>
    <w:div w:id="1620724432">
      <w:bodyDiv w:val="1"/>
      <w:marLeft w:val="0"/>
      <w:marRight w:val="0"/>
      <w:marTop w:val="0"/>
      <w:marBottom w:val="0"/>
      <w:divBdr>
        <w:top w:val="none" w:sz="0" w:space="0" w:color="auto"/>
        <w:left w:val="none" w:sz="0" w:space="0" w:color="auto"/>
        <w:bottom w:val="none" w:sz="0" w:space="0" w:color="auto"/>
        <w:right w:val="none" w:sz="0" w:space="0" w:color="auto"/>
      </w:divBdr>
    </w:div>
    <w:div w:id="1629968009">
      <w:bodyDiv w:val="1"/>
      <w:marLeft w:val="0"/>
      <w:marRight w:val="0"/>
      <w:marTop w:val="0"/>
      <w:marBottom w:val="0"/>
      <w:divBdr>
        <w:top w:val="none" w:sz="0" w:space="0" w:color="auto"/>
        <w:left w:val="none" w:sz="0" w:space="0" w:color="auto"/>
        <w:bottom w:val="none" w:sz="0" w:space="0" w:color="auto"/>
        <w:right w:val="none" w:sz="0" w:space="0" w:color="auto"/>
      </w:divBdr>
    </w:div>
    <w:div w:id="1640575902">
      <w:bodyDiv w:val="1"/>
      <w:marLeft w:val="0"/>
      <w:marRight w:val="0"/>
      <w:marTop w:val="0"/>
      <w:marBottom w:val="0"/>
      <w:divBdr>
        <w:top w:val="none" w:sz="0" w:space="0" w:color="auto"/>
        <w:left w:val="none" w:sz="0" w:space="0" w:color="auto"/>
        <w:bottom w:val="none" w:sz="0" w:space="0" w:color="auto"/>
        <w:right w:val="none" w:sz="0" w:space="0" w:color="auto"/>
      </w:divBdr>
    </w:div>
    <w:div w:id="1645113717">
      <w:bodyDiv w:val="1"/>
      <w:marLeft w:val="0"/>
      <w:marRight w:val="0"/>
      <w:marTop w:val="0"/>
      <w:marBottom w:val="0"/>
      <w:divBdr>
        <w:top w:val="none" w:sz="0" w:space="0" w:color="auto"/>
        <w:left w:val="none" w:sz="0" w:space="0" w:color="auto"/>
        <w:bottom w:val="none" w:sz="0" w:space="0" w:color="auto"/>
        <w:right w:val="none" w:sz="0" w:space="0" w:color="auto"/>
      </w:divBdr>
      <w:divsChild>
        <w:div w:id="1835105625">
          <w:marLeft w:val="0"/>
          <w:marRight w:val="0"/>
          <w:marTop w:val="0"/>
          <w:marBottom w:val="0"/>
          <w:divBdr>
            <w:top w:val="none" w:sz="0" w:space="0" w:color="auto"/>
            <w:left w:val="none" w:sz="0" w:space="0" w:color="auto"/>
            <w:bottom w:val="none" w:sz="0" w:space="0" w:color="auto"/>
            <w:right w:val="none" w:sz="0" w:space="0" w:color="auto"/>
          </w:divBdr>
          <w:divsChild>
            <w:div w:id="66611137">
              <w:marLeft w:val="0"/>
              <w:marRight w:val="0"/>
              <w:marTop w:val="0"/>
              <w:marBottom w:val="0"/>
              <w:divBdr>
                <w:top w:val="none" w:sz="0" w:space="0" w:color="auto"/>
                <w:left w:val="none" w:sz="0" w:space="0" w:color="auto"/>
                <w:bottom w:val="none" w:sz="0" w:space="0" w:color="auto"/>
                <w:right w:val="none" w:sz="0" w:space="0" w:color="auto"/>
              </w:divBdr>
              <w:divsChild>
                <w:div w:id="1005478702">
                  <w:marLeft w:val="0"/>
                  <w:marRight w:val="0"/>
                  <w:marTop w:val="0"/>
                  <w:marBottom w:val="0"/>
                  <w:divBdr>
                    <w:top w:val="none" w:sz="0" w:space="0" w:color="auto"/>
                    <w:left w:val="none" w:sz="0" w:space="0" w:color="auto"/>
                    <w:bottom w:val="none" w:sz="0" w:space="0" w:color="auto"/>
                    <w:right w:val="none" w:sz="0" w:space="0" w:color="auto"/>
                  </w:divBdr>
                  <w:divsChild>
                    <w:div w:id="648284432">
                      <w:marLeft w:val="0"/>
                      <w:marRight w:val="0"/>
                      <w:marTop w:val="0"/>
                      <w:marBottom w:val="0"/>
                      <w:divBdr>
                        <w:top w:val="none" w:sz="0" w:space="0" w:color="auto"/>
                        <w:left w:val="none" w:sz="0" w:space="0" w:color="auto"/>
                        <w:bottom w:val="none" w:sz="0" w:space="0" w:color="auto"/>
                        <w:right w:val="none" w:sz="0" w:space="0" w:color="auto"/>
                      </w:divBdr>
                      <w:divsChild>
                        <w:div w:id="864637442">
                          <w:marLeft w:val="0"/>
                          <w:marRight w:val="0"/>
                          <w:marTop w:val="0"/>
                          <w:marBottom w:val="0"/>
                          <w:divBdr>
                            <w:top w:val="none" w:sz="0" w:space="0" w:color="auto"/>
                            <w:left w:val="none" w:sz="0" w:space="0" w:color="auto"/>
                            <w:bottom w:val="none" w:sz="0" w:space="0" w:color="auto"/>
                            <w:right w:val="none" w:sz="0" w:space="0" w:color="auto"/>
                          </w:divBdr>
                          <w:divsChild>
                            <w:div w:id="2036034282">
                              <w:marLeft w:val="0"/>
                              <w:marRight w:val="0"/>
                              <w:marTop w:val="0"/>
                              <w:marBottom w:val="0"/>
                              <w:divBdr>
                                <w:top w:val="none" w:sz="0" w:space="0" w:color="auto"/>
                                <w:left w:val="none" w:sz="0" w:space="0" w:color="auto"/>
                                <w:bottom w:val="none" w:sz="0" w:space="0" w:color="auto"/>
                                <w:right w:val="none" w:sz="0" w:space="0" w:color="auto"/>
                              </w:divBdr>
                              <w:divsChild>
                                <w:div w:id="1685208862">
                                  <w:marLeft w:val="0"/>
                                  <w:marRight w:val="0"/>
                                  <w:marTop w:val="0"/>
                                  <w:marBottom w:val="0"/>
                                  <w:divBdr>
                                    <w:top w:val="none" w:sz="0" w:space="0" w:color="auto"/>
                                    <w:left w:val="none" w:sz="0" w:space="0" w:color="auto"/>
                                    <w:bottom w:val="none" w:sz="0" w:space="0" w:color="auto"/>
                                    <w:right w:val="none" w:sz="0" w:space="0" w:color="auto"/>
                                  </w:divBdr>
                                  <w:divsChild>
                                    <w:div w:id="227229426">
                                      <w:marLeft w:val="0"/>
                                      <w:marRight w:val="0"/>
                                      <w:marTop w:val="0"/>
                                      <w:marBottom w:val="0"/>
                                      <w:divBdr>
                                        <w:top w:val="none" w:sz="0" w:space="0" w:color="auto"/>
                                        <w:left w:val="none" w:sz="0" w:space="0" w:color="auto"/>
                                        <w:bottom w:val="none" w:sz="0" w:space="0" w:color="auto"/>
                                        <w:right w:val="none" w:sz="0" w:space="0" w:color="auto"/>
                                      </w:divBdr>
                                      <w:divsChild>
                                        <w:div w:id="755520271">
                                          <w:marLeft w:val="0"/>
                                          <w:marRight w:val="0"/>
                                          <w:marTop w:val="0"/>
                                          <w:marBottom w:val="0"/>
                                          <w:divBdr>
                                            <w:top w:val="none" w:sz="0" w:space="0" w:color="auto"/>
                                            <w:left w:val="none" w:sz="0" w:space="0" w:color="auto"/>
                                            <w:bottom w:val="none" w:sz="0" w:space="0" w:color="auto"/>
                                            <w:right w:val="none" w:sz="0" w:space="0" w:color="auto"/>
                                          </w:divBdr>
                                          <w:divsChild>
                                            <w:div w:id="491718564">
                                              <w:marLeft w:val="0"/>
                                              <w:marRight w:val="0"/>
                                              <w:marTop w:val="0"/>
                                              <w:marBottom w:val="0"/>
                                              <w:divBdr>
                                                <w:top w:val="none" w:sz="0" w:space="0" w:color="auto"/>
                                                <w:left w:val="none" w:sz="0" w:space="0" w:color="auto"/>
                                                <w:bottom w:val="none" w:sz="0" w:space="0" w:color="auto"/>
                                                <w:right w:val="none" w:sz="0" w:space="0" w:color="auto"/>
                                              </w:divBdr>
                                            </w:div>
                                            <w:div w:id="573854891">
                                              <w:marLeft w:val="0"/>
                                              <w:marRight w:val="0"/>
                                              <w:marTop w:val="0"/>
                                              <w:marBottom w:val="0"/>
                                              <w:divBdr>
                                                <w:top w:val="none" w:sz="0" w:space="0" w:color="auto"/>
                                                <w:left w:val="none" w:sz="0" w:space="0" w:color="auto"/>
                                                <w:bottom w:val="none" w:sz="0" w:space="0" w:color="auto"/>
                                                <w:right w:val="none" w:sz="0" w:space="0" w:color="auto"/>
                                              </w:divBdr>
                                            </w:div>
                                            <w:div w:id="607353455">
                                              <w:marLeft w:val="0"/>
                                              <w:marRight w:val="0"/>
                                              <w:marTop w:val="0"/>
                                              <w:marBottom w:val="0"/>
                                              <w:divBdr>
                                                <w:top w:val="none" w:sz="0" w:space="0" w:color="auto"/>
                                                <w:left w:val="none" w:sz="0" w:space="0" w:color="auto"/>
                                                <w:bottom w:val="none" w:sz="0" w:space="0" w:color="auto"/>
                                                <w:right w:val="none" w:sz="0" w:space="0" w:color="auto"/>
                                              </w:divBdr>
                                            </w:div>
                                            <w:div w:id="676232672">
                                              <w:marLeft w:val="0"/>
                                              <w:marRight w:val="0"/>
                                              <w:marTop w:val="0"/>
                                              <w:marBottom w:val="0"/>
                                              <w:divBdr>
                                                <w:top w:val="none" w:sz="0" w:space="0" w:color="auto"/>
                                                <w:left w:val="none" w:sz="0" w:space="0" w:color="auto"/>
                                                <w:bottom w:val="none" w:sz="0" w:space="0" w:color="auto"/>
                                                <w:right w:val="none" w:sz="0" w:space="0" w:color="auto"/>
                                              </w:divBdr>
                                            </w:div>
                                            <w:div w:id="12257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506984">
      <w:bodyDiv w:val="1"/>
      <w:marLeft w:val="0"/>
      <w:marRight w:val="0"/>
      <w:marTop w:val="0"/>
      <w:marBottom w:val="0"/>
      <w:divBdr>
        <w:top w:val="none" w:sz="0" w:space="0" w:color="auto"/>
        <w:left w:val="none" w:sz="0" w:space="0" w:color="auto"/>
        <w:bottom w:val="none" w:sz="0" w:space="0" w:color="auto"/>
        <w:right w:val="none" w:sz="0" w:space="0" w:color="auto"/>
      </w:divBdr>
    </w:div>
    <w:div w:id="1785270531">
      <w:bodyDiv w:val="1"/>
      <w:marLeft w:val="0"/>
      <w:marRight w:val="0"/>
      <w:marTop w:val="0"/>
      <w:marBottom w:val="0"/>
      <w:divBdr>
        <w:top w:val="none" w:sz="0" w:space="0" w:color="auto"/>
        <w:left w:val="none" w:sz="0" w:space="0" w:color="auto"/>
        <w:bottom w:val="none" w:sz="0" w:space="0" w:color="auto"/>
        <w:right w:val="none" w:sz="0" w:space="0" w:color="auto"/>
      </w:divBdr>
    </w:div>
    <w:div w:id="1789161742">
      <w:bodyDiv w:val="1"/>
      <w:marLeft w:val="0"/>
      <w:marRight w:val="0"/>
      <w:marTop w:val="0"/>
      <w:marBottom w:val="0"/>
      <w:divBdr>
        <w:top w:val="none" w:sz="0" w:space="0" w:color="auto"/>
        <w:left w:val="none" w:sz="0" w:space="0" w:color="auto"/>
        <w:bottom w:val="none" w:sz="0" w:space="0" w:color="auto"/>
        <w:right w:val="none" w:sz="0" w:space="0" w:color="auto"/>
      </w:divBdr>
    </w:div>
    <w:div w:id="1810510067">
      <w:bodyDiv w:val="1"/>
      <w:marLeft w:val="0"/>
      <w:marRight w:val="0"/>
      <w:marTop w:val="0"/>
      <w:marBottom w:val="0"/>
      <w:divBdr>
        <w:top w:val="none" w:sz="0" w:space="0" w:color="auto"/>
        <w:left w:val="none" w:sz="0" w:space="0" w:color="auto"/>
        <w:bottom w:val="none" w:sz="0" w:space="0" w:color="auto"/>
        <w:right w:val="none" w:sz="0" w:space="0" w:color="auto"/>
      </w:divBdr>
    </w:div>
    <w:div w:id="1929657594">
      <w:bodyDiv w:val="1"/>
      <w:marLeft w:val="0"/>
      <w:marRight w:val="0"/>
      <w:marTop w:val="0"/>
      <w:marBottom w:val="0"/>
      <w:divBdr>
        <w:top w:val="none" w:sz="0" w:space="0" w:color="auto"/>
        <w:left w:val="none" w:sz="0" w:space="0" w:color="auto"/>
        <w:bottom w:val="none" w:sz="0" w:space="0" w:color="auto"/>
        <w:right w:val="none" w:sz="0" w:space="0" w:color="auto"/>
      </w:divBdr>
    </w:div>
    <w:div w:id="1985154703">
      <w:bodyDiv w:val="1"/>
      <w:marLeft w:val="0"/>
      <w:marRight w:val="0"/>
      <w:marTop w:val="0"/>
      <w:marBottom w:val="0"/>
      <w:divBdr>
        <w:top w:val="none" w:sz="0" w:space="0" w:color="auto"/>
        <w:left w:val="none" w:sz="0" w:space="0" w:color="auto"/>
        <w:bottom w:val="none" w:sz="0" w:space="0" w:color="auto"/>
        <w:right w:val="none" w:sz="0" w:space="0" w:color="auto"/>
      </w:divBdr>
    </w:div>
    <w:div w:id="2024818637">
      <w:bodyDiv w:val="1"/>
      <w:marLeft w:val="0"/>
      <w:marRight w:val="0"/>
      <w:marTop w:val="0"/>
      <w:marBottom w:val="0"/>
      <w:divBdr>
        <w:top w:val="none" w:sz="0" w:space="0" w:color="auto"/>
        <w:left w:val="none" w:sz="0" w:space="0" w:color="auto"/>
        <w:bottom w:val="none" w:sz="0" w:space="0" w:color="auto"/>
        <w:right w:val="none" w:sz="0" w:space="0" w:color="auto"/>
      </w:divBdr>
    </w:div>
    <w:div w:id="2027631043">
      <w:bodyDiv w:val="1"/>
      <w:marLeft w:val="0"/>
      <w:marRight w:val="0"/>
      <w:marTop w:val="0"/>
      <w:marBottom w:val="0"/>
      <w:divBdr>
        <w:top w:val="none" w:sz="0" w:space="0" w:color="auto"/>
        <w:left w:val="none" w:sz="0" w:space="0" w:color="auto"/>
        <w:bottom w:val="none" w:sz="0" w:space="0" w:color="auto"/>
        <w:right w:val="none" w:sz="0" w:space="0" w:color="auto"/>
      </w:divBdr>
    </w:div>
    <w:div w:id="2036614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c.gov/rules/proposed.s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dqats.com/wp-content/uploads/2013/10/PDQ-FORM-ATS-FILING_01_30_15-website.pdf" TargetMode="External"/><Relationship Id="rId3" Type="http://schemas.openxmlformats.org/officeDocument/2006/relationships/hyperlink" Target="https://www.law.cornell.edu/definitions/index.php?width=840&amp;height=800&amp;iframe=true&amp;def_id=0add032c385071ce596e474a40b42cba&amp;term_occur=2&amp;term_src=lii:cfr:2014:17:0:-:II:-:242:-:242.301" TargetMode="External"/><Relationship Id="rId7" Type="http://schemas.openxmlformats.org/officeDocument/2006/relationships/hyperlink" Target="http://www.iextrading.com/policy/ats/" TargetMode="External"/><Relationship Id="rId12" Type="http://schemas.openxmlformats.org/officeDocument/2006/relationships/hyperlink" Target="http://www.sec.gov/foia/docs/atslist.htm" TargetMode="External"/><Relationship Id="rId2" Type="http://schemas.openxmlformats.org/officeDocument/2006/relationships/hyperlink" Target="https://www.law.cornell.edu/definitions/index.php?width=840&amp;height=800&amp;iframe=true&amp;def_id=03900d1b958cf506155e7644dc9bde63&amp;term_occur=28&amp;term_src=lii:cfr:2014:17:0:-:II:-:242:-:242.301" TargetMode="External"/><Relationship Id="rId1" Type="http://schemas.openxmlformats.org/officeDocument/2006/relationships/hyperlink" Target="https://www.law.cornell.edu/definitions/index.php?width=840&amp;height=800&amp;iframe=true&amp;def_id=03900d1b958cf506155e7644dc9bde63&amp;term_occur=27&amp;term_src=lii:cfr:2014:17:0:-:II:-:242:-:242.301" TargetMode="External"/><Relationship Id="rId6" Type="http://schemas.openxmlformats.org/officeDocument/2006/relationships/hyperlink" Target="https://www.law.cornell.edu/definitions/index.php?width=840&amp;height=800&amp;iframe=true&amp;def_id=0add032c385071ce596e474a40b42cba&amp;term_occur=4&amp;term_src=lii:cfr:2014:17:0:-:II:-:242:-:242.301" TargetMode="External"/><Relationship Id="rId11" Type="http://schemas.openxmlformats.org/officeDocument/2006/relationships/hyperlink" Target="http://www.itg.com/marketing/ITG_Form_ATS_for_POSIT_02112015.pdf" TargetMode="External"/><Relationship Id="rId5" Type="http://schemas.openxmlformats.org/officeDocument/2006/relationships/hyperlink" Target="https://www.law.cornell.edu/definitions/index.php?width=840&amp;height=800&amp;iframe=true&amp;def_id=03900d1b958cf506155e7644dc9bde63&amp;term_occur=34&amp;term_src=lii:cfr:2014:17:0:-:II:-:242:-:242.301" TargetMode="External"/><Relationship Id="rId10" Type="http://schemas.openxmlformats.org/officeDocument/2006/relationships/hyperlink" Target="http://www.goldmansachs.com/media-relations/in-the-news/current/pdf-media/gs-form-ats-amendment.pdf" TargetMode="External"/><Relationship Id="rId4" Type="http://schemas.openxmlformats.org/officeDocument/2006/relationships/hyperlink" Target="https://www.law.cornell.edu/definitions/index.php?width=840&amp;height=800&amp;iframe=true&amp;def_id=03900d1b958cf506155e7644dc9bde63&amp;term_occur=33&amp;term_src=lii:cfr:2014:17:0:-:II:-:242:-:242.301" TargetMode="External"/><Relationship Id="rId9" Type="http://schemas.openxmlformats.org/officeDocument/2006/relationships/hyperlink" Target="http://www.liquidnet.com/uploads/ATS_(H2O)_Form-Exhibits_CLEAN_4feb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D918B-CE4E-4BE2-913B-9950FD33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9906</Words>
  <Characters>56467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SEC</Company>
  <LinksUpToDate>false</LinksUpToDate>
  <CharactersWithSpaces>66241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dc:creator>
  <cp:lastModifiedBy>Tontz, Jennifer</cp:lastModifiedBy>
  <cp:revision>7</cp:revision>
  <cp:lastPrinted>2016-02-10T20:47:00Z</cp:lastPrinted>
  <dcterms:created xsi:type="dcterms:W3CDTF">2016-05-16T17:06:00Z</dcterms:created>
  <dcterms:modified xsi:type="dcterms:W3CDTF">2016-05-31T20:01:00Z</dcterms:modified>
</cp:coreProperties>
</file>