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742" w:rsidRPr="002778BA" w:rsidRDefault="001D5742" w:rsidP="001D5742">
      <w:pPr>
        <w:pStyle w:val="Heading1"/>
        <w:spacing w:line="240" w:lineRule="auto"/>
        <w:rPr>
          <w:rFonts w:asciiTheme="majorBidi" w:hAnsiTheme="majorBidi"/>
          <w:b/>
          <w:sz w:val="22"/>
        </w:rPr>
      </w:pPr>
      <w:bookmarkStart w:id="0" w:name="_Toc444597834"/>
      <w:r>
        <w:rPr>
          <w:rFonts w:asciiTheme="majorBidi" w:hAnsiTheme="majorBidi"/>
          <w:b/>
          <w:sz w:val="24"/>
        </w:rPr>
        <w:t>PART B</w:t>
      </w:r>
      <w:r w:rsidRPr="002778BA">
        <w:rPr>
          <w:rFonts w:asciiTheme="majorBidi" w:hAnsiTheme="majorBidi"/>
          <w:b/>
          <w:sz w:val="24"/>
        </w:rPr>
        <w:t xml:space="preserve">. </w:t>
      </w:r>
      <w:r>
        <w:rPr>
          <w:rFonts w:asciiTheme="majorBidi" w:hAnsiTheme="majorBidi"/>
          <w:b/>
          <w:sz w:val="24"/>
        </w:rPr>
        <w:t>Collections of Information Employing Statistical Methods</w:t>
      </w:r>
      <w:bookmarkEnd w:id="0"/>
    </w:p>
    <w:p w:rsidR="001D5742" w:rsidRPr="00D81DDA" w:rsidRDefault="001D5742" w:rsidP="001D5742">
      <w:pPr>
        <w:spacing w:after="0" w:line="240" w:lineRule="auto"/>
        <w:rPr>
          <w:rFonts w:asciiTheme="majorBidi" w:hAnsiTheme="majorBidi" w:cstheme="majorBidi"/>
          <w:b/>
          <w:bCs/>
        </w:rPr>
      </w:pPr>
    </w:p>
    <w:p w:rsidR="001D5742" w:rsidRPr="00833D93" w:rsidRDefault="001D5742" w:rsidP="001D5742">
      <w:pPr>
        <w:pStyle w:val="Heading2"/>
        <w:numPr>
          <w:ilvl w:val="0"/>
          <w:numId w:val="3"/>
        </w:numPr>
        <w:rPr>
          <w:rFonts w:asciiTheme="majorBidi" w:hAnsiTheme="majorBidi" w:cstheme="majorBidi"/>
        </w:rPr>
      </w:pPr>
      <w:bookmarkStart w:id="1" w:name="_Toc435091376"/>
      <w:bookmarkStart w:id="2" w:name="_Toc444597835"/>
      <w:r w:rsidRPr="00833D93">
        <w:rPr>
          <w:rFonts w:asciiTheme="majorBidi" w:eastAsiaTheme="majorBidi" w:hAnsiTheme="majorBidi" w:cstheme="majorBidi"/>
        </w:rPr>
        <w:t>Universe of Sampling Respondent Selection</w:t>
      </w:r>
      <w:bookmarkEnd w:id="1"/>
      <w:bookmarkEnd w:id="2"/>
    </w:p>
    <w:p w:rsidR="001D5742" w:rsidRDefault="001D5742" w:rsidP="001D5742">
      <w:pPr>
        <w:spacing w:line="240" w:lineRule="auto"/>
        <w:rPr>
          <w:rFonts w:asciiTheme="majorBidi" w:hAnsiTheme="majorBidi" w:cstheme="majorBidi"/>
          <w:b/>
          <w:bCs/>
          <w:szCs w:val="24"/>
        </w:rPr>
      </w:pPr>
      <w:r w:rsidRPr="00630508">
        <w:rPr>
          <w:rFonts w:asciiTheme="majorBidi" w:hAnsiTheme="majorBidi" w:cstheme="majorBidi"/>
          <w:b/>
          <w:bCs/>
          <w:szCs w:val="24"/>
        </w:rPr>
        <w:t xml:space="preserve">Describe (including a numerical estimate) the potential respondent universe and any sampling or other respondent selection method to be used. Data on the number of entities (e.g., establishments, </w:t>
      </w:r>
      <w:r>
        <w:rPr>
          <w:rFonts w:asciiTheme="majorBidi" w:hAnsiTheme="majorBidi" w:cstheme="majorBidi"/>
          <w:b/>
          <w:bCs/>
          <w:szCs w:val="24"/>
        </w:rPr>
        <w:t>s</w:t>
      </w:r>
      <w:r w:rsidRPr="00630508">
        <w:rPr>
          <w:rFonts w:asciiTheme="majorBidi" w:hAnsiTheme="majorBidi" w:cstheme="majorBidi"/>
          <w:b/>
          <w:bCs/>
          <w:szCs w:val="24"/>
        </w:rPr>
        <w:t>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w:t>
      </w:r>
      <w:r>
        <w:rPr>
          <w:rFonts w:asciiTheme="majorBidi" w:hAnsiTheme="majorBidi" w:cstheme="majorBidi"/>
          <w:b/>
          <w:bCs/>
          <w:szCs w:val="24"/>
        </w:rPr>
        <w:t>eved during the last collection</w:t>
      </w:r>
      <w:r w:rsidRPr="000A49EE">
        <w:rPr>
          <w:rFonts w:asciiTheme="majorBidi" w:hAnsiTheme="majorBidi" w:cstheme="majorBidi"/>
          <w:b/>
          <w:bCs/>
          <w:szCs w:val="24"/>
        </w:rPr>
        <w:t>.</w:t>
      </w:r>
    </w:p>
    <w:p w:rsidR="001D5742" w:rsidRDefault="001D5742" w:rsidP="001D5742">
      <w:p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 xml:space="preserve">SBA is interested in deriving annual estimates of satisfaction and outcomes for Emerging Leaders, as well as the descriptive characteristics of the small business owners participating in the initiative. Due to potential variation in participants across the sites </w:t>
      </w:r>
      <w:r w:rsidRPr="00B526C0">
        <w:rPr>
          <w:rFonts w:asciiTheme="majorBidi" w:eastAsiaTheme="majorBidi" w:hAnsiTheme="majorBidi" w:cstheme="majorBidi"/>
          <w:bCs/>
          <w:szCs w:val="24"/>
        </w:rPr>
        <w:t>and the importance of site-specific feedback, a census survey (rather than sample) of the approximately 20 participants per site will be conducted. Exhibit 1 details the expected survey population size and response rate.</w:t>
      </w:r>
      <w:r w:rsidRPr="00B526C0">
        <w:rPr>
          <w:rStyle w:val="FootnoteReference"/>
          <w:rFonts w:asciiTheme="majorBidi" w:eastAsiaTheme="majorBidi" w:hAnsiTheme="majorBidi" w:cstheme="majorBidi"/>
          <w:bCs/>
          <w:szCs w:val="24"/>
        </w:rPr>
        <w:footnoteReference w:id="1"/>
      </w:r>
      <w:r w:rsidRPr="00B526C0">
        <w:rPr>
          <w:rFonts w:asciiTheme="majorBidi" w:eastAsiaTheme="majorBidi" w:hAnsiTheme="majorBidi" w:cstheme="majorBidi"/>
          <w:bCs/>
          <w:szCs w:val="24"/>
        </w:rPr>
        <w:t xml:space="preserve"> Estimates are based on the response rates obtained in previous years of this data collection. Although Across 48 sites, SBA estimates a survey population of 960 small businesses. Response to the intake and feedback forms administered during the training program is expected</w:t>
      </w:r>
      <w:r>
        <w:rPr>
          <w:rFonts w:asciiTheme="majorBidi" w:eastAsiaTheme="majorBidi" w:hAnsiTheme="majorBidi" w:cstheme="majorBidi"/>
          <w:bCs/>
          <w:szCs w:val="24"/>
        </w:rPr>
        <w:t xml:space="preserve"> to remain high as in previous years, over 80 percent. Response to the follow-up surveys is expected to decline over the three years of follow-up, starting with a high of 65 percent in the first year after the initiative.</w:t>
      </w:r>
    </w:p>
    <w:p w:rsidR="001D5742" w:rsidRPr="00D26B89" w:rsidRDefault="001D5742" w:rsidP="001D5742">
      <w:pPr>
        <w:spacing w:line="240" w:lineRule="auto"/>
        <w:rPr>
          <w:rFonts w:eastAsiaTheme="majorBidi" w:cs="Times New Roman"/>
          <w:b/>
          <w:bCs/>
          <w:szCs w:val="24"/>
        </w:rPr>
      </w:pPr>
      <w:r w:rsidRPr="00D26B89">
        <w:rPr>
          <w:rFonts w:eastAsiaTheme="majorBidi" w:cs="Times New Roman"/>
          <w:b/>
          <w:bCs/>
          <w:szCs w:val="24"/>
        </w:rPr>
        <w:t>Exhibit 1. Expected survey population and response rate</w:t>
      </w:r>
      <w:r>
        <w:rPr>
          <w:rFonts w:eastAsiaTheme="majorBidi" w:cs="Times New Roman"/>
          <w:b/>
          <w:bCs/>
          <w:szCs w:val="24"/>
        </w:rPr>
        <w:t xml:space="preserve"> for each data collection instrument</w:t>
      </w:r>
    </w:p>
    <w:tbl>
      <w:tblPr>
        <w:tblW w:w="7594"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32"/>
        <w:gridCol w:w="1324"/>
        <w:gridCol w:w="1443"/>
        <w:gridCol w:w="1776"/>
      </w:tblGrid>
      <w:tr w:rsidR="001D5742" w:rsidRPr="00A92F48" w:rsidTr="007E1CA9">
        <w:trPr>
          <w:trHeight w:val="600"/>
        </w:trPr>
        <w:tc>
          <w:tcPr>
            <w:tcW w:w="3132" w:type="dxa"/>
            <w:shd w:val="clear" w:color="auto" w:fill="auto"/>
            <w:vAlign w:val="center"/>
            <w:hideMark/>
          </w:tcPr>
          <w:p w:rsidR="001D5742" w:rsidRPr="00A92F48" w:rsidRDefault="001D5742" w:rsidP="007E1CA9">
            <w:pPr>
              <w:spacing w:after="0" w:line="240" w:lineRule="auto"/>
              <w:jc w:val="center"/>
              <w:rPr>
                <w:rFonts w:eastAsia="Times New Roman" w:cs="Times New Roman"/>
                <w:b/>
                <w:color w:val="000000"/>
                <w:szCs w:val="24"/>
              </w:rPr>
            </w:pPr>
            <w:r w:rsidRPr="00A92F48">
              <w:rPr>
                <w:rFonts w:eastAsia="Times New Roman" w:cs="Times New Roman"/>
                <w:b/>
                <w:color w:val="000000"/>
                <w:szCs w:val="24"/>
              </w:rPr>
              <w:t>Instrument</w:t>
            </w:r>
          </w:p>
        </w:tc>
        <w:tc>
          <w:tcPr>
            <w:tcW w:w="1243" w:type="dxa"/>
            <w:shd w:val="clear" w:color="auto" w:fill="auto"/>
            <w:vAlign w:val="bottom"/>
            <w:hideMark/>
          </w:tcPr>
          <w:p w:rsidR="001D5742" w:rsidRPr="00A92F48" w:rsidRDefault="001D5742" w:rsidP="007E1CA9">
            <w:pPr>
              <w:spacing w:after="0" w:line="240" w:lineRule="auto"/>
              <w:jc w:val="center"/>
              <w:rPr>
                <w:rFonts w:eastAsia="Times New Roman" w:cs="Times New Roman"/>
                <w:b/>
                <w:color w:val="000000"/>
                <w:szCs w:val="24"/>
              </w:rPr>
            </w:pPr>
            <w:r w:rsidRPr="000D5F02">
              <w:rPr>
                <w:rFonts w:eastAsia="Times New Roman" w:cs="Times New Roman"/>
                <w:b/>
                <w:color w:val="000000"/>
                <w:szCs w:val="24"/>
              </w:rPr>
              <w:t>Survey population</w:t>
            </w:r>
          </w:p>
        </w:tc>
        <w:tc>
          <w:tcPr>
            <w:tcW w:w="1443" w:type="dxa"/>
            <w:shd w:val="clear" w:color="auto" w:fill="auto"/>
            <w:vAlign w:val="bottom"/>
          </w:tcPr>
          <w:p w:rsidR="001D5742" w:rsidRPr="00A92F48" w:rsidRDefault="001D5742" w:rsidP="007E1CA9">
            <w:pPr>
              <w:spacing w:after="0" w:line="240" w:lineRule="auto"/>
              <w:jc w:val="center"/>
              <w:rPr>
                <w:rFonts w:eastAsia="Times New Roman" w:cs="Times New Roman"/>
                <w:b/>
                <w:color w:val="000000"/>
                <w:szCs w:val="24"/>
              </w:rPr>
            </w:pPr>
            <w:r>
              <w:rPr>
                <w:rFonts w:eastAsia="Times New Roman" w:cs="Times New Roman"/>
                <w:b/>
                <w:color w:val="000000"/>
                <w:szCs w:val="24"/>
              </w:rPr>
              <w:t>Response r</w:t>
            </w:r>
            <w:r w:rsidRPr="00A92F48">
              <w:rPr>
                <w:rFonts w:eastAsia="Times New Roman" w:cs="Times New Roman"/>
                <w:b/>
                <w:color w:val="000000"/>
                <w:szCs w:val="24"/>
              </w:rPr>
              <w:t>ate</w:t>
            </w:r>
          </w:p>
        </w:tc>
        <w:tc>
          <w:tcPr>
            <w:tcW w:w="1776" w:type="dxa"/>
            <w:shd w:val="clear" w:color="auto" w:fill="auto"/>
            <w:vAlign w:val="bottom"/>
            <w:hideMark/>
          </w:tcPr>
          <w:p w:rsidR="001D5742" w:rsidRPr="00A92F48" w:rsidRDefault="001D5742" w:rsidP="007E1CA9">
            <w:pPr>
              <w:spacing w:after="0" w:line="240" w:lineRule="auto"/>
              <w:jc w:val="center"/>
              <w:rPr>
                <w:rFonts w:eastAsia="Times New Roman" w:cs="Times New Roman"/>
                <w:b/>
                <w:color w:val="000000"/>
                <w:szCs w:val="24"/>
              </w:rPr>
            </w:pPr>
            <w:r>
              <w:rPr>
                <w:rFonts w:eastAsia="Times New Roman" w:cs="Times New Roman"/>
                <w:b/>
                <w:color w:val="000000"/>
                <w:szCs w:val="24"/>
              </w:rPr>
              <w:t>Total r</w:t>
            </w:r>
            <w:r w:rsidRPr="00A92F48">
              <w:rPr>
                <w:rFonts w:eastAsia="Times New Roman" w:cs="Times New Roman"/>
                <w:b/>
                <w:color w:val="000000"/>
                <w:szCs w:val="24"/>
              </w:rPr>
              <w:t>espondents</w:t>
            </w:r>
          </w:p>
        </w:tc>
      </w:tr>
      <w:tr w:rsidR="001D5742" w:rsidRPr="00A92F48" w:rsidTr="007E1CA9">
        <w:trPr>
          <w:trHeight w:val="300"/>
        </w:trPr>
        <w:tc>
          <w:tcPr>
            <w:tcW w:w="3132" w:type="dxa"/>
            <w:shd w:val="clear" w:color="auto" w:fill="auto"/>
            <w:noWrap/>
            <w:vAlign w:val="bottom"/>
            <w:hideMark/>
          </w:tcPr>
          <w:p w:rsidR="001D5742" w:rsidRPr="00A92F48" w:rsidRDefault="001D5742" w:rsidP="007E1CA9">
            <w:pPr>
              <w:spacing w:after="0" w:line="240" w:lineRule="auto"/>
              <w:rPr>
                <w:rFonts w:eastAsia="Times New Roman" w:cs="Times New Roman"/>
                <w:color w:val="000000"/>
                <w:szCs w:val="24"/>
              </w:rPr>
            </w:pPr>
            <w:r w:rsidRPr="00A92F48">
              <w:rPr>
                <w:rFonts w:eastAsia="Times New Roman" w:cs="Times New Roman"/>
                <w:color w:val="000000"/>
                <w:szCs w:val="24"/>
              </w:rPr>
              <w:t> </w:t>
            </w:r>
          </w:p>
        </w:tc>
        <w:tc>
          <w:tcPr>
            <w:tcW w:w="1243"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p>
        </w:tc>
        <w:tc>
          <w:tcPr>
            <w:tcW w:w="1443" w:type="dxa"/>
            <w:shd w:val="clear" w:color="auto" w:fill="auto"/>
            <w:noWrap/>
            <w:vAlign w:val="bottom"/>
          </w:tcPr>
          <w:p w:rsidR="001D5742" w:rsidRPr="00A92F48" w:rsidRDefault="001D5742" w:rsidP="007E1CA9">
            <w:pPr>
              <w:spacing w:after="0" w:line="240" w:lineRule="auto"/>
              <w:jc w:val="center"/>
              <w:rPr>
                <w:rFonts w:eastAsia="Times New Roman" w:cs="Times New Roman"/>
                <w:color w:val="000000"/>
                <w:szCs w:val="24"/>
              </w:rPr>
            </w:pPr>
          </w:p>
        </w:tc>
        <w:tc>
          <w:tcPr>
            <w:tcW w:w="1776"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p>
        </w:tc>
      </w:tr>
      <w:tr w:rsidR="001D5742" w:rsidRPr="00A92F48" w:rsidTr="007E1CA9">
        <w:trPr>
          <w:trHeight w:val="300"/>
        </w:trPr>
        <w:tc>
          <w:tcPr>
            <w:tcW w:w="3132" w:type="dxa"/>
            <w:shd w:val="clear" w:color="auto" w:fill="auto"/>
            <w:noWrap/>
            <w:vAlign w:val="bottom"/>
            <w:hideMark/>
          </w:tcPr>
          <w:p w:rsidR="001D5742" w:rsidRPr="00A92F48" w:rsidRDefault="001D5742" w:rsidP="007E1CA9">
            <w:pPr>
              <w:spacing w:after="0" w:line="240" w:lineRule="auto"/>
              <w:rPr>
                <w:rFonts w:eastAsia="Times New Roman" w:cs="Times New Roman"/>
                <w:color w:val="000000"/>
                <w:szCs w:val="24"/>
              </w:rPr>
            </w:pPr>
            <w:r w:rsidRPr="00A92F48">
              <w:rPr>
                <w:rFonts w:eastAsia="Times New Roman" w:cs="Times New Roman"/>
                <w:color w:val="000000"/>
                <w:szCs w:val="24"/>
              </w:rPr>
              <w:t>Intake form</w:t>
            </w:r>
          </w:p>
        </w:tc>
        <w:tc>
          <w:tcPr>
            <w:tcW w:w="1243"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960</w:t>
            </w:r>
          </w:p>
        </w:tc>
        <w:tc>
          <w:tcPr>
            <w:tcW w:w="1443" w:type="dxa"/>
            <w:shd w:val="clear" w:color="auto" w:fill="auto"/>
            <w:noWrap/>
            <w:vAlign w:val="bottom"/>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100%</w:t>
            </w:r>
          </w:p>
        </w:tc>
        <w:tc>
          <w:tcPr>
            <w:tcW w:w="1776"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960</w:t>
            </w:r>
          </w:p>
        </w:tc>
      </w:tr>
      <w:tr w:rsidR="001D5742" w:rsidRPr="00A92F48" w:rsidTr="007E1CA9">
        <w:trPr>
          <w:trHeight w:val="300"/>
        </w:trPr>
        <w:tc>
          <w:tcPr>
            <w:tcW w:w="3132" w:type="dxa"/>
            <w:shd w:val="clear" w:color="auto" w:fill="auto"/>
            <w:noWrap/>
            <w:vAlign w:val="bottom"/>
            <w:hideMark/>
          </w:tcPr>
          <w:p w:rsidR="001D5742" w:rsidRPr="00A92F48" w:rsidRDefault="001D5742" w:rsidP="007E1CA9">
            <w:pPr>
              <w:spacing w:after="0" w:line="240" w:lineRule="auto"/>
              <w:rPr>
                <w:rFonts w:eastAsia="Times New Roman" w:cs="Times New Roman"/>
                <w:color w:val="000000"/>
                <w:szCs w:val="24"/>
              </w:rPr>
            </w:pPr>
            <w:r w:rsidRPr="00A92F48">
              <w:rPr>
                <w:rFonts w:eastAsia="Times New Roman" w:cs="Times New Roman"/>
                <w:color w:val="000000"/>
                <w:szCs w:val="24"/>
              </w:rPr>
              <w:t>Feedback form</w:t>
            </w:r>
          </w:p>
        </w:tc>
        <w:tc>
          <w:tcPr>
            <w:tcW w:w="1243"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960</w:t>
            </w:r>
          </w:p>
        </w:tc>
        <w:tc>
          <w:tcPr>
            <w:tcW w:w="1443" w:type="dxa"/>
            <w:shd w:val="clear" w:color="auto" w:fill="auto"/>
            <w:noWrap/>
            <w:vAlign w:val="bottom"/>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87%</w:t>
            </w:r>
          </w:p>
        </w:tc>
        <w:tc>
          <w:tcPr>
            <w:tcW w:w="1776"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838</w:t>
            </w:r>
          </w:p>
        </w:tc>
      </w:tr>
      <w:tr w:rsidR="001D5742" w:rsidRPr="00A92F48" w:rsidTr="007E1CA9">
        <w:trPr>
          <w:trHeight w:val="300"/>
        </w:trPr>
        <w:tc>
          <w:tcPr>
            <w:tcW w:w="3132" w:type="dxa"/>
            <w:shd w:val="clear" w:color="auto" w:fill="auto"/>
            <w:noWrap/>
            <w:vAlign w:val="bottom"/>
            <w:hideMark/>
          </w:tcPr>
          <w:p w:rsidR="001D5742" w:rsidRPr="00A92F48" w:rsidRDefault="001D5742" w:rsidP="007E1CA9">
            <w:pPr>
              <w:spacing w:after="0" w:line="240" w:lineRule="auto"/>
              <w:ind w:firstLineChars="100" w:firstLine="240"/>
              <w:rPr>
                <w:rFonts w:eastAsia="Times New Roman" w:cs="Times New Roman"/>
                <w:color w:val="000000"/>
                <w:szCs w:val="24"/>
              </w:rPr>
            </w:pPr>
            <w:r w:rsidRPr="00A92F48">
              <w:rPr>
                <w:rFonts w:eastAsia="Times New Roman" w:cs="Times New Roman"/>
                <w:color w:val="000000"/>
                <w:szCs w:val="24"/>
              </w:rPr>
              <w:t> </w:t>
            </w:r>
          </w:p>
        </w:tc>
        <w:tc>
          <w:tcPr>
            <w:tcW w:w="1243"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p>
        </w:tc>
        <w:tc>
          <w:tcPr>
            <w:tcW w:w="1443" w:type="dxa"/>
            <w:shd w:val="clear" w:color="auto" w:fill="auto"/>
            <w:noWrap/>
            <w:vAlign w:val="bottom"/>
          </w:tcPr>
          <w:p w:rsidR="001D5742" w:rsidRPr="00A92F48" w:rsidRDefault="001D5742" w:rsidP="007E1CA9">
            <w:pPr>
              <w:spacing w:after="0" w:line="240" w:lineRule="auto"/>
              <w:jc w:val="center"/>
              <w:rPr>
                <w:rFonts w:eastAsia="Times New Roman" w:cs="Times New Roman"/>
                <w:color w:val="000000"/>
                <w:szCs w:val="24"/>
              </w:rPr>
            </w:pPr>
          </w:p>
        </w:tc>
        <w:tc>
          <w:tcPr>
            <w:tcW w:w="1776"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p>
        </w:tc>
      </w:tr>
      <w:tr w:rsidR="001D5742" w:rsidRPr="00A92F48" w:rsidTr="007E1CA9">
        <w:trPr>
          <w:trHeight w:val="300"/>
        </w:trPr>
        <w:tc>
          <w:tcPr>
            <w:tcW w:w="3132" w:type="dxa"/>
            <w:shd w:val="clear" w:color="auto" w:fill="auto"/>
            <w:noWrap/>
            <w:vAlign w:val="bottom"/>
            <w:hideMark/>
          </w:tcPr>
          <w:p w:rsidR="001D5742" w:rsidRPr="00A92F48" w:rsidRDefault="001D5742" w:rsidP="007E1CA9">
            <w:pPr>
              <w:spacing w:after="0" w:line="240" w:lineRule="auto"/>
              <w:rPr>
                <w:rFonts w:eastAsia="Times New Roman" w:cs="Times New Roman"/>
                <w:color w:val="000000"/>
                <w:szCs w:val="24"/>
              </w:rPr>
            </w:pPr>
            <w:r w:rsidRPr="00A92F48">
              <w:rPr>
                <w:rFonts w:eastAsia="Times New Roman" w:cs="Times New Roman"/>
                <w:color w:val="000000"/>
                <w:szCs w:val="24"/>
              </w:rPr>
              <w:t>Follow-up surveys (graduates</w:t>
            </w:r>
            <w:r>
              <w:rPr>
                <w:rFonts w:eastAsia="Times New Roman" w:cs="Times New Roman"/>
                <w:color w:val="000000"/>
                <w:szCs w:val="24"/>
              </w:rPr>
              <w:t xml:space="preserve"> only</w:t>
            </w:r>
            <w:r w:rsidRPr="00A92F48">
              <w:rPr>
                <w:rFonts w:eastAsia="Times New Roman" w:cs="Times New Roman"/>
                <w:color w:val="000000"/>
                <w:szCs w:val="24"/>
              </w:rPr>
              <w:t>)</w:t>
            </w:r>
          </w:p>
        </w:tc>
        <w:tc>
          <w:tcPr>
            <w:tcW w:w="1243"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p>
        </w:tc>
        <w:tc>
          <w:tcPr>
            <w:tcW w:w="1443" w:type="dxa"/>
            <w:shd w:val="clear" w:color="auto" w:fill="auto"/>
            <w:noWrap/>
            <w:vAlign w:val="bottom"/>
          </w:tcPr>
          <w:p w:rsidR="001D5742" w:rsidRPr="00A92F48" w:rsidRDefault="001D5742" w:rsidP="007E1CA9">
            <w:pPr>
              <w:spacing w:after="0" w:line="240" w:lineRule="auto"/>
              <w:jc w:val="center"/>
              <w:rPr>
                <w:rFonts w:eastAsia="Times New Roman" w:cs="Times New Roman"/>
                <w:color w:val="000000"/>
                <w:szCs w:val="24"/>
              </w:rPr>
            </w:pPr>
          </w:p>
        </w:tc>
        <w:tc>
          <w:tcPr>
            <w:tcW w:w="1776"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p>
        </w:tc>
      </w:tr>
      <w:tr w:rsidR="001D5742" w:rsidRPr="00A92F48" w:rsidTr="007E1CA9">
        <w:trPr>
          <w:trHeight w:val="300"/>
        </w:trPr>
        <w:tc>
          <w:tcPr>
            <w:tcW w:w="3132" w:type="dxa"/>
            <w:shd w:val="clear" w:color="auto" w:fill="auto"/>
            <w:noWrap/>
            <w:vAlign w:val="bottom"/>
            <w:hideMark/>
          </w:tcPr>
          <w:p w:rsidR="001D5742" w:rsidRPr="00A92F48" w:rsidRDefault="001D5742" w:rsidP="007E1CA9">
            <w:pPr>
              <w:spacing w:after="0" w:line="240" w:lineRule="auto"/>
              <w:ind w:firstLineChars="300" w:firstLine="720"/>
              <w:rPr>
                <w:rFonts w:eastAsia="Times New Roman" w:cs="Times New Roman"/>
                <w:color w:val="000000"/>
                <w:szCs w:val="24"/>
              </w:rPr>
            </w:pPr>
            <w:r w:rsidRPr="00A92F48">
              <w:rPr>
                <w:rFonts w:eastAsia="Times New Roman" w:cs="Times New Roman"/>
                <w:color w:val="000000"/>
                <w:szCs w:val="24"/>
              </w:rPr>
              <w:t xml:space="preserve">1st year </w:t>
            </w:r>
          </w:p>
        </w:tc>
        <w:tc>
          <w:tcPr>
            <w:tcW w:w="1243"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838</w:t>
            </w:r>
          </w:p>
        </w:tc>
        <w:tc>
          <w:tcPr>
            <w:tcW w:w="1443" w:type="dxa"/>
            <w:shd w:val="clear" w:color="auto" w:fill="auto"/>
            <w:noWrap/>
            <w:vAlign w:val="bottom"/>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65%</w:t>
            </w:r>
          </w:p>
        </w:tc>
        <w:tc>
          <w:tcPr>
            <w:tcW w:w="1776"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54</w:t>
            </w:r>
            <w:r>
              <w:rPr>
                <w:rFonts w:eastAsia="Times New Roman" w:cs="Times New Roman"/>
                <w:color w:val="000000"/>
                <w:szCs w:val="24"/>
              </w:rPr>
              <w:t>1</w:t>
            </w:r>
          </w:p>
        </w:tc>
      </w:tr>
      <w:tr w:rsidR="001D5742" w:rsidRPr="00A92F48" w:rsidTr="007E1CA9">
        <w:trPr>
          <w:trHeight w:val="300"/>
        </w:trPr>
        <w:tc>
          <w:tcPr>
            <w:tcW w:w="3132" w:type="dxa"/>
            <w:shd w:val="clear" w:color="auto" w:fill="auto"/>
            <w:noWrap/>
            <w:vAlign w:val="bottom"/>
            <w:hideMark/>
          </w:tcPr>
          <w:p w:rsidR="001D5742" w:rsidRPr="00A92F48" w:rsidRDefault="001D5742" w:rsidP="007E1CA9">
            <w:pPr>
              <w:spacing w:after="0" w:line="240" w:lineRule="auto"/>
              <w:ind w:firstLineChars="300" w:firstLine="720"/>
              <w:rPr>
                <w:rFonts w:eastAsia="Times New Roman" w:cs="Times New Roman"/>
                <w:color w:val="000000"/>
                <w:szCs w:val="24"/>
              </w:rPr>
            </w:pPr>
            <w:r w:rsidRPr="00A92F48">
              <w:rPr>
                <w:rFonts w:eastAsia="Times New Roman" w:cs="Times New Roman"/>
                <w:color w:val="000000"/>
                <w:szCs w:val="24"/>
              </w:rPr>
              <w:t xml:space="preserve">2nd year </w:t>
            </w:r>
          </w:p>
        </w:tc>
        <w:tc>
          <w:tcPr>
            <w:tcW w:w="1243"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838</w:t>
            </w:r>
          </w:p>
        </w:tc>
        <w:tc>
          <w:tcPr>
            <w:tcW w:w="1443" w:type="dxa"/>
            <w:shd w:val="clear" w:color="auto" w:fill="auto"/>
            <w:noWrap/>
            <w:vAlign w:val="bottom"/>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39%</w:t>
            </w:r>
          </w:p>
        </w:tc>
        <w:tc>
          <w:tcPr>
            <w:tcW w:w="1776"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32</w:t>
            </w:r>
            <w:r>
              <w:rPr>
                <w:rFonts w:eastAsia="Times New Roman" w:cs="Times New Roman"/>
                <w:color w:val="000000"/>
                <w:szCs w:val="24"/>
              </w:rPr>
              <w:t>4</w:t>
            </w:r>
          </w:p>
        </w:tc>
      </w:tr>
      <w:tr w:rsidR="001D5742" w:rsidRPr="00A92F48" w:rsidTr="007E1CA9">
        <w:trPr>
          <w:trHeight w:val="300"/>
        </w:trPr>
        <w:tc>
          <w:tcPr>
            <w:tcW w:w="3132" w:type="dxa"/>
            <w:shd w:val="clear" w:color="auto" w:fill="auto"/>
            <w:noWrap/>
            <w:vAlign w:val="bottom"/>
            <w:hideMark/>
          </w:tcPr>
          <w:p w:rsidR="001D5742" w:rsidRPr="00A92F48" w:rsidRDefault="001D5742" w:rsidP="007E1CA9">
            <w:pPr>
              <w:spacing w:after="0" w:line="240" w:lineRule="auto"/>
              <w:ind w:firstLineChars="300" w:firstLine="720"/>
              <w:rPr>
                <w:rFonts w:eastAsia="Times New Roman" w:cs="Times New Roman"/>
                <w:color w:val="000000"/>
                <w:szCs w:val="24"/>
              </w:rPr>
            </w:pPr>
            <w:r w:rsidRPr="00A92F48">
              <w:rPr>
                <w:rFonts w:eastAsia="Times New Roman" w:cs="Times New Roman"/>
                <w:color w:val="000000"/>
                <w:szCs w:val="24"/>
              </w:rPr>
              <w:t xml:space="preserve">3rd year </w:t>
            </w:r>
          </w:p>
        </w:tc>
        <w:tc>
          <w:tcPr>
            <w:tcW w:w="1243"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838</w:t>
            </w:r>
          </w:p>
        </w:tc>
        <w:tc>
          <w:tcPr>
            <w:tcW w:w="1443" w:type="dxa"/>
            <w:shd w:val="clear" w:color="auto" w:fill="auto"/>
            <w:noWrap/>
            <w:vAlign w:val="bottom"/>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20%</w:t>
            </w:r>
          </w:p>
        </w:tc>
        <w:tc>
          <w:tcPr>
            <w:tcW w:w="1776" w:type="dxa"/>
            <w:shd w:val="clear" w:color="auto" w:fill="auto"/>
            <w:noWrap/>
            <w:vAlign w:val="bottom"/>
            <w:hideMark/>
          </w:tcPr>
          <w:p w:rsidR="001D5742" w:rsidRPr="00A92F48" w:rsidRDefault="001D5742" w:rsidP="007E1CA9">
            <w:pPr>
              <w:spacing w:after="0" w:line="240" w:lineRule="auto"/>
              <w:jc w:val="center"/>
              <w:rPr>
                <w:rFonts w:eastAsia="Times New Roman" w:cs="Times New Roman"/>
                <w:color w:val="000000"/>
                <w:szCs w:val="24"/>
              </w:rPr>
            </w:pPr>
            <w:r w:rsidRPr="00A92F48">
              <w:rPr>
                <w:rFonts w:eastAsia="Times New Roman" w:cs="Times New Roman"/>
                <w:color w:val="000000"/>
                <w:szCs w:val="24"/>
              </w:rPr>
              <w:t>16</w:t>
            </w:r>
            <w:r>
              <w:rPr>
                <w:rFonts w:eastAsia="Times New Roman" w:cs="Times New Roman"/>
                <w:color w:val="000000"/>
                <w:szCs w:val="24"/>
              </w:rPr>
              <w:t>5</w:t>
            </w:r>
          </w:p>
        </w:tc>
      </w:tr>
    </w:tbl>
    <w:p w:rsidR="001D5742" w:rsidRPr="000211C2" w:rsidRDefault="001D5742" w:rsidP="001D5742">
      <w:pPr>
        <w:spacing w:line="240" w:lineRule="auto"/>
        <w:rPr>
          <w:rFonts w:asciiTheme="majorBidi" w:eastAsiaTheme="majorBidi" w:hAnsiTheme="majorBidi" w:cstheme="majorBidi"/>
          <w:bCs/>
          <w:szCs w:val="24"/>
        </w:rPr>
      </w:pPr>
    </w:p>
    <w:p w:rsidR="001D5742" w:rsidRPr="00EC600E" w:rsidRDefault="001D5742" w:rsidP="001D5742">
      <w:pPr>
        <w:pStyle w:val="Heading2"/>
        <w:tabs>
          <w:tab w:val="clear" w:pos="360"/>
        </w:tabs>
        <w:ind w:left="360" w:hanging="360"/>
        <w:rPr>
          <w:rFonts w:asciiTheme="majorBidi" w:hAnsiTheme="majorBidi" w:cstheme="majorBidi"/>
        </w:rPr>
      </w:pPr>
      <w:bookmarkStart w:id="3" w:name="_Toc435091377"/>
      <w:bookmarkStart w:id="4" w:name="_Toc444597836"/>
      <w:r w:rsidRPr="00EC600E">
        <w:rPr>
          <w:rFonts w:asciiTheme="majorBidi" w:eastAsiaTheme="majorBidi" w:hAnsiTheme="majorBidi" w:cstheme="majorBidi"/>
        </w:rPr>
        <w:t>Describe the Procedures for the Collection of Information</w:t>
      </w:r>
      <w:bookmarkEnd w:id="3"/>
      <w:bookmarkEnd w:id="4"/>
      <w:r w:rsidRPr="00EC600E">
        <w:rPr>
          <w:rFonts w:asciiTheme="majorBidi" w:eastAsiaTheme="majorBidi" w:hAnsiTheme="majorBidi" w:cstheme="majorBidi"/>
        </w:rPr>
        <w:t xml:space="preserve"> </w:t>
      </w:r>
    </w:p>
    <w:p w:rsidR="001D5742" w:rsidRPr="000A49EE" w:rsidRDefault="001D5742" w:rsidP="001D5742">
      <w:pPr>
        <w:spacing w:line="240" w:lineRule="auto"/>
        <w:rPr>
          <w:rFonts w:asciiTheme="majorBidi" w:hAnsiTheme="majorBidi" w:cstheme="majorBidi"/>
          <w:b/>
          <w:bCs/>
          <w:szCs w:val="24"/>
        </w:rPr>
      </w:pPr>
      <w:r>
        <w:rPr>
          <w:rFonts w:asciiTheme="majorBidi" w:hAnsiTheme="majorBidi" w:cstheme="majorBidi"/>
          <w:b/>
          <w:bCs/>
          <w:szCs w:val="24"/>
        </w:rPr>
        <w:t>Describe s</w:t>
      </w:r>
      <w:r w:rsidRPr="00630508">
        <w:rPr>
          <w:rFonts w:asciiTheme="majorBidi" w:hAnsiTheme="majorBidi" w:cstheme="majorBidi"/>
          <w:b/>
          <w:bCs/>
          <w:szCs w:val="24"/>
        </w:rPr>
        <w:t xml:space="preserve">tatistical methodology for stratification and sample selection, estimation procedure, degree of accuracy needed for the purpose described in the justification, </w:t>
      </w:r>
      <w:r w:rsidRPr="00630508">
        <w:rPr>
          <w:rFonts w:asciiTheme="majorBidi" w:hAnsiTheme="majorBidi" w:cstheme="majorBidi"/>
          <w:b/>
          <w:bCs/>
          <w:szCs w:val="24"/>
        </w:rPr>
        <w:lastRenderedPageBreak/>
        <w:t>unusual problems requiring specialized sampling procedures, and any use of periodic (less frequent than annual) data</w:t>
      </w:r>
      <w:r>
        <w:rPr>
          <w:rFonts w:asciiTheme="majorBidi" w:hAnsiTheme="majorBidi" w:cstheme="majorBidi"/>
          <w:b/>
          <w:bCs/>
          <w:szCs w:val="24"/>
        </w:rPr>
        <w:t>-</w:t>
      </w:r>
      <w:r w:rsidRPr="00630508">
        <w:rPr>
          <w:rFonts w:asciiTheme="majorBidi" w:hAnsiTheme="majorBidi" w:cstheme="majorBidi"/>
          <w:b/>
          <w:bCs/>
          <w:szCs w:val="24"/>
        </w:rPr>
        <w:t>collection cycles to reduce burden.</w:t>
      </w:r>
    </w:p>
    <w:p w:rsidR="001D5742" w:rsidRDefault="001D5742" w:rsidP="001D5742">
      <w:pPr>
        <w:spacing w:after="0" w:line="240" w:lineRule="auto"/>
      </w:pPr>
      <w:r>
        <w:rPr>
          <w:rFonts w:eastAsia="Times New Roman" w:cs="Times New Roman"/>
          <w:szCs w:val="24"/>
        </w:rPr>
        <w:t xml:space="preserve">As noted in response to B.1, no sampling strategy is used in this data collection. </w:t>
      </w:r>
      <w:r>
        <w:t>The estimates are intended to be generalizable to the initiative participants as a whole.</w:t>
      </w:r>
      <w:r>
        <w:rPr>
          <w:rFonts w:eastAsia="Times New Roman" w:cs="Times New Roman"/>
          <w:szCs w:val="24"/>
        </w:rPr>
        <w:t xml:space="preserve"> One purpose of the collection is to monitor the extent to which the initiative is reaching its target population of disadvantaged or under-represented entrepreneurs. Given the high response rate at intake, no statistical procedures are needed to estimate characteristics for the population, such as the proportion that are located in a low or moderate income area. A second purpose is to estimate business outcomes after participation in the initiative. </w:t>
      </w:r>
      <w:r>
        <w:t>If the response rate falls below the 80 percent threshold included in the Office of Management and Budget (OMB) guidance, nonresponse bias analysis will be conducted and reported. Business information collected in the intake survey (e.g. industry, business size, location, race/ethnicity of owner), which serves as the survey frame for the follow-up surveys, will be used to measure differences in the respondent and non-respondent population. Analysis of differences is conducted using standard statistical tests such as the Student-T and Chi-square.</w:t>
      </w:r>
    </w:p>
    <w:p w:rsidR="001D5742" w:rsidRDefault="001D5742" w:rsidP="001D5742">
      <w:pPr>
        <w:spacing w:after="0" w:line="240" w:lineRule="auto"/>
      </w:pPr>
    </w:p>
    <w:p w:rsidR="001D5742" w:rsidRPr="00B13C5B" w:rsidRDefault="001D5742" w:rsidP="001D5742">
      <w:pPr>
        <w:spacing w:after="0" w:line="240" w:lineRule="auto"/>
        <w:rPr>
          <w:rFonts w:cs="Times New Roman"/>
          <w:szCs w:val="24"/>
        </w:rPr>
      </w:pPr>
      <w:r w:rsidRPr="00493AB8">
        <w:rPr>
          <w:rFonts w:cs="Times New Roman"/>
          <w:szCs w:val="24"/>
        </w:rPr>
        <w:t xml:space="preserve">The </w:t>
      </w:r>
      <w:r>
        <w:rPr>
          <w:rFonts w:cs="Times New Roman"/>
          <w:szCs w:val="24"/>
        </w:rPr>
        <w:t xml:space="preserve">Student-T test will also be used to </w:t>
      </w:r>
      <w:r w:rsidRPr="0050084F">
        <w:rPr>
          <w:rFonts w:cs="Times New Roman"/>
          <w:szCs w:val="24"/>
        </w:rPr>
        <w:t xml:space="preserve">measure </w:t>
      </w:r>
      <w:r>
        <w:rPr>
          <w:rFonts w:cs="Times New Roman"/>
          <w:szCs w:val="24"/>
        </w:rPr>
        <w:t>whether t</w:t>
      </w:r>
      <w:r w:rsidRPr="00493AB8">
        <w:rPr>
          <w:rFonts w:cs="Times New Roman"/>
          <w:szCs w:val="24"/>
        </w:rPr>
        <w:t>he changes over time in key small business outcomes (e.g. small business revenue or employment)</w:t>
      </w:r>
      <w:r>
        <w:rPr>
          <w:rFonts w:cs="Times New Roman"/>
          <w:szCs w:val="24"/>
        </w:rPr>
        <w:t xml:space="preserve"> are statistically significant and in the hypothesized direction</w:t>
      </w:r>
      <w:r w:rsidRPr="00493AB8">
        <w:rPr>
          <w:rFonts w:cs="Times New Roman"/>
          <w:szCs w:val="24"/>
        </w:rPr>
        <w:t xml:space="preserve">. </w:t>
      </w:r>
      <w:r>
        <w:rPr>
          <w:rFonts w:cs="Times New Roman"/>
          <w:szCs w:val="24"/>
        </w:rPr>
        <w:t>The analysis may also use multivariate regression techniques to assess change using a pooled sample of several years of data, particularly given low response by year three of the survey. The multivariate regression will</w:t>
      </w:r>
      <w:r w:rsidRPr="00493AB8">
        <w:rPr>
          <w:rFonts w:cs="Times New Roman"/>
          <w:szCs w:val="24"/>
        </w:rPr>
        <w:t xml:space="preserve"> </w:t>
      </w:r>
      <w:r>
        <w:rPr>
          <w:rFonts w:cs="Times New Roman"/>
          <w:szCs w:val="24"/>
        </w:rPr>
        <w:t>control for factors</w:t>
      </w:r>
      <w:r w:rsidRPr="00493AB8">
        <w:rPr>
          <w:rFonts w:cs="Times New Roman"/>
          <w:szCs w:val="24"/>
        </w:rPr>
        <w:t xml:space="preserve"> </w:t>
      </w:r>
      <w:r>
        <w:rPr>
          <w:rFonts w:cs="Times New Roman"/>
          <w:szCs w:val="24"/>
        </w:rPr>
        <w:t>such as the cohort,</w:t>
      </w:r>
      <w:r w:rsidRPr="00493AB8">
        <w:rPr>
          <w:rFonts w:cs="Times New Roman"/>
          <w:szCs w:val="24"/>
        </w:rPr>
        <w:t xml:space="preserve"> time period, location, time-variant community economic characteristics (e.g. local unemployment rates), and time-variant small business characteristics</w:t>
      </w:r>
      <w:r>
        <w:rPr>
          <w:rFonts w:cs="Times New Roman"/>
          <w:szCs w:val="24"/>
        </w:rPr>
        <w:t xml:space="preserve"> (e.g. industry). </w:t>
      </w:r>
      <w:r w:rsidRPr="00493AB8">
        <w:rPr>
          <w:rFonts w:cs="Times New Roman"/>
          <w:szCs w:val="24"/>
        </w:rPr>
        <w:t xml:space="preserve">Estimated standard errors </w:t>
      </w:r>
      <w:r>
        <w:rPr>
          <w:rFonts w:cs="Times New Roman"/>
          <w:szCs w:val="24"/>
        </w:rPr>
        <w:t>will be</w:t>
      </w:r>
      <w:r w:rsidRPr="00493AB8">
        <w:rPr>
          <w:rFonts w:cs="Times New Roman"/>
          <w:szCs w:val="24"/>
        </w:rPr>
        <w:t xml:space="preserve"> adjusted appropriately for grouping of data by site. Standard inferential statistics will be employed to determine if estimated differences are statistically significant, using a standard threshold of a 5 percent significance level to reject the null hypothesis of no difference. </w:t>
      </w:r>
    </w:p>
    <w:p w:rsidR="001D5742" w:rsidRDefault="001D5742" w:rsidP="001D5742">
      <w:pPr>
        <w:spacing w:after="0" w:line="240" w:lineRule="auto"/>
      </w:pPr>
    </w:p>
    <w:p w:rsidR="001D5742" w:rsidRPr="00833D93" w:rsidRDefault="001D5742" w:rsidP="001D5742">
      <w:pPr>
        <w:pStyle w:val="Heading2"/>
        <w:tabs>
          <w:tab w:val="clear" w:pos="360"/>
        </w:tabs>
        <w:ind w:left="360" w:hanging="360"/>
        <w:rPr>
          <w:rFonts w:asciiTheme="majorBidi" w:eastAsiaTheme="majorBidi" w:hAnsiTheme="majorBidi" w:cstheme="majorBidi"/>
          <w:bCs/>
        </w:rPr>
      </w:pPr>
      <w:bookmarkStart w:id="5" w:name="_Toc435091378"/>
      <w:bookmarkStart w:id="6" w:name="_Toc444597837"/>
      <w:r w:rsidRPr="004F5301">
        <w:rPr>
          <w:rFonts w:asciiTheme="majorBidi" w:eastAsiaTheme="majorBidi" w:hAnsiTheme="majorBidi" w:cstheme="majorBidi"/>
        </w:rPr>
        <w:t>Describe Methods to Maximize Response Rates and Methods to Deal with Issues of Nonresponse</w:t>
      </w:r>
      <w:bookmarkEnd w:id="5"/>
      <w:r>
        <w:rPr>
          <w:rFonts w:asciiTheme="majorBidi" w:eastAsiaTheme="majorBidi" w:hAnsiTheme="majorBidi" w:cstheme="majorBidi"/>
          <w:b w:val="0"/>
        </w:rPr>
        <w:t>.</w:t>
      </w:r>
      <w:bookmarkEnd w:id="6"/>
      <w:r>
        <w:rPr>
          <w:rFonts w:asciiTheme="majorBidi" w:eastAsiaTheme="majorBidi" w:hAnsiTheme="majorBidi" w:cstheme="majorBidi"/>
          <w:b w:val="0"/>
        </w:rPr>
        <w:t xml:space="preserve"> </w:t>
      </w:r>
    </w:p>
    <w:p w:rsidR="001D5742" w:rsidRPr="00833D93" w:rsidRDefault="001D5742" w:rsidP="001D5742">
      <w:pPr>
        <w:spacing w:line="240" w:lineRule="auto"/>
        <w:ind w:left="90"/>
        <w:rPr>
          <w:rFonts w:asciiTheme="majorBidi" w:eastAsiaTheme="majorBidi" w:hAnsiTheme="majorBidi" w:cstheme="majorBidi"/>
          <w:b/>
          <w:bCs/>
        </w:rPr>
      </w:pPr>
      <w:r w:rsidRPr="00833D93">
        <w:rPr>
          <w:b/>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D5742" w:rsidRDefault="001D5742" w:rsidP="001D5742">
      <w:pPr>
        <w:spacing w:after="0" w:line="240" w:lineRule="auto"/>
      </w:pPr>
      <w:r w:rsidRPr="00EA7577">
        <w:t>To maximize the survey response rate and minimize respondent burden, the following data</w:t>
      </w:r>
      <w:r>
        <w:t>-</w:t>
      </w:r>
      <w:r w:rsidRPr="00EA7577">
        <w:t>collection techniques will be used</w:t>
      </w:r>
      <w:r>
        <w:t xml:space="preserve"> (see </w:t>
      </w:r>
      <w:r w:rsidRPr="00AD5CFE">
        <w:t xml:space="preserve">appendices </w:t>
      </w:r>
      <w:r>
        <w:t>C-1 through C-9):</w:t>
      </w:r>
    </w:p>
    <w:p w:rsidR="001D5742" w:rsidRDefault="001D5742" w:rsidP="001D5742">
      <w:pPr>
        <w:spacing w:after="0" w:line="240" w:lineRule="auto"/>
      </w:pPr>
    </w:p>
    <w:p w:rsidR="001D5742" w:rsidRDefault="001D5742" w:rsidP="001D5742">
      <w:pPr>
        <w:pStyle w:val="ListParagraph"/>
        <w:numPr>
          <w:ilvl w:val="0"/>
          <w:numId w:val="2"/>
        </w:numPr>
        <w:spacing w:line="240" w:lineRule="auto"/>
      </w:pPr>
      <w:r>
        <w:t>Each of the three s</w:t>
      </w:r>
      <w:r w:rsidRPr="00D26B89">
        <w:t xml:space="preserve">urveys </w:t>
      </w:r>
      <w:r>
        <w:t xml:space="preserve">(intake, feedback and follow-up) </w:t>
      </w:r>
      <w:r w:rsidRPr="00D26B89">
        <w:t xml:space="preserve">will be </w:t>
      </w:r>
      <w:r>
        <w:t>sent from the official that is most likely to elicit a response from the participant. The intake is sent by the instructor with whom the participant will spend the next 7-months. The feedback and follow-up forms are sent from the</w:t>
      </w:r>
      <w:r w:rsidRPr="00CA5226">
        <w:rPr>
          <w:rFonts w:eastAsia="Times New Roman" w:cs="Times New Roman"/>
          <w:color w:val="000000" w:themeColor="text1"/>
          <w:szCs w:val="24"/>
        </w:rPr>
        <w:t xml:space="preserve"> </w:t>
      </w:r>
      <w:r>
        <w:rPr>
          <w:rFonts w:eastAsia="Times New Roman" w:cs="Times New Roman"/>
          <w:color w:val="000000" w:themeColor="text1"/>
          <w:szCs w:val="24"/>
        </w:rPr>
        <w:t>Emerging Leaders</w:t>
      </w:r>
      <w:r w:rsidRPr="092EE55A">
        <w:rPr>
          <w:rFonts w:eastAsia="Times New Roman" w:cs="Times New Roman"/>
          <w:color w:val="000000" w:themeColor="text1"/>
          <w:szCs w:val="24"/>
        </w:rPr>
        <w:t xml:space="preserve"> </w:t>
      </w:r>
      <w:r>
        <w:rPr>
          <w:rFonts w:eastAsia="Times New Roman" w:cs="Times New Roman"/>
          <w:color w:val="000000" w:themeColor="text1"/>
          <w:szCs w:val="24"/>
        </w:rPr>
        <w:t>administrators (i.e. the contract awardee)</w:t>
      </w:r>
      <w:r>
        <w:t xml:space="preserve"> so that participants can fully and honestly express their satisfaction or dissatisfaction without concern for offending the instructor. </w:t>
      </w:r>
      <w:r w:rsidRPr="00F609AA">
        <w:t>B</w:t>
      </w:r>
      <w:r>
        <w:t>ecause</w:t>
      </w:r>
      <w:r w:rsidRPr="00D26B89">
        <w:t xml:space="preserve"> the </w:t>
      </w:r>
      <w:r>
        <w:t>follow-up surveys have historically had a lower response rate, they will also be preceded by an invitation e-mail</w:t>
      </w:r>
      <w:r w:rsidRPr="00FE7751">
        <w:t xml:space="preserve">. </w:t>
      </w:r>
      <w:r>
        <w:t xml:space="preserve">The invitation will be sent </w:t>
      </w:r>
      <w:r w:rsidRPr="008A45C6">
        <w:t>from SBA an</w:t>
      </w:r>
      <w:r>
        <w:t>d the administrators</w:t>
      </w:r>
      <w:r w:rsidRPr="00D26B89">
        <w:t xml:space="preserve">. </w:t>
      </w:r>
      <w:r>
        <w:t xml:space="preserve">Including </w:t>
      </w:r>
      <w:r>
        <w:lastRenderedPageBreak/>
        <w:t xml:space="preserve">the federal sponsor </w:t>
      </w:r>
      <w:r w:rsidRPr="00D26B89">
        <w:t xml:space="preserve">will help legitimize the </w:t>
      </w:r>
      <w:r>
        <w:t xml:space="preserve">multi-year follow-up activities </w:t>
      </w:r>
      <w:r w:rsidRPr="00D26B89">
        <w:t xml:space="preserve">and highlight </w:t>
      </w:r>
      <w:r>
        <w:t>their</w:t>
      </w:r>
      <w:r w:rsidRPr="00D26B89">
        <w:t xml:space="preserve"> importance</w:t>
      </w:r>
      <w:r w:rsidRPr="00F609AA">
        <w:t>.</w:t>
      </w:r>
      <w:r>
        <w:t xml:space="preserve"> </w:t>
      </w:r>
    </w:p>
    <w:p w:rsidR="001D5742" w:rsidRPr="00FE7751" w:rsidRDefault="001D5742" w:rsidP="001D5742">
      <w:pPr>
        <w:pStyle w:val="ListParagraph"/>
        <w:numPr>
          <w:ilvl w:val="0"/>
          <w:numId w:val="2"/>
        </w:numPr>
        <w:spacing w:line="240" w:lineRule="auto"/>
      </w:pPr>
      <w:r>
        <w:t xml:space="preserve">In order to encourage participants to respond, survey </w:t>
      </w:r>
      <w:r w:rsidRPr="00FE7751">
        <w:t>invitation</w:t>
      </w:r>
      <w:r>
        <w:t>s</w:t>
      </w:r>
      <w:r w:rsidRPr="00FE7751">
        <w:t xml:space="preserve"> </w:t>
      </w:r>
      <w:r>
        <w:t xml:space="preserve">and introductions will </w:t>
      </w:r>
      <w:r w:rsidRPr="00FE7751">
        <w:t>outline</w:t>
      </w:r>
      <w:r>
        <w:t xml:space="preserve"> the</w:t>
      </w:r>
      <w:r w:rsidRPr="00FE7751">
        <w:t xml:space="preserve"> potential benefits </w:t>
      </w:r>
      <w:r>
        <w:t xml:space="preserve">the survey offers to businesses. For example, the intake survey describes that these data are collected at the </w:t>
      </w:r>
      <w:r w:rsidRPr="005F3AE3">
        <w:rPr>
          <w:rFonts w:cs="Times New Roman"/>
          <w:szCs w:val="24"/>
        </w:rPr>
        <w:t xml:space="preserve">beginning of the curriculum in order </w:t>
      </w:r>
      <w:r>
        <w:rPr>
          <w:rFonts w:cs="Times New Roman"/>
          <w:szCs w:val="24"/>
        </w:rPr>
        <w:t xml:space="preserve">for the instructor </w:t>
      </w:r>
      <w:r w:rsidRPr="005F3AE3">
        <w:rPr>
          <w:rFonts w:cs="Times New Roman"/>
          <w:szCs w:val="24"/>
        </w:rPr>
        <w:t xml:space="preserve">to help identify specific areas of improvement for </w:t>
      </w:r>
      <w:r>
        <w:rPr>
          <w:rFonts w:cs="Times New Roman"/>
          <w:szCs w:val="24"/>
        </w:rPr>
        <w:t>the</w:t>
      </w:r>
      <w:r w:rsidRPr="005F3AE3">
        <w:rPr>
          <w:rFonts w:cs="Times New Roman"/>
          <w:szCs w:val="24"/>
        </w:rPr>
        <w:t xml:space="preserve"> business</w:t>
      </w:r>
      <w:r>
        <w:rPr>
          <w:rFonts w:cs="Times New Roman"/>
          <w:szCs w:val="24"/>
        </w:rPr>
        <w:t>. The follow-up survey</w:t>
      </w:r>
      <w:r w:rsidRPr="00FE7751">
        <w:t xml:space="preserve"> provides a link to the aggregate survey results </w:t>
      </w:r>
      <w:r>
        <w:t xml:space="preserve">from </w:t>
      </w:r>
      <w:r w:rsidRPr="00FE7751">
        <w:t>the previous year</w:t>
      </w:r>
      <w:r>
        <w:t xml:space="preserve"> and a link to the respondent’s survey answers from the previous year to promote self-evaluation, growth, and development</w:t>
      </w:r>
      <w:r w:rsidRPr="00FE7751">
        <w:t>.</w:t>
      </w:r>
    </w:p>
    <w:p w:rsidR="001D5742" w:rsidRDefault="001D5742" w:rsidP="001D5742">
      <w:pPr>
        <w:pStyle w:val="ListParagraph"/>
        <w:numPr>
          <w:ilvl w:val="0"/>
          <w:numId w:val="2"/>
        </w:numPr>
        <w:spacing w:line="240" w:lineRule="auto"/>
      </w:pPr>
      <w:r>
        <w:t>R</w:t>
      </w:r>
      <w:r w:rsidRPr="00103D75">
        <w:t>eminder e-mails</w:t>
      </w:r>
      <w:r>
        <w:t xml:space="preserve"> are used to address nonresponse due to bad timing for the respondent. The survey system will send automatic reminders over a period of approximately one month to</w:t>
      </w:r>
      <w:r w:rsidRPr="00103D75">
        <w:t xml:space="preserve"> encourag</w:t>
      </w:r>
      <w:r>
        <w:t>e</w:t>
      </w:r>
      <w:r w:rsidRPr="00103D75">
        <w:t xml:space="preserve"> potential survey respondents to complete the survey before the deadline. The reminders will be sent at different times of the day to increase the probability of reaching respondents at an opportune time.</w:t>
      </w:r>
      <w:r>
        <w:t xml:space="preserve"> A reminder email is sent from the SBA District Office to participants regarding the intake survey. This occurs as a follow-up to the instructor’s email and helps emphasize the surveys importance for the program funder.</w:t>
      </w:r>
    </w:p>
    <w:p w:rsidR="001D5742" w:rsidRDefault="001D5742" w:rsidP="001D5742">
      <w:pPr>
        <w:pStyle w:val="ListParagraph"/>
        <w:numPr>
          <w:ilvl w:val="0"/>
          <w:numId w:val="2"/>
        </w:numPr>
        <w:spacing w:line="240" w:lineRule="auto"/>
      </w:pPr>
      <w:r>
        <w:t xml:space="preserve">To decrease nonresponse due to issues with email addresses, the follow-up invitation email requests that the participant add the survey software address to his/her safe list. It also requests from the participant the best email to deliver the survey if the one being used is not preferred. If an email invitation “bounces”, the program administrators will work to </w:t>
      </w:r>
      <w:r w:rsidRPr="00103D75">
        <w:t xml:space="preserve">replace </w:t>
      </w:r>
      <w:r>
        <w:t xml:space="preserve">it using other contact information requested at intake and each year of the survey. </w:t>
      </w:r>
    </w:p>
    <w:p w:rsidR="001D5742" w:rsidRDefault="001D5742" w:rsidP="001D5742">
      <w:pPr>
        <w:pStyle w:val="ListParagraph"/>
        <w:numPr>
          <w:ilvl w:val="0"/>
          <w:numId w:val="2"/>
        </w:numPr>
        <w:spacing w:line="240" w:lineRule="auto"/>
      </w:pPr>
      <w:r w:rsidRPr="00D26B89">
        <w:t>The surveys are designed to use skip patterns and simple, often multiple-choice answer options to facilitate the ease with which the</w:t>
      </w:r>
      <w:r>
        <w:t>y</w:t>
      </w:r>
      <w:r w:rsidRPr="00D26B89">
        <w:t xml:space="preserve"> can be completed. Surveys can be halted and resumed by participants to provide greater flexibility</w:t>
      </w:r>
      <w:r>
        <w:t>, and participants are free to skip question(s) that they may not know how to answer or do not want to answer</w:t>
      </w:r>
      <w:r w:rsidRPr="00D26B89">
        <w:t>.</w:t>
      </w:r>
      <w:r>
        <w:t xml:space="preserve"> The invitations alert the participant to what information he or should gather when starting the survey. All these efforts are used to decrease the burden on the participant and increase the response rate.</w:t>
      </w:r>
    </w:p>
    <w:p w:rsidR="001D5742" w:rsidRDefault="001D5742" w:rsidP="001D5742">
      <w:pPr>
        <w:pStyle w:val="ListParagraph"/>
        <w:spacing w:line="240" w:lineRule="auto"/>
      </w:pPr>
    </w:p>
    <w:p w:rsidR="001D5742" w:rsidRPr="0002577D" w:rsidRDefault="001D5742" w:rsidP="001D5742">
      <w:pPr>
        <w:pStyle w:val="Heading2"/>
        <w:tabs>
          <w:tab w:val="clear" w:pos="360"/>
        </w:tabs>
        <w:ind w:left="360" w:hanging="360"/>
        <w:rPr>
          <w:rFonts w:asciiTheme="majorBidi" w:eastAsiaTheme="majorBidi" w:hAnsiTheme="majorBidi" w:cstheme="majorBidi"/>
          <w:bCs/>
        </w:rPr>
      </w:pPr>
      <w:bookmarkStart w:id="7" w:name="_Toc435091379"/>
      <w:bookmarkStart w:id="8" w:name="_Toc444597838"/>
      <w:r w:rsidRPr="004F5301">
        <w:rPr>
          <w:rFonts w:asciiTheme="majorBidi" w:eastAsiaTheme="majorBidi" w:hAnsiTheme="majorBidi" w:cstheme="majorBidi"/>
        </w:rPr>
        <w:t>Describe Any Tests of Procedures of Methods to Be Undertaken</w:t>
      </w:r>
      <w:bookmarkEnd w:id="7"/>
      <w:r w:rsidRPr="004F5301">
        <w:rPr>
          <w:rFonts w:asciiTheme="majorBidi" w:eastAsiaTheme="majorBidi" w:hAnsiTheme="majorBidi" w:cstheme="majorBidi"/>
        </w:rPr>
        <w:t>.</w:t>
      </w:r>
      <w:bookmarkEnd w:id="8"/>
      <w:r w:rsidRPr="004F5301">
        <w:rPr>
          <w:rFonts w:asciiTheme="majorBidi" w:eastAsiaTheme="majorBidi" w:hAnsiTheme="majorBidi" w:cstheme="majorBidi"/>
        </w:rPr>
        <w:t xml:space="preserve"> </w:t>
      </w:r>
    </w:p>
    <w:p w:rsidR="001D5742" w:rsidRPr="0002577D" w:rsidRDefault="001D5742" w:rsidP="001D5742">
      <w:pPr>
        <w:spacing w:line="240" w:lineRule="auto"/>
        <w:rPr>
          <w:b/>
        </w:rPr>
      </w:pPr>
      <w:r w:rsidRPr="0002577D">
        <w:rPr>
          <w:b/>
        </w:rPr>
        <w:t>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1D5742" w:rsidRDefault="001D5742" w:rsidP="001D5742">
      <w:pPr>
        <w:spacing w:line="240" w:lineRule="auto"/>
        <w:rPr>
          <w:rFonts w:asciiTheme="majorBidi" w:eastAsiaTheme="majorBidi" w:hAnsiTheme="majorBidi" w:cstheme="majorBidi"/>
          <w:szCs w:val="24"/>
        </w:rPr>
      </w:pPr>
      <w:r w:rsidRPr="00F81B2F">
        <w:rPr>
          <w:rFonts w:asciiTheme="majorBidi" w:eastAsiaTheme="majorBidi" w:hAnsiTheme="majorBidi" w:cstheme="majorBidi"/>
          <w:szCs w:val="24"/>
        </w:rPr>
        <w:t xml:space="preserve">The </w:t>
      </w:r>
      <w:r>
        <w:rPr>
          <w:rFonts w:asciiTheme="majorBidi" w:eastAsiaTheme="majorBidi" w:hAnsiTheme="majorBidi" w:cstheme="majorBidi"/>
          <w:szCs w:val="24"/>
        </w:rPr>
        <w:t>follow-up</w:t>
      </w:r>
      <w:r w:rsidRPr="00F81B2F">
        <w:rPr>
          <w:rFonts w:asciiTheme="majorBidi" w:eastAsiaTheme="majorBidi" w:hAnsiTheme="majorBidi" w:cstheme="majorBidi"/>
          <w:szCs w:val="24"/>
        </w:rPr>
        <w:t xml:space="preserve"> survey</w:t>
      </w:r>
      <w:r>
        <w:rPr>
          <w:rFonts w:asciiTheme="majorBidi" w:eastAsiaTheme="majorBidi" w:hAnsiTheme="majorBidi" w:cstheme="majorBidi"/>
          <w:szCs w:val="24"/>
        </w:rPr>
        <w:t>, which is the most extensive,</w:t>
      </w:r>
      <w:r w:rsidRPr="00F81B2F">
        <w:rPr>
          <w:rFonts w:asciiTheme="majorBidi" w:eastAsiaTheme="majorBidi" w:hAnsiTheme="majorBidi" w:cstheme="majorBidi"/>
          <w:szCs w:val="24"/>
        </w:rPr>
        <w:t xml:space="preserve"> w</w:t>
      </w:r>
      <w:r>
        <w:rPr>
          <w:rFonts w:asciiTheme="majorBidi" w:eastAsiaTheme="majorBidi" w:hAnsiTheme="majorBidi" w:cstheme="majorBidi"/>
          <w:szCs w:val="24"/>
        </w:rPr>
        <w:t>as</w:t>
      </w:r>
      <w:r w:rsidRPr="00F81B2F">
        <w:rPr>
          <w:rFonts w:asciiTheme="majorBidi" w:eastAsiaTheme="majorBidi" w:hAnsiTheme="majorBidi" w:cstheme="majorBidi"/>
          <w:szCs w:val="24"/>
        </w:rPr>
        <w:t xml:space="preserve"> pre</w:t>
      </w:r>
      <w:r>
        <w:rPr>
          <w:rFonts w:asciiTheme="majorBidi" w:eastAsiaTheme="majorBidi" w:hAnsiTheme="majorBidi" w:cstheme="majorBidi"/>
          <w:szCs w:val="24"/>
        </w:rPr>
        <w:t>-</w:t>
      </w:r>
      <w:r w:rsidRPr="00F81B2F">
        <w:rPr>
          <w:rFonts w:asciiTheme="majorBidi" w:eastAsiaTheme="majorBidi" w:hAnsiTheme="majorBidi" w:cstheme="majorBidi"/>
          <w:szCs w:val="24"/>
        </w:rPr>
        <w:t xml:space="preserve">tested </w:t>
      </w:r>
      <w:r>
        <w:rPr>
          <w:rFonts w:asciiTheme="majorBidi" w:eastAsiaTheme="majorBidi" w:hAnsiTheme="majorBidi" w:cstheme="majorBidi"/>
          <w:szCs w:val="24"/>
        </w:rPr>
        <w:t xml:space="preserve">with three small business owners </w:t>
      </w:r>
      <w:r w:rsidRPr="00F81B2F">
        <w:rPr>
          <w:rFonts w:asciiTheme="majorBidi" w:eastAsiaTheme="majorBidi" w:hAnsiTheme="majorBidi" w:cstheme="majorBidi"/>
          <w:szCs w:val="24"/>
        </w:rPr>
        <w:t xml:space="preserve">to ensure reliability, minimize measurement error, and minimize respondent burden. </w:t>
      </w:r>
      <w:r w:rsidRPr="00D472E2">
        <w:rPr>
          <w:rFonts w:asciiTheme="majorBidi" w:eastAsiaTheme="majorBidi" w:hAnsiTheme="majorBidi" w:cstheme="majorBidi"/>
          <w:szCs w:val="24"/>
        </w:rPr>
        <w:t xml:space="preserve">First, it was administered to two </w:t>
      </w:r>
      <w:r>
        <w:rPr>
          <w:rFonts w:asciiTheme="majorBidi" w:eastAsiaTheme="majorBidi" w:hAnsiTheme="majorBidi" w:cstheme="majorBidi"/>
          <w:szCs w:val="24"/>
        </w:rPr>
        <w:t>EL</w:t>
      </w:r>
      <w:r w:rsidRPr="00D472E2">
        <w:rPr>
          <w:rFonts w:asciiTheme="majorBidi" w:eastAsiaTheme="majorBidi" w:hAnsiTheme="majorBidi" w:cstheme="majorBidi"/>
          <w:szCs w:val="24"/>
        </w:rPr>
        <w:t xml:space="preserve"> </w:t>
      </w:r>
      <w:r>
        <w:rPr>
          <w:rFonts w:asciiTheme="majorBidi" w:eastAsiaTheme="majorBidi" w:hAnsiTheme="majorBidi" w:cstheme="majorBidi"/>
          <w:szCs w:val="24"/>
        </w:rPr>
        <w:t>participants</w:t>
      </w:r>
      <w:r w:rsidRPr="00D472E2">
        <w:rPr>
          <w:rFonts w:asciiTheme="majorBidi" w:eastAsiaTheme="majorBidi" w:hAnsiTheme="majorBidi" w:cstheme="majorBidi"/>
          <w:szCs w:val="24"/>
        </w:rPr>
        <w:t xml:space="preserve"> using a cognitive interviewing method. Respondents were asked to verbalize their thought process by “thinking out loud” with a researcher on the phone while the respondent completed the survey online. This approach utilized follow-up probes to determine whether respondents were having difficulty understanding the meaning of the questions or any words, problems remembering the information needed to answer questions, issues with unnecessary questions or response options, or trouble with missing </w:t>
      </w:r>
      <w:r w:rsidRPr="00D472E2">
        <w:rPr>
          <w:rFonts w:asciiTheme="majorBidi" w:eastAsiaTheme="majorBidi" w:hAnsiTheme="majorBidi" w:cstheme="majorBidi"/>
          <w:szCs w:val="24"/>
        </w:rPr>
        <w:lastRenderedPageBreak/>
        <w:t xml:space="preserve">questions or response categories. The items that were reported by the respondents or were noted by the researcher as problematic, difficult, or time-consuming to answer were further discussed to determine the reasons for the difficulties. </w:t>
      </w:r>
      <w:r>
        <w:rPr>
          <w:rFonts w:asciiTheme="majorBidi" w:eastAsiaTheme="majorBidi" w:hAnsiTheme="majorBidi" w:cstheme="majorBidi"/>
          <w:szCs w:val="24"/>
        </w:rPr>
        <w:t>Second, the survey was reviewed by an additional EL participant who provided written feedback on the instrument and any areas of confusion or doubt he experienced.</w:t>
      </w:r>
    </w:p>
    <w:p w:rsidR="001D5742" w:rsidRPr="00326EB8" w:rsidRDefault="001D5742" w:rsidP="001D5742">
      <w:pPr>
        <w:spacing w:line="240" w:lineRule="auto"/>
        <w:rPr>
          <w:rFonts w:asciiTheme="majorBidi" w:eastAsiaTheme="majorBidi" w:hAnsiTheme="majorBidi" w:cstheme="majorBidi"/>
          <w:szCs w:val="24"/>
        </w:rPr>
      </w:pPr>
      <w:r w:rsidRPr="00D26B89">
        <w:rPr>
          <w:rFonts w:asciiTheme="majorBidi" w:eastAsiaTheme="majorBidi" w:hAnsiTheme="majorBidi" w:cstheme="majorBidi"/>
          <w:szCs w:val="24"/>
        </w:rPr>
        <w:t xml:space="preserve">Pretests </w:t>
      </w:r>
      <w:r>
        <w:rPr>
          <w:rFonts w:asciiTheme="majorBidi" w:eastAsiaTheme="majorBidi" w:hAnsiTheme="majorBidi" w:cstheme="majorBidi"/>
          <w:szCs w:val="24"/>
        </w:rPr>
        <w:t>with</w:t>
      </w:r>
      <w:r w:rsidRPr="00D26B89">
        <w:rPr>
          <w:rFonts w:asciiTheme="majorBidi" w:eastAsiaTheme="majorBidi" w:hAnsiTheme="majorBidi" w:cstheme="majorBidi"/>
          <w:szCs w:val="24"/>
        </w:rPr>
        <w:t xml:space="preserve"> </w:t>
      </w:r>
      <w:r>
        <w:rPr>
          <w:rFonts w:asciiTheme="majorBidi" w:eastAsiaTheme="majorBidi" w:hAnsiTheme="majorBidi" w:cstheme="majorBidi"/>
          <w:szCs w:val="24"/>
        </w:rPr>
        <w:t xml:space="preserve">three </w:t>
      </w:r>
      <w:r w:rsidRPr="00D26B89">
        <w:rPr>
          <w:rFonts w:asciiTheme="majorBidi" w:eastAsiaTheme="majorBidi" w:hAnsiTheme="majorBidi" w:cstheme="majorBidi"/>
          <w:szCs w:val="24"/>
        </w:rPr>
        <w:t>internal research staff were completed to provide a burden estimate for the final instruments. Staff were instructed</w:t>
      </w:r>
      <w:r>
        <w:rPr>
          <w:rFonts w:asciiTheme="majorBidi" w:eastAsiaTheme="majorBidi" w:hAnsiTheme="majorBidi" w:cstheme="majorBidi"/>
          <w:szCs w:val="24"/>
        </w:rPr>
        <w:t xml:space="preserve"> to</w:t>
      </w:r>
      <w:r w:rsidRPr="00D26B89">
        <w:rPr>
          <w:rFonts w:asciiTheme="majorBidi" w:eastAsiaTheme="majorBidi" w:hAnsiTheme="majorBidi" w:cstheme="majorBidi"/>
          <w:szCs w:val="24"/>
        </w:rPr>
        <w:t xml:space="preserve"> </w:t>
      </w:r>
      <w:r>
        <w:rPr>
          <w:rFonts w:asciiTheme="majorBidi" w:eastAsiaTheme="majorBidi" w:hAnsiTheme="majorBidi" w:cstheme="majorBidi"/>
          <w:szCs w:val="24"/>
        </w:rPr>
        <w:t xml:space="preserve">assign themselves a fictional business identity and </w:t>
      </w:r>
      <w:r w:rsidRPr="00D26B89">
        <w:rPr>
          <w:rFonts w:asciiTheme="majorBidi" w:eastAsiaTheme="majorBidi" w:hAnsiTheme="majorBidi" w:cstheme="majorBidi"/>
          <w:szCs w:val="24"/>
        </w:rPr>
        <w:t xml:space="preserve">to complete the survey in one sitting, at a time and place with minimal distractions. The average burden across testers </w:t>
      </w:r>
      <w:r>
        <w:rPr>
          <w:rFonts w:asciiTheme="majorBidi" w:eastAsiaTheme="majorBidi" w:hAnsiTheme="majorBidi" w:cstheme="majorBidi"/>
          <w:szCs w:val="24"/>
        </w:rPr>
        <w:t>is detailed in exhibit 2</w:t>
      </w:r>
      <w:r w:rsidRPr="00F81B2F">
        <w:rPr>
          <w:rFonts w:asciiTheme="majorBidi" w:eastAsiaTheme="majorBidi" w:hAnsiTheme="majorBidi" w:cstheme="majorBidi"/>
          <w:szCs w:val="24"/>
        </w:rPr>
        <w:t>.</w:t>
      </w:r>
    </w:p>
    <w:p w:rsidR="001D5742" w:rsidRDefault="001D5742" w:rsidP="001D5742">
      <w:pPr>
        <w:spacing w:after="0" w:line="240" w:lineRule="auto"/>
        <w:rPr>
          <w:rFonts w:eastAsiaTheme="majorBidi" w:cs="Times New Roman"/>
          <w:b/>
          <w:bCs/>
          <w:szCs w:val="24"/>
        </w:rPr>
      </w:pPr>
      <w:r>
        <w:rPr>
          <w:rFonts w:eastAsiaTheme="majorBidi" w:cs="Times New Roman"/>
          <w:b/>
          <w:bCs/>
          <w:szCs w:val="24"/>
        </w:rPr>
        <w:t>Exhibit 2. Burden estimates of the test surveys</w:t>
      </w:r>
    </w:p>
    <w:p w:rsidR="001D5742" w:rsidRDefault="001D5742" w:rsidP="001D5742">
      <w:pPr>
        <w:spacing w:after="0" w:line="240" w:lineRule="auto"/>
        <w:rPr>
          <w:rFonts w:cs="Times New Roman"/>
          <w:b/>
          <w:bCs/>
          <w:szCs w:val="24"/>
        </w:rPr>
      </w:pPr>
    </w:p>
    <w:tbl>
      <w:tblPr>
        <w:tblStyle w:val="LightShading"/>
        <w:tblW w:w="0" w:type="auto"/>
        <w:tblInd w:w="0" w:type="dxa"/>
        <w:tblLook w:val="04A0" w:firstRow="1" w:lastRow="0" w:firstColumn="1" w:lastColumn="0" w:noHBand="0" w:noVBand="1"/>
      </w:tblPr>
      <w:tblGrid>
        <w:gridCol w:w="3708"/>
        <w:gridCol w:w="3240"/>
      </w:tblGrid>
      <w:tr w:rsidR="001D5742" w:rsidTr="007E1CA9">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708" w:type="dxa"/>
            <w:vAlign w:val="center"/>
            <w:hideMark/>
          </w:tcPr>
          <w:p w:rsidR="001D5742" w:rsidRDefault="001D5742" w:rsidP="007E1CA9">
            <w:pPr>
              <w:rPr>
                <w:rFonts w:asciiTheme="minorHAnsi" w:hAnsiTheme="minorHAnsi"/>
                <w:sz w:val="22"/>
              </w:rPr>
            </w:pPr>
            <w:r>
              <w:t>Instrument</w:t>
            </w:r>
          </w:p>
        </w:tc>
        <w:tc>
          <w:tcPr>
            <w:tcW w:w="3240" w:type="dxa"/>
            <w:vAlign w:val="center"/>
            <w:hideMark/>
          </w:tcPr>
          <w:p w:rsidR="001D5742" w:rsidRDefault="001D5742" w:rsidP="007E1CA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t>Average burden in minutes</w:t>
            </w:r>
          </w:p>
        </w:tc>
      </w:tr>
      <w:tr w:rsidR="001D5742" w:rsidTr="007E1CA9">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708" w:type="dxa"/>
            <w:tcBorders>
              <w:top w:val="nil"/>
              <w:bottom w:val="nil"/>
            </w:tcBorders>
            <w:vAlign w:val="center"/>
            <w:hideMark/>
          </w:tcPr>
          <w:p w:rsidR="001D5742" w:rsidRPr="008F59E1" w:rsidRDefault="001D5742" w:rsidP="007E1CA9">
            <w:pPr>
              <w:rPr>
                <w:rFonts w:asciiTheme="minorHAnsi" w:hAnsiTheme="minorHAnsi"/>
                <w:b w:val="0"/>
                <w:sz w:val="22"/>
              </w:rPr>
            </w:pPr>
            <w:r>
              <w:t>Intake</w:t>
            </w:r>
            <w:r w:rsidRPr="00653D09">
              <w:t xml:space="preserve"> survey</w:t>
            </w:r>
          </w:p>
        </w:tc>
        <w:tc>
          <w:tcPr>
            <w:tcW w:w="3240" w:type="dxa"/>
            <w:tcBorders>
              <w:top w:val="nil"/>
              <w:bottom w:val="nil"/>
            </w:tcBorders>
            <w:vAlign w:val="center"/>
            <w:hideMark/>
          </w:tcPr>
          <w:p w:rsidR="001D5742" w:rsidRPr="00D92672" w:rsidRDefault="001D5742" w:rsidP="007E1CA9">
            <w:pPr>
              <w:jc w:val="center"/>
              <w:cnfStyle w:val="000000100000" w:firstRow="0" w:lastRow="0" w:firstColumn="0" w:lastColumn="0" w:oddVBand="0" w:evenVBand="0" w:oddHBand="1" w:evenHBand="0" w:firstRowFirstColumn="0" w:firstRowLastColumn="0" w:lastRowFirstColumn="0" w:lastRowLastColumn="0"/>
              <w:rPr>
                <w:szCs w:val="24"/>
              </w:rPr>
            </w:pPr>
            <w:r w:rsidRPr="00D92672">
              <w:rPr>
                <w:szCs w:val="24"/>
              </w:rPr>
              <w:t>17</w:t>
            </w:r>
          </w:p>
        </w:tc>
      </w:tr>
      <w:tr w:rsidR="001D5742" w:rsidTr="007E1CA9">
        <w:trPr>
          <w:trHeight w:val="540"/>
        </w:trPr>
        <w:tc>
          <w:tcPr>
            <w:cnfStyle w:val="001000000000" w:firstRow="0" w:lastRow="0" w:firstColumn="1" w:lastColumn="0" w:oddVBand="0" w:evenVBand="0" w:oddHBand="0" w:evenHBand="0" w:firstRowFirstColumn="0" w:firstRowLastColumn="0" w:lastRowFirstColumn="0" w:lastRowLastColumn="0"/>
            <w:tcW w:w="3708" w:type="dxa"/>
            <w:tcBorders>
              <w:top w:val="nil"/>
              <w:left w:val="nil"/>
              <w:bottom w:val="nil"/>
              <w:right w:val="nil"/>
            </w:tcBorders>
            <w:vAlign w:val="center"/>
          </w:tcPr>
          <w:p w:rsidR="001D5742" w:rsidRPr="008F59E1" w:rsidRDefault="001D5742" w:rsidP="007E1CA9">
            <w:pPr>
              <w:rPr>
                <w:b w:val="0"/>
              </w:rPr>
            </w:pPr>
            <w:r>
              <w:t>Feedback</w:t>
            </w:r>
            <w:r w:rsidRPr="00653D09">
              <w:t xml:space="preserve"> survey</w:t>
            </w:r>
          </w:p>
        </w:tc>
        <w:tc>
          <w:tcPr>
            <w:tcW w:w="3240" w:type="dxa"/>
            <w:tcBorders>
              <w:top w:val="nil"/>
              <w:left w:val="nil"/>
              <w:bottom w:val="nil"/>
              <w:right w:val="nil"/>
            </w:tcBorders>
            <w:vAlign w:val="center"/>
          </w:tcPr>
          <w:p w:rsidR="001D5742" w:rsidRPr="00D92672" w:rsidRDefault="001D5742" w:rsidP="007E1CA9">
            <w:pPr>
              <w:jc w:val="center"/>
              <w:cnfStyle w:val="000000000000" w:firstRow="0" w:lastRow="0" w:firstColumn="0" w:lastColumn="0" w:oddVBand="0" w:evenVBand="0" w:oddHBand="0" w:evenHBand="0" w:firstRowFirstColumn="0" w:firstRowLastColumn="0" w:lastRowFirstColumn="0" w:lastRowLastColumn="0"/>
            </w:pPr>
            <w:r w:rsidRPr="00D92672">
              <w:t>9</w:t>
            </w:r>
          </w:p>
        </w:tc>
      </w:tr>
      <w:tr w:rsidR="001D5742" w:rsidTr="007E1CA9">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708" w:type="dxa"/>
            <w:tcBorders>
              <w:top w:val="nil"/>
              <w:bottom w:val="single" w:sz="8" w:space="0" w:color="000000" w:themeColor="text1"/>
            </w:tcBorders>
            <w:vAlign w:val="center"/>
          </w:tcPr>
          <w:p w:rsidR="001D5742" w:rsidRDefault="001D5742" w:rsidP="007E1CA9">
            <w:r>
              <w:t>Follow-up survey</w:t>
            </w:r>
          </w:p>
        </w:tc>
        <w:tc>
          <w:tcPr>
            <w:tcW w:w="3240" w:type="dxa"/>
            <w:tcBorders>
              <w:top w:val="nil"/>
              <w:bottom w:val="single" w:sz="8" w:space="0" w:color="000000" w:themeColor="text1"/>
            </w:tcBorders>
            <w:vAlign w:val="center"/>
          </w:tcPr>
          <w:p w:rsidR="001D5742" w:rsidRPr="00D3458E" w:rsidRDefault="001D5742" w:rsidP="007E1CA9">
            <w:pPr>
              <w:jc w:val="center"/>
              <w:cnfStyle w:val="000000100000" w:firstRow="0" w:lastRow="0" w:firstColumn="0" w:lastColumn="0" w:oddVBand="0" w:evenVBand="0" w:oddHBand="1" w:evenHBand="0" w:firstRowFirstColumn="0" w:firstRowLastColumn="0" w:lastRowFirstColumn="0" w:lastRowLastColumn="0"/>
              <w:rPr>
                <w:highlight w:val="yellow"/>
              </w:rPr>
            </w:pPr>
            <w:r w:rsidRPr="002B2841">
              <w:t>25</w:t>
            </w:r>
          </w:p>
        </w:tc>
      </w:tr>
    </w:tbl>
    <w:p w:rsidR="001D5742" w:rsidRPr="00326EB8" w:rsidRDefault="001D5742" w:rsidP="001D5742">
      <w:pPr>
        <w:spacing w:line="240" w:lineRule="auto"/>
        <w:rPr>
          <w:rFonts w:asciiTheme="majorBidi" w:eastAsiaTheme="majorBidi" w:hAnsiTheme="majorBidi" w:cstheme="majorBidi"/>
          <w:szCs w:val="24"/>
        </w:rPr>
      </w:pPr>
    </w:p>
    <w:p w:rsidR="001D5742" w:rsidRPr="000A49EE" w:rsidRDefault="001D5742" w:rsidP="001D5742">
      <w:pPr>
        <w:pStyle w:val="Heading2"/>
        <w:tabs>
          <w:tab w:val="clear" w:pos="360"/>
        </w:tabs>
        <w:ind w:left="360" w:hanging="360"/>
        <w:rPr>
          <w:rFonts w:asciiTheme="majorBidi" w:hAnsiTheme="majorBidi" w:cstheme="majorBidi"/>
        </w:rPr>
      </w:pPr>
      <w:bookmarkStart w:id="9" w:name="_Toc435091380"/>
      <w:bookmarkStart w:id="10" w:name="_Toc444597839"/>
      <w:r>
        <w:rPr>
          <w:rFonts w:asciiTheme="majorBidi" w:eastAsiaTheme="majorBidi" w:hAnsiTheme="majorBidi" w:cstheme="majorBidi"/>
        </w:rPr>
        <w:t>Expert Contact Information</w:t>
      </w:r>
      <w:bookmarkEnd w:id="9"/>
      <w:bookmarkEnd w:id="10"/>
      <w:r>
        <w:rPr>
          <w:rFonts w:asciiTheme="majorBidi" w:eastAsiaTheme="majorBidi" w:hAnsiTheme="majorBidi" w:cstheme="majorBidi"/>
        </w:rPr>
        <w:t xml:space="preserve"> </w:t>
      </w:r>
    </w:p>
    <w:p w:rsidR="001D5742" w:rsidRPr="000A49EE" w:rsidRDefault="001D5742" w:rsidP="001D5742">
      <w:pPr>
        <w:spacing w:line="240" w:lineRule="auto"/>
        <w:rPr>
          <w:rFonts w:asciiTheme="majorBidi" w:hAnsiTheme="majorBidi" w:cstheme="majorBidi"/>
          <w:b/>
          <w:bCs/>
          <w:szCs w:val="24"/>
        </w:rPr>
      </w:pPr>
      <w:r w:rsidRPr="00630508">
        <w:rPr>
          <w:rFonts w:asciiTheme="majorBidi" w:hAnsiTheme="majorBidi" w:cstheme="majorBidi"/>
          <w:b/>
          <w:bCs/>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1D5742" w:rsidRDefault="001D5742" w:rsidP="001D5742">
      <w:pPr>
        <w:spacing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Questions regarding this collection should be directed to SBA. Contact information for SBA staff associated with this program is provided in the table below. </w:t>
      </w:r>
      <w:r w:rsidRPr="0040788D">
        <w:rPr>
          <w:rFonts w:asciiTheme="majorBidi" w:eastAsiaTheme="majorBidi" w:hAnsiTheme="majorBidi" w:cstheme="majorBidi"/>
          <w:szCs w:val="24"/>
        </w:rPr>
        <w:t>The consultants used to design</w:t>
      </w:r>
      <w:r>
        <w:rPr>
          <w:rFonts w:asciiTheme="majorBidi" w:eastAsiaTheme="majorBidi" w:hAnsiTheme="majorBidi" w:cstheme="majorBidi"/>
          <w:szCs w:val="24"/>
        </w:rPr>
        <w:t xml:space="preserve"> this data collection for</w:t>
      </w:r>
      <w:r w:rsidRPr="0040788D">
        <w:rPr>
          <w:rFonts w:asciiTheme="majorBidi" w:eastAsiaTheme="majorBidi" w:hAnsiTheme="majorBidi" w:cstheme="majorBidi"/>
          <w:szCs w:val="24"/>
        </w:rPr>
        <w:t xml:space="preserve"> the agency are from Optimal Solutions Group, LLC. </w:t>
      </w:r>
      <w:r>
        <w:rPr>
          <w:rFonts w:asciiTheme="majorBidi" w:eastAsiaTheme="majorBidi" w:hAnsiTheme="majorBidi" w:cstheme="majorBidi"/>
          <w:szCs w:val="24"/>
        </w:rPr>
        <w:t xml:space="preserve">Their contact information is also provided in the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718"/>
        <w:gridCol w:w="1411"/>
        <w:gridCol w:w="1576"/>
        <w:gridCol w:w="3228"/>
      </w:tblGrid>
      <w:tr w:rsidR="001D5742" w:rsidRPr="00451E56" w:rsidTr="007E1CA9">
        <w:trPr>
          <w:cantSplit/>
          <w:trHeight w:val="300"/>
          <w:tblHeader/>
        </w:trPr>
        <w:tc>
          <w:tcPr>
            <w:tcW w:w="0" w:type="auto"/>
            <w:shd w:val="clear" w:color="auto" w:fill="auto"/>
            <w:vAlign w:val="center"/>
          </w:tcPr>
          <w:p w:rsidR="001D5742" w:rsidRPr="0040788D" w:rsidRDefault="001D5742" w:rsidP="007E1CA9">
            <w:pPr>
              <w:spacing w:after="0" w:line="240" w:lineRule="auto"/>
              <w:rPr>
                <w:rFonts w:eastAsia="Times New Roman" w:cs="Times New Roman"/>
                <w:b/>
                <w:color w:val="000000"/>
                <w:szCs w:val="24"/>
              </w:rPr>
            </w:pPr>
            <w:r w:rsidRPr="0040788D">
              <w:rPr>
                <w:rFonts w:eastAsia="Times New Roman" w:cs="Times New Roman"/>
                <w:b/>
                <w:color w:val="000000"/>
                <w:szCs w:val="24"/>
              </w:rPr>
              <w:t>Specialization</w:t>
            </w:r>
          </w:p>
        </w:tc>
        <w:tc>
          <w:tcPr>
            <w:tcW w:w="1718" w:type="dxa"/>
            <w:shd w:val="clear" w:color="auto" w:fill="auto"/>
            <w:vAlign w:val="center"/>
          </w:tcPr>
          <w:p w:rsidR="001D5742" w:rsidRPr="0040788D" w:rsidRDefault="001D5742" w:rsidP="007E1CA9">
            <w:pPr>
              <w:spacing w:after="0" w:line="240" w:lineRule="auto"/>
              <w:rPr>
                <w:rFonts w:eastAsia="Times New Roman" w:cs="Times New Roman"/>
                <w:b/>
                <w:color w:val="000000"/>
                <w:szCs w:val="24"/>
              </w:rPr>
            </w:pPr>
            <w:r w:rsidRPr="0040788D">
              <w:rPr>
                <w:rFonts w:eastAsia="Times New Roman" w:cs="Times New Roman"/>
                <w:b/>
                <w:color w:val="000000"/>
                <w:szCs w:val="24"/>
              </w:rPr>
              <w:t>Name</w:t>
            </w:r>
          </w:p>
        </w:tc>
        <w:tc>
          <w:tcPr>
            <w:tcW w:w="1411" w:type="dxa"/>
            <w:shd w:val="clear" w:color="auto" w:fill="auto"/>
            <w:vAlign w:val="center"/>
          </w:tcPr>
          <w:p w:rsidR="001D5742" w:rsidRPr="0040788D" w:rsidRDefault="001D5742" w:rsidP="007E1CA9">
            <w:pPr>
              <w:spacing w:after="0" w:line="240" w:lineRule="auto"/>
              <w:rPr>
                <w:rFonts w:eastAsia="Times New Roman" w:cs="Times New Roman"/>
                <w:b/>
                <w:color w:val="000000"/>
                <w:szCs w:val="24"/>
              </w:rPr>
            </w:pPr>
            <w:r w:rsidRPr="0040788D">
              <w:rPr>
                <w:rFonts w:eastAsia="Times New Roman" w:cs="Times New Roman"/>
                <w:b/>
                <w:color w:val="000000"/>
                <w:szCs w:val="24"/>
              </w:rPr>
              <w:t>Title</w:t>
            </w:r>
          </w:p>
        </w:tc>
        <w:tc>
          <w:tcPr>
            <w:tcW w:w="0" w:type="auto"/>
            <w:shd w:val="clear" w:color="auto" w:fill="auto"/>
            <w:vAlign w:val="center"/>
          </w:tcPr>
          <w:p w:rsidR="001D5742" w:rsidRPr="0040788D" w:rsidRDefault="001D5742" w:rsidP="007E1CA9">
            <w:pPr>
              <w:spacing w:after="0" w:line="240" w:lineRule="auto"/>
              <w:rPr>
                <w:rFonts w:eastAsia="Times New Roman" w:cs="Times New Roman"/>
                <w:b/>
                <w:color w:val="000000"/>
                <w:szCs w:val="24"/>
              </w:rPr>
            </w:pPr>
            <w:r w:rsidRPr="0040788D">
              <w:rPr>
                <w:rFonts w:eastAsia="Times New Roman" w:cs="Times New Roman"/>
                <w:b/>
                <w:color w:val="000000"/>
                <w:szCs w:val="24"/>
              </w:rPr>
              <w:t>Organization</w:t>
            </w:r>
          </w:p>
        </w:tc>
        <w:tc>
          <w:tcPr>
            <w:tcW w:w="3228" w:type="dxa"/>
            <w:shd w:val="clear" w:color="auto" w:fill="auto"/>
            <w:vAlign w:val="center"/>
          </w:tcPr>
          <w:p w:rsidR="001D5742" w:rsidRPr="0040788D" w:rsidRDefault="001D5742" w:rsidP="007E1CA9">
            <w:pPr>
              <w:spacing w:after="0" w:line="240" w:lineRule="auto"/>
              <w:rPr>
                <w:rFonts w:eastAsia="Times New Roman" w:cs="Times New Roman"/>
                <w:b/>
                <w:color w:val="000000"/>
                <w:szCs w:val="24"/>
              </w:rPr>
            </w:pPr>
            <w:r w:rsidRPr="0040788D">
              <w:rPr>
                <w:rFonts w:eastAsia="Times New Roman" w:cs="Times New Roman"/>
                <w:b/>
                <w:color w:val="000000"/>
                <w:szCs w:val="24"/>
              </w:rPr>
              <w:t>E-</w:t>
            </w:r>
            <w:r>
              <w:rPr>
                <w:rFonts w:eastAsia="Times New Roman" w:cs="Times New Roman"/>
                <w:b/>
                <w:color w:val="000000"/>
                <w:szCs w:val="24"/>
              </w:rPr>
              <w:t>m</w:t>
            </w:r>
            <w:r w:rsidRPr="0040788D">
              <w:rPr>
                <w:rFonts w:eastAsia="Times New Roman" w:cs="Times New Roman"/>
                <w:b/>
                <w:color w:val="000000"/>
                <w:szCs w:val="24"/>
              </w:rPr>
              <w:t xml:space="preserve">ail </w:t>
            </w:r>
            <w:r>
              <w:rPr>
                <w:rFonts w:eastAsia="Times New Roman" w:cs="Times New Roman"/>
                <w:b/>
                <w:color w:val="000000"/>
                <w:szCs w:val="24"/>
              </w:rPr>
              <w:t>a</w:t>
            </w:r>
            <w:r w:rsidRPr="0040788D">
              <w:rPr>
                <w:rFonts w:eastAsia="Times New Roman" w:cs="Times New Roman"/>
                <w:b/>
                <w:color w:val="000000"/>
                <w:szCs w:val="24"/>
              </w:rPr>
              <w:t>ddress</w:t>
            </w:r>
          </w:p>
        </w:tc>
      </w:tr>
      <w:tr w:rsidR="001D5742" w:rsidRPr="00451E56" w:rsidTr="007E1CA9">
        <w:trPr>
          <w:cantSplit/>
          <w:trHeight w:val="300"/>
        </w:trPr>
        <w:tc>
          <w:tcPr>
            <w:tcW w:w="0" w:type="auto"/>
            <w:shd w:val="clear" w:color="auto" w:fill="auto"/>
            <w:vAlign w:val="center"/>
          </w:tcPr>
          <w:p w:rsidR="001D5742" w:rsidRPr="009851B9" w:rsidRDefault="001D5742" w:rsidP="007E1CA9">
            <w:pPr>
              <w:spacing w:after="0" w:line="240" w:lineRule="auto"/>
              <w:rPr>
                <w:rFonts w:eastAsia="Times New Roman" w:cs="Times New Roman"/>
                <w:color w:val="000000"/>
                <w:sz w:val="20"/>
                <w:szCs w:val="20"/>
                <w:highlight w:val="yellow"/>
              </w:rPr>
            </w:pPr>
            <w:r w:rsidRPr="00735A31">
              <w:rPr>
                <w:rFonts w:eastAsia="Times New Roman" w:cs="Times New Roman"/>
                <w:color w:val="000000"/>
                <w:sz w:val="20"/>
                <w:szCs w:val="20"/>
              </w:rPr>
              <w:t>Evaluation</w:t>
            </w:r>
          </w:p>
        </w:tc>
        <w:tc>
          <w:tcPr>
            <w:tcW w:w="1718" w:type="dxa"/>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sidRPr="00044303">
              <w:rPr>
                <w:rFonts w:eastAsia="Times New Roman" w:cs="Times New Roman"/>
                <w:color w:val="000000"/>
                <w:sz w:val="20"/>
                <w:szCs w:val="20"/>
              </w:rPr>
              <w:t>Brittany Borg</w:t>
            </w:r>
          </w:p>
        </w:tc>
        <w:tc>
          <w:tcPr>
            <w:tcW w:w="1411" w:type="dxa"/>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sidRPr="00D3458E">
              <w:rPr>
                <w:rFonts w:eastAsia="Times New Roman" w:cs="Times New Roman"/>
                <w:color w:val="000000"/>
                <w:sz w:val="20"/>
                <w:szCs w:val="20"/>
              </w:rPr>
              <w:t xml:space="preserve">Program </w:t>
            </w:r>
            <w:r>
              <w:rPr>
                <w:rFonts w:eastAsia="Times New Roman" w:cs="Times New Roman"/>
                <w:color w:val="000000"/>
                <w:sz w:val="20"/>
                <w:szCs w:val="20"/>
              </w:rPr>
              <w:t>Analyst</w:t>
            </w:r>
          </w:p>
        </w:tc>
        <w:tc>
          <w:tcPr>
            <w:tcW w:w="0" w:type="auto"/>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sidRPr="00044303">
              <w:rPr>
                <w:rFonts w:eastAsia="Times New Roman" w:cs="Times New Roman"/>
                <w:color w:val="000000"/>
                <w:sz w:val="20"/>
                <w:szCs w:val="20"/>
              </w:rPr>
              <w:t>U.S. Small Business Administration</w:t>
            </w:r>
          </w:p>
        </w:tc>
        <w:tc>
          <w:tcPr>
            <w:tcW w:w="3228" w:type="dxa"/>
            <w:shd w:val="clear" w:color="auto" w:fill="auto"/>
            <w:vAlign w:val="center"/>
          </w:tcPr>
          <w:p w:rsidR="001D5742" w:rsidRPr="00044303" w:rsidRDefault="001D5742" w:rsidP="007E1CA9">
            <w:pPr>
              <w:spacing w:after="0" w:line="240" w:lineRule="auto"/>
              <w:rPr>
                <w:sz w:val="20"/>
                <w:szCs w:val="20"/>
              </w:rPr>
            </w:pPr>
            <w:hyperlink r:id="rId8" w:history="1">
              <w:r w:rsidRPr="00044303">
                <w:rPr>
                  <w:rStyle w:val="Hyperlink"/>
                  <w:sz w:val="20"/>
                  <w:szCs w:val="20"/>
                </w:rPr>
                <w:t>brittany.borg@sba.gov</w:t>
              </w:r>
            </w:hyperlink>
            <w:r w:rsidRPr="00044303">
              <w:rPr>
                <w:sz w:val="20"/>
                <w:szCs w:val="20"/>
              </w:rPr>
              <w:t xml:space="preserve"> </w:t>
            </w:r>
          </w:p>
        </w:tc>
      </w:tr>
      <w:tr w:rsidR="001D5742" w:rsidRPr="00451E56" w:rsidTr="007E1CA9">
        <w:trPr>
          <w:cantSplit/>
          <w:trHeight w:val="300"/>
        </w:trPr>
        <w:tc>
          <w:tcPr>
            <w:tcW w:w="0" w:type="auto"/>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Pr>
                <w:rFonts w:eastAsia="Times New Roman" w:cs="Times New Roman"/>
                <w:color w:val="000000"/>
                <w:sz w:val="20"/>
                <w:szCs w:val="20"/>
              </w:rPr>
              <w:t>Evaluation</w:t>
            </w:r>
          </w:p>
        </w:tc>
        <w:tc>
          <w:tcPr>
            <w:tcW w:w="1718" w:type="dxa"/>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sidRPr="00044303">
              <w:rPr>
                <w:rFonts w:eastAsia="Times New Roman" w:cs="Times New Roman"/>
                <w:color w:val="000000"/>
                <w:sz w:val="20"/>
                <w:szCs w:val="20"/>
              </w:rPr>
              <w:t>Jennifer Auer</w:t>
            </w:r>
          </w:p>
        </w:tc>
        <w:tc>
          <w:tcPr>
            <w:tcW w:w="1411" w:type="dxa"/>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sidRPr="00044303">
              <w:rPr>
                <w:rFonts w:eastAsia="Times New Roman" w:cs="Times New Roman"/>
                <w:color w:val="000000"/>
                <w:sz w:val="20"/>
                <w:szCs w:val="20"/>
              </w:rPr>
              <w:t>Project Director</w:t>
            </w:r>
          </w:p>
        </w:tc>
        <w:tc>
          <w:tcPr>
            <w:tcW w:w="0" w:type="auto"/>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sidRPr="00044303">
              <w:rPr>
                <w:rFonts w:eastAsia="Times New Roman" w:cs="Times New Roman"/>
                <w:color w:val="000000"/>
                <w:sz w:val="20"/>
                <w:szCs w:val="20"/>
              </w:rPr>
              <w:t>Optimal Solutions Group, LLC</w:t>
            </w:r>
          </w:p>
        </w:tc>
        <w:tc>
          <w:tcPr>
            <w:tcW w:w="3228" w:type="dxa"/>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hyperlink r:id="rId9" w:history="1">
              <w:r w:rsidRPr="00044303">
                <w:rPr>
                  <w:rStyle w:val="Hyperlink"/>
                  <w:sz w:val="20"/>
                  <w:szCs w:val="20"/>
                </w:rPr>
                <w:t>jauer@optimalsolutionsgroup.com</w:t>
              </w:r>
            </w:hyperlink>
            <w:r w:rsidRPr="00044303">
              <w:rPr>
                <w:rStyle w:val="Hyperlink"/>
                <w:sz w:val="20"/>
                <w:szCs w:val="20"/>
              </w:rPr>
              <w:t xml:space="preserve"> </w:t>
            </w:r>
          </w:p>
        </w:tc>
      </w:tr>
      <w:tr w:rsidR="001D5742" w:rsidRPr="00451E56" w:rsidTr="007E1CA9">
        <w:trPr>
          <w:cantSplit/>
          <w:trHeight w:val="300"/>
        </w:trPr>
        <w:tc>
          <w:tcPr>
            <w:tcW w:w="0" w:type="auto"/>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sidRPr="00044303">
              <w:rPr>
                <w:rFonts w:eastAsia="Times New Roman" w:cs="Times New Roman"/>
                <w:color w:val="000000"/>
                <w:sz w:val="20"/>
                <w:szCs w:val="20"/>
              </w:rPr>
              <w:t>Labor economist</w:t>
            </w:r>
          </w:p>
        </w:tc>
        <w:tc>
          <w:tcPr>
            <w:tcW w:w="1718" w:type="dxa"/>
            <w:shd w:val="clear" w:color="auto" w:fill="auto"/>
            <w:vAlign w:val="center"/>
          </w:tcPr>
          <w:p w:rsidR="001D5742" w:rsidRPr="00044303" w:rsidRDefault="001D5742" w:rsidP="007E1CA9">
            <w:pPr>
              <w:spacing w:after="0" w:line="240" w:lineRule="auto"/>
              <w:rPr>
                <w:rFonts w:cs="Times New Roman"/>
                <w:sz w:val="20"/>
                <w:szCs w:val="20"/>
              </w:rPr>
            </w:pPr>
            <w:r w:rsidRPr="00044303">
              <w:rPr>
                <w:rFonts w:cs="Times New Roman"/>
                <w:sz w:val="20"/>
                <w:szCs w:val="20"/>
              </w:rPr>
              <w:t>Mark Turner</w:t>
            </w:r>
          </w:p>
        </w:tc>
        <w:tc>
          <w:tcPr>
            <w:tcW w:w="1411" w:type="dxa"/>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sidRPr="00044303">
              <w:rPr>
                <w:rFonts w:eastAsia="Times New Roman" w:cs="Times New Roman"/>
                <w:color w:val="000000"/>
                <w:sz w:val="20"/>
                <w:szCs w:val="20"/>
              </w:rPr>
              <w:t>CEO</w:t>
            </w:r>
          </w:p>
        </w:tc>
        <w:tc>
          <w:tcPr>
            <w:tcW w:w="0" w:type="auto"/>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r w:rsidRPr="00044303">
              <w:rPr>
                <w:rFonts w:eastAsia="Times New Roman" w:cs="Times New Roman"/>
                <w:color w:val="000000"/>
                <w:sz w:val="20"/>
                <w:szCs w:val="20"/>
              </w:rPr>
              <w:t>Optimal Solutions Group, LLC</w:t>
            </w:r>
          </w:p>
        </w:tc>
        <w:tc>
          <w:tcPr>
            <w:tcW w:w="3228" w:type="dxa"/>
            <w:shd w:val="clear" w:color="auto" w:fill="auto"/>
            <w:vAlign w:val="center"/>
          </w:tcPr>
          <w:p w:rsidR="001D5742" w:rsidRPr="00044303" w:rsidRDefault="001D5742" w:rsidP="007E1CA9">
            <w:pPr>
              <w:spacing w:after="0" w:line="240" w:lineRule="auto"/>
              <w:rPr>
                <w:rFonts w:eastAsia="Times New Roman" w:cs="Times New Roman"/>
                <w:color w:val="000000"/>
                <w:sz w:val="20"/>
                <w:szCs w:val="20"/>
              </w:rPr>
            </w:pPr>
            <w:hyperlink r:id="rId10" w:history="1">
              <w:r w:rsidRPr="00044303">
                <w:rPr>
                  <w:rStyle w:val="Hyperlink"/>
                  <w:rFonts w:eastAsia="Times New Roman" w:cs="Times New Roman"/>
                  <w:sz w:val="20"/>
                  <w:szCs w:val="20"/>
                </w:rPr>
                <w:t>mturner@optimalsolutionsgroup.com</w:t>
              </w:r>
            </w:hyperlink>
            <w:r w:rsidRPr="00044303">
              <w:rPr>
                <w:rFonts w:eastAsia="Times New Roman" w:cs="Times New Roman"/>
                <w:color w:val="000000"/>
                <w:sz w:val="20"/>
                <w:szCs w:val="20"/>
              </w:rPr>
              <w:t xml:space="preserve"> </w:t>
            </w:r>
          </w:p>
        </w:tc>
      </w:tr>
    </w:tbl>
    <w:p w:rsidR="001D5742" w:rsidRPr="00315B20" w:rsidRDefault="001D5742" w:rsidP="001D5742">
      <w:pPr>
        <w:spacing w:line="240" w:lineRule="auto"/>
      </w:pPr>
    </w:p>
    <w:p w:rsidR="001D5742" w:rsidRPr="00E7582B" w:rsidRDefault="001D5742" w:rsidP="001D5742">
      <w:pPr>
        <w:spacing w:line="240" w:lineRule="auto"/>
        <w:rPr>
          <w:rFonts w:cs="Times New Roman"/>
          <w:bCs/>
        </w:rPr>
      </w:pPr>
    </w:p>
    <w:p w:rsidR="006E1686" w:rsidRDefault="006E1686">
      <w:bookmarkStart w:id="11" w:name="_GoBack"/>
      <w:bookmarkEnd w:id="11"/>
    </w:p>
    <w:sectPr w:rsidR="006E1686" w:rsidSect="007A20CA">
      <w:footerReference w:type="default" r:id="rId11"/>
      <w:pgSz w:w="12240" w:h="15840"/>
      <w:pgMar w:top="144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42" w:rsidRDefault="001D5742" w:rsidP="001D5742">
      <w:pPr>
        <w:spacing w:after="0" w:line="240" w:lineRule="auto"/>
      </w:pPr>
      <w:r>
        <w:separator/>
      </w:r>
    </w:p>
  </w:endnote>
  <w:endnote w:type="continuationSeparator" w:id="0">
    <w:p w:rsidR="001D5742" w:rsidRDefault="001D5742" w:rsidP="001D5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178504"/>
      <w:docPartObj>
        <w:docPartGallery w:val="Page Numbers (Bottom of Page)"/>
        <w:docPartUnique/>
      </w:docPartObj>
    </w:sdtPr>
    <w:sdtEndPr>
      <w:rPr>
        <w:noProof/>
      </w:rPr>
    </w:sdtEndPr>
    <w:sdtContent>
      <w:p w:rsidR="00DF2203" w:rsidRDefault="001D5742">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DF2203" w:rsidRDefault="001D5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42" w:rsidRDefault="001D5742" w:rsidP="001D5742">
      <w:pPr>
        <w:spacing w:after="0" w:line="240" w:lineRule="auto"/>
      </w:pPr>
      <w:r>
        <w:separator/>
      </w:r>
    </w:p>
  </w:footnote>
  <w:footnote w:type="continuationSeparator" w:id="0">
    <w:p w:rsidR="001D5742" w:rsidRDefault="001D5742" w:rsidP="001D5742">
      <w:pPr>
        <w:spacing w:after="0" w:line="240" w:lineRule="auto"/>
      </w:pPr>
      <w:r>
        <w:continuationSeparator/>
      </w:r>
    </w:p>
  </w:footnote>
  <w:footnote w:id="1">
    <w:p w:rsidR="001D5742" w:rsidRDefault="001D5742" w:rsidP="001D5742">
      <w:pPr>
        <w:pStyle w:val="FootnoteText"/>
      </w:pPr>
      <w:r>
        <w:rPr>
          <w:rStyle w:val="FootnoteReference"/>
        </w:rPr>
        <w:footnoteRef/>
      </w:r>
      <w:r>
        <w:t xml:space="preserve"> Although the intake survey does not always obtain a 100% response rate, it is typically 95% or higher. Thus 100% is used to account for a maximum burden potential.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721E3"/>
    <w:multiLevelType w:val="hybridMultilevel"/>
    <w:tmpl w:val="8CA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412705"/>
    <w:multiLevelType w:val="hybridMultilevel"/>
    <w:tmpl w:val="DD1ACFDC"/>
    <w:lvl w:ilvl="0" w:tplc="06B46562">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42"/>
    <w:rsid w:val="001D5742"/>
    <w:rsid w:val="006E1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742"/>
    <w:pPr>
      <w:spacing w:after="160" w:line="259" w:lineRule="auto"/>
    </w:pPr>
    <w:rPr>
      <w:rFonts w:eastAsiaTheme="minorHAnsi" w:cstheme="minorBidi"/>
      <w:sz w:val="24"/>
      <w:szCs w:val="22"/>
    </w:rPr>
  </w:style>
  <w:style w:type="paragraph" w:styleId="Heading1">
    <w:name w:val="heading 1"/>
    <w:basedOn w:val="Normal"/>
    <w:next w:val="Normal"/>
    <w:link w:val="Heading1Char"/>
    <w:uiPriority w:val="9"/>
    <w:qFormat/>
    <w:rsid w:val="001D57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1D5742"/>
    <w:pPr>
      <w:numPr>
        <w:numId w:val="1"/>
      </w:numPr>
      <w:tabs>
        <w:tab w:val="num" w:pos="360"/>
      </w:tabs>
      <w:spacing w:after="0" w:line="240" w:lineRule="auto"/>
      <w:ind w:left="720" w:firstLine="0"/>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74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1D5742"/>
    <w:rPr>
      <w:b/>
      <w:sz w:val="24"/>
      <w:szCs w:val="24"/>
    </w:rPr>
  </w:style>
  <w:style w:type="paragraph" w:styleId="Footer">
    <w:name w:val="footer"/>
    <w:basedOn w:val="Normal"/>
    <w:link w:val="FooterChar"/>
    <w:uiPriority w:val="99"/>
    <w:unhideWhenUsed/>
    <w:rsid w:val="001D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742"/>
    <w:rPr>
      <w:rFonts w:eastAsiaTheme="minorHAnsi" w:cstheme="minorBidi"/>
      <w:sz w:val="24"/>
      <w:szCs w:val="22"/>
    </w:rPr>
  </w:style>
  <w:style w:type="character" w:styleId="Hyperlink">
    <w:name w:val="Hyperlink"/>
    <w:basedOn w:val="DefaultParagraphFont"/>
    <w:uiPriority w:val="99"/>
    <w:unhideWhenUsed/>
    <w:rsid w:val="001D5742"/>
    <w:rPr>
      <w:color w:val="0000FF" w:themeColor="hyperlink"/>
      <w:u w:val="single"/>
    </w:rPr>
  </w:style>
  <w:style w:type="paragraph" w:styleId="ListParagraph">
    <w:name w:val="List Paragraph"/>
    <w:basedOn w:val="Normal"/>
    <w:link w:val="ListParagraphChar"/>
    <w:uiPriority w:val="34"/>
    <w:qFormat/>
    <w:rsid w:val="001D5742"/>
    <w:pPr>
      <w:ind w:left="720"/>
      <w:contextualSpacing/>
    </w:pPr>
  </w:style>
  <w:style w:type="character" w:customStyle="1" w:styleId="ListParagraphChar">
    <w:name w:val="List Paragraph Char"/>
    <w:link w:val="ListParagraph"/>
    <w:uiPriority w:val="34"/>
    <w:locked/>
    <w:rsid w:val="001D5742"/>
    <w:rPr>
      <w:rFonts w:eastAsiaTheme="minorHAnsi" w:cstheme="minorBidi"/>
      <w:sz w:val="24"/>
      <w:szCs w:val="22"/>
    </w:rPr>
  </w:style>
  <w:style w:type="paragraph" w:styleId="FootnoteText">
    <w:name w:val="footnote text"/>
    <w:basedOn w:val="Normal"/>
    <w:link w:val="FootnoteTextChar"/>
    <w:uiPriority w:val="99"/>
    <w:unhideWhenUsed/>
    <w:rsid w:val="001D5742"/>
    <w:pPr>
      <w:spacing w:after="0" w:line="240" w:lineRule="auto"/>
    </w:pPr>
    <w:rPr>
      <w:sz w:val="20"/>
      <w:szCs w:val="20"/>
    </w:rPr>
  </w:style>
  <w:style w:type="character" w:customStyle="1" w:styleId="FootnoteTextChar">
    <w:name w:val="Footnote Text Char"/>
    <w:basedOn w:val="DefaultParagraphFont"/>
    <w:link w:val="FootnoteText"/>
    <w:uiPriority w:val="99"/>
    <w:rsid w:val="001D5742"/>
    <w:rPr>
      <w:rFonts w:eastAsiaTheme="minorHAnsi" w:cstheme="minorBidi"/>
    </w:rPr>
  </w:style>
  <w:style w:type="character" w:styleId="FootnoteReference">
    <w:name w:val="footnote reference"/>
    <w:basedOn w:val="DefaultParagraphFont"/>
    <w:uiPriority w:val="99"/>
    <w:unhideWhenUsed/>
    <w:rsid w:val="001D5742"/>
    <w:rPr>
      <w:vertAlign w:val="superscript"/>
    </w:rPr>
  </w:style>
  <w:style w:type="table" w:styleId="LightShading">
    <w:name w:val="Light Shading"/>
    <w:basedOn w:val="TableNormal"/>
    <w:uiPriority w:val="60"/>
    <w:rsid w:val="001D5742"/>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5742"/>
    <w:pPr>
      <w:spacing w:after="160" w:line="259" w:lineRule="auto"/>
    </w:pPr>
    <w:rPr>
      <w:rFonts w:eastAsiaTheme="minorHAnsi" w:cstheme="minorBidi"/>
      <w:sz w:val="24"/>
      <w:szCs w:val="22"/>
    </w:rPr>
  </w:style>
  <w:style w:type="paragraph" w:styleId="Heading1">
    <w:name w:val="heading 1"/>
    <w:basedOn w:val="Normal"/>
    <w:next w:val="Normal"/>
    <w:link w:val="Heading1Char"/>
    <w:uiPriority w:val="9"/>
    <w:qFormat/>
    <w:rsid w:val="001D574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qFormat/>
    <w:rsid w:val="001D5742"/>
    <w:pPr>
      <w:numPr>
        <w:numId w:val="1"/>
      </w:numPr>
      <w:tabs>
        <w:tab w:val="num" w:pos="360"/>
      </w:tabs>
      <w:spacing w:after="0" w:line="240" w:lineRule="auto"/>
      <w:ind w:left="720" w:firstLine="0"/>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74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1D5742"/>
    <w:rPr>
      <w:b/>
      <w:sz w:val="24"/>
      <w:szCs w:val="24"/>
    </w:rPr>
  </w:style>
  <w:style w:type="paragraph" w:styleId="Footer">
    <w:name w:val="footer"/>
    <w:basedOn w:val="Normal"/>
    <w:link w:val="FooterChar"/>
    <w:uiPriority w:val="99"/>
    <w:unhideWhenUsed/>
    <w:rsid w:val="001D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742"/>
    <w:rPr>
      <w:rFonts w:eastAsiaTheme="minorHAnsi" w:cstheme="minorBidi"/>
      <w:sz w:val="24"/>
      <w:szCs w:val="22"/>
    </w:rPr>
  </w:style>
  <w:style w:type="character" w:styleId="Hyperlink">
    <w:name w:val="Hyperlink"/>
    <w:basedOn w:val="DefaultParagraphFont"/>
    <w:uiPriority w:val="99"/>
    <w:unhideWhenUsed/>
    <w:rsid w:val="001D5742"/>
    <w:rPr>
      <w:color w:val="0000FF" w:themeColor="hyperlink"/>
      <w:u w:val="single"/>
    </w:rPr>
  </w:style>
  <w:style w:type="paragraph" w:styleId="ListParagraph">
    <w:name w:val="List Paragraph"/>
    <w:basedOn w:val="Normal"/>
    <w:link w:val="ListParagraphChar"/>
    <w:uiPriority w:val="34"/>
    <w:qFormat/>
    <w:rsid w:val="001D5742"/>
    <w:pPr>
      <w:ind w:left="720"/>
      <w:contextualSpacing/>
    </w:pPr>
  </w:style>
  <w:style w:type="character" w:customStyle="1" w:styleId="ListParagraphChar">
    <w:name w:val="List Paragraph Char"/>
    <w:link w:val="ListParagraph"/>
    <w:uiPriority w:val="34"/>
    <w:locked/>
    <w:rsid w:val="001D5742"/>
    <w:rPr>
      <w:rFonts w:eastAsiaTheme="minorHAnsi" w:cstheme="minorBidi"/>
      <w:sz w:val="24"/>
      <w:szCs w:val="22"/>
    </w:rPr>
  </w:style>
  <w:style w:type="paragraph" w:styleId="FootnoteText">
    <w:name w:val="footnote text"/>
    <w:basedOn w:val="Normal"/>
    <w:link w:val="FootnoteTextChar"/>
    <w:uiPriority w:val="99"/>
    <w:unhideWhenUsed/>
    <w:rsid w:val="001D5742"/>
    <w:pPr>
      <w:spacing w:after="0" w:line="240" w:lineRule="auto"/>
    </w:pPr>
    <w:rPr>
      <w:sz w:val="20"/>
      <w:szCs w:val="20"/>
    </w:rPr>
  </w:style>
  <w:style w:type="character" w:customStyle="1" w:styleId="FootnoteTextChar">
    <w:name w:val="Footnote Text Char"/>
    <w:basedOn w:val="DefaultParagraphFont"/>
    <w:link w:val="FootnoteText"/>
    <w:uiPriority w:val="99"/>
    <w:rsid w:val="001D5742"/>
    <w:rPr>
      <w:rFonts w:eastAsiaTheme="minorHAnsi" w:cstheme="minorBidi"/>
    </w:rPr>
  </w:style>
  <w:style w:type="character" w:styleId="FootnoteReference">
    <w:name w:val="footnote reference"/>
    <w:basedOn w:val="DefaultParagraphFont"/>
    <w:uiPriority w:val="99"/>
    <w:unhideWhenUsed/>
    <w:rsid w:val="001D5742"/>
    <w:rPr>
      <w:vertAlign w:val="superscript"/>
    </w:rPr>
  </w:style>
  <w:style w:type="table" w:styleId="LightShading">
    <w:name w:val="Light Shading"/>
    <w:basedOn w:val="TableNormal"/>
    <w:uiPriority w:val="60"/>
    <w:rsid w:val="001D5742"/>
    <w:rPr>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ttany.borg@sb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turner@optimalsolutionsgroup.com" TargetMode="External"/><Relationship Id="rId4" Type="http://schemas.openxmlformats.org/officeDocument/2006/relationships/settings" Target="settings.xml"/><Relationship Id="rId9" Type="http://schemas.openxmlformats.org/officeDocument/2006/relationships/hyperlink" Target="mailto:jauer@optimalsolution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992BDE56.dotm</Template>
  <TotalTime>1</TotalTime>
  <Pages>4</Pages>
  <Words>1661</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1</cp:revision>
  <dcterms:created xsi:type="dcterms:W3CDTF">2016-05-16T15:49:00Z</dcterms:created>
  <dcterms:modified xsi:type="dcterms:W3CDTF">2016-05-16T15:50:00Z</dcterms:modified>
</cp:coreProperties>
</file>