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54637">
        <w:rPr>
          <w:sz w:val="28"/>
        </w:rPr>
        <w:t>420-0545</w:t>
      </w:r>
      <w:r>
        <w:rPr>
          <w:sz w:val="28"/>
        </w:rPr>
        <w:t>)</w:t>
      </w:r>
    </w:p>
    <w:p w:rsidR="00E50293" w:rsidRDefault="00CA7B42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936BEB" w:rsidRDefault="00936BEB" w:rsidP="00936BEB">
      <w:pPr>
        <w:rPr>
          <w:rFonts w:asciiTheme="minorHAnsi" w:hAnsiTheme="minorHAnsi"/>
          <w:color w:val="1F497D" w:themeColor="text2"/>
          <w:sz w:val="22"/>
          <w:szCs w:val="22"/>
        </w:rPr>
      </w:pPr>
    </w:p>
    <w:p w:rsidR="00936BEB" w:rsidRDefault="007B46E2" w:rsidP="00936BEB">
      <w:pPr>
        <w:rPr>
          <w:rFonts w:asciiTheme="minorHAnsi" w:hAnsiTheme="minorHAnsi"/>
          <w:color w:val="1F497D" w:themeColor="text2"/>
          <w:sz w:val="22"/>
          <w:szCs w:val="22"/>
        </w:rPr>
      </w:pPr>
      <w:r>
        <w:rPr>
          <w:rFonts w:asciiTheme="minorHAnsi" w:hAnsiTheme="minorHAnsi"/>
          <w:color w:val="1F497D" w:themeColor="text2"/>
          <w:sz w:val="22"/>
          <w:szCs w:val="22"/>
        </w:rPr>
        <w:t xml:space="preserve">Online Bulletin Boards with </w:t>
      </w:r>
      <w:r w:rsidR="00F34611">
        <w:rPr>
          <w:rFonts w:asciiTheme="minorHAnsi" w:hAnsiTheme="minorHAnsi"/>
          <w:color w:val="1F497D" w:themeColor="text2"/>
          <w:sz w:val="22"/>
          <w:szCs w:val="22"/>
        </w:rPr>
        <w:t xml:space="preserve">Millennials </w:t>
      </w:r>
      <w:r>
        <w:rPr>
          <w:rFonts w:asciiTheme="minorHAnsi" w:hAnsiTheme="minorHAnsi"/>
          <w:color w:val="1F497D" w:themeColor="text2"/>
          <w:sz w:val="22"/>
          <w:szCs w:val="22"/>
        </w:rPr>
        <w:t xml:space="preserve">to </w:t>
      </w:r>
      <w:r w:rsidR="00080940">
        <w:rPr>
          <w:rFonts w:asciiTheme="minorHAnsi" w:hAnsiTheme="minorHAnsi"/>
          <w:color w:val="1F497D" w:themeColor="text2"/>
          <w:sz w:val="22"/>
          <w:szCs w:val="22"/>
        </w:rPr>
        <w:t>G</w:t>
      </w:r>
      <w:r>
        <w:rPr>
          <w:rFonts w:asciiTheme="minorHAnsi" w:hAnsiTheme="minorHAnsi"/>
          <w:color w:val="1F497D" w:themeColor="text2"/>
          <w:sz w:val="22"/>
          <w:szCs w:val="22"/>
        </w:rPr>
        <w:t xml:space="preserve">ather </w:t>
      </w:r>
      <w:r w:rsidR="00080940">
        <w:rPr>
          <w:rFonts w:asciiTheme="minorHAnsi" w:hAnsiTheme="minorHAnsi"/>
          <w:color w:val="1F497D" w:themeColor="text2"/>
          <w:sz w:val="22"/>
          <w:szCs w:val="22"/>
        </w:rPr>
        <w:t>I</w:t>
      </w:r>
      <w:r>
        <w:rPr>
          <w:rFonts w:asciiTheme="minorHAnsi" w:hAnsiTheme="minorHAnsi"/>
          <w:color w:val="1F497D" w:themeColor="text2"/>
          <w:sz w:val="22"/>
          <w:szCs w:val="22"/>
        </w:rPr>
        <w:t xml:space="preserve">nformation for Peace Corps </w:t>
      </w:r>
      <w:r w:rsidR="00080940">
        <w:rPr>
          <w:rFonts w:asciiTheme="minorHAnsi" w:hAnsiTheme="minorHAnsi"/>
          <w:color w:val="1F497D" w:themeColor="text2"/>
          <w:sz w:val="22"/>
          <w:szCs w:val="22"/>
        </w:rPr>
        <w:t>R</w:t>
      </w:r>
      <w:r>
        <w:rPr>
          <w:rFonts w:asciiTheme="minorHAnsi" w:hAnsiTheme="minorHAnsi"/>
          <w:color w:val="1F497D" w:themeColor="text2"/>
          <w:sz w:val="22"/>
          <w:szCs w:val="22"/>
        </w:rPr>
        <w:t>ecruitment</w:t>
      </w:r>
    </w:p>
    <w:p w:rsidR="00936BEB" w:rsidRPr="009239AA" w:rsidRDefault="00936BEB" w:rsidP="00434E33">
      <w:pPr>
        <w:rPr>
          <w:b/>
        </w:rPr>
      </w:pPr>
    </w:p>
    <w:p w:rsidR="001B0AAA" w:rsidRDefault="00F15956">
      <w:pPr>
        <w:rPr>
          <w:b/>
        </w:rPr>
      </w:pPr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  <w:bookmarkStart w:id="0" w:name="_GoBack"/>
      <w:bookmarkEnd w:id="0"/>
    </w:p>
    <w:p w:rsidR="00F424AD" w:rsidRDefault="00F424AD">
      <w:pPr>
        <w:rPr>
          <w:b/>
        </w:rPr>
      </w:pPr>
    </w:p>
    <w:p w:rsidR="00F424AD" w:rsidRPr="00C16B7F" w:rsidRDefault="00F424AD" w:rsidP="00C16B7F">
      <w:pPr>
        <w:pStyle w:val="ListParagraph"/>
        <w:numPr>
          <w:ilvl w:val="0"/>
          <w:numId w:val="19"/>
        </w:numPr>
        <w:rPr>
          <w:rFonts w:asciiTheme="minorHAnsi" w:hAnsiTheme="minorHAnsi"/>
          <w:color w:val="1F497D" w:themeColor="text2"/>
          <w:sz w:val="22"/>
          <w:szCs w:val="22"/>
        </w:rPr>
      </w:pPr>
      <w:r w:rsidRPr="00C16B7F">
        <w:rPr>
          <w:rFonts w:asciiTheme="minorHAnsi" w:hAnsiTheme="minorHAnsi"/>
          <w:color w:val="1F497D" w:themeColor="text2"/>
          <w:sz w:val="22"/>
          <w:szCs w:val="22"/>
        </w:rPr>
        <w:t xml:space="preserve">To </w:t>
      </w:r>
      <w:r w:rsidR="00F34611">
        <w:rPr>
          <w:rFonts w:asciiTheme="minorHAnsi" w:hAnsiTheme="minorHAnsi"/>
          <w:color w:val="1F497D" w:themeColor="text2"/>
          <w:sz w:val="22"/>
          <w:szCs w:val="22"/>
        </w:rPr>
        <w:t>explore perceptions of the Peace Corps and other volunteer organizations among the Millenni</w:t>
      </w:r>
      <w:r w:rsidR="007B46E2">
        <w:rPr>
          <w:rFonts w:asciiTheme="minorHAnsi" w:hAnsiTheme="minorHAnsi"/>
          <w:color w:val="1F497D" w:themeColor="text2"/>
          <w:sz w:val="22"/>
          <w:szCs w:val="22"/>
        </w:rPr>
        <w:t>al generation</w:t>
      </w:r>
    </w:p>
    <w:p w:rsidR="00F34611" w:rsidRDefault="00C16B7F" w:rsidP="00C16B7F">
      <w:pPr>
        <w:pStyle w:val="ListParagraph"/>
        <w:numPr>
          <w:ilvl w:val="0"/>
          <w:numId w:val="19"/>
        </w:numPr>
        <w:rPr>
          <w:rFonts w:asciiTheme="minorHAnsi" w:hAnsiTheme="minorHAnsi"/>
          <w:color w:val="1F497D" w:themeColor="text2"/>
          <w:sz w:val="22"/>
          <w:szCs w:val="22"/>
        </w:rPr>
      </w:pPr>
      <w:r w:rsidRPr="00C16B7F">
        <w:rPr>
          <w:rFonts w:asciiTheme="minorHAnsi" w:hAnsiTheme="minorHAnsi"/>
          <w:color w:val="1F497D" w:themeColor="text2"/>
          <w:sz w:val="22"/>
          <w:szCs w:val="22"/>
        </w:rPr>
        <w:t xml:space="preserve">To </w:t>
      </w:r>
      <w:r w:rsidR="00F34611">
        <w:rPr>
          <w:rFonts w:asciiTheme="minorHAnsi" w:hAnsiTheme="minorHAnsi"/>
          <w:color w:val="1F497D" w:themeColor="text2"/>
          <w:sz w:val="22"/>
          <w:szCs w:val="22"/>
        </w:rPr>
        <w:t>understand what career options and opportunities college graduates entertain and how the Peace Corps fits into that competitive set</w:t>
      </w:r>
    </w:p>
    <w:p w:rsidR="006456D9" w:rsidRDefault="00F34611" w:rsidP="00C16B7F">
      <w:pPr>
        <w:pStyle w:val="ListParagraph"/>
        <w:numPr>
          <w:ilvl w:val="0"/>
          <w:numId w:val="19"/>
        </w:numPr>
        <w:rPr>
          <w:rFonts w:asciiTheme="minorHAnsi" w:hAnsiTheme="minorHAnsi"/>
          <w:color w:val="1F497D" w:themeColor="text2"/>
          <w:sz w:val="22"/>
          <w:szCs w:val="22"/>
        </w:rPr>
      </w:pPr>
      <w:r>
        <w:rPr>
          <w:rFonts w:asciiTheme="minorHAnsi" w:hAnsiTheme="minorHAnsi"/>
          <w:color w:val="1F497D" w:themeColor="text2"/>
          <w:sz w:val="22"/>
          <w:szCs w:val="22"/>
        </w:rPr>
        <w:t>To learn what messages and marketing strategies best resonate with Millennials</w:t>
      </w:r>
      <w:r w:rsidR="00BF04EC">
        <w:rPr>
          <w:rFonts w:asciiTheme="minorHAnsi" w:hAnsiTheme="minorHAnsi"/>
          <w:color w:val="1F497D" w:themeColor="text2"/>
          <w:sz w:val="22"/>
          <w:szCs w:val="22"/>
        </w:rPr>
        <w:t xml:space="preserve"> and</w:t>
      </w:r>
      <w:r>
        <w:rPr>
          <w:rFonts w:asciiTheme="minorHAnsi" w:hAnsiTheme="minorHAnsi"/>
          <w:color w:val="1F497D" w:themeColor="text2"/>
          <w:sz w:val="22"/>
          <w:szCs w:val="22"/>
        </w:rPr>
        <w:t xml:space="preserve"> that the  Peace Corps</w:t>
      </w:r>
      <w:r w:rsidR="006456D9">
        <w:rPr>
          <w:rFonts w:asciiTheme="minorHAnsi" w:hAnsiTheme="minorHAnsi"/>
          <w:color w:val="1F497D" w:themeColor="text2"/>
          <w:sz w:val="22"/>
          <w:szCs w:val="22"/>
        </w:rPr>
        <w:t xml:space="preserve"> can leverage for future communications</w:t>
      </w:r>
    </w:p>
    <w:p w:rsidR="006456D9" w:rsidRDefault="006456D9" w:rsidP="00C16B7F">
      <w:pPr>
        <w:pStyle w:val="ListParagraph"/>
        <w:numPr>
          <w:ilvl w:val="0"/>
          <w:numId w:val="19"/>
        </w:numPr>
        <w:rPr>
          <w:rFonts w:asciiTheme="minorHAnsi" w:hAnsiTheme="minorHAnsi"/>
          <w:color w:val="1F497D" w:themeColor="text2"/>
          <w:sz w:val="22"/>
          <w:szCs w:val="22"/>
        </w:rPr>
      </w:pPr>
      <w:r>
        <w:rPr>
          <w:rFonts w:asciiTheme="minorHAnsi" w:hAnsiTheme="minorHAnsi"/>
          <w:color w:val="1F497D" w:themeColor="text2"/>
          <w:sz w:val="22"/>
          <w:szCs w:val="22"/>
        </w:rPr>
        <w:t>To gather reactions to specific recruitment concepts</w:t>
      </w:r>
    </w:p>
    <w:p w:rsidR="006456D9" w:rsidRDefault="006456D9" w:rsidP="00C16B7F">
      <w:pPr>
        <w:pStyle w:val="ListParagraph"/>
        <w:numPr>
          <w:ilvl w:val="0"/>
          <w:numId w:val="19"/>
        </w:numPr>
        <w:rPr>
          <w:rFonts w:asciiTheme="minorHAnsi" w:hAnsiTheme="minorHAnsi"/>
          <w:color w:val="1F497D" w:themeColor="text2"/>
          <w:sz w:val="22"/>
          <w:szCs w:val="22"/>
        </w:rPr>
      </w:pPr>
      <w:r>
        <w:rPr>
          <w:rFonts w:asciiTheme="minorHAnsi" w:hAnsiTheme="minorHAnsi"/>
          <w:color w:val="1F497D" w:themeColor="text2"/>
          <w:sz w:val="22"/>
          <w:szCs w:val="22"/>
        </w:rPr>
        <w:t xml:space="preserve">To provide input for the content and </w:t>
      </w:r>
      <w:r w:rsidR="00465EA5">
        <w:rPr>
          <w:rFonts w:asciiTheme="minorHAnsi" w:hAnsiTheme="minorHAnsi"/>
          <w:color w:val="1F497D" w:themeColor="text2"/>
          <w:sz w:val="22"/>
          <w:szCs w:val="22"/>
        </w:rPr>
        <w:t xml:space="preserve">questionnaire </w:t>
      </w:r>
      <w:r>
        <w:rPr>
          <w:rFonts w:asciiTheme="minorHAnsi" w:hAnsiTheme="minorHAnsi"/>
          <w:color w:val="1F497D" w:themeColor="text2"/>
          <w:sz w:val="22"/>
          <w:szCs w:val="22"/>
        </w:rPr>
        <w:t>wording of the next phase of research, the quantitative survey</w:t>
      </w:r>
    </w:p>
    <w:p w:rsidR="001B0AAA" w:rsidRDefault="001B0AAA"/>
    <w:p w:rsidR="00936BEB" w:rsidRPr="008F203F" w:rsidRDefault="00936BEB" w:rsidP="00936BEB">
      <w:pPr>
        <w:rPr>
          <w:rFonts w:asciiTheme="minorHAnsi" w:hAnsiTheme="minorHAnsi"/>
          <w:b/>
          <w:color w:val="1F497D" w:themeColor="text2"/>
          <w:sz w:val="22"/>
          <w:szCs w:val="22"/>
        </w:rPr>
      </w:pPr>
      <w:r w:rsidRPr="008F203F">
        <w:rPr>
          <w:rFonts w:asciiTheme="minorHAnsi" w:hAnsiTheme="minorHAnsi"/>
          <w:color w:val="1F497D" w:themeColor="text2"/>
          <w:sz w:val="22"/>
          <w:szCs w:val="22"/>
        </w:rPr>
        <w:t>Th</w:t>
      </w:r>
      <w:r w:rsidR="006456D9">
        <w:rPr>
          <w:rFonts w:asciiTheme="minorHAnsi" w:hAnsiTheme="minorHAnsi"/>
          <w:color w:val="1F497D" w:themeColor="text2"/>
          <w:sz w:val="22"/>
          <w:szCs w:val="22"/>
        </w:rPr>
        <w:t>is</w:t>
      </w:r>
      <w:r w:rsidRPr="008F203F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r w:rsidR="006456D9">
        <w:rPr>
          <w:rFonts w:asciiTheme="minorHAnsi" w:hAnsiTheme="minorHAnsi"/>
          <w:color w:val="1F497D" w:themeColor="text2"/>
          <w:sz w:val="22"/>
          <w:szCs w:val="22"/>
        </w:rPr>
        <w:t xml:space="preserve">qualitative component is part of an ongoing research effort about Millennials and the Peace Corps. </w:t>
      </w:r>
      <w:r w:rsidR="007B46E2">
        <w:rPr>
          <w:rFonts w:asciiTheme="minorHAnsi" w:hAnsiTheme="minorHAnsi"/>
          <w:color w:val="1F497D" w:themeColor="text2"/>
          <w:sz w:val="22"/>
          <w:szCs w:val="22"/>
        </w:rPr>
        <w:t>In addition to these online bulletin boards, qualitative research also includes a set of focus groups with Parents of Millennials</w:t>
      </w:r>
      <w:r w:rsidR="0096076E">
        <w:rPr>
          <w:rFonts w:asciiTheme="minorHAnsi" w:hAnsiTheme="minorHAnsi"/>
          <w:color w:val="1F497D" w:themeColor="text2"/>
          <w:sz w:val="22"/>
          <w:szCs w:val="22"/>
        </w:rPr>
        <w:t>, which we will be submitting under a separate OMB generic clearance form</w:t>
      </w:r>
      <w:r w:rsidR="007B46E2">
        <w:rPr>
          <w:rFonts w:asciiTheme="minorHAnsi" w:hAnsiTheme="minorHAnsi"/>
          <w:color w:val="1F497D" w:themeColor="text2"/>
          <w:sz w:val="22"/>
          <w:szCs w:val="22"/>
        </w:rPr>
        <w:t xml:space="preserve">. </w:t>
      </w:r>
      <w:r w:rsidR="00080940">
        <w:rPr>
          <w:rFonts w:asciiTheme="minorHAnsi" w:hAnsiTheme="minorHAnsi"/>
          <w:color w:val="1F497D" w:themeColor="text2"/>
          <w:sz w:val="22"/>
          <w:szCs w:val="22"/>
        </w:rPr>
        <w:t>Formative research preceded qualitative research and included stakeholder interviews, secondary research, social listening, and an omnibus survey</w:t>
      </w:r>
      <w:r w:rsidR="0096076E">
        <w:rPr>
          <w:rFonts w:asciiTheme="minorHAnsi" w:hAnsiTheme="minorHAnsi"/>
          <w:color w:val="1F497D" w:themeColor="text2"/>
          <w:sz w:val="22"/>
          <w:szCs w:val="22"/>
        </w:rPr>
        <w:t xml:space="preserve"> (approved by OMB)</w:t>
      </w:r>
      <w:r w:rsidR="00080940">
        <w:rPr>
          <w:rFonts w:asciiTheme="minorHAnsi" w:hAnsiTheme="minorHAnsi"/>
          <w:color w:val="1F497D" w:themeColor="text2"/>
          <w:sz w:val="22"/>
          <w:szCs w:val="22"/>
        </w:rPr>
        <w:t>. A quantitative survey phase will follow the qualitative project</w:t>
      </w:r>
      <w:r w:rsidR="0096076E">
        <w:rPr>
          <w:rFonts w:asciiTheme="minorHAnsi" w:hAnsiTheme="minorHAnsi"/>
          <w:color w:val="1F497D" w:themeColor="text2"/>
          <w:sz w:val="22"/>
          <w:szCs w:val="22"/>
        </w:rPr>
        <w:t>, which will also be submitted under a separate OMB generic clearance form</w:t>
      </w:r>
      <w:r w:rsidR="00080940">
        <w:rPr>
          <w:rFonts w:asciiTheme="minorHAnsi" w:hAnsiTheme="minorHAnsi"/>
          <w:color w:val="1F497D" w:themeColor="text2"/>
          <w:sz w:val="22"/>
          <w:szCs w:val="22"/>
        </w:rPr>
        <w:t xml:space="preserve">. </w:t>
      </w:r>
      <w:r w:rsidRPr="008F203F">
        <w:rPr>
          <w:rFonts w:asciiTheme="minorHAnsi" w:hAnsiTheme="minorHAnsi"/>
          <w:color w:val="1F497D" w:themeColor="text2"/>
          <w:sz w:val="22"/>
          <w:szCs w:val="22"/>
        </w:rPr>
        <w:t xml:space="preserve">The </w:t>
      </w:r>
      <w:r>
        <w:rPr>
          <w:rFonts w:asciiTheme="minorHAnsi" w:hAnsiTheme="minorHAnsi"/>
          <w:color w:val="1F497D" w:themeColor="text2"/>
          <w:sz w:val="22"/>
          <w:szCs w:val="22"/>
        </w:rPr>
        <w:t>pro</w:t>
      </w:r>
      <w:r w:rsidRPr="008F203F">
        <w:rPr>
          <w:rFonts w:asciiTheme="minorHAnsi" w:hAnsiTheme="minorHAnsi"/>
          <w:color w:val="1F497D" w:themeColor="text2"/>
          <w:sz w:val="22"/>
          <w:szCs w:val="22"/>
        </w:rPr>
        <w:t>ject goal is to understand what messages will most appeal to Millennials to interest them in joining the Peace Corps.</w:t>
      </w:r>
      <w:r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</w:p>
    <w:p w:rsidR="00936BEB" w:rsidRDefault="00936BEB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936BEB" w:rsidRPr="00A67C18" w:rsidRDefault="00465EA5" w:rsidP="007B46E2">
      <w:pPr>
        <w:pStyle w:val="Header"/>
        <w:tabs>
          <w:tab w:val="clear" w:pos="4320"/>
          <w:tab w:val="clear" w:pos="8640"/>
        </w:tabs>
        <w:rPr>
          <w:rFonts w:asciiTheme="minorHAnsi" w:hAnsiTheme="minorHAnsi"/>
          <w:snapToGrid/>
          <w:color w:val="1F497D" w:themeColor="text2"/>
          <w:sz w:val="22"/>
          <w:szCs w:val="22"/>
        </w:rPr>
      </w:pPr>
      <w:r>
        <w:rPr>
          <w:rFonts w:asciiTheme="minorHAnsi" w:hAnsiTheme="minorHAnsi"/>
          <w:color w:val="1F497D" w:themeColor="text2"/>
          <w:sz w:val="22"/>
          <w:szCs w:val="22"/>
        </w:rPr>
        <w:t xml:space="preserve">Millennials, aged 15-26, will participate in </w:t>
      </w:r>
      <w:r w:rsidR="00A67C18">
        <w:rPr>
          <w:rFonts w:asciiTheme="minorHAnsi" w:hAnsiTheme="minorHAnsi"/>
          <w:color w:val="1F497D" w:themeColor="text2"/>
          <w:sz w:val="22"/>
          <w:szCs w:val="22"/>
        </w:rPr>
        <w:t xml:space="preserve">a set of three </w:t>
      </w:r>
      <w:r>
        <w:rPr>
          <w:rFonts w:asciiTheme="minorHAnsi" w:hAnsiTheme="minorHAnsi"/>
          <w:color w:val="1F497D" w:themeColor="text2"/>
          <w:sz w:val="22"/>
          <w:szCs w:val="22"/>
        </w:rPr>
        <w:t xml:space="preserve">online bulletin boards. Each </w:t>
      </w:r>
      <w:r w:rsidR="00080940">
        <w:rPr>
          <w:rFonts w:asciiTheme="minorHAnsi" w:hAnsiTheme="minorHAnsi"/>
          <w:color w:val="1F497D" w:themeColor="text2"/>
          <w:sz w:val="22"/>
          <w:szCs w:val="22"/>
        </w:rPr>
        <w:t xml:space="preserve">respondent </w:t>
      </w:r>
      <w:r>
        <w:rPr>
          <w:rFonts w:asciiTheme="minorHAnsi" w:hAnsiTheme="minorHAnsi"/>
          <w:color w:val="1F497D" w:themeColor="text2"/>
          <w:sz w:val="22"/>
          <w:szCs w:val="22"/>
        </w:rPr>
        <w:t>must have a working computer at home</w:t>
      </w:r>
      <w:r w:rsidR="00790531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r>
        <w:rPr>
          <w:rFonts w:asciiTheme="minorHAnsi" w:hAnsiTheme="minorHAnsi"/>
          <w:color w:val="1F497D" w:themeColor="text2"/>
          <w:sz w:val="22"/>
          <w:szCs w:val="22"/>
        </w:rPr>
        <w:t>with internet access</w:t>
      </w:r>
      <w:r w:rsidR="00790531">
        <w:rPr>
          <w:rFonts w:asciiTheme="minorHAnsi" w:hAnsiTheme="minorHAnsi"/>
          <w:color w:val="1F497D" w:themeColor="text2"/>
          <w:sz w:val="22"/>
          <w:szCs w:val="22"/>
        </w:rPr>
        <w:t xml:space="preserve">. At least </w:t>
      </w:r>
      <w:r w:rsidR="00811E02">
        <w:rPr>
          <w:rFonts w:asciiTheme="minorHAnsi" w:hAnsiTheme="minorHAnsi"/>
          <w:color w:val="1F497D" w:themeColor="text2"/>
          <w:sz w:val="22"/>
          <w:szCs w:val="22"/>
        </w:rPr>
        <w:t xml:space="preserve">one-third </w:t>
      </w:r>
      <w:r w:rsidR="00790531">
        <w:rPr>
          <w:rFonts w:asciiTheme="minorHAnsi" w:hAnsiTheme="minorHAnsi"/>
          <w:color w:val="1F497D" w:themeColor="text2"/>
          <w:sz w:val="22"/>
          <w:szCs w:val="22"/>
        </w:rPr>
        <w:t>must be active participants in volunteer or community</w:t>
      </w:r>
      <w:r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r w:rsidR="00790531">
        <w:rPr>
          <w:rFonts w:asciiTheme="minorHAnsi" w:hAnsiTheme="minorHAnsi"/>
          <w:color w:val="1F497D" w:themeColor="text2"/>
          <w:sz w:val="22"/>
          <w:szCs w:val="22"/>
        </w:rPr>
        <w:t xml:space="preserve">service activities. </w:t>
      </w:r>
      <w:r w:rsidR="00BF04EC">
        <w:rPr>
          <w:rFonts w:asciiTheme="minorHAnsi" w:hAnsiTheme="minorHAnsi"/>
          <w:color w:val="1F497D" w:themeColor="text2"/>
          <w:sz w:val="22"/>
          <w:szCs w:val="22"/>
        </w:rPr>
        <w:t xml:space="preserve">Each of the </w:t>
      </w:r>
      <w:r w:rsidR="00A67C18">
        <w:rPr>
          <w:rFonts w:asciiTheme="minorHAnsi" w:hAnsiTheme="minorHAnsi"/>
          <w:color w:val="1F497D" w:themeColor="text2"/>
          <w:sz w:val="22"/>
          <w:szCs w:val="22"/>
        </w:rPr>
        <w:t xml:space="preserve">three online bulletin boards will include </w:t>
      </w:r>
      <w:r w:rsidR="007B46E2">
        <w:rPr>
          <w:rFonts w:asciiTheme="minorHAnsi" w:hAnsiTheme="minorHAnsi"/>
          <w:color w:val="1F497D" w:themeColor="text2"/>
          <w:sz w:val="22"/>
          <w:szCs w:val="22"/>
        </w:rPr>
        <w:t xml:space="preserve">a </w:t>
      </w:r>
      <w:r w:rsidR="00A67C18">
        <w:rPr>
          <w:rFonts w:asciiTheme="minorHAnsi" w:hAnsiTheme="minorHAnsi"/>
          <w:color w:val="1F497D" w:themeColor="text2"/>
          <w:sz w:val="22"/>
          <w:szCs w:val="22"/>
        </w:rPr>
        <w:t>separate age group:</w:t>
      </w:r>
    </w:p>
    <w:p w:rsidR="00A67C18" w:rsidRDefault="00A67C18" w:rsidP="00A67C18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  <w:rPr>
          <w:rFonts w:asciiTheme="minorHAnsi" w:hAnsiTheme="minorHAnsi"/>
          <w:color w:val="1F497D" w:themeColor="text2"/>
          <w:sz w:val="22"/>
          <w:szCs w:val="22"/>
        </w:rPr>
      </w:pPr>
      <w:r>
        <w:rPr>
          <w:rFonts w:asciiTheme="minorHAnsi" w:hAnsiTheme="minorHAnsi"/>
          <w:color w:val="1F497D" w:themeColor="text2"/>
          <w:sz w:val="22"/>
          <w:szCs w:val="22"/>
        </w:rPr>
        <w:t>15-17 year olds currently enrolled in high school</w:t>
      </w:r>
      <w:r w:rsidR="007F0BD4">
        <w:rPr>
          <w:rFonts w:asciiTheme="minorHAnsi" w:hAnsiTheme="minorHAnsi"/>
          <w:color w:val="1F497D" w:themeColor="text2"/>
          <w:sz w:val="22"/>
          <w:szCs w:val="22"/>
        </w:rPr>
        <w:t xml:space="preserve"> (for participants in this age group, Ipsos will secure parental permission)</w:t>
      </w:r>
    </w:p>
    <w:p w:rsidR="00A67C18" w:rsidRDefault="00A67C18" w:rsidP="00A67C18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  <w:rPr>
          <w:rFonts w:asciiTheme="minorHAnsi" w:hAnsiTheme="minorHAnsi"/>
          <w:color w:val="1F497D" w:themeColor="text2"/>
          <w:sz w:val="22"/>
          <w:szCs w:val="22"/>
        </w:rPr>
      </w:pPr>
      <w:r>
        <w:rPr>
          <w:rFonts w:asciiTheme="minorHAnsi" w:hAnsiTheme="minorHAnsi"/>
          <w:color w:val="1F497D" w:themeColor="text2"/>
          <w:sz w:val="22"/>
          <w:szCs w:val="22"/>
        </w:rPr>
        <w:t>18-22 year olds currently attending a four-year college or university</w:t>
      </w:r>
    </w:p>
    <w:p w:rsidR="00A67C18" w:rsidRPr="00A67C18" w:rsidRDefault="00A67C18" w:rsidP="00A67C18">
      <w:pPr>
        <w:pStyle w:val="Header"/>
        <w:numPr>
          <w:ilvl w:val="0"/>
          <w:numId w:val="22"/>
        </w:numPr>
        <w:tabs>
          <w:tab w:val="clear" w:pos="4320"/>
          <w:tab w:val="clear" w:pos="8640"/>
        </w:tabs>
        <w:rPr>
          <w:rFonts w:asciiTheme="minorHAnsi" w:hAnsiTheme="minorHAnsi"/>
          <w:snapToGrid/>
          <w:color w:val="1F497D" w:themeColor="text2"/>
          <w:sz w:val="22"/>
          <w:szCs w:val="22"/>
        </w:rPr>
      </w:pPr>
      <w:r>
        <w:rPr>
          <w:rFonts w:asciiTheme="minorHAnsi" w:hAnsiTheme="minorHAnsi"/>
          <w:color w:val="1F497D" w:themeColor="text2"/>
          <w:sz w:val="22"/>
          <w:szCs w:val="22"/>
        </w:rPr>
        <w:t>23-26 year olds who are graduates of a four-year college or university</w:t>
      </w:r>
    </w:p>
    <w:p w:rsidR="00A67C18" w:rsidRPr="00FC438C" w:rsidRDefault="00A67C18" w:rsidP="007B46E2">
      <w:pPr>
        <w:pStyle w:val="Header"/>
        <w:tabs>
          <w:tab w:val="clear" w:pos="4320"/>
          <w:tab w:val="clear" w:pos="8640"/>
        </w:tabs>
        <w:jc w:val="both"/>
        <w:rPr>
          <w:rFonts w:asciiTheme="minorHAnsi" w:hAnsiTheme="minorHAnsi"/>
          <w:color w:val="1F497D" w:themeColor="text2"/>
          <w:sz w:val="22"/>
          <w:szCs w:val="22"/>
        </w:rPr>
      </w:pPr>
      <w:r>
        <w:rPr>
          <w:rFonts w:asciiTheme="minorHAnsi" w:hAnsiTheme="minorHAnsi"/>
          <w:color w:val="1F497D" w:themeColor="text2"/>
          <w:sz w:val="22"/>
          <w:szCs w:val="22"/>
        </w:rPr>
        <w:t>A mix of genders, ethnicities, and socio-economic statuses will be included</w:t>
      </w:r>
      <w:r w:rsidR="00532DCE">
        <w:rPr>
          <w:rFonts w:asciiTheme="minorHAnsi" w:hAnsiTheme="minorHAnsi"/>
          <w:color w:val="1F497D" w:themeColor="text2"/>
          <w:sz w:val="22"/>
          <w:szCs w:val="22"/>
        </w:rPr>
        <w:t xml:space="preserve"> and </w:t>
      </w:r>
      <w:r w:rsidR="007B46E2">
        <w:rPr>
          <w:rFonts w:asciiTheme="minorHAnsi" w:hAnsiTheme="minorHAnsi"/>
          <w:color w:val="1F497D" w:themeColor="text2"/>
          <w:sz w:val="22"/>
          <w:szCs w:val="22"/>
        </w:rPr>
        <w:t xml:space="preserve">participants </w:t>
      </w:r>
      <w:r w:rsidR="00532DCE">
        <w:rPr>
          <w:rFonts w:asciiTheme="minorHAnsi" w:hAnsiTheme="minorHAnsi"/>
          <w:color w:val="1F497D" w:themeColor="text2"/>
          <w:sz w:val="22"/>
          <w:szCs w:val="22"/>
        </w:rPr>
        <w:t xml:space="preserve">will </w:t>
      </w:r>
      <w:r w:rsidR="007B46E2">
        <w:rPr>
          <w:rFonts w:asciiTheme="minorHAnsi" w:hAnsiTheme="minorHAnsi"/>
          <w:color w:val="1F497D" w:themeColor="text2"/>
          <w:sz w:val="22"/>
          <w:szCs w:val="22"/>
        </w:rPr>
        <w:t xml:space="preserve">come </w:t>
      </w:r>
      <w:r w:rsidR="00532DCE">
        <w:rPr>
          <w:rFonts w:asciiTheme="minorHAnsi" w:hAnsiTheme="minorHAnsi"/>
          <w:color w:val="1F497D" w:themeColor="text2"/>
          <w:sz w:val="22"/>
          <w:szCs w:val="22"/>
        </w:rPr>
        <w:t>from throughout the USA.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 xml:space="preserve">[ 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936BEB" w:rsidRDefault="00935ADA" w:rsidP="0096108F">
      <w:pPr>
        <w:pStyle w:val="BodyTextIndent"/>
        <w:tabs>
          <w:tab w:val="left" w:pos="360"/>
        </w:tabs>
        <w:ind w:left="0"/>
        <w:rPr>
          <w:rFonts w:asciiTheme="minorHAnsi" w:hAnsiTheme="minorHAnsi"/>
          <w:bCs/>
          <w:color w:val="1F497D" w:themeColor="text2"/>
          <w:sz w:val="22"/>
          <w:szCs w:val="22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4F5F91" w:rsidRPr="008F203F">
        <w:rPr>
          <w:rFonts w:asciiTheme="minorHAnsi" w:hAnsiTheme="minorHAnsi"/>
          <w:bCs/>
          <w:color w:val="1F497D" w:themeColor="text2"/>
          <w:sz w:val="22"/>
          <w:szCs w:val="22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4F5F91">
        <w:rPr>
          <w:bCs/>
          <w:sz w:val="24"/>
        </w:rPr>
        <w:t xml:space="preserve"> </w:t>
      </w:r>
      <w:r w:rsidR="00465EA5">
        <w:rPr>
          <w:rFonts w:asciiTheme="minorHAnsi" w:hAnsiTheme="minorHAnsi"/>
          <w:bCs/>
          <w:color w:val="1F497D" w:themeColor="text2"/>
          <w:sz w:val="22"/>
          <w:szCs w:val="22"/>
          <w:u w:val="single"/>
        </w:rPr>
        <w:t xml:space="preserve">Online Bulletin Boards </w:t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lastRenderedPageBreak/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152F2F" w:rsidRDefault="008101A5" w:rsidP="009C13B9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D5646E" w:rsidRDefault="00D5646E" w:rsidP="009C13B9"/>
    <w:p w:rsidR="00152F2F" w:rsidRDefault="009C13B9" w:rsidP="009C13B9">
      <w:r w:rsidRPr="00000BD8">
        <w:t>Name</w:t>
      </w:r>
      <w:r w:rsidR="00D5646E" w:rsidRPr="00E368DD">
        <w:rPr>
          <w:u w:val="single"/>
        </w:rPr>
        <w:t>:___</w:t>
      </w:r>
      <w:r w:rsidR="00F16FBA" w:rsidRPr="00E368DD">
        <w:rPr>
          <w:u w:val="single"/>
        </w:rPr>
        <w:t xml:space="preserve"> Denora Miller, FOIA/Privacy Act Officer</w:t>
      </w:r>
      <w:r w:rsidR="00F16FBA" w:rsidDel="00F16FBA">
        <w:t xml:space="preserve"> </w:t>
      </w:r>
    </w:p>
    <w:p w:rsidR="00152F2F" w:rsidRDefault="00152F2F" w:rsidP="009C13B9"/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 xml:space="preserve">[ </w:t>
      </w:r>
      <w:r w:rsidR="00D32239" w:rsidRPr="00D32239">
        <w:rPr>
          <w:rFonts w:asciiTheme="minorHAnsi" w:hAnsiTheme="minorHAnsi"/>
          <w:color w:val="1F497D" w:themeColor="text2"/>
          <w:sz w:val="22"/>
          <w:szCs w:val="22"/>
        </w:rPr>
        <w:t>X</w:t>
      </w:r>
      <w:r w:rsidR="009239AA">
        <w:t xml:space="preserve">] Yes  [ ]  No </w:t>
      </w:r>
    </w:p>
    <w:p w:rsidR="00DE065A" w:rsidRDefault="00DE065A" w:rsidP="00DE065A">
      <w:pPr>
        <w:pStyle w:val="ListParagraph"/>
        <w:ind w:left="360"/>
        <w:rPr>
          <w:rFonts w:asciiTheme="minorHAnsi" w:hAnsiTheme="minorHAnsi"/>
          <w:color w:val="1F497D" w:themeColor="text2"/>
          <w:sz w:val="22"/>
          <w:szCs w:val="22"/>
        </w:rPr>
      </w:pPr>
    </w:p>
    <w:p w:rsidR="00DE065A" w:rsidRPr="00FC438C" w:rsidRDefault="00DE065A" w:rsidP="00DE065A">
      <w:pPr>
        <w:pStyle w:val="ListParagraph"/>
        <w:ind w:left="360"/>
        <w:rPr>
          <w:rFonts w:asciiTheme="minorHAnsi" w:hAnsiTheme="minorHAnsi"/>
          <w:color w:val="1F497D" w:themeColor="text2"/>
          <w:sz w:val="22"/>
          <w:szCs w:val="22"/>
        </w:rPr>
      </w:pPr>
      <w:r w:rsidRPr="00FC438C">
        <w:rPr>
          <w:rFonts w:asciiTheme="minorHAnsi" w:hAnsiTheme="minorHAnsi"/>
          <w:color w:val="1F497D" w:themeColor="text2"/>
          <w:sz w:val="22"/>
          <w:szCs w:val="22"/>
        </w:rPr>
        <w:t xml:space="preserve">In order to </w:t>
      </w:r>
      <w:r w:rsidR="00FC438C" w:rsidRPr="00FC438C">
        <w:rPr>
          <w:rFonts w:asciiTheme="minorHAnsi" w:hAnsiTheme="minorHAnsi"/>
          <w:color w:val="1F497D" w:themeColor="text2"/>
          <w:sz w:val="22"/>
          <w:szCs w:val="22"/>
        </w:rPr>
        <w:t>screen for the</w:t>
      </w:r>
      <w:r w:rsidR="000D21F4">
        <w:rPr>
          <w:rFonts w:asciiTheme="minorHAnsi" w:hAnsiTheme="minorHAnsi"/>
          <w:color w:val="1F497D" w:themeColor="text2"/>
          <w:sz w:val="22"/>
          <w:szCs w:val="22"/>
        </w:rPr>
        <w:t xml:space="preserve"> right types of participants,</w:t>
      </w:r>
      <w:r w:rsidRPr="00FC438C">
        <w:rPr>
          <w:rFonts w:asciiTheme="minorHAnsi" w:hAnsiTheme="minorHAnsi"/>
          <w:color w:val="1F497D" w:themeColor="text2"/>
          <w:sz w:val="22"/>
          <w:szCs w:val="22"/>
        </w:rPr>
        <w:t xml:space="preserve"> Ipsos </w:t>
      </w:r>
      <w:r w:rsidR="00FC438C" w:rsidRPr="00FC438C">
        <w:rPr>
          <w:rFonts w:asciiTheme="minorHAnsi" w:hAnsiTheme="minorHAnsi"/>
          <w:color w:val="1F497D" w:themeColor="text2"/>
          <w:sz w:val="22"/>
          <w:szCs w:val="22"/>
        </w:rPr>
        <w:t>will co</w:t>
      </w:r>
      <w:r w:rsidRPr="00FC438C">
        <w:rPr>
          <w:rFonts w:asciiTheme="minorHAnsi" w:hAnsiTheme="minorHAnsi"/>
          <w:color w:val="1F497D" w:themeColor="text2"/>
          <w:sz w:val="22"/>
          <w:szCs w:val="22"/>
        </w:rPr>
        <w:t xml:space="preserve">llect the following personally identifiable information from </w:t>
      </w:r>
      <w:r w:rsidR="007B46E2">
        <w:rPr>
          <w:rFonts w:asciiTheme="minorHAnsi" w:hAnsiTheme="minorHAnsi"/>
          <w:color w:val="1F497D" w:themeColor="text2"/>
          <w:sz w:val="22"/>
          <w:szCs w:val="22"/>
        </w:rPr>
        <w:t>Millennials</w:t>
      </w:r>
      <w:r w:rsidR="00080940">
        <w:rPr>
          <w:rFonts w:asciiTheme="minorHAnsi" w:hAnsiTheme="minorHAnsi"/>
          <w:color w:val="1F497D" w:themeColor="text2"/>
          <w:sz w:val="22"/>
          <w:szCs w:val="22"/>
        </w:rPr>
        <w:t>:</w:t>
      </w:r>
    </w:p>
    <w:p w:rsidR="00DE065A" w:rsidRPr="00FC438C" w:rsidRDefault="00DE065A" w:rsidP="00DE065A">
      <w:pPr>
        <w:pStyle w:val="ListParagraph"/>
        <w:ind w:left="360"/>
        <w:rPr>
          <w:rFonts w:asciiTheme="minorHAnsi" w:hAnsiTheme="minorHAnsi"/>
          <w:color w:val="1F497D" w:themeColor="text2"/>
          <w:sz w:val="22"/>
          <w:szCs w:val="22"/>
        </w:rPr>
      </w:pPr>
    </w:p>
    <w:p w:rsidR="00DE065A" w:rsidRPr="00FC438C" w:rsidRDefault="00DE065A" w:rsidP="00FC438C">
      <w:pPr>
        <w:pStyle w:val="ListParagraph"/>
        <w:numPr>
          <w:ilvl w:val="0"/>
          <w:numId w:val="24"/>
        </w:numPr>
        <w:rPr>
          <w:rFonts w:asciiTheme="minorHAnsi" w:hAnsiTheme="minorHAnsi"/>
          <w:color w:val="1F497D" w:themeColor="text2"/>
          <w:sz w:val="22"/>
          <w:szCs w:val="22"/>
        </w:rPr>
      </w:pPr>
      <w:r w:rsidRPr="00FC438C">
        <w:rPr>
          <w:rFonts w:asciiTheme="minorHAnsi" w:hAnsiTheme="minorHAnsi"/>
          <w:color w:val="1F497D" w:themeColor="text2"/>
          <w:sz w:val="22"/>
          <w:szCs w:val="22"/>
        </w:rPr>
        <w:t>Gender</w:t>
      </w:r>
    </w:p>
    <w:p w:rsidR="00FC438C" w:rsidRPr="00FC438C" w:rsidRDefault="00FC438C" w:rsidP="00FC438C">
      <w:pPr>
        <w:pStyle w:val="ListParagraph"/>
        <w:numPr>
          <w:ilvl w:val="0"/>
          <w:numId w:val="24"/>
        </w:numPr>
        <w:rPr>
          <w:rFonts w:asciiTheme="minorHAnsi" w:hAnsiTheme="minorHAnsi"/>
          <w:color w:val="1F497D" w:themeColor="text2"/>
          <w:sz w:val="22"/>
          <w:szCs w:val="22"/>
        </w:rPr>
      </w:pPr>
      <w:r w:rsidRPr="00FC438C">
        <w:rPr>
          <w:rFonts w:asciiTheme="minorHAnsi" w:hAnsiTheme="minorHAnsi"/>
          <w:color w:val="1F497D" w:themeColor="text2"/>
          <w:sz w:val="22"/>
          <w:szCs w:val="22"/>
        </w:rPr>
        <w:t xml:space="preserve">Age </w:t>
      </w:r>
    </w:p>
    <w:p w:rsidR="00DE065A" w:rsidRPr="00FC438C" w:rsidRDefault="00DE065A" w:rsidP="00FC438C">
      <w:pPr>
        <w:pStyle w:val="ListParagraph"/>
        <w:numPr>
          <w:ilvl w:val="0"/>
          <w:numId w:val="24"/>
        </w:numPr>
        <w:rPr>
          <w:rFonts w:asciiTheme="minorHAnsi" w:hAnsiTheme="minorHAnsi"/>
          <w:color w:val="1F497D" w:themeColor="text2"/>
          <w:sz w:val="22"/>
          <w:szCs w:val="22"/>
        </w:rPr>
      </w:pPr>
      <w:r w:rsidRPr="00FC438C">
        <w:rPr>
          <w:rFonts w:asciiTheme="minorHAnsi" w:hAnsiTheme="minorHAnsi"/>
          <w:color w:val="1F497D" w:themeColor="text2"/>
          <w:sz w:val="22"/>
          <w:szCs w:val="22"/>
        </w:rPr>
        <w:t>Race/ethnicity</w:t>
      </w:r>
    </w:p>
    <w:p w:rsidR="007B46E2" w:rsidRDefault="00DE065A" w:rsidP="00FC438C">
      <w:pPr>
        <w:pStyle w:val="ListParagraph"/>
        <w:numPr>
          <w:ilvl w:val="0"/>
          <w:numId w:val="24"/>
        </w:numPr>
        <w:rPr>
          <w:rFonts w:asciiTheme="minorHAnsi" w:hAnsiTheme="minorHAnsi"/>
          <w:color w:val="1F497D" w:themeColor="text2"/>
          <w:sz w:val="22"/>
          <w:szCs w:val="22"/>
        </w:rPr>
      </w:pPr>
      <w:r w:rsidRPr="00FC438C">
        <w:rPr>
          <w:rFonts w:asciiTheme="minorHAnsi" w:hAnsiTheme="minorHAnsi"/>
          <w:color w:val="1F497D" w:themeColor="text2"/>
          <w:sz w:val="22"/>
          <w:szCs w:val="22"/>
        </w:rPr>
        <w:t>Household Income</w:t>
      </w:r>
    </w:p>
    <w:p w:rsidR="00DE065A" w:rsidRPr="00FC438C" w:rsidRDefault="007B46E2" w:rsidP="00FC438C">
      <w:pPr>
        <w:pStyle w:val="ListParagraph"/>
        <w:numPr>
          <w:ilvl w:val="0"/>
          <w:numId w:val="24"/>
        </w:numPr>
        <w:rPr>
          <w:rFonts w:asciiTheme="minorHAnsi" w:hAnsiTheme="minorHAnsi"/>
          <w:color w:val="1F497D" w:themeColor="text2"/>
          <w:sz w:val="22"/>
          <w:szCs w:val="22"/>
        </w:rPr>
      </w:pPr>
      <w:r>
        <w:rPr>
          <w:rFonts w:asciiTheme="minorHAnsi" w:hAnsiTheme="minorHAnsi"/>
          <w:color w:val="1F497D" w:themeColor="text2"/>
          <w:sz w:val="22"/>
          <w:szCs w:val="22"/>
        </w:rPr>
        <w:t>E</w:t>
      </w:r>
      <w:r w:rsidR="00FC438C" w:rsidRPr="00FC438C">
        <w:rPr>
          <w:rFonts w:asciiTheme="minorHAnsi" w:hAnsiTheme="minorHAnsi"/>
          <w:color w:val="1F497D" w:themeColor="text2"/>
          <w:sz w:val="22"/>
          <w:szCs w:val="22"/>
        </w:rPr>
        <w:t>mployment status</w:t>
      </w:r>
      <w:r>
        <w:rPr>
          <w:rFonts w:asciiTheme="minorHAnsi" w:hAnsiTheme="minorHAnsi"/>
          <w:color w:val="1F497D" w:themeColor="text2"/>
          <w:sz w:val="22"/>
          <w:szCs w:val="22"/>
        </w:rPr>
        <w:t xml:space="preserve"> of parents</w:t>
      </w:r>
    </w:p>
    <w:p w:rsidR="00FC438C" w:rsidRPr="00FC438C" w:rsidRDefault="00FC438C" w:rsidP="00FC438C">
      <w:pPr>
        <w:pStyle w:val="ListParagraph"/>
        <w:numPr>
          <w:ilvl w:val="0"/>
          <w:numId w:val="24"/>
        </w:numPr>
        <w:rPr>
          <w:rFonts w:asciiTheme="minorHAnsi" w:hAnsiTheme="minorHAnsi"/>
          <w:color w:val="1F497D" w:themeColor="text2"/>
          <w:sz w:val="22"/>
          <w:szCs w:val="22"/>
        </w:rPr>
      </w:pPr>
      <w:r w:rsidRPr="00FC438C">
        <w:rPr>
          <w:rFonts w:asciiTheme="minorHAnsi" w:hAnsiTheme="minorHAnsi"/>
          <w:color w:val="1F497D" w:themeColor="text2"/>
          <w:sz w:val="22"/>
          <w:szCs w:val="22"/>
        </w:rPr>
        <w:t>Current educational level and name of school</w:t>
      </w:r>
    </w:p>
    <w:p w:rsidR="00DE065A" w:rsidRPr="00FC438C" w:rsidRDefault="00DE065A" w:rsidP="00DE065A">
      <w:pPr>
        <w:pStyle w:val="ListParagraph"/>
        <w:ind w:left="360"/>
        <w:rPr>
          <w:rFonts w:asciiTheme="minorHAnsi" w:hAnsiTheme="minorHAnsi"/>
          <w:color w:val="1F497D" w:themeColor="text2"/>
          <w:sz w:val="22"/>
          <w:szCs w:val="22"/>
        </w:rPr>
      </w:pPr>
    </w:p>
    <w:p w:rsidR="00DE065A" w:rsidRPr="00FC438C" w:rsidRDefault="00FC438C" w:rsidP="00DE065A">
      <w:pPr>
        <w:pStyle w:val="ListParagraph"/>
        <w:ind w:left="360"/>
        <w:rPr>
          <w:rFonts w:asciiTheme="minorHAnsi" w:hAnsiTheme="minorHAnsi"/>
          <w:color w:val="1F497D" w:themeColor="text2"/>
          <w:sz w:val="22"/>
          <w:szCs w:val="22"/>
        </w:rPr>
      </w:pPr>
      <w:r w:rsidRPr="00FC438C">
        <w:rPr>
          <w:rFonts w:asciiTheme="minorHAnsi" w:hAnsiTheme="minorHAnsi"/>
          <w:color w:val="1F497D" w:themeColor="text2"/>
          <w:sz w:val="22"/>
          <w:szCs w:val="22"/>
        </w:rPr>
        <w:t xml:space="preserve">First names will be used during the discussions. </w:t>
      </w:r>
      <w:r w:rsidR="004A1F0D">
        <w:rPr>
          <w:rFonts w:asciiTheme="minorHAnsi" w:hAnsiTheme="minorHAnsi"/>
          <w:color w:val="1F497D" w:themeColor="text2"/>
          <w:sz w:val="22"/>
          <w:szCs w:val="22"/>
        </w:rPr>
        <w:t xml:space="preserve"> P</w:t>
      </w:r>
      <w:r w:rsidR="00D5646E">
        <w:rPr>
          <w:rFonts w:asciiTheme="minorHAnsi" w:hAnsiTheme="minorHAnsi"/>
          <w:color w:val="1F497D" w:themeColor="text2"/>
          <w:sz w:val="22"/>
          <w:szCs w:val="22"/>
        </w:rPr>
        <w:t xml:space="preserve">osts and comments </w:t>
      </w:r>
      <w:r w:rsidR="004A1F0D">
        <w:rPr>
          <w:rFonts w:asciiTheme="minorHAnsi" w:hAnsiTheme="minorHAnsi"/>
          <w:color w:val="1F497D" w:themeColor="text2"/>
          <w:sz w:val="22"/>
          <w:szCs w:val="22"/>
        </w:rPr>
        <w:t xml:space="preserve">by participants </w:t>
      </w:r>
      <w:r w:rsidR="00D5646E">
        <w:rPr>
          <w:rFonts w:asciiTheme="minorHAnsi" w:hAnsiTheme="minorHAnsi"/>
          <w:color w:val="1F497D" w:themeColor="text2"/>
          <w:sz w:val="22"/>
          <w:szCs w:val="22"/>
        </w:rPr>
        <w:t xml:space="preserve">will be identified by their first name, or by a photo or avatar that </w:t>
      </w:r>
      <w:r w:rsidR="00811E02">
        <w:rPr>
          <w:rFonts w:asciiTheme="minorHAnsi" w:hAnsiTheme="minorHAnsi"/>
          <w:color w:val="1F497D" w:themeColor="text2"/>
          <w:sz w:val="22"/>
          <w:szCs w:val="22"/>
        </w:rPr>
        <w:t xml:space="preserve">participants </w:t>
      </w:r>
      <w:r w:rsidR="00D5646E">
        <w:rPr>
          <w:rFonts w:asciiTheme="minorHAnsi" w:hAnsiTheme="minorHAnsi"/>
          <w:color w:val="1F497D" w:themeColor="text2"/>
          <w:sz w:val="22"/>
          <w:szCs w:val="22"/>
        </w:rPr>
        <w:t xml:space="preserve">voluntarily submit.  All identifying information will be removed in the final report. </w:t>
      </w:r>
      <w:r w:rsidRPr="00FC438C">
        <w:rPr>
          <w:rFonts w:asciiTheme="minorHAnsi" w:hAnsiTheme="minorHAnsi"/>
          <w:color w:val="1F497D" w:themeColor="text2"/>
          <w:sz w:val="22"/>
          <w:szCs w:val="22"/>
        </w:rPr>
        <w:t>Some demographic data may be linked to direct quotes if relevant. None of the PII will be</w:t>
      </w:r>
      <w:r w:rsidR="00DE065A" w:rsidRPr="00FC438C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r w:rsidR="0082376F" w:rsidRPr="00FC438C">
        <w:rPr>
          <w:rFonts w:asciiTheme="minorHAnsi" w:hAnsiTheme="minorHAnsi"/>
          <w:color w:val="1F497D" w:themeColor="text2"/>
          <w:sz w:val="22"/>
          <w:szCs w:val="22"/>
        </w:rPr>
        <w:t>used to identify individuals for later contact or sales targeting.</w:t>
      </w:r>
    </w:p>
    <w:p w:rsidR="00DE065A" w:rsidRPr="00DE065A" w:rsidRDefault="00DE065A" w:rsidP="00DE065A">
      <w:pPr>
        <w:pStyle w:val="ListParagraph"/>
        <w:ind w:left="360"/>
        <w:rPr>
          <w:color w:val="4F81BD" w:themeColor="accent1"/>
        </w:rPr>
      </w:pP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D32239" w:rsidRPr="00D32239">
        <w:rPr>
          <w:rFonts w:asciiTheme="minorHAnsi" w:hAnsiTheme="minorHAnsi"/>
          <w:color w:val="1F497D" w:themeColor="text2"/>
          <w:sz w:val="22"/>
          <w:szCs w:val="22"/>
        </w:rPr>
        <w:t>X</w:t>
      </w:r>
      <w:r w:rsidR="009239AA">
        <w:t>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D32239" w:rsidRPr="00FC438C">
        <w:rPr>
          <w:rFonts w:asciiTheme="minorHAnsi" w:hAnsiTheme="minorHAnsi"/>
          <w:color w:val="1F497D" w:themeColor="text2"/>
          <w:sz w:val="22"/>
          <w:szCs w:val="22"/>
        </w:rPr>
        <w:t>X</w:t>
      </w:r>
      <w:r>
        <w:t>] No</w:t>
      </w:r>
    </w:p>
    <w:p w:rsidR="00204878" w:rsidRDefault="00204878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0D21F4" w:rsidRDefault="00C86E91" w:rsidP="00C86E91">
      <w:r>
        <w:t>Is an incentive (e.g., money or reimbursement of expenses, token of appreciation) provided to participants?  [</w:t>
      </w:r>
      <w:r w:rsidR="00D32239" w:rsidRPr="008F203F">
        <w:rPr>
          <w:rFonts w:asciiTheme="minorHAnsi" w:hAnsiTheme="minorHAnsi"/>
          <w:color w:val="1F497D" w:themeColor="text2"/>
          <w:sz w:val="22"/>
          <w:szCs w:val="22"/>
        </w:rPr>
        <w:t>X</w:t>
      </w:r>
      <w:r>
        <w:t xml:space="preserve"> ] Yes [] No  </w:t>
      </w:r>
      <w:r w:rsidR="00D32239">
        <w:t xml:space="preserve"> </w:t>
      </w:r>
    </w:p>
    <w:p w:rsidR="000D21F4" w:rsidRDefault="000D21F4" w:rsidP="00C86E91"/>
    <w:p w:rsidR="00AD3C35" w:rsidRDefault="000D21F4" w:rsidP="00C86E91">
      <w:pPr>
        <w:rPr>
          <w:rFonts w:asciiTheme="minorHAnsi" w:hAnsiTheme="minorHAnsi"/>
          <w:color w:val="1F497D" w:themeColor="text2"/>
          <w:sz w:val="22"/>
          <w:szCs w:val="22"/>
        </w:rPr>
      </w:pPr>
      <w:r>
        <w:rPr>
          <w:rFonts w:asciiTheme="minorHAnsi" w:hAnsiTheme="minorHAnsi"/>
          <w:color w:val="1F497D" w:themeColor="text2"/>
          <w:sz w:val="22"/>
          <w:szCs w:val="22"/>
        </w:rPr>
        <w:t xml:space="preserve">Participants in the online bulletin boards will be given $150 for their participation over three days.  </w:t>
      </w:r>
      <w:r w:rsidR="009B64DA">
        <w:rPr>
          <w:rFonts w:asciiTheme="minorHAnsi" w:hAnsiTheme="minorHAnsi"/>
          <w:color w:val="1F497D" w:themeColor="text2"/>
          <w:sz w:val="22"/>
          <w:szCs w:val="22"/>
        </w:rPr>
        <w:t>We believe t</w:t>
      </w:r>
      <w:r w:rsidR="00D5646E">
        <w:rPr>
          <w:rFonts w:asciiTheme="minorHAnsi" w:hAnsiTheme="minorHAnsi"/>
          <w:color w:val="1F497D" w:themeColor="text2"/>
          <w:sz w:val="22"/>
          <w:szCs w:val="22"/>
        </w:rPr>
        <w:t xml:space="preserve">his is </w:t>
      </w:r>
      <w:r w:rsidR="009B64DA">
        <w:rPr>
          <w:rFonts w:asciiTheme="minorHAnsi" w:hAnsiTheme="minorHAnsi"/>
          <w:color w:val="1F497D" w:themeColor="text2"/>
          <w:sz w:val="22"/>
          <w:szCs w:val="22"/>
        </w:rPr>
        <w:t xml:space="preserve">the minimum </w:t>
      </w:r>
      <w:r w:rsidR="00D5646E">
        <w:rPr>
          <w:rFonts w:asciiTheme="minorHAnsi" w:hAnsiTheme="minorHAnsi"/>
          <w:color w:val="1F497D" w:themeColor="text2"/>
          <w:sz w:val="22"/>
          <w:szCs w:val="22"/>
        </w:rPr>
        <w:t>amount needed to ensure that participants log in at least six times for 20-30 minutes each time over a three-day period. Ipsos has provided up to $300</w:t>
      </w:r>
      <w:r w:rsidR="00527A42">
        <w:rPr>
          <w:rFonts w:asciiTheme="minorHAnsi" w:hAnsiTheme="minorHAnsi"/>
          <w:color w:val="1F497D" w:themeColor="text2"/>
          <w:sz w:val="22"/>
          <w:szCs w:val="22"/>
        </w:rPr>
        <w:t xml:space="preserve"> for similar participation among </w:t>
      </w:r>
      <w:r w:rsidR="00AE6DA5">
        <w:rPr>
          <w:rFonts w:asciiTheme="minorHAnsi" w:hAnsiTheme="minorHAnsi"/>
          <w:color w:val="1F497D" w:themeColor="text2"/>
          <w:sz w:val="22"/>
          <w:szCs w:val="22"/>
        </w:rPr>
        <w:t>select consumers.</w:t>
      </w:r>
      <w:r w:rsidR="00527A42">
        <w:rPr>
          <w:rFonts w:asciiTheme="minorHAnsi" w:hAnsiTheme="minorHAnsi"/>
          <w:color w:val="1F497D" w:themeColor="text2"/>
          <w:sz w:val="22"/>
          <w:szCs w:val="22"/>
        </w:rPr>
        <w:t xml:space="preserve"> By way of comparison, focus group consumers who attend a two-hour session </w:t>
      </w:r>
      <w:r w:rsidR="00811E02">
        <w:rPr>
          <w:rFonts w:asciiTheme="minorHAnsi" w:hAnsiTheme="minorHAnsi"/>
          <w:color w:val="1F497D" w:themeColor="text2"/>
          <w:sz w:val="22"/>
          <w:szCs w:val="22"/>
        </w:rPr>
        <w:t xml:space="preserve">on </w:t>
      </w:r>
      <w:r w:rsidR="00465078">
        <w:rPr>
          <w:rFonts w:asciiTheme="minorHAnsi" w:hAnsiTheme="minorHAnsi"/>
          <w:color w:val="1F497D" w:themeColor="text2"/>
          <w:sz w:val="22"/>
          <w:szCs w:val="22"/>
        </w:rPr>
        <w:t xml:space="preserve">a single </w:t>
      </w:r>
      <w:r w:rsidR="00811E02">
        <w:rPr>
          <w:rFonts w:asciiTheme="minorHAnsi" w:hAnsiTheme="minorHAnsi"/>
          <w:color w:val="1F497D" w:themeColor="text2"/>
          <w:sz w:val="22"/>
          <w:szCs w:val="22"/>
        </w:rPr>
        <w:t xml:space="preserve">day </w:t>
      </w:r>
      <w:r w:rsidR="00527A42">
        <w:rPr>
          <w:rFonts w:asciiTheme="minorHAnsi" w:hAnsiTheme="minorHAnsi"/>
          <w:color w:val="1F497D" w:themeColor="text2"/>
          <w:sz w:val="22"/>
          <w:szCs w:val="22"/>
        </w:rPr>
        <w:t xml:space="preserve">routinely receive $80-$120. </w:t>
      </w:r>
      <w:r w:rsidR="00D5646E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</w:p>
    <w:p w:rsidR="00AD3C35" w:rsidRDefault="00AD3C35" w:rsidP="00C86E91">
      <w:pPr>
        <w:rPr>
          <w:rFonts w:asciiTheme="minorHAnsi" w:hAnsiTheme="minorHAnsi"/>
          <w:color w:val="1F497D" w:themeColor="text2"/>
          <w:sz w:val="22"/>
          <w:szCs w:val="22"/>
        </w:rPr>
      </w:pPr>
      <w:r>
        <w:rPr>
          <w:rFonts w:asciiTheme="minorHAnsi" w:hAnsiTheme="minorHAnsi"/>
          <w:color w:val="1F497D" w:themeColor="text2"/>
          <w:sz w:val="22"/>
          <w:szCs w:val="22"/>
        </w:rPr>
        <w:lastRenderedPageBreak/>
        <w:t>There is an evolving body of literature that suggests that using incentives can actually reduce nonresponse bias in some situations by bringing in a more representative set of respondents. [1},[2],[3].  This may be particularly effective in reducing nonresponse due to topic saliency.[4]</w:t>
      </w:r>
    </w:p>
    <w:p w:rsidR="00AD3C35" w:rsidRDefault="00AD3C35" w:rsidP="00C86E91">
      <w:pPr>
        <w:rPr>
          <w:rFonts w:asciiTheme="minorHAnsi" w:hAnsiTheme="minorHAnsi"/>
          <w:color w:val="1F497D" w:themeColor="text2"/>
          <w:sz w:val="22"/>
          <w:szCs w:val="22"/>
        </w:rPr>
      </w:pPr>
    </w:p>
    <w:p w:rsidR="00AD3C35" w:rsidRDefault="00AD3C35" w:rsidP="00AD3C35">
      <w:pPr>
        <w:ind w:left="720" w:hanging="720"/>
        <w:rPr>
          <w:sz w:val="20"/>
          <w:szCs w:val="20"/>
        </w:rPr>
      </w:pPr>
      <w:r>
        <w:rPr>
          <w:rStyle w:val="FootnoteReference"/>
          <w:sz w:val="20"/>
          <w:szCs w:val="20"/>
        </w:rPr>
        <w:t>[1]</w:t>
      </w:r>
      <w:r>
        <w:rPr>
          <w:sz w:val="20"/>
          <w:szCs w:val="20"/>
        </w:rPr>
        <w:t xml:space="preserve"> Castiglioni, L., &amp; Pforr, K. (2007). The effect of incentives in reducing non-response bias in a</w:t>
      </w:r>
    </w:p>
    <w:p w:rsidR="00AD3C35" w:rsidRDefault="00AD3C35" w:rsidP="00AD3C35">
      <w:pPr>
        <w:ind w:left="720" w:hanging="720"/>
        <w:rPr>
          <w:i/>
          <w:iCs/>
          <w:sz w:val="20"/>
          <w:szCs w:val="20"/>
        </w:rPr>
      </w:pPr>
      <w:r>
        <w:rPr>
          <w:sz w:val="20"/>
          <w:szCs w:val="20"/>
        </w:rPr>
        <w:t xml:space="preserve">multi-actor survey. </w:t>
      </w:r>
      <w:r>
        <w:rPr>
          <w:i/>
          <w:iCs/>
          <w:sz w:val="20"/>
          <w:szCs w:val="20"/>
        </w:rPr>
        <w:t>Presented at the 2</w:t>
      </w:r>
      <w:r>
        <w:rPr>
          <w:i/>
          <w:iCs/>
          <w:sz w:val="20"/>
          <w:szCs w:val="20"/>
          <w:vertAlign w:val="superscript"/>
        </w:rPr>
        <w:t>nd</w:t>
      </w:r>
      <w:r>
        <w:rPr>
          <w:i/>
          <w:iCs/>
          <w:sz w:val="20"/>
          <w:szCs w:val="20"/>
        </w:rPr>
        <w:t xml:space="preserve"> annual European Survey Research Association</w:t>
      </w:r>
    </w:p>
    <w:p w:rsidR="00AD3C35" w:rsidRDefault="00AD3C35" w:rsidP="00AD3C35">
      <w:pPr>
        <w:ind w:left="720" w:hanging="720"/>
      </w:pPr>
      <w:r>
        <w:rPr>
          <w:i/>
          <w:iCs/>
          <w:sz w:val="20"/>
          <w:szCs w:val="20"/>
        </w:rPr>
        <w:t>Conference</w:t>
      </w:r>
      <w:r>
        <w:rPr>
          <w:sz w:val="20"/>
          <w:szCs w:val="20"/>
        </w:rPr>
        <w:t>, Prague, Czech Republic, June, 2007.</w:t>
      </w:r>
    </w:p>
    <w:p w:rsidR="00AD3C35" w:rsidRDefault="00AD3C35" w:rsidP="00AD3C35">
      <w:pPr>
        <w:ind w:left="720" w:hanging="720"/>
        <w:rPr>
          <w:sz w:val="20"/>
          <w:szCs w:val="20"/>
          <w:shd w:val="clear" w:color="auto" w:fill="FFFFFF"/>
        </w:rPr>
      </w:pPr>
      <w:r>
        <w:rPr>
          <w:rStyle w:val="FootnoteReference"/>
          <w:sz w:val="20"/>
          <w:szCs w:val="20"/>
        </w:rPr>
        <w:t>[2]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/>
        </w:rPr>
        <w:t xml:space="preserve">Singer, E. (2002). The Use of Incentives to Reduce Nonresponse in Household Surveys. (R. M. </w:t>
      </w:r>
    </w:p>
    <w:p w:rsidR="00AD3C35" w:rsidRDefault="00AD3C35" w:rsidP="00AD3C35">
      <w:pPr>
        <w:ind w:left="720" w:hanging="72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Groves, D. A. Dillman, J. L. Eltinge, &amp; R. J. A. Little, Eds.) </w:t>
      </w:r>
      <w:r>
        <w:rPr>
          <w:i/>
          <w:iCs/>
          <w:sz w:val="20"/>
          <w:szCs w:val="20"/>
          <w:shd w:val="clear" w:color="auto" w:fill="FFFFFF"/>
        </w:rPr>
        <w:t>Survey nonresponse</w:t>
      </w:r>
      <w:r>
        <w:rPr>
          <w:sz w:val="20"/>
          <w:szCs w:val="20"/>
          <w:shd w:val="clear" w:color="auto" w:fill="FFFFFF"/>
        </w:rPr>
        <w:t>, (051), 163</w:t>
      </w:r>
    </w:p>
    <w:p w:rsidR="00AD3C35" w:rsidRDefault="00AD3C35" w:rsidP="00AD3C35">
      <w:pPr>
        <w:ind w:left="720" w:hanging="720"/>
        <w:rPr>
          <w:sz w:val="20"/>
          <w:szCs w:val="20"/>
          <w:shd w:val="clear" w:color="auto" w:fill="FFFFFF"/>
        </w:rPr>
      </w:pPr>
      <w:r>
        <w:rPr>
          <w:sz w:val="20"/>
          <w:szCs w:val="20"/>
          <w:shd w:val="clear" w:color="auto" w:fill="FFFFFF"/>
        </w:rPr>
        <w:t>-178. University of Michigan Institute for Social Research. Retrieved from</w:t>
      </w:r>
    </w:p>
    <w:p w:rsidR="00AD3C35" w:rsidRDefault="000C0EBF" w:rsidP="00AD3C35">
      <w:pPr>
        <w:ind w:left="720" w:hanging="720"/>
      </w:pPr>
      <w:hyperlink r:id="rId8" w:history="1">
        <w:r w:rsidR="00AD3C35">
          <w:rPr>
            <w:rStyle w:val="Hyperlink"/>
            <w:sz w:val="20"/>
            <w:szCs w:val="20"/>
            <w:shd w:val="clear" w:color="auto" w:fill="FFFFFF"/>
          </w:rPr>
          <w:t>http://www.isr.umich.edu/src/smp/Electronic</w:t>
        </w:r>
      </w:hyperlink>
      <w:r w:rsidR="00AD3C35">
        <w:rPr>
          <w:sz w:val="20"/>
          <w:szCs w:val="20"/>
          <w:shd w:val="clear" w:color="auto" w:fill="FFFFFF"/>
        </w:rPr>
        <w:t>.</w:t>
      </w:r>
    </w:p>
    <w:p w:rsidR="00AD3C35" w:rsidRDefault="00AD3C35" w:rsidP="00AD3C35">
      <w:pPr>
        <w:ind w:left="720" w:hanging="720"/>
        <w:rPr>
          <w:sz w:val="20"/>
          <w:szCs w:val="20"/>
          <w:shd w:val="clear" w:color="auto" w:fill="FFFFFF"/>
        </w:rPr>
      </w:pPr>
      <w:r>
        <w:rPr>
          <w:rStyle w:val="FootnoteReference"/>
          <w:sz w:val="20"/>
          <w:szCs w:val="20"/>
        </w:rPr>
        <w:t>[3]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shd w:val="clear" w:color="auto" w:fill="FFFFFF"/>
        </w:rPr>
        <w:t xml:space="preserve">Singer, E. (2006). Nonresponse bias in household surveys. </w:t>
      </w:r>
      <w:r>
        <w:rPr>
          <w:i/>
          <w:iCs/>
          <w:sz w:val="20"/>
          <w:szCs w:val="20"/>
          <w:shd w:val="clear" w:color="auto" w:fill="FFFFFF"/>
        </w:rPr>
        <w:t xml:space="preserve">Public Opinion Quarterly, </w:t>
      </w:r>
      <w:r>
        <w:rPr>
          <w:sz w:val="20"/>
          <w:szCs w:val="20"/>
          <w:shd w:val="clear" w:color="auto" w:fill="FFFFFF"/>
        </w:rPr>
        <w:t xml:space="preserve">70(5), </w:t>
      </w:r>
    </w:p>
    <w:p w:rsidR="00AD3C35" w:rsidRDefault="00AD3C35" w:rsidP="00AD3C35">
      <w:pPr>
        <w:ind w:left="720" w:hanging="720"/>
      </w:pPr>
      <w:r>
        <w:rPr>
          <w:sz w:val="20"/>
          <w:szCs w:val="20"/>
          <w:shd w:val="clear" w:color="auto" w:fill="FFFFFF"/>
        </w:rPr>
        <w:t>637-645.</w:t>
      </w:r>
    </w:p>
    <w:p w:rsidR="00AD3C35" w:rsidRDefault="00AD3C35" w:rsidP="00AD3C35">
      <w:pPr>
        <w:ind w:left="720" w:hanging="720"/>
        <w:rPr>
          <w:rStyle w:val="cit-last-pag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FootnoteReference"/>
          <w:sz w:val="20"/>
          <w:szCs w:val="20"/>
        </w:rPr>
        <w:t>[4]</w:t>
      </w:r>
      <w:r>
        <w:rPr>
          <w:sz w:val="20"/>
          <w:szCs w:val="20"/>
        </w:rPr>
        <w:t xml:space="preserve"> </w:t>
      </w:r>
      <w:r>
        <w:rPr>
          <w:rStyle w:val="cit-last-page"/>
          <w:sz w:val="20"/>
          <w:szCs w:val="20"/>
          <w:bdr w:val="none" w:sz="0" w:space="0" w:color="auto" w:frame="1"/>
          <w:shd w:val="clear" w:color="auto" w:fill="FFFFFF"/>
        </w:rPr>
        <w:t xml:space="preserve">Groves, R., Couper, M., Presser, S., Singer, E., Tourangeau, R., Acosta, G., &amp; Nelson, L. </w:t>
      </w:r>
    </w:p>
    <w:p w:rsidR="00AD3C35" w:rsidRDefault="00AD3C35" w:rsidP="00AD3C35">
      <w:pPr>
        <w:ind w:left="720" w:hanging="720"/>
        <w:rPr>
          <w:rStyle w:val="cit-last-page"/>
          <w:sz w:val="20"/>
          <w:szCs w:val="20"/>
          <w:bdr w:val="none" w:sz="0" w:space="0" w:color="auto" w:frame="1"/>
          <w:shd w:val="clear" w:color="auto" w:fill="FFFFFF"/>
        </w:rPr>
      </w:pPr>
      <w:r>
        <w:rPr>
          <w:rStyle w:val="cit-last-page"/>
          <w:sz w:val="20"/>
          <w:szCs w:val="20"/>
          <w:bdr w:val="none" w:sz="0" w:space="0" w:color="auto" w:frame="1"/>
          <w:shd w:val="clear" w:color="auto" w:fill="FFFFFF"/>
        </w:rPr>
        <w:t xml:space="preserve">(2006). Experiments in producing nonresponse bias. </w:t>
      </w:r>
      <w:r>
        <w:rPr>
          <w:rStyle w:val="cit-last-page"/>
          <w:i/>
          <w:iCs/>
          <w:sz w:val="20"/>
          <w:szCs w:val="20"/>
          <w:bdr w:val="none" w:sz="0" w:space="0" w:color="auto" w:frame="1"/>
          <w:shd w:val="clear" w:color="auto" w:fill="FFFFFF"/>
        </w:rPr>
        <w:t>Public Opinion Quarterly</w:t>
      </w:r>
      <w:r>
        <w:rPr>
          <w:rStyle w:val="cit-last-page"/>
          <w:sz w:val="20"/>
          <w:szCs w:val="20"/>
          <w:bdr w:val="none" w:sz="0" w:space="0" w:color="auto" w:frame="1"/>
          <w:shd w:val="clear" w:color="auto" w:fill="FFFFFF"/>
        </w:rPr>
        <w:t>, 70(5), 720-736.</w:t>
      </w:r>
    </w:p>
    <w:p w:rsidR="00AD3C35" w:rsidRDefault="00AD3C35" w:rsidP="00AD3C35">
      <w:pPr>
        <w:rPr>
          <w:sz w:val="22"/>
          <w:szCs w:val="22"/>
        </w:rPr>
      </w:pPr>
    </w:p>
    <w:p w:rsidR="000D21F4" w:rsidRDefault="000D21F4" w:rsidP="00C86E91">
      <w:pPr>
        <w:rPr>
          <w:rFonts w:asciiTheme="minorHAnsi" w:hAnsiTheme="minorHAnsi"/>
          <w:color w:val="1F497D" w:themeColor="text2"/>
          <w:sz w:val="22"/>
          <w:szCs w:val="22"/>
        </w:rPr>
      </w:pPr>
    </w:p>
    <w:p w:rsidR="000D21F4" w:rsidRDefault="000D21F4" w:rsidP="00C86E91">
      <w:pPr>
        <w:rPr>
          <w:rFonts w:asciiTheme="minorHAnsi" w:hAnsiTheme="minorHAnsi"/>
          <w:color w:val="1F497D" w:themeColor="text2"/>
          <w:sz w:val="22"/>
          <w:szCs w:val="22"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238"/>
        <w:gridCol w:w="1620"/>
        <w:gridCol w:w="1620"/>
        <w:gridCol w:w="1183"/>
      </w:tblGrid>
      <w:tr w:rsidR="00EF2095" w:rsidTr="008F203F">
        <w:trPr>
          <w:trHeight w:val="274"/>
        </w:trPr>
        <w:tc>
          <w:tcPr>
            <w:tcW w:w="523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62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18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8F203F">
        <w:trPr>
          <w:trHeight w:val="274"/>
        </w:trPr>
        <w:tc>
          <w:tcPr>
            <w:tcW w:w="5238" w:type="dxa"/>
          </w:tcPr>
          <w:p w:rsidR="006832D9" w:rsidRPr="00204878" w:rsidRDefault="00204878" w:rsidP="000D21F4">
            <w:pPr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  <w:r w:rsidRPr="00204878">
              <w:rPr>
                <w:rFonts w:asciiTheme="minorHAnsi" w:hAnsiTheme="minorHAnsi"/>
                <w:color w:val="1F497D" w:themeColor="text2"/>
                <w:sz w:val="22"/>
                <w:szCs w:val="22"/>
              </w:rPr>
              <w:t xml:space="preserve">Individuals </w:t>
            </w:r>
          </w:p>
        </w:tc>
        <w:tc>
          <w:tcPr>
            <w:tcW w:w="1620" w:type="dxa"/>
          </w:tcPr>
          <w:p w:rsidR="006832D9" w:rsidRPr="008F203F" w:rsidRDefault="000D21F4" w:rsidP="00843796">
            <w:pPr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/>
                <w:color w:val="1F497D" w:themeColor="text2"/>
                <w:sz w:val="22"/>
                <w:szCs w:val="22"/>
              </w:rPr>
              <w:t>36</w:t>
            </w:r>
          </w:p>
        </w:tc>
        <w:tc>
          <w:tcPr>
            <w:tcW w:w="1620" w:type="dxa"/>
          </w:tcPr>
          <w:p w:rsidR="006832D9" w:rsidRPr="008F203F" w:rsidRDefault="000D21F4" w:rsidP="00843796">
            <w:pPr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/>
                <w:color w:val="1F497D" w:themeColor="text2"/>
                <w:sz w:val="22"/>
                <w:szCs w:val="22"/>
              </w:rPr>
              <w:t>160</w:t>
            </w:r>
            <w:r w:rsidR="004F5F91" w:rsidRPr="008F203F">
              <w:rPr>
                <w:rFonts w:asciiTheme="minorHAnsi" w:hAnsiTheme="minorHAnsi"/>
                <w:color w:val="1F497D" w:themeColor="text2"/>
                <w:sz w:val="22"/>
                <w:szCs w:val="22"/>
              </w:rPr>
              <w:t xml:space="preserve"> minutes</w:t>
            </w:r>
          </w:p>
        </w:tc>
        <w:tc>
          <w:tcPr>
            <w:tcW w:w="1183" w:type="dxa"/>
          </w:tcPr>
          <w:p w:rsidR="006832D9" w:rsidRPr="008F203F" w:rsidRDefault="000D21F4" w:rsidP="00843796">
            <w:pPr>
              <w:rPr>
                <w:rFonts w:asciiTheme="minorHAnsi" w:hAnsiTheme="minorHAnsi"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/>
                <w:color w:val="1F497D" w:themeColor="text2"/>
                <w:sz w:val="22"/>
                <w:szCs w:val="22"/>
              </w:rPr>
              <w:t>96</w:t>
            </w:r>
            <w:r w:rsidR="008F203F" w:rsidRPr="008F203F">
              <w:rPr>
                <w:rFonts w:asciiTheme="minorHAnsi" w:hAnsiTheme="minorHAnsi"/>
                <w:color w:val="1F497D" w:themeColor="text2"/>
                <w:sz w:val="22"/>
                <w:szCs w:val="22"/>
              </w:rPr>
              <w:t xml:space="preserve"> hours</w:t>
            </w:r>
          </w:p>
        </w:tc>
      </w:tr>
      <w:tr w:rsidR="00EF2095" w:rsidTr="008F203F">
        <w:trPr>
          <w:trHeight w:val="274"/>
        </w:trPr>
        <w:tc>
          <w:tcPr>
            <w:tcW w:w="5238" w:type="dxa"/>
          </w:tcPr>
          <w:p w:rsidR="006832D9" w:rsidRDefault="006832D9" w:rsidP="00843796"/>
        </w:tc>
        <w:tc>
          <w:tcPr>
            <w:tcW w:w="1620" w:type="dxa"/>
          </w:tcPr>
          <w:p w:rsidR="006832D9" w:rsidRDefault="006832D9" w:rsidP="00843796"/>
        </w:tc>
        <w:tc>
          <w:tcPr>
            <w:tcW w:w="1620" w:type="dxa"/>
          </w:tcPr>
          <w:p w:rsidR="006832D9" w:rsidRDefault="006832D9" w:rsidP="00843796"/>
        </w:tc>
        <w:tc>
          <w:tcPr>
            <w:tcW w:w="1183" w:type="dxa"/>
          </w:tcPr>
          <w:p w:rsidR="006832D9" w:rsidRDefault="006832D9" w:rsidP="00843796"/>
        </w:tc>
      </w:tr>
      <w:tr w:rsidR="00EF2095" w:rsidTr="008F203F">
        <w:trPr>
          <w:trHeight w:val="289"/>
        </w:trPr>
        <w:tc>
          <w:tcPr>
            <w:tcW w:w="523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620" w:type="dxa"/>
          </w:tcPr>
          <w:p w:rsidR="006832D9" w:rsidRPr="00204878" w:rsidRDefault="000D21F4" w:rsidP="00843796">
            <w:pPr>
              <w:rPr>
                <w:rFonts w:asciiTheme="minorHAnsi" w:hAnsiTheme="minorHAnsi"/>
                <w:b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2"/>
                <w:szCs w:val="22"/>
              </w:rPr>
              <w:t>36</w:t>
            </w:r>
          </w:p>
        </w:tc>
        <w:tc>
          <w:tcPr>
            <w:tcW w:w="1620" w:type="dxa"/>
          </w:tcPr>
          <w:p w:rsidR="006832D9" w:rsidRPr="00F80E34" w:rsidRDefault="000D21F4" w:rsidP="00843796">
            <w:pPr>
              <w:rPr>
                <w:rFonts w:asciiTheme="minorHAnsi" w:hAnsiTheme="minorHAnsi"/>
                <w:b/>
                <w:color w:val="1F497D" w:themeColor="text2"/>
                <w:sz w:val="22"/>
                <w:szCs w:val="22"/>
              </w:rPr>
            </w:pPr>
            <w:r w:rsidRPr="00F80E34">
              <w:rPr>
                <w:rFonts w:asciiTheme="minorHAnsi" w:hAnsiTheme="minorHAnsi"/>
                <w:b/>
                <w:color w:val="1F497D" w:themeColor="text2"/>
                <w:sz w:val="22"/>
                <w:szCs w:val="22"/>
              </w:rPr>
              <w:t>160</w:t>
            </w:r>
            <w:r w:rsidR="008F203F" w:rsidRPr="00F80E34">
              <w:rPr>
                <w:rFonts w:asciiTheme="minorHAnsi" w:hAnsiTheme="minorHAnsi"/>
                <w:b/>
                <w:color w:val="1F497D" w:themeColor="text2"/>
                <w:sz w:val="22"/>
                <w:szCs w:val="22"/>
              </w:rPr>
              <w:t xml:space="preserve"> minutes</w:t>
            </w:r>
          </w:p>
        </w:tc>
        <w:tc>
          <w:tcPr>
            <w:tcW w:w="1183" w:type="dxa"/>
          </w:tcPr>
          <w:p w:rsidR="006832D9" w:rsidRPr="00204878" w:rsidRDefault="000D21F4" w:rsidP="00843796">
            <w:pPr>
              <w:rPr>
                <w:rFonts w:asciiTheme="minorHAnsi" w:hAnsiTheme="minorHAnsi"/>
                <w:b/>
                <w:color w:val="1F497D" w:themeColor="text2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1F497D" w:themeColor="text2"/>
                <w:sz w:val="22"/>
                <w:szCs w:val="22"/>
              </w:rPr>
              <w:t>96</w:t>
            </w:r>
            <w:r w:rsidR="008F203F" w:rsidRPr="00204878">
              <w:rPr>
                <w:rFonts w:asciiTheme="minorHAnsi" w:hAnsiTheme="minorHAnsi"/>
                <w:b/>
                <w:color w:val="1F497D" w:themeColor="text2"/>
                <w:sz w:val="22"/>
                <w:szCs w:val="22"/>
              </w:rPr>
              <w:t xml:space="preserve"> hours</w:t>
            </w:r>
          </w:p>
        </w:tc>
      </w:tr>
    </w:tbl>
    <w:p w:rsidR="00441434" w:rsidRDefault="00441434" w:rsidP="00F3170F"/>
    <w:p w:rsidR="005E714A" w:rsidRPr="00EE07C6" w:rsidRDefault="001C39F7">
      <w:pPr>
        <w:rPr>
          <w:b/>
          <w:color w:val="1F497D" w:themeColor="text2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 w:rsidRPr="0036081D">
        <w:rPr>
          <w:color w:val="1F497D" w:themeColor="text2"/>
        </w:rPr>
        <w:t>The estimated annual cost</w:t>
      </w:r>
      <w:r w:rsidR="00D32239" w:rsidRPr="0036081D">
        <w:rPr>
          <w:color w:val="1F497D" w:themeColor="text2"/>
        </w:rPr>
        <w:t xml:space="preserve"> to the Federal government is </w:t>
      </w:r>
      <w:r w:rsidR="00424224" w:rsidRPr="00EE07C6">
        <w:rPr>
          <w:b/>
          <w:color w:val="1F497D" w:themeColor="text2"/>
        </w:rPr>
        <w:t xml:space="preserve">~ </w:t>
      </w:r>
      <w:r w:rsidR="00000BD8" w:rsidRPr="00EE07C6">
        <w:rPr>
          <w:b/>
          <w:color w:val="1F497D" w:themeColor="text2"/>
        </w:rPr>
        <w:t>$</w:t>
      </w:r>
      <w:r w:rsidR="00424224" w:rsidRPr="00EE07C6">
        <w:rPr>
          <w:b/>
          <w:color w:val="1F497D" w:themeColor="text2"/>
        </w:rPr>
        <w:t>3</w:t>
      </w:r>
      <w:r w:rsidR="00F73EFB" w:rsidRPr="00EE07C6">
        <w:rPr>
          <w:b/>
          <w:color w:val="1F497D" w:themeColor="text2"/>
        </w:rPr>
        <w:t>8</w:t>
      </w:r>
      <w:r w:rsidR="00424224" w:rsidRPr="00EE07C6">
        <w:rPr>
          <w:b/>
          <w:color w:val="1F497D" w:themeColor="text2"/>
        </w:rPr>
        <w:t>,500</w:t>
      </w:r>
    </w:p>
    <w:p w:rsidR="00ED6492" w:rsidRPr="0036081D" w:rsidRDefault="00AD3C35">
      <w:pPr>
        <w:rPr>
          <w:bCs/>
          <w:color w:val="1F497D" w:themeColor="text2"/>
        </w:rPr>
      </w:pPr>
      <w:r w:rsidRPr="0036081D">
        <w:rPr>
          <w:bCs/>
          <w:color w:val="1F497D" w:themeColor="text2"/>
        </w:rPr>
        <w:t>An approximate Cost Breakdown is:</w:t>
      </w:r>
    </w:p>
    <w:p w:rsidR="00AD3C35" w:rsidRPr="0036081D" w:rsidRDefault="00AD3C35">
      <w:pPr>
        <w:rPr>
          <w:bCs/>
          <w:color w:val="1F497D" w:themeColor="text2"/>
        </w:rPr>
      </w:pPr>
    </w:p>
    <w:tbl>
      <w:tblPr>
        <w:tblStyle w:val="TableGrid"/>
        <w:tblW w:w="0" w:type="auto"/>
        <w:tblInd w:w="2448" w:type="dxa"/>
        <w:tblLook w:val="04A0" w:firstRow="1" w:lastRow="0" w:firstColumn="1" w:lastColumn="0" w:noHBand="0" w:noVBand="1"/>
      </w:tblPr>
      <w:tblGrid>
        <w:gridCol w:w="3330"/>
        <w:gridCol w:w="1170"/>
      </w:tblGrid>
      <w:tr w:rsidR="00EE07C6" w:rsidRPr="00EE07C6" w:rsidTr="00EE07C6">
        <w:tc>
          <w:tcPr>
            <w:tcW w:w="3330" w:type="dxa"/>
          </w:tcPr>
          <w:p w:rsidR="006A09F5" w:rsidRPr="0036081D" w:rsidRDefault="006A09F5">
            <w:pPr>
              <w:rPr>
                <w:bCs/>
                <w:color w:val="1F497D" w:themeColor="text2"/>
              </w:rPr>
            </w:pPr>
            <w:r w:rsidRPr="0036081D">
              <w:rPr>
                <w:bCs/>
                <w:color w:val="1F497D" w:themeColor="text2"/>
              </w:rPr>
              <w:t>Project Management</w:t>
            </w:r>
          </w:p>
        </w:tc>
        <w:tc>
          <w:tcPr>
            <w:tcW w:w="1170" w:type="dxa"/>
          </w:tcPr>
          <w:p w:rsidR="006A09F5" w:rsidRPr="0036081D" w:rsidRDefault="006A09F5" w:rsidP="00EE07C6">
            <w:pPr>
              <w:jc w:val="right"/>
              <w:rPr>
                <w:bCs/>
                <w:color w:val="1F497D" w:themeColor="text2"/>
              </w:rPr>
            </w:pPr>
            <w:r w:rsidRPr="0036081D">
              <w:rPr>
                <w:bCs/>
                <w:color w:val="1F497D" w:themeColor="text2"/>
              </w:rPr>
              <w:t>$3,625</w:t>
            </w:r>
          </w:p>
        </w:tc>
      </w:tr>
      <w:tr w:rsidR="00EE07C6" w:rsidRPr="00EE07C6" w:rsidTr="00EE07C6">
        <w:tc>
          <w:tcPr>
            <w:tcW w:w="3330" w:type="dxa"/>
          </w:tcPr>
          <w:p w:rsidR="006A09F5" w:rsidRPr="0036081D" w:rsidRDefault="006A09F5">
            <w:pPr>
              <w:rPr>
                <w:bCs/>
                <w:color w:val="1F497D" w:themeColor="text2"/>
              </w:rPr>
            </w:pPr>
            <w:r w:rsidRPr="0036081D">
              <w:rPr>
                <w:bCs/>
                <w:color w:val="1F497D" w:themeColor="text2"/>
              </w:rPr>
              <w:t>Incentives</w:t>
            </w:r>
          </w:p>
        </w:tc>
        <w:tc>
          <w:tcPr>
            <w:tcW w:w="1170" w:type="dxa"/>
          </w:tcPr>
          <w:p w:rsidR="006A09F5" w:rsidRPr="0036081D" w:rsidRDefault="006A09F5" w:rsidP="00EE07C6">
            <w:pPr>
              <w:jc w:val="right"/>
              <w:rPr>
                <w:bCs/>
                <w:color w:val="1F497D" w:themeColor="text2"/>
              </w:rPr>
            </w:pPr>
            <w:r w:rsidRPr="0036081D">
              <w:rPr>
                <w:bCs/>
                <w:color w:val="1F497D" w:themeColor="text2"/>
              </w:rPr>
              <w:t>$6,750</w:t>
            </w:r>
          </w:p>
        </w:tc>
      </w:tr>
      <w:tr w:rsidR="00EE07C6" w:rsidRPr="00EE07C6" w:rsidTr="00EE07C6">
        <w:tc>
          <w:tcPr>
            <w:tcW w:w="3330" w:type="dxa"/>
          </w:tcPr>
          <w:p w:rsidR="006A09F5" w:rsidRPr="0036081D" w:rsidRDefault="006A09F5">
            <w:pPr>
              <w:rPr>
                <w:bCs/>
                <w:color w:val="1F497D" w:themeColor="text2"/>
              </w:rPr>
            </w:pPr>
            <w:r w:rsidRPr="0036081D">
              <w:rPr>
                <w:bCs/>
                <w:color w:val="1F497D" w:themeColor="text2"/>
              </w:rPr>
              <w:t>Moderation</w:t>
            </w:r>
          </w:p>
        </w:tc>
        <w:tc>
          <w:tcPr>
            <w:tcW w:w="1170" w:type="dxa"/>
          </w:tcPr>
          <w:p w:rsidR="006A09F5" w:rsidRPr="0036081D" w:rsidRDefault="006A09F5" w:rsidP="00EE07C6">
            <w:pPr>
              <w:jc w:val="right"/>
              <w:rPr>
                <w:bCs/>
                <w:color w:val="1F497D" w:themeColor="text2"/>
              </w:rPr>
            </w:pPr>
            <w:r w:rsidRPr="0036081D">
              <w:rPr>
                <w:bCs/>
                <w:color w:val="1F497D" w:themeColor="text2"/>
              </w:rPr>
              <w:t>$16,900</w:t>
            </w:r>
          </w:p>
        </w:tc>
      </w:tr>
      <w:tr w:rsidR="00EE07C6" w:rsidRPr="00EE07C6" w:rsidTr="00EE07C6">
        <w:tc>
          <w:tcPr>
            <w:tcW w:w="3330" w:type="dxa"/>
          </w:tcPr>
          <w:p w:rsidR="006A09F5" w:rsidRPr="0036081D" w:rsidRDefault="006A09F5">
            <w:pPr>
              <w:rPr>
                <w:bCs/>
                <w:color w:val="1F497D" w:themeColor="text2"/>
              </w:rPr>
            </w:pPr>
            <w:r w:rsidRPr="0036081D">
              <w:rPr>
                <w:bCs/>
                <w:color w:val="1F497D" w:themeColor="text2"/>
              </w:rPr>
              <w:t>Recruitment</w:t>
            </w:r>
          </w:p>
        </w:tc>
        <w:tc>
          <w:tcPr>
            <w:tcW w:w="1170" w:type="dxa"/>
          </w:tcPr>
          <w:p w:rsidR="006A09F5" w:rsidRPr="0036081D" w:rsidRDefault="006A09F5" w:rsidP="00EE07C6">
            <w:pPr>
              <w:jc w:val="right"/>
              <w:rPr>
                <w:bCs/>
                <w:color w:val="1F497D" w:themeColor="text2"/>
              </w:rPr>
            </w:pPr>
            <w:r w:rsidRPr="0036081D">
              <w:rPr>
                <w:bCs/>
                <w:color w:val="1F497D" w:themeColor="text2"/>
              </w:rPr>
              <w:t>$5,175</w:t>
            </w:r>
          </w:p>
        </w:tc>
      </w:tr>
      <w:tr w:rsidR="00EE07C6" w:rsidRPr="00EE07C6" w:rsidTr="00EE07C6">
        <w:tc>
          <w:tcPr>
            <w:tcW w:w="3330" w:type="dxa"/>
          </w:tcPr>
          <w:p w:rsidR="006A09F5" w:rsidRPr="0036081D" w:rsidRDefault="006A09F5">
            <w:pPr>
              <w:rPr>
                <w:bCs/>
                <w:color w:val="1F497D" w:themeColor="text2"/>
              </w:rPr>
            </w:pPr>
            <w:r w:rsidRPr="0036081D">
              <w:rPr>
                <w:bCs/>
                <w:color w:val="1F497D" w:themeColor="text2"/>
              </w:rPr>
              <w:t>QualSpace Platform and Setup</w:t>
            </w:r>
          </w:p>
        </w:tc>
        <w:tc>
          <w:tcPr>
            <w:tcW w:w="1170" w:type="dxa"/>
          </w:tcPr>
          <w:p w:rsidR="006A09F5" w:rsidRPr="0036081D" w:rsidRDefault="006A09F5" w:rsidP="00EE07C6">
            <w:pPr>
              <w:jc w:val="right"/>
              <w:rPr>
                <w:bCs/>
                <w:color w:val="1F497D" w:themeColor="text2"/>
              </w:rPr>
            </w:pPr>
            <w:r w:rsidRPr="0036081D">
              <w:rPr>
                <w:bCs/>
                <w:color w:val="1F497D" w:themeColor="text2"/>
              </w:rPr>
              <w:t>$1,950</w:t>
            </w:r>
          </w:p>
        </w:tc>
      </w:tr>
      <w:tr w:rsidR="00EE07C6" w:rsidRPr="00EE07C6" w:rsidTr="00EE07C6">
        <w:tc>
          <w:tcPr>
            <w:tcW w:w="3330" w:type="dxa"/>
          </w:tcPr>
          <w:p w:rsidR="006A09F5" w:rsidRPr="0036081D" w:rsidRDefault="006A09F5">
            <w:pPr>
              <w:rPr>
                <w:bCs/>
                <w:color w:val="1F497D" w:themeColor="text2"/>
              </w:rPr>
            </w:pPr>
            <w:r w:rsidRPr="0036081D">
              <w:rPr>
                <w:bCs/>
                <w:color w:val="1F497D" w:themeColor="text2"/>
              </w:rPr>
              <w:t>Analysis and Reporting</w:t>
            </w:r>
          </w:p>
        </w:tc>
        <w:tc>
          <w:tcPr>
            <w:tcW w:w="1170" w:type="dxa"/>
          </w:tcPr>
          <w:p w:rsidR="006A09F5" w:rsidRPr="0036081D" w:rsidRDefault="006A09F5" w:rsidP="00EE07C6">
            <w:pPr>
              <w:jc w:val="right"/>
              <w:rPr>
                <w:bCs/>
                <w:color w:val="1F497D" w:themeColor="text2"/>
              </w:rPr>
            </w:pPr>
            <w:r w:rsidRPr="0036081D">
              <w:rPr>
                <w:bCs/>
                <w:color w:val="1F497D" w:themeColor="text2"/>
              </w:rPr>
              <w:t>$4,100</w:t>
            </w:r>
          </w:p>
        </w:tc>
      </w:tr>
      <w:tr w:rsidR="00EE07C6" w:rsidRPr="00EE07C6" w:rsidTr="00EE07C6">
        <w:tc>
          <w:tcPr>
            <w:tcW w:w="3330" w:type="dxa"/>
          </w:tcPr>
          <w:p w:rsidR="006A09F5" w:rsidRPr="0036081D" w:rsidRDefault="006A09F5">
            <w:pPr>
              <w:rPr>
                <w:bCs/>
                <w:color w:val="1F497D" w:themeColor="text2"/>
              </w:rPr>
            </w:pPr>
            <w:r w:rsidRPr="0036081D">
              <w:rPr>
                <w:bCs/>
                <w:color w:val="1F497D" w:themeColor="text2"/>
              </w:rPr>
              <w:t>TOTAL</w:t>
            </w:r>
          </w:p>
        </w:tc>
        <w:tc>
          <w:tcPr>
            <w:tcW w:w="1170" w:type="dxa"/>
          </w:tcPr>
          <w:p w:rsidR="006A09F5" w:rsidRPr="0036081D" w:rsidRDefault="006A09F5" w:rsidP="00EE07C6">
            <w:pPr>
              <w:jc w:val="right"/>
              <w:rPr>
                <w:bCs/>
                <w:color w:val="1F497D" w:themeColor="text2"/>
              </w:rPr>
            </w:pPr>
            <w:r w:rsidRPr="0036081D">
              <w:rPr>
                <w:bCs/>
                <w:color w:val="1F497D" w:themeColor="text2"/>
              </w:rPr>
              <w:t>$38,500</w:t>
            </w:r>
          </w:p>
        </w:tc>
      </w:tr>
    </w:tbl>
    <w:p w:rsidR="00AD3C35" w:rsidRDefault="00AD3C35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8F203F" w:rsidRPr="008F203F">
        <w:rPr>
          <w:rFonts w:asciiTheme="minorHAnsi" w:hAnsiTheme="minorHAnsi"/>
          <w:color w:val="1F497D" w:themeColor="text2"/>
          <w:sz w:val="22"/>
          <w:szCs w:val="22"/>
        </w:rPr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AD3C35" w:rsidP="00A403BB">
      <w:pPr>
        <w:rPr>
          <w:rFonts w:asciiTheme="minorHAnsi" w:hAnsiTheme="minorHAnsi"/>
          <w:color w:val="1F497D" w:themeColor="text2"/>
          <w:sz w:val="22"/>
          <w:szCs w:val="22"/>
        </w:rPr>
      </w:pPr>
      <w:r>
        <w:rPr>
          <w:rFonts w:asciiTheme="minorHAnsi" w:hAnsiTheme="minorHAnsi"/>
          <w:color w:val="1F497D" w:themeColor="text2"/>
          <w:sz w:val="22"/>
          <w:szCs w:val="22"/>
        </w:rPr>
        <w:lastRenderedPageBreak/>
        <w:t>Databases maintained by research suppliers</w:t>
      </w:r>
      <w:r w:rsidR="00C16B7F" w:rsidRPr="00C16B7F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r w:rsidR="00424224">
        <w:rPr>
          <w:rFonts w:asciiTheme="minorHAnsi" w:hAnsiTheme="minorHAnsi"/>
          <w:color w:val="1F497D" w:themeColor="text2"/>
          <w:sz w:val="22"/>
          <w:szCs w:val="22"/>
        </w:rPr>
        <w:t>will be used to recruit for the online bulletin board</w:t>
      </w:r>
      <w:r w:rsidR="004A3C1A">
        <w:rPr>
          <w:rFonts w:asciiTheme="minorHAnsi" w:hAnsiTheme="minorHAnsi"/>
          <w:color w:val="1F497D" w:themeColor="text2"/>
          <w:sz w:val="22"/>
          <w:szCs w:val="22"/>
        </w:rPr>
        <w:t>s</w:t>
      </w:r>
      <w:r w:rsidR="005430ED">
        <w:rPr>
          <w:rFonts w:asciiTheme="minorHAnsi" w:hAnsiTheme="minorHAnsi"/>
          <w:color w:val="1F497D" w:themeColor="text2"/>
          <w:sz w:val="22"/>
          <w:szCs w:val="22"/>
        </w:rPr>
        <w:t>. A screener’s guide is being submitted for OMB clearance as part of this package</w:t>
      </w:r>
      <w:r w:rsidR="00754637">
        <w:rPr>
          <w:rFonts w:asciiTheme="minorHAnsi" w:hAnsiTheme="minorHAnsi"/>
          <w:color w:val="1F497D" w:themeColor="text2"/>
          <w:sz w:val="22"/>
          <w:szCs w:val="22"/>
        </w:rPr>
        <w:t xml:space="preserve">. </w:t>
      </w:r>
      <w:r w:rsidR="00C16B7F" w:rsidRPr="00C16B7F">
        <w:rPr>
          <w:rFonts w:asciiTheme="minorHAnsi" w:hAnsiTheme="minorHAnsi"/>
          <w:color w:val="1F497D" w:themeColor="text2"/>
          <w:sz w:val="22"/>
          <w:szCs w:val="22"/>
        </w:rPr>
        <w:t>The</w:t>
      </w:r>
      <w:r w:rsidR="004A1F0D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r>
        <w:rPr>
          <w:rFonts w:asciiTheme="minorHAnsi" w:hAnsiTheme="minorHAnsi"/>
          <w:color w:val="1F497D" w:themeColor="text2"/>
          <w:sz w:val="22"/>
          <w:szCs w:val="22"/>
        </w:rPr>
        <w:t xml:space="preserve">databases </w:t>
      </w:r>
      <w:r w:rsidR="00C16B7F" w:rsidRPr="00C16B7F">
        <w:rPr>
          <w:rFonts w:asciiTheme="minorHAnsi" w:hAnsiTheme="minorHAnsi"/>
          <w:color w:val="1F497D" w:themeColor="text2"/>
          <w:sz w:val="22"/>
          <w:szCs w:val="22"/>
        </w:rPr>
        <w:t xml:space="preserve">are </w:t>
      </w:r>
      <w:r w:rsidR="00424224">
        <w:rPr>
          <w:rFonts w:asciiTheme="minorHAnsi" w:hAnsiTheme="minorHAnsi"/>
          <w:color w:val="1F497D" w:themeColor="text2"/>
          <w:sz w:val="22"/>
          <w:szCs w:val="22"/>
        </w:rPr>
        <w:t xml:space="preserve">comprised of </w:t>
      </w:r>
      <w:r w:rsidR="00C16B7F" w:rsidRPr="00C16B7F">
        <w:rPr>
          <w:rFonts w:asciiTheme="minorHAnsi" w:hAnsiTheme="minorHAnsi"/>
          <w:color w:val="1F497D" w:themeColor="text2"/>
          <w:sz w:val="22"/>
          <w:szCs w:val="22"/>
        </w:rPr>
        <w:t xml:space="preserve">people who have agreed to participate in studies for </w:t>
      </w:r>
      <w:r w:rsidR="00F73EFB">
        <w:rPr>
          <w:rFonts w:asciiTheme="minorHAnsi" w:hAnsiTheme="minorHAnsi"/>
          <w:color w:val="1F497D" w:themeColor="text2"/>
          <w:sz w:val="22"/>
          <w:szCs w:val="22"/>
        </w:rPr>
        <w:t>research suppliers</w:t>
      </w:r>
      <w:r w:rsidR="00936BEB">
        <w:rPr>
          <w:rFonts w:asciiTheme="minorHAnsi" w:hAnsiTheme="minorHAnsi"/>
          <w:color w:val="1F497D" w:themeColor="text2"/>
          <w:sz w:val="22"/>
          <w:szCs w:val="22"/>
        </w:rPr>
        <w:t xml:space="preserve">. </w:t>
      </w:r>
      <w:r w:rsidR="00424224">
        <w:rPr>
          <w:rFonts w:asciiTheme="minorHAnsi" w:hAnsiTheme="minorHAnsi"/>
          <w:color w:val="1F497D" w:themeColor="text2"/>
          <w:sz w:val="22"/>
          <w:szCs w:val="22"/>
        </w:rPr>
        <w:t xml:space="preserve">Individuals </w:t>
      </w:r>
      <w:r>
        <w:rPr>
          <w:rFonts w:asciiTheme="minorHAnsi" w:hAnsiTheme="minorHAnsi"/>
          <w:color w:val="1F497D" w:themeColor="text2"/>
          <w:sz w:val="22"/>
          <w:szCs w:val="22"/>
        </w:rPr>
        <w:t xml:space="preserve">or their parents who appear to meet the age </w:t>
      </w:r>
      <w:r w:rsidR="00811E02">
        <w:rPr>
          <w:rFonts w:asciiTheme="minorHAnsi" w:hAnsiTheme="minorHAnsi"/>
          <w:color w:val="1F497D" w:themeColor="text2"/>
          <w:sz w:val="22"/>
          <w:szCs w:val="22"/>
        </w:rPr>
        <w:t xml:space="preserve">criteria </w:t>
      </w:r>
      <w:r w:rsidR="00F73EFB">
        <w:rPr>
          <w:rFonts w:asciiTheme="minorHAnsi" w:hAnsiTheme="minorHAnsi"/>
          <w:color w:val="1F497D" w:themeColor="text2"/>
          <w:sz w:val="22"/>
          <w:szCs w:val="22"/>
        </w:rPr>
        <w:t>will be randomly selected</w:t>
      </w:r>
      <w:r w:rsidR="00D71BBD">
        <w:rPr>
          <w:rFonts w:asciiTheme="minorHAnsi" w:hAnsiTheme="minorHAnsi"/>
          <w:color w:val="1F497D" w:themeColor="text2"/>
          <w:sz w:val="22"/>
          <w:szCs w:val="22"/>
        </w:rPr>
        <w:t xml:space="preserve"> and contacted by phone</w:t>
      </w:r>
      <w:r w:rsidR="00F73EFB">
        <w:rPr>
          <w:rFonts w:asciiTheme="minorHAnsi" w:hAnsiTheme="minorHAnsi"/>
          <w:color w:val="1F497D" w:themeColor="text2"/>
          <w:sz w:val="22"/>
          <w:szCs w:val="22"/>
        </w:rPr>
        <w:t xml:space="preserve">.  Those </w:t>
      </w:r>
      <w:r w:rsidR="00424224">
        <w:rPr>
          <w:rFonts w:asciiTheme="minorHAnsi" w:hAnsiTheme="minorHAnsi"/>
          <w:color w:val="1F497D" w:themeColor="text2"/>
          <w:sz w:val="22"/>
          <w:szCs w:val="22"/>
        </w:rPr>
        <w:t xml:space="preserve">who </w:t>
      </w:r>
      <w:r w:rsidR="00F73EFB">
        <w:rPr>
          <w:rFonts w:asciiTheme="minorHAnsi" w:hAnsiTheme="minorHAnsi"/>
          <w:color w:val="1F497D" w:themeColor="text2"/>
          <w:sz w:val="22"/>
          <w:szCs w:val="22"/>
        </w:rPr>
        <w:t xml:space="preserve">successfully </w:t>
      </w:r>
      <w:r w:rsidR="00424224">
        <w:rPr>
          <w:rFonts w:asciiTheme="minorHAnsi" w:hAnsiTheme="minorHAnsi"/>
          <w:color w:val="1F497D" w:themeColor="text2"/>
          <w:sz w:val="22"/>
          <w:szCs w:val="22"/>
        </w:rPr>
        <w:t>me</w:t>
      </w:r>
      <w:r w:rsidR="00F73EFB">
        <w:rPr>
          <w:rFonts w:asciiTheme="minorHAnsi" w:hAnsiTheme="minorHAnsi"/>
          <w:color w:val="1F497D" w:themeColor="text2"/>
          <w:sz w:val="22"/>
          <w:szCs w:val="22"/>
        </w:rPr>
        <w:t>e</w:t>
      </w:r>
      <w:r w:rsidR="00424224">
        <w:rPr>
          <w:rFonts w:asciiTheme="minorHAnsi" w:hAnsiTheme="minorHAnsi"/>
          <w:color w:val="1F497D" w:themeColor="text2"/>
          <w:sz w:val="22"/>
          <w:szCs w:val="22"/>
        </w:rPr>
        <w:t xml:space="preserve">t </w:t>
      </w:r>
      <w:r>
        <w:rPr>
          <w:rFonts w:asciiTheme="minorHAnsi" w:hAnsiTheme="minorHAnsi"/>
          <w:color w:val="1F497D" w:themeColor="text2"/>
          <w:sz w:val="22"/>
          <w:szCs w:val="22"/>
        </w:rPr>
        <w:t xml:space="preserve">all </w:t>
      </w:r>
      <w:r w:rsidR="00424224">
        <w:rPr>
          <w:rFonts w:asciiTheme="minorHAnsi" w:hAnsiTheme="minorHAnsi"/>
          <w:color w:val="1F497D" w:themeColor="text2"/>
          <w:sz w:val="22"/>
          <w:szCs w:val="22"/>
        </w:rPr>
        <w:t xml:space="preserve">the criteria </w:t>
      </w:r>
      <w:r w:rsidR="00F73EFB">
        <w:rPr>
          <w:rFonts w:asciiTheme="minorHAnsi" w:hAnsiTheme="minorHAnsi"/>
          <w:color w:val="1F497D" w:themeColor="text2"/>
          <w:sz w:val="22"/>
          <w:szCs w:val="22"/>
        </w:rPr>
        <w:t xml:space="preserve">in </w:t>
      </w:r>
      <w:r w:rsidR="00424224">
        <w:rPr>
          <w:rFonts w:asciiTheme="minorHAnsi" w:hAnsiTheme="minorHAnsi"/>
          <w:color w:val="1F497D" w:themeColor="text2"/>
          <w:sz w:val="22"/>
          <w:szCs w:val="22"/>
        </w:rPr>
        <w:t xml:space="preserve">the </w:t>
      </w:r>
      <w:r w:rsidR="007F0BD4">
        <w:rPr>
          <w:rFonts w:asciiTheme="minorHAnsi" w:hAnsiTheme="minorHAnsi"/>
          <w:color w:val="1F497D" w:themeColor="text2"/>
          <w:sz w:val="22"/>
          <w:szCs w:val="22"/>
        </w:rPr>
        <w:t xml:space="preserve">screener </w:t>
      </w:r>
      <w:r w:rsidR="00424224">
        <w:rPr>
          <w:rFonts w:asciiTheme="minorHAnsi" w:hAnsiTheme="minorHAnsi"/>
          <w:color w:val="1F497D" w:themeColor="text2"/>
          <w:sz w:val="22"/>
          <w:szCs w:val="22"/>
        </w:rPr>
        <w:t>question</w:t>
      </w:r>
      <w:r w:rsidR="00F73EFB">
        <w:rPr>
          <w:rFonts w:asciiTheme="minorHAnsi" w:hAnsiTheme="minorHAnsi"/>
          <w:color w:val="1F497D" w:themeColor="text2"/>
          <w:sz w:val="22"/>
          <w:szCs w:val="22"/>
        </w:rPr>
        <w:t>naire</w:t>
      </w:r>
      <w:r w:rsidR="00424224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r w:rsidR="00080940">
        <w:rPr>
          <w:rFonts w:asciiTheme="minorHAnsi" w:hAnsiTheme="minorHAnsi"/>
          <w:color w:val="1F497D" w:themeColor="text2"/>
          <w:sz w:val="22"/>
          <w:szCs w:val="22"/>
        </w:rPr>
        <w:t>will be invited</w:t>
      </w:r>
      <w:r w:rsidR="00936BEB">
        <w:rPr>
          <w:rFonts w:asciiTheme="minorHAnsi" w:hAnsiTheme="minorHAnsi"/>
          <w:color w:val="1F497D" w:themeColor="text2"/>
          <w:sz w:val="22"/>
          <w:szCs w:val="22"/>
        </w:rPr>
        <w:t xml:space="preserve"> to participate in the </w:t>
      </w:r>
      <w:r w:rsidR="00424224">
        <w:rPr>
          <w:rFonts w:asciiTheme="minorHAnsi" w:hAnsiTheme="minorHAnsi"/>
          <w:color w:val="1F497D" w:themeColor="text2"/>
          <w:sz w:val="22"/>
          <w:szCs w:val="22"/>
        </w:rPr>
        <w:t>online bulletin boards</w:t>
      </w:r>
      <w:r w:rsidR="00936BEB">
        <w:rPr>
          <w:rFonts w:asciiTheme="minorHAnsi" w:hAnsiTheme="minorHAnsi"/>
          <w:color w:val="1F497D" w:themeColor="text2"/>
          <w:sz w:val="22"/>
          <w:szCs w:val="22"/>
        </w:rPr>
        <w:t xml:space="preserve">. </w:t>
      </w:r>
      <w:r w:rsidR="00C16B7F" w:rsidRPr="00C16B7F">
        <w:rPr>
          <w:rFonts w:asciiTheme="minorHAnsi" w:hAnsiTheme="minorHAnsi"/>
          <w:color w:val="1F497D" w:themeColor="text2"/>
          <w:sz w:val="22"/>
          <w:szCs w:val="22"/>
        </w:rPr>
        <w:t xml:space="preserve"> </w:t>
      </w:r>
      <w:r w:rsidR="00424224">
        <w:rPr>
          <w:rFonts w:asciiTheme="minorHAnsi" w:hAnsiTheme="minorHAnsi"/>
          <w:color w:val="1F497D" w:themeColor="text2"/>
          <w:sz w:val="22"/>
          <w:szCs w:val="22"/>
        </w:rPr>
        <w:t>For children 15-1</w:t>
      </w:r>
      <w:r w:rsidR="00F80E34">
        <w:rPr>
          <w:rFonts w:asciiTheme="minorHAnsi" w:hAnsiTheme="minorHAnsi"/>
          <w:color w:val="1F497D" w:themeColor="text2"/>
          <w:sz w:val="22"/>
          <w:szCs w:val="22"/>
        </w:rPr>
        <w:t>7</w:t>
      </w:r>
      <w:r w:rsidR="00424224">
        <w:rPr>
          <w:rFonts w:asciiTheme="minorHAnsi" w:hAnsiTheme="minorHAnsi"/>
          <w:color w:val="1F497D" w:themeColor="text2"/>
          <w:sz w:val="22"/>
          <w:szCs w:val="22"/>
        </w:rPr>
        <w:t xml:space="preserve">, permission will be requested of a parent for the child to participate. </w:t>
      </w:r>
    </w:p>
    <w:p w:rsidR="00424224" w:rsidRPr="00C16B7F" w:rsidRDefault="00424224" w:rsidP="00A403BB">
      <w:pPr>
        <w:rPr>
          <w:rFonts w:asciiTheme="minorHAnsi" w:hAnsiTheme="minorHAnsi"/>
          <w:color w:val="1F497D" w:themeColor="text2"/>
          <w:sz w:val="22"/>
          <w:szCs w:val="22"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 xml:space="preserve">[ </w:t>
      </w:r>
      <w:r w:rsidR="008F203F" w:rsidRPr="008F203F">
        <w:rPr>
          <w:rFonts w:asciiTheme="minorHAnsi" w:hAnsiTheme="minorHAnsi"/>
          <w:color w:val="1F497D" w:themeColor="text2"/>
          <w:sz w:val="22"/>
          <w:szCs w:val="22"/>
        </w:rPr>
        <w:t>X</w:t>
      </w:r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F73EFB" w:rsidRPr="00F73EFB">
        <w:rPr>
          <w:rFonts w:asciiTheme="minorHAnsi" w:hAnsiTheme="minorHAnsi"/>
          <w:color w:val="1F497D" w:themeColor="text2"/>
          <w:sz w:val="22"/>
          <w:szCs w:val="22"/>
        </w:rPr>
        <w:t>X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D71BBD" w:rsidRDefault="00D71BBD" w:rsidP="001B0AAA">
      <w:pPr>
        <w:ind w:left="720"/>
      </w:pP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</w:t>
      </w:r>
      <w:r w:rsidRPr="00F73EFB">
        <w:rPr>
          <w:rFonts w:ascii="Calibri" w:hAnsi="Calibri"/>
          <w:color w:val="1F497D" w:themeColor="text2"/>
          <w:sz w:val="22"/>
          <w:szCs w:val="22"/>
        </w:rPr>
        <w:t xml:space="preserve">[ </w:t>
      </w:r>
      <w:r w:rsidR="00F73EFB" w:rsidRPr="00F73EFB">
        <w:rPr>
          <w:rFonts w:ascii="Calibri" w:hAnsi="Calibri"/>
          <w:color w:val="1F497D" w:themeColor="text2"/>
          <w:sz w:val="22"/>
          <w:szCs w:val="22"/>
        </w:rPr>
        <w:t>X</w:t>
      </w:r>
      <w:r>
        <w:t xml:space="preserve">] Yes </w:t>
      </w:r>
      <w:r w:rsidRPr="00204878">
        <w:rPr>
          <w:color w:val="1F497D" w:themeColor="text2"/>
        </w:rPr>
        <w:t>[</w:t>
      </w:r>
      <w:r w:rsidR="00F73EFB">
        <w:rPr>
          <w:color w:val="1F497D" w:themeColor="text2"/>
        </w:rPr>
        <w:t xml:space="preserve"> </w:t>
      </w:r>
      <w:r>
        <w:t>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D32239" w:rsidRDefault="00D32239" w:rsidP="003407E0">
      <w:pPr>
        <w:pStyle w:val="Heading2"/>
        <w:tabs>
          <w:tab w:val="left" w:pos="900"/>
        </w:tabs>
        <w:ind w:right="-180"/>
        <w:jc w:val="left"/>
        <w:rPr>
          <w:sz w:val="28"/>
        </w:rPr>
      </w:pPr>
    </w:p>
    <w:p w:rsidR="005430ED" w:rsidRDefault="005430ED" w:rsidP="003407E0">
      <w:r>
        <w:t>Please note, the participant screener’s guide and moderator’s guide are being submitted as part of this package as separate documents.</w:t>
      </w:r>
    </w:p>
    <w:p w:rsidR="005430ED" w:rsidRPr="003407E0" w:rsidRDefault="005430ED" w:rsidP="003407E0"/>
    <w:p w:rsidR="005E714A" w:rsidRDefault="005E714A" w:rsidP="000C0EBF">
      <w:pPr>
        <w:keepNext/>
        <w:tabs>
          <w:tab w:val="left" w:pos="900"/>
        </w:tabs>
        <w:ind w:right="-180"/>
        <w:jc w:val="center"/>
        <w:outlineLvl w:val="1"/>
      </w:pPr>
    </w:p>
    <w:sectPr w:rsidR="005E714A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BD4" w:rsidRDefault="007F0BD4">
      <w:r>
        <w:separator/>
      </w:r>
    </w:p>
  </w:endnote>
  <w:endnote w:type="continuationSeparator" w:id="0">
    <w:p w:rsidR="007F0BD4" w:rsidRDefault="007F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BD4" w:rsidRDefault="007F0BD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0C0EBF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BD4" w:rsidRDefault="007F0BD4">
      <w:r>
        <w:separator/>
      </w:r>
    </w:p>
  </w:footnote>
  <w:footnote w:type="continuationSeparator" w:id="0">
    <w:p w:rsidR="007F0BD4" w:rsidRDefault="007F0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BD4" w:rsidRDefault="007F0BD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BE48BE"/>
    <w:multiLevelType w:val="hybridMultilevel"/>
    <w:tmpl w:val="CB24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6FD1410"/>
    <w:multiLevelType w:val="hybridMultilevel"/>
    <w:tmpl w:val="A35447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970CE4"/>
    <w:multiLevelType w:val="hybridMultilevel"/>
    <w:tmpl w:val="5B38DADC"/>
    <w:lvl w:ilvl="0" w:tplc="249E2560">
      <w:start w:val="1"/>
      <w:numFmt w:val="bullet"/>
      <w:lvlText w:val="▬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9A73CE"/>
    <w:multiLevelType w:val="hybridMultilevel"/>
    <w:tmpl w:val="07AC996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D138C9"/>
    <w:multiLevelType w:val="hybridMultilevel"/>
    <w:tmpl w:val="755A9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726267FE"/>
    <w:multiLevelType w:val="hybridMultilevel"/>
    <w:tmpl w:val="AC0CC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21"/>
  </w:num>
  <w:num w:numId="4">
    <w:abstractNumId w:val="23"/>
  </w:num>
  <w:num w:numId="5">
    <w:abstractNumId w:val="3"/>
  </w:num>
  <w:num w:numId="6">
    <w:abstractNumId w:val="1"/>
  </w:num>
  <w:num w:numId="7">
    <w:abstractNumId w:val="11"/>
  </w:num>
  <w:num w:numId="8">
    <w:abstractNumId w:val="18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0"/>
  </w:num>
  <w:num w:numId="14">
    <w:abstractNumId w:val="20"/>
  </w:num>
  <w:num w:numId="15">
    <w:abstractNumId w:val="17"/>
  </w:num>
  <w:num w:numId="16">
    <w:abstractNumId w:val="15"/>
  </w:num>
  <w:num w:numId="17">
    <w:abstractNumId w:val="4"/>
  </w:num>
  <w:num w:numId="18">
    <w:abstractNumId w:val="6"/>
  </w:num>
  <w:num w:numId="19">
    <w:abstractNumId w:val="5"/>
  </w:num>
  <w:num w:numId="20">
    <w:abstractNumId w:val="14"/>
  </w:num>
  <w:num w:numId="21">
    <w:abstractNumId w:val="19"/>
  </w:num>
  <w:num w:numId="22">
    <w:abstractNumId w:val="10"/>
  </w:num>
  <w:num w:numId="23">
    <w:abstractNumId w:val="16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00BD8"/>
    <w:rsid w:val="00023A57"/>
    <w:rsid w:val="00047A64"/>
    <w:rsid w:val="00067329"/>
    <w:rsid w:val="00080940"/>
    <w:rsid w:val="000B2838"/>
    <w:rsid w:val="000C0EBF"/>
    <w:rsid w:val="000D21F4"/>
    <w:rsid w:val="000D44CA"/>
    <w:rsid w:val="000E200B"/>
    <w:rsid w:val="000F68BE"/>
    <w:rsid w:val="00117E98"/>
    <w:rsid w:val="00152F2F"/>
    <w:rsid w:val="001927A4"/>
    <w:rsid w:val="00194AC6"/>
    <w:rsid w:val="001A23B0"/>
    <w:rsid w:val="001A25CC"/>
    <w:rsid w:val="001B0AAA"/>
    <w:rsid w:val="001C39F7"/>
    <w:rsid w:val="00204878"/>
    <w:rsid w:val="00237B48"/>
    <w:rsid w:val="0024521E"/>
    <w:rsid w:val="00263C3D"/>
    <w:rsid w:val="00274D0B"/>
    <w:rsid w:val="002B3C95"/>
    <w:rsid w:val="002D0B92"/>
    <w:rsid w:val="003407E0"/>
    <w:rsid w:val="0036081D"/>
    <w:rsid w:val="003D5BBE"/>
    <w:rsid w:val="003D7443"/>
    <w:rsid w:val="003E3C61"/>
    <w:rsid w:val="003F1C5B"/>
    <w:rsid w:val="00424224"/>
    <w:rsid w:val="00434E33"/>
    <w:rsid w:val="00441434"/>
    <w:rsid w:val="0045264C"/>
    <w:rsid w:val="00465078"/>
    <w:rsid w:val="00465EA5"/>
    <w:rsid w:val="004876EC"/>
    <w:rsid w:val="004A1F0D"/>
    <w:rsid w:val="004A3C1A"/>
    <w:rsid w:val="004D6E14"/>
    <w:rsid w:val="004F5F91"/>
    <w:rsid w:val="005009B0"/>
    <w:rsid w:val="00527A42"/>
    <w:rsid w:val="00532DCE"/>
    <w:rsid w:val="005430ED"/>
    <w:rsid w:val="00594BD6"/>
    <w:rsid w:val="005A1006"/>
    <w:rsid w:val="005E714A"/>
    <w:rsid w:val="006140A0"/>
    <w:rsid w:val="00636621"/>
    <w:rsid w:val="00642B49"/>
    <w:rsid w:val="006456D9"/>
    <w:rsid w:val="006832D9"/>
    <w:rsid w:val="0069403B"/>
    <w:rsid w:val="006A09F5"/>
    <w:rsid w:val="006F3DDE"/>
    <w:rsid w:val="00704678"/>
    <w:rsid w:val="007425E7"/>
    <w:rsid w:val="00754637"/>
    <w:rsid w:val="00790531"/>
    <w:rsid w:val="007B46E2"/>
    <w:rsid w:val="007F0BD4"/>
    <w:rsid w:val="00802607"/>
    <w:rsid w:val="008101A5"/>
    <w:rsid w:val="00811E02"/>
    <w:rsid w:val="00822664"/>
    <w:rsid w:val="0082376F"/>
    <w:rsid w:val="00843796"/>
    <w:rsid w:val="00895229"/>
    <w:rsid w:val="008A1BC9"/>
    <w:rsid w:val="008D2096"/>
    <w:rsid w:val="008F0203"/>
    <w:rsid w:val="008F203F"/>
    <w:rsid w:val="008F50D4"/>
    <w:rsid w:val="009239AA"/>
    <w:rsid w:val="00935ADA"/>
    <w:rsid w:val="00936BEB"/>
    <w:rsid w:val="00946B6C"/>
    <w:rsid w:val="00955A71"/>
    <w:rsid w:val="0096076E"/>
    <w:rsid w:val="0096108F"/>
    <w:rsid w:val="009B64DA"/>
    <w:rsid w:val="009C13B9"/>
    <w:rsid w:val="009D01A2"/>
    <w:rsid w:val="009F5923"/>
    <w:rsid w:val="00A403BB"/>
    <w:rsid w:val="00A674DF"/>
    <w:rsid w:val="00A67C18"/>
    <w:rsid w:val="00A83AA6"/>
    <w:rsid w:val="00AD3C35"/>
    <w:rsid w:val="00AE1809"/>
    <w:rsid w:val="00AE6DA5"/>
    <w:rsid w:val="00B36B39"/>
    <w:rsid w:val="00B80D76"/>
    <w:rsid w:val="00B86601"/>
    <w:rsid w:val="00B87C4E"/>
    <w:rsid w:val="00BA2105"/>
    <w:rsid w:val="00BA7E06"/>
    <w:rsid w:val="00BB43B5"/>
    <w:rsid w:val="00BB6219"/>
    <w:rsid w:val="00BD290F"/>
    <w:rsid w:val="00BF04EC"/>
    <w:rsid w:val="00C14CC4"/>
    <w:rsid w:val="00C16B7F"/>
    <w:rsid w:val="00C33C52"/>
    <w:rsid w:val="00C40D8B"/>
    <w:rsid w:val="00C8407A"/>
    <w:rsid w:val="00C8488C"/>
    <w:rsid w:val="00C86E91"/>
    <w:rsid w:val="00CA2650"/>
    <w:rsid w:val="00CA7B42"/>
    <w:rsid w:val="00CB1078"/>
    <w:rsid w:val="00CC6FAF"/>
    <w:rsid w:val="00CD0BA9"/>
    <w:rsid w:val="00D24698"/>
    <w:rsid w:val="00D32239"/>
    <w:rsid w:val="00D5646E"/>
    <w:rsid w:val="00D6383F"/>
    <w:rsid w:val="00D71BBD"/>
    <w:rsid w:val="00DB59D0"/>
    <w:rsid w:val="00DC33D3"/>
    <w:rsid w:val="00DC468C"/>
    <w:rsid w:val="00DE065A"/>
    <w:rsid w:val="00E26329"/>
    <w:rsid w:val="00E368DD"/>
    <w:rsid w:val="00E40B50"/>
    <w:rsid w:val="00E50293"/>
    <w:rsid w:val="00E65FFC"/>
    <w:rsid w:val="00E80951"/>
    <w:rsid w:val="00E86CC6"/>
    <w:rsid w:val="00E92F30"/>
    <w:rsid w:val="00E960EB"/>
    <w:rsid w:val="00EB56B3"/>
    <w:rsid w:val="00ED5DFF"/>
    <w:rsid w:val="00ED6492"/>
    <w:rsid w:val="00EE07C6"/>
    <w:rsid w:val="00EF2095"/>
    <w:rsid w:val="00F06866"/>
    <w:rsid w:val="00F15956"/>
    <w:rsid w:val="00F16FBA"/>
    <w:rsid w:val="00F24CFC"/>
    <w:rsid w:val="00F3170F"/>
    <w:rsid w:val="00F34611"/>
    <w:rsid w:val="00F424AD"/>
    <w:rsid w:val="00F73EFB"/>
    <w:rsid w:val="00F80E34"/>
    <w:rsid w:val="00F84180"/>
    <w:rsid w:val="00F976B0"/>
    <w:rsid w:val="00FA6DE7"/>
    <w:rsid w:val="00FC0A8E"/>
    <w:rsid w:val="00FC438C"/>
    <w:rsid w:val="00FE2FA6"/>
    <w:rsid w:val="00FE3DF2"/>
    <w:rsid w:val="00FE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3C35"/>
    <w:rPr>
      <w:color w:val="0000FF"/>
      <w:u w:val="single"/>
    </w:rPr>
  </w:style>
  <w:style w:type="character" w:customStyle="1" w:styleId="cit-last-page">
    <w:name w:val="cit-last-page"/>
    <w:basedOn w:val="DefaultParagraphFont"/>
    <w:rsid w:val="00AD3C35"/>
  </w:style>
  <w:style w:type="character" w:styleId="FootnoteReference">
    <w:name w:val="footnote reference"/>
    <w:basedOn w:val="DefaultParagraphFont"/>
    <w:uiPriority w:val="99"/>
    <w:unhideWhenUsed/>
    <w:rsid w:val="00AD3C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3C35"/>
    <w:rPr>
      <w:color w:val="0000FF"/>
      <w:u w:val="single"/>
    </w:rPr>
  </w:style>
  <w:style w:type="character" w:customStyle="1" w:styleId="cit-last-page">
    <w:name w:val="cit-last-page"/>
    <w:basedOn w:val="DefaultParagraphFont"/>
    <w:rsid w:val="00AD3C35"/>
  </w:style>
  <w:style w:type="character" w:styleId="FootnoteReference">
    <w:name w:val="footnote reference"/>
    <w:basedOn w:val="DefaultParagraphFont"/>
    <w:uiPriority w:val="99"/>
    <w:unhideWhenUsed/>
    <w:rsid w:val="00AD3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5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r.umich.edu/src/smp/Electroni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3E4C9925</Template>
  <TotalTime>0</TotalTime>
  <Pages>4</Pages>
  <Words>1265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Cardoso, Ana</cp:lastModifiedBy>
  <cp:revision>3</cp:revision>
  <cp:lastPrinted>2014-09-29T12:37:00Z</cp:lastPrinted>
  <dcterms:created xsi:type="dcterms:W3CDTF">2014-10-15T19:04:00Z</dcterms:created>
  <dcterms:modified xsi:type="dcterms:W3CDTF">2014-10-15T19:12:00Z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