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0990" w14:textId="77777777" w:rsidR="00DA4D8D" w:rsidRDefault="003061B6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="00CB65B3">
        <w:rPr>
          <w:rFonts w:ascii="Times New Roman" w:hAnsi="Times New Roman" w:cs="Times New Roman"/>
          <w:b/>
          <w:sz w:val="24"/>
          <w:szCs w:val="24"/>
        </w:rPr>
        <w:t xml:space="preserve"> Worksheet</w:t>
      </w:r>
    </w:p>
    <w:p w14:paraId="139BA405" w14:textId="77777777" w:rsidR="003061B6" w:rsidRDefault="008A0BFE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Livestock Mandatory Reporting Act of 1999</w:t>
      </w:r>
    </w:p>
    <w:p w14:paraId="54F01677" w14:textId="77777777" w:rsidR="003061B6" w:rsidRDefault="008A0BFE" w:rsidP="0030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0581-0186</w:t>
      </w:r>
    </w:p>
    <w:p w14:paraId="199AAFBB" w14:textId="77777777" w:rsidR="003061B6" w:rsidRDefault="003061B6" w:rsidP="003061B6">
      <w:pPr>
        <w:rPr>
          <w:rFonts w:ascii="Times New Roman" w:hAnsi="Times New Roman" w:cs="Times New Roman"/>
          <w:b/>
          <w:sz w:val="24"/>
          <w:szCs w:val="24"/>
        </w:rPr>
      </w:pPr>
    </w:p>
    <w:p w14:paraId="5E5468A8" w14:textId="2C25310B" w:rsidR="003061B6" w:rsidRDefault="00C17F72" w:rsidP="00306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</w:t>
      </w:r>
      <w:r w:rsidR="00CB65B3" w:rsidRPr="00CB65B3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14:paraId="673FD90F" w14:textId="77777777" w:rsidR="00CB65B3" w:rsidRDefault="00CB65B3" w:rsidP="00CB6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LIVESTOCK MANDATORY REPORTING (7 CFR Part 59); </w:t>
      </w:r>
    </w:p>
    <w:p w14:paraId="17770119" w14:textId="77777777" w:rsidR="00CB65B3" w:rsidRPr="00CB65B3" w:rsidRDefault="00CB65B3" w:rsidP="00CB6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REVISION OF LAMB REPORTING REQUIREMENTS</w:t>
      </w:r>
    </w:p>
    <w:p w14:paraId="4B71DE18" w14:textId="77777777" w:rsidR="00CB65B3" w:rsidRDefault="00CB65B3" w:rsidP="00DD0C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621988" w14:textId="4E2DB18B" w:rsidR="0031380A" w:rsidRPr="00DD0C2B" w:rsidRDefault="003061B6" w:rsidP="00DD0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0C2B">
        <w:rPr>
          <w:rFonts w:ascii="Times New Roman" w:hAnsi="Times New Roman" w:cs="Times New Roman"/>
          <w:sz w:val="24"/>
          <w:szCs w:val="24"/>
        </w:rPr>
        <w:t xml:space="preserve">This </w:t>
      </w:r>
      <w:r w:rsidRPr="00DD0C2B">
        <w:rPr>
          <w:rFonts w:ascii="Times New Roman" w:hAnsi="Times New Roman" w:cs="Times New Roman"/>
          <w:b/>
          <w:sz w:val="24"/>
          <w:szCs w:val="24"/>
        </w:rPr>
        <w:t>Justificatio</w:t>
      </w:r>
      <w:r w:rsidR="00DE0351" w:rsidRPr="00DD0C2B">
        <w:rPr>
          <w:rFonts w:ascii="Times New Roman" w:hAnsi="Times New Roman" w:cs="Times New Roman"/>
          <w:b/>
          <w:sz w:val="24"/>
          <w:szCs w:val="24"/>
        </w:rPr>
        <w:t>n for Change request</w:t>
      </w:r>
      <w:r w:rsidR="00CB65B3">
        <w:rPr>
          <w:rFonts w:ascii="Times New Roman" w:hAnsi="Times New Roman" w:cs="Times New Roman"/>
          <w:b/>
          <w:sz w:val="24"/>
          <w:szCs w:val="24"/>
        </w:rPr>
        <w:t xml:space="preserve">s the Office of Management and Budget’s approval to  </w:t>
      </w:r>
      <w:r w:rsidR="00DE0351" w:rsidRPr="00DD0C2B">
        <w:rPr>
          <w:rFonts w:ascii="Times New Roman" w:hAnsi="Times New Roman" w:cs="Times New Roman"/>
          <w:b/>
          <w:sz w:val="24"/>
          <w:szCs w:val="24"/>
        </w:rPr>
        <w:t xml:space="preserve"> increase the </w:t>
      </w:r>
      <w:r w:rsidRPr="00DD0C2B">
        <w:rPr>
          <w:rFonts w:ascii="Times New Roman" w:hAnsi="Times New Roman" w:cs="Times New Roman"/>
          <w:b/>
          <w:sz w:val="24"/>
          <w:szCs w:val="24"/>
        </w:rPr>
        <w:t>Reporting</w:t>
      </w:r>
      <w:r w:rsidR="00DE0351" w:rsidRPr="00DD0C2B">
        <w:rPr>
          <w:rFonts w:ascii="Times New Roman" w:hAnsi="Times New Roman" w:cs="Times New Roman"/>
          <w:b/>
          <w:sz w:val="24"/>
          <w:szCs w:val="24"/>
        </w:rPr>
        <w:t xml:space="preserve"> Requirements for</w:t>
      </w:r>
      <w:r w:rsidRPr="00DD0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209">
        <w:rPr>
          <w:rFonts w:ascii="Times New Roman" w:hAnsi="Times New Roman" w:cs="Times New Roman"/>
          <w:b/>
          <w:sz w:val="24"/>
          <w:szCs w:val="24"/>
        </w:rPr>
        <w:t>OMB</w:t>
      </w:r>
      <w:r w:rsidR="00DD0C2B" w:rsidRPr="00DD0C2B">
        <w:rPr>
          <w:rFonts w:ascii="Times New Roman" w:hAnsi="Times New Roman" w:cs="Times New Roman"/>
          <w:b/>
          <w:sz w:val="24"/>
          <w:szCs w:val="24"/>
        </w:rPr>
        <w:t xml:space="preserve"> 0581-0186</w:t>
      </w:r>
      <w:r w:rsidRPr="00DD0C2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1380A" w:rsidRPr="0031380A">
        <w:rPr>
          <w:rFonts w:ascii="Times New Roman" w:hAnsi="Times New Roman" w:cs="Times New Roman"/>
          <w:sz w:val="24"/>
          <w:szCs w:val="24"/>
        </w:rPr>
        <w:t>The</w:t>
      </w:r>
      <w:r w:rsidR="0031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C2B" w:rsidRPr="00DD0C2B">
        <w:rPr>
          <w:rFonts w:ascii="Times New Roman" w:hAnsi="Times New Roman" w:cs="Times New Roman"/>
          <w:sz w:val="24"/>
          <w:szCs w:val="24"/>
        </w:rPr>
        <w:t>Agriculture Reauthorizations Act of 2015 (2015 Act)</w:t>
      </w:r>
      <w:r w:rsidR="0031380A">
        <w:rPr>
          <w:rFonts w:ascii="Times New Roman" w:hAnsi="Times New Roman" w:cs="Times New Roman"/>
          <w:sz w:val="24"/>
          <w:szCs w:val="24"/>
        </w:rPr>
        <w:t xml:space="preserve"> enacted September 30, 2015 requires that AMS, under the authority of the Secretary, amend the mandatory lamb reporting requirements within 180 days after enactment</w:t>
      </w:r>
      <w:r w:rsidR="00DD0C2B" w:rsidRPr="00DD0C2B">
        <w:rPr>
          <w:rFonts w:ascii="Times New Roman" w:hAnsi="Times New Roman" w:cs="Times New Roman"/>
          <w:sz w:val="24"/>
          <w:szCs w:val="24"/>
        </w:rPr>
        <w:t>.</w:t>
      </w:r>
      <w:r w:rsidR="0031380A">
        <w:rPr>
          <w:rFonts w:ascii="Times New Roman" w:hAnsi="Times New Roman" w:cs="Times New Roman"/>
          <w:sz w:val="24"/>
          <w:szCs w:val="24"/>
        </w:rPr>
        <w:t xml:space="preserve"> The Livestock Mandatory Reporting (LMR) program authorized by the Agricultural Marketing Act of 1946 will carry out the necessary r</w:t>
      </w:r>
      <w:r w:rsidR="00DD0C2B" w:rsidRPr="00DD0C2B">
        <w:rPr>
          <w:rFonts w:ascii="Times New Roman" w:hAnsi="Times New Roman" w:cs="Times New Roman"/>
          <w:sz w:val="24"/>
          <w:szCs w:val="24"/>
        </w:rPr>
        <w:t xml:space="preserve">evisions for the lamb reporting requirements </w:t>
      </w:r>
      <w:r w:rsidR="0031380A">
        <w:rPr>
          <w:rFonts w:ascii="Times New Roman" w:hAnsi="Times New Roman" w:cs="Times New Roman"/>
          <w:sz w:val="24"/>
          <w:szCs w:val="24"/>
        </w:rPr>
        <w:t xml:space="preserve">via direct final rule. This action will </w:t>
      </w:r>
      <w:r w:rsidR="00DD0C2B" w:rsidRPr="00DD0C2B">
        <w:rPr>
          <w:rFonts w:ascii="Times New Roman" w:hAnsi="Times New Roman" w:cs="Times New Roman"/>
          <w:sz w:val="24"/>
          <w:szCs w:val="24"/>
        </w:rPr>
        <w:t>redefine the term “packer” to include entities with 50 percent or more ownership in a facility and lower the threshold reporting requirements for packers and importers.</w:t>
      </w:r>
      <w:r w:rsidR="00550209">
        <w:rPr>
          <w:rFonts w:ascii="Times New Roman" w:hAnsi="Times New Roman" w:cs="Times New Roman"/>
          <w:sz w:val="24"/>
          <w:szCs w:val="24"/>
        </w:rPr>
        <w:t xml:space="preserve"> Consequently</w:t>
      </w:r>
      <w:r w:rsidR="0031380A">
        <w:rPr>
          <w:rFonts w:ascii="Times New Roman" w:hAnsi="Times New Roman" w:cs="Times New Roman"/>
          <w:sz w:val="24"/>
          <w:szCs w:val="24"/>
        </w:rPr>
        <w:t>, t</w:t>
      </w:r>
      <w:r w:rsidR="0031380A" w:rsidRPr="0031380A">
        <w:rPr>
          <w:rFonts w:ascii="Times New Roman" w:hAnsi="Times New Roman" w:cs="Times New Roman"/>
          <w:sz w:val="24"/>
          <w:szCs w:val="24"/>
        </w:rPr>
        <w:t xml:space="preserve">his action will </w:t>
      </w:r>
      <w:r w:rsidR="00E81112">
        <w:rPr>
          <w:rFonts w:ascii="Times New Roman" w:hAnsi="Times New Roman" w:cs="Times New Roman"/>
          <w:sz w:val="24"/>
          <w:szCs w:val="24"/>
        </w:rPr>
        <w:t xml:space="preserve">minimally </w:t>
      </w:r>
      <w:r w:rsidR="0031380A" w:rsidRPr="0031380A">
        <w:rPr>
          <w:rFonts w:ascii="Times New Roman" w:hAnsi="Times New Roman" w:cs="Times New Roman"/>
          <w:sz w:val="24"/>
          <w:szCs w:val="24"/>
        </w:rPr>
        <w:t xml:space="preserve">increase the number of covered entities providing market information that will provide a more complete representation of the marketplace.  </w:t>
      </w:r>
    </w:p>
    <w:p w14:paraId="507A55F0" w14:textId="77777777" w:rsidR="00DE0351" w:rsidRPr="00DD0C2B" w:rsidRDefault="00DD0C2B" w:rsidP="00DD0C2B">
      <w:pPr>
        <w:ind w:firstLine="720"/>
      </w:pPr>
      <w:r w:rsidRPr="00DD0C2B">
        <w:rPr>
          <w:rFonts w:ascii="Times New Roman" w:hAnsi="Times New Roman" w:cs="Times New Roman"/>
          <w:sz w:val="24"/>
          <w:szCs w:val="24"/>
        </w:rPr>
        <w:t>As a result of the 2015 Act</w:t>
      </w:r>
      <w:r w:rsidR="00DE0351" w:rsidRPr="00DD0C2B">
        <w:rPr>
          <w:rFonts w:ascii="Times New Roman" w:hAnsi="Times New Roman" w:cs="Times New Roman"/>
          <w:sz w:val="24"/>
          <w:szCs w:val="24"/>
        </w:rPr>
        <w:t xml:space="preserve">, the burden associated with </w:t>
      </w:r>
      <w:r w:rsidR="00003877" w:rsidRPr="00DD0C2B">
        <w:rPr>
          <w:rFonts w:ascii="Times New Roman" w:hAnsi="Times New Roman" w:cs="Times New Roman"/>
          <w:sz w:val="24"/>
          <w:szCs w:val="24"/>
        </w:rPr>
        <w:t>Form</w:t>
      </w:r>
      <w:r w:rsidRPr="00DD0C2B">
        <w:rPr>
          <w:rFonts w:ascii="Times New Roman" w:hAnsi="Times New Roman" w:cs="Times New Roman"/>
          <w:sz w:val="24"/>
          <w:szCs w:val="24"/>
        </w:rPr>
        <w:t>s</w:t>
      </w:r>
      <w:r w:rsidR="00003877" w:rsidRPr="00DD0C2B">
        <w:rPr>
          <w:rFonts w:ascii="Times New Roman" w:hAnsi="Times New Roman" w:cs="Times New Roman"/>
          <w:sz w:val="24"/>
          <w:szCs w:val="24"/>
        </w:rPr>
        <w:t xml:space="preserve"> </w:t>
      </w:r>
      <w:r w:rsidRPr="00DD0C2B">
        <w:rPr>
          <w:rFonts w:ascii="Times New Roman" w:hAnsi="Times New Roman" w:cs="Times New Roman"/>
          <w:sz w:val="24"/>
          <w:szCs w:val="24"/>
        </w:rPr>
        <w:t>LS-121 Live Lamb Daily Report – Current Established Prices, LS-123 Live Lamb Weekly Report, LS-124 Live Lamb Weekly Report – Formula Purchases, LS-125 Lamb Premiums and Discounts Weekly Report, LS-128 Boxed Lamb Daily Report, and LS-129 Lamb Carcass Report as approved under 0581-0186 on September 23, 2013 (expiring September 30, 2016)</w:t>
      </w:r>
      <w:r w:rsidR="00E811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="00E81112">
        <w:rPr>
          <w:rFonts w:ascii="Times New Roman" w:hAnsi="Times New Roman" w:cs="Times New Roman"/>
          <w:sz w:val="24"/>
          <w:szCs w:val="24"/>
        </w:rPr>
        <w:t xml:space="preserve">minimally </w:t>
      </w:r>
      <w:r>
        <w:rPr>
          <w:rFonts w:ascii="Times New Roman" w:hAnsi="Times New Roman" w:cs="Times New Roman"/>
          <w:sz w:val="24"/>
          <w:szCs w:val="24"/>
        </w:rPr>
        <w:t>increased the total number of respondents, total annual responses, and total hours as follows:</w:t>
      </w:r>
    </w:p>
    <w:tbl>
      <w:tblPr>
        <w:tblStyle w:val="TableGrid"/>
        <w:tblW w:w="9161" w:type="dxa"/>
        <w:tblLayout w:type="fixed"/>
        <w:tblLook w:val="04A0" w:firstRow="1" w:lastRow="0" w:firstColumn="1" w:lastColumn="0" w:noHBand="0" w:noVBand="1"/>
      </w:tblPr>
      <w:tblGrid>
        <w:gridCol w:w="1190"/>
        <w:gridCol w:w="1488"/>
        <w:gridCol w:w="744"/>
        <w:gridCol w:w="1163"/>
        <w:gridCol w:w="1175"/>
        <w:gridCol w:w="1169"/>
        <w:gridCol w:w="1063"/>
        <w:gridCol w:w="1169"/>
      </w:tblGrid>
      <w:tr w:rsidR="00CC1828" w14:paraId="737FACC0" w14:textId="77777777" w:rsidTr="00EE748B">
        <w:trPr>
          <w:trHeight w:val="868"/>
        </w:trPr>
        <w:tc>
          <w:tcPr>
            <w:tcW w:w="1190" w:type="dxa"/>
            <w:vAlign w:val="bottom"/>
          </w:tcPr>
          <w:p w14:paraId="003FC8BC" w14:textId="77777777" w:rsidR="00CC1828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SECTION OF REGS.</w:t>
            </w:r>
          </w:p>
          <w:p w14:paraId="2A048108" w14:textId="77777777" w:rsidR="00CC1828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(A)</w:t>
            </w:r>
          </w:p>
        </w:tc>
        <w:tc>
          <w:tcPr>
            <w:tcW w:w="1488" w:type="dxa"/>
            <w:vAlign w:val="bottom"/>
          </w:tcPr>
          <w:p w14:paraId="09D6D43F" w14:textId="77777777" w:rsidR="00CC1828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DESCRIPTION</w:t>
            </w:r>
          </w:p>
          <w:p w14:paraId="11992991" w14:textId="77777777" w:rsidR="00CC1828" w:rsidRDefault="00CC1828" w:rsidP="00036E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(B)</w:t>
            </w:r>
          </w:p>
        </w:tc>
        <w:tc>
          <w:tcPr>
            <w:tcW w:w="744" w:type="dxa"/>
            <w:vAlign w:val="bottom"/>
          </w:tcPr>
          <w:p w14:paraId="3BDC4763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FORMS NO (S)</w:t>
            </w:r>
          </w:p>
          <w:p w14:paraId="0CAB8526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(C)</w:t>
            </w:r>
          </w:p>
        </w:tc>
        <w:tc>
          <w:tcPr>
            <w:tcW w:w="1163" w:type="dxa"/>
            <w:vAlign w:val="bottom"/>
          </w:tcPr>
          <w:p w14:paraId="2B1FB0AA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NO. OF RESPOND-ENTS</w:t>
            </w:r>
          </w:p>
          <w:p w14:paraId="79C92386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(D)</w:t>
            </w:r>
          </w:p>
        </w:tc>
        <w:tc>
          <w:tcPr>
            <w:tcW w:w="1175" w:type="dxa"/>
            <w:vAlign w:val="bottom"/>
          </w:tcPr>
          <w:p w14:paraId="3464CD9B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NO. OF RESPONSES PER RESPONDENT</w:t>
            </w:r>
          </w:p>
          <w:p w14:paraId="1A308BF4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(E)</w:t>
            </w:r>
          </w:p>
        </w:tc>
        <w:tc>
          <w:tcPr>
            <w:tcW w:w="1169" w:type="dxa"/>
            <w:vAlign w:val="bottom"/>
          </w:tcPr>
          <w:p w14:paraId="5375BE8B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TOTAL ANNUAL RESPONSES</w:t>
            </w:r>
          </w:p>
          <w:p w14:paraId="671BCF75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(F)</w:t>
            </w:r>
          </w:p>
        </w:tc>
        <w:tc>
          <w:tcPr>
            <w:tcW w:w="1063" w:type="dxa"/>
            <w:vAlign w:val="bottom"/>
          </w:tcPr>
          <w:p w14:paraId="30F2AA19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HOURS PER RESPONSE</w:t>
            </w:r>
          </w:p>
          <w:p w14:paraId="68745ED1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(G)</w:t>
            </w:r>
          </w:p>
        </w:tc>
        <w:tc>
          <w:tcPr>
            <w:tcW w:w="1169" w:type="dxa"/>
            <w:vAlign w:val="bottom"/>
          </w:tcPr>
          <w:p w14:paraId="53665AAE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TOTAL HOURS</w:t>
            </w:r>
          </w:p>
          <w:p w14:paraId="18B1AE7D" w14:textId="77777777" w:rsidR="00CC1828" w:rsidRDefault="00CC18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(H) </w:t>
            </w:r>
          </w:p>
        </w:tc>
      </w:tr>
      <w:tr w:rsidR="00CC1828" w14:paraId="1DF4C075" w14:textId="77777777" w:rsidTr="00EE748B">
        <w:trPr>
          <w:trHeight w:val="965"/>
        </w:trPr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3C90" w14:textId="77777777" w:rsidR="00CC1828" w:rsidRPr="00CE2B93" w:rsidRDefault="00CC1828" w:rsidP="00CE2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B93">
              <w:rPr>
                <w:rFonts w:ascii="Times New Roman" w:hAnsi="Times New Roman" w:cs="Times New Roman"/>
                <w:sz w:val="16"/>
                <w:szCs w:val="16"/>
              </w:rPr>
              <w:t>59.301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10708B2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Live Lamb Daily Report - Current Established Prices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35E59132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30000CF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722BD046" w14:textId="77777777" w:rsidR="00CC1828" w:rsidRPr="00EE748B" w:rsidRDefault="00CC1828" w:rsidP="00CE2B93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</w:t>
            </w:r>
          </w:p>
          <w:p w14:paraId="15E20DC9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1C379158" w14:textId="37DA8D3D" w:rsidR="00E81112" w:rsidRPr="00AE6083" w:rsidRDefault="0053552E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1ACF8EB9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260.00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7A31A10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372B9CE6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1,300.00</w:t>
            </w:r>
          </w:p>
          <w:p w14:paraId="1F2EE92A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65B3C047" w14:textId="7A2C6188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1,820.00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3BE463B2" w14:textId="195F3B7E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43D17FD3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5721AB86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442.00</w:t>
            </w:r>
          </w:p>
          <w:p w14:paraId="41BE26C5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36E22D68" w14:textId="5B1D7A39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618.80</w:t>
            </w:r>
          </w:p>
        </w:tc>
      </w:tr>
      <w:tr w:rsidR="00CC1828" w14:paraId="48A4A88C" w14:textId="77777777" w:rsidTr="00EE748B">
        <w:trPr>
          <w:trHeight w:val="9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FB88" w14:textId="77777777" w:rsidR="00CC1828" w:rsidRPr="00CE2B93" w:rsidRDefault="00CC1828" w:rsidP="00CE2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B93">
              <w:rPr>
                <w:rFonts w:ascii="Times New Roman" w:hAnsi="Times New Roman" w:cs="Times New Roman"/>
                <w:sz w:val="16"/>
                <w:szCs w:val="16"/>
              </w:rPr>
              <w:t>59.302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5EA1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Live Lamb Weekly Report - Forward Contract &amp; Packer-Owned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389B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5E4A" w14:textId="77777777" w:rsidR="00CC1828" w:rsidRPr="00AE6083" w:rsidRDefault="00CC1828" w:rsidP="003201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43D5F767" w14:textId="77777777" w:rsidR="00CC1828" w:rsidRPr="00EE748B" w:rsidRDefault="00CC1828" w:rsidP="003201A1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</w:t>
            </w:r>
          </w:p>
          <w:p w14:paraId="0280FEF1" w14:textId="77777777" w:rsidR="00CC1828" w:rsidRPr="00AE6083" w:rsidRDefault="00CC1828" w:rsidP="003201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29C112D5" w14:textId="6449E532" w:rsidR="00CC1828" w:rsidRPr="00AE6083" w:rsidRDefault="0053552E" w:rsidP="003201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4075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B97F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1A7613AE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260.00</w:t>
            </w:r>
          </w:p>
          <w:p w14:paraId="3EDDCC2F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5DEEF5F9" w14:textId="7A4216DD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364.00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3590" w14:textId="2293039E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A290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3BE75291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65.00</w:t>
            </w:r>
          </w:p>
          <w:p w14:paraId="34575FDD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17057D4D" w14:textId="76AD3436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91</w:t>
            </w:r>
            <w:r w:rsidR="00E81112"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</w:tr>
      <w:tr w:rsidR="00CC1828" w14:paraId="2A87878E" w14:textId="77777777" w:rsidTr="00EE748B">
        <w:trPr>
          <w:trHeight w:val="9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D7D3" w14:textId="77777777" w:rsidR="00CC1828" w:rsidRPr="00CE2B93" w:rsidRDefault="00CC1828" w:rsidP="00CE2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B93">
              <w:rPr>
                <w:rFonts w:ascii="Times New Roman" w:hAnsi="Times New Roman" w:cs="Times New Roman"/>
                <w:sz w:val="16"/>
                <w:szCs w:val="16"/>
              </w:rPr>
              <w:t>59.302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B91A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Live Lamb Weekly Report - Formula Purchases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1999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0975" w14:textId="77777777" w:rsid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(Current)</w:t>
            </w:r>
          </w:p>
          <w:p w14:paraId="3732E5DD" w14:textId="2D7F998F" w:rsidR="00CC1828" w:rsidRPr="00EE748B" w:rsidRDefault="00CC1828" w:rsidP="00CE2B93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</w:t>
            </w:r>
          </w:p>
          <w:p w14:paraId="36A91C9D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10BB77E6" w14:textId="48F58FB8" w:rsidR="00CC1828" w:rsidRPr="00AE6083" w:rsidRDefault="0053552E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6343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B75D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310E4334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156.00</w:t>
            </w:r>
          </w:p>
          <w:p w14:paraId="0B34F943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0A4B2AE0" w14:textId="04C66120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364.00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9B4F" w14:textId="3F581610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E790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1A024C31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39.00</w:t>
            </w:r>
          </w:p>
          <w:p w14:paraId="6531C0AD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40B994A0" w14:textId="6AE6C902" w:rsidR="00CC1828" w:rsidRPr="00AE6083" w:rsidRDefault="00AE6083" w:rsidP="00AE608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91.00</w:t>
            </w:r>
          </w:p>
        </w:tc>
      </w:tr>
      <w:tr w:rsidR="00CC1828" w14:paraId="0BD181B7" w14:textId="77777777" w:rsidTr="00EE748B">
        <w:trPr>
          <w:trHeight w:val="9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2CBA" w14:textId="77777777" w:rsidR="00CC1828" w:rsidRPr="00CE2B93" w:rsidRDefault="00CC1828" w:rsidP="00CE2B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B93">
              <w:rPr>
                <w:rFonts w:ascii="Times New Roman" w:hAnsi="Times New Roman" w:cs="Times New Roman"/>
                <w:sz w:val="16"/>
                <w:szCs w:val="16"/>
              </w:rPr>
              <w:t>59.302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A2C1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Lamb Premiums &amp; Discounts Weekly Report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8F05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C471" w14:textId="77777777" w:rsid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(Current)</w:t>
            </w:r>
          </w:p>
          <w:p w14:paraId="5DF3828A" w14:textId="1DA6CD17" w:rsidR="00CC1828" w:rsidRPr="00EE748B" w:rsidRDefault="00CC1828" w:rsidP="00CE2B93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  <w:p w14:paraId="61E3CC29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7B1C2D8A" w14:textId="4F462792" w:rsidR="00CC1828" w:rsidRPr="00AE6083" w:rsidRDefault="0053552E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EF83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291C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4766240A" w14:textId="77777777" w:rsidR="00CC1828" w:rsidRPr="00AE6083" w:rsidRDefault="00CC1828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104.00</w:t>
            </w:r>
          </w:p>
          <w:p w14:paraId="348170C5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64D006F0" w14:textId="1D182975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364.00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0912" w14:textId="416CED38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AFE2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784F61B7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8.32</w:t>
            </w:r>
          </w:p>
          <w:p w14:paraId="1864A9FC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68D9EFCD" w14:textId="6676E1C8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29.12</w:t>
            </w:r>
          </w:p>
        </w:tc>
      </w:tr>
      <w:tr w:rsidR="00CC1828" w14:paraId="4BDB7B94" w14:textId="77777777" w:rsidTr="00EE748B">
        <w:trPr>
          <w:trHeight w:val="9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EEB7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59.303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ED40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Boxed Lamb Report (domestic packers)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7303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C5C6" w14:textId="77777777" w:rsid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(Current)</w:t>
            </w:r>
          </w:p>
          <w:p w14:paraId="282A0DDD" w14:textId="135817F8" w:rsidR="00CC1828" w:rsidRPr="00EE748B" w:rsidRDefault="00CC1828" w:rsidP="00CE2B93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9</w:t>
            </w:r>
          </w:p>
          <w:p w14:paraId="70628D9B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0FDF679A" w14:textId="342B5207" w:rsidR="00CC1828" w:rsidRPr="00AE6083" w:rsidRDefault="0053552E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2ED4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260.00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311E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045C04EC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2,340.00</w:t>
            </w:r>
          </w:p>
          <w:p w14:paraId="59358DFA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76948B28" w14:textId="389FDE2C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2,600.00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677B" w14:textId="6BDBF56A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</w:t>
            </w:r>
            <w:r w:rsidR="00F16D01"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AD87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56E6F7B2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390.78</w:t>
            </w:r>
          </w:p>
          <w:p w14:paraId="75B957D4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626B5CFF" w14:textId="71771D7E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434.20</w:t>
            </w:r>
          </w:p>
        </w:tc>
      </w:tr>
      <w:tr w:rsidR="00CC1828" w14:paraId="526900F4" w14:textId="77777777" w:rsidTr="00EE748B">
        <w:trPr>
          <w:trHeight w:val="9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A78B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59.303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63FB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Boxed Lamb Report (importers)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378C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32C" w14:textId="77777777" w:rsid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(Current)</w:t>
            </w:r>
          </w:p>
          <w:p w14:paraId="4A4FEBDF" w14:textId="492F7CCD" w:rsidR="00CC1828" w:rsidRPr="00EE748B" w:rsidRDefault="00CC1828" w:rsidP="00CE2B93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</w:p>
          <w:p w14:paraId="7718A725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07D12E2E" w14:textId="221819E5" w:rsidR="00CC1828" w:rsidRPr="00EE748B" w:rsidRDefault="00E81112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5860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4785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1DD0A1D8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312.00</w:t>
            </w:r>
          </w:p>
          <w:p w14:paraId="67DD9DDA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3BFDB1DA" w14:textId="681B1CD7" w:rsidR="00CC1828" w:rsidRPr="00AE6083" w:rsidRDefault="00E81112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468</w:t>
            </w:r>
            <w:r w:rsid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C320" w14:textId="3018F9EB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6EAE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3F00CAB3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26.21</w:t>
            </w:r>
          </w:p>
          <w:p w14:paraId="1C6D056E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1D75FC9E" w14:textId="49387B32" w:rsidR="00CC1828" w:rsidRPr="00AE6083" w:rsidRDefault="00E81112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39.31</w:t>
            </w:r>
          </w:p>
        </w:tc>
      </w:tr>
      <w:tr w:rsidR="00CC1828" w14:paraId="7E7503CA" w14:textId="77777777" w:rsidTr="00EE748B">
        <w:trPr>
          <w:trHeight w:val="9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C64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59.303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C373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Lamb Carcass Report (domestic packers)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D252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LS-129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98B1" w14:textId="77777777" w:rsid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(Current)</w:t>
            </w:r>
          </w:p>
          <w:p w14:paraId="1BAD4877" w14:textId="79959E6E" w:rsidR="00CC1828" w:rsidRPr="00EE748B" w:rsidRDefault="00CC1828" w:rsidP="00CE2B93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</w:t>
            </w:r>
          </w:p>
          <w:p w14:paraId="61C1CB4E" w14:textId="77777777" w:rsidR="00CC1828" w:rsidRPr="00AE6083" w:rsidRDefault="00CC1828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62A15383" w14:textId="6C26FD58" w:rsidR="00CC1828" w:rsidRPr="00AE6083" w:rsidRDefault="00615CC1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C32C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260.00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4F1E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77B90D75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2,600.00</w:t>
            </w:r>
          </w:p>
          <w:p w14:paraId="1146405C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4F1FD0D4" w14:textId="558BBF37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2,340.00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32D4" w14:textId="053E51A0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</w:t>
            </w:r>
            <w:r w:rsidR="00F16D01"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B260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(Current) </w:t>
            </w:r>
          </w:p>
          <w:p w14:paraId="143CF208" w14:textId="77777777" w:rsidR="00CC1828" w:rsidRPr="00AE6083" w:rsidRDefault="00CC1828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434.20</w:t>
            </w:r>
          </w:p>
          <w:p w14:paraId="011DD8A1" w14:textId="77777777" w:rsidR="00CC1828" w:rsidRPr="00AE6083" w:rsidRDefault="00CC1828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(New)</w:t>
            </w:r>
          </w:p>
          <w:p w14:paraId="710C430B" w14:textId="079BF869" w:rsidR="00CC1828" w:rsidRPr="00AE6083" w:rsidRDefault="00AE6083" w:rsidP="005502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390.78</w:t>
            </w:r>
          </w:p>
        </w:tc>
      </w:tr>
      <w:tr w:rsidR="00AE6083" w14:paraId="3715F94F" w14:textId="77777777" w:rsidTr="00EE748B">
        <w:trPr>
          <w:trHeight w:val="494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1B6D" w14:textId="610A19C6" w:rsidR="00AE6083" w:rsidRPr="00EE748B" w:rsidRDefault="00AE6083" w:rsidP="00CE2B9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E748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Difference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0BA0" w14:textId="77777777" w:rsidR="00AE6083" w:rsidRPr="00AE6083" w:rsidRDefault="00AE6083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C9AC" w14:textId="77777777" w:rsidR="00AE6083" w:rsidRPr="00AE6083" w:rsidRDefault="00AE6083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AF6F" w14:textId="388FD986" w:rsidR="00AE6083" w:rsidRPr="00AE6083" w:rsidRDefault="00EE748B" w:rsidP="00CE2B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+</w:t>
            </w:r>
            <w:r w:rsid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Respondents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415D" w14:textId="77777777" w:rsidR="00AE6083" w:rsidRPr="00AE6083" w:rsidRDefault="00AE6083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795B" w14:textId="0198CA57" w:rsidR="00AE6083" w:rsidRPr="00AE6083" w:rsidRDefault="00EE748B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+</w:t>
            </w:r>
            <w:r w:rsid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1,248.00 Annual Responses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798A" w14:textId="77777777" w:rsidR="00AE6083" w:rsidRPr="00AE6083" w:rsidRDefault="00AE6083" w:rsidP="00CE2B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8909" w14:textId="5D972B38" w:rsidR="00AE6083" w:rsidRPr="00AE6083" w:rsidRDefault="00EE748B" w:rsidP="005502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+</w:t>
            </w:r>
            <w:r w:rsidR="00AE608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288.70 Hours</w:t>
            </w:r>
          </w:p>
        </w:tc>
      </w:tr>
    </w:tbl>
    <w:p w14:paraId="6A1F5F6E" w14:textId="77777777" w:rsidR="00B86C48" w:rsidRDefault="00B86C48" w:rsidP="003061B6">
      <w:pPr>
        <w:rPr>
          <w:rFonts w:ascii="Times New Roman" w:hAnsi="Times New Roman" w:cs="Times New Roman"/>
          <w:sz w:val="24"/>
          <w:szCs w:val="24"/>
        </w:rPr>
      </w:pPr>
    </w:p>
    <w:p w14:paraId="351E43BD" w14:textId="4B7B08F5" w:rsidR="009419CE" w:rsidRDefault="009419CE" w:rsidP="00313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rule was published in the Federal Register on February 29, Vol. 81, No. 39, pages 10132-10138.  In addition, the 60-day Notice for comments to renew the collection package was also published February 29, Vol. 81, No. 39, pages 10205-10206.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CF353" w14:textId="77777777" w:rsidR="003061B6" w:rsidRPr="00550209" w:rsidRDefault="00DD0C2B" w:rsidP="0031380A">
      <w:pPr>
        <w:rPr>
          <w:rFonts w:ascii="Times New Roman" w:hAnsi="Times New Roman" w:cs="Times New Roman"/>
          <w:sz w:val="24"/>
          <w:szCs w:val="24"/>
        </w:rPr>
      </w:pPr>
      <w:r w:rsidRPr="00550209">
        <w:rPr>
          <w:rFonts w:ascii="Times New Roman" w:hAnsi="Times New Roman" w:cs="Times New Roman"/>
          <w:sz w:val="24"/>
          <w:szCs w:val="24"/>
        </w:rPr>
        <w:t>The collection of information is necessary for the proper performance of the functions of AMS concerning the mandatory reporting of livestock prices, supply and demand, therefore AMS</w:t>
      </w:r>
      <w:r w:rsidR="00B86C48" w:rsidRPr="00550209">
        <w:rPr>
          <w:rFonts w:ascii="Times New Roman" w:hAnsi="Times New Roman" w:cs="Times New Roman"/>
          <w:sz w:val="24"/>
          <w:szCs w:val="24"/>
        </w:rPr>
        <w:t xml:space="preserve"> requests</w:t>
      </w:r>
      <w:r w:rsidRPr="00550209">
        <w:rPr>
          <w:rFonts w:ascii="Times New Roman" w:hAnsi="Times New Roman" w:cs="Times New Roman"/>
          <w:sz w:val="24"/>
          <w:szCs w:val="24"/>
        </w:rPr>
        <w:t xml:space="preserve"> to increase the burden for collection 0581-0186</w:t>
      </w:r>
      <w:r w:rsidR="00B86C48" w:rsidRPr="00550209">
        <w:rPr>
          <w:rFonts w:ascii="Times New Roman" w:hAnsi="Times New Roman" w:cs="Times New Roman"/>
          <w:sz w:val="24"/>
          <w:szCs w:val="24"/>
        </w:rPr>
        <w:t xml:space="preserve"> by means of a change request at this time. </w:t>
      </w:r>
    </w:p>
    <w:p w14:paraId="302F945D" w14:textId="77777777" w:rsidR="003061B6" w:rsidRPr="003061B6" w:rsidRDefault="003061B6" w:rsidP="003061B6">
      <w:pPr>
        <w:rPr>
          <w:rFonts w:ascii="Times New Roman" w:hAnsi="Times New Roman" w:cs="Times New Roman"/>
          <w:sz w:val="24"/>
          <w:szCs w:val="24"/>
        </w:rPr>
      </w:pPr>
    </w:p>
    <w:sectPr w:rsidR="003061B6" w:rsidRPr="0030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6"/>
    <w:rsid w:val="00003612"/>
    <w:rsid w:val="00003877"/>
    <w:rsid w:val="00036EAC"/>
    <w:rsid w:val="002D3A33"/>
    <w:rsid w:val="003061B6"/>
    <w:rsid w:val="0031380A"/>
    <w:rsid w:val="003201A1"/>
    <w:rsid w:val="003B4D1E"/>
    <w:rsid w:val="003D0451"/>
    <w:rsid w:val="00476B1A"/>
    <w:rsid w:val="0053552E"/>
    <w:rsid w:val="00537D02"/>
    <w:rsid w:val="00550209"/>
    <w:rsid w:val="00615CC1"/>
    <w:rsid w:val="007C7BCF"/>
    <w:rsid w:val="008A0BFE"/>
    <w:rsid w:val="008F1493"/>
    <w:rsid w:val="009419CE"/>
    <w:rsid w:val="00A93A67"/>
    <w:rsid w:val="00AC3ACC"/>
    <w:rsid w:val="00AE6083"/>
    <w:rsid w:val="00B8016B"/>
    <w:rsid w:val="00B86C48"/>
    <w:rsid w:val="00C17F72"/>
    <w:rsid w:val="00C42E7E"/>
    <w:rsid w:val="00CA2241"/>
    <w:rsid w:val="00CB65B3"/>
    <w:rsid w:val="00CC1828"/>
    <w:rsid w:val="00CE19AF"/>
    <w:rsid w:val="00CE2B93"/>
    <w:rsid w:val="00D92EAA"/>
    <w:rsid w:val="00DA4D8D"/>
    <w:rsid w:val="00DD0C2B"/>
    <w:rsid w:val="00DE0351"/>
    <w:rsid w:val="00E76134"/>
    <w:rsid w:val="00E81112"/>
    <w:rsid w:val="00E81AB5"/>
    <w:rsid w:val="00EE748B"/>
    <w:rsid w:val="00F16D01"/>
    <w:rsid w:val="00F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C20E"/>
  <w15:docId w15:val="{94DCE7D2-26A1-429C-8228-AB192557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C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C2B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D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D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D137-C968-4E97-B845-CE78052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2013-02-15T18:51:00Z</cp:lastPrinted>
  <dcterms:created xsi:type="dcterms:W3CDTF">2016-03-01T19:46:00Z</dcterms:created>
  <dcterms:modified xsi:type="dcterms:W3CDTF">2016-03-01T19:46:00Z</dcterms:modified>
</cp:coreProperties>
</file>