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68" w:rsidRPr="004E6AF4" w:rsidRDefault="004E6AF4">
      <w:pPr>
        <w:rPr>
          <w:rFonts w:ascii="Calibri" w:hAnsi="Calibri"/>
          <w:b/>
        </w:rPr>
      </w:pPr>
      <w:r w:rsidRPr="004E6AF4">
        <w:rPr>
          <w:rFonts w:ascii="Calibri" w:hAnsi="Calibri"/>
          <w:b/>
        </w:rPr>
        <w:t xml:space="preserve">Attachment </w:t>
      </w:r>
      <w:r w:rsidR="00381410">
        <w:rPr>
          <w:rFonts w:ascii="Calibri" w:hAnsi="Calibri"/>
          <w:b/>
        </w:rPr>
        <w:t>K</w:t>
      </w:r>
      <w:r w:rsidRPr="004E6AF4">
        <w:rPr>
          <w:rFonts w:ascii="Calibri" w:hAnsi="Calibri"/>
          <w:b/>
        </w:rPr>
        <w:t>:  Incentive Justification</w:t>
      </w:r>
      <w:bookmarkStart w:id="0" w:name="_GoBack"/>
      <w:bookmarkEnd w:id="0"/>
    </w:p>
    <w:p w:rsidR="004E6AF4" w:rsidRDefault="004E6AF4">
      <w:pPr>
        <w:rPr>
          <w:rFonts w:ascii="Calibri" w:hAnsi="Calibri"/>
        </w:rPr>
      </w:pPr>
    </w:p>
    <w:p w:rsidR="007735D7" w:rsidRPr="00181694" w:rsidRDefault="007735D7">
      <w:pPr>
        <w:rPr>
          <w:rFonts w:ascii="Calibri" w:hAnsi="Calibri"/>
        </w:rPr>
      </w:pPr>
      <w:r w:rsidRPr="00181694">
        <w:rPr>
          <w:rFonts w:ascii="Calibri" w:hAnsi="Calibri"/>
        </w:rPr>
        <w:t>Multiple sources were consulted in order to estimate the average cost of hourly childcare for potential research participants. The</w:t>
      </w:r>
      <w:r w:rsidRPr="00181694">
        <w:rPr>
          <w:rFonts w:ascii="Calibri" w:hAnsi="Calibri"/>
          <w:i/>
        </w:rPr>
        <w:t xml:space="preserve"> US Department of Labor Bureau of Labor Statistics </w:t>
      </w:r>
      <w:r w:rsidRPr="00181694">
        <w:rPr>
          <w:rFonts w:ascii="Calibri" w:hAnsi="Calibri"/>
        </w:rPr>
        <w:t xml:space="preserve">provides </w:t>
      </w:r>
      <w:r w:rsidR="008A2059">
        <w:rPr>
          <w:rFonts w:ascii="Calibri" w:hAnsi="Calibri"/>
        </w:rPr>
        <w:t xml:space="preserve">national </w:t>
      </w:r>
      <w:r w:rsidRPr="00181694">
        <w:rPr>
          <w:rFonts w:ascii="Calibri" w:hAnsi="Calibri"/>
        </w:rPr>
        <w:t>mean hourly rates for different Standard Occupational Classifications (SOC)</w:t>
      </w:r>
      <w:r w:rsidRPr="00181694">
        <w:rPr>
          <w:rStyle w:val="FootnoteReference"/>
          <w:rFonts w:ascii="Calibri" w:hAnsi="Calibri"/>
        </w:rPr>
        <w:footnoteReference w:id="1"/>
      </w:r>
      <w:r w:rsidR="004076EF" w:rsidRPr="00181694">
        <w:rPr>
          <w:rFonts w:ascii="Calibri" w:hAnsi="Calibri"/>
        </w:rPr>
        <w:t xml:space="preserve">. </w:t>
      </w:r>
      <w:r w:rsidR="008A2059">
        <w:rPr>
          <w:rFonts w:ascii="Calibri" w:hAnsi="Calibri"/>
        </w:rPr>
        <w:t xml:space="preserve">  The national</w:t>
      </w:r>
      <w:r w:rsidRPr="00181694">
        <w:rPr>
          <w:rFonts w:ascii="Calibri" w:hAnsi="Calibri"/>
        </w:rPr>
        <w:t xml:space="preserve"> mean hourly wages for the two SOCs that most closely relate to the short-term childcare that participants would require: </w:t>
      </w:r>
      <w:r w:rsidRPr="00181694">
        <w:rPr>
          <w:rFonts w:ascii="Calibri" w:hAnsi="Calibri"/>
          <w:i/>
        </w:rPr>
        <w:t>Personal Care Aides</w:t>
      </w:r>
      <w:r w:rsidRPr="00181694">
        <w:rPr>
          <w:rFonts w:ascii="Calibri" w:hAnsi="Calibri"/>
        </w:rPr>
        <w:t xml:space="preserve"> and </w:t>
      </w:r>
      <w:r w:rsidRPr="00181694">
        <w:rPr>
          <w:rFonts w:ascii="Calibri" w:hAnsi="Calibri"/>
          <w:i/>
        </w:rPr>
        <w:t>Childcare Workers</w:t>
      </w:r>
      <w:r w:rsidR="008A2059">
        <w:rPr>
          <w:rFonts w:ascii="Calibri" w:hAnsi="Calibri"/>
        </w:rPr>
        <w:t xml:space="preserve"> were listed at $10.16 and $10.66 respectively</w:t>
      </w:r>
      <w:r w:rsidRPr="00181694">
        <w:rPr>
          <w:rFonts w:ascii="Calibri" w:hAnsi="Calibri"/>
          <w:i/>
        </w:rPr>
        <w:t>.</w:t>
      </w:r>
      <w:r w:rsidRPr="00181694">
        <w:rPr>
          <w:rFonts w:ascii="Calibri" w:hAnsi="Calibri"/>
        </w:rPr>
        <w:t xml:space="preserve">  </w:t>
      </w:r>
    </w:p>
    <w:p w:rsidR="007735D7" w:rsidRPr="00181694" w:rsidRDefault="007735D7">
      <w:pPr>
        <w:rPr>
          <w:rFonts w:ascii="Calibri" w:hAnsi="Calibri"/>
        </w:rPr>
      </w:pPr>
    </w:p>
    <w:p w:rsidR="00E16499" w:rsidRPr="00181694" w:rsidRDefault="007735D7">
      <w:pPr>
        <w:rPr>
          <w:rFonts w:ascii="Calibri" w:hAnsi="Calibri"/>
        </w:rPr>
      </w:pPr>
      <w:r w:rsidRPr="00181694">
        <w:rPr>
          <w:rFonts w:ascii="Calibri" w:hAnsi="Calibri"/>
        </w:rPr>
        <w:t xml:space="preserve">However, </w:t>
      </w:r>
      <w:r w:rsidR="0057338A" w:rsidRPr="00181694">
        <w:rPr>
          <w:rFonts w:ascii="Calibri" w:hAnsi="Calibri"/>
        </w:rPr>
        <w:t>we feel that these figures provide an artificially low estimate for the cost to participants for short-term childcare (babysitters, nannies, community care) for two reasons. First, these hourly wages combine a broad range of occupations within each general SOC,</w:t>
      </w:r>
      <w:r w:rsidRPr="00181694">
        <w:rPr>
          <w:rFonts w:ascii="Calibri" w:hAnsi="Calibri"/>
        </w:rPr>
        <w:t xml:space="preserve"> most of which would not apply to th</w:t>
      </w:r>
      <w:r w:rsidR="0057338A" w:rsidRPr="00181694">
        <w:rPr>
          <w:rFonts w:ascii="Calibri" w:hAnsi="Calibri"/>
        </w:rPr>
        <w:t>e care participants would need. Second, the hourly wage of many of these workers does not represent what parents would pay, as the wages do not include the operational costs.</w:t>
      </w:r>
    </w:p>
    <w:p w:rsidR="0057338A" w:rsidRPr="00181694" w:rsidRDefault="0057338A">
      <w:pPr>
        <w:rPr>
          <w:rFonts w:ascii="Calibri" w:hAnsi="Calibri"/>
        </w:rPr>
      </w:pPr>
    </w:p>
    <w:p w:rsidR="0057338A" w:rsidRPr="00181694" w:rsidRDefault="00585622">
      <w:pPr>
        <w:rPr>
          <w:rFonts w:ascii="Calibri" w:hAnsi="Calibri"/>
        </w:rPr>
      </w:pPr>
      <w:r w:rsidRPr="00181694">
        <w:rPr>
          <w:rFonts w:ascii="Calibri" w:hAnsi="Calibri"/>
        </w:rPr>
        <w:t>The two most recent</w:t>
      </w:r>
      <w:r w:rsidR="0057338A" w:rsidRPr="00181694">
        <w:rPr>
          <w:rFonts w:ascii="Calibri" w:hAnsi="Calibri"/>
        </w:rPr>
        <w:t xml:space="preserve"> annual surveys conducted by website Urbansitter.org </w:t>
      </w:r>
      <w:r w:rsidRPr="00181694">
        <w:rPr>
          <w:rFonts w:ascii="Calibri" w:hAnsi="Calibri"/>
        </w:rPr>
        <w:t xml:space="preserve">of parent members revealed a much higher average hourly cost of babysitters than provided by the BLS data. The 2013 UrbanSitter.org study surveyed 6,000 parents from 12 metropolitan areas about the hourly rates they provide babysitters for caring for one, two, and three 3 children. The average hourly rate was $13.06 per </w:t>
      </w:r>
      <w:r w:rsidR="008B2A41" w:rsidRPr="00181694">
        <w:rPr>
          <w:rFonts w:ascii="Calibri" w:hAnsi="Calibri"/>
        </w:rPr>
        <w:t>hour</w:t>
      </w:r>
      <w:r w:rsidRPr="00181694">
        <w:rPr>
          <w:rFonts w:ascii="Calibri" w:hAnsi="Calibri"/>
        </w:rPr>
        <w:t xml:space="preserve"> and across all locations and</w:t>
      </w:r>
      <w:r w:rsidR="008B2A41">
        <w:rPr>
          <w:rFonts w:ascii="Calibri" w:hAnsi="Calibri"/>
        </w:rPr>
        <w:t xml:space="preserve"> number of children (see table 1</w:t>
      </w:r>
      <w:r w:rsidRPr="00181694">
        <w:rPr>
          <w:rFonts w:ascii="Calibri" w:hAnsi="Calibri"/>
        </w:rPr>
        <w:t>).  In 2014, the survey was repeated with 7,500 parents across 9 metropolitan areas (St. Louis, Dallas, and Philadelphia were dropped without a justification). For this sample, the average hourly rate was $14.93, again across all locations and</w:t>
      </w:r>
      <w:r w:rsidR="008B2A41">
        <w:rPr>
          <w:rFonts w:ascii="Calibri" w:hAnsi="Calibri"/>
        </w:rPr>
        <w:t xml:space="preserve"> number of children (see table 2</w:t>
      </w:r>
      <w:r w:rsidRPr="00181694">
        <w:rPr>
          <w:rFonts w:ascii="Calibri" w:hAnsi="Calibri"/>
        </w:rPr>
        <w:t xml:space="preserve">). </w:t>
      </w:r>
      <w:r w:rsidR="00963093" w:rsidRPr="00181694">
        <w:rPr>
          <w:rFonts w:ascii="Calibri" w:hAnsi="Calibri"/>
        </w:rPr>
        <w:t xml:space="preserve"> </w:t>
      </w:r>
      <w:r w:rsidR="00D6655D">
        <w:rPr>
          <w:rFonts w:ascii="Calibri" w:hAnsi="Calibri"/>
        </w:rPr>
        <w:t>It is possible that these rates are</w:t>
      </w:r>
      <w:r w:rsidR="004076EF" w:rsidRPr="00181694">
        <w:rPr>
          <w:rFonts w:ascii="Calibri" w:hAnsi="Calibri"/>
        </w:rPr>
        <w:t xml:space="preserve"> inflated by the inclusion of metropolitan a</w:t>
      </w:r>
      <w:r w:rsidR="00D6655D">
        <w:rPr>
          <w:rFonts w:ascii="Calibri" w:hAnsi="Calibri"/>
        </w:rPr>
        <w:t>reas with a high cost of living (e.g. San Francisco, New York City, and Boston).</w:t>
      </w:r>
    </w:p>
    <w:p w:rsidR="004076EF" w:rsidRPr="00181694" w:rsidRDefault="004076EF">
      <w:pPr>
        <w:rPr>
          <w:rFonts w:ascii="Calibri" w:hAnsi="Calibri"/>
        </w:rPr>
      </w:pPr>
    </w:p>
    <w:tbl>
      <w:tblPr>
        <w:tblW w:w="6501" w:type="dxa"/>
        <w:tblInd w:w="93" w:type="dxa"/>
        <w:tblLook w:val="04A0"/>
      </w:tblPr>
      <w:tblGrid>
        <w:gridCol w:w="1655"/>
        <w:gridCol w:w="1015"/>
        <w:gridCol w:w="1406"/>
        <w:gridCol w:w="1406"/>
        <w:gridCol w:w="1019"/>
      </w:tblGrid>
      <w:tr w:rsidR="004076EF" w:rsidRPr="00181694" w:rsidTr="004076EF">
        <w:trPr>
          <w:trHeight w:val="300"/>
        </w:trPr>
        <w:tc>
          <w:tcPr>
            <w:tcW w:w="6501" w:type="dxa"/>
            <w:gridSpan w:val="5"/>
            <w:tcBorders>
              <w:top w:val="nil"/>
              <w:left w:val="nil"/>
              <w:bottom w:val="nil"/>
              <w:right w:val="nil"/>
            </w:tcBorders>
            <w:shd w:val="clear" w:color="auto" w:fill="auto"/>
            <w:noWrap/>
            <w:vAlign w:val="center"/>
            <w:hideMark/>
          </w:tcPr>
          <w:p w:rsidR="004076EF" w:rsidRPr="00181694" w:rsidRDefault="004076EF" w:rsidP="008A2059">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 xml:space="preserve">Table </w:t>
            </w:r>
            <w:r w:rsidR="008A2059">
              <w:rPr>
                <w:rFonts w:ascii="Calibri" w:eastAsia="Times New Roman" w:hAnsi="Calibri" w:cs="Times New Roman"/>
                <w:b/>
                <w:bCs/>
                <w:color w:val="000000"/>
              </w:rPr>
              <w:t>1</w:t>
            </w:r>
            <w:r w:rsidRPr="00181694">
              <w:rPr>
                <w:rFonts w:ascii="Calibri" w:eastAsia="Times New Roman" w:hAnsi="Calibri" w:cs="Times New Roman"/>
                <w:b/>
                <w:bCs/>
                <w:color w:val="000000"/>
              </w:rPr>
              <w:t xml:space="preserve"> - 2013 Study or 6,000 Parents on UrbanSitter.org</w:t>
            </w:r>
          </w:p>
        </w:tc>
      </w:tr>
      <w:tr w:rsidR="004076EF" w:rsidRPr="00181694" w:rsidTr="004076EF">
        <w:trPr>
          <w:trHeight w:val="300"/>
        </w:trPr>
        <w:tc>
          <w:tcPr>
            <w:tcW w:w="1655"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w:t>
            </w:r>
          </w:p>
        </w:tc>
        <w:tc>
          <w:tcPr>
            <w:tcW w:w="1015"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1 Child</w:t>
            </w:r>
          </w:p>
        </w:tc>
        <w:tc>
          <w:tcPr>
            <w:tcW w:w="1406"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2 Children</w:t>
            </w:r>
          </w:p>
        </w:tc>
        <w:tc>
          <w:tcPr>
            <w:tcW w:w="1406"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3 Children</w:t>
            </w:r>
          </w:p>
        </w:tc>
        <w:tc>
          <w:tcPr>
            <w:tcW w:w="1019"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Mean</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Boston</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$12.00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$13.75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$15.50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$13.75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Chicago</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$12.00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$13.17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Dallas</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$10.00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$12.25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$11.17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Denver</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$14.25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$11.92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Los Angeles</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$13.75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$16.25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$14.17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NYC</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$14.75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$14.92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Philadelphia</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$10.75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$11.50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$10.83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Francisco</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$14.00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$16.75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$15.08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Diego</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$19.25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$14.00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Seattle</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$13.25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$12.83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St Louis</w:t>
            </w:r>
          </w:p>
        </w:tc>
        <w:tc>
          <w:tcPr>
            <w:tcW w:w="1015"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$9.75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$11.50 </w:t>
            </w:r>
          </w:p>
        </w:tc>
        <w:tc>
          <w:tcPr>
            <w:tcW w:w="140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$11.25 </w:t>
            </w:r>
          </w:p>
        </w:tc>
      </w:tr>
      <w:tr w:rsidR="004076EF" w:rsidRPr="00181694" w:rsidTr="004076EF">
        <w:trPr>
          <w:trHeight w:val="300"/>
        </w:trPr>
        <w:tc>
          <w:tcPr>
            <w:tcW w:w="1655" w:type="dxa"/>
            <w:tcBorders>
              <w:top w:val="nil"/>
              <w:left w:val="nil"/>
              <w:bottom w:val="single" w:sz="4" w:space="0" w:color="auto"/>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lastRenderedPageBreak/>
              <w:t>DC</w:t>
            </w:r>
          </w:p>
        </w:tc>
        <w:tc>
          <w:tcPr>
            <w:tcW w:w="1015"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$12.25 </w:t>
            </w:r>
          </w:p>
        </w:tc>
        <w:tc>
          <w:tcPr>
            <w:tcW w:w="1406"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406"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19"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$13.58 </w:t>
            </w:r>
          </w:p>
        </w:tc>
      </w:tr>
      <w:tr w:rsidR="004076EF" w:rsidRPr="00181694" w:rsidTr="004076EF">
        <w:trPr>
          <w:trHeight w:val="300"/>
        </w:trPr>
        <w:tc>
          <w:tcPr>
            <w:tcW w:w="1655"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p>
        </w:tc>
        <w:tc>
          <w:tcPr>
            <w:tcW w:w="3827" w:type="dxa"/>
            <w:gridSpan w:val="3"/>
            <w:tcBorders>
              <w:top w:val="single" w:sz="4" w:space="0" w:color="auto"/>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Full Sample Mean </w:t>
            </w:r>
          </w:p>
        </w:tc>
        <w:tc>
          <w:tcPr>
            <w:tcW w:w="1019"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$13.06 </w:t>
            </w:r>
          </w:p>
        </w:tc>
      </w:tr>
    </w:tbl>
    <w:p w:rsidR="004076EF" w:rsidRPr="00181694" w:rsidRDefault="004076EF">
      <w:pPr>
        <w:rPr>
          <w:rFonts w:ascii="Calibri" w:hAnsi="Calibri"/>
        </w:rPr>
      </w:pPr>
    </w:p>
    <w:p w:rsidR="004076EF" w:rsidRPr="00181694" w:rsidRDefault="004076EF">
      <w:pPr>
        <w:rPr>
          <w:rFonts w:ascii="Calibri" w:hAnsi="Calibri"/>
        </w:rPr>
      </w:pPr>
    </w:p>
    <w:tbl>
      <w:tblPr>
        <w:tblW w:w="6500" w:type="dxa"/>
        <w:tblInd w:w="93" w:type="dxa"/>
        <w:tblLook w:val="04A0"/>
      </w:tblPr>
      <w:tblGrid>
        <w:gridCol w:w="1650"/>
        <w:gridCol w:w="1016"/>
        <w:gridCol w:w="1407"/>
        <w:gridCol w:w="1407"/>
        <w:gridCol w:w="1020"/>
      </w:tblGrid>
      <w:tr w:rsidR="004076EF" w:rsidRPr="00181694" w:rsidTr="004076EF">
        <w:trPr>
          <w:trHeight w:val="300"/>
        </w:trPr>
        <w:tc>
          <w:tcPr>
            <w:tcW w:w="6500" w:type="dxa"/>
            <w:gridSpan w:val="5"/>
            <w:tcBorders>
              <w:top w:val="nil"/>
              <w:left w:val="nil"/>
              <w:bottom w:val="nil"/>
              <w:right w:val="nil"/>
            </w:tcBorders>
            <w:shd w:val="clear" w:color="auto" w:fill="auto"/>
            <w:noWrap/>
            <w:vAlign w:val="center"/>
            <w:hideMark/>
          </w:tcPr>
          <w:p w:rsidR="004076EF" w:rsidRPr="00181694" w:rsidRDefault="004076EF" w:rsidP="008A2059">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 xml:space="preserve">Table </w:t>
            </w:r>
            <w:r w:rsidR="008A2059">
              <w:rPr>
                <w:rFonts w:ascii="Calibri" w:eastAsia="Times New Roman" w:hAnsi="Calibri" w:cs="Times New Roman"/>
                <w:b/>
                <w:bCs/>
                <w:color w:val="000000"/>
              </w:rPr>
              <w:t>2</w:t>
            </w:r>
            <w:r w:rsidRPr="00181694">
              <w:rPr>
                <w:rFonts w:ascii="Calibri" w:eastAsia="Times New Roman" w:hAnsi="Calibri" w:cs="Times New Roman"/>
                <w:b/>
                <w:bCs/>
                <w:color w:val="000000"/>
              </w:rPr>
              <w:t xml:space="preserve"> - 2014 Study of 7,500 Parents on Urbansitter.org</w:t>
            </w:r>
          </w:p>
        </w:tc>
      </w:tr>
      <w:tr w:rsidR="004076EF" w:rsidRPr="00181694" w:rsidTr="004076EF">
        <w:trPr>
          <w:trHeight w:val="300"/>
        </w:trPr>
        <w:tc>
          <w:tcPr>
            <w:tcW w:w="1650"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w:t>
            </w:r>
          </w:p>
        </w:tc>
        <w:tc>
          <w:tcPr>
            <w:tcW w:w="1016"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1 Child</w:t>
            </w:r>
          </w:p>
        </w:tc>
        <w:tc>
          <w:tcPr>
            <w:tcW w:w="1407"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2 Children</w:t>
            </w:r>
          </w:p>
        </w:tc>
        <w:tc>
          <w:tcPr>
            <w:tcW w:w="1407"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3 Children</w:t>
            </w:r>
          </w:p>
        </w:tc>
        <w:tc>
          <w:tcPr>
            <w:tcW w:w="1020" w:type="dxa"/>
            <w:tcBorders>
              <w:top w:val="nil"/>
              <w:left w:val="nil"/>
              <w:bottom w:val="nil"/>
              <w:right w:val="nil"/>
            </w:tcBorders>
            <w:shd w:val="clear" w:color="000000" w:fill="808080"/>
            <w:noWrap/>
            <w:vAlign w:val="center"/>
            <w:hideMark/>
          </w:tcPr>
          <w:p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Mean</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Boston</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$13.64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$15.66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$16.77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$15.36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Chicago</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$11.91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$14.07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$13.66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Denver</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$10.84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$12.26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$14.24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$12.45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Los Angeles</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$13.53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$15.87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$17.94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$15.78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NYC</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$15.34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$16.76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$18.74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$16.95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Francisco</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$14.99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$17.68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$19.46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$17.38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Diego</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$11.11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$13.28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$14.82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$13.07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Seattle</w:t>
            </w:r>
          </w:p>
        </w:tc>
        <w:tc>
          <w:tcPr>
            <w:tcW w:w="1016"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$12.80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$14.83 </w:t>
            </w:r>
          </w:p>
        </w:tc>
        <w:tc>
          <w:tcPr>
            <w:tcW w:w="1407"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$15.47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$14.37 </w:t>
            </w:r>
          </w:p>
        </w:tc>
      </w:tr>
      <w:tr w:rsidR="004076EF" w:rsidRPr="00181694" w:rsidTr="004076EF">
        <w:trPr>
          <w:trHeight w:val="300"/>
        </w:trPr>
        <w:tc>
          <w:tcPr>
            <w:tcW w:w="1650" w:type="dxa"/>
            <w:tcBorders>
              <w:top w:val="nil"/>
              <w:left w:val="nil"/>
              <w:bottom w:val="single" w:sz="4" w:space="0" w:color="auto"/>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DC</w:t>
            </w:r>
          </w:p>
        </w:tc>
        <w:tc>
          <w:tcPr>
            <w:tcW w:w="1016"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$13.83 </w:t>
            </w:r>
          </w:p>
        </w:tc>
        <w:tc>
          <w:tcPr>
            <w:tcW w:w="1407"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$15.27 </w:t>
            </w:r>
          </w:p>
        </w:tc>
        <w:tc>
          <w:tcPr>
            <w:tcW w:w="1407"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$16.95 </w:t>
            </w:r>
          </w:p>
        </w:tc>
        <w:tc>
          <w:tcPr>
            <w:tcW w:w="1020" w:type="dxa"/>
            <w:tcBorders>
              <w:top w:val="nil"/>
              <w:left w:val="nil"/>
              <w:bottom w:val="single" w:sz="4" w:space="0" w:color="auto"/>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$15.35 </w:t>
            </w:r>
          </w:p>
        </w:tc>
      </w:tr>
      <w:tr w:rsidR="004076EF" w:rsidRPr="00181694" w:rsidTr="004076EF">
        <w:trPr>
          <w:trHeight w:val="300"/>
        </w:trPr>
        <w:tc>
          <w:tcPr>
            <w:tcW w:w="1650"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color w:val="000000"/>
              </w:rPr>
            </w:pPr>
          </w:p>
        </w:tc>
        <w:tc>
          <w:tcPr>
            <w:tcW w:w="1016" w:type="dxa"/>
            <w:tcBorders>
              <w:top w:val="nil"/>
              <w:left w:val="nil"/>
              <w:bottom w:val="nil"/>
              <w:right w:val="nil"/>
            </w:tcBorders>
            <w:shd w:val="clear" w:color="auto" w:fill="auto"/>
            <w:noWrap/>
            <w:vAlign w:val="bottom"/>
            <w:hideMark/>
          </w:tcPr>
          <w:p w:rsidR="004076EF" w:rsidRPr="00181694" w:rsidRDefault="004076EF" w:rsidP="004076EF">
            <w:pPr>
              <w:rPr>
                <w:rFonts w:ascii="Calibri" w:eastAsia="Times New Roman" w:hAnsi="Calibri" w:cs="Times New Roman"/>
                <w:b/>
                <w:bCs/>
                <w:color w:val="000000"/>
              </w:rPr>
            </w:pPr>
          </w:p>
        </w:tc>
        <w:tc>
          <w:tcPr>
            <w:tcW w:w="2814" w:type="dxa"/>
            <w:gridSpan w:val="2"/>
            <w:tcBorders>
              <w:top w:val="nil"/>
              <w:left w:val="nil"/>
              <w:bottom w:val="nil"/>
              <w:right w:val="nil"/>
            </w:tcBorders>
            <w:shd w:val="clear" w:color="auto" w:fill="auto"/>
            <w:noWrap/>
            <w:vAlign w:val="bottom"/>
            <w:hideMark/>
          </w:tcPr>
          <w:p w:rsidR="004076EF" w:rsidRPr="00181694" w:rsidRDefault="004076EF" w:rsidP="004076EF">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 xml:space="preserve"> Full Sample Mean </w:t>
            </w:r>
          </w:p>
        </w:tc>
        <w:tc>
          <w:tcPr>
            <w:tcW w:w="1020" w:type="dxa"/>
            <w:tcBorders>
              <w:top w:val="nil"/>
              <w:left w:val="nil"/>
              <w:bottom w:val="nil"/>
              <w:right w:val="nil"/>
            </w:tcBorders>
            <w:shd w:val="clear" w:color="auto" w:fill="auto"/>
            <w:noWrap/>
            <w:vAlign w:val="bottom"/>
            <w:hideMark/>
          </w:tcPr>
          <w:p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$14.93 </w:t>
            </w:r>
          </w:p>
        </w:tc>
      </w:tr>
    </w:tbl>
    <w:p w:rsidR="004076EF" w:rsidRPr="00181694" w:rsidRDefault="004076EF">
      <w:pPr>
        <w:rPr>
          <w:rFonts w:ascii="Calibri" w:hAnsi="Calibri"/>
        </w:rPr>
      </w:pPr>
    </w:p>
    <w:p w:rsidR="00181694" w:rsidRDefault="00181694">
      <w:pPr>
        <w:rPr>
          <w:rFonts w:ascii="Calibri" w:hAnsi="Calibri"/>
        </w:rPr>
      </w:pPr>
    </w:p>
    <w:p w:rsidR="00AC36F5" w:rsidRPr="00D6655D" w:rsidRDefault="00D6655D" w:rsidP="00AC36F5">
      <w:pPr>
        <w:rPr>
          <w:rFonts w:ascii="Calibri" w:eastAsia="Times New Roman" w:hAnsi="Calibri" w:cs="Times New Roman"/>
          <w:color w:val="222222"/>
          <w:shd w:val="clear" w:color="auto" w:fill="FFFFFF"/>
        </w:rPr>
      </w:pPr>
      <w:r>
        <w:rPr>
          <w:rFonts w:ascii="Calibri" w:eastAsia="Times New Roman" w:hAnsi="Calibri" w:cs="Times New Roman"/>
        </w:rPr>
        <w:t>Taken together, the available data provides a range of mean hourly wages from $10.</w:t>
      </w:r>
      <w:r w:rsidR="008A2059">
        <w:rPr>
          <w:rFonts w:ascii="Calibri" w:eastAsia="Times New Roman" w:hAnsi="Calibri" w:cs="Times New Roman"/>
        </w:rPr>
        <w:t>16</w:t>
      </w:r>
      <w:r>
        <w:rPr>
          <w:rFonts w:ascii="Calibri" w:eastAsia="Times New Roman" w:hAnsi="Calibri" w:cs="Times New Roman"/>
        </w:rPr>
        <w:t xml:space="preserve"> to $1</w:t>
      </w:r>
      <w:r w:rsidR="008A2059">
        <w:rPr>
          <w:rFonts w:ascii="Calibri" w:eastAsia="Times New Roman" w:hAnsi="Calibri" w:cs="Times New Roman"/>
        </w:rPr>
        <w:t>4.93</w:t>
      </w:r>
      <w:r>
        <w:rPr>
          <w:rFonts w:ascii="Calibri" w:eastAsia="Times New Roman" w:hAnsi="Calibri" w:cs="Times New Roman"/>
        </w:rPr>
        <w:t xml:space="preserve"> per hour. </w:t>
      </w:r>
      <w:r w:rsidR="00181694">
        <w:rPr>
          <w:rFonts w:ascii="Calibri" w:eastAsia="Times New Roman" w:hAnsi="Calibri" w:cs="Times New Roman"/>
        </w:rPr>
        <w:t>Given the range of figures provided by the available data sources, we propose using a conservative estimate of $1</w:t>
      </w:r>
      <w:r w:rsidR="008B2A41">
        <w:rPr>
          <w:rFonts w:ascii="Calibri" w:eastAsia="Times New Roman" w:hAnsi="Calibri" w:cs="Times New Roman"/>
        </w:rPr>
        <w:t>2</w:t>
      </w:r>
      <w:r w:rsidR="008A2059">
        <w:rPr>
          <w:rFonts w:ascii="Calibri" w:eastAsia="Times New Roman" w:hAnsi="Calibri" w:cs="Times New Roman"/>
        </w:rPr>
        <w:t>.50</w:t>
      </w:r>
      <w:r w:rsidR="00181694">
        <w:rPr>
          <w:rFonts w:ascii="Calibri" w:eastAsia="Times New Roman" w:hAnsi="Calibri" w:cs="Times New Roman"/>
        </w:rPr>
        <w:t xml:space="preserve"> per hour for childcare</w:t>
      </w:r>
      <w:r>
        <w:rPr>
          <w:rFonts w:ascii="Calibri" w:eastAsia="Times New Roman" w:hAnsi="Calibri" w:cs="Times New Roman"/>
        </w:rPr>
        <w:t>, in order to insure that the cost of childcare for low-income families of varying family circumstances will not prohibited p</w:t>
      </w:r>
      <w:r w:rsidR="008B2A41">
        <w:rPr>
          <w:rFonts w:ascii="Calibri" w:eastAsia="Times New Roman" w:hAnsi="Calibri" w:cs="Times New Roman"/>
        </w:rPr>
        <w:t>eer counselors</w:t>
      </w:r>
      <w:r>
        <w:rPr>
          <w:rFonts w:ascii="Calibri" w:eastAsia="Times New Roman" w:hAnsi="Calibri" w:cs="Times New Roman"/>
        </w:rPr>
        <w:t xml:space="preserve"> from participating</w:t>
      </w:r>
      <w:r w:rsidR="00181694">
        <w:rPr>
          <w:rFonts w:ascii="Calibri" w:eastAsia="Times New Roman" w:hAnsi="Calibri" w:cs="Times New Roman"/>
        </w:rPr>
        <w:t xml:space="preserve">. </w:t>
      </w:r>
      <w:r w:rsidR="00AC36F5">
        <w:rPr>
          <w:rFonts w:ascii="Calibri" w:eastAsia="Times New Roman" w:hAnsi="Calibri" w:cs="Times New Roman"/>
          <w:color w:val="222222"/>
          <w:shd w:val="clear" w:color="auto" w:fill="FFFFFF"/>
        </w:rPr>
        <w:t>Parents</w:t>
      </w:r>
      <w:r w:rsidR="00AC36F5" w:rsidRPr="00D6655D">
        <w:rPr>
          <w:rFonts w:ascii="Calibri" w:eastAsia="Times New Roman" w:hAnsi="Calibri" w:cs="Times New Roman"/>
          <w:color w:val="222222"/>
          <w:shd w:val="clear" w:color="auto" w:fill="FFFFFF"/>
        </w:rPr>
        <w:t xml:space="preserve"> will </w:t>
      </w:r>
      <w:r w:rsidR="00AC36F5">
        <w:rPr>
          <w:rFonts w:ascii="Calibri" w:eastAsia="Times New Roman" w:hAnsi="Calibri" w:cs="Times New Roman"/>
          <w:color w:val="222222"/>
          <w:shd w:val="clear" w:color="auto" w:fill="FFFFFF"/>
        </w:rPr>
        <w:t xml:space="preserve">also </w:t>
      </w:r>
      <w:r w:rsidR="00AC36F5" w:rsidRPr="00D6655D">
        <w:rPr>
          <w:rFonts w:ascii="Calibri" w:eastAsia="Times New Roman" w:hAnsi="Calibri" w:cs="Times New Roman"/>
          <w:color w:val="222222"/>
          <w:shd w:val="clear" w:color="auto" w:fill="FFFFFF"/>
        </w:rPr>
        <w:t>be compensated $5 for incidental expenses incurred during their transportation to and from the focus group facility. This figure is derived from the GSA contractor rates for daily per diems.</w:t>
      </w:r>
    </w:p>
    <w:p w:rsidR="00D6655D" w:rsidRPr="00D6655D" w:rsidRDefault="00D6655D">
      <w:pPr>
        <w:rPr>
          <w:rFonts w:ascii="Calibri" w:eastAsia="Times New Roman" w:hAnsi="Calibri" w:cs="Times New Roman"/>
        </w:rPr>
      </w:pPr>
    </w:p>
    <w:p w:rsidR="00D6655D" w:rsidRDefault="00D6655D" w:rsidP="00D6655D">
      <w:pPr>
        <w:rPr>
          <w:rFonts w:ascii="Calibri" w:eastAsia="Times New Roman" w:hAnsi="Calibri" w:cs="Times New Roman"/>
          <w:color w:val="222222"/>
          <w:shd w:val="clear" w:color="auto" w:fill="FFFFFF"/>
        </w:rPr>
      </w:pPr>
      <w:r>
        <w:rPr>
          <w:rFonts w:ascii="Calibri" w:eastAsia="Times New Roman" w:hAnsi="Calibri" w:cs="Times New Roman"/>
          <w:color w:val="222222"/>
          <w:shd w:val="clear" w:color="auto" w:fill="FFFFFF"/>
        </w:rPr>
        <w:t xml:space="preserve">The total amount of time </w:t>
      </w:r>
      <w:r w:rsidR="008A2059">
        <w:rPr>
          <w:rFonts w:ascii="Calibri" w:eastAsia="Times New Roman" w:hAnsi="Calibri" w:cs="Times New Roman"/>
          <w:color w:val="222222"/>
          <w:shd w:val="clear" w:color="auto" w:fill="FFFFFF"/>
        </w:rPr>
        <w:t>peer counselors may requ</w:t>
      </w:r>
      <w:r w:rsidR="00AC36F5">
        <w:rPr>
          <w:rFonts w:ascii="Calibri" w:eastAsia="Times New Roman" w:hAnsi="Calibri" w:cs="Times New Roman"/>
          <w:color w:val="222222"/>
          <w:shd w:val="clear" w:color="auto" w:fill="FFFFFF"/>
        </w:rPr>
        <w:t>ire childcare is estimated at 1.5</w:t>
      </w:r>
      <w:r w:rsidR="008A2059">
        <w:rPr>
          <w:rFonts w:ascii="Calibri" w:eastAsia="Times New Roman" w:hAnsi="Calibri" w:cs="Times New Roman"/>
          <w:color w:val="222222"/>
          <w:shd w:val="clear" w:color="auto" w:fill="FFFFFF"/>
        </w:rPr>
        <w:t xml:space="preserve"> hours, including travel to and from the facility and participation in the 1 hour in depth interview.  </w:t>
      </w:r>
      <w:r>
        <w:rPr>
          <w:rFonts w:ascii="Calibri" w:eastAsia="Times New Roman" w:hAnsi="Calibri" w:cs="Times New Roman"/>
          <w:color w:val="222222"/>
          <w:shd w:val="clear" w:color="auto" w:fill="FFFFFF"/>
        </w:rPr>
        <w:t>W</w:t>
      </w:r>
      <w:r w:rsidR="00C55A68">
        <w:rPr>
          <w:rFonts w:ascii="Calibri" w:eastAsia="Times New Roman" w:hAnsi="Calibri" w:cs="Times New Roman"/>
          <w:color w:val="222222"/>
          <w:shd w:val="clear" w:color="auto" w:fill="FFFFFF"/>
        </w:rPr>
        <w:t>e therefore strongly advise a $</w:t>
      </w:r>
      <w:r w:rsidR="008A2059">
        <w:rPr>
          <w:rFonts w:ascii="Calibri" w:eastAsia="Times New Roman" w:hAnsi="Calibri" w:cs="Times New Roman"/>
          <w:color w:val="222222"/>
          <w:shd w:val="clear" w:color="auto" w:fill="FFFFFF"/>
        </w:rPr>
        <w:t>2</w:t>
      </w:r>
      <w:r w:rsidR="00AC36F5">
        <w:rPr>
          <w:rFonts w:ascii="Calibri" w:eastAsia="Times New Roman" w:hAnsi="Calibri" w:cs="Times New Roman"/>
          <w:color w:val="222222"/>
          <w:shd w:val="clear" w:color="auto" w:fill="FFFFFF"/>
        </w:rPr>
        <w:t>5</w:t>
      </w:r>
      <w:r>
        <w:rPr>
          <w:rFonts w:ascii="Calibri" w:eastAsia="Times New Roman" w:hAnsi="Calibri" w:cs="Times New Roman"/>
          <w:color w:val="222222"/>
          <w:shd w:val="clear" w:color="auto" w:fill="FFFFFF"/>
        </w:rPr>
        <w:t xml:space="preserve"> stipend to cover the cost of childcare</w:t>
      </w:r>
      <w:r w:rsidR="00C55A68">
        <w:rPr>
          <w:rFonts w:ascii="Calibri" w:eastAsia="Times New Roman" w:hAnsi="Calibri" w:cs="Times New Roman"/>
          <w:color w:val="222222"/>
          <w:shd w:val="clear" w:color="auto" w:fill="FFFFFF"/>
        </w:rPr>
        <w:t xml:space="preserve"> to participate in the </w:t>
      </w:r>
      <w:r w:rsidR="008A2059">
        <w:rPr>
          <w:rFonts w:ascii="Calibri" w:eastAsia="Times New Roman" w:hAnsi="Calibri" w:cs="Times New Roman"/>
          <w:color w:val="222222"/>
          <w:shd w:val="clear" w:color="auto" w:fill="FFFFFF"/>
        </w:rPr>
        <w:t>in-depth interview.</w:t>
      </w:r>
    </w:p>
    <w:p w:rsidR="00181694" w:rsidRPr="00181694" w:rsidRDefault="00181694">
      <w:pPr>
        <w:rPr>
          <w:rFonts w:ascii="Calibri" w:eastAsia="Times New Roman" w:hAnsi="Calibri" w:cs="Times New Roman"/>
        </w:rPr>
      </w:pPr>
    </w:p>
    <w:sectPr w:rsidR="00181694" w:rsidRPr="00181694" w:rsidSect="00E1649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5D" w:rsidRDefault="00D6655D" w:rsidP="007735D7">
      <w:r>
        <w:separator/>
      </w:r>
    </w:p>
  </w:endnote>
  <w:endnote w:type="continuationSeparator" w:id="0">
    <w:p w:rsidR="00D6655D" w:rsidRDefault="00D6655D" w:rsidP="007735D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5D" w:rsidRDefault="00D6655D" w:rsidP="007735D7">
      <w:r>
        <w:separator/>
      </w:r>
    </w:p>
  </w:footnote>
  <w:footnote w:type="continuationSeparator" w:id="0">
    <w:p w:rsidR="00D6655D" w:rsidRDefault="00D6655D" w:rsidP="007735D7">
      <w:r>
        <w:continuationSeparator/>
      </w:r>
    </w:p>
  </w:footnote>
  <w:footnote w:id="1">
    <w:p w:rsidR="00D6655D" w:rsidRPr="00585622" w:rsidRDefault="00D6655D">
      <w:pPr>
        <w:pStyle w:val="FootnoteText"/>
        <w:rPr>
          <w:sz w:val="20"/>
          <w:szCs w:val="20"/>
        </w:rPr>
      </w:pPr>
      <w:r>
        <w:rPr>
          <w:rStyle w:val="FootnoteReference"/>
        </w:rPr>
        <w:footnoteRef/>
      </w:r>
      <w:r>
        <w:t xml:space="preserve"> </w:t>
      </w:r>
      <w:r w:rsidRPr="00585622">
        <w:rPr>
          <w:sz w:val="20"/>
          <w:szCs w:val="20"/>
        </w:rPr>
        <w:t xml:space="preserve">See </w:t>
      </w:r>
      <w:hyperlink r:id="rId1" w:history="1">
        <w:r w:rsidRPr="00585622">
          <w:rPr>
            <w:rStyle w:val="Hyperlink"/>
            <w:rFonts w:ascii="Calibri" w:eastAsia="Times New Roman" w:hAnsi="Calibri" w:cs="Times New Roman"/>
            <w:sz w:val="20"/>
            <w:szCs w:val="20"/>
          </w:rPr>
          <w:t>http://www.bls.gov/soc/home.htm</w:t>
        </w:r>
      </w:hyperlink>
      <w:r w:rsidRPr="00585622">
        <w:rPr>
          <w:rFonts w:ascii="Calibri" w:eastAsia="Times New Roman" w:hAnsi="Calibri" w:cs="Times New Roman"/>
          <w:color w:val="000000"/>
          <w:sz w:val="20"/>
          <w:szCs w:val="20"/>
        </w:rPr>
        <w:t xml:space="preserve"> for a list and explanation of Standard Occupational Codes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7735D7"/>
    <w:rsid w:val="00181694"/>
    <w:rsid w:val="0026526B"/>
    <w:rsid w:val="002A11D2"/>
    <w:rsid w:val="00381410"/>
    <w:rsid w:val="003A06D3"/>
    <w:rsid w:val="004076EF"/>
    <w:rsid w:val="004E6AF4"/>
    <w:rsid w:val="0057338A"/>
    <w:rsid w:val="00585622"/>
    <w:rsid w:val="007735D7"/>
    <w:rsid w:val="008A2059"/>
    <w:rsid w:val="008B2A41"/>
    <w:rsid w:val="00963093"/>
    <w:rsid w:val="00AC36F5"/>
    <w:rsid w:val="00C55A68"/>
    <w:rsid w:val="00D6655D"/>
    <w:rsid w:val="00E164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35D7"/>
  </w:style>
  <w:style w:type="character" w:customStyle="1" w:styleId="FootnoteTextChar">
    <w:name w:val="Footnote Text Char"/>
    <w:basedOn w:val="DefaultParagraphFont"/>
    <w:link w:val="FootnoteText"/>
    <w:uiPriority w:val="99"/>
    <w:rsid w:val="007735D7"/>
  </w:style>
  <w:style w:type="character" w:styleId="FootnoteReference">
    <w:name w:val="footnote reference"/>
    <w:basedOn w:val="DefaultParagraphFont"/>
    <w:uiPriority w:val="99"/>
    <w:unhideWhenUsed/>
    <w:rsid w:val="007735D7"/>
    <w:rPr>
      <w:vertAlign w:val="superscript"/>
    </w:rPr>
  </w:style>
  <w:style w:type="character" w:styleId="Hyperlink">
    <w:name w:val="Hyperlink"/>
    <w:basedOn w:val="DefaultParagraphFont"/>
    <w:uiPriority w:val="99"/>
    <w:unhideWhenUsed/>
    <w:rsid w:val="007735D7"/>
    <w:rPr>
      <w:color w:val="0000FF" w:themeColor="hyperlink"/>
      <w:u w:val="single"/>
    </w:rPr>
  </w:style>
  <w:style w:type="paragraph" w:styleId="BalloonText">
    <w:name w:val="Balloon Text"/>
    <w:basedOn w:val="Normal"/>
    <w:link w:val="BalloonTextChar"/>
    <w:uiPriority w:val="99"/>
    <w:semiHidden/>
    <w:unhideWhenUsed/>
    <w:rsid w:val="004E6AF4"/>
    <w:rPr>
      <w:rFonts w:ascii="Tahoma" w:hAnsi="Tahoma" w:cs="Tahoma"/>
      <w:sz w:val="16"/>
      <w:szCs w:val="16"/>
    </w:rPr>
  </w:style>
  <w:style w:type="character" w:customStyle="1" w:styleId="BalloonTextChar">
    <w:name w:val="Balloon Text Char"/>
    <w:basedOn w:val="DefaultParagraphFont"/>
    <w:link w:val="BalloonText"/>
    <w:uiPriority w:val="99"/>
    <w:semiHidden/>
    <w:rsid w:val="004E6AF4"/>
    <w:rPr>
      <w:rFonts w:ascii="Tahoma" w:hAnsi="Tahoma" w:cs="Tahoma"/>
      <w:sz w:val="16"/>
      <w:szCs w:val="16"/>
    </w:rPr>
  </w:style>
  <w:style w:type="character" w:styleId="FollowedHyperlink">
    <w:name w:val="FollowedHyperlink"/>
    <w:basedOn w:val="DefaultParagraphFont"/>
    <w:uiPriority w:val="99"/>
    <w:semiHidden/>
    <w:unhideWhenUsed/>
    <w:rsid w:val="008A20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35D7"/>
  </w:style>
  <w:style w:type="character" w:customStyle="1" w:styleId="FootnoteTextChar">
    <w:name w:val="Footnote Text Char"/>
    <w:basedOn w:val="DefaultParagraphFont"/>
    <w:link w:val="FootnoteText"/>
    <w:uiPriority w:val="99"/>
    <w:rsid w:val="007735D7"/>
  </w:style>
  <w:style w:type="character" w:styleId="FootnoteReference">
    <w:name w:val="footnote reference"/>
    <w:basedOn w:val="DefaultParagraphFont"/>
    <w:uiPriority w:val="99"/>
    <w:unhideWhenUsed/>
    <w:rsid w:val="007735D7"/>
    <w:rPr>
      <w:vertAlign w:val="superscript"/>
    </w:rPr>
  </w:style>
  <w:style w:type="character" w:styleId="Hyperlink">
    <w:name w:val="Hyperlink"/>
    <w:basedOn w:val="DefaultParagraphFont"/>
    <w:uiPriority w:val="99"/>
    <w:unhideWhenUsed/>
    <w:rsid w:val="007735D7"/>
    <w:rPr>
      <w:color w:val="0000FF" w:themeColor="hyperlink"/>
      <w:u w:val="single"/>
    </w:rPr>
  </w:style>
  <w:style w:type="paragraph" w:styleId="BalloonText">
    <w:name w:val="Balloon Text"/>
    <w:basedOn w:val="Normal"/>
    <w:link w:val="BalloonTextChar"/>
    <w:uiPriority w:val="99"/>
    <w:semiHidden/>
    <w:unhideWhenUsed/>
    <w:rsid w:val="004E6AF4"/>
    <w:rPr>
      <w:rFonts w:ascii="Tahoma" w:hAnsi="Tahoma" w:cs="Tahoma"/>
      <w:sz w:val="16"/>
      <w:szCs w:val="16"/>
    </w:rPr>
  </w:style>
  <w:style w:type="character" w:customStyle="1" w:styleId="BalloonTextChar">
    <w:name w:val="Balloon Text Char"/>
    <w:basedOn w:val="DefaultParagraphFont"/>
    <w:link w:val="BalloonText"/>
    <w:uiPriority w:val="99"/>
    <w:semiHidden/>
    <w:rsid w:val="004E6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05699">
      <w:bodyDiv w:val="1"/>
      <w:marLeft w:val="0"/>
      <w:marRight w:val="0"/>
      <w:marTop w:val="0"/>
      <w:marBottom w:val="0"/>
      <w:divBdr>
        <w:top w:val="none" w:sz="0" w:space="0" w:color="auto"/>
        <w:left w:val="none" w:sz="0" w:space="0" w:color="auto"/>
        <w:bottom w:val="none" w:sz="0" w:space="0" w:color="auto"/>
        <w:right w:val="none" w:sz="0" w:space="0" w:color="auto"/>
      </w:divBdr>
    </w:div>
    <w:div w:id="428236857">
      <w:bodyDiv w:val="1"/>
      <w:marLeft w:val="0"/>
      <w:marRight w:val="0"/>
      <w:marTop w:val="0"/>
      <w:marBottom w:val="0"/>
      <w:divBdr>
        <w:top w:val="none" w:sz="0" w:space="0" w:color="auto"/>
        <w:left w:val="none" w:sz="0" w:space="0" w:color="auto"/>
        <w:bottom w:val="none" w:sz="0" w:space="0" w:color="auto"/>
        <w:right w:val="none" w:sz="0" w:space="0" w:color="auto"/>
      </w:divBdr>
    </w:div>
    <w:div w:id="429666710">
      <w:bodyDiv w:val="1"/>
      <w:marLeft w:val="0"/>
      <w:marRight w:val="0"/>
      <w:marTop w:val="0"/>
      <w:marBottom w:val="0"/>
      <w:divBdr>
        <w:top w:val="none" w:sz="0" w:space="0" w:color="auto"/>
        <w:left w:val="none" w:sz="0" w:space="0" w:color="auto"/>
        <w:bottom w:val="none" w:sz="0" w:space="0" w:color="auto"/>
        <w:right w:val="none" w:sz="0" w:space="0" w:color="auto"/>
      </w:divBdr>
    </w:div>
    <w:div w:id="461575973">
      <w:bodyDiv w:val="1"/>
      <w:marLeft w:val="0"/>
      <w:marRight w:val="0"/>
      <w:marTop w:val="0"/>
      <w:marBottom w:val="0"/>
      <w:divBdr>
        <w:top w:val="none" w:sz="0" w:space="0" w:color="auto"/>
        <w:left w:val="none" w:sz="0" w:space="0" w:color="auto"/>
        <w:bottom w:val="none" w:sz="0" w:space="0" w:color="auto"/>
        <w:right w:val="none" w:sz="0" w:space="0" w:color="auto"/>
      </w:divBdr>
    </w:div>
    <w:div w:id="1188787164">
      <w:bodyDiv w:val="1"/>
      <w:marLeft w:val="0"/>
      <w:marRight w:val="0"/>
      <w:marTop w:val="0"/>
      <w:marBottom w:val="0"/>
      <w:divBdr>
        <w:top w:val="none" w:sz="0" w:space="0" w:color="auto"/>
        <w:left w:val="none" w:sz="0" w:space="0" w:color="auto"/>
        <w:bottom w:val="none" w:sz="0" w:space="0" w:color="auto"/>
        <w:right w:val="none" w:sz="0" w:space="0" w:color="auto"/>
      </w:divBdr>
    </w:div>
    <w:div w:id="1985621359">
      <w:bodyDiv w:val="1"/>
      <w:marLeft w:val="0"/>
      <w:marRight w:val="0"/>
      <w:marTop w:val="0"/>
      <w:marBottom w:val="0"/>
      <w:divBdr>
        <w:top w:val="none" w:sz="0" w:space="0" w:color="auto"/>
        <w:left w:val="none" w:sz="0" w:space="0" w:color="auto"/>
        <w:bottom w:val="none" w:sz="0" w:space="0" w:color="auto"/>
        <w:right w:val="none" w:sz="0" w:space="0" w:color="auto"/>
      </w:divBdr>
    </w:div>
    <w:div w:id="2084446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soc/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CFC6-41BC-4F99-ACCC-8467CB0B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vsoto</cp:lastModifiedBy>
  <cp:revision>4</cp:revision>
  <cp:lastPrinted>2015-04-09T18:46:00Z</cp:lastPrinted>
  <dcterms:created xsi:type="dcterms:W3CDTF">2015-04-20T15:39:00Z</dcterms:created>
  <dcterms:modified xsi:type="dcterms:W3CDTF">2015-04-20T16:10:00Z</dcterms:modified>
</cp:coreProperties>
</file>