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29D3D" w14:textId="79D5723E" w:rsidR="00C55A68" w:rsidRPr="005100BD" w:rsidRDefault="007168B7" w:rsidP="005100BD">
      <w:pPr>
        <w:pStyle w:val="Normal1"/>
        <w:ind w:left="720"/>
      </w:pPr>
      <w:bookmarkStart w:id="0" w:name="_GoBack"/>
      <w:bookmarkEnd w:id="0"/>
      <w:r>
        <w:rPr>
          <w:rFonts w:ascii="Calibri" w:hAnsi="Calibri"/>
          <w:b/>
        </w:rPr>
        <w:t xml:space="preserve">Attachment </w:t>
      </w:r>
      <w:r w:rsidR="007938B4">
        <w:rPr>
          <w:rFonts w:ascii="Calibri" w:hAnsi="Calibri"/>
          <w:b/>
        </w:rPr>
        <w:t>N</w:t>
      </w:r>
      <w:r w:rsidR="005100BD">
        <w:rPr>
          <w:rFonts w:ascii="Calibri" w:hAnsi="Calibri"/>
          <w:b/>
        </w:rPr>
        <w:t xml:space="preserve">: </w:t>
      </w:r>
      <w:r w:rsidR="005100BD" w:rsidRPr="005100BD">
        <w:rPr>
          <w:rFonts w:ascii="Calibri" w:eastAsia="Calibri" w:hAnsi="Calibri" w:cs="Calibri"/>
          <w:b/>
        </w:rPr>
        <w:t>Incentive Justification for Focus Group Participants</w:t>
      </w:r>
    </w:p>
    <w:p w14:paraId="62B73959" w14:textId="77777777" w:rsidR="004E6AF4" w:rsidRPr="006349B1" w:rsidRDefault="004E6AF4">
      <w:pPr>
        <w:rPr>
          <w:rFonts w:ascii="Calibri" w:hAnsi="Calibri"/>
          <w:sz w:val="12"/>
          <w:szCs w:val="12"/>
        </w:rPr>
      </w:pPr>
    </w:p>
    <w:p w14:paraId="10CE6615" w14:textId="303EE7F0" w:rsidR="0057338A" w:rsidRPr="00181694" w:rsidRDefault="00AD272D" w:rsidP="003535FF">
      <w:pPr>
        <w:jc w:val="both"/>
        <w:rPr>
          <w:rFonts w:ascii="Calibri" w:hAnsi="Calibri"/>
        </w:rPr>
      </w:pPr>
      <w:r>
        <w:rPr>
          <w:rFonts w:ascii="Calibri" w:hAnsi="Calibri"/>
        </w:rPr>
        <w:t xml:space="preserve">We </w:t>
      </w:r>
      <w:r w:rsidR="007735D7" w:rsidRPr="00181694">
        <w:rPr>
          <w:rFonts w:ascii="Calibri" w:hAnsi="Calibri"/>
        </w:rPr>
        <w:t xml:space="preserve">consulted </w:t>
      </w:r>
      <w:r>
        <w:rPr>
          <w:rFonts w:ascii="Calibri" w:hAnsi="Calibri"/>
        </w:rPr>
        <w:t>t</w:t>
      </w:r>
      <w:r w:rsidR="00585622" w:rsidRPr="00181694">
        <w:rPr>
          <w:rFonts w:ascii="Calibri" w:hAnsi="Calibri"/>
        </w:rPr>
        <w:t>he two most recent</w:t>
      </w:r>
      <w:r w:rsidR="0057338A" w:rsidRPr="00181694">
        <w:rPr>
          <w:rFonts w:ascii="Calibri" w:hAnsi="Calibri"/>
        </w:rPr>
        <w:t xml:space="preserve"> annual surveys conducted by </w:t>
      </w:r>
      <w:r w:rsidR="005869C9">
        <w:rPr>
          <w:rFonts w:ascii="Calibri" w:hAnsi="Calibri"/>
        </w:rPr>
        <w:t xml:space="preserve">the </w:t>
      </w:r>
      <w:r w:rsidR="0057338A" w:rsidRPr="00181694">
        <w:rPr>
          <w:rFonts w:ascii="Calibri" w:hAnsi="Calibri"/>
        </w:rPr>
        <w:t xml:space="preserve">website Urbansitter.org </w:t>
      </w:r>
      <w:r w:rsidR="00585622" w:rsidRPr="00181694">
        <w:rPr>
          <w:rFonts w:ascii="Calibri" w:hAnsi="Calibri"/>
        </w:rPr>
        <w:t xml:space="preserve">of parent members </w:t>
      </w:r>
      <w:r w:rsidRPr="00181694">
        <w:rPr>
          <w:rFonts w:ascii="Calibri" w:hAnsi="Calibri"/>
        </w:rPr>
        <w:t>in order to estimate the average cost of hourly childcare for potential research participants</w:t>
      </w:r>
      <w:r w:rsidR="005F3579">
        <w:rPr>
          <w:rFonts w:ascii="Calibri" w:hAnsi="Calibri"/>
        </w:rPr>
        <w:t>. The 2016</w:t>
      </w:r>
      <w:r w:rsidR="00585622" w:rsidRPr="00181694">
        <w:rPr>
          <w:rFonts w:ascii="Calibri" w:hAnsi="Calibri"/>
        </w:rPr>
        <w:t xml:space="preserve"> </w:t>
      </w:r>
      <w:r w:rsidR="005F3579">
        <w:rPr>
          <w:rFonts w:ascii="Calibri" w:hAnsi="Calibri"/>
        </w:rPr>
        <w:t>study surveyed 15</w:t>
      </w:r>
      <w:r w:rsidR="00585622" w:rsidRPr="00181694">
        <w:rPr>
          <w:rFonts w:ascii="Calibri" w:hAnsi="Calibri"/>
        </w:rPr>
        <w:t>,000 parents</w:t>
      </w:r>
      <w:r w:rsidR="005F3579">
        <w:rPr>
          <w:rFonts w:ascii="Calibri" w:hAnsi="Calibri"/>
        </w:rPr>
        <w:t xml:space="preserve"> from 9</w:t>
      </w:r>
      <w:r w:rsidR="00585622" w:rsidRPr="00181694">
        <w:rPr>
          <w:rFonts w:ascii="Calibri" w:hAnsi="Calibri"/>
        </w:rPr>
        <w:t xml:space="preserve"> metropolitan areas </w:t>
      </w:r>
      <w:r w:rsidR="005F3579">
        <w:rPr>
          <w:rFonts w:ascii="Calibri" w:hAnsi="Calibri"/>
        </w:rPr>
        <w:t xml:space="preserve">(Seattle, San Francisco, Los Angeles, San Diego, Denver, Chicago, Boston, New York City, Washington DC) </w:t>
      </w:r>
      <w:r w:rsidR="00585622" w:rsidRPr="00181694">
        <w:rPr>
          <w:rFonts w:ascii="Calibri" w:hAnsi="Calibri"/>
        </w:rPr>
        <w:t>about the hourly rates they provide babysitters for caring for one, two,</w:t>
      </w:r>
      <w:r w:rsidR="00A66820">
        <w:rPr>
          <w:rFonts w:ascii="Calibri" w:hAnsi="Calibri"/>
        </w:rPr>
        <w:t xml:space="preserve"> and three </w:t>
      </w:r>
      <w:r w:rsidR="00585622" w:rsidRPr="00181694">
        <w:rPr>
          <w:rFonts w:ascii="Calibri" w:hAnsi="Calibri"/>
        </w:rPr>
        <w:t>children</w:t>
      </w:r>
      <w:r w:rsidR="005F3579">
        <w:rPr>
          <w:rFonts w:ascii="Calibri" w:hAnsi="Calibri"/>
        </w:rPr>
        <w:t>. The 2017 study surveyed 20,000 parents from the same nine cities. As Table 2 be</w:t>
      </w:r>
      <w:r w:rsidR="003A1C42">
        <w:rPr>
          <w:rFonts w:ascii="Calibri" w:hAnsi="Calibri"/>
        </w:rPr>
        <w:t xml:space="preserve">low shows, the average rate </w:t>
      </w:r>
      <w:r w:rsidR="00CC3D10">
        <w:rPr>
          <w:rFonts w:ascii="Calibri" w:hAnsi="Calibri"/>
        </w:rPr>
        <w:t>for just one child was $15.17</w:t>
      </w:r>
      <w:r w:rsidR="005F3579">
        <w:rPr>
          <w:rFonts w:ascii="Calibri" w:hAnsi="Calibri"/>
        </w:rPr>
        <w:t xml:space="preserve"> </w:t>
      </w:r>
      <w:r w:rsidR="00CC3D10">
        <w:rPr>
          <w:rFonts w:ascii="Calibri" w:hAnsi="Calibri"/>
        </w:rPr>
        <w:t>in 2016 an</w:t>
      </w:r>
      <w:r w:rsidR="00875E29">
        <w:rPr>
          <w:rFonts w:ascii="Calibri" w:hAnsi="Calibri"/>
        </w:rPr>
        <w:t xml:space="preserve">d $15.20 in 2017. We also calculated a rough average </w:t>
      </w:r>
      <w:r w:rsidR="00DB04A9">
        <w:rPr>
          <w:rFonts w:ascii="Calibri" w:hAnsi="Calibri"/>
        </w:rPr>
        <w:t xml:space="preserve">rate </w:t>
      </w:r>
      <w:r w:rsidR="00875E29">
        <w:rPr>
          <w:rFonts w:ascii="Calibri" w:hAnsi="Calibri"/>
        </w:rPr>
        <w:t xml:space="preserve">across </w:t>
      </w:r>
      <w:r w:rsidR="0047159A">
        <w:rPr>
          <w:rFonts w:ascii="Calibri" w:hAnsi="Calibri"/>
        </w:rPr>
        <w:t xml:space="preserve">a </w:t>
      </w:r>
      <w:r w:rsidR="00875E29">
        <w:rPr>
          <w:rFonts w:ascii="Calibri" w:hAnsi="Calibri"/>
        </w:rPr>
        <w:t xml:space="preserve">number of children for each year, creating an estimated average babysitting rate </w:t>
      </w:r>
      <w:r w:rsidR="00875E29" w:rsidRPr="00DB04A9">
        <w:rPr>
          <w:rFonts w:ascii="Calibri" w:hAnsi="Calibri"/>
        </w:rPr>
        <w:t xml:space="preserve">of </w:t>
      </w:r>
      <w:r w:rsidR="00875E29" w:rsidRPr="00DB04A9">
        <w:rPr>
          <w:rFonts w:ascii="Calibri" w:hAnsi="Calibri"/>
          <w:b/>
        </w:rPr>
        <w:t>$17.70</w:t>
      </w:r>
      <w:r w:rsidR="00875E29">
        <w:rPr>
          <w:rFonts w:ascii="Calibri" w:hAnsi="Calibri"/>
        </w:rPr>
        <w:t xml:space="preserve"> across the 2016 and 2017 survey</w:t>
      </w:r>
      <w:r w:rsidR="00DB04A9">
        <w:rPr>
          <w:rFonts w:ascii="Calibri" w:hAnsi="Calibri"/>
        </w:rPr>
        <w:t>s</w:t>
      </w:r>
      <w:r w:rsidR="00875E29">
        <w:rPr>
          <w:rFonts w:ascii="Calibri" w:hAnsi="Calibri"/>
        </w:rPr>
        <w:t xml:space="preserve"> for one, two, and three children.</w:t>
      </w:r>
    </w:p>
    <w:p w14:paraId="72D668C7" w14:textId="77777777" w:rsidR="00CC3D10" w:rsidRDefault="00CC3D10">
      <w:pPr>
        <w:rPr>
          <w:rFonts w:ascii="Calibri" w:hAnsi="Calibri"/>
        </w:rPr>
      </w:pPr>
    </w:p>
    <w:tbl>
      <w:tblPr>
        <w:tblW w:w="7980" w:type="dxa"/>
        <w:tblInd w:w="93" w:type="dxa"/>
        <w:tblLook w:val="04A0" w:firstRow="1" w:lastRow="0" w:firstColumn="1" w:lastColumn="0" w:noHBand="0" w:noVBand="1"/>
      </w:tblPr>
      <w:tblGrid>
        <w:gridCol w:w="973"/>
        <w:gridCol w:w="1419"/>
        <w:gridCol w:w="1964"/>
        <w:gridCol w:w="1964"/>
        <w:gridCol w:w="1660"/>
      </w:tblGrid>
      <w:tr w:rsidR="00875E29" w14:paraId="38BA79D2" w14:textId="77777777" w:rsidTr="00875E29">
        <w:trPr>
          <w:trHeight w:val="640"/>
        </w:trPr>
        <w:tc>
          <w:tcPr>
            <w:tcW w:w="6320" w:type="dxa"/>
            <w:gridSpan w:val="4"/>
            <w:tcBorders>
              <w:top w:val="nil"/>
              <w:left w:val="nil"/>
              <w:bottom w:val="nil"/>
              <w:right w:val="nil"/>
            </w:tcBorders>
            <w:shd w:val="clear" w:color="auto" w:fill="auto"/>
            <w:vAlign w:val="bottom"/>
            <w:hideMark/>
          </w:tcPr>
          <w:p w14:paraId="0DBE89D2" w14:textId="4CE9FEAF" w:rsidR="00875E29" w:rsidRDefault="00875E29">
            <w:pPr>
              <w:rPr>
                <w:rFonts w:ascii="Calibri" w:eastAsia="Times New Roman" w:hAnsi="Calibri" w:cs="Times New Roman"/>
                <w:i/>
                <w:iCs/>
                <w:color w:val="000000"/>
              </w:rPr>
            </w:pPr>
            <w:r>
              <w:rPr>
                <w:rFonts w:ascii="Calibri" w:eastAsia="Times New Roman" w:hAnsi="Calibri" w:cs="Times New Roman"/>
                <w:i/>
                <w:iCs/>
                <w:color w:val="000000"/>
              </w:rPr>
              <w:t xml:space="preserve">Table </w:t>
            </w:r>
            <w:r w:rsidR="003535FF">
              <w:rPr>
                <w:rFonts w:ascii="Calibri" w:eastAsia="Times New Roman" w:hAnsi="Calibri" w:cs="Times New Roman"/>
                <w:i/>
                <w:iCs/>
                <w:color w:val="000000"/>
              </w:rPr>
              <w:t>1</w:t>
            </w:r>
            <w:r>
              <w:rPr>
                <w:rFonts w:ascii="Calibri" w:eastAsia="Times New Roman" w:hAnsi="Calibri" w:cs="Times New Roman"/>
                <w:i/>
                <w:iCs/>
                <w:color w:val="000000"/>
              </w:rPr>
              <w:t xml:space="preserve"> - Hourly wage averages by # of children according to urbansitter.org annual member survey</w:t>
            </w:r>
          </w:p>
        </w:tc>
        <w:tc>
          <w:tcPr>
            <w:tcW w:w="1660" w:type="dxa"/>
            <w:tcBorders>
              <w:top w:val="nil"/>
              <w:left w:val="nil"/>
              <w:bottom w:val="nil"/>
              <w:right w:val="nil"/>
            </w:tcBorders>
            <w:shd w:val="clear" w:color="auto" w:fill="auto"/>
            <w:noWrap/>
            <w:vAlign w:val="bottom"/>
            <w:hideMark/>
          </w:tcPr>
          <w:p w14:paraId="61BA0764" w14:textId="77777777" w:rsidR="00875E29" w:rsidRDefault="00875E29">
            <w:pPr>
              <w:rPr>
                <w:rFonts w:ascii="Calibri" w:eastAsia="Times New Roman" w:hAnsi="Calibri" w:cs="Times New Roman"/>
                <w:color w:val="000000"/>
              </w:rPr>
            </w:pPr>
          </w:p>
        </w:tc>
      </w:tr>
      <w:tr w:rsidR="00875E29" w14:paraId="11FB6844" w14:textId="77777777" w:rsidTr="00875E29">
        <w:trPr>
          <w:trHeight w:val="300"/>
        </w:trPr>
        <w:tc>
          <w:tcPr>
            <w:tcW w:w="973" w:type="dxa"/>
            <w:tcBorders>
              <w:top w:val="nil"/>
              <w:left w:val="nil"/>
              <w:bottom w:val="nil"/>
              <w:right w:val="nil"/>
            </w:tcBorders>
            <w:shd w:val="clear" w:color="000000" w:fill="384452"/>
            <w:noWrap/>
            <w:vAlign w:val="bottom"/>
            <w:hideMark/>
          </w:tcPr>
          <w:p w14:paraId="64E035BE" w14:textId="77777777" w:rsidR="00875E29" w:rsidRDefault="00875E29">
            <w:pPr>
              <w:rPr>
                <w:rFonts w:ascii="Calibri" w:eastAsia="Times New Roman" w:hAnsi="Calibri" w:cs="Times New Roman"/>
                <w:b/>
                <w:bCs/>
                <w:color w:val="FFFFFF"/>
              </w:rPr>
            </w:pPr>
            <w:r>
              <w:rPr>
                <w:rFonts w:ascii="Calibri" w:eastAsia="Times New Roman" w:hAnsi="Calibri" w:cs="Times New Roman"/>
                <w:b/>
                <w:bCs/>
                <w:color w:val="FFFFFF"/>
              </w:rPr>
              <w:t> </w:t>
            </w:r>
          </w:p>
        </w:tc>
        <w:tc>
          <w:tcPr>
            <w:tcW w:w="1419" w:type="dxa"/>
            <w:tcBorders>
              <w:top w:val="nil"/>
              <w:left w:val="nil"/>
              <w:bottom w:val="nil"/>
              <w:right w:val="nil"/>
            </w:tcBorders>
            <w:shd w:val="clear" w:color="000000" w:fill="384452"/>
            <w:noWrap/>
            <w:vAlign w:val="center"/>
            <w:hideMark/>
          </w:tcPr>
          <w:p w14:paraId="087AACAB" w14:textId="77777777" w:rsidR="00875E29" w:rsidRDefault="00875E29">
            <w:pPr>
              <w:jc w:val="center"/>
              <w:rPr>
                <w:rFonts w:ascii="Calibri" w:eastAsia="Times New Roman" w:hAnsi="Calibri" w:cs="Times New Roman"/>
                <w:b/>
                <w:bCs/>
                <w:color w:val="FFFFFF"/>
              </w:rPr>
            </w:pPr>
            <w:r>
              <w:rPr>
                <w:rFonts w:ascii="Calibri" w:eastAsia="Times New Roman" w:hAnsi="Calibri" w:cs="Times New Roman"/>
                <w:b/>
                <w:bCs/>
                <w:color w:val="FFFFFF"/>
              </w:rPr>
              <w:t>1 Child</w:t>
            </w:r>
          </w:p>
        </w:tc>
        <w:tc>
          <w:tcPr>
            <w:tcW w:w="1964" w:type="dxa"/>
            <w:tcBorders>
              <w:top w:val="nil"/>
              <w:left w:val="nil"/>
              <w:bottom w:val="nil"/>
              <w:right w:val="nil"/>
            </w:tcBorders>
            <w:shd w:val="clear" w:color="000000" w:fill="384452"/>
            <w:noWrap/>
            <w:vAlign w:val="center"/>
            <w:hideMark/>
          </w:tcPr>
          <w:p w14:paraId="653ECC26" w14:textId="77777777" w:rsidR="00875E29" w:rsidRDefault="00875E29">
            <w:pPr>
              <w:jc w:val="center"/>
              <w:rPr>
                <w:rFonts w:ascii="Calibri" w:eastAsia="Times New Roman" w:hAnsi="Calibri" w:cs="Times New Roman"/>
                <w:b/>
                <w:bCs/>
                <w:color w:val="FFFFFF"/>
              </w:rPr>
            </w:pPr>
            <w:r>
              <w:rPr>
                <w:rFonts w:ascii="Calibri" w:eastAsia="Times New Roman" w:hAnsi="Calibri" w:cs="Times New Roman"/>
                <w:b/>
                <w:bCs/>
                <w:color w:val="FFFFFF"/>
              </w:rPr>
              <w:t>2 Children</w:t>
            </w:r>
          </w:p>
        </w:tc>
        <w:tc>
          <w:tcPr>
            <w:tcW w:w="1964" w:type="dxa"/>
            <w:tcBorders>
              <w:top w:val="nil"/>
              <w:left w:val="nil"/>
              <w:bottom w:val="nil"/>
              <w:right w:val="nil"/>
            </w:tcBorders>
            <w:shd w:val="clear" w:color="000000" w:fill="384452"/>
            <w:noWrap/>
            <w:vAlign w:val="center"/>
            <w:hideMark/>
          </w:tcPr>
          <w:p w14:paraId="352AB834" w14:textId="77777777" w:rsidR="00875E29" w:rsidRDefault="00875E29">
            <w:pPr>
              <w:jc w:val="center"/>
              <w:rPr>
                <w:rFonts w:ascii="Calibri" w:eastAsia="Times New Roman" w:hAnsi="Calibri" w:cs="Times New Roman"/>
                <w:b/>
                <w:bCs/>
                <w:color w:val="FFFFFF"/>
              </w:rPr>
            </w:pPr>
            <w:r>
              <w:rPr>
                <w:rFonts w:ascii="Calibri" w:eastAsia="Times New Roman" w:hAnsi="Calibri" w:cs="Times New Roman"/>
                <w:b/>
                <w:bCs/>
                <w:color w:val="FFFFFF"/>
              </w:rPr>
              <w:t>3 Children</w:t>
            </w:r>
          </w:p>
        </w:tc>
        <w:tc>
          <w:tcPr>
            <w:tcW w:w="1660" w:type="dxa"/>
            <w:tcBorders>
              <w:top w:val="nil"/>
              <w:left w:val="nil"/>
              <w:bottom w:val="nil"/>
              <w:right w:val="nil"/>
            </w:tcBorders>
            <w:shd w:val="clear" w:color="000000" w:fill="384452"/>
            <w:noWrap/>
            <w:vAlign w:val="center"/>
            <w:hideMark/>
          </w:tcPr>
          <w:p w14:paraId="42E97A08" w14:textId="1D4F4D2F" w:rsidR="00875E29" w:rsidRPr="00875E29" w:rsidRDefault="00875E29" w:rsidP="00875E29">
            <w:pPr>
              <w:jc w:val="center"/>
              <w:rPr>
                <w:rFonts w:ascii="Calibri" w:eastAsia="Times New Roman" w:hAnsi="Calibri" w:cs="Times New Roman"/>
                <w:b/>
                <w:bCs/>
                <w:color w:val="FFFFFF"/>
              </w:rPr>
            </w:pPr>
            <w:r w:rsidRPr="00875E29">
              <w:rPr>
                <w:rFonts w:ascii="Calibri" w:eastAsia="Times New Roman" w:hAnsi="Calibri" w:cs="Times New Roman"/>
                <w:b/>
                <w:bCs/>
                <w:color w:val="FFFFFF"/>
              </w:rPr>
              <w:t>Average</w:t>
            </w:r>
          </w:p>
        </w:tc>
      </w:tr>
      <w:tr w:rsidR="00875E29" w14:paraId="26E0CC84" w14:textId="77777777" w:rsidTr="00875E29">
        <w:trPr>
          <w:trHeight w:val="300"/>
        </w:trPr>
        <w:tc>
          <w:tcPr>
            <w:tcW w:w="973" w:type="dxa"/>
            <w:tcBorders>
              <w:top w:val="nil"/>
              <w:left w:val="nil"/>
              <w:bottom w:val="nil"/>
              <w:right w:val="nil"/>
            </w:tcBorders>
            <w:shd w:val="clear" w:color="auto" w:fill="auto"/>
            <w:noWrap/>
            <w:vAlign w:val="bottom"/>
            <w:hideMark/>
          </w:tcPr>
          <w:p w14:paraId="74DBA6A2" w14:textId="77777777" w:rsidR="00875E29" w:rsidRDefault="00875E29">
            <w:pPr>
              <w:jc w:val="right"/>
              <w:rPr>
                <w:rFonts w:ascii="Calibri" w:eastAsia="Times New Roman" w:hAnsi="Calibri" w:cs="Times New Roman"/>
                <w:color w:val="000000"/>
              </w:rPr>
            </w:pPr>
            <w:r>
              <w:rPr>
                <w:rFonts w:ascii="Calibri" w:eastAsia="Times New Roman" w:hAnsi="Calibri" w:cs="Times New Roman"/>
                <w:color w:val="000000"/>
              </w:rPr>
              <w:t>2016</w:t>
            </w:r>
          </w:p>
        </w:tc>
        <w:tc>
          <w:tcPr>
            <w:tcW w:w="1419" w:type="dxa"/>
            <w:tcBorders>
              <w:top w:val="nil"/>
              <w:left w:val="nil"/>
              <w:bottom w:val="nil"/>
              <w:right w:val="nil"/>
            </w:tcBorders>
            <w:shd w:val="clear" w:color="auto" w:fill="auto"/>
            <w:noWrap/>
            <w:vAlign w:val="center"/>
            <w:hideMark/>
          </w:tcPr>
          <w:p w14:paraId="29947BF4" w14:textId="77777777" w:rsidR="00875E29" w:rsidRDefault="00875E29">
            <w:pPr>
              <w:jc w:val="center"/>
              <w:rPr>
                <w:rFonts w:ascii="Calibri" w:eastAsia="Times New Roman" w:hAnsi="Calibri" w:cs="Times New Roman"/>
                <w:color w:val="000000"/>
              </w:rPr>
            </w:pPr>
            <w:r>
              <w:rPr>
                <w:rFonts w:ascii="Calibri" w:eastAsia="Times New Roman" w:hAnsi="Calibri" w:cs="Times New Roman"/>
                <w:color w:val="000000"/>
              </w:rPr>
              <w:t xml:space="preserve"> $15.71 </w:t>
            </w:r>
          </w:p>
        </w:tc>
        <w:tc>
          <w:tcPr>
            <w:tcW w:w="1964" w:type="dxa"/>
            <w:tcBorders>
              <w:top w:val="nil"/>
              <w:left w:val="nil"/>
              <w:bottom w:val="nil"/>
              <w:right w:val="nil"/>
            </w:tcBorders>
            <w:shd w:val="clear" w:color="auto" w:fill="auto"/>
            <w:noWrap/>
            <w:vAlign w:val="center"/>
            <w:hideMark/>
          </w:tcPr>
          <w:p w14:paraId="40641715" w14:textId="77777777" w:rsidR="00875E29" w:rsidRDefault="00875E29">
            <w:pPr>
              <w:jc w:val="center"/>
              <w:rPr>
                <w:rFonts w:ascii="Calibri" w:eastAsia="Times New Roman" w:hAnsi="Calibri" w:cs="Times New Roman"/>
                <w:color w:val="000000"/>
              </w:rPr>
            </w:pPr>
            <w:r>
              <w:rPr>
                <w:rFonts w:ascii="Calibri" w:eastAsia="Times New Roman" w:hAnsi="Calibri" w:cs="Times New Roman"/>
                <w:color w:val="000000"/>
              </w:rPr>
              <w:t xml:space="preserve"> $18.07 </w:t>
            </w:r>
          </w:p>
        </w:tc>
        <w:tc>
          <w:tcPr>
            <w:tcW w:w="1964" w:type="dxa"/>
            <w:tcBorders>
              <w:top w:val="nil"/>
              <w:left w:val="nil"/>
              <w:bottom w:val="nil"/>
              <w:right w:val="nil"/>
            </w:tcBorders>
            <w:shd w:val="clear" w:color="auto" w:fill="auto"/>
            <w:noWrap/>
            <w:vAlign w:val="center"/>
            <w:hideMark/>
          </w:tcPr>
          <w:p w14:paraId="5AD6597E" w14:textId="77777777" w:rsidR="00875E29" w:rsidRDefault="00875E29">
            <w:pPr>
              <w:jc w:val="center"/>
              <w:rPr>
                <w:rFonts w:ascii="Calibri" w:eastAsia="Times New Roman" w:hAnsi="Calibri" w:cs="Times New Roman"/>
                <w:color w:val="000000"/>
              </w:rPr>
            </w:pPr>
            <w:r>
              <w:rPr>
                <w:rFonts w:ascii="Calibri" w:eastAsia="Times New Roman" w:hAnsi="Calibri" w:cs="Times New Roman"/>
                <w:color w:val="000000"/>
              </w:rPr>
              <w:t xml:space="preserve"> $20.31 </w:t>
            </w:r>
          </w:p>
        </w:tc>
        <w:tc>
          <w:tcPr>
            <w:tcW w:w="1660" w:type="dxa"/>
            <w:tcBorders>
              <w:top w:val="nil"/>
              <w:left w:val="nil"/>
              <w:bottom w:val="nil"/>
              <w:right w:val="nil"/>
            </w:tcBorders>
            <w:shd w:val="clear" w:color="auto" w:fill="auto"/>
            <w:noWrap/>
            <w:vAlign w:val="bottom"/>
            <w:hideMark/>
          </w:tcPr>
          <w:p w14:paraId="6C3420F2" w14:textId="6361B997" w:rsidR="00875E29" w:rsidRPr="00875E29" w:rsidRDefault="00875E29" w:rsidP="00875E29">
            <w:pPr>
              <w:jc w:val="center"/>
              <w:rPr>
                <w:rFonts w:ascii="Calibri" w:eastAsia="Times New Roman" w:hAnsi="Calibri" w:cs="Times New Roman"/>
                <w:b/>
                <w:color w:val="000000"/>
              </w:rPr>
            </w:pPr>
            <w:r w:rsidRPr="00875E29">
              <w:rPr>
                <w:rFonts w:ascii="Calibri" w:eastAsia="Times New Roman" w:hAnsi="Calibri" w:cs="Times New Roman"/>
                <w:b/>
                <w:color w:val="000000"/>
              </w:rPr>
              <w:t>$18.03</w:t>
            </w:r>
          </w:p>
        </w:tc>
      </w:tr>
      <w:tr w:rsidR="00875E29" w14:paraId="1875A86A" w14:textId="77777777" w:rsidTr="00875E29">
        <w:trPr>
          <w:trHeight w:val="300"/>
        </w:trPr>
        <w:tc>
          <w:tcPr>
            <w:tcW w:w="973" w:type="dxa"/>
            <w:tcBorders>
              <w:top w:val="nil"/>
              <w:left w:val="nil"/>
              <w:bottom w:val="single" w:sz="4" w:space="0" w:color="auto"/>
              <w:right w:val="nil"/>
            </w:tcBorders>
            <w:shd w:val="clear" w:color="auto" w:fill="auto"/>
            <w:noWrap/>
            <w:vAlign w:val="bottom"/>
            <w:hideMark/>
          </w:tcPr>
          <w:p w14:paraId="1912AD50" w14:textId="77777777" w:rsidR="00875E29" w:rsidRDefault="00875E29">
            <w:pPr>
              <w:jc w:val="right"/>
              <w:rPr>
                <w:rFonts w:ascii="Calibri" w:eastAsia="Times New Roman" w:hAnsi="Calibri" w:cs="Times New Roman"/>
                <w:color w:val="000000"/>
              </w:rPr>
            </w:pPr>
            <w:r>
              <w:rPr>
                <w:rFonts w:ascii="Calibri" w:eastAsia="Times New Roman" w:hAnsi="Calibri" w:cs="Times New Roman"/>
                <w:color w:val="000000"/>
              </w:rPr>
              <w:t>2017</w:t>
            </w:r>
          </w:p>
        </w:tc>
        <w:tc>
          <w:tcPr>
            <w:tcW w:w="1419" w:type="dxa"/>
            <w:tcBorders>
              <w:top w:val="nil"/>
              <w:left w:val="nil"/>
              <w:bottom w:val="single" w:sz="4" w:space="0" w:color="auto"/>
              <w:right w:val="nil"/>
            </w:tcBorders>
            <w:shd w:val="clear" w:color="auto" w:fill="auto"/>
            <w:noWrap/>
            <w:vAlign w:val="center"/>
            <w:hideMark/>
          </w:tcPr>
          <w:p w14:paraId="7C8F82DE" w14:textId="77777777" w:rsidR="00875E29" w:rsidRDefault="00875E29">
            <w:pPr>
              <w:jc w:val="center"/>
              <w:rPr>
                <w:rFonts w:ascii="Calibri" w:eastAsia="Times New Roman" w:hAnsi="Calibri" w:cs="Times New Roman"/>
                <w:color w:val="000000"/>
              </w:rPr>
            </w:pPr>
            <w:r>
              <w:rPr>
                <w:rFonts w:ascii="Calibri" w:eastAsia="Times New Roman" w:hAnsi="Calibri" w:cs="Times New Roman"/>
                <w:color w:val="000000"/>
              </w:rPr>
              <w:t xml:space="preserve"> $15.20 </w:t>
            </w:r>
          </w:p>
        </w:tc>
        <w:tc>
          <w:tcPr>
            <w:tcW w:w="1964" w:type="dxa"/>
            <w:tcBorders>
              <w:top w:val="nil"/>
              <w:left w:val="nil"/>
              <w:bottom w:val="single" w:sz="4" w:space="0" w:color="auto"/>
              <w:right w:val="nil"/>
            </w:tcBorders>
            <w:shd w:val="clear" w:color="auto" w:fill="auto"/>
            <w:noWrap/>
            <w:vAlign w:val="center"/>
            <w:hideMark/>
          </w:tcPr>
          <w:p w14:paraId="289C7051" w14:textId="77777777" w:rsidR="00875E29" w:rsidRDefault="00875E29">
            <w:pPr>
              <w:jc w:val="center"/>
              <w:rPr>
                <w:rFonts w:ascii="Calibri" w:eastAsia="Times New Roman" w:hAnsi="Calibri" w:cs="Times New Roman"/>
                <w:color w:val="000000"/>
              </w:rPr>
            </w:pPr>
            <w:r>
              <w:rPr>
                <w:rFonts w:ascii="Calibri" w:eastAsia="Times New Roman" w:hAnsi="Calibri" w:cs="Times New Roman"/>
                <w:color w:val="000000"/>
              </w:rPr>
              <w:t xml:space="preserve"> $17.34 </w:t>
            </w:r>
          </w:p>
        </w:tc>
        <w:tc>
          <w:tcPr>
            <w:tcW w:w="1964" w:type="dxa"/>
            <w:tcBorders>
              <w:top w:val="nil"/>
              <w:left w:val="nil"/>
              <w:bottom w:val="single" w:sz="4" w:space="0" w:color="auto"/>
              <w:right w:val="nil"/>
            </w:tcBorders>
            <w:shd w:val="clear" w:color="auto" w:fill="auto"/>
            <w:noWrap/>
            <w:vAlign w:val="center"/>
            <w:hideMark/>
          </w:tcPr>
          <w:p w14:paraId="148D9C09" w14:textId="77777777" w:rsidR="00875E29" w:rsidRDefault="00875E29">
            <w:pPr>
              <w:jc w:val="center"/>
              <w:rPr>
                <w:rFonts w:ascii="Calibri" w:eastAsia="Times New Roman" w:hAnsi="Calibri" w:cs="Times New Roman"/>
                <w:color w:val="000000"/>
              </w:rPr>
            </w:pPr>
            <w:r>
              <w:rPr>
                <w:rFonts w:ascii="Calibri" w:eastAsia="Times New Roman" w:hAnsi="Calibri" w:cs="Times New Roman"/>
                <w:color w:val="000000"/>
              </w:rPr>
              <w:t xml:space="preserve"> $19.57 </w:t>
            </w:r>
          </w:p>
        </w:tc>
        <w:tc>
          <w:tcPr>
            <w:tcW w:w="1660" w:type="dxa"/>
            <w:tcBorders>
              <w:top w:val="nil"/>
              <w:left w:val="nil"/>
              <w:bottom w:val="single" w:sz="4" w:space="0" w:color="auto"/>
              <w:right w:val="nil"/>
            </w:tcBorders>
            <w:shd w:val="clear" w:color="auto" w:fill="auto"/>
            <w:noWrap/>
            <w:vAlign w:val="bottom"/>
            <w:hideMark/>
          </w:tcPr>
          <w:p w14:paraId="17A7B91F" w14:textId="702B2930" w:rsidR="00875E29" w:rsidRPr="00875E29" w:rsidRDefault="00875E29" w:rsidP="00875E29">
            <w:pPr>
              <w:jc w:val="center"/>
              <w:rPr>
                <w:rFonts w:ascii="Calibri" w:eastAsia="Times New Roman" w:hAnsi="Calibri" w:cs="Times New Roman"/>
                <w:b/>
                <w:color w:val="000000"/>
              </w:rPr>
            </w:pPr>
            <w:r w:rsidRPr="00875E29">
              <w:rPr>
                <w:rFonts w:ascii="Calibri" w:eastAsia="Times New Roman" w:hAnsi="Calibri" w:cs="Times New Roman"/>
                <w:b/>
                <w:color w:val="000000"/>
              </w:rPr>
              <w:t>$17.37</w:t>
            </w:r>
          </w:p>
        </w:tc>
      </w:tr>
      <w:tr w:rsidR="00875E29" w14:paraId="7DCFF6E3" w14:textId="77777777" w:rsidTr="00875E29">
        <w:trPr>
          <w:trHeight w:val="300"/>
        </w:trPr>
        <w:tc>
          <w:tcPr>
            <w:tcW w:w="973" w:type="dxa"/>
            <w:tcBorders>
              <w:top w:val="nil"/>
              <w:left w:val="nil"/>
              <w:bottom w:val="nil"/>
              <w:right w:val="nil"/>
            </w:tcBorders>
            <w:shd w:val="clear" w:color="auto" w:fill="auto"/>
            <w:noWrap/>
            <w:vAlign w:val="bottom"/>
            <w:hideMark/>
          </w:tcPr>
          <w:p w14:paraId="74CAAF4A" w14:textId="77777777" w:rsidR="00875E29" w:rsidRDefault="00875E29">
            <w:pPr>
              <w:rPr>
                <w:rFonts w:ascii="Calibri" w:eastAsia="Times New Roman" w:hAnsi="Calibri" w:cs="Times New Roman"/>
                <w:color w:val="000000"/>
              </w:rPr>
            </w:pPr>
          </w:p>
        </w:tc>
        <w:tc>
          <w:tcPr>
            <w:tcW w:w="1419" w:type="dxa"/>
            <w:tcBorders>
              <w:top w:val="nil"/>
              <w:left w:val="nil"/>
              <w:bottom w:val="nil"/>
              <w:right w:val="nil"/>
            </w:tcBorders>
            <w:shd w:val="clear" w:color="auto" w:fill="auto"/>
            <w:noWrap/>
            <w:vAlign w:val="center"/>
            <w:hideMark/>
          </w:tcPr>
          <w:p w14:paraId="1EB3A059" w14:textId="77777777" w:rsidR="00875E29" w:rsidRDefault="00875E29">
            <w:pPr>
              <w:jc w:val="center"/>
              <w:rPr>
                <w:rFonts w:ascii="Calibri" w:eastAsia="Times New Roman" w:hAnsi="Calibri" w:cs="Times New Roman"/>
                <w:color w:val="000000"/>
              </w:rPr>
            </w:pPr>
          </w:p>
        </w:tc>
        <w:tc>
          <w:tcPr>
            <w:tcW w:w="1964" w:type="dxa"/>
            <w:tcBorders>
              <w:top w:val="nil"/>
              <w:left w:val="nil"/>
              <w:bottom w:val="nil"/>
              <w:right w:val="nil"/>
            </w:tcBorders>
            <w:shd w:val="clear" w:color="auto" w:fill="auto"/>
            <w:noWrap/>
            <w:vAlign w:val="center"/>
            <w:hideMark/>
          </w:tcPr>
          <w:p w14:paraId="6C1B308D" w14:textId="77777777" w:rsidR="00875E29" w:rsidRDefault="00875E29">
            <w:pPr>
              <w:jc w:val="center"/>
              <w:rPr>
                <w:rFonts w:ascii="Calibri" w:eastAsia="Times New Roman" w:hAnsi="Calibri" w:cs="Times New Roman"/>
                <w:color w:val="000000"/>
              </w:rPr>
            </w:pPr>
          </w:p>
        </w:tc>
        <w:tc>
          <w:tcPr>
            <w:tcW w:w="1964" w:type="dxa"/>
            <w:tcBorders>
              <w:top w:val="nil"/>
              <w:left w:val="nil"/>
              <w:bottom w:val="nil"/>
              <w:right w:val="nil"/>
            </w:tcBorders>
            <w:shd w:val="clear" w:color="auto" w:fill="auto"/>
            <w:noWrap/>
            <w:vAlign w:val="center"/>
            <w:hideMark/>
          </w:tcPr>
          <w:p w14:paraId="6A22703B" w14:textId="77777777" w:rsidR="00875E29" w:rsidRDefault="00875E29">
            <w:pPr>
              <w:jc w:val="center"/>
              <w:rPr>
                <w:rFonts w:ascii="Calibri" w:eastAsia="Times New Roman" w:hAnsi="Calibri" w:cs="Times New Roman"/>
                <w:b/>
                <w:bCs/>
                <w:color w:val="000000"/>
              </w:rPr>
            </w:pPr>
            <w:r>
              <w:rPr>
                <w:rFonts w:ascii="Calibri" w:eastAsia="Times New Roman" w:hAnsi="Calibri" w:cs="Times New Roman"/>
                <w:b/>
                <w:bCs/>
                <w:color w:val="000000"/>
              </w:rPr>
              <w:t>Mean</w:t>
            </w:r>
          </w:p>
        </w:tc>
        <w:tc>
          <w:tcPr>
            <w:tcW w:w="1660" w:type="dxa"/>
            <w:tcBorders>
              <w:top w:val="nil"/>
              <w:left w:val="nil"/>
              <w:bottom w:val="nil"/>
              <w:right w:val="nil"/>
            </w:tcBorders>
            <w:shd w:val="clear" w:color="auto" w:fill="auto"/>
            <w:noWrap/>
            <w:vAlign w:val="bottom"/>
            <w:hideMark/>
          </w:tcPr>
          <w:p w14:paraId="46386D90" w14:textId="726E76D9" w:rsidR="00875E29" w:rsidRPr="00875E29" w:rsidRDefault="00875E29" w:rsidP="00875E29">
            <w:pPr>
              <w:jc w:val="center"/>
              <w:rPr>
                <w:rFonts w:ascii="Calibri" w:eastAsia="Times New Roman" w:hAnsi="Calibri" w:cs="Times New Roman"/>
                <w:b/>
                <w:bCs/>
                <w:color w:val="000000"/>
              </w:rPr>
            </w:pPr>
            <w:r w:rsidRPr="00875E29">
              <w:rPr>
                <w:rFonts w:ascii="Calibri" w:eastAsia="Times New Roman" w:hAnsi="Calibri" w:cs="Times New Roman"/>
                <w:b/>
                <w:bCs/>
                <w:color w:val="000000"/>
              </w:rPr>
              <w:t>$17.70</w:t>
            </w:r>
          </w:p>
        </w:tc>
      </w:tr>
    </w:tbl>
    <w:p w14:paraId="4703B461" w14:textId="6ABA8896" w:rsidR="00181694" w:rsidRDefault="00AD272D" w:rsidP="007168B7">
      <w:pPr>
        <w:jc w:val="both"/>
        <w:rPr>
          <w:rFonts w:ascii="Calibri" w:hAnsi="Calibri"/>
        </w:rPr>
      </w:pPr>
      <w:r>
        <w:rPr>
          <w:rFonts w:ascii="Calibri" w:hAnsi="Calibri"/>
        </w:rPr>
        <w:t>W</w:t>
      </w:r>
      <w:r w:rsidR="004076EF" w:rsidRPr="00181694">
        <w:rPr>
          <w:rFonts w:ascii="Calibri" w:hAnsi="Calibri"/>
        </w:rPr>
        <w:t xml:space="preserve">e </w:t>
      </w:r>
      <w:r>
        <w:rPr>
          <w:rFonts w:ascii="Calibri" w:hAnsi="Calibri"/>
        </w:rPr>
        <w:t xml:space="preserve">also </w:t>
      </w:r>
      <w:r w:rsidR="004076EF" w:rsidRPr="00181694">
        <w:rPr>
          <w:rFonts w:ascii="Calibri" w:hAnsi="Calibri"/>
        </w:rPr>
        <w:t>consulted Care.com, a</w:t>
      </w:r>
      <w:r w:rsidR="00181694" w:rsidRPr="00181694">
        <w:rPr>
          <w:rFonts w:ascii="Calibri" w:hAnsi="Calibri"/>
        </w:rPr>
        <w:t>n</w:t>
      </w:r>
      <w:r w:rsidR="004076EF" w:rsidRPr="00181694">
        <w:rPr>
          <w:rFonts w:ascii="Calibri" w:hAnsi="Calibri"/>
        </w:rPr>
        <w:t xml:space="preserve"> </w:t>
      </w:r>
      <w:r w:rsidR="00181694" w:rsidRPr="00181694">
        <w:rPr>
          <w:rFonts w:ascii="Calibri" w:hAnsi="Calibri"/>
        </w:rPr>
        <w:t>inter</w:t>
      </w:r>
      <w:r w:rsidR="004076EF" w:rsidRPr="00181694">
        <w:rPr>
          <w:rFonts w:ascii="Calibri" w:hAnsi="Calibri"/>
        </w:rPr>
        <w:t xml:space="preserve">national web-based service that matches care providers with families seeking care. </w:t>
      </w:r>
      <w:r w:rsidR="00181694" w:rsidRPr="00181694">
        <w:rPr>
          <w:rFonts w:ascii="Calibri" w:hAnsi="Calibri"/>
        </w:rPr>
        <w:t>Care.com has a membership of over 14 million and provides suggested hourly rates for babysitters by postal code</w:t>
      </w:r>
      <w:r w:rsidR="00D6655D">
        <w:rPr>
          <w:rFonts w:ascii="Calibri" w:hAnsi="Calibri"/>
        </w:rPr>
        <w:t xml:space="preserve"> varying by the number of children</w:t>
      </w:r>
      <w:r w:rsidR="00181694" w:rsidRPr="00181694">
        <w:rPr>
          <w:rFonts w:ascii="Calibri" w:hAnsi="Calibri"/>
        </w:rPr>
        <w:t xml:space="preserve">. </w:t>
      </w:r>
      <w:r w:rsidR="00875E29">
        <w:rPr>
          <w:rFonts w:ascii="Calibri" w:hAnsi="Calibri"/>
        </w:rPr>
        <w:t>According to their 2016 membership survey, the average hourly</w:t>
      </w:r>
      <w:r w:rsidR="00BD1835">
        <w:rPr>
          <w:rFonts w:ascii="Calibri" w:hAnsi="Calibri"/>
        </w:rPr>
        <w:t xml:space="preserve"> child care</w:t>
      </w:r>
      <w:r w:rsidR="00875E29">
        <w:rPr>
          <w:rFonts w:ascii="Calibri" w:hAnsi="Calibri"/>
        </w:rPr>
        <w:t xml:space="preserve"> rate is $13.97</w:t>
      </w:r>
      <w:r w:rsidR="00BD1835">
        <w:rPr>
          <w:rFonts w:ascii="Calibri" w:hAnsi="Calibri"/>
        </w:rPr>
        <w:t>, though the number of children was not specified in their survey results</w:t>
      </w:r>
      <w:r w:rsidR="00875E29">
        <w:rPr>
          <w:rFonts w:ascii="Calibri" w:hAnsi="Calibri"/>
        </w:rPr>
        <w:t>.</w:t>
      </w:r>
    </w:p>
    <w:p w14:paraId="6A139C9E" w14:textId="77777777" w:rsidR="00181694" w:rsidRPr="006349B1" w:rsidRDefault="00181694" w:rsidP="007168B7">
      <w:pPr>
        <w:jc w:val="both"/>
        <w:rPr>
          <w:rFonts w:ascii="Calibri" w:eastAsia="Times New Roman" w:hAnsi="Calibri" w:cs="Times New Roman"/>
          <w:sz w:val="12"/>
          <w:szCs w:val="12"/>
        </w:rPr>
      </w:pPr>
    </w:p>
    <w:p w14:paraId="1106B700" w14:textId="52507F2F" w:rsidR="00D6655D" w:rsidRPr="006349B1" w:rsidRDefault="00181694" w:rsidP="005F26F9">
      <w:pPr>
        <w:spacing w:after="120"/>
        <w:jc w:val="both"/>
        <w:rPr>
          <w:rFonts w:ascii="Calibri" w:eastAsia="Times New Roman" w:hAnsi="Calibri" w:cs="Times New Roman"/>
          <w:sz w:val="12"/>
          <w:szCs w:val="12"/>
        </w:rPr>
      </w:pPr>
      <w:r>
        <w:rPr>
          <w:rFonts w:ascii="Calibri" w:eastAsia="Times New Roman" w:hAnsi="Calibri" w:cs="Times New Roman"/>
        </w:rPr>
        <w:t>Given the range of figures provided by the available data sources, we propose using a conservative estim</w:t>
      </w:r>
      <w:r w:rsidR="00DB04A9">
        <w:rPr>
          <w:rFonts w:ascii="Calibri" w:eastAsia="Times New Roman" w:hAnsi="Calibri" w:cs="Times New Roman"/>
        </w:rPr>
        <w:t>ate of $16.25</w:t>
      </w:r>
      <w:r>
        <w:rPr>
          <w:rFonts w:ascii="Calibri" w:eastAsia="Times New Roman" w:hAnsi="Calibri" w:cs="Times New Roman"/>
        </w:rPr>
        <w:t xml:space="preserve"> per hour for childcare</w:t>
      </w:r>
      <w:r w:rsidR="00D6655D">
        <w:rPr>
          <w:rFonts w:ascii="Calibri" w:eastAsia="Times New Roman" w:hAnsi="Calibri" w:cs="Times New Roman"/>
        </w:rPr>
        <w:t xml:space="preserve">, to </w:t>
      </w:r>
      <w:r w:rsidR="00AD272D">
        <w:rPr>
          <w:rFonts w:ascii="Calibri" w:eastAsia="Times New Roman" w:hAnsi="Calibri" w:cs="Times New Roman"/>
        </w:rPr>
        <w:t>e</w:t>
      </w:r>
      <w:r w:rsidR="00D6655D">
        <w:rPr>
          <w:rFonts w:ascii="Calibri" w:eastAsia="Times New Roman" w:hAnsi="Calibri" w:cs="Times New Roman"/>
        </w:rPr>
        <w:t>nsure the cost of childcare for low-income families of varying family c</w:t>
      </w:r>
      <w:r w:rsidR="009D4CA7">
        <w:rPr>
          <w:rFonts w:ascii="Calibri" w:eastAsia="Times New Roman" w:hAnsi="Calibri" w:cs="Times New Roman"/>
        </w:rPr>
        <w:t>ircumstances will not prohibit</w:t>
      </w:r>
      <w:r w:rsidR="00D6655D">
        <w:rPr>
          <w:rFonts w:ascii="Calibri" w:eastAsia="Times New Roman" w:hAnsi="Calibri" w:cs="Times New Roman"/>
        </w:rPr>
        <w:t xml:space="preserve"> parents from participating</w:t>
      </w:r>
      <w:r>
        <w:rPr>
          <w:rFonts w:ascii="Calibri" w:eastAsia="Times New Roman" w:hAnsi="Calibri" w:cs="Times New Roman"/>
        </w:rPr>
        <w:t>.</w:t>
      </w:r>
    </w:p>
    <w:p w14:paraId="4C7BA441" w14:textId="752C043D" w:rsidR="007168B7" w:rsidRPr="006349B1" w:rsidRDefault="00DB04A9" w:rsidP="005F26F9">
      <w:pPr>
        <w:spacing w:after="120"/>
        <w:jc w:val="both"/>
        <w:rPr>
          <w:rFonts w:ascii="Calibri" w:eastAsia="Times New Roman" w:hAnsi="Calibri" w:cs="Times New Roman"/>
          <w:sz w:val="12"/>
          <w:szCs w:val="12"/>
        </w:rPr>
      </w:pPr>
      <w:r>
        <w:rPr>
          <w:rFonts w:ascii="Calibri" w:eastAsia="Times New Roman" w:hAnsi="Calibri" w:cs="Times New Roman"/>
          <w:color w:val="222222"/>
          <w:shd w:val="clear" w:color="auto" w:fill="FFFFFF"/>
        </w:rPr>
        <w:t xml:space="preserve">To provide parents with a fair reimbursement for potential travel costs, we used the accepted GSA </w:t>
      </w:r>
      <w:r w:rsidRPr="00DB04A9">
        <w:rPr>
          <w:rFonts w:ascii="Calibri" w:eastAsia="Times New Roman" w:hAnsi="Calibri" w:cs="Times New Roman"/>
          <w:i/>
          <w:color w:val="222222"/>
          <w:shd w:val="clear" w:color="auto" w:fill="FFFFFF"/>
        </w:rPr>
        <w:t>Privately Owned Vehicle (POV) Mileage Reimbursement Rate</w:t>
      </w:r>
      <w:r>
        <w:rPr>
          <w:rFonts w:ascii="Calibri" w:eastAsia="Times New Roman" w:hAnsi="Calibri" w:cs="Times New Roman"/>
          <w:color w:val="222222"/>
          <w:shd w:val="clear" w:color="auto" w:fill="FFFFFF"/>
        </w:rPr>
        <w:t xml:space="preserve"> of $0.535 per mile to estimate an approximate cost as well as an approximation of travel distance. The </w:t>
      </w:r>
      <w:r w:rsidR="007168B7">
        <w:rPr>
          <w:rFonts w:ascii="Calibri" w:eastAsia="Times New Roman" w:hAnsi="Calibri" w:cs="Times New Roman"/>
          <w:color w:val="222222"/>
          <w:shd w:val="clear" w:color="auto" w:fill="FFFFFF"/>
        </w:rPr>
        <w:t>national average for distance between a child’s home and childcare arrangement is 4.6 miles for children under 3 years of age, according to the National Survey of Early Care and Education</w:t>
      </w:r>
      <w:r w:rsidR="007168B7">
        <w:rPr>
          <w:rStyle w:val="FootnoteReference"/>
          <w:rFonts w:ascii="Calibri" w:eastAsia="Times New Roman" w:hAnsi="Calibri" w:cs="Times New Roman"/>
          <w:color w:val="222222"/>
          <w:shd w:val="clear" w:color="auto" w:fill="FFFFFF"/>
        </w:rPr>
        <w:footnoteReference w:id="1"/>
      </w:r>
      <w:r w:rsidR="007168B7">
        <w:rPr>
          <w:rFonts w:ascii="Calibri" w:eastAsia="Times New Roman" w:hAnsi="Calibri" w:cs="Times New Roman"/>
          <w:color w:val="222222"/>
          <w:shd w:val="clear" w:color="auto" w:fill="FFFFFF"/>
        </w:rPr>
        <w:t xml:space="preserve">. </w:t>
      </w:r>
      <w:r>
        <w:rPr>
          <w:rFonts w:ascii="Calibri" w:eastAsia="Times New Roman" w:hAnsi="Calibri" w:cs="Times New Roman"/>
          <w:color w:val="222222"/>
          <w:shd w:val="clear" w:color="auto" w:fill="FFFFFF"/>
        </w:rPr>
        <w:t>The resulting travel cost is $4.92 for a round trip.</w:t>
      </w:r>
    </w:p>
    <w:p w14:paraId="140736AF" w14:textId="61A6AD3A" w:rsidR="00322266" w:rsidRDefault="00D6655D" w:rsidP="005F26F9">
      <w:pPr>
        <w:spacing w:after="120"/>
        <w:jc w:val="both"/>
        <w:rPr>
          <w:rFonts w:ascii="Calibri" w:eastAsia="Times New Roman" w:hAnsi="Calibri" w:cs="Times New Roman"/>
          <w:color w:val="222222"/>
          <w:shd w:val="clear" w:color="auto" w:fill="FFFFFF"/>
        </w:rPr>
      </w:pPr>
      <w:r w:rsidRPr="00875E29">
        <w:rPr>
          <w:rFonts w:ascii="Calibri" w:eastAsia="Times New Roman" w:hAnsi="Calibri" w:cs="Times New Roman"/>
          <w:color w:val="222222"/>
          <w:shd w:val="clear" w:color="auto" w:fill="FFFFFF"/>
        </w:rPr>
        <w:t>The total amount of time parents may req</w:t>
      </w:r>
      <w:r w:rsidR="00DB04A9">
        <w:rPr>
          <w:rFonts w:ascii="Calibri" w:eastAsia="Times New Roman" w:hAnsi="Calibri" w:cs="Times New Roman"/>
          <w:color w:val="222222"/>
          <w:shd w:val="clear" w:color="auto" w:fill="FFFFFF"/>
        </w:rPr>
        <w:t>uire childcare is estimated at 2 hours</w:t>
      </w:r>
      <w:r w:rsidRPr="00875E29">
        <w:rPr>
          <w:rFonts w:ascii="Calibri" w:eastAsia="Times New Roman" w:hAnsi="Calibri" w:cs="Times New Roman"/>
          <w:color w:val="222222"/>
          <w:shd w:val="clear" w:color="auto" w:fill="FFFFFF"/>
        </w:rPr>
        <w:t>, including travel to and from the f</w:t>
      </w:r>
      <w:r w:rsidR="00E94AF5">
        <w:rPr>
          <w:rFonts w:ascii="Calibri" w:eastAsia="Times New Roman" w:hAnsi="Calibri" w:cs="Times New Roman"/>
          <w:color w:val="222222"/>
          <w:shd w:val="clear" w:color="auto" w:fill="FFFFFF"/>
        </w:rPr>
        <w:t>acility, participation in the 60</w:t>
      </w:r>
      <w:r w:rsidRPr="00875E29">
        <w:rPr>
          <w:rFonts w:ascii="Calibri" w:eastAsia="Times New Roman" w:hAnsi="Calibri" w:cs="Times New Roman"/>
          <w:color w:val="222222"/>
          <w:shd w:val="clear" w:color="auto" w:fill="FFFFFF"/>
        </w:rPr>
        <w:t xml:space="preserve">-minute focus group, and an early arrival time. </w:t>
      </w:r>
    </w:p>
    <w:p w14:paraId="179D2FBD" w14:textId="670691BC" w:rsidR="00322266" w:rsidRDefault="00322266" w:rsidP="005F26F9">
      <w:pPr>
        <w:spacing w:after="120"/>
        <w:jc w:val="both"/>
        <w:rPr>
          <w:rFonts w:ascii="Calibri" w:eastAsia="Times New Roman" w:hAnsi="Calibri" w:cs="Times New Roman"/>
          <w:color w:val="222222"/>
          <w:shd w:val="clear" w:color="auto" w:fill="FFFFFF"/>
        </w:rPr>
      </w:pPr>
      <w:r>
        <w:rPr>
          <w:rFonts w:ascii="Calibri" w:eastAsia="Times New Roman" w:hAnsi="Calibri" w:cs="Times New Roman"/>
          <w:color w:val="222222"/>
          <w:shd w:val="clear" w:color="auto" w:fill="FFFFFF"/>
        </w:rPr>
        <w:t xml:space="preserve">Based on previous research projects conducting focus groups with parents, parents are most often available during child care drop off (7-9 am) or pick up time (4-6 pm). As these times </w:t>
      </w:r>
      <w:r>
        <w:rPr>
          <w:rFonts w:ascii="Calibri" w:eastAsia="Times New Roman" w:hAnsi="Calibri" w:cs="Times New Roman"/>
          <w:color w:val="222222"/>
          <w:shd w:val="clear" w:color="auto" w:fill="FFFFFF"/>
        </w:rPr>
        <w:lastRenderedPageBreak/>
        <w:t xml:space="preserve">overlap with participant meal times, participants will likely have to purchase food to bring to the focus group. We are estimating that the average cost of a meal is $10 per person. </w:t>
      </w:r>
    </w:p>
    <w:p w14:paraId="4CCB986F" w14:textId="71E10C6D" w:rsidR="00E94AF5" w:rsidRDefault="00DB04A9" w:rsidP="005F26F9">
      <w:pPr>
        <w:spacing w:after="120"/>
        <w:jc w:val="both"/>
        <w:rPr>
          <w:rFonts w:ascii="Calibri" w:eastAsia="Times New Roman" w:hAnsi="Calibri" w:cs="Times New Roman"/>
          <w:color w:val="222222"/>
          <w:shd w:val="clear" w:color="auto" w:fill="FFFFFF"/>
        </w:rPr>
      </w:pPr>
      <w:r>
        <w:rPr>
          <w:rFonts w:ascii="Calibri" w:eastAsia="Times New Roman" w:hAnsi="Calibri" w:cs="Times New Roman"/>
          <w:color w:val="222222"/>
          <w:shd w:val="clear" w:color="auto" w:fill="FFFFFF"/>
        </w:rPr>
        <w:t xml:space="preserve">The total resulting financial burden is therefore slightly </w:t>
      </w:r>
      <w:r w:rsidR="00AD272D">
        <w:rPr>
          <w:rFonts w:ascii="Calibri" w:eastAsia="Times New Roman" w:hAnsi="Calibri" w:cs="Times New Roman"/>
          <w:color w:val="222222"/>
          <w:shd w:val="clear" w:color="auto" w:fill="FFFFFF"/>
        </w:rPr>
        <w:t xml:space="preserve">less </w:t>
      </w:r>
      <w:r w:rsidR="007E49DA">
        <w:rPr>
          <w:rFonts w:ascii="Calibri" w:eastAsia="Times New Roman" w:hAnsi="Calibri" w:cs="Times New Roman"/>
          <w:color w:val="222222"/>
          <w:shd w:val="clear" w:color="auto" w:fill="FFFFFF"/>
        </w:rPr>
        <w:t>tha</w:t>
      </w:r>
      <w:r w:rsidR="00322266">
        <w:rPr>
          <w:rFonts w:ascii="Calibri" w:eastAsia="Times New Roman" w:hAnsi="Calibri" w:cs="Times New Roman"/>
          <w:color w:val="222222"/>
          <w:shd w:val="clear" w:color="auto" w:fill="FFFFFF"/>
        </w:rPr>
        <w:t>n</w:t>
      </w:r>
      <w:r w:rsidR="007E49DA">
        <w:rPr>
          <w:rFonts w:ascii="Calibri" w:eastAsia="Times New Roman" w:hAnsi="Calibri" w:cs="Times New Roman"/>
          <w:color w:val="222222"/>
          <w:shd w:val="clear" w:color="auto" w:fill="FFFFFF"/>
        </w:rPr>
        <w:t xml:space="preserve"> $</w:t>
      </w:r>
      <w:r w:rsidR="00322266">
        <w:rPr>
          <w:rFonts w:ascii="Calibri" w:eastAsia="Times New Roman" w:hAnsi="Calibri" w:cs="Times New Roman"/>
          <w:color w:val="222222"/>
          <w:shd w:val="clear" w:color="auto" w:fill="FFFFFF"/>
        </w:rPr>
        <w:t>5</w:t>
      </w:r>
      <w:r w:rsidR="00AD272D">
        <w:rPr>
          <w:rFonts w:ascii="Calibri" w:eastAsia="Times New Roman" w:hAnsi="Calibri" w:cs="Times New Roman"/>
          <w:color w:val="222222"/>
          <w:shd w:val="clear" w:color="auto" w:fill="FFFFFF"/>
        </w:rPr>
        <w:t>0</w:t>
      </w:r>
      <w:r>
        <w:rPr>
          <w:rFonts w:ascii="Calibri" w:eastAsia="Times New Roman" w:hAnsi="Calibri" w:cs="Times New Roman"/>
          <w:color w:val="222222"/>
          <w:shd w:val="clear" w:color="auto" w:fill="FFFFFF"/>
        </w:rPr>
        <w:t xml:space="preserve"> per parent</w:t>
      </w:r>
      <w:r w:rsidR="00AD272D">
        <w:rPr>
          <w:rFonts w:ascii="Calibri" w:eastAsia="Times New Roman" w:hAnsi="Calibri" w:cs="Times New Roman"/>
          <w:color w:val="222222"/>
          <w:shd w:val="clear" w:color="auto" w:fill="FFFFFF"/>
        </w:rPr>
        <w:t xml:space="preserve"> ($16.25 x 2, plus $4.92</w:t>
      </w:r>
      <w:r w:rsidR="00322266">
        <w:rPr>
          <w:rFonts w:ascii="Calibri" w:eastAsia="Times New Roman" w:hAnsi="Calibri" w:cs="Times New Roman"/>
          <w:color w:val="222222"/>
          <w:shd w:val="clear" w:color="auto" w:fill="FFFFFF"/>
        </w:rPr>
        <w:t>, plus $10</w:t>
      </w:r>
      <w:r w:rsidR="00AD272D">
        <w:rPr>
          <w:rFonts w:ascii="Calibri" w:eastAsia="Times New Roman" w:hAnsi="Calibri" w:cs="Times New Roman"/>
          <w:color w:val="222222"/>
          <w:shd w:val="clear" w:color="auto" w:fill="FFFFFF"/>
        </w:rPr>
        <w:t>)</w:t>
      </w:r>
      <w:r>
        <w:rPr>
          <w:rFonts w:ascii="Calibri" w:eastAsia="Times New Roman" w:hAnsi="Calibri" w:cs="Times New Roman"/>
          <w:color w:val="222222"/>
          <w:shd w:val="clear" w:color="auto" w:fill="FFFFFF"/>
        </w:rPr>
        <w:t xml:space="preserve">. </w:t>
      </w:r>
      <w:r w:rsidR="00D6655D" w:rsidRPr="00875E29">
        <w:rPr>
          <w:rFonts w:ascii="Calibri" w:eastAsia="Times New Roman" w:hAnsi="Calibri" w:cs="Times New Roman"/>
          <w:color w:val="222222"/>
          <w:shd w:val="clear" w:color="auto" w:fill="FFFFFF"/>
        </w:rPr>
        <w:t>W</w:t>
      </w:r>
      <w:r w:rsidR="00C55A68" w:rsidRPr="00875E29">
        <w:rPr>
          <w:rFonts w:ascii="Calibri" w:eastAsia="Times New Roman" w:hAnsi="Calibri" w:cs="Times New Roman"/>
          <w:color w:val="222222"/>
          <w:shd w:val="clear" w:color="auto" w:fill="FFFFFF"/>
        </w:rPr>
        <w:t>e therefore strongly advise a $</w:t>
      </w:r>
      <w:r w:rsidR="00322266">
        <w:rPr>
          <w:rFonts w:ascii="Calibri" w:eastAsia="Times New Roman" w:hAnsi="Calibri" w:cs="Times New Roman"/>
          <w:color w:val="222222"/>
          <w:shd w:val="clear" w:color="auto" w:fill="FFFFFF"/>
        </w:rPr>
        <w:t>5</w:t>
      </w:r>
      <w:r w:rsidR="00322266" w:rsidRPr="00875E29">
        <w:rPr>
          <w:rFonts w:ascii="Calibri" w:eastAsia="Times New Roman" w:hAnsi="Calibri" w:cs="Times New Roman"/>
          <w:color w:val="222222"/>
          <w:shd w:val="clear" w:color="auto" w:fill="FFFFFF"/>
        </w:rPr>
        <w:t xml:space="preserve">0 </w:t>
      </w:r>
      <w:r w:rsidR="005869C9" w:rsidRPr="00875E29">
        <w:rPr>
          <w:rFonts w:ascii="Calibri" w:eastAsia="Times New Roman" w:hAnsi="Calibri" w:cs="Times New Roman"/>
          <w:color w:val="222222"/>
          <w:shd w:val="clear" w:color="auto" w:fill="FFFFFF"/>
        </w:rPr>
        <w:t>incentive</w:t>
      </w:r>
      <w:r w:rsidR="00D6655D" w:rsidRPr="00875E29">
        <w:rPr>
          <w:rFonts w:ascii="Calibri" w:eastAsia="Times New Roman" w:hAnsi="Calibri" w:cs="Times New Roman"/>
          <w:color w:val="222222"/>
          <w:shd w:val="clear" w:color="auto" w:fill="FFFFFF"/>
        </w:rPr>
        <w:t xml:space="preserve"> to cover the cost of childcare</w:t>
      </w:r>
      <w:r w:rsidR="00322266">
        <w:rPr>
          <w:rFonts w:ascii="Calibri" w:eastAsia="Times New Roman" w:hAnsi="Calibri" w:cs="Times New Roman"/>
          <w:color w:val="222222"/>
          <w:shd w:val="clear" w:color="auto" w:fill="FFFFFF"/>
        </w:rPr>
        <w:t xml:space="preserve">, </w:t>
      </w:r>
      <w:r w:rsidR="00C55A68" w:rsidRPr="00875E29">
        <w:rPr>
          <w:rFonts w:ascii="Calibri" w:eastAsia="Times New Roman" w:hAnsi="Calibri" w:cs="Times New Roman"/>
          <w:color w:val="222222"/>
          <w:shd w:val="clear" w:color="auto" w:fill="FFFFFF"/>
        </w:rPr>
        <w:t>travel necessary to participate in the focus group</w:t>
      </w:r>
      <w:r w:rsidR="00322266">
        <w:rPr>
          <w:rFonts w:ascii="Calibri" w:eastAsia="Times New Roman" w:hAnsi="Calibri" w:cs="Times New Roman"/>
          <w:color w:val="222222"/>
          <w:shd w:val="clear" w:color="auto" w:fill="FFFFFF"/>
        </w:rPr>
        <w:t>, and a meal</w:t>
      </w:r>
      <w:r w:rsidR="00C55A68" w:rsidRPr="00875E29">
        <w:rPr>
          <w:rFonts w:ascii="Calibri" w:eastAsia="Times New Roman" w:hAnsi="Calibri" w:cs="Times New Roman"/>
          <w:color w:val="222222"/>
          <w:shd w:val="clear" w:color="auto" w:fill="FFFFFF"/>
        </w:rPr>
        <w:t>.</w:t>
      </w:r>
    </w:p>
    <w:p w14:paraId="6E71E87B" w14:textId="4042F1C8" w:rsidR="008C3C29" w:rsidRDefault="008C3C29" w:rsidP="007601E0">
      <w:pPr>
        <w:rPr>
          <w:rFonts w:ascii="Calibri" w:eastAsia="Calibri" w:hAnsi="Calibri" w:cs="Calibri"/>
        </w:rPr>
      </w:pPr>
      <w:r w:rsidRPr="007601E0">
        <w:rPr>
          <w:rFonts w:ascii="Calibri" w:eastAsia="Times New Roman" w:hAnsi="Calibri" w:cstheme="majorHAnsi"/>
          <w:color w:val="222222"/>
          <w:shd w:val="clear" w:color="auto" w:fill="FFFFFF"/>
        </w:rPr>
        <w:t xml:space="preserve">To further illustrate the importance of using $50, we compare two of our recent research projects conducted with similar audiences. The first project for CDC </w:t>
      </w:r>
      <w:r w:rsidRPr="007601E0">
        <w:rPr>
          <w:rFonts w:ascii="Calibri" w:hAnsi="Calibri" w:cstheme="majorHAnsi"/>
        </w:rPr>
        <w:t>(</w:t>
      </w:r>
      <w:r w:rsidRPr="007601E0">
        <w:rPr>
          <w:rFonts w:ascii="Calibri" w:eastAsia="Calibri" w:hAnsi="Calibri" w:cstheme="majorHAnsi"/>
          <w:color w:val="151B26"/>
        </w:rPr>
        <w:t>CDC Department of Violence Prevention:</w:t>
      </w:r>
      <w:r w:rsidRPr="007601E0">
        <w:rPr>
          <w:rFonts w:ascii="Calibri" w:eastAsia="Calibri" w:hAnsi="Calibri" w:cstheme="majorHAnsi"/>
          <w:b/>
          <w:color w:val="151B26"/>
        </w:rPr>
        <w:t xml:space="preserve"> </w:t>
      </w:r>
      <w:r w:rsidR="007601E0" w:rsidRPr="007601E0">
        <w:rPr>
          <w:rFonts w:ascii="Calibri" w:hAnsi="Calibri"/>
        </w:rPr>
        <w:t>Focus group research to inform the adaptation of messages to change social norms around corporal punishment</w:t>
      </w:r>
      <w:r w:rsidR="007601E0">
        <w:rPr>
          <w:rFonts w:ascii="Calibri" w:hAnsi="Calibri"/>
        </w:rPr>
        <w:t xml:space="preserve">, </w:t>
      </w:r>
      <w:r w:rsidR="007601E0" w:rsidRPr="009524ED">
        <w:rPr>
          <w:rFonts w:ascii="Calibri" w:eastAsia="Calibri" w:hAnsi="Calibri" w:cstheme="majorHAnsi"/>
          <w:color w:val="151B26"/>
        </w:rPr>
        <w:t>OMB# 0920-0572</w:t>
      </w:r>
      <w:r w:rsidR="0057109E">
        <w:rPr>
          <w:rFonts w:ascii="Calibri" w:eastAsia="Calibri" w:hAnsi="Calibri" w:cstheme="majorHAnsi"/>
          <w:color w:val="151B26"/>
        </w:rPr>
        <w:t xml:space="preserve"> CDC and ATSDR Health Message Testing System</w:t>
      </w:r>
      <w:r w:rsidR="009524ED">
        <w:rPr>
          <w:rFonts w:ascii="Calibri" w:eastAsia="Calibri" w:hAnsi="Calibri" w:cstheme="majorHAnsi"/>
          <w:i/>
          <w:color w:val="151B26"/>
        </w:rPr>
        <w:t xml:space="preserve">, </w:t>
      </w:r>
      <w:r w:rsidR="009524ED">
        <w:rPr>
          <w:rFonts w:ascii="Calibri" w:eastAsia="Calibri" w:hAnsi="Calibri" w:cstheme="majorHAnsi"/>
          <w:color w:val="151B26"/>
        </w:rPr>
        <w:t xml:space="preserve">Expired </w:t>
      </w:r>
      <w:r w:rsidR="009524ED" w:rsidRPr="009524ED">
        <w:rPr>
          <w:rFonts w:ascii="Calibri" w:eastAsia="Calibri" w:hAnsi="Calibri" w:cstheme="majorHAnsi"/>
          <w:color w:val="151B26"/>
        </w:rPr>
        <w:t>03/31/2018</w:t>
      </w:r>
      <w:r w:rsidR="007601E0" w:rsidRPr="007601E0">
        <w:rPr>
          <w:rFonts w:ascii="Calibri" w:eastAsia="Calibri" w:hAnsi="Calibri" w:cstheme="majorHAnsi"/>
          <w:i/>
          <w:color w:val="151B26"/>
        </w:rPr>
        <w:t>.</w:t>
      </w:r>
      <w:r w:rsidRPr="007601E0">
        <w:rPr>
          <w:rFonts w:ascii="Calibri" w:eastAsia="Calibri" w:hAnsi="Calibri" w:cstheme="majorHAnsi"/>
          <w:i/>
          <w:color w:val="151B26"/>
        </w:rPr>
        <w:t>)</w:t>
      </w:r>
      <w:r w:rsidRPr="007601E0">
        <w:rPr>
          <w:rFonts w:ascii="Calibri" w:eastAsia="Calibri" w:hAnsi="Calibri" w:cstheme="majorHAnsi"/>
          <w:color w:val="151B26"/>
        </w:rPr>
        <w:t>, whe</w:t>
      </w:r>
      <w:r>
        <w:rPr>
          <w:rFonts w:ascii="Calibri" w:eastAsia="Calibri" w:hAnsi="Calibri" w:cstheme="majorHAnsi"/>
          <w:color w:val="151B26"/>
        </w:rPr>
        <w:t>re we conducted 13, 60-minute focus groups with low-income parents of children ages 0-5, hosted at community locations (i.e. schools, day cares, community centers). Parents were recruited through flyers, word-of-mouth, and social media posts. For this project, a $50 incentive was used. The second project was for FNS (</w:t>
      </w:r>
      <w:r>
        <w:rPr>
          <w:rFonts w:ascii="Calibri" w:eastAsia="Calibri" w:hAnsi="Calibri" w:cs="Calibri"/>
        </w:rPr>
        <w:t>Formative Research to Revise Materials for Mothers and Child Care Providers of Infants), where we conducted 17, 60-minute focus groups with low-income moms that were either pregnant or had children under 2 years old. Focus groups were also hosted in community locations and moms were recruited using flyers</w:t>
      </w:r>
      <w:r>
        <w:rPr>
          <w:rStyle w:val="FootnoteReference"/>
          <w:rFonts w:ascii="Calibri" w:eastAsia="Calibri" w:hAnsi="Calibri" w:cs="Calibri"/>
        </w:rPr>
        <w:footnoteReference w:id="2"/>
      </w:r>
      <w:r>
        <w:rPr>
          <w:rFonts w:ascii="Calibri" w:eastAsia="Calibri" w:hAnsi="Calibri" w:cs="Calibri"/>
        </w:rPr>
        <w:t xml:space="preserve"> and word-of-mouth. For this project, we were not approved for $50 incentives and instead used $40. </w:t>
      </w:r>
    </w:p>
    <w:p w14:paraId="013FE061" w14:textId="77777777" w:rsidR="0057109E" w:rsidRPr="007601E0" w:rsidRDefault="0057109E" w:rsidP="007601E0">
      <w:pPr>
        <w:rPr>
          <w:rFonts w:ascii="Calibri" w:hAnsi="Calibri"/>
        </w:rPr>
      </w:pPr>
    </w:p>
    <w:p w14:paraId="044AF32C" w14:textId="3AF11405" w:rsidR="008C3C29" w:rsidRDefault="00402036" w:rsidP="005F26F9">
      <w:pPr>
        <w:spacing w:after="120"/>
        <w:jc w:val="both"/>
        <w:rPr>
          <w:rFonts w:ascii="Calibri" w:eastAsia="Calibri" w:hAnsi="Calibri" w:cs="Calibri"/>
        </w:rPr>
      </w:pPr>
      <w:r>
        <w:rPr>
          <w:rFonts w:ascii="Calibri" w:eastAsia="Calibri" w:hAnsi="Calibri" w:cs="Calibri"/>
        </w:rPr>
        <w:t>Both projects used 60-minute focus groups held at the same time of day and in the same type of location. Recruitment methods were nearly identical and both projects recruited low-income parents of young children. Each study had slightly different eligibility requirements for focus group participation, however study eligibility does not affect the number of participants who complete screeners or show up to focus groups once invited. The table below compares these two variables to demonstrate the increased efficacy of using $50 incentives.</w:t>
      </w:r>
    </w:p>
    <w:p w14:paraId="67A88176" w14:textId="77777777" w:rsidR="00402036" w:rsidRPr="00402036" w:rsidRDefault="00402036" w:rsidP="005F26F9">
      <w:pPr>
        <w:spacing w:after="120"/>
        <w:jc w:val="both"/>
        <w:rPr>
          <w:rFonts w:ascii="Calibri" w:eastAsia="Calibri" w:hAnsi="Calibri" w:cs="Calibri"/>
          <w:sz w:val="16"/>
          <w:szCs w:val="16"/>
        </w:rPr>
      </w:pPr>
    </w:p>
    <w:tbl>
      <w:tblPr>
        <w:tblW w:w="9760" w:type="dxa"/>
        <w:tblInd w:w="93" w:type="dxa"/>
        <w:tblLayout w:type="fixed"/>
        <w:tblLook w:val="04A0" w:firstRow="1" w:lastRow="0" w:firstColumn="1" w:lastColumn="0" w:noHBand="0" w:noVBand="1"/>
      </w:tblPr>
      <w:tblGrid>
        <w:gridCol w:w="1635"/>
        <w:gridCol w:w="1260"/>
        <w:gridCol w:w="1004"/>
        <w:gridCol w:w="1111"/>
        <w:gridCol w:w="1480"/>
        <w:gridCol w:w="790"/>
        <w:gridCol w:w="1060"/>
        <w:gridCol w:w="1420"/>
      </w:tblGrid>
      <w:tr w:rsidR="008C3C29" w:rsidRPr="008C3C29" w14:paraId="12254A81" w14:textId="77777777" w:rsidTr="00402036">
        <w:trPr>
          <w:trHeight w:val="300"/>
        </w:trPr>
        <w:tc>
          <w:tcPr>
            <w:tcW w:w="1635" w:type="dxa"/>
            <w:tcBorders>
              <w:top w:val="nil"/>
              <w:left w:val="nil"/>
              <w:bottom w:val="nil"/>
              <w:right w:val="nil"/>
            </w:tcBorders>
            <w:shd w:val="clear" w:color="000000" w:fill="384452"/>
            <w:noWrap/>
            <w:vAlign w:val="bottom"/>
            <w:hideMark/>
          </w:tcPr>
          <w:p w14:paraId="41A27FAD" w14:textId="77777777" w:rsidR="008C3C29" w:rsidRPr="008C3C29" w:rsidRDefault="008C3C29" w:rsidP="008C3C29">
            <w:pPr>
              <w:rPr>
                <w:rFonts w:ascii="Calibri" w:eastAsia="Times New Roman" w:hAnsi="Calibri" w:cs="Times New Roman"/>
                <w:color w:val="FFFFFF"/>
              </w:rPr>
            </w:pPr>
            <w:r w:rsidRPr="008C3C29">
              <w:rPr>
                <w:rFonts w:ascii="Calibri" w:eastAsia="Times New Roman" w:hAnsi="Calibri" w:cs="Times New Roman"/>
                <w:color w:val="FFFFFF"/>
              </w:rPr>
              <w:t> </w:t>
            </w:r>
          </w:p>
        </w:tc>
        <w:tc>
          <w:tcPr>
            <w:tcW w:w="1260" w:type="dxa"/>
            <w:vMerge w:val="restart"/>
            <w:tcBorders>
              <w:top w:val="nil"/>
              <w:left w:val="nil"/>
              <w:bottom w:val="nil"/>
              <w:right w:val="nil"/>
            </w:tcBorders>
            <w:shd w:val="clear" w:color="000000" w:fill="384452"/>
            <w:vAlign w:val="center"/>
            <w:hideMark/>
          </w:tcPr>
          <w:p w14:paraId="1208DC6D" w14:textId="4E2C5645" w:rsidR="008C3C29" w:rsidRPr="008C3C29" w:rsidRDefault="008C3C29" w:rsidP="008C3C29">
            <w:pPr>
              <w:jc w:val="center"/>
              <w:rPr>
                <w:rFonts w:ascii="Calibri" w:eastAsia="Times New Roman" w:hAnsi="Calibri" w:cs="Times New Roman"/>
                <w:color w:val="FFFFFF"/>
              </w:rPr>
            </w:pPr>
            <w:r w:rsidRPr="008C3C29">
              <w:rPr>
                <w:rFonts w:ascii="Calibri" w:eastAsia="Times New Roman" w:hAnsi="Calibri" w:cs="Times New Roman"/>
                <w:color w:val="FFFFFF"/>
              </w:rPr>
              <w:t>Total Targeted</w:t>
            </w:r>
            <w:r w:rsidR="00402036">
              <w:rPr>
                <w:rStyle w:val="FootnoteReference"/>
                <w:rFonts w:ascii="Calibri" w:eastAsia="Times New Roman" w:hAnsi="Calibri" w:cs="Times New Roman"/>
                <w:color w:val="FFFFFF"/>
              </w:rPr>
              <w:footnoteReference w:id="3"/>
            </w:r>
          </w:p>
        </w:tc>
        <w:tc>
          <w:tcPr>
            <w:tcW w:w="2115" w:type="dxa"/>
            <w:gridSpan w:val="2"/>
            <w:tcBorders>
              <w:top w:val="nil"/>
              <w:left w:val="nil"/>
              <w:bottom w:val="nil"/>
              <w:right w:val="single" w:sz="4" w:space="0" w:color="auto"/>
            </w:tcBorders>
            <w:shd w:val="clear" w:color="000000" w:fill="384452"/>
            <w:noWrap/>
            <w:vAlign w:val="bottom"/>
            <w:hideMark/>
          </w:tcPr>
          <w:p w14:paraId="78FD0D7F" w14:textId="77777777" w:rsidR="008C3C29" w:rsidRPr="008C3C29" w:rsidRDefault="008C3C29" w:rsidP="008C3C29">
            <w:pPr>
              <w:jc w:val="center"/>
              <w:rPr>
                <w:rFonts w:ascii="Calibri" w:eastAsia="Times New Roman" w:hAnsi="Calibri" w:cs="Times New Roman"/>
                <w:color w:val="FFFFFF"/>
              </w:rPr>
            </w:pPr>
            <w:r w:rsidRPr="008C3C29">
              <w:rPr>
                <w:rFonts w:ascii="Calibri" w:eastAsia="Times New Roman" w:hAnsi="Calibri" w:cs="Times New Roman"/>
                <w:color w:val="FFFFFF"/>
              </w:rPr>
              <w:t>Completed a Screener</w:t>
            </w:r>
          </w:p>
        </w:tc>
        <w:tc>
          <w:tcPr>
            <w:tcW w:w="1480" w:type="dxa"/>
            <w:vMerge w:val="restart"/>
            <w:tcBorders>
              <w:top w:val="nil"/>
              <w:left w:val="single" w:sz="4" w:space="0" w:color="auto"/>
              <w:bottom w:val="nil"/>
              <w:right w:val="nil"/>
            </w:tcBorders>
            <w:shd w:val="clear" w:color="000000" w:fill="384452"/>
            <w:vAlign w:val="center"/>
            <w:hideMark/>
          </w:tcPr>
          <w:p w14:paraId="1EFBC16B" w14:textId="77777777" w:rsidR="008C3C29" w:rsidRPr="008C3C29" w:rsidRDefault="008C3C29" w:rsidP="008C3C29">
            <w:pPr>
              <w:jc w:val="center"/>
              <w:rPr>
                <w:rFonts w:ascii="Calibri" w:eastAsia="Times New Roman" w:hAnsi="Calibri" w:cs="Times New Roman"/>
                <w:color w:val="FFFFFF"/>
              </w:rPr>
            </w:pPr>
            <w:r w:rsidRPr="008C3C29">
              <w:rPr>
                <w:rFonts w:ascii="Calibri" w:eastAsia="Times New Roman" w:hAnsi="Calibri" w:cs="Times New Roman"/>
                <w:color w:val="FFFFFF"/>
              </w:rPr>
              <w:t># Invited to Focus Groups</w:t>
            </w:r>
          </w:p>
        </w:tc>
        <w:tc>
          <w:tcPr>
            <w:tcW w:w="1850" w:type="dxa"/>
            <w:gridSpan w:val="2"/>
            <w:tcBorders>
              <w:top w:val="nil"/>
              <w:left w:val="nil"/>
              <w:bottom w:val="nil"/>
              <w:right w:val="single" w:sz="4" w:space="0" w:color="auto"/>
            </w:tcBorders>
            <w:shd w:val="clear" w:color="000000" w:fill="384452"/>
            <w:noWrap/>
            <w:vAlign w:val="center"/>
            <w:hideMark/>
          </w:tcPr>
          <w:p w14:paraId="3B37D826" w14:textId="2F095E33" w:rsidR="008C3C29" w:rsidRPr="008C3C29" w:rsidRDefault="008C3C29" w:rsidP="008C3C29">
            <w:pPr>
              <w:jc w:val="center"/>
              <w:rPr>
                <w:rFonts w:ascii="Calibri" w:eastAsia="Times New Roman" w:hAnsi="Calibri" w:cs="Times New Roman"/>
                <w:color w:val="FFFFFF"/>
              </w:rPr>
            </w:pPr>
            <w:r w:rsidRPr="008C3C29">
              <w:rPr>
                <w:rFonts w:ascii="Calibri" w:eastAsia="Times New Roman" w:hAnsi="Calibri" w:cs="Times New Roman"/>
                <w:color w:val="FFFFFF"/>
              </w:rPr>
              <w:t>Showed</w:t>
            </w:r>
            <w:r>
              <w:rPr>
                <w:rFonts w:ascii="Calibri" w:eastAsia="Times New Roman" w:hAnsi="Calibri" w:cs="Times New Roman"/>
                <w:color w:val="FFFFFF"/>
              </w:rPr>
              <w:t xml:space="preserve"> to Focus Groups</w:t>
            </w:r>
          </w:p>
        </w:tc>
        <w:tc>
          <w:tcPr>
            <w:tcW w:w="1420" w:type="dxa"/>
            <w:vMerge w:val="restart"/>
            <w:tcBorders>
              <w:top w:val="nil"/>
              <w:left w:val="single" w:sz="4" w:space="0" w:color="auto"/>
              <w:bottom w:val="nil"/>
              <w:right w:val="nil"/>
            </w:tcBorders>
            <w:shd w:val="clear" w:color="000000" w:fill="384452"/>
            <w:vAlign w:val="center"/>
            <w:hideMark/>
          </w:tcPr>
          <w:p w14:paraId="686BFF12" w14:textId="77777777" w:rsidR="008C3C29" w:rsidRPr="008C3C29" w:rsidRDefault="008C3C29" w:rsidP="008C3C29">
            <w:pPr>
              <w:jc w:val="center"/>
              <w:rPr>
                <w:rFonts w:ascii="Calibri" w:eastAsia="Times New Roman" w:hAnsi="Calibri" w:cs="Times New Roman"/>
                <w:color w:val="FFFFFF"/>
              </w:rPr>
            </w:pPr>
            <w:r w:rsidRPr="008C3C29">
              <w:rPr>
                <w:rFonts w:ascii="Calibri" w:eastAsia="Times New Roman" w:hAnsi="Calibri" w:cs="Times New Roman"/>
                <w:color w:val="FFFFFF"/>
              </w:rPr>
              <w:t>Mean # per group</w:t>
            </w:r>
          </w:p>
        </w:tc>
      </w:tr>
      <w:tr w:rsidR="008C3C29" w:rsidRPr="008C3C29" w14:paraId="7A0A725C" w14:textId="77777777" w:rsidTr="00402036">
        <w:trPr>
          <w:trHeight w:val="300"/>
        </w:trPr>
        <w:tc>
          <w:tcPr>
            <w:tcW w:w="1635" w:type="dxa"/>
            <w:tcBorders>
              <w:top w:val="nil"/>
              <w:left w:val="nil"/>
              <w:bottom w:val="nil"/>
              <w:right w:val="nil"/>
            </w:tcBorders>
            <w:shd w:val="clear" w:color="000000" w:fill="384452"/>
            <w:noWrap/>
            <w:vAlign w:val="bottom"/>
            <w:hideMark/>
          </w:tcPr>
          <w:p w14:paraId="3BA7FF18" w14:textId="77777777" w:rsidR="008C3C29" w:rsidRPr="008C3C29" w:rsidRDefault="008C3C29" w:rsidP="008C3C29">
            <w:pPr>
              <w:rPr>
                <w:rFonts w:ascii="Calibri" w:eastAsia="Times New Roman" w:hAnsi="Calibri" w:cs="Times New Roman"/>
                <w:color w:val="FFFFFF"/>
              </w:rPr>
            </w:pPr>
            <w:r w:rsidRPr="008C3C29">
              <w:rPr>
                <w:rFonts w:ascii="Calibri" w:eastAsia="Times New Roman" w:hAnsi="Calibri" w:cs="Times New Roman"/>
                <w:color w:val="FFFFFF"/>
              </w:rPr>
              <w:t> </w:t>
            </w:r>
          </w:p>
        </w:tc>
        <w:tc>
          <w:tcPr>
            <w:tcW w:w="1260" w:type="dxa"/>
            <w:vMerge/>
            <w:tcBorders>
              <w:top w:val="nil"/>
              <w:left w:val="nil"/>
              <w:bottom w:val="nil"/>
              <w:right w:val="nil"/>
            </w:tcBorders>
            <w:vAlign w:val="center"/>
            <w:hideMark/>
          </w:tcPr>
          <w:p w14:paraId="36F21974" w14:textId="77777777" w:rsidR="008C3C29" w:rsidRPr="008C3C29" w:rsidRDefault="008C3C29" w:rsidP="008C3C29">
            <w:pPr>
              <w:rPr>
                <w:rFonts w:ascii="Calibri" w:eastAsia="Times New Roman" w:hAnsi="Calibri" w:cs="Times New Roman"/>
                <w:color w:val="FFFFFF"/>
              </w:rPr>
            </w:pPr>
          </w:p>
        </w:tc>
        <w:tc>
          <w:tcPr>
            <w:tcW w:w="1004" w:type="dxa"/>
            <w:tcBorders>
              <w:top w:val="nil"/>
              <w:left w:val="nil"/>
              <w:bottom w:val="nil"/>
              <w:right w:val="nil"/>
            </w:tcBorders>
            <w:shd w:val="clear" w:color="000000" w:fill="384452"/>
            <w:noWrap/>
            <w:vAlign w:val="center"/>
            <w:hideMark/>
          </w:tcPr>
          <w:p w14:paraId="00C759E6" w14:textId="77777777" w:rsidR="008C3C29" w:rsidRPr="008C3C29" w:rsidRDefault="008C3C29" w:rsidP="008C3C29">
            <w:pPr>
              <w:jc w:val="center"/>
              <w:rPr>
                <w:rFonts w:ascii="Calibri" w:eastAsia="Times New Roman" w:hAnsi="Calibri" w:cs="Times New Roman"/>
                <w:color w:val="FFFFFF"/>
              </w:rPr>
            </w:pPr>
            <w:r w:rsidRPr="008C3C29">
              <w:rPr>
                <w:rFonts w:ascii="Calibri" w:eastAsia="Times New Roman" w:hAnsi="Calibri" w:cs="Times New Roman"/>
                <w:color w:val="FFFFFF"/>
              </w:rPr>
              <w:t>N</w:t>
            </w:r>
          </w:p>
        </w:tc>
        <w:tc>
          <w:tcPr>
            <w:tcW w:w="1111" w:type="dxa"/>
            <w:tcBorders>
              <w:top w:val="nil"/>
              <w:left w:val="nil"/>
              <w:bottom w:val="nil"/>
              <w:right w:val="single" w:sz="4" w:space="0" w:color="auto"/>
            </w:tcBorders>
            <w:shd w:val="clear" w:color="000000" w:fill="384452"/>
            <w:noWrap/>
            <w:vAlign w:val="center"/>
            <w:hideMark/>
          </w:tcPr>
          <w:p w14:paraId="7AD08F76" w14:textId="77777777" w:rsidR="008C3C29" w:rsidRPr="008C3C29" w:rsidRDefault="008C3C29" w:rsidP="008C3C29">
            <w:pPr>
              <w:jc w:val="center"/>
              <w:rPr>
                <w:rFonts w:ascii="Calibri" w:eastAsia="Times New Roman" w:hAnsi="Calibri" w:cs="Times New Roman"/>
                <w:color w:val="FFFFFF"/>
              </w:rPr>
            </w:pPr>
            <w:r w:rsidRPr="008C3C29">
              <w:rPr>
                <w:rFonts w:ascii="Calibri" w:eastAsia="Times New Roman" w:hAnsi="Calibri" w:cs="Times New Roman"/>
                <w:color w:val="FFFFFF"/>
              </w:rPr>
              <w:t>%</w:t>
            </w:r>
          </w:p>
        </w:tc>
        <w:tc>
          <w:tcPr>
            <w:tcW w:w="1480" w:type="dxa"/>
            <w:vMerge/>
            <w:tcBorders>
              <w:top w:val="nil"/>
              <w:left w:val="single" w:sz="4" w:space="0" w:color="auto"/>
              <w:bottom w:val="nil"/>
              <w:right w:val="nil"/>
            </w:tcBorders>
            <w:vAlign w:val="center"/>
            <w:hideMark/>
          </w:tcPr>
          <w:p w14:paraId="2E1CA9F1" w14:textId="77777777" w:rsidR="008C3C29" w:rsidRPr="008C3C29" w:rsidRDefault="008C3C29" w:rsidP="008C3C29">
            <w:pPr>
              <w:rPr>
                <w:rFonts w:ascii="Calibri" w:eastAsia="Times New Roman" w:hAnsi="Calibri" w:cs="Times New Roman"/>
                <w:color w:val="FFFFFF"/>
              </w:rPr>
            </w:pPr>
          </w:p>
        </w:tc>
        <w:tc>
          <w:tcPr>
            <w:tcW w:w="790" w:type="dxa"/>
            <w:tcBorders>
              <w:top w:val="nil"/>
              <w:left w:val="nil"/>
              <w:bottom w:val="nil"/>
              <w:right w:val="nil"/>
            </w:tcBorders>
            <w:shd w:val="clear" w:color="000000" w:fill="384452"/>
            <w:noWrap/>
            <w:vAlign w:val="center"/>
            <w:hideMark/>
          </w:tcPr>
          <w:p w14:paraId="1CB03C2C" w14:textId="77777777" w:rsidR="008C3C29" w:rsidRPr="008C3C29" w:rsidRDefault="008C3C29" w:rsidP="008C3C29">
            <w:pPr>
              <w:jc w:val="center"/>
              <w:rPr>
                <w:rFonts w:ascii="Calibri" w:eastAsia="Times New Roman" w:hAnsi="Calibri" w:cs="Times New Roman"/>
                <w:color w:val="FFFFFF"/>
              </w:rPr>
            </w:pPr>
            <w:r w:rsidRPr="008C3C29">
              <w:rPr>
                <w:rFonts w:ascii="Calibri" w:eastAsia="Times New Roman" w:hAnsi="Calibri" w:cs="Times New Roman"/>
                <w:color w:val="FFFFFF"/>
              </w:rPr>
              <w:t>N</w:t>
            </w:r>
          </w:p>
        </w:tc>
        <w:tc>
          <w:tcPr>
            <w:tcW w:w="1060" w:type="dxa"/>
            <w:tcBorders>
              <w:top w:val="nil"/>
              <w:left w:val="nil"/>
              <w:bottom w:val="nil"/>
              <w:right w:val="single" w:sz="4" w:space="0" w:color="auto"/>
            </w:tcBorders>
            <w:shd w:val="clear" w:color="000000" w:fill="384452"/>
            <w:noWrap/>
            <w:vAlign w:val="center"/>
            <w:hideMark/>
          </w:tcPr>
          <w:p w14:paraId="3001319D" w14:textId="77777777" w:rsidR="008C3C29" w:rsidRPr="008C3C29" w:rsidRDefault="008C3C29" w:rsidP="008C3C29">
            <w:pPr>
              <w:jc w:val="center"/>
              <w:rPr>
                <w:rFonts w:ascii="Calibri" w:eastAsia="Times New Roman" w:hAnsi="Calibri" w:cs="Times New Roman"/>
                <w:color w:val="FFFFFF"/>
              </w:rPr>
            </w:pPr>
            <w:r w:rsidRPr="008C3C29">
              <w:rPr>
                <w:rFonts w:ascii="Calibri" w:eastAsia="Times New Roman" w:hAnsi="Calibri" w:cs="Times New Roman"/>
                <w:color w:val="FFFFFF"/>
              </w:rPr>
              <w:t>%</w:t>
            </w:r>
          </w:p>
        </w:tc>
        <w:tc>
          <w:tcPr>
            <w:tcW w:w="1420" w:type="dxa"/>
            <w:vMerge/>
            <w:tcBorders>
              <w:top w:val="nil"/>
              <w:left w:val="single" w:sz="4" w:space="0" w:color="auto"/>
              <w:bottom w:val="nil"/>
              <w:right w:val="nil"/>
            </w:tcBorders>
            <w:vAlign w:val="center"/>
            <w:hideMark/>
          </w:tcPr>
          <w:p w14:paraId="38D90E68" w14:textId="77777777" w:rsidR="008C3C29" w:rsidRPr="008C3C29" w:rsidRDefault="008C3C29" w:rsidP="008C3C29">
            <w:pPr>
              <w:rPr>
                <w:rFonts w:ascii="Calibri" w:eastAsia="Times New Roman" w:hAnsi="Calibri" w:cs="Times New Roman"/>
                <w:color w:val="FFFFFF"/>
              </w:rPr>
            </w:pPr>
          </w:p>
        </w:tc>
      </w:tr>
      <w:tr w:rsidR="008C3C29" w:rsidRPr="008C3C29" w14:paraId="27292236" w14:textId="77777777" w:rsidTr="00402036">
        <w:trPr>
          <w:trHeight w:val="414"/>
        </w:trPr>
        <w:tc>
          <w:tcPr>
            <w:tcW w:w="1635" w:type="dxa"/>
            <w:tcBorders>
              <w:top w:val="nil"/>
              <w:left w:val="nil"/>
              <w:bottom w:val="nil"/>
              <w:right w:val="nil"/>
            </w:tcBorders>
            <w:shd w:val="clear" w:color="auto" w:fill="auto"/>
            <w:noWrap/>
            <w:vAlign w:val="center"/>
            <w:hideMark/>
          </w:tcPr>
          <w:p w14:paraId="7DD237AB" w14:textId="77777777" w:rsidR="008C3C29" w:rsidRPr="008C3C29" w:rsidRDefault="008C3C29" w:rsidP="00402036">
            <w:pPr>
              <w:rPr>
                <w:rFonts w:ascii="Calibri" w:eastAsia="Times New Roman" w:hAnsi="Calibri" w:cs="Times New Roman"/>
                <w:color w:val="000000"/>
              </w:rPr>
            </w:pPr>
            <w:r w:rsidRPr="008C3C29">
              <w:rPr>
                <w:rFonts w:ascii="Calibri" w:eastAsia="Times New Roman" w:hAnsi="Calibri" w:cs="Times New Roman"/>
                <w:color w:val="000000"/>
              </w:rPr>
              <w:t>$40 Incentive</w:t>
            </w:r>
          </w:p>
        </w:tc>
        <w:tc>
          <w:tcPr>
            <w:tcW w:w="1260" w:type="dxa"/>
            <w:tcBorders>
              <w:top w:val="nil"/>
              <w:left w:val="nil"/>
              <w:bottom w:val="nil"/>
              <w:right w:val="nil"/>
            </w:tcBorders>
            <w:shd w:val="clear" w:color="auto" w:fill="auto"/>
            <w:noWrap/>
            <w:vAlign w:val="center"/>
            <w:hideMark/>
          </w:tcPr>
          <w:p w14:paraId="04AE8BE4" w14:textId="77777777" w:rsidR="008C3C29" w:rsidRPr="008C3C29" w:rsidRDefault="008C3C29" w:rsidP="008C3C29">
            <w:pPr>
              <w:jc w:val="center"/>
              <w:rPr>
                <w:rFonts w:ascii="Calibri" w:eastAsia="Times New Roman" w:hAnsi="Calibri" w:cs="Times New Roman"/>
                <w:color w:val="000000"/>
              </w:rPr>
            </w:pPr>
            <w:r w:rsidRPr="008C3C29">
              <w:rPr>
                <w:rFonts w:ascii="Calibri" w:eastAsia="Times New Roman" w:hAnsi="Calibri" w:cs="Times New Roman"/>
                <w:color w:val="000000"/>
              </w:rPr>
              <w:t>800</w:t>
            </w:r>
          </w:p>
        </w:tc>
        <w:tc>
          <w:tcPr>
            <w:tcW w:w="1004" w:type="dxa"/>
            <w:tcBorders>
              <w:top w:val="nil"/>
              <w:left w:val="nil"/>
              <w:bottom w:val="nil"/>
              <w:right w:val="nil"/>
            </w:tcBorders>
            <w:shd w:val="clear" w:color="auto" w:fill="auto"/>
            <w:noWrap/>
            <w:vAlign w:val="center"/>
            <w:hideMark/>
          </w:tcPr>
          <w:p w14:paraId="37396B8B" w14:textId="77777777" w:rsidR="008C3C29" w:rsidRPr="008C3C29" w:rsidRDefault="008C3C29" w:rsidP="008C3C29">
            <w:pPr>
              <w:jc w:val="center"/>
              <w:rPr>
                <w:rFonts w:ascii="Calibri" w:eastAsia="Times New Roman" w:hAnsi="Calibri" w:cs="Times New Roman"/>
                <w:color w:val="000000"/>
              </w:rPr>
            </w:pPr>
            <w:r w:rsidRPr="008C3C29">
              <w:rPr>
                <w:rFonts w:ascii="Calibri" w:eastAsia="Times New Roman" w:hAnsi="Calibri" w:cs="Times New Roman"/>
                <w:color w:val="000000"/>
              </w:rPr>
              <w:t>167</w:t>
            </w:r>
          </w:p>
        </w:tc>
        <w:tc>
          <w:tcPr>
            <w:tcW w:w="1111" w:type="dxa"/>
            <w:tcBorders>
              <w:top w:val="nil"/>
              <w:left w:val="nil"/>
              <w:bottom w:val="nil"/>
              <w:right w:val="single" w:sz="4" w:space="0" w:color="auto"/>
            </w:tcBorders>
            <w:shd w:val="clear" w:color="auto" w:fill="auto"/>
            <w:noWrap/>
            <w:vAlign w:val="center"/>
            <w:hideMark/>
          </w:tcPr>
          <w:p w14:paraId="30DF7270" w14:textId="77777777" w:rsidR="008C3C29" w:rsidRPr="008C3C29" w:rsidRDefault="008C3C29" w:rsidP="008C3C29">
            <w:pPr>
              <w:jc w:val="center"/>
              <w:rPr>
                <w:rFonts w:ascii="Calibri" w:eastAsia="Times New Roman" w:hAnsi="Calibri" w:cs="Times New Roman"/>
                <w:color w:val="F64541"/>
              </w:rPr>
            </w:pPr>
            <w:r w:rsidRPr="008C3C29">
              <w:rPr>
                <w:rFonts w:ascii="Calibri" w:eastAsia="Times New Roman" w:hAnsi="Calibri" w:cs="Times New Roman"/>
                <w:color w:val="F64541"/>
              </w:rPr>
              <w:t>20.9%</w:t>
            </w:r>
          </w:p>
        </w:tc>
        <w:tc>
          <w:tcPr>
            <w:tcW w:w="1480" w:type="dxa"/>
            <w:tcBorders>
              <w:top w:val="nil"/>
              <w:left w:val="single" w:sz="4" w:space="0" w:color="auto"/>
              <w:bottom w:val="nil"/>
              <w:right w:val="nil"/>
            </w:tcBorders>
            <w:shd w:val="clear" w:color="auto" w:fill="auto"/>
            <w:noWrap/>
            <w:vAlign w:val="center"/>
            <w:hideMark/>
          </w:tcPr>
          <w:p w14:paraId="0735FC59" w14:textId="77777777" w:rsidR="008C3C29" w:rsidRPr="008C3C29" w:rsidRDefault="008C3C29" w:rsidP="008C3C29">
            <w:pPr>
              <w:jc w:val="center"/>
              <w:rPr>
                <w:rFonts w:ascii="Calibri" w:eastAsia="Times New Roman" w:hAnsi="Calibri" w:cs="Times New Roman"/>
                <w:color w:val="000000"/>
              </w:rPr>
            </w:pPr>
            <w:r w:rsidRPr="008C3C29">
              <w:rPr>
                <w:rFonts w:ascii="Calibri" w:eastAsia="Times New Roman" w:hAnsi="Calibri" w:cs="Times New Roman"/>
                <w:color w:val="000000"/>
              </w:rPr>
              <w:t>134</w:t>
            </w:r>
          </w:p>
        </w:tc>
        <w:tc>
          <w:tcPr>
            <w:tcW w:w="790" w:type="dxa"/>
            <w:tcBorders>
              <w:top w:val="nil"/>
              <w:left w:val="nil"/>
              <w:bottom w:val="nil"/>
              <w:right w:val="nil"/>
            </w:tcBorders>
            <w:shd w:val="clear" w:color="auto" w:fill="auto"/>
            <w:noWrap/>
            <w:vAlign w:val="center"/>
            <w:hideMark/>
          </w:tcPr>
          <w:p w14:paraId="3D1E84A6" w14:textId="77777777" w:rsidR="008C3C29" w:rsidRPr="008C3C29" w:rsidRDefault="008C3C29" w:rsidP="008C3C29">
            <w:pPr>
              <w:jc w:val="center"/>
              <w:rPr>
                <w:rFonts w:ascii="Calibri" w:eastAsia="Times New Roman" w:hAnsi="Calibri" w:cs="Times New Roman"/>
                <w:color w:val="000000"/>
              </w:rPr>
            </w:pPr>
            <w:r w:rsidRPr="008C3C29">
              <w:rPr>
                <w:rFonts w:ascii="Calibri" w:eastAsia="Times New Roman" w:hAnsi="Calibri" w:cs="Times New Roman"/>
                <w:color w:val="000000"/>
              </w:rPr>
              <w:t>86</w:t>
            </w:r>
          </w:p>
        </w:tc>
        <w:tc>
          <w:tcPr>
            <w:tcW w:w="1060" w:type="dxa"/>
            <w:tcBorders>
              <w:top w:val="nil"/>
              <w:left w:val="nil"/>
              <w:bottom w:val="nil"/>
              <w:right w:val="single" w:sz="4" w:space="0" w:color="auto"/>
            </w:tcBorders>
            <w:shd w:val="clear" w:color="auto" w:fill="auto"/>
            <w:noWrap/>
            <w:vAlign w:val="center"/>
            <w:hideMark/>
          </w:tcPr>
          <w:p w14:paraId="56D3B57C" w14:textId="77777777" w:rsidR="008C3C29" w:rsidRPr="008C3C29" w:rsidRDefault="008C3C29" w:rsidP="008C3C29">
            <w:pPr>
              <w:jc w:val="center"/>
              <w:rPr>
                <w:rFonts w:ascii="Calibri" w:eastAsia="Times New Roman" w:hAnsi="Calibri" w:cs="Times New Roman"/>
                <w:color w:val="F64541"/>
              </w:rPr>
            </w:pPr>
            <w:r w:rsidRPr="008C3C29">
              <w:rPr>
                <w:rFonts w:ascii="Calibri" w:eastAsia="Times New Roman" w:hAnsi="Calibri" w:cs="Times New Roman"/>
                <w:color w:val="F64541"/>
              </w:rPr>
              <w:t>64.2%</w:t>
            </w:r>
          </w:p>
        </w:tc>
        <w:tc>
          <w:tcPr>
            <w:tcW w:w="1420" w:type="dxa"/>
            <w:tcBorders>
              <w:top w:val="nil"/>
              <w:left w:val="single" w:sz="4" w:space="0" w:color="auto"/>
              <w:bottom w:val="nil"/>
              <w:right w:val="nil"/>
            </w:tcBorders>
            <w:shd w:val="clear" w:color="auto" w:fill="auto"/>
            <w:noWrap/>
            <w:vAlign w:val="center"/>
            <w:hideMark/>
          </w:tcPr>
          <w:p w14:paraId="12E64671" w14:textId="77777777" w:rsidR="008C3C29" w:rsidRPr="008C3C29" w:rsidRDefault="008C3C29" w:rsidP="008C3C29">
            <w:pPr>
              <w:jc w:val="center"/>
              <w:rPr>
                <w:rFonts w:ascii="Calibri" w:eastAsia="Times New Roman" w:hAnsi="Calibri" w:cs="Times New Roman"/>
                <w:color w:val="000000"/>
              </w:rPr>
            </w:pPr>
            <w:r w:rsidRPr="008C3C29">
              <w:rPr>
                <w:rFonts w:ascii="Calibri" w:eastAsia="Times New Roman" w:hAnsi="Calibri" w:cs="Times New Roman"/>
                <w:color w:val="000000"/>
              </w:rPr>
              <w:t>5.06</w:t>
            </w:r>
          </w:p>
        </w:tc>
      </w:tr>
      <w:tr w:rsidR="008C3C29" w:rsidRPr="008C3C29" w14:paraId="3F4AAE31" w14:textId="77777777" w:rsidTr="00402036">
        <w:trPr>
          <w:trHeight w:val="360"/>
        </w:trPr>
        <w:tc>
          <w:tcPr>
            <w:tcW w:w="1635" w:type="dxa"/>
            <w:tcBorders>
              <w:top w:val="nil"/>
              <w:left w:val="nil"/>
              <w:bottom w:val="single" w:sz="4" w:space="0" w:color="auto"/>
              <w:right w:val="nil"/>
            </w:tcBorders>
            <w:shd w:val="clear" w:color="auto" w:fill="auto"/>
            <w:noWrap/>
            <w:vAlign w:val="center"/>
            <w:hideMark/>
          </w:tcPr>
          <w:p w14:paraId="70123E31" w14:textId="77777777" w:rsidR="008C3C29" w:rsidRPr="008C3C29" w:rsidRDefault="008C3C29" w:rsidP="00402036">
            <w:pPr>
              <w:rPr>
                <w:rFonts w:ascii="Calibri" w:eastAsia="Times New Roman" w:hAnsi="Calibri" w:cs="Times New Roman"/>
                <w:color w:val="000000"/>
              </w:rPr>
            </w:pPr>
            <w:r w:rsidRPr="008C3C29">
              <w:rPr>
                <w:rFonts w:ascii="Calibri" w:eastAsia="Times New Roman" w:hAnsi="Calibri" w:cs="Times New Roman"/>
                <w:color w:val="000000"/>
              </w:rPr>
              <w:t>$50 Incentive</w:t>
            </w:r>
          </w:p>
        </w:tc>
        <w:tc>
          <w:tcPr>
            <w:tcW w:w="1260" w:type="dxa"/>
            <w:tcBorders>
              <w:top w:val="nil"/>
              <w:left w:val="nil"/>
              <w:bottom w:val="single" w:sz="4" w:space="0" w:color="auto"/>
              <w:right w:val="nil"/>
            </w:tcBorders>
            <w:shd w:val="clear" w:color="auto" w:fill="auto"/>
            <w:noWrap/>
            <w:vAlign w:val="center"/>
            <w:hideMark/>
          </w:tcPr>
          <w:p w14:paraId="06E8D012" w14:textId="77777777" w:rsidR="008C3C29" w:rsidRPr="008C3C29" w:rsidRDefault="008C3C29" w:rsidP="008C3C29">
            <w:pPr>
              <w:jc w:val="center"/>
              <w:rPr>
                <w:rFonts w:ascii="Calibri" w:eastAsia="Times New Roman" w:hAnsi="Calibri" w:cs="Times New Roman"/>
                <w:color w:val="000000"/>
              </w:rPr>
            </w:pPr>
            <w:r w:rsidRPr="008C3C29">
              <w:rPr>
                <w:rFonts w:ascii="Calibri" w:eastAsia="Times New Roman" w:hAnsi="Calibri" w:cs="Times New Roman"/>
                <w:color w:val="000000"/>
              </w:rPr>
              <w:t>490</w:t>
            </w:r>
          </w:p>
        </w:tc>
        <w:tc>
          <w:tcPr>
            <w:tcW w:w="1004" w:type="dxa"/>
            <w:tcBorders>
              <w:top w:val="nil"/>
              <w:left w:val="nil"/>
              <w:bottom w:val="single" w:sz="4" w:space="0" w:color="auto"/>
              <w:right w:val="nil"/>
            </w:tcBorders>
            <w:shd w:val="clear" w:color="auto" w:fill="auto"/>
            <w:noWrap/>
            <w:vAlign w:val="center"/>
            <w:hideMark/>
          </w:tcPr>
          <w:p w14:paraId="2C82F62B" w14:textId="77777777" w:rsidR="008C3C29" w:rsidRPr="008C3C29" w:rsidRDefault="008C3C29" w:rsidP="008C3C29">
            <w:pPr>
              <w:jc w:val="center"/>
              <w:rPr>
                <w:rFonts w:ascii="Calibri" w:eastAsia="Times New Roman" w:hAnsi="Calibri" w:cs="Times New Roman"/>
                <w:color w:val="000000"/>
              </w:rPr>
            </w:pPr>
            <w:r w:rsidRPr="008C3C29">
              <w:rPr>
                <w:rFonts w:ascii="Calibri" w:eastAsia="Times New Roman" w:hAnsi="Calibri" w:cs="Times New Roman"/>
                <w:color w:val="000000"/>
              </w:rPr>
              <w:t>228</w:t>
            </w:r>
          </w:p>
        </w:tc>
        <w:tc>
          <w:tcPr>
            <w:tcW w:w="1111" w:type="dxa"/>
            <w:tcBorders>
              <w:top w:val="nil"/>
              <w:left w:val="nil"/>
              <w:bottom w:val="single" w:sz="4" w:space="0" w:color="auto"/>
              <w:right w:val="single" w:sz="4" w:space="0" w:color="auto"/>
            </w:tcBorders>
            <w:shd w:val="clear" w:color="auto" w:fill="auto"/>
            <w:noWrap/>
            <w:vAlign w:val="center"/>
            <w:hideMark/>
          </w:tcPr>
          <w:p w14:paraId="372A88DE" w14:textId="77777777" w:rsidR="008C3C29" w:rsidRPr="008C3C29" w:rsidRDefault="008C3C29" w:rsidP="008C3C29">
            <w:pPr>
              <w:jc w:val="center"/>
              <w:rPr>
                <w:rFonts w:ascii="Calibri" w:eastAsia="Times New Roman" w:hAnsi="Calibri" w:cs="Times New Roman"/>
                <w:color w:val="000000"/>
              </w:rPr>
            </w:pPr>
            <w:r w:rsidRPr="008C3C29">
              <w:rPr>
                <w:rFonts w:ascii="Calibri" w:eastAsia="Times New Roman" w:hAnsi="Calibri" w:cs="Times New Roman"/>
                <w:color w:val="000000"/>
              </w:rPr>
              <w:t>46.5%</w:t>
            </w:r>
          </w:p>
        </w:tc>
        <w:tc>
          <w:tcPr>
            <w:tcW w:w="1480" w:type="dxa"/>
            <w:tcBorders>
              <w:top w:val="nil"/>
              <w:left w:val="single" w:sz="4" w:space="0" w:color="auto"/>
              <w:bottom w:val="single" w:sz="4" w:space="0" w:color="auto"/>
              <w:right w:val="nil"/>
            </w:tcBorders>
            <w:shd w:val="clear" w:color="auto" w:fill="auto"/>
            <w:noWrap/>
            <w:vAlign w:val="center"/>
            <w:hideMark/>
          </w:tcPr>
          <w:p w14:paraId="75D17DCB" w14:textId="77777777" w:rsidR="008C3C29" w:rsidRPr="008C3C29" w:rsidRDefault="008C3C29" w:rsidP="008C3C29">
            <w:pPr>
              <w:jc w:val="center"/>
              <w:rPr>
                <w:rFonts w:ascii="Calibri" w:eastAsia="Times New Roman" w:hAnsi="Calibri" w:cs="Times New Roman"/>
                <w:color w:val="000000"/>
              </w:rPr>
            </w:pPr>
            <w:r w:rsidRPr="008C3C29">
              <w:rPr>
                <w:rFonts w:ascii="Calibri" w:eastAsia="Times New Roman" w:hAnsi="Calibri" w:cs="Times New Roman"/>
                <w:color w:val="000000"/>
              </w:rPr>
              <w:t>98</w:t>
            </w:r>
          </w:p>
        </w:tc>
        <w:tc>
          <w:tcPr>
            <w:tcW w:w="790" w:type="dxa"/>
            <w:tcBorders>
              <w:top w:val="nil"/>
              <w:left w:val="nil"/>
              <w:bottom w:val="single" w:sz="4" w:space="0" w:color="auto"/>
              <w:right w:val="nil"/>
            </w:tcBorders>
            <w:shd w:val="clear" w:color="auto" w:fill="auto"/>
            <w:noWrap/>
            <w:vAlign w:val="center"/>
            <w:hideMark/>
          </w:tcPr>
          <w:p w14:paraId="00D3CA17" w14:textId="77777777" w:rsidR="008C3C29" w:rsidRPr="008C3C29" w:rsidRDefault="008C3C29" w:rsidP="008C3C29">
            <w:pPr>
              <w:jc w:val="center"/>
              <w:rPr>
                <w:rFonts w:ascii="Calibri" w:eastAsia="Times New Roman" w:hAnsi="Calibri" w:cs="Times New Roman"/>
                <w:color w:val="000000"/>
              </w:rPr>
            </w:pPr>
            <w:r w:rsidRPr="008C3C29">
              <w:rPr>
                <w:rFonts w:ascii="Calibri" w:eastAsia="Times New Roman" w:hAnsi="Calibri" w:cs="Times New Roman"/>
                <w:color w:val="000000"/>
              </w:rPr>
              <w:t>75</w:t>
            </w:r>
          </w:p>
        </w:tc>
        <w:tc>
          <w:tcPr>
            <w:tcW w:w="1060" w:type="dxa"/>
            <w:tcBorders>
              <w:top w:val="nil"/>
              <w:left w:val="nil"/>
              <w:bottom w:val="single" w:sz="4" w:space="0" w:color="auto"/>
              <w:right w:val="single" w:sz="4" w:space="0" w:color="auto"/>
            </w:tcBorders>
            <w:shd w:val="clear" w:color="auto" w:fill="auto"/>
            <w:noWrap/>
            <w:vAlign w:val="center"/>
            <w:hideMark/>
          </w:tcPr>
          <w:p w14:paraId="57FC72DA" w14:textId="77777777" w:rsidR="008C3C29" w:rsidRPr="008C3C29" w:rsidRDefault="008C3C29" w:rsidP="008C3C29">
            <w:pPr>
              <w:jc w:val="center"/>
              <w:rPr>
                <w:rFonts w:ascii="Calibri" w:eastAsia="Times New Roman" w:hAnsi="Calibri" w:cs="Times New Roman"/>
                <w:color w:val="000000"/>
              </w:rPr>
            </w:pPr>
            <w:r w:rsidRPr="008C3C29">
              <w:rPr>
                <w:rFonts w:ascii="Calibri" w:eastAsia="Times New Roman" w:hAnsi="Calibri" w:cs="Times New Roman"/>
                <w:color w:val="000000"/>
              </w:rPr>
              <w:t>76.5%</w:t>
            </w:r>
          </w:p>
        </w:tc>
        <w:tc>
          <w:tcPr>
            <w:tcW w:w="1420" w:type="dxa"/>
            <w:tcBorders>
              <w:top w:val="nil"/>
              <w:left w:val="single" w:sz="4" w:space="0" w:color="auto"/>
              <w:bottom w:val="single" w:sz="4" w:space="0" w:color="auto"/>
              <w:right w:val="nil"/>
            </w:tcBorders>
            <w:shd w:val="clear" w:color="auto" w:fill="auto"/>
            <w:noWrap/>
            <w:vAlign w:val="center"/>
            <w:hideMark/>
          </w:tcPr>
          <w:p w14:paraId="0ACEEC44" w14:textId="77777777" w:rsidR="008C3C29" w:rsidRPr="008C3C29" w:rsidRDefault="008C3C29" w:rsidP="008C3C29">
            <w:pPr>
              <w:jc w:val="center"/>
              <w:rPr>
                <w:rFonts w:ascii="Calibri" w:eastAsia="Times New Roman" w:hAnsi="Calibri" w:cs="Times New Roman"/>
                <w:color w:val="000000"/>
              </w:rPr>
            </w:pPr>
            <w:r w:rsidRPr="008C3C29">
              <w:rPr>
                <w:rFonts w:ascii="Calibri" w:eastAsia="Times New Roman" w:hAnsi="Calibri" w:cs="Times New Roman"/>
                <w:color w:val="000000"/>
              </w:rPr>
              <w:t>5.77</w:t>
            </w:r>
          </w:p>
        </w:tc>
      </w:tr>
    </w:tbl>
    <w:p w14:paraId="4FC06452" w14:textId="77777777" w:rsidR="008C3C29" w:rsidRPr="00402036" w:rsidRDefault="008C3C29" w:rsidP="005F26F9">
      <w:pPr>
        <w:spacing w:after="120"/>
        <w:jc w:val="both"/>
        <w:rPr>
          <w:rFonts w:ascii="Calibri" w:eastAsia="Calibri" w:hAnsi="Calibri" w:cs="Calibri"/>
          <w:sz w:val="16"/>
          <w:szCs w:val="16"/>
        </w:rPr>
      </w:pPr>
    </w:p>
    <w:p w14:paraId="04D705F5" w14:textId="77777777" w:rsidR="003535FF" w:rsidRDefault="008C3C29" w:rsidP="005F26F9">
      <w:pPr>
        <w:spacing w:after="120"/>
        <w:jc w:val="both"/>
        <w:rPr>
          <w:rFonts w:asciiTheme="majorHAnsi" w:eastAsia="Times New Roman" w:hAnsiTheme="majorHAnsi" w:cstheme="majorHAnsi"/>
          <w:color w:val="222222"/>
          <w:shd w:val="clear" w:color="auto" w:fill="FFFFFF"/>
        </w:rPr>
      </w:pPr>
      <w:r>
        <w:rPr>
          <w:rFonts w:ascii="Calibri" w:eastAsia="Calibri" w:hAnsi="Calibri" w:cs="Calibri"/>
        </w:rPr>
        <w:t xml:space="preserve">The percentage of participants </w:t>
      </w:r>
      <w:r w:rsidR="00402036">
        <w:rPr>
          <w:rFonts w:ascii="Calibri" w:eastAsia="Calibri" w:hAnsi="Calibri" w:cs="Calibri"/>
        </w:rPr>
        <w:t>that</w:t>
      </w:r>
      <w:r>
        <w:rPr>
          <w:rFonts w:ascii="Calibri" w:eastAsia="Calibri" w:hAnsi="Calibri" w:cs="Calibri"/>
        </w:rPr>
        <w:t xml:space="preserve"> completed a screener (46.5%) when $50 was used as an incentive was more than double </w:t>
      </w:r>
      <w:r w:rsidR="00402036">
        <w:rPr>
          <w:rFonts w:ascii="Calibri" w:eastAsia="Calibri" w:hAnsi="Calibri" w:cs="Calibri"/>
        </w:rPr>
        <w:t xml:space="preserve">that of the $40 incentive (20.9%). The show rate was also considerably lower when $40 was offered (64.2%) compared to when $50 was offered (76.5%). For the current </w:t>
      </w:r>
      <w:r w:rsidR="00402036">
        <w:rPr>
          <w:rFonts w:asciiTheme="majorHAnsi" w:eastAsia="Times New Roman" w:hAnsiTheme="majorHAnsi" w:cstheme="majorHAnsi"/>
          <w:color w:val="222222"/>
          <w:shd w:val="clear" w:color="auto" w:fill="FFFFFF"/>
        </w:rPr>
        <w:t>project, we are targeting a limited pool of participants (i.e. parents with children attending research sites) and are attempting to recruit specific groups of parents (i.e. parents from select</w:t>
      </w:r>
      <w:r w:rsidR="003535FF">
        <w:rPr>
          <w:rFonts w:asciiTheme="majorHAnsi" w:eastAsia="Times New Roman" w:hAnsiTheme="majorHAnsi" w:cstheme="majorHAnsi"/>
          <w:color w:val="222222"/>
          <w:shd w:val="clear" w:color="auto" w:fill="FFFFFF"/>
        </w:rPr>
        <w:t xml:space="preserve"> cultural backgrounds)</w:t>
      </w:r>
      <w:r w:rsidR="00402036">
        <w:rPr>
          <w:rFonts w:asciiTheme="majorHAnsi" w:eastAsia="Times New Roman" w:hAnsiTheme="majorHAnsi" w:cstheme="majorHAnsi"/>
          <w:color w:val="222222"/>
          <w:shd w:val="clear" w:color="auto" w:fill="FFFFFF"/>
        </w:rPr>
        <w:t xml:space="preserve">. In order to invite an adequate number of parents to </w:t>
      </w:r>
      <w:r w:rsidR="003535FF">
        <w:rPr>
          <w:rFonts w:asciiTheme="majorHAnsi" w:eastAsia="Times New Roman" w:hAnsiTheme="majorHAnsi" w:cstheme="majorHAnsi"/>
          <w:color w:val="222222"/>
          <w:shd w:val="clear" w:color="auto" w:fill="FFFFFF"/>
        </w:rPr>
        <w:t>the focus groups, we will need</w:t>
      </w:r>
      <w:r w:rsidR="00402036">
        <w:rPr>
          <w:rFonts w:asciiTheme="majorHAnsi" w:eastAsia="Times New Roman" w:hAnsiTheme="majorHAnsi" w:cstheme="majorHAnsi"/>
          <w:color w:val="222222"/>
          <w:shd w:val="clear" w:color="auto" w:fill="FFFFFF"/>
        </w:rPr>
        <w:t xml:space="preserve"> parents to complete screeners at a far higher rate that 20.9%. </w:t>
      </w:r>
    </w:p>
    <w:p w14:paraId="319CE398" w14:textId="3016670C" w:rsidR="00322266" w:rsidRPr="005F26F9" w:rsidRDefault="00322266" w:rsidP="005F26F9">
      <w:pPr>
        <w:spacing w:after="120"/>
        <w:jc w:val="both"/>
        <w:rPr>
          <w:rFonts w:asciiTheme="majorHAnsi" w:eastAsia="Times New Roman" w:hAnsiTheme="majorHAnsi" w:cstheme="majorHAnsi"/>
          <w:color w:val="222222"/>
          <w:shd w:val="clear" w:color="auto" w:fill="FFFFFF"/>
        </w:rPr>
      </w:pPr>
      <w:r w:rsidRPr="005F26F9">
        <w:rPr>
          <w:rFonts w:asciiTheme="majorHAnsi" w:hAnsiTheme="majorHAnsi" w:cstheme="majorHAnsi"/>
        </w:rPr>
        <w:t xml:space="preserve">Given </w:t>
      </w:r>
      <w:r w:rsidR="003535FF">
        <w:rPr>
          <w:rFonts w:asciiTheme="majorHAnsi" w:hAnsiTheme="majorHAnsi" w:cstheme="majorHAnsi"/>
        </w:rPr>
        <w:t>these considerations</w:t>
      </w:r>
      <w:r w:rsidR="003535FF" w:rsidRPr="005F26F9">
        <w:rPr>
          <w:rFonts w:asciiTheme="majorHAnsi" w:hAnsiTheme="majorHAnsi" w:cstheme="majorHAnsi"/>
        </w:rPr>
        <w:t xml:space="preserve"> </w:t>
      </w:r>
      <w:r w:rsidRPr="005F26F9">
        <w:rPr>
          <w:rFonts w:asciiTheme="majorHAnsi" w:hAnsiTheme="majorHAnsi" w:cstheme="majorHAnsi"/>
        </w:rPr>
        <w:t xml:space="preserve">we </w:t>
      </w:r>
      <w:r w:rsidR="008973D3" w:rsidRPr="005F26F9">
        <w:rPr>
          <w:rFonts w:asciiTheme="majorHAnsi" w:hAnsiTheme="majorHAnsi" w:cstheme="majorHAnsi"/>
        </w:rPr>
        <w:t>strong</w:t>
      </w:r>
      <w:r w:rsidR="00C45257">
        <w:rPr>
          <w:rFonts w:asciiTheme="majorHAnsi" w:hAnsiTheme="majorHAnsi" w:cstheme="majorHAnsi"/>
        </w:rPr>
        <w:t>ly</w:t>
      </w:r>
      <w:r w:rsidR="008973D3" w:rsidRPr="005F26F9">
        <w:rPr>
          <w:rFonts w:asciiTheme="majorHAnsi" w:hAnsiTheme="majorHAnsi" w:cstheme="majorHAnsi"/>
        </w:rPr>
        <w:t xml:space="preserve"> recommend utilizing </w:t>
      </w:r>
      <w:r w:rsidR="003535FF">
        <w:rPr>
          <w:rFonts w:asciiTheme="majorHAnsi" w:hAnsiTheme="majorHAnsi" w:cstheme="majorHAnsi"/>
        </w:rPr>
        <w:t xml:space="preserve">a </w:t>
      </w:r>
      <w:r w:rsidR="008973D3" w:rsidRPr="005F26F9">
        <w:rPr>
          <w:rFonts w:asciiTheme="majorHAnsi" w:hAnsiTheme="majorHAnsi" w:cstheme="majorHAnsi"/>
        </w:rPr>
        <w:t xml:space="preserve">$50 incentive to yield </w:t>
      </w:r>
      <w:r w:rsidR="003535FF">
        <w:rPr>
          <w:rFonts w:asciiTheme="majorHAnsi" w:hAnsiTheme="majorHAnsi" w:cstheme="majorHAnsi"/>
        </w:rPr>
        <w:t>adequate recruitment and show rates for 5-6 parents in each focus group.</w:t>
      </w:r>
      <w:r w:rsidR="008973D3" w:rsidRPr="005F26F9">
        <w:rPr>
          <w:rFonts w:asciiTheme="majorHAnsi" w:hAnsiTheme="majorHAnsi" w:cstheme="majorHAnsi"/>
        </w:rPr>
        <w:t xml:space="preserve"> </w:t>
      </w:r>
      <w:r w:rsidRPr="005F26F9">
        <w:rPr>
          <w:rFonts w:asciiTheme="majorHAnsi" w:hAnsiTheme="majorHAnsi" w:cstheme="majorHAnsi"/>
        </w:rPr>
        <w:t xml:space="preserve"> </w:t>
      </w:r>
    </w:p>
    <w:sectPr w:rsidR="00322266" w:rsidRPr="005F26F9" w:rsidSect="00AD272D">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40810" w14:textId="77777777" w:rsidR="003B6288" w:rsidRDefault="003B6288" w:rsidP="007735D7">
      <w:r>
        <w:separator/>
      </w:r>
    </w:p>
  </w:endnote>
  <w:endnote w:type="continuationSeparator" w:id="0">
    <w:p w14:paraId="192664B5" w14:textId="77777777" w:rsidR="003B6288" w:rsidRDefault="003B6288" w:rsidP="0077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E865" w14:textId="77777777" w:rsidR="00402036" w:rsidRDefault="00402036" w:rsidP="00C102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AA1942" w14:textId="77777777" w:rsidR="00402036" w:rsidRDefault="00402036" w:rsidP="00A66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6605A" w14:textId="1C2A54A3" w:rsidR="00402036" w:rsidRDefault="00402036" w:rsidP="00C102B3">
    <w:pPr>
      <w:pStyle w:val="Footer"/>
      <w:ind w:right="360"/>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732F3E">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732F3E">
      <w:rPr>
        <w:rFonts w:ascii="Times New Roman" w:hAnsi="Times New Roman" w:cs="Times New Roman"/>
        <w:noProof/>
      </w:rPr>
      <w:t>2</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AEEB9" w14:textId="77777777" w:rsidR="003B6288" w:rsidRDefault="003B6288" w:rsidP="007735D7">
      <w:r>
        <w:separator/>
      </w:r>
    </w:p>
  </w:footnote>
  <w:footnote w:type="continuationSeparator" w:id="0">
    <w:p w14:paraId="59C38F1D" w14:textId="77777777" w:rsidR="003B6288" w:rsidRDefault="003B6288" w:rsidP="007735D7">
      <w:r>
        <w:continuationSeparator/>
      </w:r>
    </w:p>
  </w:footnote>
  <w:footnote w:id="1">
    <w:p w14:paraId="36984238" w14:textId="65A43411" w:rsidR="00402036" w:rsidRPr="007168B7" w:rsidRDefault="00402036" w:rsidP="007168B7">
      <w:pPr>
        <w:rPr>
          <w:rFonts w:ascii="Times" w:eastAsia="Times New Roman" w:hAnsi="Times" w:cs="Times New Roman"/>
          <w:sz w:val="20"/>
          <w:szCs w:val="20"/>
        </w:rPr>
      </w:pPr>
      <w:r>
        <w:rPr>
          <w:rStyle w:val="FootnoteReference"/>
        </w:rPr>
        <w:footnoteRef/>
      </w:r>
      <w:r>
        <w:t xml:space="preserve"> </w:t>
      </w:r>
      <w:r w:rsidRPr="007168B7">
        <w:rPr>
          <w:rFonts w:ascii="Times" w:eastAsia="Times New Roman" w:hAnsi="Times" w:cs="Times New Roman"/>
          <w:sz w:val="20"/>
          <w:szCs w:val="20"/>
        </w:rPr>
        <w:t xml:space="preserve">National Survey of Early Care and Education Project Team (2016). Fact Sheet: How Far Are Early Care and Education Arrangements from Children’s Homes? OPRE Report No. 2016-10, Washington DC: Office of Planning, Research and Evaluation, Administration for Children and Families, U.S. Department of Health and Human Services. Available at: http://www.acf.hhs.gov/programs/opre/research/project/national-survey-of-early-care-and-educationnsece-2010-2014. </w:t>
      </w:r>
    </w:p>
    <w:p w14:paraId="19FACAE1" w14:textId="31B6383D" w:rsidR="00402036" w:rsidRPr="007168B7" w:rsidRDefault="00402036" w:rsidP="007168B7">
      <w:pPr>
        <w:rPr>
          <w:rFonts w:ascii="Calibri" w:eastAsia="Times New Roman" w:hAnsi="Calibri" w:cs="Times New Roman"/>
          <w:color w:val="222222"/>
          <w:shd w:val="clear" w:color="auto" w:fill="FFFFFF"/>
        </w:rPr>
      </w:pPr>
    </w:p>
  </w:footnote>
  <w:footnote w:id="2">
    <w:p w14:paraId="12684FD4" w14:textId="541C134B" w:rsidR="00402036" w:rsidRPr="00A66820" w:rsidRDefault="00402036">
      <w:pPr>
        <w:pStyle w:val="FootnoteText"/>
        <w:rPr>
          <w:sz w:val="20"/>
          <w:szCs w:val="20"/>
        </w:rPr>
      </w:pPr>
      <w:r w:rsidRPr="00A66820">
        <w:rPr>
          <w:rStyle w:val="FootnoteReference"/>
          <w:sz w:val="20"/>
          <w:szCs w:val="20"/>
        </w:rPr>
        <w:footnoteRef/>
      </w:r>
      <w:r w:rsidRPr="00A66820">
        <w:rPr>
          <w:sz w:val="20"/>
          <w:szCs w:val="20"/>
        </w:rPr>
        <w:t xml:space="preserve"> The layout for the FNS flyer was adapted from the CDC flyer. </w:t>
      </w:r>
    </w:p>
  </w:footnote>
  <w:footnote w:id="3">
    <w:p w14:paraId="15F680BE" w14:textId="79510C89" w:rsidR="00402036" w:rsidRDefault="00402036">
      <w:pPr>
        <w:pStyle w:val="FootnoteText"/>
      </w:pPr>
      <w:r w:rsidRPr="00A66820">
        <w:rPr>
          <w:rStyle w:val="FootnoteReference"/>
          <w:sz w:val="20"/>
          <w:szCs w:val="20"/>
        </w:rPr>
        <w:footnoteRef/>
      </w:r>
      <w:r w:rsidRPr="00A66820">
        <w:rPr>
          <w:sz w:val="20"/>
          <w:szCs w:val="20"/>
        </w:rPr>
        <w:t xml:space="preserve"> Based on the sample of parents attending the institutions and community partners targeted</w:t>
      </w:r>
      <w:r>
        <w:rPr>
          <w:sz w:val="20"/>
          <w:szCs w:val="20"/>
        </w:rPr>
        <w:t xml:space="preserve"> in recruitment</w:t>
      </w:r>
      <w:r w:rsidRPr="00A66820">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0F044" w14:textId="7C72474E" w:rsidR="00402036" w:rsidRDefault="00402036" w:rsidP="008051DA">
    <w:pPr>
      <w:pStyle w:val="Header"/>
      <w:tabs>
        <w:tab w:val="left" w:pos="5760"/>
      </w:tabs>
      <w:jc w:val="right"/>
      <w:rPr>
        <w:rStyle w:val="PageNumber"/>
        <w:rFonts w:ascii="Calibri" w:hAnsi="Calibri"/>
        <w:sz w:val="20"/>
        <w:szCs w:val="20"/>
      </w:rPr>
    </w:pPr>
    <w:r w:rsidRPr="00080CC4">
      <w:rPr>
        <w:rStyle w:val="PageNumber"/>
        <w:rFonts w:ascii="Calibri" w:hAnsi="Calibri"/>
        <w:sz w:val="20"/>
        <w:szCs w:val="20"/>
      </w:rPr>
      <w:t xml:space="preserve"> </w:t>
    </w:r>
  </w:p>
  <w:p w14:paraId="0680797F" w14:textId="10DFC8EF" w:rsidR="00402036" w:rsidRPr="008051DA" w:rsidRDefault="00402036">
    <w:pPr>
      <w:pStyle w:val="Header"/>
      <w:tabs>
        <w:tab w:val="left" w:pos="5760"/>
      </w:tabs>
      <w:jc w:val="right"/>
      <w:rPr>
        <w:rFonts w:ascii="Calibri" w:hAnsi="Calibr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81B90"/>
    <w:multiLevelType w:val="multilevel"/>
    <w:tmpl w:val="2D048094"/>
    <w:lvl w:ilvl="0">
      <w:start w:val="1"/>
      <w:numFmt w:val="decimal"/>
      <w:lvlText w:val="%1."/>
      <w:lvlJc w:val="left"/>
      <w:pPr>
        <w:ind w:left="360" w:hanging="360"/>
      </w:pPr>
      <w:rPr>
        <w:b w:val="0"/>
      </w:rPr>
    </w:lvl>
    <w:lvl w:ilvl="1">
      <w:start w:val="1"/>
      <w:numFmt w:val="bullet"/>
      <w:lvlText w:val="●"/>
      <w:lvlJc w:val="left"/>
      <w:pPr>
        <w:ind w:left="117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AxsbQ0sDA3Njc1MjZR0lEKTi0uzszPAykwqgUA631PSiwAAAA="/>
  </w:docVars>
  <w:rsids>
    <w:rsidRoot w:val="007735D7"/>
    <w:rsid w:val="0005764D"/>
    <w:rsid w:val="00072A5B"/>
    <w:rsid w:val="000A4037"/>
    <w:rsid w:val="000D3AC7"/>
    <w:rsid w:val="00141D48"/>
    <w:rsid w:val="00181694"/>
    <w:rsid w:val="0018549E"/>
    <w:rsid w:val="00185C3B"/>
    <w:rsid w:val="00194CA1"/>
    <w:rsid w:val="001A10A8"/>
    <w:rsid w:val="001B33F3"/>
    <w:rsid w:val="001E42D5"/>
    <w:rsid w:val="00275D5B"/>
    <w:rsid w:val="002C6E7C"/>
    <w:rsid w:val="003007C5"/>
    <w:rsid w:val="00322266"/>
    <w:rsid w:val="003535FF"/>
    <w:rsid w:val="00383B7C"/>
    <w:rsid w:val="003A1C42"/>
    <w:rsid w:val="003B6288"/>
    <w:rsid w:val="003D0CB3"/>
    <w:rsid w:val="00402036"/>
    <w:rsid w:val="004076EF"/>
    <w:rsid w:val="0047159A"/>
    <w:rsid w:val="004E4612"/>
    <w:rsid w:val="004E6AF4"/>
    <w:rsid w:val="005100BD"/>
    <w:rsid w:val="0056216D"/>
    <w:rsid w:val="00564278"/>
    <w:rsid w:val="0057109E"/>
    <w:rsid w:val="0057338A"/>
    <w:rsid w:val="00585622"/>
    <w:rsid w:val="005869C9"/>
    <w:rsid w:val="005F26F9"/>
    <w:rsid w:val="005F3579"/>
    <w:rsid w:val="00607B12"/>
    <w:rsid w:val="006349B1"/>
    <w:rsid w:val="00680D03"/>
    <w:rsid w:val="0068471E"/>
    <w:rsid w:val="00706A5B"/>
    <w:rsid w:val="007168B7"/>
    <w:rsid w:val="00732F3E"/>
    <w:rsid w:val="007601E0"/>
    <w:rsid w:val="00764F61"/>
    <w:rsid w:val="007735D7"/>
    <w:rsid w:val="007938B4"/>
    <w:rsid w:val="007B1538"/>
    <w:rsid w:val="007E49DA"/>
    <w:rsid w:val="007F1253"/>
    <w:rsid w:val="008051DA"/>
    <w:rsid w:val="00846F5C"/>
    <w:rsid w:val="00875E29"/>
    <w:rsid w:val="008973D3"/>
    <w:rsid w:val="008C3C29"/>
    <w:rsid w:val="009417C0"/>
    <w:rsid w:val="009524ED"/>
    <w:rsid w:val="00963093"/>
    <w:rsid w:val="00997BF6"/>
    <w:rsid w:val="009D4CA7"/>
    <w:rsid w:val="00A66820"/>
    <w:rsid w:val="00A7451D"/>
    <w:rsid w:val="00AD272D"/>
    <w:rsid w:val="00B06669"/>
    <w:rsid w:val="00B307EB"/>
    <w:rsid w:val="00B41FDD"/>
    <w:rsid w:val="00BB1B86"/>
    <w:rsid w:val="00BD1835"/>
    <w:rsid w:val="00BE66B3"/>
    <w:rsid w:val="00C102B3"/>
    <w:rsid w:val="00C336C6"/>
    <w:rsid w:val="00C45257"/>
    <w:rsid w:val="00C55A68"/>
    <w:rsid w:val="00C915EE"/>
    <w:rsid w:val="00CC3D10"/>
    <w:rsid w:val="00D33BA3"/>
    <w:rsid w:val="00D42BD8"/>
    <w:rsid w:val="00D6655D"/>
    <w:rsid w:val="00D9345B"/>
    <w:rsid w:val="00DB04A9"/>
    <w:rsid w:val="00DB5775"/>
    <w:rsid w:val="00E16499"/>
    <w:rsid w:val="00E57DCE"/>
    <w:rsid w:val="00E6513C"/>
    <w:rsid w:val="00E819F4"/>
    <w:rsid w:val="00E94AF5"/>
    <w:rsid w:val="00F141DF"/>
    <w:rsid w:val="00F8375D"/>
    <w:rsid w:val="00FA7135"/>
    <w:rsid w:val="00FB3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F7C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04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35D7"/>
  </w:style>
  <w:style w:type="character" w:customStyle="1" w:styleId="FootnoteTextChar">
    <w:name w:val="Footnote Text Char"/>
    <w:basedOn w:val="DefaultParagraphFont"/>
    <w:link w:val="FootnoteText"/>
    <w:uiPriority w:val="99"/>
    <w:rsid w:val="007735D7"/>
  </w:style>
  <w:style w:type="character" w:styleId="FootnoteReference">
    <w:name w:val="footnote reference"/>
    <w:basedOn w:val="DefaultParagraphFont"/>
    <w:uiPriority w:val="99"/>
    <w:unhideWhenUsed/>
    <w:rsid w:val="007735D7"/>
    <w:rPr>
      <w:vertAlign w:val="superscript"/>
    </w:rPr>
  </w:style>
  <w:style w:type="character" w:styleId="Hyperlink">
    <w:name w:val="Hyperlink"/>
    <w:basedOn w:val="DefaultParagraphFont"/>
    <w:uiPriority w:val="99"/>
    <w:unhideWhenUsed/>
    <w:rsid w:val="007735D7"/>
    <w:rPr>
      <w:color w:val="0000FF" w:themeColor="hyperlink"/>
      <w:u w:val="single"/>
    </w:rPr>
  </w:style>
  <w:style w:type="paragraph" w:styleId="BalloonText">
    <w:name w:val="Balloon Text"/>
    <w:basedOn w:val="Normal"/>
    <w:link w:val="BalloonTextChar"/>
    <w:uiPriority w:val="99"/>
    <w:semiHidden/>
    <w:unhideWhenUsed/>
    <w:rsid w:val="004E6AF4"/>
    <w:rPr>
      <w:rFonts w:ascii="Tahoma" w:hAnsi="Tahoma" w:cs="Tahoma"/>
      <w:sz w:val="16"/>
      <w:szCs w:val="16"/>
    </w:rPr>
  </w:style>
  <w:style w:type="character" w:customStyle="1" w:styleId="BalloonTextChar">
    <w:name w:val="Balloon Text Char"/>
    <w:basedOn w:val="DefaultParagraphFont"/>
    <w:link w:val="BalloonText"/>
    <w:uiPriority w:val="99"/>
    <w:semiHidden/>
    <w:rsid w:val="004E6AF4"/>
    <w:rPr>
      <w:rFonts w:ascii="Tahoma" w:hAnsi="Tahoma" w:cs="Tahoma"/>
      <w:sz w:val="16"/>
      <w:szCs w:val="16"/>
    </w:rPr>
  </w:style>
  <w:style w:type="paragraph" w:styleId="Header">
    <w:name w:val="header"/>
    <w:basedOn w:val="Normal"/>
    <w:link w:val="HeaderChar"/>
    <w:uiPriority w:val="99"/>
    <w:unhideWhenUsed/>
    <w:rsid w:val="008051DA"/>
    <w:pPr>
      <w:tabs>
        <w:tab w:val="center" w:pos="4320"/>
        <w:tab w:val="right" w:pos="8640"/>
      </w:tabs>
    </w:pPr>
  </w:style>
  <w:style w:type="character" w:customStyle="1" w:styleId="HeaderChar">
    <w:name w:val="Header Char"/>
    <w:basedOn w:val="DefaultParagraphFont"/>
    <w:link w:val="Header"/>
    <w:uiPriority w:val="99"/>
    <w:rsid w:val="008051DA"/>
  </w:style>
  <w:style w:type="paragraph" w:styleId="Footer">
    <w:name w:val="footer"/>
    <w:basedOn w:val="Normal"/>
    <w:link w:val="FooterChar"/>
    <w:uiPriority w:val="99"/>
    <w:unhideWhenUsed/>
    <w:rsid w:val="008051DA"/>
    <w:pPr>
      <w:tabs>
        <w:tab w:val="center" w:pos="4320"/>
        <w:tab w:val="right" w:pos="8640"/>
      </w:tabs>
    </w:pPr>
  </w:style>
  <w:style w:type="character" w:customStyle="1" w:styleId="FooterChar">
    <w:name w:val="Footer Char"/>
    <w:basedOn w:val="DefaultParagraphFont"/>
    <w:link w:val="Footer"/>
    <w:uiPriority w:val="99"/>
    <w:rsid w:val="008051DA"/>
  </w:style>
  <w:style w:type="character" w:styleId="PageNumber">
    <w:name w:val="page number"/>
    <w:rsid w:val="008051DA"/>
  </w:style>
  <w:style w:type="character" w:styleId="FollowedHyperlink">
    <w:name w:val="FollowedHyperlink"/>
    <w:basedOn w:val="DefaultParagraphFont"/>
    <w:uiPriority w:val="99"/>
    <w:semiHidden/>
    <w:unhideWhenUsed/>
    <w:rsid w:val="00383B7C"/>
    <w:rPr>
      <w:color w:val="800080" w:themeColor="followedHyperlink"/>
      <w:u w:val="single"/>
    </w:rPr>
  </w:style>
  <w:style w:type="paragraph" w:customStyle="1" w:styleId="Normal1">
    <w:name w:val="Normal1"/>
    <w:rsid w:val="005100BD"/>
    <w:pPr>
      <w:pBdr>
        <w:top w:val="nil"/>
        <w:left w:val="nil"/>
        <w:bottom w:val="nil"/>
        <w:right w:val="nil"/>
        <w:between w:val="nil"/>
      </w:pBdr>
    </w:pPr>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DB04A9"/>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AD272D"/>
  </w:style>
  <w:style w:type="character" w:styleId="CommentReference">
    <w:name w:val="annotation reference"/>
    <w:basedOn w:val="DefaultParagraphFont"/>
    <w:uiPriority w:val="99"/>
    <w:semiHidden/>
    <w:unhideWhenUsed/>
    <w:rsid w:val="008973D3"/>
    <w:rPr>
      <w:sz w:val="16"/>
      <w:szCs w:val="16"/>
    </w:rPr>
  </w:style>
  <w:style w:type="paragraph" w:styleId="CommentText">
    <w:name w:val="annotation text"/>
    <w:basedOn w:val="Normal"/>
    <w:link w:val="CommentTextChar"/>
    <w:uiPriority w:val="99"/>
    <w:semiHidden/>
    <w:unhideWhenUsed/>
    <w:rsid w:val="008973D3"/>
    <w:rPr>
      <w:sz w:val="20"/>
      <w:szCs w:val="20"/>
    </w:rPr>
  </w:style>
  <w:style w:type="character" w:customStyle="1" w:styleId="CommentTextChar">
    <w:name w:val="Comment Text Char"/>
    <w:basedOn w:val="DefaultParagraphFont"/>
    <w:link w:val="CommentText"/>
    <w:uiPriority w:val="99"/>
    <w:semiHidden/>
    <w:rsid w:val="008973D3"/>
    <w:rPr>
      <w:sz w:val="20"/>
      <w:szCs w:val="20"/>
    </w:rPr>
  </w:style>
  <w:style w:type="paragraph" w:styleId="CommentSubject">
    <w:name w:val="annotation subject"/>
    <w:basedOn w:val="CommentText"/>
    <w:next w:val="CommentText"/>
    <w:link w:val="CommentSubjectChar"/>
    <w:uiPriority w:val="99"/>
    <w:semiHidden/>
    <w:unhideWhenUsed/>
    <w:rsid w:val="008973D3"/>
    <w:rPr>
      <w:b/>
      <w:bCs/>
    </w:rPr>
  </w:style>
  <w:style w:type="character" w:customStyle="1" w:styleId="CommentSubjectChar">
    <w:name w:val="Comment Subject Char"/>
    <w:basedOn w:val="CommentTextChar"/>
    <w:link w:val="CommentSubject"/>
    <w:uiPriority w:val="99"/>
    <w:semiHidden/>
    <w:rsid w:val="008973D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04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35D7"/>
  </w:style>
  <w:style w:type="character" w:customStyle="1" w:styleId="FootnoteTextChar">
    <w:name w:val="Footnote Text Char"/>
    <w:basedOn w:val="DefaultParagraphFont"/>
    <w:link w:val="FootnoteText"/>
    <w:uiPriority w:val="99"/>
    <w:rsid w:val="007735D7"/>
  </w:style>
  <w:style w:type="character" w:styleId="FootnoteReference">
    <w:name w:val="footnote reference"/>
    <w:basedOn w:val="DefaultParagraphFont"/>
    <w:uiPriority w:val="99"/>
    <w:unhideWhenUsed/>
    <w:rsid w:val="007735D7"/>
    <w:rPr>
      <w:vertAlign w:val="superscript"/>
    </w:rPr>
  </w:style>
  <w:style w:type="character" w:styleId="Hyperlink">
    <w:name w:val="Hyperlink"/>
    <w:basedOn w:val="DefaultParagraphFont"/>
    <w:uiPriority w:val="99"/>
    <w:unhideWhenUsed/>
    <w:rsid w:val="007735D7"/>
    <w:rPr>
      <w:color w:val="0000FF" w:themeColor="hyperlink"/>
      <w:u w:val="single"/>
    </w:rPr>
  </w:style>
  <w:style w:type="paragraph" w:styleId="BalloonText">
    <w:name w:val="Balloon Text"/>
    <w:basedOn w:val="Normal"/>
    <w:link w:val="BalloonTextChar"/>
    <w:uiPriority w:val="99"/>
    <w:semiHidden/>
    <w:unhideWhenUsed/>
    <w:rsid w:val="004E6AF4"/>
    <w:rPr>
      <w:rFonts w:ascii="Tahoma" w:hAnsi="Tahoma" w:cs="Tahoma"/>
      <w:sz w:val="16"/>
      <w:szCs w:val="16"/>
    </w:rPr>
  </w:style>
  <w:style w:type="character" w:customStyle="1" w:styleId="BalloonTextChar">
    <w:name w:val="Balloon Text Char"/>
    <w:basedOn w:val="DefaultParagraphFont"/>
    <w:link w:val="BalloonText"/>
    <w:uiPriority w:val="99"/>
    <w:semiHidden/>
    <w:rsid w:val="004E6AF4"/>
    <w:rPr>
      <w:rFonts w:ascii="Tahoma" w:hAnsi="Tahoma" w:cs="Tahoma"/>
      <w:sz w:val="16"/>
      <w:szCs w:val="16"/>
    </w:rPr>
  </w:style>
  <w:style w:type="paragraph" w:styleId="Header">
    <w:name w:val="header"/>
    <w:basedOn w:val="Normal"/>
    <w:link w:val="HeaderChar"/>
    <w:uiPriority w:val="99"/>
    <w:unhideWhenUsed/>
    <w:rsid w:val="008051DA"/>
    <w:pPr>
      <w:tabs>
        <w:tab w:val="center" w:pos="4320"/>
        <w:tab w:val="right" w:pos="8640"/>
      </w:tabs>
    </w:pPr>
  </w:style>
  <w:style w:type="character" w:customStyle="1" w:styleId="HeaderChar">
    <w:name w:val="Header Char"/>
    <w:basedOn w:val="DefaultParagraphFont"/>
    <w:link w:val="Header"/>
    <w:uiPriority w:val="99"/>
    <w:rsid w:val="008051DA"/>
  </w:style>
  <w:style w:type="paragraph" w:styleId="Footer">
    <w:name w:val="footer"/>
    <w:basedOn w:val="Normal"/>
    <w:link w:val="FooterChar"/>
    <w:uiPriority w:val="99"/>
    <w:unhideWhenUsed/>
    <w:rsid w:val="008051DA"/>
    <w:pPr>
      <w:tabs>
        <w:tab w:val="center" w:pos="4320"/>
        <w:tab w:val="right" w:pos="8640"/>
      </w:tabs>
    </w:pPr>
  </w:style>
  <w:style w:type="character" w:customStyle="1" w:styleId="FooterChar">
    <w:name w:val="Footer Char"/>
    <w:basedOn w:val="DefaultParagraphFont"/>
    <w:link w:val="Footer"/>
    <w:uiPriority w:val="99"/>
    <w:rsid w:val="008051DA"/>
  </w:style>
  <w:style w:type="character" w:styleId="PageNumber">
    <w:name w:val="page number"/>
    <w:rsid w:val="008051DA"/>
  </w:style>
  <w:style w:type="character" w:styleId="FollowedHyperlink">
    <w:name w:val="FollowedHyperlink"/>
    <w:basedOn w:val="DefaultParagraphFont"/>
    <w:uiPriority w:val="99"/>
    <w:semiHidden/>
    <w:unhideWhenUsed/>
    <w:rsid w:val="00383B7C"/>
    <w:rPr>
      <w:color w:val="800080" w:themeColor="followedHyperlink"/>
      <w:u w:val="single"/>
    </w:rPr>
  </w:style>
  <w:style w:type="paragraph" w:customStyle="1" w:styleId="Normal1">
    <w:name w:val="Normal1"/>
    <w:rsid w:val="005100BD"/>
    <w:pPr>
      <w:pBdr>
        <w:top w:val="nil"/>
        <w:left w:val="nil"/>
        <w:bottom w:val="nil"/>
        <w:right w:val="nil"/>
        <w:between w:val="nil"/>
      </w:pBdr>
    </w:pPr>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DB04A9"/>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AD272D"/>
  </w:style>
  <w:style w:type="character" w:styleId="CommentReference">
    <w:name w:val="annotation reference"/>
    <w:basedOn w:val="DefaultParagraphFont"/>
    <w:uiPriority w:val="99"/>
    <w:semiHidden/>
    <w:unhideWhenUsed/>
    <w:rsid w:val="008973D3"/>
    <w:rPr>
      <w:sz w:val="16"/>
      <w:szCs w:val="16"/>
    </w:rPr>
  </w:style>
  <w:style w:type="paragraph" w:styleId="CommentText">
    <w:name w:val="annotation text"/>
    <w:basedOn w:val="Normal"/>
    <w:link w:val="CommentTextChar"/>
    <w:uiPriority w:val="99"/>
    <w:semiHidden/>
    <w:unhideWhenUsed/>
    <w:rsid w:val="008973D3"/>
    <w:rPr>
      <w:sz w:val="20"/>
      <w:szCs w:val="20"/>
    </w:rPr>
  </w:style>
  <w:style w:type="character" w:customStyle="1" w:styleId="CommentTextChar">
    <w:name w:val="Comment Text Char"/>
    <w:basedOn w:val="DefaultParagraphFont"/>
    <w:link w:val="CommentText"/>
    <w:uiPriority w:val="99"/>
    <w:semiHidden/>
    <w:rsid w:val="008973D3"/>
    <w:rPr>
      <w:sz w:val="20"/>
      <w:szCs w:val="20"/>
    </w:rPr>
  </w:style>
  <w:style w:type="paragraph" w:styleId="CommentSubject">
    <w:name w:val="annotation subject"/>
    <w:basedOn w:val="CommentText"/>
    <w:next w:val="CommentText"/>
    <w:link w:val="CommentSubjectChar"/>
    <w:uiPriority w:val="99"/>
    <w:semiHidden/>
    <w:unhideWhenUsed/>
    <w:rsid w:val="008973D3"/>
    <w:rPr>
      <w:b/>
      <w:bCs/>
    </w:rPr>
  </w:style>
  <w:style w:type="character" w:customStyle="1" w:styleId="CommentSubjectChar">
    <w:name w:val="Comment Subject Char"/>
    <w:basedOn w:val="CommentTextChar"/>
    <w:link w:val="CommentSubject"/>
    <w:uiPriority w:val="99"/>
    <w:semiHidden/>
    <w:rsid w:val="008973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8706">
      <w:bodyDiv w:val="1"/>
      <w:marLeft w:val="0"/>
      <w:marRight w:val="0"/>
      <w:marTop w:val="0"/>
      <w:marBottom w:val="0"/>
      <w:divBdr>
        <w:top w:val="none" w:sz="0" w:space="0" w:color="auto"/>
        <w:left w:val="none" w:sz="0" w:space="0" w:color="auto"/>
        <w:bottom w:val="none" w:sz="0" w:space="0" w:color="auto"/>
        <w:right w:val="none" w:sz="0" w:space="0" w:color="auto"/>
      </w:divBdr>
    </w:div>
    <w:div w:id="206335779">
      <w:bodyDiv w:val="1"/>
      <w:marLeft w:val="0"/>
      <w:marRight w:val="0"/>
      <w:marTop w:val="0"/>
      <w:marBottom w:val="0"/>
      <w:divBdr>
        <w:top w:val="none" w:sz="0" w:space="0" w:color="auto"/>
        <w:left w:val="none" w:sz="0" w:space="0" w:color="auto"/>
        <w:bottom w:val="none" w:sz="0" w:space="0" w:color="auto"/>
        <w:right w:val="none" w:sz="0" w:space="0" w:color="auto"/>
      </w:divBdr>
    </w:div>
    <w:div w:id="215505699">
      <w:bodyDiv w:val="1"/>
      <w:marLeft w:val="0"/>
      <w:marRight w:val="0"/>
      <w:marTop w:val="0"/>
      <w:marBottom w:val="0"/>
      <w:divBdr>
        <w:top w:val="none" w:sz="0" w:space="0" w:color="auto"/>
        <w:left w:val="none" w:sz="0" w:space="0" w:color="auto"/>
        <w:bottom w:val="none" w:sz="0" w:space="0" w:color="auto"/>
        <w:right w:val="none" w:sz="0" w:space="0" w:color="auto"/>
      </w:divBdr>
    </w:div>
    <w:div w:id="376050779">
      <w:bodyDiv w:val="1"/>
      <w:marLeft w:val="0"/>
      <w:marRight w:val="0"/>
      <w:marTop w:val="0"/>
      <w:marBottom w:val="0"/>
      <w:divBdr>
        <w:top w:val="none" w:sz="0" w:space="0" w:color="auto"/>
        <w:left w:val="none" w:sz="0" w:space="0" w:color="auto"/>
        <w:bottom w:val="none" w:sz="0" w:space="0" w:color="auto"/>
        <w:right w:val="none" w:sz="0" w:space="0" w:color="auto"/>
      </w:divBdr>
    </w:div>
    <w:div w:id="414862726">
      <w:bodyDiv w:val="1"/>
      <w:marLeft w:val="0"/>
      <w:marRight w:val="0"/>
      <w:marTop w:val="0"/>
      <w:marBottom w:val="0"/>
      <w:divBdr>
        <w:top w:val="none" w:sz="0" w:space="0" w:color="auto"/>
        <w:left w:val="none" w:sz="0" w:space="0" w:color="auto"/>
        <w:bottom w:val="none" w:sz="0" w:space="0" w:color="auto"/>
        <w:right w:val="none" w:sz="0" w:space="0" w:color="auto"/>
      </w:divBdr>
    </w:div>
    <w:div w:id="428236857">
      <w:bodyDiv w:val="1"/>
      <w:marLeft w:val="0"/>
      <w:marRight w:val="0"/>
      <w:marTop w:val="0"/>
      <w:marBottom w:val="0"/>
      <w:divBdr>
        <w:top w:val="none" w:sz="0" w:space="0" w:color="auto"/>
        <w:left w:val="none" w:sz="0" w:space="0" w:color="auto"/>
        <w:bottom w:val="none" w:sz="0" w:space="0" w:color="auto"/>
        <w:right w:val="none" w:sz="0" w:space="0" w:color="auto"/>
      </w:divBdr>
    </w:div>
    <w:div w:id="429666710">
      <w:bodyDiv w:val="1"/>
      <w:marLeft w:val="0"/>
      <w:marRight w:val="0"/>
      <w:marTop w:val="0"/>
      <w:marBottom w:val="0"/>
      <w:divBdr>
        <w:top w:val="none" w:sz="0" w:space="0" w:color="auto"/>
        <w:left w:val="none" w:sz="0" w:space="0" w:color="auto"/>
        <w:bottom w:val="none" w:sz="0" w:space="0" w:color="auto"/>
        <w:right w:val="none" w:sz="0" w:space="0" w:color="auto"/>
      </w:divBdr>
    </w:div>
    <w:div w:id="461575973">
      <w:bodyDiv w:val="1"/>
      <w:marLeft w:val="0"/>
      <w:marRight w:val="0"/>
      <w:marTop w:val="0"/>
      <w:marBottom w:val="0"/>
      <w:divBdr>
        <w:top w:val="none" w:sz="0" w:space="0" w:color="auto"/>
        <w:left w:val="none" w:sz="0" w:space="0" w:color="auto"/>
        <w:bottom w:val="none" w:sz="0" w:space="0" w:color="auto"/>
        <w:right w:val="none" w:sz="0" w:space="0" w:color="auto"/>
      </w:divBdr>
    </w:div>
    <w:div w:id="1188787164">
      <w:bodyDiv w:val="1"/>
      <w:marLeft w:val="0"/>
      <w:marRight w:val="0"/>
      <w:marTop w:val="0"/>
      <w:marBottom w:val="0"/>
      <w:divBdr>
        <w:top w:val="none" w:sz="0" w:space="0" w:color="auto"/>
        <w:left w:val="none" w:sz="0" w:space="0" w:color="auto"/>
        <w:bottom w:val="none" w:sz="0" w:space="0" w:color="auto"/>
        <w:right w:val="none" w:sz="0" w:space="0" w:color="auto"/>
      </w:divBdr>
    </w:div>
    <w:div w:id="1488597143">
      <w:bodyDiv w:val="1"/>
      <w:marLeft w:val="0"/>
      <w:marRight w:val="0"/>
      <w:marTop w:val="0"/>
      <w:marBottom w:val="0"/>
      <w:divBdr>
        <w:top w:val="none" w:sz="0" w:space="0" w:color="auto"/>
        <w:left w:val="none" w:sz="0" w:space="0" w:color="auto"/>
        <w:bottom w:val="none" w:sz="0" w:space="0" w:color="auto"/>
        <w:right w:val="none" w:sz="0" w:space="0" w:color="auto"/>
      </w:divBdr>
    </w:div>
    <w:div w:id="1532648476">
      <w:bodyDiv w:val="1"/>
      <w:marLeft w:val="0"/>
      <w:marRight w:val="0"/>
      <w:marTop w:val="0"/>
      <w:marBottom w:val="0"/>
      <w:divBdr>
        <w:top w:val="none" w:sz="0" w:space="0" w:color="auto"/>
        <w:left w:val="none" w:sz="0" w:space="0" w:color="auto"/>
        <w:bottom w:val="none" w:sz="0" w:space="0" w:color="auto"/>
        <w:right w:val="none" w:sz="0" w:space="0" w:color="auto"/>
      </w:divBdr>
    </w:div>
    <w:div w:id="1545170585">
      <w:bodyDiv w:val="1"/>
      <w:marLeft w:val="0"/>
      <w:marRight w:val="0"/>
      <w:marTop w:val="0"/>
      <w:marBottom w:val="0"/>
      <w:divBdr>
        <w:top w:val="none" w:sz="0" w:space="0" w:color="auto"/>
        <w:left w:val="none" w:sz="0" w:space="0" w:color="auto"/>
        <w:bottom w:val="none" w:sz="0" w:space="0" w:color="auto"/>
        <w:right w:val="none" w:sz="0" w:space="0" w:color="auto"/>
      </w:divBdr>
    </w:div>
    <w:div w:id="1554610251">
      <w:bodyDiv w:val="1"/>
      <w:marLeft w:val="0"/>
      <w:marRight w:val="0"/>
      <w:marTop w:val="0"/>
      <w:marBottom w:val="0"/>
      <w:divBdr>
        <w:top w:val="none" w:sz="0" w:space="0" w:color="auto"/>
        <w:left w:val="none" w:sz="0" w:space="0" w:color="auto"/>
        <w:bottom w:val="none" w:sz="0" w:space="0" w:color="auto"/>
        <w:right w:val="none" w:sz="0" w:space="0" w:color="auto"/>
      </w:divBdr>
    </w:div>
    <w:div w:id="1565020105">
      <w:bodyDiv w:val="1"/>
      <w:marLeft w:val="0"/>
      <w:marRight w:val="0"/>
      <w:marTop w:val="0"/>
      <w:marBottom w:val="0"/>
      <w:divBdr>
        <w:top w:val="none" w:sz="0" w:space="0" w:color="auto"/>
        <w:left w:val="none" w:sz="0" w:space="0" w:color="auto"/>
        <w:bottom w:val="none" w:sz="0" w:space="0" w:color="auto"/>
        <w:right w:val="none" w:sz="0" w:space="0" w:color="auto"/>
      </w:divBdr>
    </w:div>
    <w:div w:id="1985621359">
      <w:bodyDiv w:val="1"/>
      <w:marLeft w:val="0"/>
      <w:marRight w:val="0"/>
      <w:marTop w:val="0"/>
      <w:marBottom w:val="0"/>
      <w:divBdr>
        <w:top w:val="none" w:sz="0" w:space="0" w:color="auto"/>
        <w:left w:val="none" w:sz="0" w:space="0" w:color="auto"/>
        <w:bottom w:val="none" w:sz="0" w:space="0" w:color="auto"/>
        <w:right w:val="none" w:sz="0" w:space="0" w:color="auto"/>
      </w:divBdr>
    </w:div>
    <w:div w:id="2084446911">
      <w:bodyDiv w:val="1"/>
      <w:marLeft w:val="0"/>
      <w:marRight w:val="0"/>
      <w:marTop w:val="0"/>
      <w:marBottom w:val="0"/>
      <w:divBdr>
        <w:top w:val="none" w:sz="0" w:space="0" w:color="auto"/>
        <w:left w:val="none" w:sz="0" w:space="0" w:color="auto"/>
        <w:bottom w:val="none" w:sz="0" w:space="0" w:color="auto"/>
        <w:right w:val="none" w:sz="0" w:space="0" w:color="auto"/>
      </w:divBdr>
    </w:div>
    <w:div w:id="2092042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6B44-DD15-403F-BBC0-D400CC8E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SYSTEM</cp:lastModifiedBy>
  <cp:revision>2</cp:revision>
  <cp:lastPrinted>2015-04-09T18:46:00Z</cp:lastPrinted>
  <dcterms:created xsi:type="dcterms:W3CDTF">2018-07-26T16:32:00Z</dcterms:created>
  <dcterms:modified xsi:type="dcterms:W3CDTF">2018-07-26T16:32:00Z</dcterms:modified>
</cp:coreProperties>
</file>