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A405" w14:textId="05019E52" w:rsidR="00D40F0A" w:rsidRPr="00AB7BE6" w:rsidRDefault="00D40F0A" w:rsidP="00D40F0A">
      <w:pPr>
        <w:rPr>
          <w:color w:val="000000"/>
          <w:sz w:val="24"/>
          <w:szCs w:val="24"/>
        </w:rPr>
      </w:pPr>
      <w:bookmarkStart w:id="0" w:name="_GoBack"/>
      <w:bookmarkEnd w:id="0"/>
      <w:r>
        <w:rPr>
          <w:b/>
          <w:color w:val="000000"/>
          <w:sz w:val="24"/>
          <w:szCs w:val="24"/>
        </w:rPr>
        <w:t xml:space="preserve">American Community Survey (ACS) Respondent </w:t>
      </w:r>
      <w:r w:rsidR="00AD6035">
        <w:rPr>
          <w:b/>
          <w:color w:val="000000"/>
          <w:sz w:val="24"/>
          <w:szCs w:val="24"/>
        </w:rPr>
        <w:t>Comment/</w:t>
      </w:r>
      <w:r>
        <w:rPr>
          <w:b/>
          <w:color w:val="000000"/>
          <w:sz w:val="24"/>
          <w:szCs w:val="24"/>
        </w:rPr>
        <w:t>Feedback</w:t>
      </w:r>
    </w:p>
    <w:p w14:paraId="3DA01C46" w14:textId="4BB6F8D2" w:rsidR="00D40F0A" w:rsidRDefault="00D40F0A" w:rsidP="00D40F0A">
      <w:pPr>
        <w:rPr>
          <w:color w:val="000000"/>
          <w:sz w:val="24"/>
          <w:szCs w:val="24"/>
        </w:rPr>
      </w:pPr>
      <w:r w:rsidRPr="00AB7BE6">
        <w:rPr>
          <w:b/>
          <w:color w:val="000000"/>
          <w:sz w:val="24"/>
          <w:szCs w:val="24"/>
        </w:rPr>
        <w:t>Request</w:t>
      </w:r>
      <w:r w:rsidRPr="00AB7BE6">
        <w:rPr>
          <w:color w:val="000000"/>
          <w:sz w:val="24"/>
          <w:szCs w:val="24"/>
        </w:rPr>
        <w:t>:</w:t>
      </w:r>
      <w:r w:rsidR="00AE13B5">
        <w:rPr>
          <w:color w:val="000000"/>
          <w:sz w:val="24"/>
          <w:szCs w:val="24"/>
        </w:rPr>
        <w:t xml:space="preserve"> The Census Bureau</w:t>
      </w:r>
      <w:r w:rsidR="00200F55">
        <w:rPr>
          <w:color w:val="000000"/>
          <w:sz w:val="24"/>
          <w:szCs w:val="24"/>
        </w:rPr>
        <w:t xml:space="preserve"> received approval under the generic clearance for questionnaire pretesting research (OMB number 0607-0725; approval received February 22, 2018) </w:t>
      </w:r>
      <w:r w:rsidR="005B378D">
        <w:rPr>
          <w:color w:val="000000"/>
          <w:sz w:val="24"/>
          <w:szCs w:val="24"/>
        </w:rPr>
        <w:t xml:space="preserve">to </w:t>
      </w:r>
      <w:r w:rsidR="00DF2CC3">
        <w:rPr>
          <w:color w:val="000000"/>
          <w:sz w:val="24"/>
          <w:szCs w:val="24"/>
        </w:rPr>
        <w:t>complete</w:t>
      </w:r>
      <w:r w:rsidR="00200F55">
        <w:rPr>
          <w:color w:val="000000"/>
          <w:sz w:val="24"/>
          <w:szCs w:val="24"/>
        </w:rPr>
        <w:t xml:space="preserve"> two rounds of cognitive pretesting on </w:t>
      </w:r>
      <w:r w:rsidR="00A607FF">
        <w:rPr>
          <w:color w:val="000000"/>
          <w:sz w:val="24"/>
          <w:szCs w:val="24"/>
        </w:rPr>
        <w:t xml:space="preserve">a </w:t>
      </w:r>
      <w:r w:rsidR="00200F55">
        <w:rPr>
          <w:color w:val="000000"/>
          <w:sz w:val="24"/>
          <w:szCs w:val="24"/>
        </w:rPr>
        <w:t>new respondent comment and feedback question on the ACS. Round 1 was completed in April 2018 by staff of the Center for Survey Measu</w:t>
      </w:r>
      <w:r w:rsidR="00BF11EA">
        <w:rPr>
          <w:color w:val="000000"/>
          <w:sz w:val="24"/>
          <w:szCs w:val="24"/>
        </w:rPr>
        <w:t>rement (CSM) and Round 2 will be starting in July 2018.</w:t>
      </w:r>
      <w:r w:rsidR="00200F55">
        <w:rPr>
          <w:color w:val="000000"/>
          <w:sz w:val="24"/>
          <w:szCs w:val="24"/>
        </w:rPr>
        <w:t xml:space="preserve"> </w:t>
      </w:r>
      <w:r w:rsidR="003459DF">
        <w:rPr>
          <w:color w:val="000000"/>
          <w:sz w:val="24"/>
          <w:szCs w:val="24"/>
        </w:rPr>
        <w:t xml:space="preserve"> </w:t>
      </w:r>
      <w:r w:rsidR="005B378D">
        <w:rPr>
          <w:color w:val="000000"/>
          <w:sz w:val="24"/>
          <w:szCs w:val="24"/>
        </w:rPr>
        <w:t xml:space="preserve"> </w:t>
      </w:r>
    </w:p>
    <w:p w14:paraId="34D87276" w14:textId="0DF63FA1" w:rsidR="00BF11EA" w:rsidRPr="00E01D40" w:rsidRDefault="00BF11EA" w:rsidP="007506F7">
      <w:pPr>
        <w:spacing w:line="240" w:lineRule="auto"/>
        <w:rPr>
          <w:color w:val="000000"/>
          <w:sz w:val="24"/>
          <w:szCs w:val="24"/>
        </w:rPr>
      </w:pPr>
      <w:r>
        <w:rPr>
          <w:color w:val="000000"/>
          <w:sz w:val="24"/>
          <w:szCs w:val="24"/>
        </w:rPr>
        <w:t xml:space="preserve">For Round 2 of testing, we will plan to cognitively pretest </w:t>
      </w:r>
      <w:r w:rsidR="00A607FF">
        <w:rPr>
          <w:color w:val="000000"/>
          <w:sz w:val="24"/>
          <w:szCs w:val="24"/>
        </w:rPr>
        <w:t xml:space="preserve">two versions of </w:t>
      </w:r>
      <w:r>
        <w:rPr>
          <w:color w:val="000000"/>
          <w:sz w:val="24"/>
          <w:szCs w:val="24"/>
        </w:rPr>
        <w:t>the respondent comment and feedback question.</w:t>
      </w:r>
      <w:r w:rsidR="00416B5F">
        <w:rPr>
          <w:color w:val="000000"/>
          <w:sz w:val="24"/>
          <w:szCs w:val="24"/>
        </w:rPr>
        <w:t xml:space="preserve"> In addition, we intend to </w:t>
      </w:r>
      <w:r w:rsidR="00416B5F" w:rsidRPr="003C4258">
        <w:rPr>
          <w:color w:val="000000"/>
          <w:sz w:val="24"/>
          <w:szCs w:val="24"/>
        </w:rPr>
        <w:t xml:space="preserve">cognitively </w:t>
      </w:r>
      <w:r w:rsidR="006A15B1">
        <w:rPr>
          <w:color w:val="000000"/>
          <w:sz w:val="24"/>
          <w:szCs w:val="24"/>
        </w:rPr>
        <w:t>pre</w:t>
      </w:r>
      <w:r w:rsidR="00416B5F" w:rsidRPr="003C4258">
        <w:rPr>
          <w:color w:val="000000"/>
          <w:sz w:val="24"/>
          <w:szCs w:val="24"/>
        </w:rPr>
        <w:t>test interactions between the Hispanic Origin and Race questions with the Ancestry question</w:t>
      </w:r>
      <w:r w:rsidR="00416B5F">
        <w:rPr>
          <w:color w:val="000000"/>
          <w:sz w:val="24"/>
          <w:szCs w:val="24"/>
        </w:rPr>
        <w:t xml:space="preserve">. The </w:t>
      </w:r>
      <w:r w:rsidR="00416B5F" w:rsidRPr="00BB1FFA">
        <w:rPr>
          <w:color w:val="000000"/>
          <w:sz w:val="24"/>
          <w:szCs w:val="24"/>
        </w:rPr>
        <w:t>U.S. Census Bureau has contracted with Westat, a statistical survey research corporation headquartered in Rockville, Maryland, to perform cognitive testing</w:t>
      </w:r>
      <w:r w:rsidR="00416B5F">
        <w:rPr>
          <w:color w:val="000000"/>
          <w:sz w:val="24"/>
          <w:szCs w:val="24"/>
        </w:rPr>
        <w:t xml:space="preserve"> on the interaction of these questions, and th</w:t>
      </w:r>
      <w:r w:rsidR="00A607FF">
        <w:rPr>
          <w:color w:val="000000"/>
          <w:sz w:val="24"/>
          <w:szCs w:val="24"/>
        </w:rPr>
        <w:t>is</w:t>
      </w:r>
      <w:r w:rsidR="00416B5F">
        <w:rPr>
          <w:color w:val="000000"/>
          <w:sz w:val="24"/>
          <w:szCs w:val="24"/>
        </w:rPr>
        <w:t xml:space="preserve"> proposed research aims to supplement the cognitive </w:t>
      </w:r>
      <w:r w:rsidR="00A607FF">
        <w:rPr>
          <w:color w:val="000000"/>
          <w:sz w:val="24"/>
          <w:szCs w:val="24"/>
        </w:rPr>
        <w:t>results</w:t>
      </w:r>
      <w:r w:rsidR="00416B5F">
        <w:rPr>
          <w:color w:val="000000"/>
          <w:sz w:val="24"/>
          <w:szCs w:val="24"/>
        </w:rPr>
        <w:t xml:space="preserve"> by Westat (see the 2018 American Community Survey Respondent Burden Testing that was approved May 22, 2018).</w:t>
      </w:r>
      <w:r>
        <w:rPr>
          <w:color w:val="000000"/>
          <w:sz w:val="24"/>
          <w:szCs w:val="24"/>
        </w:rPr>
        <w:t xml:space="preserve"> </w:t>
      </w:r>
    </w:p>
    <w:p w14:paraId="168562F3" w14:textId="77777777" w:rsidR="007734A4" w:rsidRDefault="00D40F0A" w:rsidP="00D40F0A">
      <w:pPr>
        <w:rPr>
          <w:sz w:val="24"/>
          <w:szCs w:val="24"/>
        </w:rPr>
      </w:pPr>
      <w:r w:rsidRPr="00AB7BE6">
        <w:rPr>
          <w:b/>
          <w:sz w:val="24"/>
          <w:szCs w:val="24"/>
        </w:rPr>
        <w:t>Purpose</w:t>
      </w:r>
      <w:r w:rsidRPr="00AB7BE6">
        <w:rPr>
          <w:sz w:val="24"/>
          <w:szCs w:val="24"/>
        </w:rPr>
        <w:t>:</w:t>
      </w:r>
      <w:r w:rsidR="00872FF2">
        <w:rPr>
          <w:sz w:val="24"/>
          <w:szCs w:val="24"/>
        </w:rPr>
        <w:t xml:space="preserve"> </w:t>
      </w:r>
    </w:p>
    <w:p w14:paraId="0E0F8585" w14:textId="7685FFB7" w:rsidR="007734A4" w:rsidRPr="00E01D40" w:rsidRDefault="007734A4" w:rsidP="00D40F0A">
      <w:pPr>
        <w:rPr>
          <w:i/>
          <w:sz w:val="24"/>
          <w:szCs w:val="24"/>
        </w:rPr>
      </w:pPr>
      <w:r>
        <w:rPr>
          <w:i/>
          <w:sz w:val="24"/>
          <w:szCs w:val="24"/>
        </w:rPr>
        <w:t xml:space="preserve">ACS Respondent Comment/Feedback </w:t>
      </w:r>
    </w:p>
    <w:p w14:paraId="36425F27" w14:textId="5F039E0C" w:rsidR="007734A4" w:rsidRDefault="007734A4" w:rsidP="00D40F0A">
      <w:pPr>
        <w:rPr>
          <w:sz w:val="24"/>
          <w:szCs w:val="24"/>
        </w:rPr>
      </w:pPr>
      <w:r>
        <w:rPr>
          <w:sz w:val="24"/>
          <w:szCs w:val="24"/>
        </w:rPr>
        <w:t xml:space="preserve">The purpose of this testing is to develop </w:t>
      </w:r>
      <w:r w:rsidR="00A607FF">
        <w:rPr>
          <w:sz w:val="24"/>
          <w:szCs w:val="24"/>
        </w:rPr>
        <w:t xml:space="preserve">a </w:t>
      </w:r>
      <w:r>
        <w:rPr>
          <w:sz w:val="24"/>
          <w:szCs w:val="24"/>
        </w:rPr>
        <w:t xml:space="preserve">question where respondents believe they can adequately voice their opinion about the ACS and do not feel they need to call the Census Bureau.  </w:t>
      </w:r>
      <w:r w:rsidR="00A607FF">
        <w:rPr>
          <w:sz w:val="24"/>
          <w:szCs w:val="24"/>
        </w:rPr>
        <w:t xml:space="preserve">Multiple versions </w:t>
      </w:r>
      <w:r>
        <w:rPr>
          <w:sz w:val="24"/>
          <w:szCs w:val="24"/>
        </w:rPr>
        <w:t>of</w:t>
      </w:r>
      <w:r w:rsidR="00E01D40">
        <w:rPr>
          <w:sz w:val="24"/>
          <w:szCs w:val="24"/>
        </w:rPr>
        <w:t xml:space="preserve"> the</w:t>
      </w:r>
      <w:r>
        <w:rPr>
          <w:sz w:val="24"/>
          <w:szCs w:val="24"/>
        </w:rPr>
        <w:t xml:space="preserve"> respondent comment and feedback question </w:t>
      </w:r>
      <w:r w:rsidR="00A607FF">
        <w:rPr>
          <w:sz w:val="24"/>
          <w:szCs w:val="24"/>
        </w:rPr>
        <w:t>were</w:t>
      </w:r>
      <w:r>
        <w:rPr>
          <w:sz w:val="24"/>
          <w:szCs w:val="24"/>
        </w:rPr>
        <w:t xml:space="preserve"> tested in Round 1 and a subset of them will be tested in Round 2. </w:t>
      </w:r>
      <w:r w:rsidR="00247BD5">
        <w:rPr>
          <w:sz w:val="24"/>
          <w:szCs w:val="24"/>
        </w:rPr>
        <w:t xml:space="preserve">The goal is to add a question at the </w:t>
      </w:r>
      <w:r w:rsidR="00A607FF">
        <w:rPr>
          <w:sz w:val="24"/>
          <w:szCs w:val="24"/>
        </w:rPr>
        <w:t>end</w:t>
      </w:r>
      <w:r w:rsidR="00247BD5">
        <w:rPr>
          <w:sz w:val="24"/>
          <w:szCs w:val="24"/>
        </w:rPr>
        <w:t xml:space="preserve"> of the ACS questionnaire where</w:t>
      </w:r>
      <w:r w:rsidR="001B2A42">
        <w:rPr>
          <w:sz w:val="24"/>
          <w:szCs w:val="24"/>
        </w:rPr>
        <w:t xml:space="preserve"> </w:t>
      </w:r>
      <w:r w:rsidR="00247BD5">
        <w:rPr>
          <w:sz w:val="24"/>
          <w:szCs w:val="24"/>
        </w:rPr>
        <w:t xml:space="preserve">respondents will be able to provide their comments and feedback. </w:t>
      </w:r>
    </w:p>
    <w:p w14:paraId="62EAE5AC" w14:textId="788270B3" w:rsidR="007734A4" w:rsidRDefault="007734A4" w:rsidP="00D40F0A">
      <w:pPr>
        <w:rPr>
          <w:i/>
          <w:sz w:val="24"/>
          <w:szCs w:val="24"/>
        </w:rPr>
      </w:pPr>
      <w:r>
        <w:rPr>
          <w:i/>
          <w:sz w:val="24"/>
          <w:szCs w:val="24"/>
        </w:rPr>
        <w:t xml:space="preserve">Ancestry </w:t>
      </w:r>
    </w:p>
    <w:p w14:paraId="087AE341" w14:textId="77777777" w:rsidR="007734A4" w:rsidRPr="000E2E43" w:rsidRDefault="007734A4" w:rsidP="007734A4">
      <w:pPr>
        <w:pStyle w:val="NoSpacing"/>
        <w:rPr>
          <w:sz w:val="24"/>
        </w:rPr>
      </w:pPr>
      <w:r w:rsidRPr="000E2E43">
        <w:rPr>
          <w:sz w:val="24"/>
        </w:rPr>
        <w:t>The Census Bureau has proposed to revise the two separate questions on Hispanic origin and race on the 2020 ACS. The questions will be revised to have write-in fields for White and Black or African American; examples will be added for the categories White, Black or African American, and American Indian or Alaska Native; and revisions will be made to the examples for several categories. These changes are reflected in the “Questions Planned for the 2020 Census and the American Community Survey” (U.S. Census Bureau, 2018).</w:t>
      </w:r>
      <w:r w:rsidRPr="000E2E43">
        <w:rPr>
          <w:sz w:val="24"/>
          <w:vertAlign w:val="superscript"/>
        </w:rPr>
        <w:footnoteReference w:id="1"/>
      </w:r>
      <w:r w:rsidRPr="000E2E43">
        <w:rPr>
          <w:sz w:val="24"/>
        </w:rPr>
        <w:t xml:space="preserve"> The ACS also asks a question later in the survey about ancestry. The expansion of the race question allows the Census Bureau to obtain detailed origin information for all household members, making it possible to consider whether the information already provided in response to the Hispanic origin and race questions may fulfill the data needs the ancestry question is intended to fill.  </w:t>
      </w:r>
    </w:p>
    <w:p w14:paraId="6D6CDC06" w14:textId="77777777" w:rsidR="007734A4" w:rsidRDefault="007734A4" w:rsidP="007734A4">
      <w:pPr>
        <w:pStyle w:val="NoSpacing"/>
        <w:rPr>
          <w:sz w:val="24"/>
        </w:rPr>
      </w:pPr>
    </w:p>
    <w:p w14:paraId="0441C0DA" w14:textId="77777777" w:rsidR="007734A4" w:rsidRPr="000E2E43" w:rsidRDefault="007734A4" w:rsidP="007734A4">
      <w:pPr>
        <w:pStyle w:val="NoSpacing"/>
        <w:rPr>
          <w:sz w:val="24"/>
        </w:rPr>
      </w:pPr>
      <w:r w:rsidRPr="000E2E43">
        <w:rPr>
          <w:sz w:val="24"/>
        </w:rPr>
        <w:t>The 2016 Content Test included a race question very similar to what is proposed for the 2020 ACS. The 2016 Content Test cognitive testing as well as field testing indicated that some respondents found the ancestry question repetitive.</w:t>
      </w:r>
      <w:r w:rsidRPr="000E2E43">
        <w:rPr>
          <w:sz w:val="24"/>
          <w:vertAlign w:val="superscript"/>
        </w:rPr>
        <w:footnoteReference w:id="2"/>
      </w:r>
      <w:r w:rsidRPr="000E2E43">
        <w:rPr>
          <w:sz w:val="24"/>
        </w:rPr>
        <w:t xml:space="preserve"> Additionally, analysis of the 2016 Content </w:t>
      </w:r>
      <w:r w:rsidRPr="000E2E43">
        <w:rPr>
          <w:sz w:val="24"/>
        </w:rPr>
        <w:lastRenderedPageBreak/>
        <w:t>Test showed that between 72.5 percent and 74.0 percent of respondents provided the same response to the ancestry question that was reported in the race and Hispanic origin questions.</w:t>
      </w:r>
      <w:r w:rsidRPr="000E2E43">
        <w:rPr>
          <w:sz w:val="24"/>
          <w:vertAlign w:val="superscript"/>
        </w:rPr>
        <w:footnoteReference w:id="3"/>
      </w:r>
      <w:r w:rsidRPr="000E2E43">
        <w:rPr>
          <w:sz w:val="24"/>
        </w:rPr>
        <w:t xml:space="preserve"> The Census Bureau is conducting additional research to learn more about the perceived redundancies in the Hispanic origin/race and ancestry questions. This cognitive testing will help to understand whether or not the ancestry question remains to be perceived as repetitive, how respondents interpret the questions, and how information gathered from the Hispanic origin and race questions compares to information gathered from the ancestry question.</w:t>
      </w:r>
    </w:p>
    <w:p w14:paraId="7E0BFB20" w14:textId="38A40739" w:rsidR="007E70D3" w:rsidRDefault="007E70D3" w:rsidP="00D40F0A">
      <w:pPr>
        <w:rPr>
          <w:sz w:val="24"/>
          <w:szCs w:val="24"/>
        </w:rPr>
      </w:pPr>
    </w:p>
    <w:p w14:paraId="62D57725" w14:textId="1B371CB8" w:rsidR="00D40F0A" w:rsidRDefault="00D40F0A" w:rsidP="00D40F0A">
      <w:pPr>
        <w:rPr>
          <w:sz w:val="24"/>
          <w:szCs w:val="24"/>
        </w:rPr>
      </w:pPr>
      <w:r w:rsidRPr="00AB7BE6">
        <w:rPr>
          <w:b/>
          <w:sz w:val="24"/>
          <w:szCs w:val="24"/>
        </w:rPr>
        <w:t>Population of Interest</w:t>
      </w:r>
      <w:r w:rsidRPr="00AB7BE6">
        <w:rPr>
          <w:sz w:val="24"/>
          <w:szCs w:val="24"/>
        </w:rPr>
        <w:t>:</w:t>
      </w:r>
      <w:r w:rsidR="00954EC0">
        <w:rPr>
          <w:sz w:val="24"/>
          <w:szCs w:val="24"/>
        </w:rPr>
        <w:t xml:space="preserve"> For Round 2, we will </w:t>
      </w:r>
      <w:r w:rsidR="007734A4">
        <w:rPr>
          <w:sz w:val="24"/>
          <w:szCs w:val="24"/>
        </w:rPr>
        <w:t xml:space="preserve">still be </w:t>
      </w:r>
      <w:r w:rsidR="00453D24">
        <w:rPr>
          <w:sz w:val="24"/>
          <w:szCs w:val="24"/>
        </w:rPr>
        <w:t>interview</w:t>
      </w:r>
      <w:r w:rsidR="007734A4">
        <w:rPr>
          <w:sz w:val="24"/>
          <w:szCs w:val="24"/>
        </w:rPr>
        <w:t xml:space="preserve">ing </w:t>
      </w:r>
      <w:r w:rsidR="00954EC0">
        <w:rPr>
          <w:sz w:val="24"/>
          <w:szCs w:val="24"/>
        </w:rPr>
        <w:t>respondents from the general population</w:t>
      </w:r>
      <w:r w:rsidR="007734A4">
        <w:rPr>
          <w:sz w:val="24"/>
          <w:szCs w:val="24"/>
        </w:rPr>
        <w:t xml:space="preserve"> as originally planned. However, we will now </w:t>
      </w:r>
      <w:r w:rsidR="00453D24">
        <w:rPr>
          <w:sz w:val="24"/>
          <w:szCs w:val="24"/>
        </w:rPr>
        <w:t>focus on</w:t>
      </w:r>
      <w:r w:rsidR="007734A4">
        <w:rPr>
          <w:sz w:val="24"/>
          <w:szCs w:val="24"/>
        </w:rPr>
        <w:t xml:space="preserve"> recruit</w:t>
      </w:r>
      <w:r w:rsidR="00453D24">
        <w:rPr>
          <w:sz w:val="24"/>
          <w:szCs w:val="24"/>
        </w:rPr>
        <w:t>ing</w:t>
      </w:r>
      <w:r w:rsidR="007734A4">
        <w:rPr>
          <w:sz w:val="24"/>
          <w:szCs w:val="24"/>
        </w:rPr>
        <w:t xml:space="preserve"> respondents from various races, ethnicities, and ancestries, as described below</w:t>
      </w:r>
      <w:r w:rsidR="004E51F1">
        <w:rPr>
          <w:sz w:val="24"/>
          <w:szCs w:val="24"/>
        </w:rPr>
        <w:t xml:space="preserve"> in </w:t>
      </w:r>
      <w:r w:rsidR="0042414E">
        <w:rPr>
          <w:sz w:val="24"/>
          <w:szCs w:val="24"/>
        </w:rPr>
        <w:t xml:space="preserve">the </w:t>
      </w:r>
      <w:r w:rsidR="004E51F1">
        <w:rPr>
          <w:sz w:val="24"/>
          <w:szCs w:val="24"/>
        </w:rPr>
        <w:t>“Sample and Recruitment” section</w:t>
      </w:r>
      <w:r w:rsidR="007734A4">
        <w:rPr>
          <w:sz w:val="24"/>
          <w:szCs w:val="24"/>
        </w:rPr>
        <w:t xml:space="preserve">. </w:t>
      </w:r>
    </w:p>
    <w:p w14:paraId="3248B0D7" w14:textId="2173B3B4" w:rsidR="00D40F0A" w:rsidRDefault="00D40F0A" w:rsidP="00D40F0A">
      <w:pPr>
        <w:rPr>
          <w:sz w:val="24"/>
          <w:szCs w:val="24"/>
        </w:rPr>
      </w:pPr>
      <w:r w:rsidRPr="00AB7BE6">
        <w:rPr>
          <w:b/>
          <w:color w:val="000000"/>
          <w:sz w:val="24"/>
          <w:szCs w:val="24"/>
        </w:rPr>
        <w:t>Timeline</w:t>
      </w:r>
      <w:r w:rsidRPr="00AB7BE6">
        <w:rPr>
          <w:color w:val="000000"/>
          <w:sz w:val="24"/>
          <w:szCs w:val="24"/>
        </w:rPr>
        <w:t>:</w:t>
      </w:r>
      <w:r w:rsidR="00446906">
        <w:rPr>
          <w:color w:val="000000"/>
          <w:sz w:val="24"/>
          <w:szCs w:val="24"/>
        </w:rPr>
        <w:t xml:space="preserve"> The first round </w:t>
      </w:r>
      <w:r w:rsidR="00CF0419">
        <w:rPr>
          <w:color w:val="000000"/>
          <w:sz w:val="24"/>
          <w:szCs w:val="24"/>
        </w:rPr>
        <w:t xml:space="preserve">of cognitive testing was conducted between March </w:t>
      </w:r>
      <w:r w:rsidR="00EF015F">
        <w:rPr>
          <w:color w:val="000000"/>
          <w:sz w:val="24"/>
          <w:szCs w:val="24"/>
        </w:rPr>
        <w:t xml:space="preserve">and </w:t>
      </w:r>
      <w:r w:rsidR="00CF0419">
        <w:rPr>
          <w:color w:val="000000"/>
          <w:sz w:val="24"/>
          <w:szCs w:val="24"/>
        </w:rPr>
        <w:t>April 2018, as originally intended. The second round of cognitive testing was originally planned to be conducted from June to July 2018 but will now be</w:t>
      </w:r>
      <w:r w:rsidR="006A15B1">
        <w:rPr>
          <w:color w:val="000000"/>
          <w:sz w:val="24"/>
          <w:szCs w:val="24"/>
        </w:rPr>
        <w:t xml:space="preserve"> </w:t>
      </w:r>
      <w:r w:rsidR="00D4359B">
        <w:rPr>
          <w:color w:val="000000"/>
          <w:sz w:val="24"/>
          <w:szCs w:val="24"/>
        </w:rPr>
        <w:t xml:space="preserve">conducted in </w:t>
      </w:r>
      <w:r w:rsidR="00CF0419">
        <w:rPr>
          <w:color w:val="000000"/>
          <w:sz w:val="24"/>
          <w:szCs w:val="24"/>
        </w:rPr>
        <w:t xml:space="preserve">July 2018.  </w:t>
      </w:r>
    </w:p>
    <w:p w14:paraId="29B4FF40" w14:textId="3ECF7C97" w:rsidR="00D40F0A" w:rsidRDefault="00D40F0A" w:rsidP="00D40F0A">
      <w:pPr>
        <w:rPr>
          <w:sz w:val="24"/>
          <w:szCs w:val="24"/>
        </w:rPr>
      </w:pPr>
      <w:r w:rsidRPr="00AB7BE6">
        <w:rPr>
          <w:b/>
          <w:color w:val="000000"/>
          <w:sz w:val="24"/>
          <w:szCs w:val="24"/>
        </w:rPr>
        <w:t>Language</w:t>
      </w:r>
      <w:r w:rsidRPr="00AB7BE6">
        <w:rPr>
          <w:color w:val="000000"/>
          <w:sz w:val="24"/>
          <w:szCs w:val="24"/>
        </w:rPr>
        <w:t>:</w:t>
      </w:r>
      <w:r w:rsidR="0079167C">
        <w:rPr>
          <w:color w:val="000000"/>
          <w:sz w:val="24"/>
          <w:szCs w:val="24"/>
        </w:rPr>
        <w:t xml:space="preserve"> </w:t>
      </w:r>
      <w:r w:rsidR="00CF0419">
        <w:rPr>
          <w:color w:val="000000"/>
          <w:sz w:val="24"/>
          <w:szCs w:val="24"/>
        </w:rPr>
        <w:t xml:space="preserve">As </w:t>
      </w:r>
      <w:r w:rsidR="00D4359B">
        <w:rPr>
          <w:color w:val="000000"/>
          <w:sz w:val="24"/>
          <w:szCs w:val="24"/>
        </w:rPr>
        <w:t xml:space="preserve">noted </w:t>
      </w:r>
      <w:r w:rsidR="00CF0419">
        <w:rPr>
          <w:color w:val="000000"/>
          <w:sz w:val="24"/>
          <w:szCs w:val="24"/>
        </w:rPr>
        <w:t>in the previous OMB approval, c</w:t>
      </w:r>
      <w:r w:rsidR="0079167C">
        <w:rPr>
          <w:color w:val="000000"/>
          <w:sz w:val="24"/>
          <w:szCs w:val="24"/>
        </w:rPr>
        <w:t xml:space="preserve">ognitive testing for this research will be in English only. </w:t>
      </w:r>
    </w:p>
    <w:p w14:paraId="1FB0F73E" w14:textId="53F2A48F" w:rsidR="00D40F0A" w:rsidRDefault="00D40F0A" w:rsidP="00D40F0A">
      <w:pPr>
        <w:rPr>
          <w:sz w:val="24"/>
          <w:szCs w:val="24"/>
        </w:rPr>
      </w:pPr>
      <w:r w:rsidRPr="00AB7BE6">
        <w:rPr>
          <w:b/>
          <w:color w:val="000000"/>
          <w:sz w:val="24"/>
          <w:szCs w:val="24"/>
        </w:rPr>
        <w:t>Method</w:t>
      </w:r>
      <w:r w:rsidRPr="00AB7BE6">
        <w:rPr>
          <w:color w:val="000000"/>
          <w:sz w:val="24"/>
          <w:szCs w:val="24"/>
        </w:rPr>
        <w:t>:</w:t>
      </w:r>
      <w:r w:rsidR="0079167C">
        <w:rPr>
          <w:color w:val="000000"/>
          <w:sz w:val="24"/>
          <w:szCs w:val="24"/>
        </w:rPr>
        <w:t xml:space="preserve"> </w:t>
      </w:r>
      <w:r w:rsidR="009E662F">
        <w:rPr>
          <w:color w:val="000000"/>
          <w:sz w:val="24"/>
          <w:szCs w:val="24"/>
        </w:rPr>
        <w:t xml:space="preserve">As mentioned above, </w:t>
      </w:r>
      <w:r w:rsidR="00584B21">
        <w:rPr>
          <w:color w:val="000000"/>
          <w:sz w:val="24"/>
          <w:szCs w:val="24"/>
        </w:rPr>
        <w:t>Round 2</w:t>
      </w:r>
      <w:r w:rsidR="00FC7B11">
        <w:rPr>
          <w:color w:val="000000"/>
          <w:sz w:val="24"/>
          <w:szCs w:val="24"/>
        </w:rPr>
        <w:t xml:space="preserve"> of</w:t>
      </w:r>
      <w:r w:rsidR="00584B21">
        <w:rPr>
          <w:color w:val="000000"/>
          <w:sz w:val="24"/>
          <w:szCs w:val="24"/>
        </w:rPr>
        <w:t xml:space="preserve"> this project will </w:t>
      </w:r>
      <w:r w:rsidR="00FC7B11">
        <w:rPr>
          <w:color w:val="000000"/>
          <w:sz w:val="24"/>
          <w:szCs w:val="24"/>
        </w:rPr>
        <w:t>be conducted in conjunction with</w:t>
      </w:r>
      <w:r w:rsidR="00F3310A">
        <w:rPr>
          <w:color w:val="000000"/>
          <w:sz w:val="24"/>
          <w:szCs w:val="24"/>
        </w:rPr>
        <w:t xml:space="preserve"> </w:t>
      </w:r>
      <w:r w:rsidR="00EF015F">
        <w:rPr>
          <w:color w:val="000000"/>
          <w:sz w:val="24"/>
          <w:szCs w:val="24"/>
        </w:rPr>
        <w:t>the Ancestry</w:t>
      </w:r>
      <w:r w:rsidR="00F3310A">
        <w:rPr>
          <w:color w:val="000000"/>
          <w:sz w:val="24"/>
          <w:szCs w:val="24"/>
        </w:rPr>
        <w:t xml:space="preserve"> Questions</w:t>
      </w:r>
      <w:r w:rsidR="009E662F">
        <w:rPr>
          <w:color w:val="000000"/>
          <w:sz w:val="24"/>
          <w:szCs w:val="24"/>
        </w:rPr>
        <w:t xml:space="preserve">. The number of interviews for Round 2 will still be 15. </w:t>
      </w:r>
      <w:r w:rsidR="00584B21">
        <w:rPr>
          <w:color w:val="000000"/>
          <w:sz w:val="24"/>
          <w:szCs w:val="24"/>
        </w:rPr>
        <w:t xml:space="preserve"> </w:t>
      </w:r>
    </w:p>
    <w:p w14:paraId="379D08BE" w14:textId="4991FD50" w:rsidR="005611F4" w:rsidRPr="00DF2CC3" w:rsidRDefault="00D40F0A" w:rsidP="00F5668C">
      <w:pPr>
        <w:rPr>
          <w:color w:val="000000"/>
          <w:sz w:val="24"/>
          <w:szCs w:val="24"/>
        </w:rPr>
      </w:pPr>
      <w:r w:rsidRPr="00AB7BE6">
        <w:rPr>
          <w:b/>
          <w:color w:val="000000"/>
          <w:sz w:val="24"/>
          <w:szCs w:val="24"/>
        </w:rPr>
        <w:t>Sampl</w:t>
      </w:r>
      <w:r w:rsidR="00304CF7">
        <w:rPr>
          <w:b/>
          <w:color w:val="000000"/>
          <w:sz w:val="24"/>
          <w:szCs w:val="24"/>
        </w:rPr>
        <w:t>e and Recruitment</w:t>
      </w:r>
      <w:r w:rsidRPr="00D40F0A">
        <w:rPr>
          <w:color w:val="000000"/>
          <w:sz w:val="24"/>
          <w:szCs w:val="24"/>
        </w:rPr>
        <w:t>:</w:t>
      </w:r>
      <w:r w:rsidR="004C52E7">
        <w:rPr>
          <w:color w:val="000000"/>
          <w:sz w:val="24"/>
          <w:szCs w:val="24"/>
        </w:rPr>
        <w:t xml:space="preserve"> </w:t>
      </w:r>
      <w:r w:rsidR="003F0123">
        <w:rPr>
          <w:color w:val="000000"/>
          <w:sz w:val="24"/>
          <w:szCs w:val="24"/>
        </w:rPr>
        <w:t>As originally planned</w:t>
      </w:r>
      <w:r w:rsidR="005E705D">
        <w:rPr>
          <w:color w:val="000000"/>
          <w:sz w:val="24"/>
          <w:szCs w:val="24"/>
        </w:rPr>
        <w:t xml:space="preserve">, </w:t>
      </w:r>
      <w:r w:rsidR="001E68D4">
        <w:rPr>
          <w:color w:val="000000"/>
          <w:sz w:val="24"/>
          <w:szCs w:val="24"/>
        </w:rPr>
        <w:t xml:space="preserve">respondents </w:t>
      </w:r>
      <w:r w:rsidR="003F0123">
        <w:rPr>
          <w:color w:val="000000"/>
          <w:sz w:val="24"/>
          <w:szCs w:val="24"/>
        </w:rPr>
        <w:t xml:space="preserve">in Round 2 </w:t>
      </w:r>
      <w:r w:rsidR="001E68D4">
        <w:rPr>
          <w:color w:val="000000"/>
          <w:sz w:val="24"/>
          <w:szCs w:val="24"/>
        </w:rPr>
        <w:t>will be recruited from the general population and all interviews will be conducted in the Washington DC area.</w:t>
      </w:r>
      <w:r w:rsidR="00F05968">
        <w:rPr>
          <w:color w:val="000000"/>
          <w:sz w:val="24"/>
          <w:szCs w:val="24"/>
        </w:rPr>
        <w:t xml:space="preserve"> </w:t>
      </w:r>
      <w:r w:rsidR="00D4359B">
        <w:rPr>
          <w:color w:val="000000"/>
          <w:sz w:val="24"/>
          <w:szCs w:val="24"/>
        </w:rPr>
        <w:t>R</w:t>
      </w:r>
      <w:r w:rsidR="00F05968">
        <w:rPr>
          <w:color w:val="000000"/>
          <w:sz w:val="24"/>
          <w:szCs w:val="24"/>
        </w:rPr>
        <w:t>espondents will be recruited by CSM staff using the following methods: advert</w:t>
      </w:r>
      <w:r w:rsidR="0042414E">
        <w:rPr>
          <w:color w:val="000000"/>
          <w:sz w:val="24"/>
          <w:szCs w:val="24"/>
        </w:rPr>
        <w:t xml:space="preserve">isement postings on Craigslist and </w:t>
      </w:r>
      <w:r w:rsidR="00F05968">
        <w:rPr>
          <w:color w:val="000000"/>
          <w:sz w:val="24"/>
          <w:szCs w:val="24"/>
        </w:rPr>
        <w:t>broadcast messages distribut</w:t>
      </w:r>
      <w:r w:rsidR="0042414E">
        <w:rPr>
          <w:color w:val="000000"/>
          <w:sz w:val="24"/>
          <w:szCs w:val="24"/>
        </w:rPr>
        <w:t>ed to Census headquarters staff</w:t>
      </w:r>
      <w:r w:rsidR="00F05968">
        <w:rPr>
          <w:color w:val="000000"/>
          <w:sz w:val="24"/>
          <w:szCs w:val="24"/>
        </w:rPr>
        <w:t xml:space="preserve">. See Enclosure 7 for the recruitment advertisement. Respondents who are interested in participating in testing will be administered the Census Bureau generic pretesting screener questionnaire. </w:t>
      </w:r>
      <w:r w:rsidR="009F766F">
        <w:rPr>
          <w:color w:val="000000"/>
          <w:sz w:val="24"/>
          <w:szCs w:val="24"/>
        </w:rPr>
        <w:t>We</w:t>
      </w:r>
      <w:r w:rsidR="00665D00">
        <w:rPr>
          <w:color w:val="000000"/>
          <w:sz w:val="24"/>
          <w:szCs w:val="24"/>
        </w:rPr>
        <w:t xml:space="preserve"> will be looking for respondents who handle the mail in their household </w:t>
      </w:r>
      <w:r w:rsidR="00CD1AAA">
        <w:rPr>
          <w:color w:val="000000"/>
          <w:sz w:val="24"/>
          <w:szCs w:val="24"/>
        </w:rPr>
        <w:t>and</w:t>
      </w:r>
      <w:r w:rsidR="00AF1A26">
        <w:rPr>
          <w:color w:val="000000"/>
          <w:sz w:val="24"/>
          <w:szCs w:val="24"/>
        </w:rPr>
        <w:t xml:space="preserve"> who </w:t>
      </w:r>
      <w:r w:rsidR="000C3915">
        <w:rPr>
          <w:color w:val="000000"/>
          <w:sz w:val="24"/>
          <w:szCs w:val="24"/>
        </w:rPr>
        <w:t>live</w:t>
      </w:r>
      <w:r w:rsidR="005611F4">
        <w:rPr>
          <w:color w:val="000000"/>
          <w:sz w:val="24"/>
          <w:szCs w:val="24"/>
        </w:rPr>
        <w:t xml:space="preserve"> with at least one other adult. </w:t>
      </w:r>
      <w:r w:rsidR="00665D00">
        <w:rPr>
          <w:color w:val="000000"/>
          <w:sz w:val="24"/>
          <w:szCs w:val="24"/>
        </w:rPr>
        <w:t xml:space="preserve">For </w:t>
      </w:r>
      <w:r w:rsidR="005611F4">
        <w:rPr>
          <w:color w:val="000000"/>
          <w:sz w:val="24"/>
        </w:rPr>
        <w:t>testing the race, Hispanic origin, and ancestry question, we will recruit r</w:t>
      </w:r>
      <w:r w:rsidR="005611F4" w:rsidRPr="00A83675">
        <w:rPr>
          <w:color w:val="000000"/>
          <w:sz w:val="24"/>
        </w:rPr>
        <w:t>espondents in specific race and ancestry groups</w:t>
      </w:r>
      <w:r w:rsidR="00CD1AAA">
        <w:rPr>
          <w:color w:val="000000"/>
          <w:sz w:val="24"/>
        </w:rPr>
        <w:t>, as follows</w:t>
      </w:r>
      <w:r w:rsidR="000C3915">
        <w:rPr>
          <w:color w:val="000000"/>
          <w:sz w:val="24"/>
        </w:rPr>
        <w:t xml:space="preserve"> using the additional screener questions included in Enclosure 6</w:t>
      </w:r>
      <w:r w:rsidR="00CD1AAA">
        <w:rPr>
          <w:color w:val="000000"/>
          <w:sz w:val="24"/>
        </w:rPr>
        <w:t xml:space="preserve">: </w:t>
      </w:r>
      <w:r w:rsidR="005611F4" w:rsidRPr="00A83675">
        <w:rPr>
          <w:color w:val="000000"/>
          <w:sz w:val="24"/>
        </w:rPr>
        <w:t xml:space="preserve"> </w:t>
      </w:r>
    </w:p>
    <w:p w14:paraId="1E6533AC" w14:textId="77777777" w:rsidR="005611F4" w:rsidRPr="008F58D7" w:rsidRDefault="005611F4" w:rsidP="005611F4">
      <w:pPr>
        <w:pStyle w:val="ListParagraph"/>
        <w:numPr>
          <w:ilvl w:val="0"/>
          <w:numId w:val="3"/>
        </w:numPr>
        <w:shd w:val="clear" w:color="auto" w:fill="FFFFFF"/>
        <w:autoSpaceDE w:val="0"/>
        <w:autoSpaceDN w:val="0"/>
        <w:adjustRightInd w:val="0"/>
        <w:spacing w:after="0" w:line="240" w:lineRule="auto"/>
        <w:rPr>
          <w:rFonts w:eastAsia="Times New Roman" w:cs="Times New Roman"/>
          <w:color w:val="000000"/>
          <w:sz w:val="24"/>
          <w:szCs w:val="20"/>
        </w:rPr>
      </w:pPr>
      <w:r w:rsidRPr="008F58D7">
        <w:rPr>
          <w:rFonts w:eastAsia="Times New Roman" w:cs="Times New Roman"/>
          <w:color w:val="000000"/>
          <w:sz w:val="24"/>
          <w:szCs w:val="20"/>
        </w:rPr>
        <w:t>Respondents who are non-Hispanic white from any European ancestr</w:t>
      </w:r>
      <w:r w:rsidRPr="00A83675">
        <w:rPr>
          <w:color w:val="000000"/>
          <w:sz w:val="24"/>
        </w:rPr>
        <w:t>y</w:t>
      </w:r>
    </w:p>
    <w:p w14:paraId="2B7C0E60" w14:textId="77777777" w:rsidR="005611F4" w:rsidRPr="008F58D7" w:rsidRDefault="005611F4" w:rsidP="005611F4">
      <w:pPr>
        <w:pStyle w:val="ListParagraph"/>
        <w:numPr>
          <w:ilvl w:val="0"/>
          <w:numId w:val="3"/>
        </w:numPr>
        <w:shd w:val="clear" w:color="auto" w:fill="FFFFFF"/>
        <w:autoSpaceDE w:val="0"/>
        <w:autoSpaceDN w:val="0"/>
        <w:adjustRightInd w:val="0"/>
        <w:spacing w:after="0" w:line="240" w:lineRule="auto"/>
        <w:rPr>
          <w:rFonts w:eastAsia="Times New Roman" w:cs="Times New Roman"/>
          <w:color w:val="000000"/>
          <w:sz w:val="24"/>
          <w:szCs w:val="20"/>
        </w:rPr>
      </w:pPr>
      <w:r w:rsidRPr="008F58D7">
        <w:rPr>
          <w:rFonts w:eastAsia="Times New Roman" w:cs="Times New Roman"/>
          <w:color w:val="000000"/>
          <w:sz w:val="24"/>
          <w:szCs w:val="20"/>
        </w:rPr>
        <w:t>Respondents who are black, African American, African, or Caribbean</w:t>
      </w:r>
    </w:p>
    <w:p w14:paraId="514037E4" w14:textId="77777777" w:rsidR="005611F4" w:rsidRPr="008F58D7" w:rsidRDefault="005611F4" w:rsidP="005611F4">
      <w:pPr>
        <w:pStyle w:val="ListParagraph"/>
        <w:numPr>
          <w:ilvl w:val="0"/>
          <w:numId w:val="3"/>
        </w:numPr>
        <w:shd w:val="clear" w:color="auto" w:fill="FFFFFF"/>
        <w:autoSpaceDE w:val="0"/>
        <w:autoSpaceDN w:val="0"/>
        <w:adjustRightInd w:val="0"/>
        <w:spacing w:after="0" w:line="240" w:lineRule="auto"/>
        <w:rPr>
          <w:rFonts w:eastAsia="Times New Roman" w:cs="Times New Roman"/>
          <w:color w:val="000000"/>
          <w:sz w:val="24"/>
          <w:szCs w:val="20"/>
        </w:rPr>
      </w:pPr>
      <w:r w:rsidRPr="008F58D7">
        <w:rPr>
          <w:rFonts w:eastAsia="Times New Roman" w:cs="Times New Roman"/>
          <w:color w:val="000000"/>
          <w:sz w:val="24"/>
          <w:szCs w:val="20"/>
        </w:rPr>
        <w:t>Respondents who are multiracial</w:t>
      </w:r>
    </w:p>
    <w:p w14:paraId="27ACF674" w14:textId="77777777" w:rsidR="005611F4" w:rsidRPr="008F58D7" w:rsidRDefault="005611F4" w:rsidP="005611F4">
      <w:pPr>
        <w:pStyle w:val="ListParagraph"/>
        <w:numPr>
          <w:ilvl w:val="0"/>
          <w:numId w:val="3"/>
        </w:numPr>
        <w:shd w:val="clear" w:color="auto" w:fill="FFFFFF"/>
        <w:autoSpaceDE w:val="0"/>
        <w:autoSpaceDN w:val="0"/>
        <w:adjustRightInd w:val="0"/>
        <w:spacing w:after="0" w:line="240" w:lineRule="auto"/>
        <w:rPr>
          <w:rFonts w:eastAsia="Times New Roman" w:cs="Times New Roman"/>
          <w:color w:val="000000"/>
          <w:sz w:val="24"/>
          <w:szCs w:val="20"/>
        </w:rPr>
      </w:pPr>
      <w:r w:rsidRPr="008F58D7">
        <w:rPr>
          <w:rFonts w:eastAsia="Times New Roman" w:cs="Times New Roman"/>
          <w:color w:val="000000"/>
          <w:sz w:val="24"/>
          <w:szCs w:val="20"/>
        </w:rPr>
        <w:t>Respondents who are any of the following: Lebanese, Iranian, Syrian, Egyptian, Brazilian, Guyanese, Belizean, Jamaican, Haitian, Ethiopian, Nigerian, or other Caribbean or African heritage</w:t>
      </w:r>
    </w:p>
    <w:p w14:paraId="651FED88" w14:textId="6DEFFCA1" w:rsidR="005E705D" w:rsidRDefault="005611F4" w:rsidP="00D40F0A">
      <w:pPr>
        <w:rPr>
          <w:color w:val="000000"/>
          <w:sz w:val="24"/>
          <w:szCs w:val="24"/>
        </w:rPr>
      </w:pPr>
      <w:r>
        <w:rPr>
          <w:color w:val="000000"/>
          <w:sz w:val="24"/>
          <w:szCs w:val="24"/>
        </w:rPr>
        <w:t xml:space="preserve"> </w:t>
      </w:r>
    </w:p>
    <w:p w14:paraId="2ABB8B6D" w14:textId="57345BDE" w:rsidR="003F0123" w:rsidRDefault="00665D00" w:rsidP="00D40F0A">
      <w:pPr>
        <w:rPr>
          <w:color w:val="000000"/>
          <w:sz w:val="24"/>
          <w:szCs w:val="24"/>
        </w:rPr>
      </w:pPr>
      <w:r>
        <w:rPr>
          <w:color w:val="000000"/>
          <w:sz w:val="24"/>
          <w:szCs w:val="24"/>
        </w:rPr>
        <w:lastRenderedPageBreak/>
        <w:t xml:space="preserve">Interviews will be held at the Census Bureau and at off-site locations convenient to interviewees such as libraries. </w:t>
      </w:r>
    </w:p>
    <w:p w14:paraId="7861446F" w14:textId="6EC1CB04" w:rsidR="00137F30" w:rsidRPr="00137F30" w:rsidRDefault="00D40F0A" w:rsidP="00C11A7D">
      <w:pPr>
        <w:rPr>
          <w:sz w:val="24"/>
          <w:szCs w:val="24"/>
        </w:rPr>
      </w:pPr>
      <w:r w:rsidRPr="00AB7BE6">
        <w:rPr>
          <w:b/>
          <w:color w:val="000000"/>
          <w:sz w:val="24"/>
          <w:szCs w:val="24"/>
        </w:rPr>
        <w:t>Protocol</w:t>
      </w:r>
      <w:r w:rsidRPr="00AB7BE6">
        <w:rPr>
          <w:color w:val="000000"/>
          <w:sz w:val="24"/>
          <w:szCs w:val="24"/>
        </w:rPr>
        <w:t>:</w:t>
      </w:r>
      <w:r w:rsidR="00601DA1">
        <w:rPr>
          <w:color w:val="000000"/>
          <w:sz w:val="24"/>
          <w:szCs w:val="24"/>
        </w:rPr>
        <w:t xml:space="preserve"> </w:t>
      </w:r>
      <w:r w:rsidR="009F71DF">
        <w:rPr>
          <w:color w:val="000000"/>
          <w:sz w:val="24"/>
          <w:szCs w:val="24"/>
        </w:rPr>
        <w:t xml:space="preserve">All </w:t>
      </w:r>
      <w:r w:rsidR="009E1B5D">
        <w:rPr>
          <w:color w:val="000000"/>
          <w:sz w:val="24"/>
          <w:szCs w:val="24"/>
        </w:rPr>
        <w:t>respondents</w:t>
      </w:r>
      <w:r w:rsidR="00137F30">
        <w:rPr>
          <w:color w:val="000000"/>
          <w:sz w:val="24"/>
          <w:szCs w:val="24"/>
        </w:rPr>
        <w:t xml:space="preserve"> will be</w:t>
      </w:r>
      <w:r w:rsidR="008D6EC0">
        <w:rPr>
          <w:color w:val="000000"/>
          <w:sz w:val="24"/>
          <w:szCs w:val="24"/>
        </w:rPr>
        <w:t xml:space="preserve"> asked to complete the</w:t>
      </w:r>
      <w:r w:rsidR="00137F30">
        <w:rPr>
          <w:color w:val="000000"/>
          <w:sz w:val="24"/>
          <w:szCs w:val="24"/>
        </w:rPr>
        <w:t xml:space="preserve"> ACS </w:t>
      </w:r>
      <w:r w:rsidR="009F71DF">
        <w:rPr>
          <w:color w:val="000000"/>
          <w:sz w:val="24"/>
          <w:szCs w:val="24"/>
        </w:rPr>
        <w:t xml:space="preserve">paper questionnaire </w:t>
      </w:r>
      <w:r w:rsidR="00E57387">
        <w:rPr>
          <w:color w:val="000000"/>
          <w:sz w:val="24"/>
          <w:szCs w:val="24"/>
        </w:rPr>
        <w:t>when they come in for the</w:t>
      </w:r>
      <w:r w:rsidR="00137F30">
        <w:rPr>
          <w:color w:val="000000"/>
          <w:sz w:val="24"/>
          <w:szCs w:val="24"/>
        </w:rPr>
        <w:t xml:space="preserve"> cogni</w:t>
      </w:r>
      <w:r w:rsidR="00E57387">
        <w:rPr>
          <w:color w:val="000000"/>
          <w:sz w:val="24"/>
          <w:szCs w:val="24"/>
        </w:rPr>
        <w:t>tive interview.</w:t>
      </w:r>
      <w:r w:rsidR="008A5E43">
        <w:rPr>
          <w:color w:val="000000"/>
          <w:sz w:val="24"/>
          <w:szCs w:val="24"/>
        </w:rPr>
        <w:t xml:space="preserve"> </w:t>
      </w:r>
      <w:r w:rsidR="00D234D1">
        <w:rPr>
          <w:color w:val="000000"/>
          <w:sz w:val="24"/>
          <w:szCs w:val="24"/>
        </w:rPr>
        <w:t>See Enclosure</w:t>
      </w:r>
      <w:r w:rsidR="005962E0">
        <w:rPr>
          <w:color w:val="000000"/>
          <w:sz w:val="24"/>
          <w:szCs w:val="24"/>
        </w:rPr>
        <w:t xml:space="preserve"> 4 </w:t>
      </w:r>
      <w:r w:rsidR="00D234D1">
        <w:rPr>
          <w:color w:val="000000"/>
          <w:sz w:val="24"/>
          <w:szCs w:val="24"/>
        </w:rPr>
        <w:t>for a copy of the ACS questionnaire.</w:t>
      </w:r>
      <w:r w:rsidR="008A5E43">
        <w:rPr>
          <w:color w:val="000000"/>
          <w:sz w:val="24"/>
          <w:szCs w:val="24"/>
        </w:rPr>
        <w:t xml:space="preserve"> During the interview, </w:t>
      </w:r>
      <w:r w:rsidR="009F71DF">
        <w:rPr>
          <w:color w:val="000000"/>
          <w:sz w:val="24"/>
          <w:szCs w:val="24"/>
        </w:rPr>
        <w:t>respondents</w:t>
      </w:r>
      <w:r w:rsidR="008A5E43">
        <w:rPr>
          <w:color w:val="000000"/>
          <w:sz w:val="24"/>
          <w:szCs w:val="24"/>
        </w:rPr>
        <w:t xml:space="preserve"> will be asked to think aloud when answering specific sections of the questionnaire.</w:t>
      </w:r>
      <w:r w:rsidR="00E57387">
        <w:rPr>
          <w:color w:val="000000"/>
          <w:sz w:val="24"/>
          <w:szCs w:val="24"/>
        </w:rPr>
        <w:t xml:space="preserve"> Following the completion of the ACS, they will </w:t>
      </w:r>
      <w:r w:rsidR="008D6EC0">
        <w:rPr>
          <w:color w:val="000000"/>
          <w:sz w:val="24"/>
          <w:szCs w:val="24"/>
        </w:rPr>
        <w:t xml:space="preserve">then examine the feedback </w:t>
      </w:r>
      <w:r w:rsidR="006B6023">
        <w:rPr>
          <w:color w:val="000000"/>
          <w:sz w:val="24"/>
          <w:szCs w:val="24"/>
        </w:rPr>
        <w:t xml:space="preserve">items </w:t>
      </w:r>
      <w:r w:rsidR="008D6EC0">
        <w:rPr>
          <w:color w:val="000000"/>
          <w:sz w:val="24"/>
          <w:szCs w:val="24"/>
        </w:rPr>
        <w:t>for their thoughts and opinions</w:t>
      </w:r>
      <w:r w:rsidR="009F71DF">
        <w:rPr>
          <w:color w:val="000000"/>
          <w:sz w:val="24"/>
          <w:szCs w:val="24"/>
        </w:rPr>
        <w:t xml:space="preserve"> followed by probes about the Hispanic origin, race, and ancestry questions</w:t>
      </w:r>
      <w:r w:rsidR="003938D2">
        <w:rPr>
          <w:color w:val="000000"/>
          <w:sz w:val="24"/>
          <w:szCs w:val="24"/>
        </w:rPr>
        <w:t xml:space="preserve">. </w:t>
      </w:r>
      <w:r w:rsidR="002D4D11">
        <w:rPr>
          <w:color w:val="000000"/>
          <w:sz w:val="24"/>
          <w:szCs w:val="24"/>
        </w:rPr>
        <w:t>See Enclosure 3</w:t>
      </w:r>
      <w:r w:rsidR="00D234D1">
        <w:rPr>
          <w:color w:val="000000"/>
          <w:sz w:val="24"/>
          <w:szCs w:val="24"/>
        </w:rPr>
        <w:t>B</w:t>
      </w:r>
      <w:r w:rsidR="002D4D11">
        <w:rPr>
          <w:color w:val="000000"/>
          <w:sz w:val="24"/>
          <w:szCs w:val="24"/>
        </w:rPr>
        <w:t xml:space="preserve"> for the </w:t>
      </w:r>
      <w:r w:rsidR="00D234D1">
        <w:rPr>
          <w:color w:val="000000"/>
          <w:sz w:val="24"/>
          <w:szCs w:val="24"/>
        </w:rPr>
        <w:t xml:space="preserve">modified </w:t>
      </w:r>
      <w:r w:rsidR="002D4D11">
        <w:rPr>
          <w:color w:val="000000"/>
          <w:sz w:val="24"/>
          <w:szCs w:val="24"/>
        </w:rPr>
        <w:t xml:space="preserve">Round 2 Respondent </w:t>
      </w:r>
      <w:r w:rsidR="006D42C5">
        <w:rPr>
          <w:color w:val="000000"/>
          <w:sz w:val="24"/>
          <w:szCs w:val="24"/>
        </w:rPr>
        <w:t>Comment/</w:t>
      </w:r>
      <w:r w:rsidR="002D4D11">
        <w:rPr>
          <w:color w:val="000000"/>
          <w:sz w:val="24"/>
          <w:szCs w:val="24"/>
        </w:rPr>
        <w:t xml:space="preserve">Feedback </w:t>
      </w:r>
      <w:r w:rsidR="003938D2">
        <w:rPr>
          <w:color w:val="000000"/>
          <w:sz w:val="24"/>
          <w:szCs w:val="24"/>
        </w:rPr>
        <w:t xml:space="preserve">and Ancestry Questions </w:t>
      </w:r>
      <w:r w:rsidR="002D4D11">
        <w:rPr>
          <w:color w:val="000000"/>
          <w:sz w:val="24"/>
          <w:szCs w:val="24"/>
        </w:rPr>
        <w:t>protocol.</w:t>
      </w:r>
      <w:r w:rsidR="008D6EC0">
        <w:rPr>
          <w:color w:val="000000"/>
          <w:sz w:val="24"/>
          <w:szCs w:val="24"/>
        </w:rPr>
        <w:t xml:space="preserve"> </w:t>
      </w:r>
      <w:r w:rsidR="009F71DF">
        <w:rPr>
          <w:color w:val="000000"/>
          <w:sz w:val="24"/>
          <w:szCs w:val="24"/>
        </w:rPr>
        <w:t xml:space="preserve">The protocol content for the feedback item was shortened to allow for probes on the Hispanic origin, race, and ancestry.  (The original Round 2 Protocol with Respondent Comment/Feedback Questions is included in Enclosure 3A.) </w:t>
      </w:r>
    </w:p>
    <w:p w14:paraId="7D771169" w14:textId="6A24BDCD" w:rsidR="00D40F0A" w:rsidRPr="005B19BD" w:rsidRDefault="00D40F0A" w:rsidP="00D40F0A">
      <w:pPr>
        <w:rPr>
          <w:color w:val="000000"/>
          <w:sz w:val="24"/>
          <w:szCs w:val="24"/>
        </w:rPr>
      </w:pPr>
      <w:r w:rsidRPr="00D40F0A">
        <w:rPr>
          <w:b/>
          <w:color w:val="000000"/>
          <w:sz w:val="24"/>
          <w:szCs w:val="24"/>
        </w:rPr>
        <w:t>Consent:</w:t>
      </w:r>
      <w:r w:rsidR="00D5627A">
        <w:rPr>
          <w:b/>
          <w:color w:val="000000"/>
          <w:sz w:val="24"/>
          <w:szCs w:val="24"/>
        </w:rPr>
        <w:t xml:space="preserve"> </w:t>
      </w:r>
      <w:r w:rsidR="005B19BD">
        <w:rPr>
          <w:color w:val="000000"/>
          <w:sz w:val="24"/>
          <w:szCs w:val="24"/>
        </w:rPr>
        <w:t xml:space="preserve">The consent form </w:t>
      </w:r>
      <w:r w:rsidR="000568CD">
        <w:rPr>
          <w:color w:val="000000"/>
          <w:sz w:val="24"/>
          <w:szCs w:val="24"/>
        </w:rPr>
        <w:t xml:space="preserve">has not been modified for purposes of this addendum.  </w:t>
      </w:r>
    </w:p>
    <w:p w14:paraId="5BE3D377" w14:textId="6D336420" w:rsidR="00D40F0A" w:rsidRDefault="00D40F0A" w:rsidP="00D40F0A">
      <w:pPr>
        <w:rPr>
          <w:color w:val="000000"/>
          <w:sz w:val="24"/>
          <w:szCs w:val="24"/>
        </w:rPr>
      </w:pPr>
      <w:r w:rsidRPr="00D40F0A">
        <w:rPr>
          <w:b/>
          <w:color w:val="000000"/>
          <w:sz w:val="24"/>
          <w:szCs w:val="24"/>
        </w:rPr>
        <w:t>Use of Incentive</w:t>
      </w:r>
      <w:r w:rsidRPr="00D40F0A">
        <w:rPr>
          <w:color w:val="000000"/>
          <w:sz w:val="24"/>
          <w:szCs w:val="24"/>
        </w:rPr>
        <w:t>:</w:t>
      </w:r>
      <w:r w:rsidR="00D5627A">
        <w:rPr>
          <w:color w:val="000000"/>
          <w:sz w:val="24"/>
          <w:szCs w:val="24"/>
        </w:rPr>
        <w:t xml:space="preserve"> </w:t>
      </w:r>
      <w:r w:rsidR="004E51F1">
        <w:rPr>
          <w:color w:val="000000"/>
          <w:sz w:val="24"/>
          <w:szCs w:val="24"/>
        </w:rPr>
        <w:t xml:space="preserve">The amount of money for the incentive will be the same as we </w:t>
      </w:r>
      <w:r w:rsidR="00D5627A">
        <w:rPr>
          <w:color w:val="000000"/>
          <w:sz w:val="24"/>
          <w:szCs w:val="24"/>
        </w:rPr>
        <w:t xml:space="preserve">will offer $40 as a token for respondent’s participation and to accommodate for expenses like travel and parking. </w:t>
      </w:r>
    </w:p>
    <w:p w14:paraId="153F925C" w14:textId="334B0B97" w:rsidR="004B306D" w:rsidRDefault="004B306D" w:rsidP="00D40F0A">
      <w:pPr>
        <w:rPr>
          <w:color w:val="000000"/>
          <w:sz w:val="24"/>
          <w:szCs w:val="24"/>
        </w:rPr>
      </w:pPr>
      <w:r>
        <w:rPr>
          <w:b/>
          <w:color w:val="000000"/>
          <w:sz w:val="24"/>
          <w:szCs w:val="24"/>
        </w:rPr>
        <w:t xml:space="preserve">List of Materials: </w:t>
      </w:r>
      <w:r>
        <w:rPr>
          <w:color w:val="000000"/>
          <w:sz w:val="24"/>
          <w:szCs w:val="24"/>
        </w:rPr>
        <w:t xml:space="preserve">Below is a list of </w:t>
      </w:r>
      <w:r w:rsidR="00EF06D5">
        <w:rPr>
          <w:color w:val="000000"/>
          <w:sz w:val="24"/>
          <w:szCs w:val="24"/>
        </w:rPr>
        <w:t>the documents submitted with the original OMB package clearance.  Enclosures that are modified as a result of this addendum are no</w:t>
      </w:r>
      <w:r>
        <w:rPr>
          <w:color w:val="000000"/>
          <w:sz w:val="24"/>
          <w:szCs w:val="24"/>
        </w:rPr>
        <w:t>t</w:t>
      </w:r>
      <w:r w:rsidR="00EF06D5">
        <w:rPr>
          <w:color w:val="000000"/>
          <w:sz w:val="24"/>
          <w:szCs w:val="24"/>
        </w:rPr>
        <w:t xml:space="preserve">ed.  </w:t>
      </w:r>
      <w:r>
        <w:rPr>
          <w:color w:val="000000"/>
          <w:sz w:val="24"/>
          <w:szCs w:val="24"/>
        </w:rPr>
        <w:t xml:space="preserve"> </w:t>
      </w:r>
    </w:p>
    <w:p w14:paraId="104DB39D" w14:textId="386D5E55" w:rsidR="004B306D" w:rsidRDefault="00CF0419" w:rsidP="004B306D">
      <w:pPr>
        <w:pStyle w:val="ListParagraph"/>
        <w:numPr>
          <w:ilvl w:val="0"/>
          <w:numId w:val="2"/>
        </w:numPr>
        <w:rPr>
          <w:sz w:val="24"/>
          <w:szCs w:val="24"/>
        </w:rPr>
      </w:pPr>
      <w:r>
        <w:rPr>
          <w:b/>
          <w:sz w:val="24"/>
          <w:szCs w:val="24"/>
        </w:rPr>
        <w:t xml:space="preserve">ORIGINAL </w:t>
      </w:r>
      <w:r w:rsidR="00551D4C">
        <w:rPr>
          <w:sz w:val="24"/>
          <w:szCs w:val="24"/>
        </w:rPr>
        <w:t xml:space="preserve">Round 1 Protocol </w:t>
      </w:r>
      <w:r w:rsidR="00F601BC">
        <w:rPr>
          <w:sz w:val="24"/>
          <w:szCs w:val="24"/>
        </w:rPr>
        <w:t>– Part 1</w:t>
      </w:r>
      <w:r w:rsidR="00FB51CE">
        <w:rPr>
          <w:sz w:val="24"/>
          <w:szCs w:val="24"/>
        </w:rPr>
        <w:t xml:space="preserve"> </w:t>
      </w:r>
      <w:r w:rsidR="004B306D">
        <w:rPr>
          <w:sz w:val="24"/>
          <w:szCs w:val="24"/>
        </w:rPr>
        <w:t xml:space="preserve"> (Enclosure </w:t>
      </w:r>
      <w:r w:rsidR="00795ACF">
        <w:rPr>
          <w:sz w:val="24"/>
          <w:szCs w:val="24"/>
        </w:rPr>
        <w:t>1</w:t>
      </w:r>
      <w:r w:rsidR="004B306D">
        <w:rPr>
          <w:sz w:val="24"/>
          <w:szCs w:val="24"/>
        </w:rPr>
        <w:t>)</w:t>
      </w:r>
    </w:p>
    <w:p w14:paraId="6BDECBAF" w14:textId="027607E0" w:rsidR="00551D4C" w:rsidRDefault="00CF0419" w:rsidP="004B306D">
      <w:pPr>
        <w:pStyle w:val="ListParagraph"/>
        <w:numPr>
          <w:ilvl w:val="0"/>
          <w:numId w:val="2"/>
        </w:numPr>
        <w:rPr>
          <w:sz w:val="24"/>
          <w:szCs w:val="24"/>
        </w:rPr>
      </w:pPr>
      <w:r>
        <w:rPr>
          <w:b/>
          <w:sz w:val="24"/>
          <w:szCs w:val="24"/>
        </w:rPr>
        <w:t xml:space="preserve">ORIGINAL </w:t>
      </w:r>
      <w:r w:rsidR="00551D4C">
        <w:rPr>
          <w:sz w:val="24"/>
          <w:szCs w:val="24"/>
        </w:rPr>
        <w:t xml:space="preserve">Round 1 Protocol </w:t>
      </w:r>
      <w:r w:rsidR="00F601BC">
        <w:rPr>
          <w:sz w:val="24"/>
          <w:szCs w:val="24"/>
        </w:rPr>
        <w:t>– Part 2 (with</w:t>
      </w:r>
      <w:r w:rsidR="00F601BC" w:rsidRPr="00F601BC">
        <w:rPr>
          <w:sz w:val="24"/>
          <w:szCs w:val="24"/>
        </w:rPr>
        <w:t xml:space="preserve"> </w:t>
      </w:r>
      <w:r w:rsidR="00F601BC">
        <w:rPr>
          <w:sz w:val="24"/>
          <w:szCs w:val="24"/>
        </w:rPr>
        <w:t xml:space="preserve">Respondent Comment/Feedback Questions) </w:t>
      </w:r>
      <w:r w:rsidR="00551D4C">
        <w:rPr>
          <w:sz w:val="24"/>
          <w:szCs w:val="24"/>
        </w:rPr>
        <w:t xml:space="preserve"> (Enclosure </w:t>
      </w:r>
      <w:r w:rsidR="00795ACF">
        <w:rPr>
          <w:sz w:val="24"/>
          <w:szCs w:val="24"/>
        </w:rPr>
        <w:t>2</w:t>
      </w:r>
      <w:r w:rsidR="00551D4C">
        <w:rPr>
          <w:sz w:val="24"/>
          <w:szCs w:val="24"/>
        </w:rPr>
        <w:t>)</w:t>
      </w:r>
    </w:p>
    <w:p w14:paraId="3C2E3A73" w14:textId="7716DDB0" w:rsidR="00551D4C" w:rsidRDefault="00CF0419" w:rsidP="004B306D">
      <w:pPr>
        <w:pStyle w:val="ListParagraph"/>
        <w:numPr>
          <w:ilvl w:val="0"/>
          <w:numId w:val="2"/>
        </w:numPr>
        <w:rPr>
          <w:sz w:val="24"/>
          <w:szCs w:val="24"/>
        </w:rPr>
      </w:pPr>
      <w:r>
        <w:rPr>
          <w:b/>
          <w:sz w:val="24"/>
          <w:szCs w:val="24"/>
        </w:rPr>
        <w:t xml:space="preserve">ORIGINAL </w:t>
      </w:r>
      <w:r w:rsidR="00551D4C">
        <w:rPr>
          <w:sz w:val="24"/>
          <w:szCs w:val="24"/>
        </w:rPr>
        <w:t>Round 2 Protocol</w:t>
      </w:r>
      <w:r w:rsidR="000A676B">
        <w:rPr>
          <w:sz w:val="24"/>
          <w:szCs w:val="24"/>
        </w:rPr>
        <w:t xml:space="preserve"> with Respondent Comment/Feedback Questions</w:t>
      </w:r>
      <w:r w:rsidR="00551D4C">
        <w:rPr>
          <w:sz w:val="24"/>
          <w:szCs w:val="24"/>
        </w:rPr>
        <w:t xml:space="preserve"> (Enclosure </w:t>
      </w:r>
      <w:r w:rsidR="00795ACF">
        <w:rPr>
          <w:sz w:val="24"/>
          <w:szCs w:val="24"/>
        </w:rPr>
        <w:t>3</w:t>
      </w:r>
      <w:r>
        <w:rPr>
          <w:sz w:val="24"/>
          <w:szCs w:val="24"/>
        </w:rPr>
        <w:t>A</w:t>
      </w:r>
      <w:r w:rsidR="00551D4C">
        <w:rPr>
          <w:sz w:val="24"/>
          <w:szCs w:val="24"/>
        </w:rPr>
        <w:t>)</w:t>
      </w:r>
    </w:p>
    <w:p w14:paraId="49744D48" w14:textId="563DB2AE" w:rsidR="00CF0419" w:rsidRDefault="000A676B" w:rsidP="004B306D">
      <w:pPr>
        <w:pStyle w:val="ListParagraph"/>
        <w:numPr>
          <w:ilvl w:val="0"/>
          <w:numId w:val="2"/>
        </w:numPr>
        <w:rPr>
          <w:sz w:val="24"/>
          <w:szCs w:val="24"/>
        </w:rPr>
      </w:pPr>
      <w:r>
        <w:rPr>
          <w:b/>
          <w:sz w:val="24"/>
          <w:szCs w:val="24"/>
        </w:rPr>
        <w:t xml:space="preserve">MODIFIED </w:t>
      </w:r>
      <w:r>
        <w:rPr>
          <w:sz w:val="24"/>
          <w:szCs w:val="24"/>
        </w:rPr>
        <w:t>Round 2 Protocol Respondent Comment/Feedback and Ancestry Questions (Enclosure 3B)</w:t>
      </w:r>
    </w:p>
    <w:p w14:paraId="675ED4F4" w14:textId="1A9091FF" w:rsidR="004B306D" w:rsidRDefault="000A676B" w:rsidP="004B306D">
      <w:pPr>
        <w:pStyle w:val="ListParagraph"/>
        <w:numPr>
          <w:ilvl w:val="0"/>
          <w:numId w:val="2"/>
        </w:numPr>
        <w:rPr>
          <w:sz w:val="24"/>
          <w:szCs w:val="24"/>
        </w:rPr>
      </w:pPr>
      <w:r>
        <w:rPr>
          <w:b/>
          <w:sz w:val="24"/>
          <w:szCs w:val="24"/>
        </w:rPr>
        <w:t xml:space="preserve">MODIFIED </w:t>
      </w:r>
      <w:r w:rsidR="004B306D">
        <w:rPr>
          <w:sz w:val="24"/>
          <w:szCs w:val="24"/>
        </w:rPr>
        <w:t>ACS questionnaire (Enclosure</w:t>
      </w:r>
      <w:r w:rsidR="00795ACF">
        <w:rPr>
          <w:sz w:val="24"/>
          <w:szCs w:val="24"/>
        </w:rPr>
        <w:t xml:space="preserve"> 4</w:t>
      </w:r>
      <w:r w:rsidR="004B306D">
        <w:rPr>
          <w:sz w:val="24"/>
          <w:szCs w:val="24"/>
        </w:rPr>
        <w:t>)</w:t>
      </w:r>
    </w:p>
    <w:p w14:paraId="462ADED6" w14:textId="0E856949" w:rsidR="004B306D" w:rsidRDefault="000A676B" w:rsidP="004B306D">
      <w:pPr>
        <w:pStyle w:val="ListParagraph"/>
        <w:numPr>
          <w:ilvl w:val="0"/>
          <w:numId w:val="2"/>
        </w:numPr>
        <w:rPr>
          <w:sz w:val="24"/>
          <w:szCs w:val="24"/>
        </w:rPr>
      </w:pPr>
      <w:r>
        <w:rPr>
          <w:b/>
          <w:sz w:val="24"/>
          <w:szCs w:val="24"/>
        </w:rPr>
        <w:t xml:space="preserve">MODIFIED </w:t>
      </w:r>
      <w:r w:rsidR="004B306D">
        <w:rPr>
          <w:sz w:val="24"/>
          <w:szCs w:val="24"/>
        </w:rPr>
        <w:t xml:space="preserve">Respondent Feedback and Comment Questions (Enclosure </w:t>
      </w:r>
      <w:r w:rsidR="00795ACF">
        <w:rPr>
          <w:sz w:val="24"/>
          <w:szCs w:val="24"/>
        </w:rPr>
        <w:t>5</w:t>
      </w:r>
      <w:r w:rsidR="004B306D">
        <w:rPr>
          <w:sz w:val="24"/>
          <w:szCs w:val="24"/>
        </w:rPr>
        <w:t xml:space="preserve">) </w:t>
      </w:r>
    </w:p>
    <w:p w14:paraId="41EC995C" w14:textId="3720A2B1" w:rsidR="00795ACF" w:rsidRDefault="00243467" w:rsidP="004B306D">
      <w:pPr>
        <w:pStyle w:val="ListParagraph"/>
        <w:numPr>
          <w:ilvl w:val="0"/>
          <w:numId w:val="2"/>
        </w:numPr>
        <w:rPr>
          <w:sz w:val="24"/>
          <w:szCs w:val="24"/>
        </w:rPr>
      </w:pPr>
      <w:r>
        <w:rPr>
          <w:b/>
          <w:sz w:val="24"/>
          <w:szCs w:val="24"/>
        </w:rPr>
        <w:t xml:space="preserve">MODIFIED </w:t>
      </w:r>
      <w:r w:rsidR="00795ACF">
        <w:rPr>
          <w:sz w:val="24"/>
          <w:szCs w:val="24"/>
        </w:rPr>
        <w:t>Additional Screener Questions (Enclosure 6)</w:t>
      </w:r>
    </w:p>
    <w:p w14:paraId="251D9323" w14:textId="66C40B6C" w:rsidR="004B306D" w:rsidRDefault="00243467" w:rsidP="004B306D">
      <w:pPr>
        <w:pStyle w:val="ListParagraph"/>
        <w:numPr>
          <w:ilvl w:val="0"/>
          <w:numId w:val="2"/>
        </w:numPr>
        <w:rPr>
          <w:sz w:val="24"/>
          <w:szCs w:val="24"/>
        </w:rPr>
      </w:pPr>
      <w:r>
        <w:rPr>
          <w:b/>
          <w:sz w:val="24"/>
          <w:szCs w:val="24"/>
        </w:rPr>
        <w:t xml:space="preserve">MODIFIED </w:t>
      </w:r>
      <w:r w:rsidR="004B306D">
        <w:rPr>
          <w:sz w:val="24"/>
          <w:szCs w:val="24"/>
        </w:rPr>
        <w:t xml:space="preserve">Recruitment advertisement text (Enclosure </w:t>
      </w:r>
      <w:r w:rsidR="00795ACF">
        <w:rPr>
          <w:sz w:val="24"/>
          <w:szCs w:val="24"/>
        </w:rPr>
        <w:t>7</w:t>
      </w:r>
      <w:r w:rsidR="004B306D">
        <w:rPr>
          <w:sz w:val="24"/>
          <w:szCs w:val="24"/>
        </w:rPr>
        <w:t>)</w:t>
      </w:r>
    </w:p>
    <w:p w14:paraId="79801766" w14:textId="405D3B4F" w:rsidR="004B306D" w:rsidRDefault="00243467" w:rsidP="004B306D">
      <w:pPr>
        <w:pStyle w:val="ListParagraph"/>
        <w:numPr>
          <w:ilvl w:val="0"/>
          <w:numId w:val="2"/>
        </w:numPr>
        <w:rPr>
          <w:sz w:val="24"/>
          <w:szCs w:val="24"/>
        </w:rPr>
      </w:pPr>
      <w:r>
        <w:rPr>
          <w:b/>
          <w:sz w:val="24"/>
          <w:szCs w:val="24"/>
        </w:rPr>
        <w:t xml:space="preserve">ORIGINAL </w:t>
      </w:r>
      <w:r w:rsidR="004B306D">
        <w:rPr>
          <w:sz w:val="24"/>
          <w:szCs w:val="24"/>
        </w:rPr>
        <w:t xml:space="preserve">Consent form (Enclosure </w:t>
      </w:r>
      <w:r w:rsidR="00795ACF">
        <w:rPr>
          <w:sz w:val="24"/>
          <w:szCs w:val="24"/>
        </w:rPr>
        <w:t>8</w:t>
      </w:r>
      <w:r w:rsidR="004B306D">
        <w:rPr>
          <w:sz w:val="24"/>
          <w:szCs w:val="24"/>
        </w:rPr>
        <w:t>)</w:t>
      </w:r>
    </w:p>
    <w:p w14:paraId="0B68BFDB" w14:textId="77777777" w:rsidR="004B306D" w:rsidRPr="004B306D" w:rsidRDefault="004B306D" w:rsidP="004B306D">
      <w:pPr>
        <w:pStyle w:val="ListParagraph"/>
        <w:ind w:left="1080"/>
        <w:rPr>
          <w:sz w:val="24"/>
          <w:szCs w:val="24"/>
        </w:rPr>
      </w:pPr>
    </w:p>
    <w:p w14:paraId="2D047DA1" w14:textId="17FC9900" w:rsidR="00CE57CB" w:rsidRDefault="00D40F0A" w:rsidP="00D40F0A">
      <w:pPr>
        <w:rPr>
          <w:color w:val="000000"/>
          <w:sz w:val="24"/>
          <w:szCs w:val="24"/>
        </w:rPr>
      </w:pPr>
      <w:r w:rsidRPr="00AB7BE6">
        <w:rPr>
          <w:b/>
          <w:color w:val="000000"/>
          <w:sz w:val="24"/>
          <w:szCs w:val="24"/>
        </w:rPr>
        <w:t>Length of interview</w:t>
      </w:r>
      <w:r w:rsidRPr="00AB7BE6">
        <w:rPr>
          <w:color w:val="000000"/>
          <w:sz w:val="24"/>
          <w:szCs w:val="24"/>
        </w:rPr>
        <w:t>:</w:t>
      </w:r>
      <w:r w:rsidR="00D5627A">
        <w:rPr>
          <w:color w:val="000000"/>
          <w:sz w:val="24"/>
          <w:szCs w:val="24"/>
        </w:rPr>
        <w:t xml:space="preserve"> </w:t>
      </w:r>
      <w:r w:rsidR="00FD0EF3">
        <w:rPr>
          <w:color w:val="000000"/>
          <w:sz w:val="24"/>
          <w:szCs w:val="24"/>
        </w:rPr>
        <w:t>As originally planned for Round 2, we anticipate that the interview</w:t>
      </w:r>
      <w:r w:rsidR="00CE57CB">
        <w:rPr>
          <w:color w:val="000000"/>
          <w:sz w:val="24"/>
          <w:szCs w:val="24"/>
        </w:rPr>
        <w:t xml:space="preserve"> will be 60 minutes per respondent. Although we are including the ancestry questions</w:t>
      </w:r>
      <w:r w:rsidR="00F42D87">
        <w:rPr>
          <w:color w:val="000000"/>
          <w:sz w:val="24"/>
          <w:szCs w:val="24"/>
        </w:rPr>
        <w:t xml:space="preserve"> and probes in</w:t>
      </w:r>
      <w:r w:rsidR="00CE57CB">
        <w:rPr>
          <w:color w:val="000000"/>
          <w:sz w:val="24"/>
          <w:szCs w:val="24"/>
        </w:rPr>
        <w:t xml:space="preserve"> the protocol, we </w:t>
      </w:r>
      <w:r w:rsidR="00F42D87">
        <w:rPr>
          <w:color w:val="000000"/>
          <w:sz w:val="24"/>
          <w:szCs w:val="24"/>
        </w:rPr>
        <w:t xml:space="preserve">reduced the number of </w:t>
      </w:r>
      <w:r w:rsidR="00CE57CB">
        <w:rPr>
          <w:color w:val="000000"/>
          <w:sz w:val="24"/>
          <w:szCs w:val="24"/>
        </w:rPr>
        <w:t xml:space="preserve">questions </w:t>
      </w:r>
      <w:r w:rsidR="00F42D87">
        <w:rPr>
          <w:color w:val="000000"/>
          <w:sz w:val="24"/>
          <w:szCs w:val="24"/>
        </w:rPr>
        <w:t>in</w:t>
      </w:r>
      <w:r w:rsidR="00CE57CB">
        <w:rPr>
          <w:color w:val="000000"/>
          <w:sz w:val="24"/>
          <w:szCs w:val="24"/>
        </w:rPr>
        <w:t xml:space="preserve"> the Respondent Comment</w:t>
      </w:r>
      <w:r w:rsidR="00F42D87">
        <w:rPr>
          <w:color w:val="000000"/>
          <w:sz w:val="24"/>
          <w:szCs w:val="24"/>
        </w:rPr>
        <w:t>/</w:t>
      </w:r>
      <w:r w:rsidR="00CE57CB">
        <w:rPr>
          <w:color w:val="000000"/>
          <w:sz w:val="24"/>
          <w:szCs w:val="24"/>
        </w:rPr>
        <w:t>Feedback protocol to account for this change.</w:t>
      </w:r>
      <w:r w:rsidR="00FD0EF3">
        <w:rPr>
          <w:color w:val="000000"/>
          <w:sz w:val="24"/>
          <w:szCs w:val="24"/>
        </w:rPr>
        <w:t xml:space="preserve"> </w:t>
      </w:r>
      <w:r w:rsidR="005D67AE">
        <w:rPr>
          <w:color w:val="000000"/>
          <w:sz w:val="24"/>
          <w:szCs w:val="24"/>
        </w:rPr>
        <w:t xml:space="preserve">As in the original estimate, the </w:t>
      </w:r>
      <w:r w:rsidR="00E13E95">
        <w:rPr>
          <w:color w:val="000000"/>
          <w:sz w:val="24"/>
          <w:szCs w:val="24"/>
        </w:rPr>
        <w:t xml:space="preserve">burden </w:t>
      </w:r>
      <w:r w:rsidR="005D67AE">
        <w:rPr>
          <w:color w:val="000000"/>
          <w:sz w:val="24"/>
          <w:szCs w:val="24"/>
        </w:rPr>
        <w:t xml:space="preserve">for interviewing </w:t>
      </w:r>
      <w:r w:rsidR="00F42D87">
        <w:rPr>
          <w:color w:val="000000"/>
          <w:sz w:val="24"/>
          <w:szCs w:val="24"/>
        </w:rPr>
        <w:t>is</w:t>
      </w:r>
      <w:r w:rsidR="00E13E95">
        <w:rPr>
          <w:color w:val="000000"/>
          <w:sz w:val="24"/>
          <w:szCs w:val="24"/>
        </w:rPr>
        <w:t xml:space="preserve"> estimated to be</w:t>
      </w:r>
      <w:r w:rsidR="005D67AE">
        <w:rPr>
          <w:color w:val="000000"/>
          <w:sz w:val="24"/>
          <w:szCs w:val="24"/>
        </w:rPr>
        <w:t xml:space="preserve"> 15</w:t>
      </w:r>
      <w:r w:rsidR="00E13E95">
        <w:rPr>
          <w:color w:val="000000"/>
          <w:sz w:val="24"/>
          <w:szCs w:val="24"/>
        </w:rPr>
        <w:t xml:space="preserve"> hours</w:t>
      </w:r>
      <w:r w:rsidR="005D67AE">
        <w:rPr>
          <w:color w:val="000000"/>
          <w:sz w:val="24"/>
          <w:szCs w:val="24"/>
        </w:rPr>
        <w:t>.</w:t>
      </w:r>
    </w:p>
    <w:p w14:paraId="7E194157" w14:textId="50865C08" w:rsidR="00CE57CB" w:rsidRDefault="00CE57CB" w:rsidP="00D40F0A">
      <w:pPr>
        <w:rPr>
          <w:color w:val="000000"/>
          <w:sz w:val="24"/>
          <w:szCs w:val="24"/>
        </w:rPr>
      </w:pPr>
      <w:r>
        <w:rPr>
          <w:color w:val="000000"/>
          <w:sz w:val="24"/>
          <w:szCs w:val="24"/>
        </w:rPr>
        <w:t xml:space="preserve">As planned in Round 2, respondents for this study will be recruited using the pre-approved generic screening questionnaire that will take 10 minutes per person to complete. </w:t>
      </w:r>
      <w:r w:rsidR="00264D5E">
        <w:rPr>
          <w:color w:val="000000"/>
          <w:sz w:val="24"/>
          <w:szCs w:val="24"/>
        </w:rPr>
        <w:t xml:space="preserve">Originally, we had planned for 2 minutes per person for the additional screener questions. </w:t>
      </w:r>
      <w:r>
        <w:rPr>
          <w:color w:val="000000"/>
          <w:sz w:val="24"/>
          <w:szCs w:val="24"/>
        </w:rPr>
        <w:t xml:space="preserve">We now plan with the addition of ancestry questions to the </w:t>
      </w:r>
      <w:r w:rsidR="00264D5E">
        <w:rPr>
          <w:color w:val="000000"/>
          <w:sz w:val="24"/>
          <w:szCs w:val="24"/>
        </w:rPr>
        <w:t>screener that it will take an additional 3 minutes</w:t>
      </w:r>
      <w:r w:rsidR="005D67AE">
        <w:rPr>
          <w:color w:val="000000"/>
          <w:sz w:val="24"/>
          <w:szCs w:val="24"/>
        </w:rPr>
        <w:t xml:space="preserve"> to complete</w:t>
      </w:r>
      <w:r w:rsidR="00433FD5">
        <w:rPr>
          <w:color w:val="000000"/>
          <w:sz w:val="24"/>
          <w:szCs w:val="24"/>
        </w:rPr>
        <w:t xml:space="preserve"> for a total of</w:t>
      </w:r>
      <w:r w:rsidR="00264D5E">
        <w:rPr>
          <w:color w:val="000000"/>
          <w:sz w:val="24"/>
          <w:szCs w:val="24"/>
        </w:rPr>
        <w:t xml:space="preserve"> 5 minutes per respondent. </w:t>
      </w:r>
      <w:r w:rsidR="005D67AE">
        <w:rPr>
          <w:color w:val="000000"/>
          <w:sz w:val="24"/>
          <w:szCs w:val="24"/>
        </w:rPr>
        <w:t xml:space="preserve">Originally, we had planned for the screening of 45 respondents in Round 2. We now anticipate that we will screen 100 respondents since we are </w:t>
      </w:r>
      <w:r w:rsidR="00E13E95">
        <w:rPr>
          <w:color w:val="000000"/>
          <w:sz w:val="24"/>
          <w:szCs w:val="24"/>
        </w:rPr>
        <w:t xml:space="preserve">recruiting for specific race and ancestry groups. The burden for screening </w:t>
      </w:r>
      <w:r w:rsidR="00433FD5">
        <w:rPr>
          <w:color w:val="000000"/>
          <w:sz w:val="24"/>
          <w:szCs w:val="24"/>
        </w:rPr>
        <w:t>is</w:t>
      </w:r>
      <w:r w:rsidR="00E13E95">
        <w:rPr>
          <w:color w:val="000000"/>
          <w:sz w:val="24"/>
          <w:szCs w:val="24"/>
        </w:rPr>
        <w:t xml:space="preserve"> estimated to be 9 hours. </w:t>
      </w:r>
      <w:r w:rsidR="00E13E95">
        <w:rPr>
          <w:b/>
          <w:color w:val="000000"/>
          <w:sz w:val="24"/>
          <w:szCs w:val="24"/>
        </w:rPr>
        <w:t xml:space="preserve">As a result, the </w:t>
      </w:r>
      <w:r w:rsidR="00433FD5">
        <w:rPr>
          <w:b/>
          <w:color w:val="000000"/>
          <w:sz w:val="24"/>
          <w:szCs w:val="24"/>
        </w:rPr>
        <w:t xml:space="preserve">revised </w:t>
      </w:r>
      <w:r w:rsidR="00E13E95">
        <w:rPr>
          <w:b/>
          <w:color w:val="000000"/>
          <w:sz w:val="24"/>
          <w:szCs w:val="24"/>
        </w:rPr>
        <w:t xml:space="preserve">sum of the estimated burden will be 24 total hours for Round 2 of testing.  </w:t>
      </w:r>
      <w:r w:rsidR="00E13E95">
        <w:rPr>
          <w:color w:val="000000"/>
          <w:sz w:val="24"/>
          <w:szCs w:val="24"/>
        </w:rPr>
        <w:t xml:space="preserve"> </w:t>
      </w:r>
      <w:r w:rsidR="00433FD5">
        <w:rPr>
          <w:color w:val="000000"/>
          <w:sz w:val="24"/>
          <w:szCs w:val="24"/>
        </w:rPr>
        <w:t>The prior OMB clearance already allocated 17 hours for this project so this addendum is requesting an additional 7 hours of burden.</w:t>
      </w:r>
    </w:p>
    <w:tbl>
      <w:tblPr>
        <w:tblW w:w="11280"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10"/>
        <w:gridCol w:w="1352"/>
        <w:gridCol w:w="1313"/>
        <w:gridCol w:w="1335"/>
        <w:gridCol w:w="1313"/>
        <w:gridCol w:w="1313"/>
        <w:gridCol w:w="1244"/>
      </w:tblGrid>
      <w:tr w:rsidR="007268E7" w:rsidRPr="00AE04CB" w14:paraId="305DA565" w14:textId="7234F8CA" w:rsidTr="00EF015F">
        <w:trPr>
          <w:trHeight w:val="168"/>
        </w:trPr>
        <w:tc>
          <w:tcPr>
            <w:tcW w:w="3410" w:type="dxa"/>
            <w:tcMar>
              <w:top w:w="60" w:type="dxa"/>
              <w:left w:w="60" w:type="dxa"/>
              <w:bottom w:w="60" w:type="dxa"/>
              <w:right w:w="60" w:type="dxa"/>
            </w:tcMar>
            <w:vAlign w:val="center"/>
          </w:tcPr>
          <w:p w14:paraId="56F964CC" w14:textId="77777777" w:rsidR="007268E7" w:rsidRPr="00AE04CB" w:rsidRDefault="007268E7" w:rsidP="00277319">
            <w:pPr>
              <w:spacing w:before="100" w:beforeAutospacing="1" w:after="100" w:afterAutospacing="1"/>
              <w:jc w:val="center"/>
              <w:rPr>
                <w:rFonts w:ascii="Verdana" w:hAnsi="Verdana"/>
                <w:b/>
                <w:bCs/>
                <w:color w:val="000000"/>
                <w:sz w:val="16"/>
                <w:szCs w:val="13"/>
              </w:rPr>
            </w:pPr>
          </w:p>
        </w:tc>
        <w:tc>
          <w:tcPr>
            <w:tcW w:w="4000" w:type="dxa"/>
            <w:gridSpan w:val="3"/>
            <w:tcMar>
              <w:top w:w="60" w:type="dxa"/>
              <w:left w:w="60" w:type="dxa"/>
              <w:bottom w:w="60" w:type="dxa"/>
              <w:right w:w="60" w:type="dxa"/>
            </w:tcMar>
            <w:vAlign w:val="center"/>
          </w:tcPr>
          <w:p w14:paraId="774F1821" w14:textId="69787F29" w:rsidR="007268E7" w:rsidRPr="00AE04CB" w:rsidRDefault="007268E7" w:rsidP="007268E7">
            <w:pPr>
              <w:spacing w:before="100" w:beforeAutospacing="1" w:after="100" w:afterAutospacing="1"/>
              <w:jc w:val="center"/>
              <w:rPr>
                <w:rFonts w:ascii="Verdana" w:hAnsi="Verdana"/>
                <w:b/>
                <w:bCs/>
                <w:color w:val="000000"/>
                <w:sz w:val="16"/>
                <w:szCs w:val="13"/>
              </w:rPr>
            </w:pPr>
            <w:r>
              <w:rPr>
                <w:rFonts w:ascii="Verdana" w:hAnsi="Verdana"/>
                <w:b/>
                <w:bCs/>
                <w:color w:val="000000"/>
                <w:sz w:val="16"/>
                <w:szCs w:val="13"/>
              </w:rPr>
              <w:t xml:space="preserve">Original estimate </w:t>
            </w:r>
          </w:p>
        </w:tc>
        <w:tc>
          <w:tcPr>
            <w:tcW w:w="3870" w:type="dxa"/>
            <w:gridSpan w:val="3"/>
          </w:tcPr>
          <w:p w14:paraId="7539574A" w14:textId="193E36E0" w:rsidR="007268E7" w:rsidRDefault="007268E7" w:rsidP="00277319">
            <w:pPr>
              <w:spacing w:before="100" w:beforeAutospacing="1" w:after="100" w:afterAutospacing="1"/>
              <w:jc w:val="center"/>
              <w:rPr>
                <w:rFonts w:ascii="Verdana" w:hAnsi="Verdana"/>
                <w:b/>
                <w:bCs/>
                <w:color w:val="000000"/>
                <w:sz w:val="16"/>
                <w:szCs w:val="13"/>
              </w:rPr>
            </w:pPr>
            <w:r>
              <w:rPr>
                <w:rFonts w:ascii="Verdana" w:hAnsi="Verdana"/>
                <w:b/>
                <w:bCs/>
                <w:color w:val="000000"/>
                <w:sz w:val="16"/>
                <w:szCs w:val="13"/>
              </w:rPr>
              <w:t>Modified estimate</w:t>
            </w:r>
          </w:p>
        </w:tc>
      </w:tr>
      <w:tr w:rsidR="007268E7" w:rsidRPr="00AE04CB" w14:paraId="46417771" w14:textId="33D6A01A" w:rsidTr="00EF015F">
        <w:trPr>
          <w:trHeight w:val="336"/>
        </w:trPr>
        <w:tc>
          <w:tcPr>
            <w:tcW w:w="3410" w:type="dxa"/>
            <w:tcMar>
              <w:top w:w="60" w:type="dxa"/>
              <w:left w:w="60" w:type="dxa"/>
              <w:bottom w:w="60" w:type="dxa"/>
              <w:right w:w="60" w:type="dxa"/>
            </w:tcMar>
            <w:vAlign w:val="center"/>
            <w:hideMark/>
          </w:tcPr>
          <w:p w14:paraId="18B6DDAD" w14:textId="77777777" w:rsidR="007268E7" w:rsidRPr="00AE04CB" w:rsidRDefault="007268E7" w:rsidP="00277319">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Category of Respondent</w:t>
            </w:r>
          </w:p>
        </w:tc>
        <w:tc>
          <w:tcPr>
            <w:tcW w:w="1352" w:type="dxa"/>
            <w:tcMar>
              <w:top w:w="60" w:type="dxa"/>
              <w:left w:w="60" w:type="dxa"/>
              <w:bottom w:w="60" w:type="dxa"/>
              <w:right w:w="60" w:type="dxa"/>
            </w:tcMar>
            <w:vAlign w:val="center"/>
            <w:hideMark/>
          </w:tcPr>
          <w:p w14:paraId="3A62EB33" w14:textId="77777777" w:rsidR="007268E7" w:rsidRPr="00AE04CB" w:rsidRDefault="007268E7" w:rsidP="00277319">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No. of Respondents</w:t>
            </w:r>
          </w:p>
        </w:tc>
        <w:tc>
          <w:tcPr>
            <w:tcW w:w="1313" w:type="dxa"/>
            <w:tcMar>
              <w:top w:w="60" w:type="dxa"/>
              <w:left w:w="60" w:type="dxa"/>
              <w:bottom w:w="60" w:type="dxa"/>
              <w:right w:w="60" w:type="dxa"/>
            </w:tcMar>
            <w:vAlign w:val="center"/>
            <w:hideMark/>
          </w:tcPr>
          <w:p w14:paraId="7FE5C396" w14:textId="77777777" w:rsidR="007268E7" w:rsidRPr="00AE04CB" w:rsidRDefault="007268E7" w:rsidP="00277319">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Participation Time</w:t>
            </w:r>
          </w:p>
        </w:tc>
        <w:tc>
          <w:tcPr>
            <w:tcW w:w="1335" w:type="dxa"/>
            <w:tcMar>
              <w:top w:w="60" w:type="dxa"/>
              <w:left w:w="60" w:type="dxa"/>
              <w:bottom w:w="60" w:type="dxa"/>
              <w:right w:w="60" w:type="dxa"/>
            </w:tcMar>
            <w:vAlign w:val="center"/>
            <w:hideMark/>
          </w:tcPr>
          <w:p w14:paraId="2C8D5D4F" w14:textId="77777777" w:rsidR="007268E7" w:rsidRPr="00AE04CB" w:rsidRDefault="007268E7" w:rsidP="00277319">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Burden</w:t>
            </w:r>
          </w:p>
        </w:tc>
        <w:tc>
          <w:tcPr>
            <w:tcW w:w="1313" w:type="dxa"/>
          </w:tcPr>
          <w:p w14:paraId="7632DB86" w14:textId="28627665" w:rsidR="007268E7" w:rsidRPr="00AE04CB" w:rsidRDefault="007268E7" w:rsidP="00277319">
            <w:pPr>
              <w:spacing w:before="100" w:beforeAutospacing="1" w:after="100" w:afterAutospacing="1"/>
              <w:jc w:val="center"/>
              <w:rPr>
                <w:rFonts w:ascii="Verdana" w:hAnsi="Verdana"/>
                <w:b/>
                <w:bCs/>
                <w:color w:val="000000"/>
                <w:sz w:val="16"/>
                <w:szCs w:val="13"/>
              </w:rPr>
            </w:pPr>
            <w:r>
              <w:rPr>
                <w:rFonts w:ascii="Verdana" w:hAnsi="Verdana"/>
                <w:b/>
                <w:bCs/>
                <w:color w:val="000000"/>
                <w:sz w:val="16"/>
                <w:szCs w:val="13"/>
              </w:rPr>
              <w:t>No. of Respondents</w:t>
            </w:r>
          </w:p>
        </w:tc>
        <w:tc>
          <w:tcPr>
            <w:tcW w:w="1313" w:type="dxa"/>
          </w:tcPr>
          <w:p w14:paraId="181C9DAA" w14:textId="3489B3F8" w:rsidR="007268E7" w:rsidRPr="00AE04CB" w:rsidRDefault="007268E7" w:rsidP="00277319">
            <w:pPr>
              <w:spacing w:before="100" w:beforeAutospacing="1" w:after="100" w:afterAutospacing="1"/>
              <w:jc w:val="center"/>
              <w:rPr>
                <w:rFonts w:ascii="Verdana" w:hAnsi="Verdana"/>
                <w:b/>
                <w:bCs/>
                <w:color w:val="000000"/>
                <w:sz w:val="16"/>
                <w:szCs w:val="13"/>
              </w:rPr>
            </w:pPr>
            <w:r>
              <w:rPr>
                <w:rFonts w:ascii="Verdana" w:hAnsi="Verdana"/>
                <w:b/>
                <w:bCs/>
                <w:color w:val="000000"/>
                <w:sz w:val="16"/>
                <w:szCs w:val="13"/>
              </w:rPr>
              <w:t xml:space="preserve">Participation Time </w:t>
            </w:r>
          </w:p>
        </w:tc>
        <w:tc>
          <w:tcPr>
            <w:tcW w:w="1244" w:type="dxa"/>
            <w:vAlign w:val="center"/>
          </w:tcPr>
          <w:p w14:paraId="4BC8E6C7" w14:textId="17D8EDB8" w:rsidR="007268E7" w:rsidRPr="00AE04CB" w:rsidRDefault="007268E7" w:rsidP="007268E7">
            <w:pPr>
              <w:spacing w:before="100" w:beforeAutospacing="1" w:after="100" w:afterAutospacing="1"/>
              <w:jc w:val="center"/>
              <w:rPr>
                <w:rFonts w:ascii="Verdana" w:hAnsi="Verdana"/>
                <w:b/>
                <w:bCs/>
                <w:color w:val="000000"/>
                <w:sz w:val="16"/>
                <w:szCs w:val="13"/>
              </w:rPr>
            </w:pPr>
            <w:r>
              <w:rPr>
                <w:rFonts w:ascii="Verdana" w:hAnsi="Verdana"/>
                <w:b/>
                <w:bCs/>
                <w:color w:val="000000"/>
                <w:sz w:val="16"/>
                <w:szCs w:val="13"/>
              </w:rPr>
              <w:t>Burden</w:t>
            </w:r>
          </w:p>
        </w:tc>
      </w:tr>
      <w:tr w:rsidR="007268E7" w:rsidRPr="00AE04CB" w14:paraId="37D78062" w14:textId="754A3841" w:rsidTr="00EF015F">
        <w:trPr>
          <w:trHeight w:val="322"/>
        </w:trPr>
        <w:tc>
          <w:tcPr>
            <w:tcW w:w="3410" w:type="dxa"/>
            <w:tcMar>
              <w:top w:w="60" w:type="dxa"/>
              <w:left w:w="60" w:type="dxa"/>
              <w:bottom w:w="60" w:type="dxa"/>
              <w:right w:w="60" w:type="dxa"/>
            </w:tcMar>
            <w:hideMark/>
          </w:tcPr>
          <w:p w14:paraId="588FF86D" w14:textId="77777777" w:rsidR="007268E7" w:rsidRPr="00AE04CB" w:rsidRDefault="007268E7" w:rsidP="00277319">
            <w:pPr>
              <w:spacing w:before="120" w:after="120"/>
              <w:rPr>
                <w:rFonts w:ascii="Verdana" w:hAnsi="Verdana"/>
                <w:color w:val="000000"/>
                <w:sz w:val="16"/>
                <w:szCs w:val="12"/>
              </w:rPr>
            </w:pPr>
            <w:r w:rsidRPr="00AE04CB">
              <w:rPr>
                <w:rFonts w:ascii="Verdana" w:hAnsi="Verdana"/>
                <w:color w:val="000000"/>
                <w:sz w:val="16"/>
                <w:szCs w:val="12"/>
              </w:rPr>
              <w:t>  Screening</w:t>
            </w:r>
            <w:r>
              <w:rPr>
                <w:rFonts w:ascii="Verdana" w:hAnsi="Verdana"/>
                <w:color w:val="000000"/>
                <w:sz w:val="16"/>
                <w:szCs w:val="12"/>
              </w:rPr>
              <w:t xml:space="preserve"> for Round 2</w:t>
            </w:r>
          </w:p>
        </w:tc>
        <w:tc>
          <w:tcPr>
            <w:tcW w:w="1352" w:type="dxa"/>
            <w:tcMar>
              <w:top w:w="60" w:type="dxa"/>
              <w:left w:w="60" w:type="dxa"/>
              <w:bottom w:w="60" w:type="dxa"/>
              <w:right w:w="60" w:type="dxa"/>
            </w:tcMar>
            <w:hideMark/>
          </w:tcPr>
          <w:p w14:paraId="263A474A" w14:textId="77777777" w:rsidR="007268E7" w:rsidRPr="00AE04CB" w:rsidRDefault="007268E7" w:rsidP="00277319">
            <w:pPr>
              <w:spacing w:before="120" w:after="120"/>
              <w:jc w:val="center"/>
              <w:rPr>
                <w:rFonts w:ascii="Verdana" w:hAnsi="Verdana"/>
                <w:color w:val="000000"/>
                <w:sz w:val="16"/>
                <w:szCs w:val="12"/>
              </w:rPr>
            </w:pPr>
            <w:r>
              <w:rPr>
                <w:rFonts w:ascii="Verdana" w:hAnsi="Verdana"/>
                <w:color w:val="000000"/>
                <w:sz w:val="16"/>
                <w:szCs w:val="12"/>
              </w:rPr>
              <w:t>45</w:t>
            </w:r>
          </w:p>
        </w:tc>
        <w:tc>
          <w:tcPr>
            <w:tcW w:w="1313" w:type="dxa"/>
            <w:tcMar>
              <w:top w:w="60" w:type="dxa"/>
              <w:left w:w="60" w:type="dxa"/>
              <w:bottom w:w="60" w:type="dxa"/>
              <w:right w:w="60" w:type="dxa"/>
            </w:tcMar>
            <w:hideMark/>
          </w:tcPr>
          <w:p w14:paraId="24CDA59F" w14:textId="77777777" w:rsidR="007268E7" w:rsidRPr="00AE04CB" w:rsidRDefault="007268E7" w:rsidP="00277319">
            <w:pPr>
              <w:spacing w:before="120" w:after="120"/>
              <w:jc w:val="center"/>
              <w:rPr>
                <w:rFonts w:ascii="Verdana" w:hAnsi="Verdana"/>
                <w:color w:val="000000"/>
                <w:sz w:val="16"/>
                <w:szCs w:val="12"/>
              </w:rPr>
            </w:pPr>
            <w:r>
              <w:rPr>
                <w:rFonts w:ascii="Verdana" w:hAnsi="Verdana"/>
                <w:color w:val="000000"/>
                <w:sz w:val="16"/>
                <w:szCs w:val="12"/>
              </w:rPr>
              <w:t>2 minutes</w:t>
            </w:r>
          </w:p>
        </w:tc>
        <w:tc>
          <w:tcPr>
            <w:tcW w:w="1335" w:type="dxa"/>
            <w:tcMar>
              <w:top w:w="60" w:type="dxa"/>
              <w:left w:w="60" w:type="dxa"/>
              <w:bottom w:w="60" w:type="dxa"/>
              <w:right w:w="60" w:type="dxa"/>
            </w:tcMar>
            <w:hideMark/>
          </w:tcPr>
          <w:p w14:paraId="00578009" w14:textId="77777777" w:rsidR="007268E7" w:rsidRPr="00AE04CB" w:rsidRDefault="007268E7" w:rsidP="00277319">
            <w:pPr>
              <w:spacing w:before="120" w:after="120"/>
              <w:jc w:val="center"/>
              <w:rPr>
                <w:rFonts w:ascii="Verdana" w:hAnsi="Verdana"/>
                <w:color w:val="000000"/>
                <w:sz w:val="16"/>
                <w:szCs w:val="12"/>
              </w:rPr>
            </w:pPr>
            <w:r>
              <w:rPr>
                <w:rFonts w:ascii="Verdana" w:hAnsi="Verdana"/>
                <w:color w:val="000000"/>
                <w:sz w:val="16"/>
                <w:szCs w:val="12"/>
              </w:rPr>
              <w:t>2</w:t>
            </w:r>
            <w:r w:rsidRPr="00AE04CB">
              <w:rPr>
                <w:rFonts w:ascii="Verdana" w:hAnsi="Verdana"/>
                <w:color w:val="000000"/>
                <w:sz w:val="16"/>
                <w:szCs w:val="12"/>
              </w:rPr>
              <w:t xml:space="preserve"> hours</w:t>
            </w:r>
          </w:p>
        </w:tc>
        <w:tc>
          <w:tcPr>
            <w:tcW w:w="1313" w:type="dxa"/>
          </w:tcPr>
          <w:p w14:paraId="60CB01A4" w14:textId="5AE59A1C" w:rsidR="007268E7" w:rsidRDefault="007268E7" w:rsidP="00277319">
            <w:pPr>
              <w:spacing w:before="120" w:after="120"/>
              <w:jc w:val="center"/>
              <w:rPr>
                <w:rFonts w:ascii="Verdana" w:hAnsi="Verdana"/>
                <w:color w:val="000000"/>
                <w:sz w:val="16"/>
                <w:szCs w:val="12"/>
              </w:rPr>
            </w:pPr>
            <w:r>
              <w:rPr>
                <w:rFonts w:ascii="Verdana" w:hAnsi="Verdana"/>
                <w:color w:val="000000"/>
                <w:sz w:val="16"/>
                <w:szCs w:val="12"/>
              </w:rPr>
              <w:t>100</w:t>
            </w:r>
          </w:p>
        </w:tc>
        <w:tc>
          <w:tcPr>
            <w:tcW w:w="1313" w:type="dxa"/>
          </w:tcPr>
          <w:p w14:paraId="670AEA2F" w14:textId="1D5EF15E" w:rsidR="007268E7" w:rsidRDefault="007268E7" w:rsidP="00277319">
            <w:pPr>
              <w:spacing w:before="120" w:after="120"/>
              <w:jc w:val="center"/>
              <w:rPr>
                <w:rFonts w:ascii="Verdana" w:hAnsi="Verdana"/>
                <w:color w:val="000000"/>
                <w:sz w:val="16"/>
                <w:szCs w:val="12"/>
              </w:rPr>
            </w:pPr>
            <w:r>
              <w:rPr>
                <w:rFonts w:ascii="Verdana" w:hAnsi="Verdana"/>
                <w:color w:val="000000"/>
                <w:sz w:val="16"/>
                <w:szCs w:val="12"/>
              </w:rPr>
              <w:t>5 minutes</w:t>
            </w:r>
          </w:p>
        </w:tc>
        <w:tc>
          <w:tcPr>
            <w:tcW w:w="1244" w:type="dxa"/>
          </w:tcPr>
          <w:p w14:paraId="3B5D1F42" w14:textId="228DD243" w:rsidR="007268E7" w:rsidRDefault="005D67AE" w:rsidP="00277319">
            <w:pPr>
              <w:spacing w:before="120" w:after="120"/>
              <w:jc w:val="center"/>
              <w:rPr>
                <w:rFonts w:ascii="Verdana" w:hAnsi="Verdana"/>
                <w:color w:val="000000"/>
                <w:sz w:val="16"/>
                <w:szCs w:val="12"/>
              </w:rPr>
            </w:pPr>
            <w:r>
              <w:rPr>
                <w:rFonts w:ascii="Verdana" w:hAnsi="Verdana"/>
                <w:color w:val="000000"/>
                <w:sz w:val="16"/>
                <w:szCs w:val="12"/>
              </w:rPr>
              <w:t>9 hours</w:t>
            </w:r>
          </w:p>
        </w:tc>
      </w:tr>
      <w:tr w:rsidR="007268E7" w:rsidRPr="00AE04CB" w14:paraId="75B60D7F" w14:textId="7E84F460" w:rsidTr="00EF015F">
        <w:trPr>
          <w:trHeight w:val="361"/>
        </w:trPr>
        <w:tc>
          <w:tcPr>
            <w:tcW w:w="3410" w:type="dxa"/>
            <w:tcMar>
              <w:top w:w="60" w:type="dxa"/>
              <w:left w:w="60" w:type="dxa"/>
              <w:bottom w:w="60" w:type="dxa"/>
              <w:right w:w="60" w:type="dxa"/>
            </w:tcMar>
          </w:tcPr>
          <w:p w14:paraId="27FE0E27" w14:textId="77777777" w:rsidR="007268E7" w:rsidRPr="00AE04CB" w:rsidRDefault="007268E7" w:rsidP="00277319">
            <w:pPr>
              <w:spacing w:before="120" w:after="120"/>
              <w:rPr>
                <w:rFonts w:ascii="Verdana" w:hAnsi="Verdana"/>
                <w:color w:val="000000"/>
                <w:sz w:val="16"/>
                <w:szCs w:val="12"/>
              </w:rPr>
            </w:pPr>
            <w:r w:rsidRPr="00AE04CB">
              <w:rPr>
                <w:rFonts w:ascii="Verdana" w:hAnsi="Verdana"/>
                <w:color w:val="000000"/>
                <w:sz w:val="16"/>
                <w:szCs w:val="12"/>
              </w:rPr>
              <w:t>  Cognitive Interviews</w:t>
            </w:r>
            <w:r>
              <w:rPr>
                <w:rFonts w:ascii="Verdana" w:hAnsi="Verdana"/>
                <w:color w:val="000000"/>
                <w:sz w:val="16"/>
                <w:szCs w:val="12"/>
              </w:rPr>
              <w:t xml:space="preserve"> – Round 2 </w:t>
            </w:r>
          </w:p>
        </w:tc>
        <w:tc>
          <w:tcPr>
            <w:tcW w:w="1352" w:type="dxa"/>
            <w:tcMar>
              <w:top w:w="60" w:type="dxa"/>
              <w:left w:w="60" w:type="dxa"/>
              <w:bottom w:w="60" w:type="dxa"/>
              <w:right w:w="60" w:type="dxa"/>
            </w:tcMar>
          </w:tcPr>
          <w:p w14:paraId="5871B400" w14:textId="77777777" w:rsidR="007268E7" w:rsidRDefault="007268E7" w:rsidP="00277319">
            <w:pPr>
              <w:spacing w:before="120" w:after="120"/>
              <w:jc w:val="center"/>
              <w:rPr>
                <w:rFonts w:ascii="Verdana" w:hAnsi="Verdana"/>
                <w:color w:val="000000"/>
                <w:sz w:val="16"/>
                <w:szCs w:val="12"/>
              </w:rPr>
            </w:pPr>
            <w:r>
              <w:rPr>
                <w:rFonts w:ascii="Verdana" w:hAnsi="Verdana"/>
                <w:color w:val="000000"/>
                <w:sz w:val="16"/>
                <w:szCs w:val="12"/>
              </w:rPr>
              <w:t>15</w:t>
            </w:r>
          </w:p>
        </w:tc>
        <w:tc>
          <w:tcPr>
            <w:tcW w:w="1313" w:type="dxa"/>
            <w:tcMar>
              <w:top w:w="60" w:type="dxa"/>
              <w:left w:w="60" w:type="dxa"/>
              <w:bottom w:w="60" w:type="dxa"/>
              <w:right w:w="60" w:type="dxa"/>
            </w:tcMar>
          </w:tcPr>
          <w:p w14:paraId="1D1348EE" w14:textId="77777777" w:rsidR="007268E7" w:rsidRPr="00AE04CB" w:rsidRDefault="007268E7" w:rsidP="00277319">
            <w:pPr>
              <w:spacing w:before="120" w:after="120"/>
              <w:jc w:val="center"/>
              <w:rPr>
                <w:rFonts w:ascii="Verdana" w:hAnsi="Verdana"/>
                <w:color w:val="000000"/>
                <w:sz w:val="16"/>
                <w:szCs w:val="12"/>
              </w:rPr>
            </w:pPr>
            <w:r>
              <w:rPr>
                <w:rFonts w:ascii="Verdana" w:hAnsi="Verdana"/>
                <w:color w:val="000000"/>
                <w:sz w:val="16"/>
                <w:szCs w:val="12"/>
              </w:rPr>
              <w:t>60</w:t>
            </w:r>
            <w:r w:rsidRPr="00AE04CB">
              <w:rPr>
                <w:rFonts w:ascii="Verdana" w:hAnsi="Verdana"/>
                <w:color w:val="000000"/>
                <w:sz w:val="16"/>
                <w:szCs w:val="12"/>
              </w:rPr>
              <w:t xml:space="preserve"> minutes</w:t>
            </w:r>
          </w:p>
        </w:tc>
        <w:tc>
          <w:tcPr>
            <w:tcW w:w="1335" w:type="dxa"/>
            <w:tcMar>
              <w:top w:w="60" w:type="dxa"/>
              <w:left w:w="60" w:type="dxa"/>
              <w:bottom w:w="60" w:type="dxa"/>
              <w:right w:w="60" w:type="dxa"/>
            </w:tcMar>
          </w:tcPr>
          <w:p w14:paraId="07E19FA4" w14:textId="77777777" w:rsidR="007268E7" w:rsidRDefault="007268E7" w:rsidP="00277319">
            <w:pPr>
              <w:spacing w:before="120" w:after="120"/>
              <w:jc w:val="center"/>
              <w:rPr>
                <w:rFonts w:ascii="Verdana" w:hAnsi="Verdana"/>
                <w:color w:val="000000"/>
                <w:sz w:val="16"/>
                <w:szCs w:val="12"/>
              </w:rPr>
            </w:pPr>
            <w:r>
              <w:rPr>
                <w:rFonts w:ascii="Verdana" w:hAnsi="Verdana"/>
                <w:color w:val="000000"/>
                <w:sz w:val="16"/>
                <w:szCs w:val="12"/>
              </w:rPr>
              <w:t xml:space="preserve">15 hours </w:t>
            </w:r>
          </w:p>
        </w:tc>
        <w:tc>
          <w:tcPr>
            <w:tcW w:w="1313" w:type="dxa"/>
          </w:tcPr>
          <w:p w14:paraId="39C7DB3F" w14:textId="0BD5AE11" w:rsidR="007268E7" w:rsidRDefault="005D67AE" w:rsidP="00277319">
            <w:pPr>
              <w:spacing w:before="120" w:after="120"/>
              <w:jc w:val="center"/>
              <w:rPr>
                <w:rFonts w:ascii="Verdana" w:hAnsi="Verdana"/>
                <w:color w:val="000000"/>
                <w:sz w:val="16"/>
                <w:szCs w:val="12"/>
              </w:rPr>
            </w:pPr>
            <w:r>
              <w:rPr>
                <w:rFonts w:ascii="Verdana" w:hAnsi="Verdana"/>
                <w:color w:val="000000"/>
                <w:sz w:val="16"/>
                <w:szCs w:val="12"/>
              </w:rPr>
              <w:t xml:space="preserve">15 </w:t>
            </w:r>
          </w:p>
        </w:tc>
        <w:tc>
          <w:tcPr>
            <w:tcW w:w="1313" w:type="dxa"/>
          </w:tcPr>
          <w:p w14:paraId="4332D30F" w14:textId="08E2D9AB" w:rsidR="007268E7" w:rsidRDefault="005D67AE" w:rsidP="00277319">
            <w:pPr>
              <w:spacing w:before="120" w:after="120"/>
              <w:jc w:val="center"/>
              <w:rPr>
                <w:rFonts w:ascii="Verdana" w:hAnsi="Verdana"/>
                <w:color w:val="000000"/>
                <w:sz w:val="16"/>
                <w:szCs w:val="12"/>
              </w:rPr>
            </w:pPr>
            <w:r>
              <w:rPr>
                <w:rFonts w:ascii="Verdana" w:hAnsi="Verdana"/>
                <w:color w:val="000000"/>
                <w:sz w:val="16"/>
                <w:szCs w:val="12"/>
              </w:rPr>
              <w:t xml:space="preserve">60 minutes </w:t>
            </w:r>
          </w:p>
        </w:tc>
        <w:tc>
          <w:tcPr>
            <w:tcW w:w="1244" w:type="dxa"/>
          </w:tcPr>
          <w:p w14:paraId="4D9FF911" w14:textId="37A7CE18" w:rsidR="007268E7" w:rsidRDefault="005D67AE" w:rsidP="00277319">
            <w:pPr>
              <w:spacing w:before="120" w:after="120"/>
              <w:jc w:val="center"/>
              <w:rPr>
                <w:rFonts w:ascii="Verdana" w:hAnsi="Verdana"/>
                <w:color w:val="000000"/>
                <w:sz w:val="16"/>
                <w:szCs w:val="12"/>
              </w:rPr>
            </w:pPr>
            <w:r>
              <w:rPr>
                <w:rFonts w:ascii="Verdana" w:hAnsi="Verdana"/>
                <w:color w:val="000000"/>
                <w:sz w:val="16"/>
                <w:szCs w:val="12"/>
              </w:rPr>
              <w:t>15 hours</w:t>
            </w:r>
          </w:p>
        </w:tc>
      </w:tr>
      <w:tr w:rsidR="007268E7" w:rsidRPr="00AE04CB" w14:paraId="6C2991A9" w14:textId="0D22D420" w:rsidTr="00EF015F">
        <w:trPr>
          <w:trHeight w:val="361"/>
        </w:trPr>
        <w:tc>
          <w:tcPr>
            <w:tcW w:w="3410" w:type="dxa"/>
            <w:tcMar>
              <w:top w:w="60" w:type="dxa"/>
              <w:left w:w="60" w:type="dxa"/>
              <w:bottom w:w="60" w:type="dxa"/>
              <w:right w:w="60" w:type="dxa"/>
            </w:tcMar>
            <w:vAlign w:val="center"/>
            <w:hideMark/>
          </w:tcPr>
          <w:p w14:paraId="6430C6CF" w14:textId="77777777" w:rsidR="007268E7" w:rsidRPr="00AE04CB" w:rsidRDefault="007268E7" w:rsidP="00277319">
            <w:pPr>
              <w:spacing w:before="100" w:beforeAutospacing="1" w:after="100" w:afterAutospacing="1"/>
              <w:rPr>
                <w:rFonts w:ascii="Verdana" w:hAnsi="Verdana"/>
                <w:color w:val="000000"/>
                <w:sz w:val="16"/>
                <w:szCs w:val="13"/>
              </w:rPr>
            </w:pPr>
            <w:r w:rsidRPr="00AE04CB">
              <w:rPr>
                <w:rFonts w:ascii="Verdana" w:hAnsi="Verdana"/>
                <w:b/>
                <w:bCs/>
                <w:color w:val="000000"/>
                <w:sz w:val="16"/>
                <w:szCs w:val="13"/>
              </w:rPr>
              <w:t>Totals</w:t>
            </w:r>
          </w:p>
        </w:tc>
        <w:tc>
          <w:tcPr>
            <w:tcW w:w="1352" w:type="dxa"/>
            <w:tcMar>
              <w:top w:w="60" w:type="dxa"/>
              <w:left w:w="60" w:type="dxa"/>
              <w:bottom w:w="60" w:type="dxa"/>
              <w:right w:w="60" w:type="dxa"/>
            </w:tcMar>
            <w:hideMark/>
          </w:tcPr>
          <w:p w14:paraId="3E47CED6" w14:textId="77777777" w:rsidR="007268E7" w:rsidRPr="00AE04CB" w:rsidRDefault="007268E7" w:rsidP="00277319">
            <w:pPr>
              <w:spacing w:before="120" w:after="120"/>
              <w:jc w:val="center"/>
              <w:rPr>
                <w:rFonts w:ascii="Verdana" w:hAnsi="Verdana"/>
                <w:color w:val="000000"/>
                <w:sz w:val="16"/>
                <w:szCs w:val="12"/>
              </w:rPr>
            </w:pPr>
          </w:p>
        </w:tc>
        <w:tc>
          <w:tcPr>
            <w:tcW w:w="1313" w:type="dxa"/>
            <w:tcMar>
              <w:top w:w="60" w:type="dxa"/>
              <w:left w:w="60" w:type="dxa"/>
              <w:bottom w:w="60" w:type="dxa"/>
              <w:right w:w="60" w:type="dxa"/>
            </w:tcMar>
            <w:hideMark/>
          </w:tcPr>
          <w:p w14:paraId="63D6C733" w14:textId="77777777" w:rsidR="007268E7" w:rsidRPr="00AE04CB" w:rsidRDefault="007268E7" w:rsidP="00277319">
            <w:pPr>
              <w:spacing w:before="120" w:after="120"/>
              <w:jc w:val="center"/>
              <w:rPr>
                <w:rFonts w:ascii="Verdana" w:hAnsi="Verdana"/>
                <w:color w:val="000000"/>
                <w:sz w:val="16"/>
                <w:szCs w:val="12"/>
              </w:rPr>
            </w:pPr>
          </w:p>
        </w:tc>
        <w:tc>
          <w:tcPr>
            <w:tcW w:w="1335" w:type="dxa"/>
            <w:tcMar>
              <w:top w:w="60" w:type="dxa"/>
              <w:left w:w="60" w:type="dxa"/>
              <w:bottom w:w="60" w:type="dxa"/>
              <w:right w:w="60" w:type="dxa"/>
            </w:tcMar>
            <w:hideMark/>
          </w:tcPr>
          <w:p w14:paraId="41A4D91A" w14:textId="3350059C" w:rsidR="007268E7" w:rsidRPr="00AE04CB" w:rsidRDefault="005D67AE" w:rsidP="00277319">
            <w:pPr>
              <w:spacing w:before="120" w:after="120"/>
              <w:jc w:val="center"/>
              <w:rPr>
                <w:rFonts w:ascii="Verdana" w:hAnsi="Verdana"/>
                <w:color w:val="000000"/>
                <w:sz w:val="16"/>
                <w:szCs w:val="12"/>
              </w:rPr>
            </w:pPr>
            <w:r>
              <w:rPr>
                <w:rFonts w:ascii="Verdana" w:hAnsi="Verdana"/>
                <w:color w:val="000000"/>
                <w:sz w:val="16"/>
                <w:szCs w:val="12"/>
              </w:rPr>
              <w:t>17</w:t>
            </w:r>
            <w:r w:rsidR="007268E7" w:rsidRPr="00AE04CB">
              <w:rPr>
                <w:rFonts w:ascii="Verdana" w:hAnsi="Verdana"/>
                <w:color w:val="000000"/>
                <w:sz w:val="16"/>
                <w:szCs w:val="12"/>
              </w:rPr>
              <w:t xml:space="preserve"> hours</w:t>
            </w:r>
          </w:p>
        </w:tc>
        <w:tc>
          <w:tcPr>
            <w:tcW w:w="1313" w:type="dxa"/>
          </w:tcPr>
          <w:p w14:paraId="0124C98F" w14:textId="77777777" w:rsidR="007268E7" w:rsidRDefault="007268E7" w:rsidP="00277319">
            <w:pPr>
              <w:spacing w:before="120" w:after="120"/>
              <w:jc w:val="center"/>
              <w:rPr>
                <w:rFonts w:ascii="Verdana" w:hAnsi="Verdana"/>
                <w:color w:val="000000"/>
                <w:sz w:val="16"/>
                <w:szCs w:val="12"/>
              </w:rPr>
            </w:pPr>
          </w:p>
        </w:tc>
        <w:tc>
          <w:tcPr>
            <w:tcW w:w="1313" w:type="dxa"/>
          </w:tcPr>
          <w:p w14:paraId="7B55279F" w14:textId="77777777" w:rsidR="007268E7" w:rsidRDefault="007268E7" w:rsidP="00277319">
            <w:pPr>
              <w:spacing w:before="120" w:after="120"/>
              <w:jc w:val="center"/>
              <w:rPr>
                <w:rFonts w:ascii="Verdana" w:hAnsi="Verdana"/>
                <w:color w:val="000000"/>
                <w:sz w:val="16"/>
                <w:szCs w:val="12"/>
              </w:rPr>
            </w:pPr>
          </w:p>
        </w:tc>
        <w:tc>
          <w:tcPr>
            <w:tcW w:w="1244" w:type="dxa"/>
          </w:tcPr>
          <w:p w14:paraId="0C308607" w14:textId="0DD4082C" w:rsidR="007268E7" w:rsidRDefault="005D67AE" w:rsidP="00277319">
            <w:pPr>
              <w:spacing w:before="120" w:after="120"/>
              <w:jc w:val="center"/>
              <w:rPr>
                <w:rFonts w:ascii="Verdana" w:hAnsi="Verdana"/>
                <w:color w:val="000000"/>
                <w:sz w:val="16"/>
                <w:szCs w:val="12"/>
              </w:rPr>
            </w:pPr>
            <w:r>
              <w:rPr>
                <w:rFonts w:ascii="Verdana" w:hAnsi="Verdana"/>
                <w:color w:val="000000"/>
                <w:sz w:val="16"/>
                <w:szCs w:val="12"/>
              </w:rPr>
              <w:t>24 hours</w:t>
            </w:r>
          </w:p>
        </w:tc>
      </w:tr>
    </w:tbl>
    <w:p w14:paraId="2034270A" w14:textId="1534700F" w:rsidR="00D40F0A" w:rsidRPr="00AE04CB" w:rsidRDefault="00D40F0A" w:rsidP="00D40F0A">
      <w:pPr>
        <w:pStyle w:val="NoSpacing"/>
        <w:rPr>
          <w:sz w:val="24"/>
          <w:szCs w:val="24"/>
        </w:rPr>
      </w:pPr>
    </w:p>
    <w:p w14:paraId="0BCA7245" w14:textId="424A7428" w:rsidR="00D40F0A" w:rsidRPr="00AB7BE6" w:rsidRDefault="00D40F0A" w:rsidP="00D40F0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B7BE6">
        <w:rPr>
          <w:color w:val="000000"/>
          <w:sz w:val="24"/>
          <w:szCs w:val="24"/>
        </w:rPr>
        <w:t xml:space="preserve">The contact person for questions regarding data </w:t>
      </w:r>
      <w:r w:rsidR="009B5152">
        <w:rPr>
          <w:color w:val="000000"/>
          <w:sz w:val="24"/>
          <w:szCs w:val="24"/>
        </w:rPr>
        <w:t xml:space="preserve">and </w:t>
      </w:r>
      <w:r w:rsidRPr="00AB7BE6">
        <w:rPr>
          <w:color w:val="000000"/>
          <w:sz w:val="24"/>
          <w:szCs w:val="24"/>
        </w:rPr>
        <w:t>the design of this research</w:t>
      </w:r>
      <w:r w:rsidR="00C029D9">
        <w:rPr>
          <w:color w:val="000000"/>
          <w:sz w:val="24"/>
          <w:szCs w:val="24"/>
        </w:rPr>
        <w:t xml:space="preserve"> project</w:t>
      </w:r>
      <w:r w:rsidRPr="00AB7BE6">
        <w:rPr>
          <w:color w:val="000000"/>
          <w:sz w:val="24"/>
          <w:szCs w:val="24"/>
        </w:rPr>
        <w:t xml:space="preserve"> is listed below:</w:t>
      </w:r>
    </w:p>
    <w:p w14:paraId="708E670D" w14:textId="77777777" w:rsidR="00D40F0A" w:rsidRPr="00D40F0A" w:rsidRDefault="00D40F0A" w:rsidP="00D40F0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color w:val="000000"/>
          <w:sz w:val="24"/>
          <w:szCs w:val="24"/>
        </w:rPr>
        <w:t>Jonathan Katz</w:t>
      </w:r>
      <w:r>
        <w:rPr>
          <w:color w:val="000000"/>
          <w:sz w:val="24"/>
          <w:szCs w:val="24"/>
        </w:rPr>
        <w:br/>
      </w:r>
      <w:r w:rsidRPr="00AB7BE6">
        <w:rPr>
          <w:color w:val="000000"/>
          <w:sz w:val="24"/>
          <w:szCs w:val="24"/>
        </w:rPr>
        <w:t xml:space="preserve">Center for Survey Measurement </w:t>
      </w:r>
      <w:r>
        <w:rPr>
          <w:color w:val="000000"/>
          <w:sz w:val="24"/>
          <w:szCs w:val="24"/>
        </w:rPr>
        <w:br/>
      </w:r>
      <w:r w:rsidRPr="00AB7BE6">
        <w:rPr>
          <w:color w:val="000000"/>
          <w:sz w:val="24"/>
          <w:szCs w:val="24"/>
        </w:rPr>
        <w:t xml:space="preserve">U.S. Census Bureau </w:t>
      </w:r>
      <w:r>
        <w:rPr>
          <w:color w:val="000000"/>
          <w:sz w:val="24"/>
          <w:szCs w:val="24"/>
        </w:rPr>
        <w:br/>
      </w:r>
      <w:r w:rsidRPr="00AB7BE6">
        <w:rPr>
          <w:color w:val="000000"/>
          <w:sz w:val="24"/>
          <w:szCs w:val="24"/>
        </w:rPr>
        <w:t>Washington, D.C. 20233</w:t>
      </w:r>
      <w:r>
        <w:rPr>
          <w:color w:val="000000"/>
          <w:sz w:val="24"/>
          <w:szCs w:val="24"/>
        </w:rPr>
        <w:br/>
      </w:r>
      <w:r w:rsidRPr="00AB7BE6">
        <w:rPr>
          <w:color w:val="000000"/>
          <w:sz w:val="24"/>
          <w:szCs w:val="24"/>
        </w:rPr>
        <w:t>(301) 763-</w:t>
      </w:r>
      <w:r>
        <w:rPr>
          <w:color w:val="000000"/>
          <w:sz w:val="24"/>
          <w:szCs w:val="24"/>
        </w:rPr>
        <w:t>5956</w:t>
      </w:r>
      <w:r>
        <w:rPr>
          <w:color w:val="000000"/>
          <w:sz w:val="24"/>
          <w:szCs w:val="24"/>
        </w:rPr>
        <w:br/>
      </w:r>
      <w:r>
        <w:rPr>
          <w:sz w:val="24"/>
          <w:szCs w:val="24"/>
        </w:rPr>
        <w:t>jonathan.m.katz@census.gov</w:t>
      </w:r>
    </w:p>
    <w:sectPr w:rsidR="00D40F0A" w:rsidRPr="00D40F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5C869" w14:textId="77777777" w:rsidR="0042414E" w:rsidRDefault="0042414E" w:rsidP="007734A4">
      <w:pPr>
        <w:spacing w:after="0" w:line="240" w:lineRule="auto"/>
      </w:pPr>
      <w:r>
        <w:separator/>
      </w:r>
    </w:p>
  </w:endnote>
  <w:endnote w:type="continuationSeparator" w:id="0">
    <w:p w14:paraId="6432B5F2" w14:textId="77777777" w:rsidR="0042414E" w:rsidRDefault="0042414E" w:rsidP="0077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26937" w14:textId="77777777" w:rsidR="0042414E" w:rsidRDefault="0042414E" w:rsidP="007734A4">
      <w:pPr>
        <w:spacing w:after="0" w:line="240" w:lineRule="auto"/>
      </w:pPr>
      <w:r>
        <w:separator/>
      </w:r>
    </w:p>
  </w:footnote>
  <w:footnote w:type="continuationSeparator" w:id="0">
    <w:p w14:paraId="70944399" w14:textId="77777777" w:rsidR="0042414E" w:rsidRDefault="0042414E" w:rsidP="007734A4">
      <w:pPr>
        <w:spacing w:after="0" w:line="240" w:lineRule="auto"/>
      </w:pPr>
      <w:r>
        <w:continuationSeparator/>
      </w:r>
    </w:p>
  </w:footnote>
  <w:footnote w:id="1">
    <w:p w14:paraId="5A992B46" w14:textId="77777777" w:rsidR="0042414E" w:rsidRPr="00D878C9" w:rsidRDefault="0042414E" w:rsidP="007734A4">
      <w:pPr>
        <w:pStyle w:val="FootnoteText"/>
        <w:rPr>
          <w:rFonts w:ascii="Times New Roman" w:hAnsi="Times New Roman" w:cs="Times New Roman"/>
        </w:rPr>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https://www.census.gov/library/publications/2018/dec/planned-questions-2020-acs.html</w:t>
      </w:r>
    </w:p>
  </w:footnote>
  <w:footnote w:id="2">
    <w:p w14:paraId="411E01F5" w14:textId="77777777" w:rsidR="0042414E" w:rsidRPr="00D878C9" w:rsidRDefault="0042414E" w:rsidP="007734A4">
      <w:pPr>
        <w:pStyle w:val="FootnoteText"/>
        <w:rPr>
          <w:rFonts w:ascii="Times New Roman" w:hAnsi="Times New Roman" w:cs="Times New Roman"/>
        </w:rPr>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https://www.census.gov/content/dam/Census/library/working-papers/2016/acs/2016_Westat_02.pdf</w:t>
      </w:r>
    </w:p>
  </w:footnote>
  <w:footnote w:id="3">
    <w:p w14:paraId="373DF290" w14:textId="77777777" w:rsidR="0042414E" w:rsidRDefault="0042414E" w:rsidP="007734A4">
      <w:pPr>
        <w:pStyle w:val="FootnoteText"/>
      </w:pPr>
      <w:r w:rsidRPr="00D878C9">
        <w:rPr>
          <w:rStyle w:val="FootnoteReference"/>
          <w:rFonts w:ascii="Times New Roman" w:hAnsi="Times New Roman" w:cs="Times New Roman"/>
        </w:rPr>
        <w:footnoteRef/>
      </w:r>
      <w:r w:rsidRPr="00D878C9">
        <w:rPr>
          <w:rFonts w:ascii="Times New Roman" w:hAnsi="Times New Roman" w:cs="Times New Roman"/>
        </w:rPr>
        <w:t xml:space="preserve"> https://www.census.gov/library/working-papers/2017/acs/2017_Harth_01.html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2094"/>
    <w:multiLevelType w:val="hybridMultilevel"/>
    <w:tmpl w:val="F3489C1C"/>
    <w:lvl w:ilvl="0" w:tplc="2996B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517545"/>
    <w:multiLevelType w:val="hybridMultilevel"/>
    <w:tmpl w:val="FD0E89BE"/>
    <w:lvl w:ilvl="0" w:tplc="587E49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D5FBD"/>
    <w:multiLevelType w:val="hybridMultilevel"/>
    <w:tmpl w:val="238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0A"/>
    <w:rsid w:val="000568CD"/>
    <w:rsid w:val="00061129"/>
    <w:rsid w:val="00062AC5"/>
    <w:rsid w:val="0006608F"/>
    <w:rsid w:val="00081673"/>
    <w:rsid w:val="00095492"/>
    <w:rsid w:val="000A676B"/>
    <w:rsid w:val="000C0630"/>
    <w:rsid w:val="000C3915"/>
    <w:rsid w:val="00115DE5"/>
    <w:rsid w:val="00117F08"/>
    <w:rsid w:val="001206FA"/>
    <w:rsid w:val="00123176"/>
    <w:rsid w:val="00123FC1"/>
    <w:rsid w:val="00137F30"/>
    <w:rsid w:val="00143868"/>
    <w:rsid w:val="001661FE"/>
    <w:rsid w:val="001716A1"/>
    <w:rsid w:val="00176CA0"/>
    <w:rsid w:val="001B2A42"/>
    <w:rsid w:val="001D41CA"/>
    <w:rsid w:val="001E608E"/>
    <w:rsid w:val="001E68D4"/>
    <w:rsid w:val="001F0EEA"/>
    <w:rsid w:val="001F5125"/>
    <w:rsid w:val="00200F55"/>
    <w:rsid w:val="002218E6"/>
    <w:rsid w:val="00231B4A"/>
    <w:rsid w:val="00233611"/>
    <w:rsid w:val="0023452E"/>
    <w:rsid w:val="00241249"/>
    <w:rsid w:val="00243467"/>
    <w:rsid w:val="00247BD5"/>
    <w:rsid w:val="00264D5E"/>
    <w:rsid w:val="00277319"/>
    <w:rsid w:val="00294DCF"/>
    <w:rsid w:val="002A518E"/>
    <w:rsid w:val="002C51D3"/>
    <w:rsid w:val="002D4D11"/>
    <w:rsid w:val="002F1EB7"/>
    <w:rsid w:val="002F72FC"/>
    <w:rsid w:val="003012D7"/>
    <w:rsid w:val="00304CF7"/>
    <w:rsid w:val="00330352"/>
    <w:rsid w:val="00334869"/>
    <w:rsid w:val="003459DF"/>
    <w:rsid w:val="00363A3E"/>
    <w:rsid w:val="00367123"/>
    <w:rsid w:val="0039194C"/>
    <w:rsid w:val="003938D2"/>
    <w:rsid w:val="003A0DF5"/>
    <w:rsid w:val="003B15E8"/>
    <w:rsid w:val="003C7561"/>
    <w:rsid w:val="003F0113"/>
    <w:rsid w:val="003F0123"/>
    <w:rsid w:val="00403930"/>
    <w:rsid w:val="00416B5F"/>
    <w:rsid w:val="0042414E"/>
    <w:rsid w:val="00427909"/>
    <w:rsid w:val="00433FD5"/>
    <w:rsid w:val="004449B7"/>
    <w:rsid w:val="00446906"/>
    <w:rsid w:val="00452157"/>
    <w:rsid w:val="00453D24"/>
    <w:rsid w:val="004A773B"/>
    <w:rsid w:val="004A7BAD"/>
    <w:rsid w:val="004B306D"/>
    <w:rsid w:val="004C52E7"/>
    <w:rsid w:val="004C60C9"/>
    <w:rsid w:val="004D0C4E"/>
    <w:rsid w:val="004E51F1"/>
    <w:rsid w:val="00505652"/>
    <w:rsid w:val="005146E1"/>
    <w:rsid w:val="00551D4C"/>
    <w:rsid w:val="005566F1"/>
    <w:rsid w:val="005611F4"/>
    <w:rsid w:val="00564D1B"/>
    <w:rsid w:val="00582986"/>
    <w:rsid w:val="00584B21"/>
    <w:rsid w:val="0059582D"/>
    <w:rsid w:val="005962E0"/>
    <w:rsid w:val="005A581D"/>
    <w:rsid w:val="005B19BD"/>
    <w:rsid w:val="005B378D"/>
    <w:rsid w:val="005C6185"/>
    <w:rsid w:val="005D1051"/>
    <w:rsid w:val="005D67AE"/>
    <w:rsid w:val="005E1580"/>
    <w:rsid w:val="005E705D"/>
    <w:rsid w:val="00600B8A"/>
    <w:rsid w:val="00601DA1"/>
    <w:rsid w:val="006069BA"/>
    <w:rsid w:val="00617192"/>
    <w:rsid w:val="00665D00"/>
    <w:rsid w:val="006A15B1"/>
    <w:rsid w:val="006B6023"/>
    <w:rsid w:val="006C23BE"/>
    <w:rsid w:val="006D42C5"/>
    <w:rsid w:val="006E2829"/>
    <w:rsid w:val="00713D7A"/>
    <w:rsid w:val="0071694C"/>
    <w:rsid w:val="007268E7"/>
    <w:rsid w:val="00737C9F"/>
    <w:rsid w:val="007506F7"/>
    <w:rsid w:val="007734A4"/>
    <w:rsid w:val="00773647"/>
    <w:rsid w:val="0079167C"/>
    <w:rsid w:val="00795ACF"/>
    <w:rsid w:val="007B24A7"/>
    <w:rsid w:val="007C0CE7"/>
    <w:rsid w:val="007E3DA4"/>
    <w:rsid w:val="007E4A18"/>
    <w:rsid w:val="007E70D3"/>
    <w:rsid w:val="007F7D90"/>
    <w:rsid w:val="008000C5"/>
    <w:rsid w:val="00820E3E"/>
    <w:rsid w:val="008379CC"/>
    <w:rsid w:val="00854632"/>
    <w:rsid w:val="008723DC"/>
    <w:rsid w:val="00872FF2"/>
    <w:rsid w:val="00890E50"/>
    <w:rsid w:val="008A5E43"/>
    <w:rsid w:val="008B213F"/>
    <w:rsid w:val="008D0672"/>
    <w:rsid w:val="008D6EC0"/>
    <w:rsid w:val="00904B3F"/>
    <w:rsid w:val="00916A0E"/>
    <w:rsid w:val="00940443"/>
    <w:rsid w:val="00954EC0"/>
    <w:rsid w:val="00966F2B"/>
    <w:rsid w:val="009810EA"/>
    <w:rsid w:val="009A7105"/>
    <w:rsid w:val="009B5152"/>
    <w:rsid w:val="009D09B0"/>
    <w:rsid w:val="009E1B5D"/>
    <w:rsid w:val="009E3299"/>
    <w:rsid w:val="009E662F"/>
    <w:rsid w:val="009F71DF"/>
    <w:rsid w:val="009F766F"/>
    <w:rsid w:val="00A03E81"/>
    <w:rsid w:val="00A4795F"/>
    <w:rsid w:val="00A52E39"/>
    <w:rsid w:val="00A607FF"/>
    <w:rsid w:val="00AA46D7"/>
    <w:rsid w:val="00AB08C2"/>
    <w:rsid w:val="00AC0241"/>
    <w:rsid w:val="00AD6035"/>
    <w:rsid w:val="00AE13B5"/>
    <w:rsid w:val="00AF1A26"/>
    <w:rsid w:val="00B00AA9"/>
    <w:rsid w:val="00B1681E"/>
    <w:rsid w:val="00B17044"/>
    <w:rsid w:val="00B24964"/>
    <w:rsid w:val="00B4729D"/>
    <w:rsid w:val="00B733B3"/>
    <w:rsid w:val="00B92460"/>
    <w:rsid w:val="00B956CD"/>
    <w:rsid w:val="00BF11EA"/>
    <w:rsid w:val="00C029D9"/>
    <w:rsid w:val="00C04702"/>
    <w:rsid w:val="00C11A7D"/>
    <w:rsid w:val="00CA6226"/>
    <w:rsid w:val="00CC4A6D"/>
    <w:rsid w:val="00CD1AAA"/>
    <w:rsid w:val="00CD7EBA"/>
    <w:rsid w:val="00CE57CB"/>
    <w:rsid w:val="00CF0419"/>
    <w:rsid w:val="00CF5677"/>
    <w:rsid w:val="00D0074F"/>
    <w:rsid w:val="00D00EA8"/>
    <w:rsid w:val="00D234D1"/>
    <w:rsid w:val="00D40F0A"/>
    <w:rsid w:val="00D4359B"/>
    <w:rsid w:val="00D5627A"/>
    <w:rsid w:val="00D64D90"/>
    <w:rsid w:val="00D74B6C"/>
    <w:rsid w:val="00D86F35"/>
    <w:rsid w:val="00DB0B50"/>
    <w:rsid w:val="00DC65EC"/>
    <w:rsid w:val="00DD5DE9"/>
    <w:rsid w:val="00DD635F"/>
    <w:rsid w:val="00DF2CC3"/>
    <w:rsid w:val="00E0022F"/>
    <w:rsid w:val="00E01D40"/>
    <w:rsid w:val="00E0425E"/>
    <w:rsid w:val="00E05719"/>
    <w:rsid w:val="00E13E95"/>
    <w:rsid w:val="00E20E56"/>
    <w:rsid w:val="00E21173"/>
    <w:rsid w:val="00E41086"/>
    <w:rsid w:val="00E57387"/>
    <w:rsid w:val="00E72308"/>
    <w:rsid w:val="00E91012"/>
    <w:rsid w:val="00EC02DD"/>
    <w:rsid w:val="00EC5530"/>
    <w:rsid w:val="00EC7590"/>
    <w:rsid w:val="00EF015F"/>
    <w:rsid w:val="00EF06D5"/>
    <w:rsid w:val="00EF6BA0"/>
    <w:rsid w:val="00F05968"/>
    <w:rsid w:val="00F06B42"/>
    <w:rsid w:val="00F25C24"/>
    <w:rsid w:val="00F3310A"/>
    <w:rsid w:val="00F42D87"/>
    <w:rsid w:val="00F5668C"/>
    <w:rsid w:val="00F601BC"/>
    <w:rsid w:val="00F65C94"/>
    <w:rsid w:val="00F97F5C"/>
    <w:rsid w:val="00FB51CE"/>
    <w:rsid w:val="00FC09A6"/>
    <w:rsid w:val="00FC7B11"/>
    <w:rsid w:val="00FD0EF3"/>
    <w:rsid w:val="00FF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F0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40F0A"/>
    <w:rPr>
      <w:color w:val="0563C1" w:themeColor="hyperlink"/>
      <w:u w:val="single"/>
    </w:rPr>
  </w:style>
  <w:style w:type="paragraph" w:styleId="Caption">
    <w:name w:val="caption"/>
    <w:basedOn w:val="Normal"/>
    <w:next w:val="Normal"/>
    <w:uiPriority w:val="35"/>
    <w:unhideWhenUsed/>
    <w:qFormat/>
    <w:rsid w:val="00D40F0A"/>
    <w:pPr>
      <w:spacing w:after="200" w:line="240" w:lineRule="auto"/>
    </w:pPr>
    <w:rPr>
      <w:rFonts w:ascii="Times New Roman" w:eastAsia="Times New Roman" w:hAnsi="Times New Roman" w:cs="Times New Roman"/>
      <w:b/>
      <w:bCs/>
      <w:color w:val="5B9BD5" w:themeColor="accent1"/>
      <w:sz w:val="18"/>
      <w:szCs w:val="18"/>
    </w:rPr>
  </w:style>
  <w:style w:type="character" w:styleId="CommentReference">
    <w:name w:val="annotation reference"/>
    <w:basedOn w:val="DefaultParagraphFont"/>
    <w:uiPriority w:val="99"/>
    <w:semiHidden/>
    <w:unhideWhenUsed/>
    <w:rsid w:val="00584B21"/>
    <w:rPr>
      <w:sz w:val="16"/>
      <w:szCs w:val="16"/>
    </w:rPr>
  </w:style>
  <w:style w:type="paragraph" w:styleId="CommentText">
    <w:name w:val="annotation text"/>
    <w:basedOn w:val="Normal"/>
    <w:link w:val="CommentTextChar"/>
    <w:uiPriority w:val="99"/>
    <w:semiHidden/>
    <w:unhideWhenUsed/>
    <w:rsid w:val="00584B21"/>
    <w:pPr>
      <w:spacing w:line="240" w:lineRule="auto"/>
    </w:pPr>
    <w:rPr>
      <w:sz w:val="20"/>
      <w:szCs w:val="20"/>
    </w:rPr>
  </w:style>
  <w:style w:type="character" w:customStyle="1" w:styleId="CommentTextChar">
    <w:name w:val="Comment Text Char"/>
    <w:basedOn w:val="DefaultParagraphFont"/>
    <w:link w:val="CommentText"/>
    <w:uiPriority w:val="99"/>
    <w:semiHidden/>
    <w:rsid w:val="00584B21"/>
    <w:rPr>
      <w:sz w:val="20"/>
      <w:szCs w:val="20"/>
    </w:rPr>
  </w:style>
  <w:style w:type="paragraph" w:styleId="CommentSubject">
    <w:name w:val="annotation subject"/>
    <w:basedOn w:val="CommentText"/>
    <w:next w:val="CommentText"/>
    <w:link w:val="CommentSubjectChar"/>
    <w:uiPriority w:val="99"/>
    <w:semiHidden/>
    <w:unhideWhenUsed/>
    <w:rsid w:val="00584B21"/>
    <w:rPr>
      <w:b/>
      <w:bCs/>
    </w:rPr>
  </w:style>
  <w:style w:type="character" w:customStyle="1" w:styleId="CommentSubjectChar">
    <w:name w:val="Comment Subject Char"/>
    <w:basedOn w:val="CommentTextChar"/>
    <w:link w:val="CommentSubject"/>
    <w:uiPriority w:val="99"/>
    <w:semiHidden/>
    <w:rsid w:val="00584B21"/>
    <w:rPr>
      <w:b/>
      <w:bCs/>
      <w:sz w:val="20"/>
      <w:szCs w:val="20"/>
    </w:rPr>
  </w:style>
  <w:style w:type="paragraph" w:styleId="BalloonText">
    <w:name w:val="Balloon Text"/>
    <w:basedOn w:val="Normal"/>
    <w:link w:val="BalloonTextChar"/>
    <w:uiPriority w:val="99"/>
    <w:semiHidden/>
    <w:unhideWhenUsed/>
    <w:rsid w:val="00584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21"/>
    <w:rPr>
      <w:rFonts w:ascii="Segoe UI" w:hAnsi="Segoe UI" w:cs="Segoe UI"/>
      <w:sz w:val="18"/>
      <w:szCs w:val="18"/>
    </w:rPr>
  </w:style>
  <w:style w:type="paragraph" w:styleId="ListParagraph">
    <w:name w:val="List Paragraph"/>
    <w:basedOn w:val="Normal"/>
    <w:link w:val="ListParagraphChar"/>
    <w:uiPriority w:val="34"/>
    <w:qFormat/>
    <w:rsid w:val="004B306D"/>
    <w:pPr>
      <w:ind w:left="720"/>
      <w:contextualSpacing/>
    </w:pPr>
  </w:style>
  <w:style w:type="paragraph" w:styleId="FootnoteText">
    <w:name w:val="footnote text"/>
    <w:basedOn w:val="Normal"/>
    <w:link w:val="FootnoteTextChar"/>
    <w:uiPriority w:val="99"/>
    <w:semiHidden/>
    <w:unhideWhenUsed/>
    <w:rsid w:val="00773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4A4"/>
    <w:rPr>
      <w:sz w:val="20"/>
      <w:szCs w:val="20"/>
    </w:rPr>
  </w:style>
  <w:style w:type="character" w:styleId="FootnoteReference">
    <w:name w:val="footnote reference"/>
    <w:basedOn w:val="DefaultParagraphFont"/>
    <w:uiPriority w:val="99"/>
    <w:semiHidden/>
    <w:unhideWhenUsed/>
    <w:rsid w:val="007734A4"/>
    <w:rPr>
      <w:vertAlign w:val="superscript"/>
    </w:rPr>
  </w:style>
  <w:style w:type="character" w:customStyle="1" w:styleId="ListParagraphChar">
    <w:name w:val="List Paragraph Char"/>
    <w:basedOn w:val="DefaultParagraphFont"/>
    <w:link w:val="ListParagraph"/>
    <w:uiPriority w:val="34"/>
    <w:rsid w:val="00561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F0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40F0A"/>
    <w:rPr>
      <w:color w:val="0563C1" w:themeColor="hyperlink"/>
      <w:u w:val="single"/>
    </w:rPr>
  </w:style>
  <w:style w:type="paragraph" w:styleId="Caption">
    <w:name w:val="caption"/>
    <w:basedOn w:val="Normal"/>
    <w:next w:val="Normal"/>
    <w:uiPriority w:val="35"/>
    <w:unhideWhenUsed/>
    <w:qFormat/>
    <w:rsid w:val="00D40F0A"/>
    <w:pPr>
      <w:spacing w:after="200" w:line="240" w:lineRule="auto"/>
    </w:pPr>
    <w:rPr>
      <w:rFonts w:ascii="Times New Roman" w:eastAsia="Times New Roman" w:hAnsi="Times New Roman" w:cs="Times New Roman"/>
      <w:b/>
      <w:bCs/>
      <w:color w:val="5B9BD5" w:themeColor="accent1"/>
      <w:sz w:val="18"/>
      <w:szCs w:val="18"/>
    </w:rPr>
  </w:style>
  <w:style w:type="character" w:styleId="CommentReference">
    <w:name w:val="annotation reference"/>
    <w:basedOn w:val="DefaultParagraphFont"/>
    <w:uiPriority w:val="99"/>
    <w:semiHidden/>
    <w:unhideWhenUsed/>
    <w:rsid w:val="00584B21"/>
    <w:rPr>
      <w:sz w:val="16"/>
      <w:szCs w:val="16"/>
    </w:rPr>
  </w:style>
  <w:style w:type="paragraph" w:styleId="CommentText">
    <w:name w:val="annotation text"/>
    <w:basedOn w:val="Normal"/>
    <w:link w:val="CommentTextChar"/>
    <w:uiPriority w:val="99"/>
    <w:semiHidden/>
    <w:unhideWhenUsed/>
    <w:rsid w:val="00584B21"/>
    <w:pPr>
      <w:spacing w:line="240" w:lineRule="auto"/>
    </w:pPr>
    <w:rPr>
      <w:sz w:val="20"/>
      <w:szCs w:val="20"/>
    </w:rPr>
  </w:style>
  <w:style w:type="character" w:customStyle="1" w:styleId="CommentTextChar">
    <w:name w:val="Comment Text Char"/>
    <w:basedOn w:val="DefaultParagraphFont"/>
    <w:link w:val="CommentText"/>
    <w:uiPriority w:val="99"/>
    <w:semiHidden/>
    <w:rsid w:val="00584B21"/>
    <w:rPr>
      <w:sz w:val="20"/>
      <w:szCs w:val="20"/>
    </w:rPr>
  </w:style>
  <w:style w:type="paragraph" w:styleId="CommentSubject">
    <w:name w:val="annotation subject"/>
    <w:basedOn w:val="CommentText"/>
    <w:next w:val="CommentText"/>
    <w:link w:val="CommentSubjectChar"/>
    <w:uiPriority w:val="99"/>
    <w:semiHidden/>
    <w:unhideWhenUsed/>
    <w:rsid w:val="00584B21"/>
    <w:rPr>
      <w:b/>
      <w:bCs/>
    </w:rPr>
  </w:style>
  <w:style w:type="character" w:customStyle="1" w:styleId="CommentSubjectChar">
    <w:name w:val="Comment Subject Char"/>
    <w:basedOn w:val="CommentTextChar"/>
    <w:link w:val="CommentSubject"/>
    <w:uiPriority w:val="99"/>
    <w:semiHidden/>
    <w:rsid w:val="00584B21"/>
    <w:rPr>
      <w:b/>
      <w:bCs/>
      <w:sz w:val="20"/>
      <w:szCs w:val="20"/>
    </w:rPr>
  </w:style>
  <w:style w:type="paragraph" w:styleId="BalloonText">
    <w:name w:val="Balloon Text"/>
    <w:basedOn w:val="Normal"/>
    <w:link w:val="BalloonTextChar"/>
    <w:uiPriority w:val="99"/>
    <w:semiHidden/>
    <w:unhideWhenUsed/>
    <w:rsid w:val="00584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21"/>
    <w:rPr>
      <w:rFonts w:ascii="Segoe UI" w:hAnsi="Segoe UI" w:cs="Segoe UI"/>
      <w:sz w:val="18"/>
      <w:szCs w:val="18"/>
    </w:rPr>
  </w:style>
  <w:style w:type="paragraph" w:styleId="ListParagraph">
    <w:name w:val="List Paragraph"/>
    <w:basedOn w:val="Normal"/>
    <w:link w:val="ListParagraphChar"/>
    <w:uiPriority w:val="34"/>
    <w:qFormat/>
    <w:rsid w:val="004B306D"/>
    <w:pPr>
      <w:ind w:left="720"/>
      <w:contextualSpacing/>
    </w:pPr>
  </w:style>
  <w:style w:type="paragraph" w:styleId="FootnoteText">
    <w:name w:val="footnote text"/>
    <w:basedOn w:val="Normal"/>
    <w:link w:val="FootnoteTextChar"/>
    <w:uiPriority w:val="99"/>
    <w:semiHidden/>
    <w:unhideWhenUsed/>
    <w:rsid w:val="00773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4A4"/>
    <w:rPr>
      <w:sz w:val="20"/>
      <w:szCs w:val="20"/>
    </w:rPr>
  </w:style>
  <w:style w:type="character" w:styleId="FootnoteReference">
    <w:name w:val="footnote reference"/>
    <w:basedOn w:val="DefaultParagraphFont"/>
    <w:uiPriority w:val="99"/>
    <w:semiHidden/>
    <w:unhideWhenUsed/>
    <w:rsid w:val="007734A4"/>
    <w:rPr>
      <w:vertAlign w:val="superscript"/>
    </w:rPr>
  </w:style>
  <w:style w:type="character" w:customStyle="1" w:styleId="ListParagraphChar">
    <w:name w:val="List Paragraph Char"/>
    <w:basedOn w:val="DefaultParagraphFont"/>
    <w:link w:val="ListParagraph"/>
    <w:uiPriority w:val="34"/>
    <w:rsid w:val="0056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862c8c0-6e27-4df6-beae-c6ac8249d221">Requirements/Question Wording</Category>
    <Subcategory xmlns="4862c8c0-6e27-4df6-beae-c6ac8249d221">Protocol</Sub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7F80B1182AB49A6FACC4F36C153F1" ma:contentTypeVersion="12" ma:contentTypeDescription="Create a new document." ma:contentTypeScope="" ma:versionID="07f777ae282feef3cc3fe095143368d5">
  <xsd:schema xmlns:xsd="http://www.w3.org/2001/XMLSchema" xmlns:xs="http://www.w3.org/2001/XMLSchema" xmlns:p="http://schemas.microsoft.com/office/2006/metadata/properties" xmlns:ns2="4862c8c0-6e27-4df6-beae-c6ac8249d221" targetNamespace="http://schemas.microsoft.com/office/2006/metadata/properties" ma:root="true" ma:fieldsID="987afff6dcd714d0a574f87e443c2634" ns2:_="">
    <xsd:import namespace="4862c8c0-6e27-4df6-beae-c6ac8249d221"/>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c8c0-6e27-4df6-beae-c6ac8249d22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restriction base="dms:Choice">
          <xsd:enumeration value="Meeting Agendas/Notes/Updates"/>
          <xsd:enumeration value="Requirements/Question Wording"/>
          <xsd:enumeration value="Reference Documents"/>
        </xsd:restriction>
      </xsd:simpleType>
    </xsd:element>
    <xsd:element name="Subcategory" ma:index="9" nillable="true" ma:displayName="Subcategory" ma:default="Archive" ma:format="RadioButtons" ma:internalName="Subcategory">
      <xsd:simpleType>
        <xsd:union memberTypes="dms:Text">
          <xsd:simpleType>
            <xsd:restriction base="dms:Choice">
              <xsd:enumeration value="Archive"/>
              <xsd:enumeration value="Curr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D8E1-626E-4775-A2B0-CE33F15BDA42}">
  <ds:schemaRefs>
    <ds:schemaRef ds:uri="http://www.w3.org/XML/1998/namespace"/>
    <ds:schemaRef ds:uri="http://schemas.microsoft.com/office/2006/documentManagement/types"/>
    <ds:schemaRef ds:uri="http://purl.org/dc/dcmitype/"/>
    <ds:schemaRef ds:uri="http://schemas.microsoft.com/office/infopath/2007/PartnerControls"/>
    <ds:schemaRef ds:uri="4862c8c0-6e27-4df6-beae-c6ac8249d221"/>
    <ds:schemaRef ds:uri="http://schemas.microsoft.com/office/2006/metadata/properties"/>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2F65D55-6EFD-4145-994D-F1F7D86D7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c8c0-6e27-4df6-beae-c6ac8249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C05D5E-5D83-4913-A4CC-F5B87E4AFD2C}">
  <ds:schemaRefs>
    <ds:schemaRef ds:uri="http://schemas.microsoft.com/sharepoint/v3/contenttype/forms"/>
  </ds:schemaRefs>
</ds:datastoreItem>
</file>

<file path=customXml/itemProps4.xml><?xml version="1.0" encoding="utf-8"?>
<ds:datastoreItem xmlns:ds="http://schemas.openxmlformats.org/officeDocument/2006/customXml" ds:itemID="{B1755747-9C06-4691-BC36-73D3C917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 Kee (CENSUS/ACSO FED)</dc:creator>
  <cp:keywords/>
  <dc:description/>
  <cp:lastModifiedBy>SYSTEM</cp:lastModifiedBy>
  <cp:revision>2</cp:revision>
  <dcterms:created xsi:type="dcterms:W3CDTF">2018-06-12T12:16:00Z</dcterms:created>
  <dcterms:modified xsi:type="dcterms:W3CDTF">2018-06-12T12:16:00Z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0x010100AE67F80B1182AB49A6FACC4F36C153F1</vt:lpwstr>
  </property>
</Properties>
</file>